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4D64173F" w:rsidR="00917330" w:rsidRPr="006679E6" w:rsidRDefault="00917330">
      <w:pPr>
        <w:rPr>
          <w:rFonts w:ascii="Palatino Linotype" w:hAnsi="Palatino Linotype" w:cstheme="minorHAnsi"/>
          <w:lang w:val="en-US"/>
        </w:rPr>
      </w:pPr>
    </w:p>
    <w:p w14:paraId="4E745BEF" w14:textId="6DA5E1DA" w:rsidR="00D07713" w:rsidRPr="006679E6" w:rsidRDefault="00062A8A">
      <w:pPr>
        <w:rPr>
          <w:rFonts w:ascii="Palatino Linotype" w:hAnsi="Palatino Linotype" w:cstheme="minorHAnsi"/>
          <w:lang w:val="en-US"/>
        </w:rPr>
      </w:pPr>
      <w:r w:rsidRPr="006679E6">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5F6FCC95">
                <wp:simplePos x="0" y="0"/>
                <wp:positionH relativeFrom="column">
                  <wp:posOffset>5086335</wp:posOffset>
                </wp:positionH>
                <wp:positionV relativeFrom="paragraph">
                  <wp:posOffset>53414</wp:posOffset>
                </wp:positionV>
                <wp:extent cx="1525713"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713"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4DE48A5C" w:rsidR="00D07713" w:rsidRPr="006679E6" w:rsidRDefault="00D200D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7</w:t>
                            </w:r>
                            <w:r w:rsidR="006F0FC6" w:rsidRPr="006679E6">
                              <w:rPr>
                                <w:rFonts w:ascii="Arial" w:eastAsia="Times New Roman" w:hAnsi="Arial" w:cs="Arial"/>
                                <w:b/>
                                <w:bCs/>
                                <w:color w:val="FFFFFF"/>
                                <w:sz w:val="22"/>
                                <w:szCs w:val="22"/>
                                <w:lang w:val="en-US" w:eastAsia="ar-SA"/>
                              </w:rPr>
                              <w:t xml:space="preserve"> </w:t>
                            </w:r>
                            <w:r>
                              <w:rPr>
                                <w:rFonts w:ascii="Arial" w:eastAsia="Times New Roman" w:hAnsi="Arial" w:cs="Arial"/>
                                <w:b/>
                                <w:bCs/>
                                <w:color w:val="FFFFFF"/>
                                <w:sz w:val="22"/>
                                <w:szCs w:val="22"/>
                                <w:lang w:val="en-US" w:eastAsia="ar-SA"/>
                              </w:rPr>
                              <w:t>June</w:t>
                            </w:r>
                            <w:r w:rsidR="00E37C95" w:rsidRPr="006679E6">
                              <w:rPr>
                                <w:rFonts w:ascii="Arial" w:eastAsia="Times New Roman" w:hAnsi="Arial" w:cs="Arial"/>
                                <w:b/>
                                <w:bCs/>
                                <w:color w:val="FFFFFF"/>
                                <w:sz w:val="22"/>
                                <w:szCs w:val="22"/>
                                <w:lang w:val="en-US" w:eastAsia="ar-SA"/>
                              </w:rPr>
                              <w:t xml:space="preserve"> 202</w:t>
                            </w:r>
                            <w:r w:rsidR="00E265D5" w:rsidRPr="006679E6">
                              <w:rPr>
                                <w:rFonts w:ascii="Arial" w:eastAsia="Times New Roman" w:hAnsi="Arial" w:cs="Arial"/>
                                <w:b/>
                                <w:bCs/>
                                <w:color w:val="FFFFFF"/>
                                <w:sz w:val="22"/>
                                <w:szCs w:val="22"/>
                                <w:lang w:val="en-US" w:eastAsia="ar-SA"/>
                              </w:rPr>
                              <w:t>1</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0B86FB" id="_x0000_t202" coordsize="21600,21600" o:spt="202" path="m,l,21600r21600,l21600,xe">
                <v:stroke joinstyle="miter"/>
                <v:path gradientshapeok="t" o:connecttype="rect"/>
              </v:shapetype>
              <v:shape id="Text Box 3" o:spid="_x0000_s1026" type="#_x0000_t202" style="position:absolute;margin-left:400.5pt;margin-top:4.2pt;width:120.1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Bt9AEAANcDAAAOAAAAZHJzL2Uyb0RvYy54bWysU9uO0zAQfUfiHyy/0zSF5RI1XS1dFSEt&#10;F2nhAyaOcxGOx4zdJsvXM3aaLpc3RB6s8WXOzDlzsr2eBiNOmnyPtpT5ai2Ftgrr3ral/Prl8Oy1&#10;FD6ArcGg1aV80F5e754+2Y6u0Bvs0NSaBINYX4yulF0Irsgyrzo9gF+h05YvG6QBAm+pzWqCkdEH&#10;k23W65fZiFQ7QqW959Pb+VLuEn7TaBU+NY3XQZhScm8hrZTWKq7ZbgtFS+C6Xp3bgH/oYoDectEL&#10;1C0EEEfq/4IaekXosQkrhUOGTdMrnTgwm3z9B5v7DpxOXFgc7y4y+f8Hqz6e7t1nEmF6ixMPMJHw&#10;7g7VNy8s7juwrb4hwrHTUHPhPEqWjc4X59QotS98BKnGD1jzkOEYMAFNDQ1RFeYpGJ0H8HARXU9B&#10;qFjyanP1Kn8uheK7F/mbfJ2mkkGxZDvy4Z3GQcSglMRDTehwuvMhdgPF8iQW82j6+tAbkzbUVntD&#10;4gRsgEP65lzjOphPl3J+fprwfsMwNiJZjJhzuXiSNIi0ZwHCVE18GbWosH5gNQhnt/HfwUGH9EOK&#10;kZ1WSv/9CKSlMO8tKxptuQS0BNUSgFWcWsogxRzuw2zfo6O+7Rh5npnFG1a96ZMgj12c+2T3JF5n&#10;p0d7/rpPrx7/x91PAAAA//8DAFBLAwQUAAYACAAAACEAX2a3AOEAAAAOAQAADwAAAGRycy9kb3du&#10;cmV2LnhtbEyPwW7CMBBE75X4B2uReit2ICppiINaUHutmlbiauIljhKvo9hA+vc1p3JZ7Wo0s/OK&#10;7WR7dsHRt44kJAsBDKl2uqVGws/3+1MGzAdFWvWOUMIvetiWs4dC5dpd6QsvVWhYDCGfKwkmhCHn&#10;3NcGrfILNyBF7eRGq0I8x4brUV1juO35UohnblVL8YNRA+4M1l11thJWn8v1wX9U+91wwJcu82/d&#10;iYyUj/Npv4njdQMs4BT+HXBjiP2hjMWO7kzas15CJpIIFOKSArvpIk1WwI4S1mkKvCz4PUb5BwAA&#10;//8DAFBLAQItABQABgAIAAAAIQC2gziS/gAAAOEBAAATAAAAAAAAAAAAAAAAAAAAAABbQ29udGVu&#10;dF9UeXBlc10ueG1sUEsBAi0AFAAGAAgAAAAhADj9If/WAAAAlAEAAAsAAAAAAAAAAAAAAAAALwEA&#10;AF9yZWxzLy5yZWxzUEsBAi0AFAAGAAgAAAAhANXxoG30AQAA1wMAAA4AAAAAAAAAAAAAAAAALgIA&#10;AGRycy9lMm9Eb2MueG1sUEsBAi0AFAAGAAgAAAAhAF9mtwDhAAAADgEAAA8AAAAAAAAAAAAAAAAA&#10;TgQAAGRycy9kb3ducmV2LnhtbFBLBQYAAAAABAAEAPMAAABcBQAAAAA=&#10;" stroked="f">
                <v:fill opacity="0"/>
                <v:textbox inset="0,0,0,0">
                  <w:txbxContent>
                    <w:p w14:paraId="5B0CFDC6" w14:textId="4DE48A5C" w:rsidR="00D07713" w:rsidRPr="006679E6" w:rsidRDefault="00D200D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7</w:t>
                      </w:r>
                      <w:r w:rsidR="006F0FC6" w:rsidRPr="006679E6">
                        <w:rPr>
                          <w:rFonts w:ascii="Arial" w:eastAsia="Times New Roman" w:hAnsi="Arial" w:cs="Arial"/>
                          <w:b/>
                          <w:bCs/>
                          <w:color w:val="FFFFFF"/>
                          <w:sz w:val="22"/>
                          <w:szCs w:val="22"/>
                          <w:lang w:val="en-US" w:eastAsia="ar-SA"/>
                        </w:rPr>
                        <w:t xml:space="preserve"> </w:t>
                      </w:r>
                      <w:r>
                        <w:rPr>
                          <w:rFonts w:ascii="Arial" w:eastAsia="Times New Roman" w:hAnsi="Arial" w:cs="Arial"/>
                          <w:b/>
                          <w:bCs/>
                          <w:color w:val="FFFFFF"/>
                          <w:sz w:val="22"/>
                          <w:szCs w:val="22"/>
                          <w:lang w:val="en-US" w:eastAsia="ar-SA"/>
                        </w:rPr>
                        <w:t>June</w:t>
                      </w:r>
                      <w:r w:rsidR="00E37C95" w:rsidRPr="006679E6">
                        <w:rPr>
                          <w:rFonts w:ascii="Arial" w:eastAsia="Times New Roman" w:hAnsi="Arial" w:cs="Arial"/>
                          <w:b/>
                          <w:bCs/>
                          <w:color w:val="FFFFFF"/>
                          <w:sz w:val="22"/>
                          <w:szCs w:val="22"/>
                          <w:lang w:val="en-US" w:eastAsia="ar-SA"/>
                        </w:rPr>
                        <w:t xml:space="preserve"> 202</w:t>
                      </w:r>
                      <w:r w:rsidR="00E265D5" w:rsidRPr="006679E6">
                        <w:rPr>
                          <w:rFonts w:ascii="Arial" w:eastAsia="Times New Roman" w:hAnsi="Arial" w:cs="Arial"/>
                          <w:b/>
                          <w:bCs/>
                          <w:color w:val="FFFFFF"/>
                          <w:sz w:val="22"/>
                          <w:szCs w:val="22"/>
                          <w:lang w:val="en-US" w:eastAsia="ar-SA"/>
                        </w:rPr>
                        <w:t>1</w:t>
                      </w:r>
                    </w:p>
                    <w:p w14:paraId="1C706E2C" w14:textId="77777777" w:rsidR="00D07713" w:rsidRPr="00187FA0" w:rsidRDefault="00D07713" w:rsidP="00D07713"/>
                  </w:txbxContent>
                </v:textbox>
              </v:shape>
            </w:pict>
          </mc:Fallback>
        </mc:AlternateContent>
      </w:r>
      <w:r w:rsidR="007F39BB" w:rsidRPr="006679E6">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7C5E6EB0"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1D7863">
                              <w:rPr>
                                <w:rFonts w:ascii="Times New Roman" w:hAnsi="Times New Roman" w:cs="Times New Roman"/>
                                <w:sz w:val="40"/>
                                <w:szCs w:val="40"/>
                                <w:lang w:val="en-US"/>
                              </w:rPr>
                              <w:t>2</w:t>
                            </w:r>
                            <w:r w:rsidRPr="006679E6">
                              <w:rPr>
                                <w:rFonts w:ascii="Times New Roman" w:hAnsi="Times New Roman" w:cs="Times New Roman"/>
                                <w:sz w:val="40"/>
                                <w:szCs w:val="40"/>
                                <w:lang w:val="en-US"/>
                              </w:rPr>
                              <w:t xml:space="preserve"> </w:t>
                            </w:r>
                            <w:r w:rsidR="001D7863">
                              <w:rPr>
                                <w:rFonts w:ascii="Times New Roman" w:hAnsi="Times New Roman" w:cs="Times New Roman"/>
                                <w:sz w:val="40"/>
                                <w:szCs w:val="40"/>
                                <w:lang w:val="en-US"/>
                              </w:rPr>
                              <w:t>1</w:t>
                            </w:r>
                            <w:r w:rsidR="001D7863">
                              <w:rPr>
                                <w:rFonts w:ascii="Times New Roman" w:hAnsi="Times New Roman" w:cs="Times New Roman"/>
                                <w:sz w:val="40"/>
                                <w:szCs w:val="40"/>
                                <w:vertAlign w:val="superscript"/>
                                <w:lang w:val="en-US"/>
                              </w:rPr>
                              <w:t>st</w:t>
                            </w:r>
                            <w:r w:rsidR="006679E6">
                              <w:rPr>
                                <w:rFonts w:ascii="Times New Roman" w:hAnsi="Times New Roman" w:cs="Times New Roman"/>
                                <w:sz w:val="40"/>
                                <w:szCs w:val="40"/>
                                <w:lang w:val="en-US"/>
                              </w:rPr>
                              <w:t xml:space="preserve">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Y3+AEAAN4DAAAOAAAAZHJzL2Uyb0RvYy54bWysU9uO0zAQfUfiHyy/06SFvRA1XS1dFSEt&#10;C9KyH+A4TmLheMzYbVK+nrHTdIF9Q+TBGl/mzJwzJ+ubsTfsoNBrsCVfLnLOlJVQa9uW/Onb7s01&#10;Zz4IWwsDVpX8qDy/2bx+tR5coVbQgakVMgKxvhhcybsQXJFlXnaqF34BTlm6bAB7EWiLbVajGAi9&#10;N9kqzy+zAbB2CFJ5T6d30yXfJPymUTJ8aRqvAjMlp95CWjGtVVyzzVoULQrXaXlqQ/xDF73Qloqe&#10;oe5EEGyP+gVUryWChyYsJPQZNI2WKnEgNsv8LzaPnXAqcSFxvDvL5P8frHw4PLqvyML4AUYaYCLh&#10;3T3I755Z2HbCtuoWEYZOiZoKL6Nk2eB8cUqNUvvCR5Bq+Aw1DVnsAySgscE+qkI8GaHTAI5n0dUY&#10;mKTDt9fL9xerC84k3V2+u7rK01QyUczZDn34qKBnMSg50lATujjc+xC7EcX8JBbzYHS908akDbbV&#10;1iA7CDLALn1TrnGdmE7ncn56mvD+wDA2IlmImFO5eJI0iLQnAcJYjUzXJ4GiJBXURxIFYTId/SQU&#10;dIA/ORvIcCX3P/YCFWfmkyVhozvnAOegmgNhJaWWPHA2hdswuXjvULcdIU+js3BL4jc66fLcxald&#10;MlGidzJ8dOnv+/Tq+bfc/AIAAP//AwBQSwMEFAAGAAgAAAAhAFsDmZXjAAAAEAEAAA8AAABkcnMv&#10;ZG93bnJldi54bWxMj0FPwzAMhe9I/IfISNy2NJ1Yu67pBJvgiihIu2at11ZtnKrJtvLvMSe4WLL9&#10;/Py+fDfbQVxx8p0jDWoZgUCqXN1Ro+Hr83WRgvDBUG0GR6jhGz3sivu73GS1u9EHXsvQCDYhnxkN&#10;bQhjJqWvWrTGL92IxLuzm6wJ3E6NrCdzY3M7yDiK1tKajvhDa0bct1j15cVqWL3HydG/lYf9eMRN&#10;n/qX/kyt1o8P82HL5XkLIuAc/i7gl4HzQ8HBTu5CtReDhlg9rViqYaGUSkCwJFVrRjrxaJOALHL5&#10;H6T4AQAA//8DAFBLAQItABQABgAIAAAAIQC2gziS/gAAAOEBAAATAAAAAAAAAAAAAAAAAAAAAABb&#10;Q29udGVudF9UeXBlc10ueG1sUEsBAi0AFAAGAAgAAAAhADj9If/WAAAAlAEAAAsAAAAAAAAAAAAA&#10;AAAALwEAAF9yZWxzLy5yZWxzUEsBAi0AFAAGAAgAAAAhAB8O1jf4AQAA3gMAAA4AAAAAAAAAAAAA&#10;AAAALgIAAGRycy9lMm9Eb2MueG1sUEsBAi0AFAAGAAgAAAAhAFsDmZXjAAAAEAEAAA8AAAAAAAAA&#10;AAAAAAAAUgQAAGRycy9kb3ducmV2LnhtbFBLBQYAAAAABAAEAPMAAABiBQAAAAA=&#10;" stroked="f">
                <v:fill opacity="0"/>
                <v:textbox inset="0,0,0,0">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7C5E6EB0"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1D7863">
                        <w:rPr>
                          <w:rFonts w:ascii="Times New Roman" w:hAnsi="Times New Roman" w:cs="Times New Roman"/>
                          <w:sz w:val="40"/>
                          <w:szCs w:val="40"/>
                          <w:lang w:val="en-US"/>
                        </w:rPr>
                        <w:t>2</w:t>
                      </w:r>
                      <w:r w:rsidRPr="006679E6">
                        <w:rPr>
                          <w:rFonts w:ascii="Times New Roman" w:hAnsi="Times New Roman" w:cs="Times New Roman"/>
                          <w:sz w:val="40"/>
                          <w:szCs w:val="40"/>
                          <w:lang w:val="en-US"/>
                        </w:rPr>
                        <w:t xml:space="preserve"> </w:t>
                      </w:r>
                      <w:r w:rsidR="001D7863">
                        <w:rPr>
                          <w:rFonts w:ascii="Times New Roman" w:hAnsi="Times New Roman" w:cs="Times New Roman"/>
                          <w:sz w:val="40"/>
                          <w:szCs w:val="40"/>
                          <w:lang w:val="en-US"/>
                        </w:rPr>
                        <w:t>1</w:t>
                      </w:r>
                      <w:r w:rsidR="001D7863">
                        <w:rPr>
                          <w:rFonts w:ascii="Times New Roman" w:hAnsi="Times New Roman" w:cs="Times New Roman"/>
                          <w:sz w:val="40"/>
                          <w:szCs w:val="40"/>
                          <w:vertAlign w:val="superscript"/>
                          <w:lang w:val="en-US"/>
                        </w:rPr>
                        <w:t>st</w:t>
                      </w:r>
                      <w:r w:rsidR="006679E6">
                        <w:rPr>
                          <w:rFonts w:ascii="Times New Roman" w:hAnsi="Times New Roman" w:cs="Times New Roman"/>
                          <w:sz w:val="40"/>
                          <w:szCs w:val="40"/>
                          <w:lang w:val="en-US"/>
                        </w:rPr>
                        <w:t xml:space="preserve"> Quarter</w:t>
                      </w:r>
                    </w:p>
                  </w:txbxContent>
                </v:textbox>
              </v:shape>
            </w:pict>
          </mc:Fallback>
        </mc:AlternateContent>
      </w:r>
      <w:r w:rsidR="00D07713" w:rsidRPr="006679E6">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ED87606" w:rsidR="00D07713" w:rsidRPr="006679E6" w:rsidRDefault="00D07713">
      <w:pPr>
        <w:rPr>
          <w:rFonts w:ascii="Palatino Linotype" w:hAnsi="Palatino Linotype" w:cstheme="minorHAnsi"/>
          <w:lang w:val="en-US"/>
        </w:rPr>
      </w:pPr>
    </w:p>
    <w:p w14:paraId="6783B39D" w14:textId="326E4985" w:rsidR="00D34702" w:rsidRPr="006679E6" w:rsidRDefault="001272BD" w:rsidP="00D34702">
      <w:pPr>
        <w:spacing w:line="288" w:lineRule="auto"/>
        <w:ind w:right="-319"/>
        <w:jc w:val="center"/>
        <w:outlineLvl w:val="0"/>
        <w:rPr>
          <w:rFonts w:ascii="Palatino Linotype" w:hAnsi="Palatino Linotype" w:cstheme="minorHAnsi"/>
          <w:b/>
          <w:bCs/>
          <w:sz w:val="28"/>
          <w:szCs w:val="28"/>
          <w:lang w:val="en-US"/>
        </w:rPr>
      </w:pPr>
      <w:r>
        <w:rPr>
          <w:rFonts w:ascii="Palatino Linotype" w:hAnsi="Palatino Linotype" w:cstheme="minorHAnsi"/>
          <w:b/>
          <w:bCs/>
          <w:sz w:val="28"/>
          <w:szCs w:val="28"/>
          <w:highlight w:val="yellow"/>
          <w:lang w:val="en-US"/>
        </w:rPr>
        <w:br/>
      </w:r>
      <w:r w:rsidR="001B79D6">
        <w:rPr>
          <w:rFonts w:ascii="Palatino Linotype" w:hAnsi="Palatino Linotype" w:cstheme="minorHAnsi"/>
          <w:b/>
          <w:bCs/>
          <w:sz w:val="28"/>
          <w:szCs w:val="28"/>
          <w:lang w:val="en-US"/>
        </w:rPr>
        <w:t>HOUSEHOLDS’ CONSUMPTION</w:t>
      </w:r>
      <w:r w:rsidR="005F60F3" w:rsidRPr="005F60F3">
        <w:rPr>
          <w:rFonts w:ascii="Palatino Linotype" w:hAnsi="Palatino Linotype" w:cstheme="minorHAnsi"/>
          <w:b/>
          <w:bCs/>
          <w:sz w:val="28"/>
          <w:szCs w:val="28"/>
          <w:lang w:val="en-US"/>
        </w:rPr>
        <w:t xml:space="preserve"> </w:t>
      </w:r>
      <w:r w:rsidR="00D200DB">
        <w:rPr>
          <w:rFonts w:ascii="Palatino Linotype" w:hAnsi="Palatino Linotype" w:cstheme="minorHAnsi"/>
          <w:b/>
          <w:bCs/>
          <w:sz w:val="28"/>
          <w:szCs w:val="28"/>
          <w:lang w:val="en-US"/>
        </w:rPr>
        <w:t xml:space="preserve">AND EXPORT </w:t>
      </w:r>
      <w:r w:rsidR="00422850">
        <w:rPr>
          <w:rFonts w:ascii="Palatino Linotype" w:hAnsi="Palatino Linotype" w:cstheme="minorHAnsi"/>
          <w:b/>
          <w:bCs/>
          <w:sz w:val="28"/>
          <w:szCs w:val="28"/>
          <w:lang w:val="en-US"/>
        </w:rPr>
        <w:t>HAS DRIVEN</w:t>
      </w:r>
      <w:r w:rsidR="005F60F3" w:rsidRPr="005F60F3">
        <w:rPr>
          <w:rFonts w:ascii="Palatino Linotype" w:hAnsi="Palatino Linotype" w:cstheme="minorHAnsi"/>
          <w:b/>
          <w:bCs/>
          <w:sz w:val="28"/>
          <w:szCs w:val="28"/>
          <w:lang w:val="en-US"/>
        </w:rPr>
        <w:t xml:space="preserve"> GROWTH</w:t>
      </w:r>
    </w:p>
    <w:p w14:paraId="428E7403" w14:textId="5CCAE4F1" w:rsidR="00D07713" w:rsidRPr="006679E6" w:rsidRDefault="00D07713" w:rsidP="004623F2">
      <w:pPr>
        <w:spacing w:line="288" w:lineRule="auto"/>
        <w:ind w:right="-319"/>
        <w:jc w:val="center"/>
        <w:outlineLvl w:val="0"/>
        <w:rPr>
          <w:rFonts w:ascii="Palatino Linotype" w:hAnsi="Palatino Linotype" w:cstheme="minorHAnsi"/>
          <w:lang w:val="en-US"/>
        </w:rPr>
      </w:pPr>
      <w:r w:rsidRPr="006679E6">
        <w:rPr>
          <w:rFonts w:ascii="Palatino Linotype" w:hAnsi="Palatino Linotype" w:cstheme="minorHAnsi"/>
          <w:b/>
          <w:bCs/>
          <w:sz w:val="22"/>
          <w:szCs w:val="22"/>
          <w:lang w:val="en-US"/>
        </w:rPr>
        <w:t xml:space="preserve">Ozan </w:t>
      </w:r>
      <w:proofErr w:type="spellStart"/>
      <w:r w:rsidRPr="006679E6">
        <w:rPr>
          <w:rFonts w:ascii="Palatino Linotype" w:hAnsi="Palatino Linotype" w:cstheme="minorHAnsi"/>
          <w:b/>
          <w:bCs/>
          <w:sz w:val="22"/>
          <w:szCs w:val="22"/>
          <w:lang w:val="en-US"/>
        </w:rPr>
        <w:t>Bakış</w:t>
      </w:r>
      <w:proofErr w:type="spellEnd"/>
      <w:r w:rsidR="00C32789" w:rsidRPr="006679E6">
        <w:rPr>
          <w:rStyle w:val="FootnoteReference"/>
          <w:rFonts w:ascii="Palatino Linotype" w:hAnsi="Palatino Linotype" w:cstheme="minorHAnsi"/>
          <w:b/>
          <w:bCs/>
          <w:sz w:val="22"/>
          <w:szCs w:val="22"/>
          <w:lang w:val="en-US"/>
        </w:rPr>
        <w:footnoteReference w:id="1"/>
      </w:r>
      <w:r w:rsidR="001537D8" w:rsidRPr="006679E6">
        <w:rPr>
          <w:rFonts w:ascii="Palatino Linotype" w:hAnsi="Palatino Linotype" w:cstheme="minorHAnsi"/>
          <w:b/>
          <w:bCs/>
          <w:sz w:val="22"/>
          <w:szCs w:val="22"/>
          <w:lang w:val="en-US"/>
        </w:rPr>
        <w:t xml:space="preserve"> </w:t>
      </w:r>
      <w:proofErr w:type="spellStart"/>
      <w:r w:rsidR="001537D8" w:rsidRPr="006679E6">
        <w:rPr>
          <w:rFonts w:ascii="Palatino Linotype" w:hAnsi="Palatino Linotype" w:cstheme="minorHAnsi"/>
          <w:b/>
          <w:bCs/>
          <w:sz w:val="22"/>
          <w:szCs w:val="22"/>
          <w:lang w:val="en-US"/>
        </w:rPr>
        <w:t>ve</w:t>
      </w:r>
      <w:proofErr w:type="spellEnd"/>
      <w:r w:rsidR="001537D8" w:rsidRPr="006679E6">
        <w:rPr>
          <w:rFonts w:ascii="Palatino Linotype" w:hAnsi="Palatino Linotype" w:cstheme="minorHAnsi"/>
          <w:b/>
          <w:bCs/>
          <w:sz w:val="22"/>
          <w:szCs w:val="22"/>
          <w:lang w:val="en-US"/>
        </w:rPr>
        <w:t xml:space="preserve"> </w:t>
      </w:r>
      <w:proofErr w:type="spellStart"/>
      <w:r w:rsidR="00A170FB">
        <w:rPr>
          <w:rFonts w:ascii="Palatino Linotype" w:hAnsi="Palatino Linotype" w:cstheme="minorHAnsi"/>
          <w:b/>
          <w:bCs/>
          <w:sz w:val="22"/>
          <w:szCs w:val="22"/>
          <w:lang w:val="en-US"/>
        </w:rPr>
        <w:t>Uğurcan</w:t>
      </w:r>
      <w:proofErr w:type="spellEnd"/>
      <w:r w:rsidR="00A170FB">
        <w:rPr>
          <w:rFonts w:ascii="Palatino Linotype" w:hAnsi="Palatino Linotype" w:cstheme="minorHAnsi"/>
          <w:b/>
          <w:bCs/>
          <w:sz w:val="22"/>
          <w:szCs w:val="22"/>
          <w:lang w:val="en-US"/>
        </w:rPr>
        <w:t xml:space="preserve"> Acar</w:t>
      </w:r>
      <w:r w:rsidR="001537D8" w:rsidRPr="006679E6">
        <w:rPr>
          <w:rStyle w:val="FootnoteReference"/>
          <w:rFonts w:ascii="Palatino Linotype" w:hAnsi="Palatino Linotype" w:cstheme="minorHAnsi"/>
          <w:b/>
          <w:bCs/>
          <w:sz w:val="22"/>
          <w:szCs w:val="22"/>
          <w:lang w:val="en-US"/>
        </w:rPr>
        <w:footnoteReference w:id="2"/>
      </w:r>
    </w:p>
    <w:p w14:paraId="6E057918" w14:textId="77777777" w:rsidR="00405BD8" w:rsidRPr="006679E6" w:rsidRDefault="00405BD8" w:rsidP="00751F72">
      <w:pPr>
        <w:jc w:val="center"/>
        <w:rPr>
          <w:rFonts w:ascii="Palatino Linotype" w:hAnsi="Palatino Linotype" w:cstheme="minorHAnsi"/>
          <w:b/>
          <w:sz w:val="22"/>
          <w:szCs w:val="22"/>
          <w:lang w:val="en-US"/>
        </w:rPr>
      </w:pPr>
    </w:p>
    <w:p w14:paraId="180703E7" w14:textId="7D3E7EF5" w:rsidR="00111CED" w:rsidRPr="006679E6" w:rsidRDefault="006679E6" w:rsidP="00405BD8">
      <w:pPr>
        <w:spacing w:line="360" w:lineRule="auto"/>
        <w:jc w:val="center"/>
        <w:rPr>
          <w:rFonts w:ascii="Palatino Linotype" w:hAnsi="Palatino Linotype" w:cstheme="minorHAnsi"/>
          <w:b/>
          <w:sz w:val="22"/>
          <w:szCs w:val="22"/>
          <w:lang w:val="en-US"/>
        </w:rPr>
      </w:pPr>
      <w:r>
        <w:rPr>
          <w:rFonts w:ascii="Palatino Linotype" w:hAnsi="Palatino Linotype" w:cstheme="minorHAnsi"/>
          <w:b/>
          <w:sz w:val="22"/>
          <w:szCs w:val="22"/>
          <w:lang w:val="en-US"/>
        </w:rPr>
        <w:t>Executive Summary</w:t>
      </w:r>
    </w:p>
    <w:bookmarkStart w:id="0" w:name="OLE_LINK5"/>
    <w:bookmarkStart w:id="1" w:name="OLE_LINK6"/>
    <w:p w14:paraId="66D287BC" w14:textId="6DEFE0B1" w:rsidR="000A770F" w:rsidRPr="001272BD" w:rsidRDefault="000A770F" w:rsidP="000A770F">
      <w:pPr>
        <w:spacing w:line="271" w:lineRule="auto"/>
        <w:ind w:left="567" w:right="567"/>
        <w:jc w:val="both"/>
        <w:rPr>
          <w:rFonts w:ascii="Palatino Linotype" w:hAnsi="Palatino Linotype" w:cstheme="minorHAnsi"/>
          <w:sz w:val="22"/>
          <w:szCs w:val="22"/>
          <w:lang w:val="en-US"/>
        </w:rPr>
      </w:pPr>
      <w:r>
        <w:rPr>
          <w:rFonts w:ascii="Palatino Linotype" w:hAnsi="Palatino Linotype" w:cstheme="minorHAnsi"/>
          <w:noProof/>
          <w:sz w:val="22"/>
          <w:szCs w:val="22"/>
          <w:lang w:val="en-GB" w:eastAsia="en-GB"/>
        </w:rPr>
        <w:drawing>
          <wp:anchor distT="0" distB="0" distL="114300" distR="114300" simplePos="0" relativeHeight="251660288" behindDoc="0" locked="0" layoutInCell="1" allowOverlap="1" wp14:anchorId="24B9D13C" wp14:editId="6EF0452A">
            <wp:simplePos x="0" y="0"/>
            <wp:positionH relativeFrom="column">
              <wp:posOffset>-261620</wp:posOffset>
            </wp:positionH>
            <wp:positionV relativeFrom="page">
              <wp:posOffset>4867275</wp:posOffset>
            </wp:positionV>
            <wp:extent cx="3067050" cy="21431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143125"/>
                    </a:xfrm>
                    <a:prstGeom prst="rect">
                      <a:avLst/>
                    </a:prstGeom>
                    <a:noFill/>
                  </pic:spPr>
                </pic:pic>
              </a:graphicData>
            </a:graphic>
            <wp14:sizeRelH relativeFrom="margin">
              <wp14:pctWidth>0</wp14:pctWidth>
            </wp14:sizeRelH>
          </wp:anchor>
        </w:drawing>
      </w:r>
      <w:r w:rsidR="002A69AD" w:rsidRPr="001272BD">
        <w:rPr>
          <w:rFonts w:ascii="Palatino Linotype" w:hAnsi="Palatino Linotype" w:cstheme="minorHAnsi"/>
          <w:sz w:val="22"/>
          <w:szCs w:val="22"/>
          <w:lang w:val="en-US"/>
        </w:rPr>
        <w:t xml:space="preserve">The Turkish economy has grown </w:t>
      </w:r>
      <w:r w:rsidR="00D200DB">
        <w:rPr>
          <w:rFonts w:ascii="Palatino Linotype" w:hAnsi="Palatino Linotype" w:cstheme="minorHAnsi"/>
          <w:sz w:val="22"/>
          <w:szCs w:val="22"/>
          <w:lang w:val="en-US"/>
        </w:rPr>
        <w:t>7</w:t>
      </w:r>
      <w:r w:rsidR="002A69AD" w:rsidRPr="001272BD">
        <w:rPr>
          <w:rFonts w:ascii="Palatino Linotype" w:hAnsi="Palatino Linotype" w:cstheme="minorHAnsi"/>
          <w:sz w:val="22"/>
          <w:szCs w:val="22"/>
          <w:lang w:val="en-US"/>
        </w:rPr>
        <w:t>.</w:t>
      </w:r>
      <w:r w:rsidR="00D200DB">
        <w:rPr>
          <w:rFonts w:ascii="Palatino Linotype" w:hAnsi="Palatino Linotype" w:cstheme="minorHAnsi"/>
          <w:sz w:val="22"/>
          <w:szCs w:val="22"/>
          <w:lang w:val="en-US"/>
        </w:rPr>
        <w:t>3</w:t>
      </w:r>
      <w:r w:rsidR="002A69AD" w:rsidRPr="001272BD">
        <w:rPr>
          <w:rFonts w:ascii="Palatino Linotype" w:hAnsi="Palatino Linotype" w:cstheme="minorHAnsi"/>
          <w:sz w:val="22"/>
          <w:szCs w:val="22"/>
          <w:lang w:val="en-US"/>
        </w:rPr>
        <w:t xml:space="preserve"> percent i</w:t>
      </w:r>
      <w:r w:rsidR="006679E6" w:rsidRPr="001272BD">
        <w:rPr>
          <w:rFonts w:ascii="Palatino Linotype" w:hAnsi="Palatino Linotype" w:cstheme="minorHAnsi"/>
          <w:sz w:val="22"/>
          <w:szCs w:val="22"/>
          <w:lang w:val="en-US"/>
        </w:rPr>
        <w:t xml:space="preserve">n the </w:t>
      </w:r>
      <w:r w:rsidR="00D200DB">
        <w:rPr>
          <w:rFonts w:ascii="Palatino Linotype" w:hAnsi="Palatino Linotype" w:cstheme="minorHAnsi"/>
          <w:sz w:val="22"/>
          <w:szCs w:val="22"/>
          <w:lang w:val="en-US"/>
        </w:rPr>
        <w:t>first</w:t>
      </w:r>
      <w:r w:rsidR="006679E6" w:rsidRPr="001272BD">
        <w:rPr>
          <w:rFonts w:ascii="Palatino Linotype" w:hAnsi="Palatino Linotype" w:cstheme="minorHAnsi"/>
          <w:sz w:val="22"/>
          <w:szCs w:val="22"/>
          <w:lang w:val="en-US"/>
        </w:rPr>
        <w:t xml:space="preserve"> quarter of 202</w:t>
      </w:r>
      <w:r w:rsidR="00D200DB">
        <w:rPr>
          <w:rFonts w:ascii="Palatino Linotype" w:hAnsi="Palatino Linotype" w:cstheme="minorHAnsi"/>
          <w:sz w:val="22"/>
          <w:szCs w:val="22"/>
          <w:lang w:val="en-US"/>
        </w:rPr>
        <w:t>2</w:t>
      </w:r>
      <w:r w:rsidR="002A69AD" w:rsidRPr="001272BD">
        <w:rPr>
          <w:rFonts w:ascii="Palatino Linotype" w:hAnsi="Palatino Linotype" w:cstheme="minorHAnsi"/>
          <w:sz w:val="22"/>
          <w:szCs w:val="22"/>
          <w:lang w:val="en-US"/>
        </w:rPr>
        <w:t xml:space="preserve">. </w:t>
      </w:r>
      <w:r w:rsidR="00D314F9" w:rsidRPr="001272BD">
        <w:rPr>
          <w:rFonts w:ascii="Palatino Linotype" w:hAnsi="Palatino Linotype" w:cstheme="minorHAnsi"/>
          <w:sz w:val="22"/>
          <w:szCs w:val="22"/>
          <w:lang w:val="en-US"/>
        </w:rPr>
        <w:t xml:space="preserve">The biggest contribution to the growth has come from </w:t>
      </w:r>
      <w:r w:rsidR="0086789C">
        <w:rPr>
          <w:rFonts w:ascii="Palatino Linotype" w:hAnsi="Palatino Linotype" w:cstheme="minorHAnsi"/>
          <w:sz w:val="22"/>
          <w:szCs w:val="22"/>
          <w:lang w:val="en-US"/>
        </w:rPr>
        <w:t>private</w:t>
      </w:r>
      <w:r w:rsidR="001B79D6">
        <w:rPr>
          <w:rFonts w:ascii="Palatino Linotype" w:hAnsi="Palatino Linotype" w:cstheme="minorHAnsi"/>
          <w:sz w:val="22"/>
          <w:szCs w:val="22"/>
          <w:lang w:val="en-US"/>
        </w:rPr>
        <w:t xml:space="preserve"> consumption</w:t>
      </w:r>
      <w:r w:rsidR="00D200DB">
        <w:rPr>
          <w:rFonts w:ascii="Palatino Linotype" w:hAnsi="Palatino Linotype" w:cstheme="minorHAnsi"/>
          <w:sz w:val="22"/>
          <w:szCs w:val="22"/>
          <w:lang w:val="en-US"/>
        </w:rPr>
        <w:t xml:space="preserve"> with 10.5 percentage points</w:t>
      </w:r>
      <w:r w:rsidR="00D314F9" w:rsidRPr="001272BD">
        <w:rPr>
          <w:rFonts w:ascii="Palatino Linotype" w:hAnsi="Palatino Linotype" w:cstheme="minorHAnsi"/>
          <w:sz w:val="22"/>
          <w:szCs w:val="22"/>
          <w:lang w:val="en-US"/>
        </w:rPr>
        <w:t xml:space="preserve">. </w:t>
      </w:r>
      <w:r w:rsidR="00D200DB">
        <w:rPr>
          <w:rFonts w:ascii="Palatino Linotype" w:hAnsi="Palatino Linotype" w:cstheme="minorHAnsi"/>
          <w:sz w:val="22"/>
          <w:szCs w:val="22"/>
          <w:lang w:val="en-US"/>
        </w:rPr>
        <w:t>The net foreign trade has contributed to the growth by 4.9 percentage points.</w:t>
      </w:r>
      <w:r w:rsidR="00E35120">
        <w:rPr>
          <w:rFonts w:ascii="Palatino Linotype" w:hAnsi="Palatino Linotype" w:cstheme="minorHAnsi"/>
          <w:sz w:val="22"/>
          <w:szCs w:val="22"/>
          <w:lang w:val="en-US"/>
        </w:rPr>
        <w:t xml:space="preserve"> </w:t>
      </w:r>
      <w:r w:rsidR="00D200DB" w:rsidRPr="00D200DB">
        <w:rPr>
          <w:rFonts w:ascii="Palatino Linotype" w:hAnsi="Palatino Linotype" w:cstheme="minorHAnsi"/>
          <w:sz w:val="22"/>
          <w:szCs w:val="22"/>
          <w:lang w:val="en-US"/>
        </w:rPr>
        <w:t>A</w:t>
      </w:r>
      <w:bookmarkStart w:id="2" w:name="_GoBack"/>
      <w:bookmarkEnd w:id="2"/>
      <w:r w:rsidR="00D200DB" w:rsidRPr="00D200DB">
        <w:rPr>
          <w:rFonts w:ascii="Palatino Linotype" w:hAnsi="Palatino Linotype" w:cstheme="minorHAnsi"/>
          <w:sz w:val="22"/>
          <w:szCs w:val="22"/>
          <w:lang w:val="en-US"/>
        </w:rPr>
        <w:t xml:space="preserve">ccording to the seasonally and calendar adjusted series, the GDP </w:t>
      </w:r>
      <w:r w:rsidR="00D200DB">
        <w:rPr>
          <w:rFonts w:ascii="Palatino Linotype" w:hAnsi="Palatino Linotype" w:cstheme="minorHAnsi"/>
          <w:sz w:val="22"/>
          <w:szCs w:val="22"/>
          <w:lang w:val="en-US"/>
        </w:rPr>
        <w:t xml:space="preserve">has </w:t>
      </w:r>
      <w:r w:rsidR="00D200DB" w:rsidRPr="00D200DB">
        <w:rPr>
          <w:rFonts w:ascii="Palatino Linotype" w:hAnsi="Palatino Linotype" w:cstheme="minorHAnsi"/>
          <w:sz w:val="22"/>
          <w:szCs w:val="22"/>
          <w:lang w:val="en-US"/>
        </w:rPr>
        <w:t>gr</w:t>
      </w:r>
      <w:r w:rsidR="00D200DB">
        <w:rPr>
          <w:rFonts w:ascii="Palatino Linotype" w:hAnsi="Palatino Linotype" w:cstheme="minorHAnsi"/>
          <w:sz w:val="22"/>
          <w:szCs w:val="22"/>
          <w:lang w:val="en-US"/>
        </w:rPr>
        <w:t>o</w:t>
      </w:r>
      <w:r w:rsidR="00D200DB" w:rsidRPr="00D200DB">
        <w:rPr>
          <w:rFonts w:ascii="Palatino Linotype" w:hAnsi="Palatino Linotype" w:cstheme="minorHAnsi"/>
          <w:sz w:val="22"/>
          <w:szCs w:val="22"/>
          <w:lang w:val="en-US"/>
        </w:rPr>
        <w:t>w</w:t>
      </w:r>
      <w:r w:rsidR="00D200DB">
        <w:rPr>
          <w:rFonts w:ascii="Palatino Linotype" w:hAnsi="Palatino Linotype" w:cstheme="minorHAnsi"/>
          <w:sz w:val="22"/>
          <w:szCs w:val="22"/>
          <w:lang w:val="en-US"/>
        </w:rPr>
        <w:t>n</w:t>
      </w:r>
      <w:r w:rsidR="00D200DB" w:rsidRPr="00D200DB">
        <w:rPr>
          <w:rFonts w:ascii="Palatino Linotype" w:hAnsi="Palatino Linotype" w:cstheme="minorHAnsi"/>
          <w:sz w:val="22"/>
          <w:szCs w:val="22"/>
          <w:lang w:val="en-US"/>
        </w:rPr>
        <w:t xml:space="preserve"> by 1.2 percent compared to the previous quarter with the contribution of stock changes and </w:t>
      </w:r>
      <w:r w:rsidR="00C50B4E">
        <w:rPr>
          <w:rFonts w:ascii="Palatino Linotype" w:hAnsi="Palatino Linotype" w:cstheme="minorHAnsi"/>
          <w:sz w:val="22"/>
          <w:szCs w:val="22"/>
          <w:lang w:val="en-US"/>
        </w:rPr>
        <w:t>imports</w:t>
      </w:r>
      <w:r w:rsidR="00D200DB">
        <w:rPr>
          <w:rFonts w:ascii="Palatino Linotype" w:hAnsi="Palatino Linotype" w:cstheme="minorHAnsi"/>
          <w:sz w:val="22"/>
          <w:szCs w:val="22"/>
          <w:lang w:val="en-US"/>
        </w:rPr>
        <w:t xml:space="preserve">. </w:t>
      </w:r>
      <w:r w:rsidR="00D200DB" w:rsidRPr="00D200DB">
        <w:rPr>
          <w:rFonts w:ascii="Palatino Linotype" w:hAnsi="Palatino Linotype" w:cstheme="minorHAnsi"/>
          <w:sz w:val="22"/>
          <w:szCs w:val="22"/>
          <w:lang w:val="en-US"/>
        </w:rPr>
        <w:t xml:space="preserve">Private consumption reduced quarterly growth by </w:t>
      </w:r>
      <w:r w:rsidR="00C50B4E">
        <w:rPr>
          <w:rFonts w:ascii="Palatino Linotype" w:hAnsi="Palatino Linotype" w:cstheme="minorHAnsi"/>
          <w:sz w:val="22"/>
          <w:szCs w:val="22"/>
          <w:lang w:val="en-US"/>
        </w:rPr>
        <w:t>two</w:t>
      </w:r>
      <w:r w:rsidR="00D200DB" w:rsidRPr="00D200DB">
        <w:rPr>
          <w:rFonts w:ascii="Palatino Linotype" w:hAnsi="Palatino Linotype" w:cstheme="minorHAnsi"/>
          <w:sz w:val="22"/>
          <w:szCs w:val="22"/>
          <w:lang w:val="en-US"/>
        </w:rPr>
        <w:t xml:space="preserve"> percentage points.</w:t>
      </w:r>
    </w:p>
    <w:p w14:paraId="0EFEC20B" w14:textId="703A598A" w:rsidR="000A770F" w:rsidRDefault="000A770F" w:rsidP="001272BD">
      <w:pPr>
        <w:ind w:left="567" w:right="567"/>
        <w:jc w:val="both"/>
        <w:rPr>
          <w:rFonts w:ascii="Palatino Linotype" w:hAnsi="Palatino Linotype" w:cstheme="minorHAnsi"/>
          <w:b/>
          <w:bCs/>
          <w:sz w:val="22"/>
          <w:szCs w:val="22"/>
          <w:lang w:val="en-US"/>
        </w:rPr>
      </w:pPr>
      <w:r>
        <w:rPr>
          <w:rFonts w:ascii="Palatino Linotype" w:hAnsi="Palatino Linotype" w:cstheme="minorHAnsi"/>
          <w:noProof/>
          <w:sz w:val="22"/>
          <w:szCs w:val="22"/>
          <w:lang w:val="en-GB" w:eastAsia="en-GB"/>
        </w:rPr>
        <w:drawing>
          <wp:anchor distT="0" distB="0" distL="114300" distR="114300" simplePos="0" relativeHeight="251661312" behindDoc="0" locked="0" layoutInCell="1" allowOverlap="1" wp14:anchorId="27A6A106" wp14:editId="45E8777A">
            <wp:simplePos x="0" y="0"/>
            <wp:positionH relativeFrom="column">
              <wp:posOffset>2853055</wp:posOffset>
            </wp:positionH>
            <wp:positionV relativeFrom="page">
              <wp:posOffset>4867275</wp:posOffset>
            </wp:positionV>
            <wp:extent cx="3276600" cy="21431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143125"/>
                    </a:xfrm>
                    <a:prstGeom prst="rect">
                      <a:avLst/>
                    </a:prstGeom>
                    <a:noFill/>
                  </pic:spPr>
                </pic:pic>
              </a:graphicData>
            </a:graphic>
            <wp14:sizeRelH relativeFrom="margin">
              <wp14:pctWidth>0</wp14:pctWidth>
            </wp14:sizeRelH>
            <wp14:sizeRelV relativeFrom="margin">
              <wp14:pctHeight>0</wp14:pctHeight>
            </wp14:sizeRelV>
          </wp:anchor>
        </w:drawing>
      </w:r>
    </w:p>
    <w:p w14:paraId="2927C201" w14:textId="77777777" w:rsidR="000A770F" w:rsidRDefault="000A770F" w:rsidP="001272BD">
      <w:pPr>
        <w:ind w:left="567" w:right="567"/>
        <w:jc w:val="both"/>
        <w:rPr>
          <w:rFonts w:ascii="Palatino Linotype" w:hAnsi="Palatino Linotype" w:cstheme="minorHAnsi"/>
          <w:b/>
          <w:bCs/>
          <w:sz w:val="22"/>
          <w:szCs w:val="22"/>
          <w:lang w:val="en-US"/>
        </w:rPr>
      </w:pPr>
    </w:p>
    <w:p w14:paraId="368B86F2" w14:textId="75C1D008" w:rsidR="001272BD" w:rsidRDefault="004D583E" w:rsidP="001272BD">
      <w:pPr>
        <w:ind w:left="567" w:right="56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Figure 1: Contributions to growth (left) and year-on-year growth rates (right) of GDP components in 202</w:t>
      </w:r>
      <w:r w:rsidR="00AF78D0">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bookmarkEnd w:id="0"/>
      <w:bookmarkEnd w:id="1"/>
      <w:r w:rsidR="00AF78D0">
        <w:rPr>
          <w:rFonts w:ascii="Palatino Linotype" w:hAnsi="Palatino Linotype" w:cstheme="minorHAnsi"/>
          <w:b/>
          <w:bCs/>
          <w:sz w:val="22"/>
          <w:szCs w:val="22"/>
          <w:lang w:val="en-US"/>
        </w:rPr>
        <w:t>1</w:t>
      </w:r>
    </w:p>
    <w:p w14:paraId="07FB53CB" w14:textId="343826CB" w:rsidR="006679E6" w:rsidRPr="001272BD" w:rsidRDefault="00E35120" w:rsidP="00E35120">
      <w:pPr>
        <w:ind w:right="567"/>
        <w:jc w:val="both"/>
        <w:rPr>
          <w:rFonts w:ascii="Palatino Linotype" w:hAnsi="Palatino Linotype" w:cstheme="minorHAnsi"/>
          <w:b/>
          <w:bCs/>
          <w:sz w:val="22"/>
          <w:szCs w:val="22"/>
          <w:lang w:val="en-US"/>
        </w:rPr>
      </w:pPr>
      <w:r>
        <w:rPr>
          <w:rFonts w:ascii="Palatino Linotype" w:hAnsi="Palatino Linotype" w:cstheme="minorHAnsi"/>
          <w:b/>
          <w:bCs/>
          <w:sz w:val="22"/>
          <w:szCs w:val="22"/>
          <w:lang w:val="en-US"/>
        </w:rPr>
        <w:t xml:space="preserve">          </w:t>
      </w:r>
      <w:r w:rsidR="006679E6" w:rsidRPr="00155A64">
        <w:rPr>
          <w:rFonts w:ascii="Palatino Linotype" w:hAnsi="Palatino Linotype" w:cstheme="minorHAnsi"/>
          <w:sz w:val="18"/>
          <w:szCs w:val="18"/>
          <w:lang w:val="en-US"/>
        </w:rPr>
        <w:t xml:space="preserve">Source: </w:t>
      </w:r>
      <w:proofErr w:type="spellStart"/>
      <w:r w:rsidR="006679E6" w:rsidRPr="00155A64">
        <w:rPr>
          <w:rFonts w:ascii="Palatino Linotype" w:hAnsi="Palatino Linotype" w:cstheme="minorHAnsi"/>
          <w:sz w:val="18"/>
          <w:szCs w:val="18"/>
          <w:lang w:val="en-US"/>
        </w:rPr>
        <w:t>TurkStat</w:t>
      </w:r>
      <w:proofErr w:type="spellEnd"/>
      <w:r w:rsidR="006679E6" w:rsidRPr="00155A64">
        <w:rPr>
          <w:rFonts w:ascii="Palatino Linotype" w:hAnsi="Palatino Linotype" w:cstheme="minorHAnsi"/>
          <w:sz w:val="18"/>
          <w:szCs w:val="18"/>
          <w:lang w:val="en-US"/>
        </w:rPr>
        <w:t xml:space="preserve">, </w:t>
      </w:r>
      <w:proofErr w:type="spellStart"/>
      <w:r w:rsidR="006679E6" w:rsidRPr="00155A64">
        <w:rPr>
          <w:rFonts w:ascii="Palatino Linotype" w:hAnsi="Palatino Linotype" w:cstheme="minorHAnsi"/>
          <w:sz w:val="18"/>
          <w:szCs w:val="18"/>
          <w:lang w:val="en-US"/>
        </w:rPr>
        <w:t>Betam</w:t>
      </w:r>
      <w:proofErr w:type="spellEnd"/>
      <w:r w:rsidR="006679E6" w:rsidRPr="00155A64">
        <w:rPr>
          <w:rFonts w:ascii="Palatino Linotype" w:hAnsi="Palatino Linotype" w:cstheme="minorHAnsi"/>
          <w:sz w:val="16"/>
          <w:szCs w:val="16"/>
          <w:lang w:val="en-US"/>
        </w:rPr>
        <w:t xml:space="preserve"> </w:t>
      </w:r>
    </w:p>
    <w:p w14:paraId="3DFCA132" w14:textId="3EA43FEB"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4199117A" w14:textId="2EDBD620"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47D5F64C" w14:textId="16F91E7C"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6E1327DA" w14:textId="77777777" w:rsidR="00C14FC9" w:rsidRDefault="00C14FC9"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737C7D9C" w14:textId="77777777"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526998E8" w14:textId="0ECCA728" w:rsidR="00006890" w:rsidRPr="00155A64" w:rsidRDefault="00AA75BD" w:rsidP="00006890">
      <w:pPr>
        <w:pStyle w:val="NormalWeb"/>
        <w:spacing w:before="0" w:beforeAutospacing="0" w:after="0" w:afterAutospacing="0" w:line="360" w:lineRule="auto"/>
        <w:ind w:right="77"/>
        <w:rPr>
          <w:rFonts w:ascii="Palatino Linotype" w:hAnsi="Palatino Linotype" w:cstheme="minorHAnsi"/>
          <w:b/>
          <w:bCs/>
          <w:color w:val="FF0000"/>
          <w:sz w:val="22"/>
          <w:szCs w:val="22"/>
          <w:lang w:val="en-US"/>
        </w:rPr>
      </w:pPr>
      <w:r>
        <w:rPr>
          <w:rFonts w:ascii="Palatino Linotype" w:hAnsi="Palatino Linotype" w:cstheme="minorHAnsi"/>
          <w:b/>
          <w:bCs/>
          <w:sz w:val="22"/>
          <w:szCs w:val="22"/>
          <w:lang w:val="en-US"/>
        </w:rPr>
        <w:lastRenderedPageBreak/>
        <w:t>A massive</w:t>
      </w:r>
      <w:r w:rsidR="00EB2B22">
        <w:rPr>
          <w:rFonts w:ascii="Palatino Linotype" w:hAnsi="Palatino Linotype" w:cstheme="minorHAnsi"/>
          <w:b/>
          <w:bCs/>
          <w:sz w:val="22"/>
          <w:szCs w:val="22"/>
          <w:lang w:val="en-US"/>
        </w:rPr>
        <w:t xml:space="preserve"> i</w:t>
      </w:r>
      <w:r w:rsidR="00006890">
        <w:rPr>
          <w:rFonts w:ascii="Palatino Linotype" w:hAnsi="Palatino Linotype" w:cstheme="minorHAnsi"/>
          <w:b/>
          <w:bCs/>
          <w:sz w:val="22"/>
          <w:szCs w:val="22"/>
          <w:lang w:val="en-US"/>
        </w:rPr>
        <w:t xml:space="preserve">ncrease in </w:t>
      </w:r>
      <w:r w:rsidR="00006890" w:rsidRPr="00ED431D">
        <w:rPr>
          <w:rFonts w:ascii="Palatino Linotype" w:hAnsi="Palatino Linotype" w:cstheme="minorHAnsi"/>
          <w:b/>
          <w:bCs/>
          <w:sz w:val="22"/>
          <w:szCs w:val="22"/>
          <w:lang w:val="en-US"/>
        </w:rPr>
        <w:t>private consumption</w:t>
      </w:r>
    </w:p>
    <w:p w14:paraId="376793DA" w14:textId="34AA5AD3" w:rsidR="0000013E" w:rsidRDefault="00EB2B22"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EB2B22">
        <w:rPr>
          <w:rFonts w:ascii="Palatino Linotype" w:hAnsi="Palatino Linotype" w:cstheme="minorHAnsi"/>
          <w:sz w:val="22"/>
          <w:szCs w:val="22"/>
          <w:lang w:val="en-US"/>
        </w:rPr>
        <w:t xml:space="preserve">In the </w:t>
      </w:r>
      <w:r w:rsidR="00AF78D0">
        <w:rPr>
          <w:rFonts w:ascii="Palatino Linotype" w:hAnsi="Palatino Linotype" w:cstheme="minorHAnsi"/>
          <w:sz w:val="22"/>
          <w:szCs w:val="22"/>
          <w:lang w:val="en-US"/>
        </w:rPr>
        <w:t>first</w:t>
      </w:r>
      <w:r w:rsidRPr="00EB2B22">
        <w:rPr>
          <w:rFonts w:ascii="Palatino Linotype" w:hAnsi="Palatino Linotype" w:cstheme="minorHAnsi"/>
          <w:sz w:val="22"/>
          <w:szCs w:val="22"/>
          <w:lang w:val="en-US"/>
        </w:rPr>
        <w:t xml:space="preserve"> quarter of 202</w:t>
      </w:r>
      <w:r w:rsidR="00AF78D0">
        <w:rPr>
          <w:rFonts w:ascii="Palatino Linotype" w:hAnsi="Palatino Linotype" w:cstheme="minorHAnsi"/>
          <w:sz w:val="22"/>
          <w:szCs w:val="22"/>
          <w:lang w:val="en-US"/>
        </w:rPr>
        <w:t>2</w:t>
      </w:r>
      <w:r w:rsidRPr="00EB2B22">
        <w:rPr>
          <w:rFonts w:ascii="Palatino Linotype" w:hAnsi="Palatino Linotype" w:cstheme="minorHAnsi"/>
          <w:sz w:val="22"/>
          <w:szCs w:val="22"/>
          <w:lang w:val="en-US"/>
        </w:rPr>
        <w:t xml:space="preserve">, private consumption increased by </w:t>
      </w:r>
      <w:r w:rsidR="00AF78D0">
        <w:rPr>
          <w:rFonts w:ascii="Palatino Linotype" w:hAnsi="Palatino Linotype" w:cstheme="minorHAnsi"/>
          <w:sz w:val="22"/>
          <w:szCs w:val="22"/>
          <w:lang w:val="en-US"/>
        </w:rPr>
        <w:t>19</w:t>
      </w:r>
      <w:r w:rsidRPr="00EB2B22">
        <w:rPr>
          <w:rFonts w:ascii="Palatino Linotype" w:hAnsi="Palatino Linotype" w:cstheme="minorHAnsi"/>
          <w:sz w:val="22"/>
          <w:szCs w:val="22"/>
          <w:lang w:val="en-US"/>
        </w:rPr>
        <w:t>.</w:t>
      </w:r>
      <w:r w:rsidR="00AF78D0">
        <w:rPr>
          <w:rFonts w:ascii="Palatino Linotype" w:hAnsi="Palatino Linotype" w:cstheme="minorHAnsi"/>
          <w:sz w:val="22"/>
          <w:szCs w:val="22"/>
          <w:lang w:val="en-US"/>
        </w:rPr>
        <w:t>5</w:t>
      </w:r>
      <w:r w:rsidRPr="00EB2B22">
        <w:rPr>
          <w:rFonts w:ascii="Palatino Linotype" w:hAnsi="Palatino Linotype" w:cstheme="minorHAnsi"/>
          <w:sz w:val="22"/>
          <w:szCs w:val="22"/>
          <w:lang w:val="en-US"/>
        </w:rPr>
        <w:t xml:space="preserve"> percent year on year, contributing 1</w:t>
      </w:r>
      <w:r w:rsidR="00AF78D0">
        <w:rPr>
          <w:rFonts w:ascii="Palatino Linotype" w:hAnsi="Palatino Linotype" w:cstheme="minorHAnsi"/>
          <w:sz w:val="22"/>
          <w:szCs w:val="22"/>
          <w:lang w:val="en-US"/>
        </w:rPr>
        <w:t>0</w:t>
      </w:r>
      <w:r w:rsidRPr="00EB2B22">
        <w:rPr>
          <w:rFonts w:ascii="Palatino Linotype" w:hAnsi="Palatino Linotype" w:cstheme="minorHAnsi"/>
          <w:sz w:val="22"/>
          <w:szCs w:val="22"/>
          <w:lang w:val="en-US"/>
        </w:rPr>
        <w:t>.</w:t>
      </w:r>
      <w:r w:rsidR="00AF78D0">
        <w:rPr>
          <w:rFonts w:ascii="Palatino Linotype" w:hAnsi="Palatino Linotype" w:cstheme="minorHAnsi"/>
          <w:sz w:val="22"/>
          <w:szCs w:val="22"/>
          <w:lang w:val="en-US"/>
        </w:rPr>
        <w:t>5</w:t>
      </w:r>
      <w:r w:rsidRPr="00EB2B22">
        <w:rPr>
          <w:rFonts w:ascii="Palatino Linotype" w:hAnsi="Palatino Linotype" w:cstheme="minorHAnsi"/>
          <w:sz w:val="22"/>
          <w:szCs w:val="22"/>
          <w:lang w:val="en-US"/>
        </w:rPr>
        <w:t xml:space="preserve"> percentage points to growth (Table 1). </w:t>
      </w:r>
      <w:r w:rsidR="00C50B4E" w:rsidRPr="00C50B4E">
        <w:rPr>
          <w:rFonts w:ascii="Palatino Linotype" w:hAnsi="Palatino Linotype" w:cstheme="minorHAnsi"/>
          <w:sz w:val="22"/>
          <w:szCs w:val="22"/>
          <w:lang w:val="en-US"/>
        </w:rPr>
        <w:t xml:space="preserve">The opposite is </w:t>
      </w:r>
      <w:r w:rsidR="0086789C">
        <w:rPr>
          <w:rFonts w:ascii="Palatino Linotype" w:hAnsi="Palatino Linotype" w:cstheme="minorHAnsi"/>
          <w:sz w:val="22"/>
          <w:szCs w:val="22"/>
          <w:lang w:val="en-US"/>
        </w:rPr>
        <w:t xml:space="preserve">observed in </w:t>
      </w:r>
      <w:r w:rsidR="00C50B4E" w:rsidRPr="00C50B4E">
        <w:rPr>
          <w:rFonts w:ascii="Palatino Linotype" w:hAnsi="Palatino Linotype" w:cstheme="minorHAnsi"/>
          <w:sz w:val="22"/>
          <w:szCs w:val="22"/>
          <w:lang w:val="en-US"/>
        </w:rPr>
        <w:t xml:space="preserve">the case </w:t>
      </w:r>
      <w:r w:rsidR="0086789C">
        <w:rPr>
          <w:rFonts w:ascii="Palatino Linotype" w:hAnsi="Palatino Linotype" w:cstheme="minorHAnsi"/>
          <w:sz w:val="22"/>
          <w:szCs w:val="22"/>
          <w:lang w:val="en-US"/>
        </w:rPr>
        <w:t>of</w:t>
      </w:r>
      <w:r w:rsidR="00C50B4E" w:rsidRPr="00C50B4E">
        <w:rPr>
          <w:rFonts w:ascii="Palatino Linotype" w:hAnsi="Palatino Linotype" w:cstheme="minorHAnsi"/>
          <w:sz w:val="22"/>
          <w:szCs w:val="22"/>
          <w:lang w:val="en-US"/>
        </w:rPr>
        <w:t xml:space="preserve"> </w:t>
      </w:r>
      <w:r w:rsidR="0086789C">
        <w:rPr>
          <w:rFonts w:ascii="Palatino Linotype" w:hAnsi="Palatino Linotype" w:cstheme="minorHAnsi"/>
          <w:sz w:val="22"/>
          <w:szCs w:val="22"/>
          <w:lang w:val="en-US"/>
        </w:rPr>
        <w:t>figures</w:t>
      </w:r>
      <w:r w:rsidR="00C50B4E" w:rsidRPr="00C50B4E">
        <w:rPr>
          <w:rFonts w:ascii="Palatino Linotype" w:hAnsi="Palatino Linotype" w:cstheme="minorHAnsi"/>
          <w:sz w:val="22"/>
          <w:szCs w:val="22"/>
          <w:lang w:val="en-US"/>
        </w:rPr>
        <w:t xml:space="preserve"> adjusted for seasonal and calendar effects</w:t>
      </w:r>
      <w:r w:rsidR="00AF78D0" w:rsidRPr="00AF78D0">
        <w:rPr>
          <w:rFonts w:ascii="Palatino Linotype" w:hAnsi="Palatino Linotype" w:cstheme="minorHAnsi"/>
          <w:sz w:val="22"/>
          <w:szCs w:val="22"/>
          <w:lang w:val="en-US"/>
        </w:rPr>
        <w:t>. Private consumption decreased by 2.8 percent, pulling gro</w:t>
      </w:r>
      <w:r w:rsidR="00AF78D0">
        <w:rPr>
          <w:rFonts w:ascii="Palatino Linotype" w:hAnsi="Palatino Linotype" w:cstheme="minorHAnsi"/>
          <w:sz w:val="22"/>
          <w:szCs w:val="22"/>
          <w:lang w:val="en-US"/>
        </w:rPr>
        <w:t xml:space="preserve">wth down by </w:t>
      </w:r>
      <w:r w:rsidR="00C50B4E">
        <w:rPr>
          <w:rFonts w:ascii="Palatino Linotype" w:hAnsi="Palatino Linotype" w:cstheme="minorHAnsi"/>
          <w:sz w:val="22"/>
          <w:szCs w:val="22"/>
          <w:lang w:val="en-US"/>
        </w:rPr>
        <w:t>two</w:t>
      </w:r>
      <w:r w:rsidR="00AF78D0">
        <w:rPr>
          <w:rFonts w:ascii="Palatino Linotype" w:hAnsi="Palatino Linotype" w:cstheme="minorHAnsi"/>
          <w:sz w:val="22"/>
          <w:szCs w:val="22"/>
          <w:lang w:val="en-US"/>
        </w:rPr>
        <w:t xml:space="preserve"> percentage points</w:t>
      </w:r>
      <w:r w:rsidRPr="00EB2B22">
        <w:rPr>
          <w:rFonts w:ascii="Palatino Linotype" w:hAnsi="Palatino Linotype" w:cstheme="minorHAnsi"/>
          <w:sz w:val="22"/>
          <w:szCs w:val="22"/>
          <w:lang w:val="en-US"/>
        </w:rPr>
        <w:t xml:space="preserve"> (Table 2).</w:t>
      </w:r>
    </w:p>
    <w:p w14:paraId="248A4A91" w14:textId="77777777" w:rsidR="00EB2B22" w:rsidRPr="006679E6" w:rsidRDefault="00EB2B22"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p>
    <w:p w14:paraId="47596A1C" w14:textId="1442E615" w:rsidR="00006890" w:rsidRDefault="00006890" w:rsidP="00006890">
      <w:pPr>
        <w:keepNext/>
        <w:ind w:right="79"/>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1: Growth rates and contributions to the </w:t>
      </w:r>
      <w:r w:rsidR="00325894">
        <w:rPr>
          <w:rFonts w:ascii="Palatino Linotype" w:hAnsi="Palatino Linotype" w:cstheme="minorHAnsi"/>
          <w:b/>
          <w:bCs/>
          <w:sz w:val="22"/>
          <w:szCs w:val="22"/>
          <w:lang w:val="en-US"/>
        </w:rPr>
        <w:t>growth of GDP components in 2021</w:t>
      </w:r>
      <w:r w:rsidRPr="00155A64">
        <w:rPr>
          <w:rFonts w:ascii="Palatino Linotype" w:hAnsi="Palatino Linotype" w:cstheme="minorHAnsi"/>
          <w:b/>
          <w:bCs/>
          <w:sz w:val="22"/>
          <w:szCs w:val="22"/>
          <w:lang w:val="en-US"/>
        </w:rPr>
        <w:t xml:space="preserve"> Q</w:t>
      </w:r>
      <w:r w:rsidR="00AF78D0">
        <w:rPr>
          <w:rFonts w:ascii="Palatino Linotype" w:hAnsi="Palatino Linotype" w:cstheme="minorHAnsi"/>
          <w:b/>
          <w:bCs/>
          <w:sz w:val="22"/>
          <w:szCs w:val="22"/>
          <w:lang w:val="en-US"/>
        </w:rPr>
        <w:t>4</w:t>
      </w:r>
      <w:r w:rsidRPr="00155A64">
        <w:rPr>
          <w:rFonts w:ascii="Palatino Linotype" w:hAnsi="Palatino Linotype" w:cstheme="minorHAnsi"/>
          <w:b/>
          <w:bCs/>
          <w:sz w:val="22"/>
          <w:szCs w:val="22"/>
          <w:lang w:val="en-US"/>
        </w:rPr>
        <w:t xml:space="preserve"> and 202</w:t>
      </w:r>
      <w:r w:rsidR="00AF78D0">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r w:rsidR="00AF78D0">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compared to the same quarter of the previous year</w:t>
      </w:r>
    </w:p>
    <w:tbl>
      <w:tblPr>
        <w:tblW w:w="8120" w:type="dxa"/>
        <w:tblLook w:val="04A0" w:firstRow="1" w:lastRow="0" w:firstColumn="1" w:lastColumn="0" w:noHBand="0" w:noVBand="1"/>
      </w:tblPr>
      <w:tblGrid>
        <w:gridCol w:w="1980"/>
        <w:gridCol w:w="1252"/>
        <w:gridCol w:w="1828"/>
        <w:gridCol w:w="1243"/>
        <w:gridCol w:w="1817"/>
      </w:tblGrid>
      <w:tr w:rsidR="00AF78D0" w:rsidRPr="00AF78D0" w14:paraId="27EFDB3C" w14:textId="77777777" w:rsidTr="00AF78D0">
        <w:trPr>
          <w:trHeight w:val="282"/>
        </w:trPr>
        <w:tc>
          <w:tcPr>
            <w:tcW w:w="1980" w:type="dxa"/>
            <w:tcBorders>
              <w:top w:val="nil"/>
              <w:left w:val="nil"/>
              <w:bottom w:val="nil"/>
              <w:right w:val="nil"/>
            </w:tcBorders>
            <w:shd w:val="clear" w:color="000000" w:fill="FFFFFF"/>
            <w:noWrap/>
            <w:vAlign w:val="bottom"/>
            <w:hideMark/>
          </w:tcPr>
          <w:p w14:paraId="39A7A4F1"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F6F7D4D"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2021Q4</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326F0C8"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2022Q1</w:t>
            </w:r>
          </w:p>
        </w:tc>
      </w:tr>
      <w:tr w:rsidR="00AF78D0" w:rsidRPr="00AF78D0" w14:paraId="293E9E03" w14:textId="77777777" w:rsidTr="00AF78D0">
        <w:trPr>
          <w:trHeight w:val="282"/>
        </w:trPr>
        <w:tc>
          <w:tcPr>
            <w:tcW w:w="1980" w:type="dxa"/>
            <w:tcBorders>
              <w:top w:val="nil"/>
              <w:left w:val="nil"/>
              <w:bottom w:val="nil"/>
              <w:right w:val="nil"/>
            </w:tcBorders>
            <w:shd w:val="clear" w:color="000000" w:fill="FFFFFF"/>
            <w:noWrap/>
            <w:vAlign w:val="bottom"/>
            <w:hideMark/>
          </w:tcPr>
          <w:p w14:paraId="37BA5793"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 </w:t>
            </w:r>
          </w:p>
        </w:tc>
        <w:tc>
          <w:tcPr>
            <w:tcW w:w="1252" w:type="dxa"/>
            <w:tcBorders>
              <w:top w:val="nil"/>
              <w:left w:val="single" w:sz="4" w:space="0" w:color="auto"/>
              <w:bottom w:val="single" w:sz="4" w:space="0" w:color="auto"/>
              <w:right w:val="nil"/>
            </w:tcBorders>
            <w:shd w:val="clear" w:color="000000" w:fill="FFFFFF"/>
            <w:noWrap/>
            <w:vAlign w:val="bottom"/>
            <w:hideMark/>
          </w:tcPr>
          <w:p w14:paraId="02BE86E3"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Change (%)</w:t>
            </w:r>
          </w:p>
        </w:tc>
        <w:tc>
          <w:tcPr>
            <w:tcW w:w="1828" w:type="dxa"/>
            <w:tcBorders>
              <w:top w:val="nil"/>
              <w:left w:val="nil"/>
              <w:bottom w:val="nil"/>
              <w:right w:val="single" w:sz="4" w:space="0" w:color="auto"/>
            </w:tcBorders>
            <w:shd w:val="clear" w:color="000000" w:fill="FFFFFF"/>
            <w:noWrap/>
            <w:vAlign w:val="bottom"/>
            <w:hideMark/>
          </w:tcPr>
          <w:p w14:paraId="624955D4"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Contribution (%)</w:t>
            </w:r>
          </w:p>
        </w:tc>
        <w:tc>
          <w:tcPr>
            <w:tcW w:w="1243" w:type="dxa"/>
            <w:tcBorders>
              <w:top w:val="nil"/>
              <w:left w:val="nil"/>
              <w:bottom w:val="nil"/>
              <w:right w:val="nil"/>
            </w:tcBorders>
            <w:shd w:val="clear" w:color="000000" w:fill="FFFFFF"/>
            <w:noWrap/>
            <w:vAlign w:val="bottom"/>
            <w:hideMark/>
          </w:tcPr>
          <w:p w14:paraId="326E9C08"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Change (%)</w:t>
            </w:r>
          </w:p>
        </w:tc>
        <w:tc>
          <w:tcPr>
            <w:tcW w:w="1817" w:type="dxa"/>
            <w:tcBorders>
              <w:top w:val="nil"/>
              <w:left w:val="nil"/>
              <w:bottom w:val="nil"/>
              <w:right w:val="single" w:sz="4" w:space="0" w:color="auto"/>
            </w:tcBorders>
            <w:shd w:val="clear" w:color="000000" w:fill="FFFFFF"/>
            <w:noWrap/>
            <w:vAlign w:val="bottom"/>
            <w:hideMark/>
          </w:tcPr>
          <w:p w14:paraId="5864AC9B"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Contribution (%)</w:t>
            </w:r>
          </w:p>
        </w:tc>
      </w:tr>
      <w:tr w:rsidR="00AF78D0" w:rsidRPr="00AF78D0" w14:paraId="25CAD888" w14:textId="77777777" w:rsidTr="00AF78D0">
        <w:trPr>
          <w:trHeight w:val="282"/>
        </w:trPr>
        <w:tc>
          <w:tcPr>
            <w:tcW w:w="1980" w:type="dxa"/>
            <w:tcBorders>
              <w:top w:val="single" w:sz="4" w:space="0" w:color="auto"/>
              <w:left w:val="nil"/>
              <w:bottom w:val="nil"/>
              <w:right w:val="nil"/>
            </w:tcBorders>
            <w:shd w:val="clear" w:color="000000" w:fill="FFFFFF"/>
            <w:noWrap/>
            <w:vAlign w:val="bottom"/>
            <w:hideMark/>
          </w:tcPr>
          <w:p w14:paraId="62409B8D"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Consumption</w:t>
            </w:r>
          </w:p>
        </w:tc>
        <w:tc>
          <w:tcPr>
            <w:tcW w:w="1252" w:type="dxa"/>
            <w:tcBorders>
              <w:top w:val="nil"/>
              <w:left w:val="single" w:sz="4" w:space="0" w:color="auto"/>
              <w:bottom w:val="nil"/>
              <w:right w:val="nil"/>
            </w:tcBorders>
            <w:shd w:val="clear" w:color="000000" w:fill="FFFFFF"/>
            <w:noWrap/>
            <w:vAlign w:val="bottom"/>
            <w:hideMark/>
          </w:tcPr>
          <w:p w14:paraId="639C4E7B"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21.4</w:t>
            </w:r>
          </w:p>
        </w:tc>
        <w:tc>
          <w:tcPr>
            <w:tcW w:w="1828" w:type="dxa"/>
            <w:tcBorders>
              <w:top w:val="single" w:sz="4" w:space="0" w:color="auto"/>
              <w:left w:val="nil"/>
              <w:bottom w:val="nil"/>
              <w:right w:val="single" w:sz="4" w:space="0" w:color="auto"/>
            </w:tcBorders>
            <w:shd w:val="clear" w:color="000000" w:fill="FFFFFF"/>
            <w:noWrap/>
            <w:vAlign w:val="bottom"/>
            <w:hideMark/>
          </w:tcPr>
          <w:p w14:paraId="7E7BB1DA"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11.9</w:t>
            </w:r>
          </w:p>
        </w:tc>
        <w:tc>
          <w:tcPr>
            <w:tcW w:w="1243" w:type="dxa"/>
            <w:tcBorders>
              <w:top w:val="single" w:sz="4" w:space="0" w:color="auto"/>
              <w:left w:val="nil"/>
              <w:bottom w:val="nil"/>
              <w:right w:val="nil"/>
            </w:tcBorders>
            <w:shd w:val="clear" w:color="000000" w:fill="FFFFFF"/>
            <w:noWrap/>
            <w:vAlign w:val="bottom"/>
            <w:hideMark/>
          </w:tcPr>
          <w:p w14:paraId="6A62EAFC"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19.5</w:t>
            </w:r>
          </w:p>
        </w:tc>
        <w:tc>
          <w:tcPr>
            <w:tcW w:w="1817" w:type="dxa"/>
            <w:tcBorders>
              <w:top w:val="single" w:sz="4" w:space="0" w:color="auto"/>
              <w:left w:val="nil"/>
              <w:bottom w:val="nil"/>
              <w:right w:val="single" w:sz="4" w:space="0" w:color="auto"/>
            </w:tcBorders>
            <w:shd w:val="clear" w:color="000000" w:fill="FFFFFF"/>
            <w:noWrap/>
            <w:vAlign w:val="bottom"/>
            <w:hideMark/>
          </w:tcPr>
          <w:p w14:paraId="6FDDA9E0"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10.5</w:t>
            </w:r>
          </w:p>
        </w:tc>
      </w:tr>
      <w:tr w:rsidR="00AF78D0" w:rsidRPr="00AF78D0" w14:paraId="0A0C05E1" w14:textId="77777777" w:rsidTr="00AF78D0">
        <w:trPr>
          <w:trHeight w:val="282"/>
        </w:trPr>
        <w:tc>
          <w:tcPr>
            <w:tcW w:w="1980" w:type="dxa"/>
            <w:tcBorders>
              <w:top w:val="nil"/>
              <w:left w:val="nil"/>
              <w:bottom w:val="nil"/>
              <w:right w:val="nil"/>
            </w:tcBorders>
            <w:shd w:val="clear" w:color="000000" w:fill="FFFFFF"/>
            <w:noWrap/>
            <w:vAlign w:val="bottom"/>
            <w:hideMark/>
          </w:tcPr>
          <w:p w14:paraId="71E1B172"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Government Spending</w:t>
            </w:r>
          </w:p>
        </w:tc>
        <w:tc>
          <w:tcPr>
            <w:tcW w:w="1252" w:type="dxa"/>
            <w:tcBorders>
              <w:top w:val="nil"/>
              <w:left w:val="single" w:sz="4" w:space="0" w:color="auto"/>
              <w:bottom w:val="nil"/>
              <w:right w:val="nil"/>
            </w:tcBorders>
            <w:shd w:val="clear" w:color="000000" w:fill="FFFFFF"/>
            <w:noWrap/>
            <w:vAlign w:val="bottom"/>
            <w:hideMark/>
          </w:tcPr>
          <w:p w14:paraId="7A614CA9"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-1.9</w:t>
            </w:r>
          </w:p>
        </w:tc>
        <w:tc>
          <w:tcPr>
            <w:tcW w:w="1828" w:type="dxa"/>
            <w:tcBorders>
              <w:top w:val="nil"/>
              <w:left w:val="nil"/>
              <w:bottom w:val="nil"/>
              <w:right w:val="single" w:sz="4" w:space="0" w:color="auto"/>
            </w:tcBorders>
            <w:shd w:val="clear" w:color="000000" w:fill="FFFFFF"/>
            <w:noWrap/>
            <w:vAlign w:val="bottom"/>
            <w:hideMark/>
          </w:tcPr>
          <w:p w14:paraId="01C6DF1E"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-0.3</w:t>
            </w:r>
          </w:p>
        </w:tc>
        <w:tc>
          <w:tcPr>
            <w:tcW w:w="1243" w:type="dxa"/>
            <w:tcBorders>
              <w:top w:val="nil"/>
              <w:left w:val="nil"/>
              <w:bottom w:val="nil"/>
              <w:right w:val="nil"/>
            </w:tcBorders>
            <w:shd w:val="clear" w:color="000000" w:fill="FFFFFF"/>
            <w:noWrap/>
            <w:vAlign w:val="bottom"/>
            <w:hideMark/>
          </w:tcPr>
          <w:p w14:paraId="456A2EC8"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0.9</w:t>
            </w:r>
          </w:p>
        </w:tc>
        <w:tc>
          <w:tcPr>
            <w:tcW w:w="1817" w:type="dxa"/>
            <w:tcBorders>
              <w:top w:val="nil"/>
              <w:left w:val="nil"/>
              <w:bottom w:val="nil"/>
              <w:right w:val="single" w:sz="4" w:space="0" w:color="auto"/>
            </w:tcBorders>
            <w:shd w:val="clear" w:color="000000" w:fill="FFFFFF"/>
            <w:noWrap/>
            <w:vAlign w:val="bottom"/>
            <w:hideMark/>
          </w:tcPr>
          <w:p w14:paraId="159180EF"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0.1</w:t>
            </w:r>
          </w:p>
        </w:tc>
      </w:tr>
      <w:tr w:rsidR="00AF78D0" w:rsidRPr="00AF78D0" w14:paraId="1B32C703" w14:textId="77777777" w:rsidTr="00AF78D0">
        <w:trPr>
          <w:trHeight w:val="282"/>
        </w:trPr>
        <w:tc>
          <w:tcPr>
            <w:tcW w:w="1980" w:type="dxa"/>
            <w:tcBorders>
              <w:top w:val="nil"/>
              <w:left w:val="nil"/>
              <w:bottom w:val="nil"/>
              <w:right w:val="nil"/>
            </w:tcBorders>
            <w:shd w:val="clear" w:color="000000" w:fill="FFFFFF"/>
            <w:noWrap/>
            <w:vAlign w:val="bottom"/>
            <w:hideMark/>
          </w:tcPr>
          <w:p w14:paraId="0A4A2CEF"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Investment</w:t>
            </w:r>
          </w:p>
        </w:tc>
        <w:tc>
          <w:tcPr>
            <w:tcW w:w="1252" w:type="dxa"/>
            <w:tcBorders>
              <w:top w:val="nil"/>
              <w:left w:val="single" w:sz="4" w:space="0" w:color="auto"/>
              <w:bottom w:val="nil"/>
              <w:right w:val="nil"/>
            </w:tcBorders>
            <w:shd w:val="clear" w:color="000000" w:fill="FFFFFF"/>
            <w:noWrap/>
            <w:vAlign w:val="bottom"/>
            <w:hideMark/>
          </w:tcPr>
          <w:p w14:paraId="5AAA7609"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-0.8</w:t>
            </w:r>
          </w:p>
        </w:tc>
        <w:tc>
          <w:tcPr>
            <w:tcW w:w="1828" w:type="dxa"/>
            <w:tcBorders>
              <w:top w:val="nil"/>
              <w:left w:val="nil"/>
              <w:bottom w:val="nil"/>
              <w:right w:val="single" w:sz="4" w:space="0" w:color="auto"/>
            </w:tcBorders>
            <w:shd w:val="clear" w:color="000000" w:fill="FFFFFF"/>
            <w:noWrap/>
            <w:vAlign w:val="bottom"/>
            <w:hideMark/>
          </w:tcPr>
          <w:p w14:paraId="587F0D5C"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-0.2</w:t>
            </w:r>
          </w:p>
        </w:tc>
        <w:tc>
          <w:tcPr>
            <w:tcW w:w="1243" w:type="dxa"/>
            <w:tcBorders>
              <w:top w:val="nil"/>
              <w:left w:val="nil"/>
              <w:bottom w:val="nil"/>
              <w:right w:val="nil"/>
            </w:tcBorders>
            <w:shd w:val="clear" w:color="000000" w:fill="FFFFFF"/>
            <w:noWrap/>
            <w:vAlign w:val="bottom"/>
            <w:hideMark/>
          </w:tcPr>
          <w:p w14:paraId="1D307750"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1.1</w:t>
            </w:r>
          </w:p>
        </w:tc>
        <w:tc>
          <w:tcPr>
            <w:tcW w:w="1817" w:type="dxa"/>
            <w:tcBorders>
              <w:top w:val="nil"/>
              <w:left w:val="nil"/>
              <w:bottom w:val="nil"/>
              <w:right w:val="single" w:sz="4" w:space="0" w:color="auto"/>
            </w:tcBorders>
            <w:shd w:val="clear" w:color="000000" w:fill="FFFFFF"/>
            <w:noWrap/>
            <w:vAlign w:val="bottom"/>
            <w:hideMark/>
          </w:tcPr>
          <w:p w14:paraId="675DF953"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0.4</w:t>
            </w:r>
          </w:p>
        </w:tc>
      </w:tr>
      <w:tr w:rsidR="00AF78D0" w:rsidRPr="00AF78D0" w14:paraId="22985F94" w14:textId="77777777" w:rsidTr="00AF78D0">
        <w:trPr>
          <w:trHeight w:val="282"/>
        </w:trPr>
        <w:tc>
          <w:tcPr>
            <w:tcW w:w="1980" w:type="dxa"/>
            <w:tcBorders>
              <w:top w:val="nil"/>
              <w:left w:val="nil"/>
              <w:bottom w:val="nil"/>
              <w:right w:val="nil"/>
            </w:tcBorders>
            <w:shd w:val="clear" w:color="000000" w:fill="FFFFFF"/>
            <w:noWrap/>
            <w:vAlign w:val="bottom"/>
            <w:hideMark/>
          </w:tcPr>
          <w:p w14:paraId="06097A1C"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Change in Inventories</w:t>
            </w:r>
          </w:p>
        </w:tc>
        <w:tc>
          <w:tcPr>
            <w:tcW w:w="1252" w:type="dxa"/>
            <w:tcBorders>
              <w:top w:val="nil"/>
              <w:left w:val="single" w:sz="4" w:space="0" w:color="auto"/>
              <w:bottom w:val="nil"/>
              <w:right w:val="nil"/>
            </w:tcBorders>
            <w:shd w:val="clear" w:color="000000" w:fill="FFFFFF"/>
            <w:noWrap/>
            <w:vAlign w:val="bottom"/>
            <w:hideMark/>
          </w:tcPr>
          <w:p w14:paraId="349E4A9B"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 </w:t>
            </w:r>
          </w:p>
        </w:tc>
        <w:tc>
          <w:tcPr>
            <w:tcW w:w="1828" w:type="dxa"/>
            <w:tcBorders>
              <w:top w:val="nil"/>
              <w:left w:val="nil"/>
              <w:bottom w:val="nil"/>
              <w:right w:val="single" w:sz="4" w:space="0" w:color="auto"/>
            </w:tcBorders>
            <w:shd w:val="clear" w:color="000000" w:fill="FFFFFF"/>
            <w:noWrap/>
            <w:vAlign w:val="bottom"/>
            <w:hideMark/>
          </w:tcPr>
          <w:p w14:paraId="37A0EC42"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-7.8</w:t>
            </w:r>
          </w:p>
        </w:tc>
        <w:tc>
          <w:tcPr>
            <w:tcW w:w="1243" w:type="dxa"/>
            <w:tcBorders>
              <w:top w:val="nil"/>
              <w:left w:val="nil"/>
              <w:bottom w:val="nil"/>
              <w:right w:val="nil"/>
            </w:tcBorders>
            <w:shd w:val="clear" w:color="000000" w:fill="FFFFFF"/>
            <w:noWrap/>
            <w:vAlign w:val="bottom"/>
            <w:hideMark/>
          </w:tcPr>
          <w:p w14:paraId="3394728C"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 </w:t>
            </w:r>
          </w:p>
        </w:tc>
        <w:tc>
          <w:tcPr>
            <w:tcW w:w="1817" w:type="dxa"/>
            <w:tcBorders>
              <w:top w:val="nil"/>
              <w:left w:val="nil"/>
              <w:bottom w:val="nil"/>
              <w:right w:val="single" w:sz="4" w:space="0" w:color="auto"/>
            </w:tcBorders>
            <w:shd w:val="clear" w:color="000000" w:fill="FFFFFF"/>
            <w:noWrap/>
            <w:vAlign w:val="bottom"/>
            <w:hideMark/>
          </w:tcPr>
          <w:p w14:paraId="60FB4524"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-8.6</w:t>
            </w:r>
          </w:p>
        </w:tc>
      </w:tr>
      <w:tr w:rsidR="00AF78D0" w:rsidRPr="00AF78D0" w14:paraId="12A9A67B" w14:textId="77777777" w:rsidTr="00AF78D0">
        <w:trPr>
          <w:trHeight w:val="282"/>
        </w:trPr>
        <w:tc>
          <w:tcPr>
            <w:tcW w:w="1980" w:type="dxa"/>
            <w:tcBorders>
              <w:top w:val="nil"/>
              <w:left w:val="nil"/>
              <w:bottom w:val="nil"/>
              <w:right w:val="nil"/>
            </w:tcBorders>
            <w:shd w:val="clear" w:color="000000" w:fill="FFFFFF"/>
            <w:noWrap/>
            <w:vAlign w:val="bottom"/>
            <w:hideMark/>
          </w:tcPr>
          <w:p w14:paraId="4A978103"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Export</w:t>
            </w:r>
          </w:p>
        </w:tc>
        <w:tc>
          <w:tcPr>
            <w:tcW w:w="1252" w:type="dxa"/>
            <w:tcBorders>
              <w:top w:val="nil"/>
              <w:left w:val="single" w:sz="4" w:space="0" w:color="auto"/>
              <w:bottom w:val="nil"/>
              <w:right w:val="nil"/>
            </w:tcBorders>
            <w:shd w:val="clear" w:color="000000" w:fill="FFFFFF"/>
            <w:noWrap/>
            <w:vAlign w:val="bottom"/>
            <w:hideMark/>
          </w:tcPr>
          <w:p w14:paraId="313D3E89"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20.7</w:t>
            </w:r>
          </w:p>
        </w:tc>
        <w:tc>
          <w:tcPr>
            <w:tcW w:w="1828" w:type="dxa"/>
            <w:tcBorders>
              <w:top w:val="nil"/>
              <w:left w:val="nil"/>
              <w:bottom w:val="nil"/>
              <w:right w:val="single" w:sz="4" w:space="0" w:color="auto"/>
            </w:tcBorders>
            <w:shd w:val="clear" w:color="000000" w:fill="FFFFFF"/>
            <w:noWrap/>
            <w:vAlign w:val="bottom"/>
            <w:hideMark/>
          </w:tcPr>
          <w:p w14:paraId="1594DD92"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6.6</w:t>
            </w:r>
          </w:p>
        </w:tc>
        <w:tc>
          <w:tcPr>
            <w:tcW w:w="1243" w:type="dxa"/>
            <w:tcBorders>
              <w:top w:val="nil"/>
              <w:left w:val="nil"/>
              <w:bottom w:val="nil"/>
              <w:right w:val="nil"/>
            </w:tcBorders>
            <w:shd w:val="clear" w:color="000000" w:fill="FFFFFF"/>
            <w:noWrap/>
            <w:vAlign w:val="bottom"/>
            <w:hideMark/>
          </w:tcPr>
          <w:p w14:paraId="0B04EEAD"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16.8</w:t>
            </w:r>
          </w:p>
        </w:tc>
        <w:tc>
          <w:tcPr>
            <w:tcW w:w="1817" w:type="dxa"/>
            <w:tcBorders>
              <w:top w:val="nil"/>
              <w:left w:val="nil"/>
              <w:bottom w:val="nil"/>
              <w:right w:val="single" w:sz="4" w:space="0" w:color="auto"/>
            </w:tcBorders>
            <w:shd w:val="clear" w:color="000000" w:fill="FFFFFF"/>
            <w:noWrap/>
            <w:vAlign w:val="bottom"/>
            <w:hideMark/>
          </w:tcPr>
          <w:p w14:paraId="57452502"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5.7</w:t>
            </w:r>
          </w:p>
        </w:tc>
      </w:tr>
      <w:tr w:rsidR="00AF78D0" w:rsidRPr="00AF78D0" w14:paraId="4104C3E2" w14:textId="77777777" w:rsidTr="00AF78D0">
        <w:trPr>
          <w:trHeight w:val="282"/>
        </w:trPr>
        <w:tc>
          <w:tcPr>
            <w:tcW w:w="1980" w:type="dxa"/>
            <w:tcBorders>
              <w:top w:val="nil"/>
              <w:left w:val="nil"/>
              <w:bottom w:val="nil"/>
              <w:right w:val="nil"/>
            </w:tcBorders>
            <w:shd w:val="clear" w:color="000000" w:fill="FFFFFF"/>
            <w:noWrap/>
            <w:vAlign w:val="bottom"/>
            <w:hideMark/>
          </w:tcPr>
          <w:p w14:paraId="11646D9D"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Import</w:t>
            </w:r>
          </w:p>
        </w:tc>
        <w:tc>
          <w:tcPr>
            <w:tcW w:w="1252" w:type="dxa"/>
            <w:tcBorders>
              <w:top w:val="nil"/>
              <w:left w:val="single" w:sz="4" w:space="0" w:color="auto"/>
              <w:bottom w:val="nil"/>
              <w:right w:val="nil"/>
            </w:tcBorders>
            <w:shd w:val="clear" w:color="000000" w:fill="FFFFFF"/>
            <w:noWrap/>
            <w:vAlign w:val="bottom"/>
            <w:hideMark/>
          </w:tcPr>
          <w:p w14:paraId="54CDEAF6"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2.6</w:t>
            </w:r>
          </w:p>
        </w:tc>
        <w:tc>
          <w:tcPr>
            <w:tcW w:w="1828" w:type="dxa"/>
            <w:tcBorders>
              <w:top w:val="nil"/>
              <w:left w:val="nil"/>
              <w:bottom w:val="nil"/>
              <w:right w:val="single" w:sz="4" w:space="0" w:color="auto"/>
            </w:tcBorders>
            <w:shd w:val="clear" w:color="000000" w:fill="FFFFFF"/>
            <w:noWrap/>
            <w:vAlign w:val="bottom"/>
            <w:hideMark/>
          </w:tcPr>
          <w:p w14:paraId="7ABBD1C8"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-1.0</w:t>
            </w:r>
          </w:p>
        </w:tc>
        <w:tc>
          <w:tcPr>
            <w:tcW w:w="1243" w:type="dxa"/>
            <w:tcBorders>
              <w:top w:val="nil"/>
              <w:left w:val="nil"/>
              <w:bottom w:val="nil"/>
              <w:right w:val="nil"/>
            </w:tcBorders>
            <w:shd w:val="clear" w:color="000000" w:fill="FFFFFF"/>
            <w:noWrap/>
            <w:vAlign w:val="bottom"/>
            <w:hideMark/>
          </w:tcPr>
          <w:p w14:paraId="126BCD83"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2.3</w:t>
            </w:r>
          </w:p>
        </w:tc>
        <w:tc>
          <w:tcPr>
            <w:tcW w:w="1817" w:type="dxa"/>
            <w:tcBorders>
              <w:top w:val="nil"/>
              <w:left w:val="nil"/>
              <w:bottom w:val="nil"/>
              <w:right w:val="single" w:sz="4" w:space="0" w:color="auto"/>
            </w:tcBorders>
            <w:shd w:val="clear" w:color="000000" w:fill="FFFFFF"/>
            <w:noWrap/>
            <w:vAlign w:val="bottom"/>
            <w:hideMark/>
          </w:tcPr>
          <w:p w14:paraId="4CB7C4C6"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-0.8</w:t>
            </w:r>
          </w:p>
        </w:tc>
      </w:tr>
      <w:tr w:rsidR="00AF78D0" w:rsidRPr="00AF78D0" w14:paraId="31C9FB3A" w14:textId="77777777" w:rsidTr="00AF78D0">
        <w:trPr>
          <w:trHeight w:val="315"/>
        </w:trPr>
        <w:tc>
          <w:tcPr>
            <w:tcW w:w="1980" w:type="dxa"/>
            <w:tcBorders>
              <w:top w:val="nil"/>
              <w:left w:val="nil"/>
              <w:bottom w:val="double" w:sz="6" w:space="0" w:color="auto"/>
              <w:right w:val="nil"/>
            </w:tcBorders>
            <w:shd w:val="clear" w:color="000000" w:fill="FFFFFF"/>
            <w:noWrap/>
            <w:vAlign w:val="bottom"/>
            <w:hideMark/>
          </w:tcPr>
          <w:p w14:paraId="6EDB9AC7"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GDP</w:t>
            </w:r>
          </w:p>
        </w:tc>
        <w:tc>
          <w:tcPr>
            <w:tcW w:w="1252" w:type="dxa"/>
            <w:tcBorders>
              <w:top w:val="nil"/>
              <w:left w:val="single" w:sz="4" w:space="0" w:color="auto"/>
              <w:bottom w:val="double" w:sz="6" w:space="0" w:color="auto"/>
              <w:right w:val="nil"/>
            </w:tcBorders>
            <w:shd w:val="clear" w:color="000000" w:fill="FFFFFF"/>
            <w:noWrap/>
            <w:vAlign w:val="bottom"/>
            <w:hideMark/>
          </w:tcPr>
          <w:p w14:paraId="79CDB0C9"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9.1</w:t>
            </w:r>
          </w:p>
        </w:tc>
        <w:tc>
          <w:tcPr>
            <w:tcW w:w="1828" w:type="dxa"/>
            <w:tcBorders>
              <w:top w:val="nil"/>
              <w:left w:val="nil"/>
              <w:bottom w:val="double" w:sz="6" w:space="0" w:color="auto"/>
              <w:right w:val="single" w:sz="4" w:space="0" w:color="auto"/>
            </w:tcBorders>
            <w:shd w:val="clear" w:color="000000" w:fill="FFFFFF"/>
            <w:noWrap/>
            <w:vAlign w:val="bottom"/>
            <w:hideMark/>
          </w:tcPr>
          <w:p w14:paraId="63040FD2"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 </w:t>
            </w:r>
          </w:p>
        </w:tc>
        <w:tc>
          <w:tcPr>
            <w:tcW w:w="1243" w:type="dxa"/>
            <w:tcBorders>
              <w:top w:val="nil"/>
              <w:left w:val="nil"/>
              <w:bottom w:val="double" w:sz="6" w:space="0" w:color="auto"/>
              <w:right w:val="nil"/>
            </w:tcBorders>
            <w:shd w:val="clear" w:color="000000" w:fill="FFFFFF"/>
            <w:noWrap/>
            <w:vAlign w:val="bottom"/>
            <w:hideMark/>
          </w:tcPr>
          <w:p w14:paraId="2DDFCE6C"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7.3</w:t>
            </w:r>
          </w:p>
        </w:tc>
        <w:tc>
          <w:tcPr>
            <w:tcW w:w="1817" w:type="dxa"/>
            <w:tcBorders>
              <w:top w:val="nil"/>
              <w:left w:val="nil"/>
              <w:bottom w:val="double" w:sz="6" w:space="0" w:color="auto"/>
              <w:right w:val="single" w:sz="4" w:space="0" w:color="auto"/>
            </w:tcBorders>
            <w:shd w:val="clear" w:color="000000" w:fill="FFFFFF"/>
            <w:noWrap/>
            <w:vAlign w:val="bottom"/>
            <w:hideMark/>
          </w:tcPr>
          <w:p w14:paraId="7DFEC49F"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 </w:t>
            </w:r>
          </w:p>
        </w:tc>
      </w:tr>
    </w:tbl>
    <w:p w14:paraId="06E46BDB" w14:textId="4D43F558" w:rsidR="00311EFF" w:rsidRDefault="00006890" w:rsidP="00405BD8">
      <w:pPr>
        <w:keepLines/>
        <w:widowControl w:val="0"/>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4566559" w14:textId="3DC71D0A" w:rsidR="00EB2543" w:rsidRPr="006679E6" w:rsidRDefault="00EB2543" w:rsidP="00405BD8">
      <w:pPr>
        <w:keepLines/>
        <w:widowControl w:val="0"/>
        <w:rPr>
          <w:rFonts w:ascii="Palatino Linotype" w:hAnsi="Palatino Linotype" w:cstheme="minorHAnsi"/>
          <w:sz w:val="18"/>
          <w:szCs w:val="18"/>
          <w:lang w:val="en-US"/>
        </w:rPr>
      </w:pPr>
    </w:p>
    <w:p w14:paraId="3CBA6B9B" w14:textId="6113C703" w:rsidR="00006890" w:rsidRPr="00155A64" w:rsidRDefault="00006890" w:rsidP="00006890">
      <w:pPr>
        <w:ind w:right="7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2: Growth rates and contributions to the </w:t>
      </w:r>
      <w:r w:rsidR="00114BBE">
        <w:rPr>
          <w:rFonts w:ascii="Palatino Linotype" w:hAnsi="Palatino Linotype" w:cstheme="minorHAnsi"/>
          <w:b/>
          <w:bCs/>
          <w:sz w:val="22"/>
          <w:szCs w:val="22"/>
          <w:lang w:val="en-US"/>
        </w:rPr>
        <w:t>growth of GDP components in 2021</w:t>
      </w:r>
      <w:r w:rsidRPr="00155A64">
        <w:rPr>
          <w:rFonts w:ascii="Palatino Linotype" w:hAnsi="Palatino Linotype" w:cstheme="minorHAnsi"/>
          <w:b/>
          <w:bCs/>
          <w:sz w:val="22"/>
          <w:szCs w:val="22"/>
          <w:lang w:val="en-US"/>
        </w:rPr>
        <w:t xml:space="preserve"> Q</w:t>
      </w:r>
      <w:r w:rsidR="00AF78D0">
        <w:rPr>
          <w:rFonts w:ascii="Palatino Linotype" w:hAnsi="Palatino Linotype" w:cstheme="minorHAnsi"/>
          <w:b/>
          <w:bCs/>
          <w:sz w:val="22"/>
          <w:szCs w:val="22"/>
          <w:lang w:val="en-US"/>
        </w:rPr>
        <w:t>4</w:t>
      </w:r>
      <w:r w:rsidRPr="00155A64">
        <w:rPr>
          <w:rFonts w:ascii="Palatino Linotype" w:hAnsi="Palatino Linotype" w:cstheme="minorHAnsi"/>
          <w:b/>
          <w:bCs/>
          <w:sz w:val="22"/>
          <w:szCs w:val="22"/>
          <w:lang w:val="en-US"/>
        </w:rPr>
        <w:t xml:space="preserve"> and 202</w:t>
      </w:r>
      <w:r w:rsidR="00AF78D0">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r w:rsidR="00AF78D0">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compared to the previous quarter</w:t>
      </w:r>
    </w:p>
    <w:tbl>
      <w:tblPr>
        <w:tblW w:w="8120" w:type="dxa"/>
        <w:tblLook w:val="04A0" w:firstRow="1" w:lastRow="0" w:firstColumn="1" w:lastColumn="0" w:noHBand="0" w:noVBand="1"/>
      </w:tblPr>
      <w:tblGrid>
        <w:gridCol w:w="1980"/>
        <w:gridCol w:w="1252"/>
        <w:gridCol w:w="1828"/>
        <w:gridCol w:w="1243"/>
        <w:gridCol w:w="1817"/>
      </w:tblGrid>
      <w:tr w:rsidR="00AF78D0" w:rsidRPr="00AF78D0" w14:paraId="79E0A5CF" w14:textId="77777777" w:rsidTr="00AF78D0">
        <w:trPr>
          <w:trHeight w:val="282"/>
        </w:trPr>
        <w:tc>
          <w:tcPr>
            <w:tcW w:w="1980" w:type="dxa"/>
            <w:tcBorders>
              <w:top w:val="nil"/>
              <w:left w:val="nil"/>
              <w:bottom w:val="nil"/>
              <w:right w:val="nil"/>
            </w:tcBorders>
            <w:shd w:val="clear" w:color="000000" w:fill="FFFFFF"/>
            <w:noWrap/>
            <w:vAlign w:val="bottom"/>
            <w:hideMark/>
          </w:tcPr>
          <w:p w14:paraId="74DD1727"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0CE2C1A"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2021Q4</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07EC1E0"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2022Q1</w:t>
            </w:r>
          </w:p>
        </w:tc>
      </w:tr>
      <w:tr w:rsidR="00AF78D0" w:rsidRPr="00AF78D0" w14:paraId="09A55A00" w14:textId="77777777" w:rsidTr="00AF78D0">
        <w:trPr>
          <w:trHeight w:val="282"/>
        </w:trPr>
        <w:tc>
          <w:tcPr>
            <w:tcW w:w="1980" w:type="dxa"/>
            <w:tcBorders>
              <w:top w:val="nil"/>
              <w:left w:val="nil"/>
              <w:bottom w:val="nil"/>
              <w:right w:val="nil"/>
            </w:tcBorders>
            <w:shd w:val="clear" w:color="000000" w:fill="FFFFFF"/>
            <w:noWrap/>
            <w:vAlign w:val="bottom"/>
            <w:hideMark/>
          </w:tcPr>
          <w:p w14:paraId="3A45E492"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 </w:t>
            </w:r>
          </w:p>
        </w:tc>
        <w:tc>
          <w:tcPr>
            <w:tcW w:w="1252" w:type="dxa"/>
            <w:tcBorders>
              <w:top w:val="nil"/>
              <w:left w:val="single" w:sz="4" w:space="0" w:color="auto"/>
              <w:bottom w:val="single" w:sz="4" w:space="0" w:color="auto"/>
              <w:right w:val="nil"/>
            </w:tcBorders>
            <w:shd w:val="clear" w:color="000000" w:fill="FFFFFF"/>
            <w:noWrap/>
            <w:vAlign w:val="bottom"/>
            <w:hideMark/>
          </w:tcPr>
          <w:p w14:paraId="265E7DF2"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Change (%)</w:t>
            </w:r>
          </w:p>
        </w:tc>
        <w:tc>
          <w:tcPr>
            <w:tcW w:w="1828" w:type="dxa"/>
            <w:tcBorders>
              <w:top w:val="nil"/>
              <w:left w:val="nil"/>
              <w:bottom w:val="nil"/>
              <w:right w:val="single" w:sz="4" w:space="0" w:color="auto"/>
            </w:tcBorders>
            <w:shd w:val="clear" w:color="000000" w:fill="FFFFFF"/>
            <w:noWrap/>
            <w:vAlign w:val="bottom"/>
            <w:hideMark/>
          </w:tcPr>
          <w:p w14:paraId="12127CA4"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Contribution (%)</w:t>
            </w:r>
          </w:p>
        </w:tc>
        <w:tc>
          <w:tcPr>
            <w:tcW w:w="1243" w:type="dxa"/>
            <w:tcBorders>
              <w:top w:val="nil"/>
              <w:left w:val="nil"/>
              <w:bottom w:val="nil"/>
              <w:right w:val="nil"/>
            </w:tcBorders>
            <w:shd w:val="clear" w:color="000000" w:fill="FFFFFF"/>
            <w:noWrap/>
            <w:vAlign w:val="bottom"/>
            <w:hideMark/>
          </w:tcPr>
          <w:p w14:paraId="6A445D3E"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Change (%)</w:t>
            </w:r>
          </w:p>
        </w:tc>
        <w:tc>
          <w:tcPr>
            <w:tcW w:w="1817" w:type="dxa"/>
            <w:tcBorders>
              <w:top w:val="nil"/>
              <w:left w:val="nil"/>
              <w:bottom w:val="nil"/>
              <w:right w:val="single" w:sz="4" w:space="0" w:color="auto"/>
            </w:tcBorders>
            <w:shd w:val="clear" w:color="000000" w:fill="FFFFFF"/>
            <w:noWrap/>
            <w:vAlign w:val="bottom"/>
            <w:hideMark/>
          </w:tcPr>
          <w:p w14:paraId="5BBA002B" w14:textId="77777777" w:rsidR="00AF78D0" w:rsidRPr="00AF78D0" w:rsidRDefault="00AF78D0" w:rsidP="00AF78D0">
            <w:pPr>
              <w:jc w:val="cente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Contribution (%)</w:t>
            </w:r>
          </w:p>
        </w:tc>
      </w:tr>
      <w:tr w:rsidR="00AF78D0" w:rsidRPr="00AF78D0" w14:paraId="6C4EE4BB" w14:textId="77777777" w:rsidTr="00AF78D0">
        <w:trPr>
          <w:trHeight w:val="282"/>
        </w:trPr>
        <w:tc>
          <w:tcPr>
            <w:tcW w:w="1980" w:type="dxa"/>
            <w:tcBorders>
              <w:top w:val="single" w:sz="4" w:space="0" w:color="auto"/>
              <w:left w:val="nil"/>
              <w:bottom w:val="nil"/>
              <w:right w:val="nil"/>
            </w:tcBorders>
            <w:shd w:val="clear" w:color="000000" w:fill="FFFFFF"/>
            <w:noWrap/>
            <w:vAlign w:val="bottom"/>
            <w:hideMark/>
          </w:tcPr>
          <w:p w14:paraId="277A6674"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Consumption</w:t>
            </w:r>
          </w:p>
        </w:tc>
        <w:tc>
          <w:tcPr>
            <w:tcW w:w="1252" w:type="dxa"/>
            <w:tcBorders>
              <w:top w:val="nil"/>
              <w:left w:val="single" w:sz="4" w:space="0" w:color="auto"/>
              <w:bottom w:val="nil"/>
              <w:right w:val="nil"/>
            </w:tcBorders>
            <w:shd w:val="clear" w:color="000000" w:fill="FFFFFF"/>
            <w:noWrap/>
            <w:vAlign w:val="bottom"/>
            <w:hideMark/>
          </w:tcPr>
          <w:p w14:paraId="1DB92950"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9.4</w:t>
            </w:r>
          </w:p>
        </w:tc>
        <w:tc>
          <w:tcPr>
            <w:tcW w:w="1828" w:type="dxa"/>
            <w:tcBorders>
              <w:top w:val="single" w:sz="4" w:space="0" w:color="auto"/>
              <w:left w:val="nil"/>
              <w:bottom w:val="nil"/>
              <w:right w:val="single" w:sz="4" w:space="0" w:color="auto"/>
            </w:tcBorders>
            <w:shd w:val="clear" w:color="000000" w:fill="FFFFFF"/>
            <w:noWrap/>
            <w:vAlign w:val="bottom"/>
            <w:hideMark/>
          </w:tcPr>
          <w:p w14:paraId="6372AC3D"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5.6</w:t>
            </w:r>
          </w:p>
        </w:tc>
        <w:tc>
          <w:tcPr>
            <w:tcW w:w="1243" w:type="dxa"/>
            <w:tcBorders>
              <w:top w:val="single" w:sz="4" w:space="0" w:color="auto"/>
              <w:left w:val="nil"/>
              <w:bottom w:val="nil"/>
              <w:right w:val="nil"/>
            </w:tcBorders>
            <w:shd w:val="clear" w:color="000000" w:fill="FFFFFF"/>
            <w:noWrap/>
            <w:vAlign w:val="bottom"/>
            <w:hideMark/>
          </w:tcPr>
          <w:p w14:paraId="4146999F"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-2.8</w:t>
            </w:r>
          </w:p>
        </w:tc>
        <w:tc>
          <w:tcPr>
            <w:tcW w:w="1817" w:type="dxa"/>
            <w:tcBorders>
              <w:top w:val="single" w:sz="4" w:space="0" w:color="auto"/>
              <w:left w:val="nil"/>
              <w:bottom w:val="nil"/>
              <w:right w:val="single" w:sz="4" w:space="0" w:color="auto"/>
            </w:tcBorders>
            <w:shd w:val="clear" w:color="000000" w:fill="FFFFFF"/>
            <w:noWrap/>
            <w:vAlign w:val="bottom"/>
            <w:hideMark/>
          </w:tcPr>
          <w:p w14:paraId="4C802D19"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-2.0</w:t>
            </w:r>
          </w:p>
        </w:tc>
      </w:tr>
      <w:tr w:rsidR="00AF78D0" w:rsidRPr="00AF78D0" w14:paraId="6F3ECFC6" w14:textId="77777777" w:rsidTr="00AF78D0">
        <w:trPr>
          <w:trHeight w:val="282"/>
        </w:trPr>
        <w:tc>
          <w:tcPr>
            <w:tcW w:w="1980" w:type="dxa"/>
            <w:tcBorders>
              <w:top w:val="nil"/>
              <w:left w:val="nil"/>
              <w:bottom w:val="nil"/>
              <w:right w:val="nil"/>
            </w:tcBorders>
            <w:shd w:val="clear" w:color="000000" w:fill="FFFFFF"/>
            <w:noWrap/>
            <w:vAlign w:val="bottom"/>
            <w:hideMark/>
          </w:tcPr>
          <w:p w14:paraId="29A9D32B"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Government Spending</w:t>
            </w:r>
          </w:p>
        </w:tc>
        <w:tc>
          <w:tcPr>
            <w:tcW w:w="1252" w:type="dxa"/>
            <w:tcBorders>
              <w:top w:val="nil"/>
              <w:left w:val="single" w:sz="4" w:space="0" w:color="auto"/>
              <w:bottom w:val="nil"/>
              <w:right w:val="nil"/>
            </w:tcBorders>
            <w:shd w:val="clear" w:color="000000" w:fill="FFFFFF"/>
            <w:noWrap/>
            <w:vAlign w:val="bottom"/>
            <w:hideMark/>
          </w:tcPr>
          <w:p w14:paraId="7316EE90"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-7.3</w:t>
            </w:r>
          </w:p>
        </w:tc>
        <w:tc>
          <w:tcPr>
            <w:tcW w:w="1828" w:type="dxa"/>
            <w:tcBorders>
              <w:top w:val="nil"/>
              <w:left w:val="nil"/>
              <w:bottom w:val="nil"/>
              <w:right w:val="single" w:sz="4" w:space="0" w:color="auto"/>
            </w:tcBorders>
            <w:shd w:val="clear" w:color="000000" w:fill="FFFFFF"/>
            <w:noWrap/>
            <w:vAlign w:val="bottom"/>
            <w:hideMark/>
          </w:tcPr>
          <w:p w14:paraId="51CAF143"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-1.1</w:t>
            </w:r>
          </w:p>
        </w:tc>
        <w:tc>
          <w:tcPr>
            <w:tcW w:w="1243" w:type="dxa"/>
            <w:tcBorders>
              <w:top w:val="nil"/>
              <w:left w:val="nil"/>
              <w:bottom w:val="nil"/>
              <w:right w:val="nil"/>
            </w:tcBorders>
            <w:shd w:val="clear" w:color="000000" w:fill="FFFFFF"/>
            <w:noWrap/>
            <w:vAlign w:val="bottom"/>
            <w:hideMark/>
          </w:tcPr>
          <w:p w14:paraId="7196875B"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0.0</w:t>
            </w:r>
          </w:p>
        </w:tc>
        <w:tc>
          <w:tcPr>
            <w:tcW w:w="1817" w:type="dxa"/>
            <w:tcBorders>
              <w:top w:val="nil"/>
              <w:left w:val="nil"/>
              <w:bottom w:val="nil"/>
              <w:right w:val="single" w:sz="4" w:space="0" w:color="auto"/>
            </w:tcBorders>
            <w:shd w:val="clear" w:color="000000" w:fill="FFFFFF"/>
            <w:noWrap/>
            <w:vAlign w:val="bottom"/>
            <w:hideMark/>
          </w:tcPr>
          <w:p w14:paraId="36D39D1A"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0.0</w:t>
            </w:r>
          </w:p>
        </w:tc>
      </w:tr>
      <w:tr w:rsidR="00AF78D0" w:rsidRPr="00AF78D0" w14:paraId="43867957" w14:textId="77777777" w:rsidTr="00AF78D0">
        <w:trPr>
          <w:trHeight w:val="282"/>
        </w:trPr>
        <w:tc>
          <w:tcPr>
            <w:tcW w:w="1980" w:type="dxa"/>
            <w:tcBorders>
              <w:top w:val="nil"/>
              <w:left w:val="nil"/>
              <w:bottom w:val="nil"/>
              <w:right w:val="nil"/>
            </w:tcBorders>
            <w:shd w:val="clear" w:color="000000" w:fill="FFFFFF"/>
            <w:noWrap/>
            <w:vAlign w:val="bottom"/>
            <w:hideMark/>
          </w:tcPr>
          <w:p w14:paraId="57B5DD42"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Investment</w:t>
            </w:r>
          </w:p>
        </w:tc>
        <w:tc>
          <w:tcPr>
            <w:tcW w:w="1252" w:type="dxa"/>
            <w:tcBorders>
              <w:top w:val="nil"/>
              <w:left w:val="single" w:sz="4" w:space="0" w:color="auto"/>
              <w:bottom w:val="nil"/>
              <w:right w:val="nil"/>
            </w:tcBorders>
            <w:shd w:val="clear" w:color="000000" w:fill="FFFFFF"/>
            <w:noWrap/>
            <w:vAlign w:val="bottom"/>
            <w:hideMark/>
          </w:tcPr>
          <w:p w14:paraId="76F61067"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-1.0</w:t>
            </w:r>
          </w:p>
        </w:tc>
        <w:tc>
          <w:tcPr>
            <w:tcW w:w="1828" w:type="dxa"/>
            <w:tcBorders>
              <w:top w:val="nil"/>
              <w:left w:val="nil"/>
              <w:bottom w:val="nil"/>
              <w:right w:val="single" w:sz="4" w:space="0" w:color="auto"/>
            </w:tcBorders>
            <w:shd w:val="clear" w:color="000000" w:fill="FFFFFF"/>
            <w:noWrap/>
            <w:vAlign w:val="bottom"/>
            <w:hideMark/>
          </w:tcPr>
          <w:p w14:paraId="58E0410B"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-0.3</w:t>
            </w:r>
          </w:p>
        </w:tc>
        <w:tc>
          <w:tcPr>
            <w:tcW w:w="1243" w:type="dxa"/>
            <w:tcBorders>
              <w:top w:val="nil"/>
              <w:left w:val="nil"/>
              <w:bottom w:val="nil"/>
              <w:right w:val="nil"/>
            </w:tcBorders>
            <w:shd w:val="clear" w:color="000000" w:fill="FFFFFF"/>
            <w:noWrap/>
            <w:vAlign w:val="bottom"/>
            <w:hideMark/>
          </w:tcPr>
          <w:p w14:paraId="2E2C2621"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2.0</w:t>
            </w:r>
          </w:p>
        </w:tc>
        <w:tc>
          <w:tcPr>
            <w:tcW w:w="1817" w:type="dxa"/>
            <w:tcBorders>
              <w:top w:val="nil"/>
              <w:left w:val="nil"/>
              <w:bottom w:val="nil"/>
              <w:right w:val="single" w:sz="4" w:space="0" w:color="auto"/>
            </w:tcBorders>
            <w:shd w:val="clear" w:color="000000" w:fill="FFFFFF"/>
            <w:noWrap/>
            <w:vAlign w:val="bottom"/>
            <w:hideMark/>
          </w:tcPr>
          <w:p w14:paraId="6EBF7F60"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0.4</w:t>
            </w:r>
          </w:p>
        </w:tc>
      </w:tr>
      <w:tr w:rsidR="00AF78D0" w:rsidRPr="00AF78D0" w14:paraId="35EEC897" w14:textId="77777777" w:rsidTr="00AF78D0">
        <w:trPr>
          <w:trHeight w:val="282"/>
        </w:trPr>
        <w:tc>
          <w:tcPr>
            <w:tcW w:w="1980" w:type="dxa"/>
            <w:tcBorders>
              <w:top w:val="nil"/>
              <w:left w:val="nil"/>
              <w:bottom w:val="nil"/>
              <w:right w:val="nil"/>
            </w:tcBorders>
            <w:shd w:val="clear" w:color="000000" w:fill="FFFFFF"/>
            <w:noWrap/>
            <w:vAlign w:val="bottom"/>
            <w:hideMark/>
          </w:tcPr>
          <w:p w14:paraId="18E9D500"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Change in Inventories</w:t>
            </w:r>
          </w:p>
        </w:tc>
        <w:tc>
          <w:tcPr>
            <w:tcW w:w="1252" w:type="dxa"/>
            <w:tcBorders>
              <w:top w:val="nil"/>
              <w:left w:val="single" w:sz="4" w:space="0" w:color="auto"/>
              <w:bottom w:val="nil"/>
              <w:right w:val="nil"/>
            </w:tcBorders>
            <w:shd w:val="clear" w:color="000000" w:fill="FFFFFF"/>
            <w:noWrap/>
            <w:vAlign w:val="bottom"/>
            <w:hideMark/>
          </w:tcPr>
          <w:p w14:paraId="5D9D2509"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 </w:t>
            </w:r>
          </w:p>
        </w:tc>
        <w:tc>
          <w:tcPr>
            <w:tcW w:w="1828" w:type="dxa"/>
            <w:tcBorders>
              <w:top w:val="nil"/>
              <w:left w:val="nil"/>
              <w:bottom w:val="nil"/>
              <w:right w:val="single" w:sz="4" w:space="0" w:color="auto"/>
            </w:tcBorders>
            <w:shd w:val="clear" w:color="000000" w:fill="FFFFFF"/>
            <w:noWrap/>
            <w:vAlign w:val="bottom"/>
            <w:hideMark/>
          </w:tcPr>
          <w:p w14:paraId="70A2A169"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-3.7</w:t>
            </w:r>
          </w:p>
        </w:tc>
        <w:tc>
          <w:tcPr>
            <w:tcW w:w="1243" w:type="dxa"/>
            <w:tcBorders>
              <w:top w:val="nil"/>
              <w:left w:val="nil"/>
              <w:bottom w:val="nil"/>
              <w:right w:val="nil"/>
            </w:tcBorders>
            <w:shd w:val="clear" w:color="000000" w:fill="FFFFFF"/>
            <w:noWrap/>
            <w:vAlign w:val="bottom"/>
            <w:hideMark/>
          </w:tcPr>
          <w:p w14:paraId="2A171C80"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 </w:t>
            </w:r>
          </w:p>
        </w:tc>
        <w:tc>
          <w:tcPr>
            <w:tcW w:w="1817" w:type="dxa"/>
            <w:tcBorders>
              <w:top w:val="nil"/>
              <w:left w:val="nil"/>
              <w:bottom w:val="nil"/>
              <w:right w:val="single" w:sz="4" w:space="0" w:color="auto"/>
            </w:tcBorders>
            <w:shd w:val="clear" w:color="000000" w:fill="FFFFFF"/>
            <w:noWrap/>
            <w:vAlign w:val="bottom"/>
            <w:hideMark/>
          </w:tcPr>
          <w:p w14:paraId="53AD2EF1"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1.9</w:t>
            </w:r>
          </w:p>
        </w:tc>
      </w:tr>
      <w:tr w:rsidR="00AF78D0" w:rsidRPr="00AF78D0" w14:paraId="2863AF15" w14:textId="77777777" w:rsidTr="00AF78D0">
        <w:trPr>
          <w:trHeight w:val="282"/>
        </w:trPr>
        <w:tc>
          <w:tcPr>
            <w:tcW w:w="1980" w:type="dxa"/>
            <w:tcBorders>
              <w:top w:val="nil"/>
              <w:left w:val="nil"/>
              <w:bottom w:val="nil"/>
              <w:right w:val="nil"/>
            </w:tcBorders>
            <w:shd w:val="clear" w:color="000000" w:fill="FFFFFF"/>
            <w:noWrap/>
            <w:vAlign w:val="bottom"/>
            <w:hideMark/>
          </w:tcPr>
          <w:p w14:paraId="2492180F"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Export</w:t>
            </w:r>
          </w:p>
        </w:tc>
        <w:tc>
          <w:tcPr>
            <w:tcW w:w="1252" w:type="dxa"/>
            <w:tcBorders>
              <w:top w:val="nil"/>
              <w:left w:val="single" w:sz="4" w:space="0" w:color="auto"/>
              <w:bottom w:val="nil"/>
              <w:right w:val="nil"/>
            </w:tcBorders>
            <w:shd w:val="clear" w:color="000000" w:fill="FFFFFF"/>
            <w:noWrap/>
            <w:vAlign w:val="bottom"/>
            <w:hideMark/>
          </w:tcPr>
          <w:p w14:paraId="13B1AAB4"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11.4</w:t>
            </w:r>
          </w:p>
        </w:tc>
        <w:tc>
          <w:tcPr>
            <w:tcW w:w="1828" w:type="dxa"/>
            <w:tcBorders>
              <w:top w:val="nil"/>
              <w:left w:val="nil"/>
              <w:bottom w:val="nil"/>
              <w:right w:val="single" w:sz="4" w:space="0" w:color="auto"/>
            </w:tcBorders>
            <w:shd w:val="clear" w:color="000000" w:fill="FFFFFF"/>
            <w:noWrap/>
            <w:vAlign w:val="bottom"/>
            <w:hideMark/>
          </w:tcPr>
          <w:p w14:paraId="21EE7829"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3.6</w:t>
            </w:r>
          </w:p>
        </w:tc>
        <w:tc>
          <w:tcPr>
            <w:tcW w:w="1243" w:type="dxa"/>
            <w:tcBorders>
              <w:top w:val="nil"/>
              <w:left w:val="nil"/>
              <w:bottom w:val="nil"/>
              <w:right w:val="nil"/>
            </w:tcBorders>
            <w:shd w:val="clear" w:color="000000" w:fill="FFFFFF"/>
            <w:noWrap/>
            <w:vAlign w:val="bottom"/>
            <w:hideMark/>
          </w:tcPr>
          <w:p w14:paraId="54847C48"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-3.2</w:t>
            </w:r>
          </w:p>
        </w:tc>
        <w:tc>
          <w:tcPr>
            <w:tcW w:w="1817" w:type="dxa"/>
            <w:tcBorders>
              <w:top w:val="nil"/>
              <w:left w:val="nil"/>
              <w:bottom w:val="nil"/>
              <w:right w:val="single" w:sz="4" w:space="0" w:color="auto"/>
            </w:tcBorders>
            <w:shd w:val="clear" w:color="000000" w:fill="FFFFFF"/>
            <w:noWrap/>
            <w:vAlign w:val="bottom"/>
            <w:hideMark/>
          </w:tcPr>
          <w:p w14:paraId="79A0C99E"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-1.0</w:t>
            </w:r>
          </w:p>
        </w:tc>
      </w:tr>
      <w:tr w:rsidR="00AF78D0" w:rsidRPr="00AF78D0" w14:paraId="07DF5207" w14:textId="77777777" w:rsidTr="00AF78D0">
        <w:trPr>
          <w:trHeight w:val="282"/>
        </w:trPr>
        <w:tc>
          <w:tcPr>
            <w:tcW w:w="1980" w:type="dxa"/>
            <w:tcBorders>
              <w:top w:val="nil"/>
              <w:left w:val="nil"/>
              <w:bottom w:val="nil"/>
              <w:right w:val="nil"/>
            </w:tcBorders>
            <w:shd w:val="clear" w:color="000000" w:fill="FFFFFF"/>
            <w:noWrap/>
            <w:vAlign w:val="bottom"/>
            <w:hideMark/>
          </w:tcPr>
          <w:p w14:paraId="134075B3"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Import</w:t>
            </w:r>
          </w:p>
        </w:tc>
        <w:tc>
          <w:tcPr>
            <w:tcW w:w="1252" w:type="dxa"/>
            <w:tcBorders>
              <w:top w:val="nil"/>
              <w:left w:val="single" w:sz="4" w:space="0" w:color="auto"/>
              <w:bottom w:val="nil"/>
              <w:right w:val="nil"/>
            </w:tcBorders>
            <w:shd w:val="clear" w:color="000000" w:fill="FFFFFF"/>
            <w:noWrap/>
            <w:vAlign w:val="bottom"/>
            <w:hideMark/>
          </w:tcPr>
          <w:p w14:paraId="2AF008EE"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9.2</w:t>
            </w:r>
          </w:p>
        </w:tc>
        <w:tc>
          <w:tcPr>
            <w:tcW w:w="1828" w:type="dxa"/>
            <w:tcBorders>
              <w:top w:val="nil"/>
              <w:left w:val="nil"/>
              <w:bottom w:val="nil"/>
              <w:right w:val="single" w:sz="4" w:space="0" w:color="auto"/>
            </w:tcBorders>
            <w:shd w:val="clear" w:color="000000" w:fill="FFFFFF"/>
            <w:noWrap/>
            <w:vAlign w:val="bottom"/>
            <w:hideMark/>
          </w:tcPr>
          <w:p w14:paraId="55934F14"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-2.7</w:t>
            </w:r>
          </w:p>
        </w:tc>
        <w:tc>
          <w:tcPr>
            <w:tcW w:w="1243" w:type="dxa"/>
            <w:tcBorders>
              <w:top w:val="nil"/>
              <w:left w:val="nil"/>
              <w:bottom w:val="nil"/>
              <w:right w:val="nil"/>
            </w:tcBorders>
            <w:shd w:val="clear" w:color="000000" w:fill="FFFFFF"/>
            <w:noWrap/>
            <w:vAlign w:val="bottom"/>
            <w:hideMark/>
          </w:tcPr>
          <w:p w14:paraId="0F4D8A16"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-5.6</w:t>
            </w:r>
          </w:p>
        </w:tc>
        <w:tc>
          <w:tcPr>
            <w:tcW w:w="1817" w:type="dxa"/>
            <w:tcBorders>
              <w:top w:val="nil"/>
              <w:left w:val="nil"/>
              <w:bottom w:val="nil"/>
              <w:right w:val="single" w:sz="4" w:space="0" w:color="auto"/>
            </w:tcBorders>
            <w:shd w:val="clear" w:color="000000" w:fill="FFFFFF"/>
            <w:noWrap/>
            <w:vAlign w:val="bottom"/>
            <w:hideMark/>
          </w:tcPr>
          <w:p w14:paraId="2CB71CF9"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1.8</w:t>
            </w:r>
          </w:p>
        </w:tc>
      </w:tr>
      <w:tr w:rsidR="00AF78D0" w:rsidRPr="00AF78D0" w14:paraId="64A32CAE" w14:textId="77777777" w:rsidTr="00AF78D0">
        <w:trPr>
          <w:trHeight w:val="315"/>
        </w:trPr>
        <w:tc>
          <w:tcPr>
            <w:tcW w:w="1980" w:type="dxa"/>
            <w:tcBorders>
              <w:top w:val="nil"/>
              <w:left w:val="nil"/>
              <w:bottom w:val="double" w:sz="6" w:space="0" w:color="auto"/>
              <w:right w:val="nil"/>
            </w:tcBorders>
            <w:shd w:val="clear" w:color="000000" w:fill="FFFFFF"/>
            <w:noWrap/>
            <w:vAlign w:val="bottom"/>
            <w:hideMark/>
          </w:tcPr>
          <w:p w14:paraId="1D5A9AA8" w14:textId="77777777" w:rsidR="00AF78D0" w:rsidRPr="00AF78D0" w:rsidRDefault="00AF78D0" w:rsidP="00AF78D0">
            <w:pPr>
              <w:rPr>
                <w:rFonts w:ascii="Calibri" w:hAnsi="Calibri" w:cs="Calibri"/>
                <w:b/>
                <w:bCs/>
                <w:color w:val="000000"/>
                <w:sz w:val="20"/>
                <w:szCs w:val="20"/>
                <w:lang w:val="en-GB" w:eastAsia="en-GB"/>
              </w:rPr>
            </w:pPr>
            <w:r w:rsidRPr="00AF78D0">
              <w:rPr>
                <w:rFonts w:ascii="Calibri" w:hAnsi="Calibri" w:cs="Calibri"/>
                <w:b/>
                <w:bCs/>
                <w:color w:val="000000"/>
                <w:sz w:val="20"/>
                <w:szCs w:val="20"/>
                <w:lang w:val="en-GB" w:eastAsia="en-GB"/>
              </w:rPr>
              <w:t>GDP</w:t>
            </w:r>
          </w:p>
        </w:tc>
        <w:tc>
          <w:tcPr>
            <w:tcW w:w="1252" w:type="dxa"/>
            <w:tcBorders>
              <w:top w:val="nil"/>
              <w:left w:val="single" w:sz="4" w:space="0" w:color="auto"/>
              <w:bottom w:val="double" w:sz="6" w:space="0" w:color="auto"/>
              <w:right w:val="nil"/>
            </w:tcBorders>
            <w:shd w:val="clear" w:color="000000" w:fill="FFFFFF"/>
            <w:noWrap/>
            <w:vAlign w:val="bottom"/>
            <w:hideMark/>
          </w:tcPr>
          <w:p w14:paraId="37EBD6C7"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1.5</w:t>
            </w:r>
          </w:p>
        </w:tc>
        <w:tc>
          <w:tcPr>
            <w:tcW w:w="1828" w:type="dxa"/>
            <w:tcBorders>
              <w:top w:val="nil"/>
              <w:left w:val="nil"/>
              <w:bottom w:val="double" w:sz="6" w:space="0" w:color="auto"/>
              <w:right w:val="single" w:sz="4" w:space="0" w:color="auto"/>
            </w:tcBorders>
            <w:shd w:val="clear" w:color="000000" w:fill="FFFFFF"/>
            <w:noWrap/>
            <w:vAlign w:val="bottom"/>
            <w:hideMark/>
          </w:tcPr>
          <w:p w14:paraId="6D9B6F86"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 </w:t>
            </w:r>
          </w:p>
        </w:tc>
        <w:tc>
          <w:tcPr>
            <w:tcW w:w="1243" w:type="dxa"/>
            <w:tcBorders>
              <w:top w:val="nil"/>
              <w:left w:val="nil"/>
              <w:bottom w:val="double" w:sz="6" w:space="0" w:color="auto"/>
              <w:right w:val="nil"/>
            </w:tcBorders>
            <w:shd w:val="clear" w:color="000000" w:fill="FFFFFF"/>
            <w:noWrap/>
            <w:vAlign w:val="bottom"/>
            <w:hideMark/>
          </w:tcPr>
          <w:p w14:paraId="7F1262B5"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1.2</w:t>
            </w:r>
          </w:p>
        </w:tc>
        <w:tc>
          <w:tcPr>
            <w:tcW w:w="1817" w:type="dxa"/>
            <w:tcBorders>
              <w:top w:val="nil"/>
              <w:left w:val="nil"/>
              <w:bottom w:val="double" w:sz="6" w:space="0" w:color="auto"/>
              <w:right w:val="single" w:sz="4" w:space="0" w:color="auto"/>
            </w:tcBorders>
            <w:shd w:val="clear" w:color="000000" w:fill="FFFFFF"/>
            <w:noWrap/>
            <w:vAlign w:val="bottom"/>
            <w:hideMark/>
          </w:tcPr>
          <w:p w14:paraId="7F61C3D8" w14:textId="77777777" w:rsidR="00AF78D0" w:rsidRPr="00AF78D0" w:rsidRDefault="00AF78D0" w:rsidP="00AF78D0">
            <w:pPr>
              <w:jc w:val="center"/>
              <w:rPr>
                <w:rFonts w:ascii="Calibri" w:hAnsi="Calibri" w:cs="Calibri"/>
                <w:color w:val="000000"/>
                <w:sz w:val="20"/>
                <w:szCs w:val="20"/>
                <w:lang w:val="en-GB" w:eastAsia="en-GB"/>
              </w:rPr>
            </w:pPr>
            <w:r w:rsidRPr="00AF78D0">
              <w:rPr>
                <w:rFonts w:ascii="Calibri" w:hAnsi="Calibri" w:cs="Calibri"/>
                <w:color w:val="000000"/>
                <w:sz w:val="20"/>
                <w:szCs w:val="20"/>
                <w:lang w:val="en-GB" w:eastAsia="en-GB"/>
              </w:rPr>
              <w:t> </w:t>
            </w:r>
          </w:p>
        </w:tc>
      </w:tr>
    </w:tbl>
    <w:p w14:paraId="046656A3" w14:textId="77777777" w:rsidR="00006890" w:rsidRPr="00155A64" w:rsidRDefault="00006890" w:rsidP="00006890">
      <w:pPr>
        <w:keepNext/>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7F1EC21" w14:textId="77777777" w:rsidR="006C3EE6" w:rsidRPr="006679E6" w:rsidRDefault="006C3EE6" w:rsidP="004931A5">
      <w:pPr>
        <w:pStyle w:val="NormalWeb"/>
        <w:spacing w:before="0" w:beforeAutospacing="0" w:after="0" w:afterAutospacing="0" w:line="360" w:lineRule="auto"/>
        <w:ind w:right="77"/>
        <w:rPr>
          <w:rFonts w:ascii="Palatino Linotype" w:hAnsi="Palatino Linotype" w:cstheme="minorHAnsi"/>
          <w:b/>
          <w:sz w:val="20"/>
          <w:szCs w:val="20"/>
          <w:lang w:val="en-US"/>
        </w:rPr>
      </w:pPr>
    </w:p>
    <w:p w14:paraId="1A0D56BC" w14:textId="3EA74E38" w:rsidR="00AF78D0" w:rsidRDefault="00AF78D0" w:rsidP="002A037D">
      <w:pPr>
        <w:pStyle w:val="NormalWeb"/>
        <w:spacing w:before="0" w:beforeAutospacing="0" w:after="0" w:afterAutospacing="0" w:line="360" w:lineRule="auto"/>
        <w:ind w:right="77"/>
        <w:jc w:val="both"/>
        <w:rPr>
          <w:rFonts w:ascii="Palatino Linotype" w:hAnsi="Palatino Linotype" w:cstheme="minorHAnsi"/>
          <w:b/>
          <w:sz w:val="22"/>
          <w:szCs w:val="22"/>
          <w:lang w:val="en-US"/>
        </w:rPr>
      </w:pPr>
      <w:r w:rsidRPr="00AF78D0">
        <w:rPr>
          <w:rFonts w:ascii="Palatino Linotype" w:hAnsi="Palatino Linotype" w:cstheme="minorHAnsi"/>
          <w:b/>
          <w:sz w:val="22"/>
          <w:szCs w:val="22"/>
          <w:lang w:val="en-US"/>
        </w:rPr>
        <w:t>Investment spending</w:t>
      </w:r>
      <w:r>
        <w:rPr>
          <w:rFonts w:ascii="Palatino Linotype" w:hAnsi="Palatino Linotype" w:cstheme="minorHAnsi"/>
          <w:b/>
          <w:sz w:val="22"/>
          <w:szCs w:val="22"/>
          <w:lang w:val="en-US"/>
        </w:rPr>
        <w:t xml:space="preserve"> has</w:t>
      </w:r>
      <w:r w:rsidRPr="00AF78D0">
        <w:rPr>
          <w:rFonts w:ascii="Palatino Linotype" w:hAnsi="Palatino Linotype" w:cstheme="minorHAnsi"/>
          <w:b/>
          <w:sz w:val="22"/>
          <w:szCs w:val="22"/>
          <w:lang w:val="en-US"/>
        </w:rPr>
        <w:t xml:space="preserve"> slightly increased</w:t>
      </w:r>
    </w:p>
    <w:p w14:paraId="1C21C60A" w14:textId="053DA20B" w:rsidR="00AF78D0" w:rsidRDefault="00AF78D0" w:rsidP="00681022">
      <w:pPr>
        <w:pStyle w:val="NormalWeb"/>
        <w:spacing w:before="0" w:beforeAutospacing="0" w:after="0" w:afterAutospacing="0" w:line="360" w:lineRule="auto"/>
        <w:ind w:right="77"/>
        <w:rPr>
          <w:rFonts w:ascii="Palatino Linotype" w:hAnsi="Palatino Linotype" w:cstheme="minorHAnsi"/>
          <w:sz w:val="22"/>
          <w:szCs w:val="22"/>
          <w:lang w:val="en-US"/>
        </w:rPr>
      </w:pPr>
      <w:r w:rsidRPr="00AF78D0">
        <w:rPr>
          <w:rFonts w:ascii="Palatino Linotype" w:hAnsi="Palatino Linotype" w:cstheme="minorHAnsi"/>
          <w:sz w:val="22"/>
          <w:szCs w:val="22"/>
          <w:lang w:val="en-US"/>
        </w:rPr>
        <w:t>Investment</w:t>
      </w:r>
      <w:r w:rsidR="0086789C">
        <w:rPr>
          <w:rFonts w:ascii="Palatino Linotype" w:hAnsi="Palatino Linotype" w:cstheme="minorHAnsi"/>
          <w:sz w:val="22"/>
          <w:szCs w:val="22"/>
          <w:lang w:val="en-US"/>
        </w:rPr>
        <w:t xml:space="preserve"> spending</w:t>
      </w:r>
      <w:r w:rsidRPr="00AF78D0">
        <w:rPr>
          <w:rFonts w:ascii="Palatino Linotype" w:hAnsi="Palatino Linotype" w:cstheme="minorHAnsi"/>
          <w:sz w:val="22"/>
          <w:szCs w:val="22"/>
          <w:lang w:val="en-US"/>
        </w:rPr>
        <w:t xml:space="preserve">, which decreased in the second half of 2021, increased this quarter, albeit limited, and supported growth. Investments, which increased by 1.1 percent on an annual basis and by 2% </w:t>
      </w:r>
      <w:r w:rsidR="00C50B4E">
        <w:rPr>
          <w:rFonts w:ascii="Palatino Linotype" w:hAnsi="Palatino Linotype" w:cstheme="minorHAnsi"/>
          <w:sz w:val="22"/>
          <w:szCs w:val="22"/>
          <w:lang w:val="en-US"/>
        </w:rPr>
        <w:t>quarterly</w:t>
      </w:r>
      <w:r w:rsidRPr="00AF78D0">
        <w:rPr>
          <w:rFonts w:ascii="Palatino Linotype" w:hAnsi="Palatino Linotype" w:cstheme="minorHAnsi"/>
          <w:sz w:val="22"/>
          <w:szCs w:val="22"/>
          <w:lang w:val="en-US"/>
        </w:rPr>
        <w:t>, contributed 0.4 percentage points to the annual and quarterly growth f</w:t>
      </w:r>
      <w:r>
        <w:rPr>
          <w:rFonts w:ascii="Palatino Linotype" w:hAnsi="Palatino Linotype" w:cstheme="minorHAnsi"/>
          <w:sz w:val="22"/>
          <w:szCs w:val="22"/>
          <w:lang w:val="en-US"/>
        </w:rPr>
        <w:t>igures</w:t>
      </w:r>
      <w:r w:rsidRPr="00AF78D0">
        <w:rPr>
          <w:rFonts w:ascii="Palatino Linotype" w:hAnsi="Palatino Linotype" w:cstheme="minorHAnsi"/>
          <w:sz w:val="22"/>
          <w:szCs w:val="22"/>
          <w:lang w:val="en-US"/>
        </w:rPr>
        <w:t xml:space="preserve"> (Table 1 and Table 2). </w:t>
      </w:r>
    </w:p>
    <w:p w14:paraId="16625566" w14:textId="73E8FBFC" w:rsidR="00681AD9" w:rsidRPr="006679E6" w:rsidRDefault="00EB2B22" w:rsidP="00681022">
      <w:pPr>
        <w:pStyle w:val="NormalWeb"/>
        <w:spacing w:before="0" w:beforeAutospacing="0" w:after="0" w:afterAutospacing="0" w:line="360" w:lineRule="auto"/>
        <w:ind w:right="77"/>
        <w:rPr>
          <w:rFonts w:ascii="Palatino Linotype" w:hAnsi="Palatino Linotype" w:cstheme="minorHAnsi"/>
          <w:b/>
          <w:sz w:val="22"/>
          <w:szCs w:val="22"/>
          <w:lang w:val="en-US"/>
        </w:rPr>
      </w:pPr>
      <w:r>
        <w:rPr>
          <w:rFonts w:ascii="Palatino Linotype" w:hAnsi="Palatino Linotype" w:cstheme="minorHAnsi"/>
          <w:b/>
          <w:sz w:val="22"/>
          <w:szCs w:val="22"/>
          <w:lang w:val="en-US"/>
        </w:rPr>
        <w:lastRenderedPageBreak/>
        <w:t>I</w:t>
      </w:r>
      <w:r w:rsidR="004A4910">
        <w:rPr>
          <w:rFonts w:ascii="Palatino Linotype" w:hAnsi="Palatino Linotype" w:cstheme="minorHAnsi"/>
          <w:b/>
          <w:sz w:val="22"/>
          <w:szCs w:val="22"/>
          <w:lang w:val="en-US"/>
        </w:rPr>
        <w:t>nventor</w:t>
      </w:r>
      <w:r>
        <w:rPr>
          <w:rFonts w:ascii="Palatino Linotype" w:hAnsi="Palatino Linotype" w:cstheme="minorHAnsi"/>
          <w:b/>
          <w:sz w:val="22"/>
          <w:szCs w:val="22"/>
          <w:lang w:val="en-US"/>
        </w:rPr>
        <w:t>ies</w:t>
      </w:r>
      <w:r w:rsidR="004A4910">
        <w:rPr>
          <w:rFonts w:ascii="Palatino Linotype" w:hAnsi="Palatino Linotype" w:cstheme="minorHAnsi"/>
          <w:b/>
          <w:sz w:val="22"/>
          <w:szCs w:val="22"/>
          <w:lang w:val="en-US"/>
        </w:rPr>
        <w:t xml:space="preserve"> </w:t>
      </w:r>
      <w:r>
        <w:rPr>
          <w:rFonts w:ascii="Palatino Linotype" w:hAnsi="Palatino Linotype" w:cstheme="minorHAnsi"/>
          <w:b/>
          <w:sz w:val="22"/>
          <w:szCs w:val="22"/>
          <w:lang w:val="en-US"/>
        </w:rPr>
        <w:t xml:space="preserve">have </w:t>
      </w:r>
      <w:r w:rsidR="00AF78D0">
        <w:rPr>
          <w:rFonts w:ascii="Palatino Linotype" w:hAnsi="Palatino Linotype" w:cstheme="minorHAnsi"/>
          <w:b/>
          <w:sz w:val="22"/>
          <w:szCs w:val="22"/>
          <w:lang w:val="en-US"/>
        </w:rPr>
        <w:t>continued to decrease</w:t>
      </w:r>
      <w:r w:rsidR="00494926" w:rsidRPr="006679E6">
        <w:rPr>
          <w:rStyle w:val="FootnoteReference"/>
          <w:rFonts w:ascii="Palatino Linotype" w:hAnsi="Palatino Linotype" w:cstheme="minorHAnsi"/>
          <w:b/>
          <w:sz w:val="22"/>
          <w:szCs w:val="22"/>
          <w:lang w:val="en-US"/>
        </w:rPr>
        <w:footnoteReference w:id="3"/>
      </w:r>
    </w:p>
    <w:p w14:paraId="073CD0EF" w14:textId="777FEDDD" w:rsidR="00610EAA" w:rsidRDefault="00AF78D0" w:rsidP="00610EAA">
      <w:pPr>
        <w:pStyle w:val="NormalWeb"/>
        <w:spacing w:before="0" w:beforeAutospacing="0" w:after="0" w:afterAutospacing="0" w:line="360" w:lineRule="auto"/>
        <w:ind w:right="79"/>
        <w:jc w:val="both"/>
        <w:rPr>
          <w:rFonts w:ascii="Palatino Linotype" w:hAnsi="Palatino Linotype" w:cstheme="minorHAnsi"/>
          <w:sz w:val="22"/>
          <w:szCs w:val="22"/>
          <w:lang w:val="en-US"/>
        </w:rPr>
      </w:pPr>
      <w:r w:rsidRPr="00AF78D0">
        <w:rPr>
          <w:rFonts w:ascii="Palatino Linotype" w:hAnsi="Palatino Linotype" w:cstheme="minorHAnsi"/>
          <w:sz w:val="22"/>
          <w:szCs w:val="22"/>
          <w:lang w:val="en-US"/>
        </w:rPr>
        <w:t>We see that stock changes</w:t>
      </w:r>
      <w:r>
        <w:rPr>
          <w:rFonts w:ascii="Palatino Linotype" w:hAnsi="Palatino Linotype" w:cstheme="minorHAnsi"/>
          <w:sz w:val="22"/>
          <w:szCs w:val="22"/>
          <w:lang w:val="en-US"/>
        </w:rPr>
        <w:t xml:space="preserve"> are</w:t>
      </w:r>
      <w:r w:rsidRPr="00AF78D0">
        <w:rPr>
          <w:rFonts w:ascii="Palatino Linotype" w:hAnsi="Palatino Linotype" w:cstheme="minorHAnsi"/>
          <w:sz w:val="22"/>
          <w:szCs w:val="22"/>
          <w:lang w:val="en-US"/>
        </w:rPr>
        <w:t xml:space="preserve"> continu</w:t>
      </w:r>
      <w:r>
        <w:rPr>
          <w:rFonts w:ascii="Palatino Linotype" w:hAnsi="Palatino Linotype" w:cstheme="minorHAnsi"/>
          <w:sz w:val="22"/>
          <w:szCs w:val="22"/>
          <w:lang w:val="en-US"/>
        </w:rPr>
        <w:t>ing</w:t>
      </w:r>
      <w:r w:rsidRPr="00AF78D0">
        <w:rPr>
          <w:rFonts w:ascii="Palatino Linotype" w:hAnsi="Palatino Linotype" w:cstheme="minorHAnsi"/>
          <w:sz w:val="22"/>
          <w:szCs w:val="22"/>
          <w:lang w:val="en-US"/>
        </w:rPr>
        <w:t xml:space="preserve"> to suppress annual growth. While the contribution of stock changes to annual growth </w:t>
      </w:r>
      <w:r>
        <w:rPr>
          <w:rFonts w:ascii="Palatino Linotype" w:hAnsi="Palatino Linotype" w:cstheme="minorHAnsi"/>
          <w:sz w:val="22"/>
          <w:szCs w:val="22"/>
          <w:lang w:val="en-US"/>
        </w:rPr>
        <w:t>has been</w:t>
      </w:r>
      <w:r w:rsidRPr="00AF78D0">
        <w:rPr>
          <w:rFonts w:ascii="Palatino Linotype" w:hAnsi="Palatino Linotype" w:cstheme="minorHAnsi"/>
          <w:sz w:val="22"/>
          <w:szCs w:val="22"/>
          <w:lang w:val="en-US"/>
        </w:rPr>
        <w:t xml:space="preserve"> minus 8.6 percentage points (Table 1), according to seasonal and calendar adjusted data, its contribution to quarterly growth </w:t>
      </w:r>
      <w:r>
        <w:rPr>
          <w:rFonts w:ascii="Palatino Linotype" w:hAnsi="Palatino Linotype" w:cstheme="minorHAnsi"/>
          <w:sz w:val="22"/>
          <w:szCs w:val="22"/>
          <w:lang w:val="en-US"/>
        </w:rPr>
        <w:t>has been</w:t>
      </w:r>
      <w:r w:rsidRPr="00AF78D0">
        <w:rPr>
          <w:rFonts w:ascii="Palatino Linotype" w:hAnsi="Palatino Linotype" w:cstheme="minorHAnsi"/>
          <w:sz w:val="22"/>
          <w:szCs w:val="22"/>
          <w:lang w:val="en-US"/>
        </w:rPr>
        <w:t xml:space="preserve"> 1.9 percentage points (Table 2). </w:t>
      </w:r>
      <w:r w:rsidR="00C50B4E" w:rsidRPr="00C50B4E">
        <w:rPr>
          <w:rFonts w:ascii="Palatino Linotype" w:hAnsi="Palatino Linotype" w:cstheme="minorHAnsi"/>
          <w:sz w:val="22"/>
          <w:szCs w:val="22"/>
          <w:lang w:val="en-US"/>
        </w:rPr>
        <w:t xml:space="preserve">The contribution of stock change to annual growth is negative because the stocks accumulated during the pandemic </w:t>
      </w:r>
      <w:r w:rsidRPr="00AF78D0">
        <w:rPr>
          <w:rFonts w:ascii="Palatino Linotype" w:hAnsi="Palatino Linotype" w:cstheme="minorHAnsi"/>
          <w:sz w:val="22"/>
          <w:szCs w:val="22"/>
          <w:lang w:val="en-US"/>
        </w:rPr>
        <w:t xml:space="preserve">continue to melt in the first quarter of 2022, as in 2021. It can be said that the increase in production lags behind the </w:t>
      </w:r>
      <w:r w:rsidR="00C50B4E">
        <w:rPr>
          <w:rFonts w:ascii="Palatino Linotype" w:hAnsi="Palatino Linotype" w:cstheme="minorHAnsi"/>
          <w:sz w:val="22"/>
          <w:szCs w:val="22"/>
          <w:lang w:val="en-US"/>
        </w:rPr>
        <w:t>rise</w:t>
      </w:r>
      <w:r w:rsidRPr="00AF78D0">
        <w:rPr>
          <w:rFonts w:ascii="Palatino Linotype" w:hAnsi="Palatino Linotype" w:cstheme="minorHAnsi"/>
          <w:sz w:val="22"/>
          <w:szCs w:val="22"/>
          <w:lang w:val="en-US"/>
        </w:rPr>
        <w:t xml:space="preserve"> in consumption due to decreasing stocks.</w:t>
      </w:r>
    </w:p>
    <w:p w14:paraId="3137157A" w14:textId="77777777" w:rsidR="00AF78D0" w:rsidRDefault="00AF78D0" w:rsidP="00610EAA">
      <w:pPr>
        <w:pStyle w:val="NormalWeb"/>
        <w:spacing w:before="0" w:beforeAutospacing="0" w:after="0" w:afterAutospacing="0" w:line="360" w:lineRule="auto"/>
        <w:ind w:right="79"/>
        <w:jc w:val="both"/>
        <w:rPr>
          <w:rFonts w:ascii="Palatino Linotype" w:hAnsi="Palatino Linotype" w:cstheme="minorHAnsi"/>
          <w:b/>
          <w:sz w:val="22"/>
          <w:szCs w:val="22"/>
          <w:lang w:val="en-US"/>
        </w:rPr>
      </w:pPr>
    </w:p>
    <w:p w14:paraId="1788AC75" w14:textId="77777777" w:rsidR="00AF78D0" w:rsidRDefault="00AF78D0" w:rsidP="00610EAA">
      <w:pPr>
        <w:pStyle w:val="NormalWeb"/>
        <w:spacing w:before="0" w:beforeAutospacing="0" w:after="0" w:afterAutospacing="0" w:line="360" w:lineRule="auto"/>
        <w:ind w:right="77"/>
        <w:jc w:val="both"/>
        <w:rPr>
          <w:rFonts w:ascii="Palatino Linotype" w:hAnsi="Palatino Linotype" w:cstheme="minorHAnsi"/>
          <w:b/>
          <w:sz w:val="22"/>
          <w:szCs w:val="22"/>
          <w:lang w:val="en-US"/>
        </w:rPr>
      </w:pPr>
      <w:r w:rsidRPr="00AF78D0">
        <w:rPr>
          <w:rFonts w:ascii="Palatino Linotype" w:hAnsi="Palatino Linotype" w:cstheme="minorHAnsi"/>
          <w:b/>
          <w:sz w:val="22"/>
          <w:szCs w:val="22"/>
          <w:lang w:val="en-US"/>
        </w:rPr>
        <w:t xml:space="preserve">Foreign trade contribution falls </w:t>
      </w:r>
    </w:p>
    <w:p w14:paraId="0BF8EB1E" w14:textId="01D52390" w:rsidR="00EB2B22" w:rsidRDefault="00AF78D0" w:rsidP="00610EAA">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AF78D0">
        <w:rPr>
          <w:rFonts w:ascii="Palatino Linotype" w:hAnsi="Palatino Linotype" w:cstheme="minorHAnsi"/>
          <w:sz w:val="22"/>
          <w:szCs w:val="22"/>
          <w:lang w:val="en-US"/>
        </w:rPr>
        <w:t>Since the increase in exports slows down faster than the increase in imports, the foreign trade contribution decreases. In the first quarter of 2022, exports</w:t>
      </w:r>
      <w:r w:rsidR="009B07DD">
        <w:rPr>
          <w:rFonts w:ascii="Palatino Linotype" w:hAnsi="Palatino Linotype" w:cstheme="minorHAnsi"/>
          <w:sz w:val="22"/>
          <w:szCs w:val="22"/>
          <w:lang w:val="en-US"/>
        </w:rPr>
        <w:t xml:space="preserve"> have</w:t>
      </w:r>
      <w:r w:rsidRPr="00AF78D0">
        <w:rPr>
          <w:rFonts w:ascii="Palatino Linotype" w:hAnsi="Palatino Linotype" w:cstheme="minorHAnsi"/>
          <w:sz w:val="22"/>
          <w:szCs w:val="22"/>
          <w:lang w:val="en-US"/>
        </w:rPr>
        <w:t xml:space="preserve"> increased by 16.8 percent compared to the same period of the previous year, contributing 5.7 percentage points to the annual GDP growth. However, the contribution of net foreign trade to growth </w:t>
      </w:r>
      <w:r w:rsidR="009B07DD">
        <w:rPr>
          <w:rFonts w:ascii="Palatino Linotype" w:hAnsi="Palatino Linotype" w:cstheme="minorHAnsi"/>
          <w:sz w:val="22"/>
          <w:szCs w:val="22"/>
          <w:lang w:val="en-US"/>
        </w:rPr>
        <w:t xml:space="preserve">has </w:t>
      </w:r>
      <w:r w:rsidRPr="00AF78D0">
        <w:rPr>
          <w:rFonts w:ascii="Palatino Linotype" w:hAnsi="Palatino Linotype" w:cstheme="minorHAnsi"/>
          <w:sz w:val="22"/>
          <w:szCs w:val="22"/>
          <w:lang w:val="en-US"/>
        </w:rPr>
        <w:t xml:space="preserve">decreased to 4.9 percentage points, with a negative contribution of 0.8 percentage points caused by the 2.3 percent increase in imports (Table 1). Considering the seasonally and </w:t>
      </w:r>
      <w:r w:rsidR="00C50B4E">
        <w:rPr>
          <w:rFonts w:ascii="Palatino Linotype" w:hAnsi="Palatino Linotype" w:cstheme="minorHAnsi"/>
          <w:sz w:val="22"/>
          <w:szCs w:val="22"/>
          <w:lang w:val="en-US"/>
        </w:rPr>
        <w:t>calendar-adjusted</w:t>
      </w:r>
      <w:r w:rsidRPr="00AF78D0">
        <w:rPr>
          <w:rFonts w:ascii="Palatino Linotype" w:hAnsi="Palatino Linotype" w:cstheme="minorHAnsi"/>
          <w:sz w:val="22"/>
          <w:szCs w:val="22"/>
          <w:lang w:val="en-US"/>
        </w:rPr>
        <w:t xml:space="preserve"> figures, imports, which increased by 9.2 percent in the previous quarter, </w:t>
      </w:r>
      <w:r w:rsidR="00C50B4E">
        <w:rPr>
          <w:rFonts w:ascii="Palatino Linotype" w:hAnsi="Palatino Linotype" w:cstheme="minorHAnsi"/>
          <w:sz w:val="22"/>
          <w:szCs w:val="22"/>
          <w:lang w:val="en-US"/>
        </w:rPr>
        <w:t>have</w:t>
      </w:r>
      <w:r w:rsidR="009B07DD">
        <w:rPr>
          <w:rFonts w:ascii="Palatino Linotype" w:hAnsi="Palatino Linotype" w:cstheme="minorHAnsi"/>
          <w:sz w:val="22"/>
          <w:szCs w:val="22"/>
          <w:lang w:val="en-US"/>
        </w:rPr>
        <w:t xml:space="preserve"> </w:t>
      </w:r>
      <w:r w:rsidRPr="00AF78D0">
        <w:rPr>
          <w:rFonts w:ascii="Palatino Linotype" w:hAnsi="Palatino Linotype" w:cstheme="minorHAnsi"/>
          <w:sz w:val="22"/>
          <w:szCs w:val="22"/>
          <w:lang w:val="en-US"/>
        </w:rPr>
        <w:t>decreased by 5.6 percent (Table 2).</w:t>
      </w:r>
    </w:p>
    <w:p w14:paraId="351E3D90" w14:textId="77777777" w:rsidR="00AF78D0" w:rsidRPr="00610EAA" w:rsidRDefault="00AF78D0" w:rsidP="00610EAA">
      <w:pPr>
        <w:pStyle w:val="NormalWeb"/>
        <w:spacing w:before="0" w:beforeAutospacing="0" w:after="0" w:afterAutospacing="0" w:line="360" w:lineRule="auto"/>
        <w:ind w:right="77"/>
        <w:jc w:val="both"/>
        <w:rPr>
          <w:rFonts w:ascii="Palatino Linotype" w:hAnsi="Palatino Linotype" w:cstheme="minorHAnsi"/>
          <w:sz w:val="22"/>
          <w:szCs w:val="22"/>
          <w:lang w:val="en-US"/>
        </w:rPr>
      </w:pPr>
    </w:p>
    <w:p w14:paraId="2C621B8E" w14:textId="7B93167A" w:rsidR="00C50B4E" w:rsidRPr="00C50B4E" w:rsidRDefault="00C50B4E" w:rsidP="00C50B4E">
      <w:pPr>
        <w:pStyle w:val="NormalWeb"/>
        <w:spacing w:line="360" w:lineRule="auto"/>
        <w:ind w:right="77"/>
        <w:rPr>
          <w:rFonts w:ascii="Palatino Linotype" w:hAnsi="Palatino Linotype" w:cstheme="minorHAnsi"/>
          <w:b/>
          <w:bCs/>
          <w:sz w:val="22"/>
          <w:szCs w:val="22"/>
          <w:lang w:val="en-US"/>
        </w:rPr>
      </w:pPr>
      <w:r w:rsidRPr="00C50B4E">
        <w:rPr>
          <w:rFonts w:ascii="Palatino Linotype" w:hAnsi="Palatino Linotype" w:cstheme="minorHAnsi"/>
          <w:b/>
          <w:bCs/>
          <w:sz w:val="22"/>
          <w:szCs w:val="22"/>
          <w:lang w:val="en-US"/>
        </w:rPr>
        <w:t>Public spending</w:t>
      </w:r>
      <w:r>
        <w:rPr>
          <w:rFonts w:ascii="Palatino Linotype" w:hAnsi="Palatino Linotype" w:cstheme="minorHAnsi"/>
          <w:b/>
          <w:bCs/>
          <w:sz w:val="22"/>
          <w:szCs w:val="22"/>
          <w:lang w:val="en-US"/>
        </w:rPr>
        <w:t xml:space="preserve"> has</w:t>
      </w:r>
      <w:r w:rsidRPr="00C50B4E">
        <w:rPr>
          <w:rFonts w:ascii="Palatino Linotype" w:hAnsi="Palatino Linotype" w:cstheme="minorHAnsi"/>
          <w:b/>
          <w:bCs/>
          <w:sz w:val="22"/>
          <w:szCs w:val="22"/>
          <w:lang w:val="en-US"/>
        </w:rPr>
        <w:t xml:space="preserve"> decreased</w:t>
      </w:r>
    </w:p>
    <w:p w14:paraId="06B7E7B4" w14:textId="5ACA5D74" w:rsidR="00EB2B22" w:rsidRPr="00C50B4E" w:rsidRDefault="00C50B4E" w:rsidP="00C50B4E">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C50B4E">
        <w:rPr>
          <w:rFonts w:ascii="Palatino Linotype" w:hAnsi="Palatino Linotype" w:cstheme="minorHAnsi"/>
          <w:bCs/>
          <w:sz w:val="22"/>
          <w:szCs w:val="22"/>
          <w:lang w:val="en-US"/>
        </w:rPr>
        <w:t xml:space="preserve">In the first quarter of 2022, public </w:t>
      </w:r>
      <w:r>
        <w:rPr>
          <w:rFonts w:ascii="Palatino Linotype" w:hAnsi="Palatino Linotype" w:cstheme="minorHAnsi"/>
          <w:bCs/>
          <w:sz w:val="22"/>
          <w:szCs w:val="22"/>
          <w:lang w:val="en-US"/>
        </w:rPr>
        <w:t xml:space="preserve">spending </w:t>
      </w:r>
      <w:r w:rsidRPr="00C50B4E">
        <w:rPr>
          <w:rFonts w:ascii="Palatino Linotype" w:hAnsi="Palatino Linotype" w:cstheme="minorHAnsi"/>
          <w:bCs/>
          <w:sz w:val="22"/>
          <w:szCs w:val="22"/>
          <w:lang w:val="en-US"/>
        </w:rPr>
        <w:t xml:space="preserve">increased by 0.9 percent, contributing 0.4 percentage points to annual growth (Table 1). In seasonally adjusted figures, public consumption remained stable and </w:t>
      </w:r>
      <w:r>
        <w:rPr>
          <w:rFonts w:ascii="Palatino Linotype" w:hAnsi="Palatino Linotype" w:cstheme="minorHAnsi"/>
          <w:bCs/>
          <w:sz w:val="22"/>
          <w:szCs w:val="22"/>
          <w:lang w:val="en-US"/>
        </w:rPr>
        <w:t>did not affect</w:t>
      </w:r>
      <w:r w:rsidRPr="00C50B4E">
        <w:rPr>
          <w:rFonts w:ascii="Palatino Linotype" w:hAnsi="Palatino Linotype" w:cstheme="minorHAnsi"/>
          <w:bCs/>
          <w:sz w:val="22"/>
          <w:szCs w:val="22"/>
          <w:lang w:val="en-US"/>
        </w:rPr>
        <w:t xml:space="preserve"> growth (Table 2).</w:t>
      </w:r>
    </w:p>
    <w:p w14:paraId="18C98E26" w14:textId="258865F7" w:rsidR="00C50B4E" w:rsidRDefault="00C50B4E" w:rsidP="00C50B4E">
      <w:pPr>
        <w:pStyle w:val="NormalWeb"/>
        <w:spacing w:before="0" w:beforeAutospacing="0" w:after="0" w:afterAutospacing="0" w:line="360" w:lineRule="auto"/>
        <w:ind w:right="77"/>
        <w:rPr>
          <w:rFonts w:ascii="Palatino Linotype" w:hAnsi="Palatino Linotype" w:cstheme="minorHAnsi"/>
          <w:sz w:val="22"/>
          <w:szCs w:val="22"/>
          <w:lang w:val="en-US"/>
        </w:rPr>
      </w:pPr>
    </w:p>
    <w:p w14:paraId="7CBC7A56" w14:textId="6E009981" w:rsidR="00C50B4E" w:rsidRDefault="00C50B4E" w:rsidP="00C50B4E">
      <w:pPr>
        <w:pStyle w:val="NormalWeb"/>
        <w:spacing w:before="0" w:beforeAutospacing="0" w:after="0" w:afterAutospacing="0" w:line="360" w:lineRule="auto"/>
        <w:ind w:right="77"/>
        <w:rPr>
          <w:rFonts w:ascii="Palatino Linotype" w:hAnsi="Palatino Linotype" w:cstheme="minorHAnsi"/>
          <w:sz w:val="22"/>
          <w:szCs w:val="22"/>
          <w:lang w:val="en-US"/>
        </w:rPr>
      </w:pPr>
    </w:p>
    <w:p w14:paraId="280DCAAC" w14:textId="77777777" w:rsidR="00C50B4E" w:rsidRDefault="00C50B4E" w:rsidP="00C50B4E">
      <w:pPr>
        <w:pStyle w:val="NormalWeb"/>
        <w:spacing w:before="0" w:beforeAutospacing="0" w:after="0" w:afterAutospacing="0" w:line="360" w:lineRule="auto"/>
        <w:ind w:right="77"/>
        <w:rPr>
          <w:rFonts w:ascii="Palatino Linotype" w:hAnsi="Palatino Linotype" w:cstheme="minorHAnsi"/>
          <w:sz w:val="22"/>
          <w:szCs w:val="22"/>
          <w:lang w:val="en-US"/>
        </w:rPr>
      </w:pPr>
    </w:p>
    <w:p w14:paraId="4C5F10E3" w14:textId="02A9B98E" w:rsidR="00955E90" w:rsidRPr="006679E6" w:rsidRDefault="00981D42" w:rsidP="00B366B7">
      <w:pPr>
        <w:pStyle w:val="NormalWeb"/>
        <w:spacing w:before="0" w:beforeAutospacing="0" w:after="0" w:afterAutospacing="0" w:line="360" w:lineRule="auto"/>
        <w:ind w:right="77"/>
        <w:rPr>
          <w:rFonts w:ascii="Palatino Linotype" w:hAnsi="Palatino Linotype" w:cstheme="minorHAnsi"/>
          <w:b/>
          <w:bCs/>
          <w:sz w:val="22"/>
          <w:szCs w:val="22"/>
          <w:lang w:val="en-US"/>
        </w:rPr>
      </w:pPr>
      <w:r>
        <w:rPr>
          <w:rFonts w:ascii="Palatino Linotype" w:hAnsi="Palatino Linotype" w:cstheme="minorHAnsi"/>
          <w:b/>
          <w:bCs/>
          <w:sz w:val="22"/>
          <w:szCs w:val="22"/>
          <w:lang w:val="en-US"/>
        </w:rPr>
        <w:lastRenderedPageBreak/>
        <w:t>The future of growth</w:t>
      </w:r>
    </w:p>
    <w:p w14:paraId="417CF693" w14:textId="0590D75C" w:rsidR="00981D42" w:rsidRDefault="00C50B4E" w:rsidP="00513359">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C50B4E">
        <w:rPr>
          <w:rFonts w:ascii="Palatino Linotype" w:hAnsi="Palatino Linotype" w:cstheme="minorHAnsi"/>
          <w:bCs/>
          <w:sz w:val="22"/>
          <w:szCs w:val="22"/>
          <w:lang w:val="en-US"/>
        </w:rPr>
        <w:t xml:space="preserve">Two components drove growth in the first quarter of 2022: private consumption and exports. We can say that the main reason behind the high increase in private consumption in the first quarter was the </w:t>
      </w:r>
      <w:r w:rsidR="00852075">
        <w:rPr>
          <w:rFonts w:ascii="Palatino Linotype" w:hAnsi="Palatino Linotype" w:cstheme="minorHAnsi"/>
          <w:bCs/>
          <w:sz w:val="22"/>
          <w:szCs w:val="22"/>
          <w:lang w:val="en-US"/>
        </w:rPr>
        <w:t xml:space="preserve">forwarded </w:t>
      </w:r>
      <w:r w:rsidRPr="00C50B4E">
        <w:rPr>
          <w:rFonts w:ascii="Palatino Linotype" w:hAnsi="Palatino Linotype" w:cstheme="minorHAnsi"/>
          <w:bCs/>
          <w:sz w:val="22"/>
          <w:szCs w:val="22"/>
          <w:lang w:val="en-US"/>
        </w:rPr>
        <w:t xml:space="preserve">demand </w:t>
      </w:r>
      <w:r w:rsidR="00852075">
        <w:rPr>
          <w:rFonts w:ascii="Palatino Linotype" w:hAnsi="Palatino Linotype" w:cstheme="minorHAnsi"/>
          <w:bCs/>
          <w:sz w:val="22"/>
          <w:szCs w:val="22"/>
          <w:lang w:val="en-US"/>
        </w:rPr>
        <w:t>in an environment with increasing inflation rates</w:t>
      </w:r>
      <w:r w:rsidRPr="00C50B4E">
        <w:rPr>
          <w:rFonts w:ascii="Palatino Linotype" w:hAnsi="Palatino Linotype" w:cstheme="minorHAnsi"/>
          <w:bCs/>
          <w:sz w:val="22"/>
          <w:szCs w:val="22"/>
          <w:lang w:val="en-US"/>
        </w:rPr>
        <w:t xml:space="preserve">. The reason for the increase in exports was the depreciation in TL, which occurred in the last period. If there are no surprise shocks in inflation and exchange rate, we can say that both effects will be weaker </w:t>
      </w:r>
      <w:r w:rsidR="00852075">
        <w:rPr>
          <w:rFonts w:ascii="Palatino Linotype" w:hAnsi="Palatino Linotype" w:cstheme="minorHAnsi"/>
          <w:bCs/>
          <w:sz w:val="22"/>
          <w:szCs w:val="22"/>
          <w:lang w:val="en-US"/>
        </w:rPr>
        <w:t>in</w:t>
      </w:r>
      <w:r w:rsidRPr="00C50B4E">
        <w:rPr>
          <w:rFonts w:ascii="Palatino Linotype" w:hAnsi="Palatino Linotype" w:cstheme="minorHAnsi"/>
          <w:bCs/>
          <w:sz w:val="22"/>
          <w:szCs w:val="22"/>
          <w:lang w:val="en-US"/>
        </w:rPr>
        <w:t xml:space="preserve"> coming months</w:t>
      </w:r>
      <w:r w:rsidR="00852075">
        <w:rPr>
          <w:rFonts w:ascii="Palatino Linotype" w:hAnsi="Palatino Linotype" w:cstheme="minorHAnsi"/>
          <w:bCs/>
          <w:sz w:val="22"/>
          <w:szCs w:val="22"/>
          <w:lang w:val="en-US"/>
        </w:rPr>
        <w:t>, and as a result future economic</w:t>
      </w:r>
      <w:r w:rsidRPr="00C50B4E">
        <w:rPr>
          <w:rFonts w:ascii="Palatino Linotype" w:hAnsi="Palatino Linotype" w:cstheme="minorHAnsi"/>
          <w:bCs/>
          <w:sz w:val="22"/>
          <w:szCs w:val="22"/>
          <w:lang w:val="en-US"/>
        </w:rPr>
        <w:t xml:space="preserve"> growth. Another factor affecting the growth negatively is the low investment </w:t>
      </w:r>
      <w:r w:rsidR="00852075">
        <w:rPr>
          <w:rFonts w:ascii="Palatino Linotype" w:hAnsi="Palatino Linotype" w:cstheme="minorHAnsi"/>
          <w:bCs/>
          <w:sz w:val="22"/>
          <w:szCs w:val="22"/>
          <w:lang w:val="en-US"/>
        </w:rPr>
        <w:t xml:space="preserve">appetite </w:t>
      </w:r>
      <w:r w:rsidRPr="00C50B4E">
        <w:rPr>
          <w:rFonts w:ascii="Palatino Linotype" w:hAnsi="Palatino Linotype" w:cstheme="minorHAnsi"/>
          <w:bCs/>
          <w:sz w:val="22"/>
          <w:szCs w:val="22"/>
          <w:lang w:val="en-US"/>
        </w:rPr>
        <w:t xml:space="preserve">due to the increasing inflation and deteriorating expectations. We do not expect investment behavior to change radically in the near future. For all these reasons, we expect the next </w:t>
      </w:r>
      <w:r>
        <w:rPr>
          <w:rFonts w:ascii="Palatino Linotype" w:hAnsi="Palatino Linotype" w:cstheme="minorHAnsi"/>
          <w:bCs/>
          <w:sz w:val="22"/>
          <w:szCs w:val="22"/>
          <w:lang w:val="en-US"/>
        </w:rPr>
        <w:t>period’s</w:t>
      </w:r>
      <w:r w:rsidRPr="00C50B4E">
        <w:rPr>
          <w:rFonts w:ascii="Palatino Linotype" w:hAnsi="Palatino Linotype" w:cstheme="minorHAnsi"/>
          <w:bCs/>
          <w:sz w:val="22"/>
          <w:szCs w:val="22"/>
          <w:lang w:val="en-US"/>
        </w:rPr>
        <w:t xml:space="preserve"> growth to be lower than the first </w:t>
      </w:r>
      <w:r>
        <w:rPr>
          <w:rFonts w:ascii="Palatino Linotype" w:hAnsi="Palatino Linotype" w:cstheme="minorHAnsi"/>
          <w:bCs/>
          <w:sz w:val="22"/>
          <w:szCs w:val="22"/>
          <w:lang w:val="en-US"/>
        </w:rPr>
        <w:t>quarter’s</w:t>
      </w:r>
      <w:r w:rsidRPr="00C50B4E">
        <w:rPr>
          <w:rFonts w:ascii="Palatino Linotype" w:hAnsi="Palatino Linotype" w:cstheme="minorHAnsi"/>
          <w:bCs/>
          <w:sz w:val="22"/>
          <w:szCs w:val="22"/>
          <w:lang w:val="en-US"/>
        </w:rPr>
        <w:t xml:space="preserve"> growth.</w:t>
      </w:r>
    </w:p>
    <w:p w14:paraId="12200A18" w14:textId="27A8130E" w:rsidR="00A12631" w:rsidRDefault="00A12631">
      <w:pPr>
        <w:spacing w:after="160" w:line="259" w:lineRule="auto"/>
        <w:rPr>
          <w:rFonts w:ascii="Palatino Linotype" w:hAnsi="Palatino Linotype" w:cstheme="minorHAnsi"/>
          <w:bCs/>
          <w:sz w:val="22"/>
          <w:szCs w:val="22"/>
          <w:lang w:val="en-US"/>
        </w:rPr>
      </w:pPr>
    </w:p>
    <w:p w14:paraId="61C8E3D1" w14:textId="7A8F9083" w:rsidR="00A12631" w:rsidRPr="00155A64" w:rsidRDefault="00A12631" w:rsidP="00A12631">
      <w:pPr>
        <w:pStyle w:val="NormalWeb"/>
        <w:spacing w:before="0" w:beforeAutospacing="0" w:after="0" w:afterAutospacing="0" w:line="360" w:lineRule="auto"/>
        <w:ind w:right="77"/>
        <w:rPr>
          <w:rFonts w:ascii="Palatino Linotype" w:hAnsi="Palatino Linotype" w:cstheme="minorHAnsi"/>
          <w:b/>
          <w:bCs/>
          <w:sz w:val="21"/>
          <w:szCs w:val="21"/>
          <w:lang w:val="en-US"/>
        </w:rPr>
      </w:pPr>
      <w:r w:rsidRPr="00155A64">
        <w:rPr>
          <w:rFonts w:ascii="Palatino Linotype" w:hAnsi="Palatino Linotype" w:cstheme="minorHAnsi"/>
          <w:b/>
          <w:bCs/>
          <w:sz w:val="21"/>
          <w:szCs w:val="21"/>
          <w:lang w:val="en-US"/>
        </w:rPr>
        <w:t xml:space="preserve">Figure 2: GDP growth rates compared to the previous quarter and </w:t>
      </w:r>
      <w:r w:rsidR="00C50B4E">
        <w:rPr>
          <w:rFonts w:ascii="Palatino Linotype" w:hAnsi="Palatino Linotype" w:cstheme="minorHAnsi"/>
          <w:b/>
          <w:bCs/>
          <w:sz w:val="21"/>
          <w:szCs w:val="21"/>
          <w:lang w:val="en-US"/>
        </w:rPr>
        <w:t xml:space="preserve">the </w:t>
      </w:r>
      <w:r w:rsidRPr="00155A64">
        <w:rPr>
          <w:rFonts w:ascii="Palatino Linotype" w:hAnsi="Palatino Linotype" w:cstheme="minorHAnsi"/>
          <w:b/>
          <w:bCs/>
          <w:sz w:val="21"/>
          <w:szCs w:val="21"/>
          <w:lang w:val="en-US"/>
        </w:rPr>
        <w:t>same quarter of last year</w:t>
      </w:r>
      <w:r w:rsidRPr="00155A64">
        <w:rPr>
          <w:noProof/>
          <w:sz w:val="21"/>
          <w:szCs w:val="21"/>
          <w:lang w:val="en-US" w:eastAsia="en-GB"/>
        </w:rPr>
        <w:t xml:space="preserve"> </w:t>
      </w:r>
      <w:r w:rsidRPr="00155A64">
        <w:rPr>
          <w:noProof/>
          <w:lang w:val="en-US"/>
        </w:rPr>
        <w:t xml:space="preserve"> </w:t>
      </w:r>
    </w:p>
    <w:p w14:paraId="61CBC934" w14:textId="2303FC87" w:rsidR="00A12631" w:rsidRDefault="00150D02" w:rsidP="00A12631">
      <w:pPr>
        <w:pStyle w:val="NormalWeb"/>
        <w:spacing w:before="0" w:beforeAutospacing="0" w:after="0" w:afterAutospacing="0" w:line="360" w:lineRule="auto"/>
        <w:ind w:right="77"/>
        <w:jc w:val="both"/>
        <w:rPr>
          <w:rFonts w:ascii="Palatino Linotype" w:hAnsi="Palatino Linotype" w:cstheme="minorHAnsi"/>
          <w:noProof/>
          <w:sz w:val="18"/>
          <w:szCs w:val="18"/>
          <w:lang w:val="en-US"/>
        </w:rPr>
      </w:pPr>
      <w:r>
        <w:rPr>
          <w:noProof/>
          <w:lang w:val="en-GB" w:eastAsia="en-GB"/>
        </w:rPr>
        <w:drawing>
          <wp:inline distT="0" distB="0" distL="0" distR="0" wp14:anchorId="6AFB9125" wp14:editId="0A2EFBE2">
            <wp:extent cx="5760720" cy="3045460"/>
            <wp:effectExtent l="0" t="0" r="11430" b="2540"/>
            <wp:docPr id="8" name="Chart 8">
              <a:extLst xmlns:a="http://schemas.openxmlformats.org/drawingml/2006/main">
                <a:ext uri="{FF2B5EF4-FFF2-40B4-BE49-F238E27FC236}">
                  <a16:creationId xmlns:a16="http://schemas.microsoft.com/office/drawing/2014/main" id="{6BBC39FF-3E2F-4628-A53E-D0F7BA184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61F2BFD5" w:rsidR="001A080D" w:rsidRPr="006679E6" w:rsidRDefault="00A12631" w:rsidP="00A12631">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sectPr w:rsidR="001A080D" w:rsidRPr="006679E6"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E311" w14:textId="77777777" w:rsidR="00E85115" w:rsidRDefault="00E85115" w:rsidP="00DA0C5D">
      <w:r>
        <w:separator/>
      </w:r>
    </w:p>
  </w:endnote>
  <w:endnote w:type="continuationSeparator" w:id="0">
    <w:p w14:paraId="2EF5FFA7" w14:textId="77777777" w:rsidR="00E85115" w:rsidRDefault="00E85115"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C0E38" w14:textId="77777777" w:rsidR="00E85115" w:rsidRDefault="00E85115" w:rsidP="00DA0C5D">
      <w:r>
        <w:separator/>
      </w:r>
    </w:p>
  </w:footnote>
  <w:footnote w:type="continuationSeparator" w:id="0">
    <w:p w14:paraId="3661DA06" w14:textId="77777777" w:rsidR="00E85115" w:rsidRDefault="00E85115"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0391DF4D"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A170FB">
        <w:rPr>
          <w:rFonts w:ascii="Palatino Linotype" w:hAnsi="Palatino Linotype"/>
          <w:sz w:val="18"/>
          <w:szCs w:val="18"/>
        </w:rPr>
        <w:t>ugurcan.acar</w:t>
      </w:r>
      <w:r w:rsidRPr="001866FC">
        <w:rPr>
          <w:rFonts w:ascii="Palatino Linotype" w:hAnsi="Palatino Linotype"/>
          <w:sz w:val="18"/>
          <w:szCs w:val="18"/>
        </w:rPr>
        <w:t>@eas.bau.edu.tr</w:t>
      </w:r>
      <w:r>
        <w:t xml:space="preserve"> </w:t>
      </w:r>
    </w:p>
  </w:footnote>
  <w:footnote w:id="3">
    <w:p w14:paraId="02E4FAD1" w14:textId="1EDCF60B" w:rsidR="00494926" w:rsidRPr="008273F1" w:rsidRDefault="00494926">
      <w:pPr>
        <w:pStyle w:val="FootnoteText"/>
        <w:rPr>
          <w:lang w:val="en-US"/>
        </w:rPr>
      </w:pPr>
      <w:r w:rsidRPr="008273F1">
        <w:rPr>
          <w:rStyle w:val="FootnoteReference"/>
          <w:lang w:val="en-US"/>
        </w:rPr>
        <w:footnoteRef/>
      </w:r>
      <w:r w:rsidRPr="008273F1">
        <w:rPr>
          <w:lang w:val="en-US"/>
        </w:rPr>
        <w:t xml:space="preserve"> </w:t>
      </w:r>
      <w:proofErr w:type="spellStart"/>
      <w:r w:rsidR="008273F1" w:rsidRPr="008273F1">
        <w:rPr>
          <w:lang w:val="en-US"/>
        </w:rPr>
        <w:t>TurkStat</w:t>
      </w:r>
      <w:proofErr w:type="spellEnd"/>
      <w:r w:rsidR="008273F1" w:rsidRPr="008273F1">
        <w:rPr>
          <w:lang w:val="en-US"/>
        </w:rPr>
        <w:t xml:space="preserve"> uses the chained volume index method when calculating new national income series. The contribution to growth of the inventory change cannot be easily calculated because there is an additivity problem in the chain method and a chain index cannot be derived for the "changes in inventories". We discussed in detail in the research note that we recently published how to account for the contribution of inventory change to growth in the chain-volume index approach (see </w:t>
      </w:r>
      <w:proofErr w:type="spellStart"/>
      <w:r w:rsidR="008273F1" w:rsidRPr="008273F1">
        <w:rPr>
          <w:lang w:val="en-US"/>
        </w:rPr>
        <w:t>Betam</w:t>
      </w:r>
      <w:proofErr w:type="spellEnd"/>
      <w:r w:rsidR="008273F1" w:rsidRPr="008273F1">
        <w:rPr>
          <w:lang w:val="en-US"/>
        </w:rPr>
        <w:t xml:space="preserve"> Research Note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0013E"/>
    <w:rsid w:val="0000228F"/>
    <w:rsid w:val="00006890"/>
    <w:rsid w:val="00007C3F"/>
    <w:rsid w:val="0001392F"/>
    <w:rsid w:val="000141C7"/>
    <w:rsid w:val="00017B51"/>
    <w:rsid w:val="00030A2C"/>
    <w:rsid w:val="00036770"/>
    <w:rsid w:val="000404B3"/>
    <w:rsid w:val="00041FB7"/>
    <w:rsid w:val="0004390D"/>
    <w:rsid w:val="00044AF3"/>
    <w:rsid w:val="00044D9E"/>
    <w:rsid w:val="0004588B"/>
    <w:rsid w:val="0005290F"/>
    <w:rsid w:val="00052B86"/>
    <w:rsid w:val="00054943"/>
    <w:rsid w:val="00055EA1"/>
    <w:rsid w:val="000561F7"/>
    <w:rsid w:val="00057F8E"/>
    <w:rsid w:val="00061936"/>
    <w:rsid w:val="00062A8A"/>
    <w:rsid w:val="000652B6"/>
    <w:rsid w:val="00070018"/>
    <w:rsid w:val="000725DB"/>
    <w:rsid w:val="00073415"/>
    <w:rsid w:val="00073E72"/>
    <w:rsid w:val="000753CE"/>
    <w:rsid w:val="000769CF"/>
    <w:rsid w:val="000772A5"/>
    <w:rsid w:val="00080211"/>
    <w:rsid w:val="00080336"/>
    <w:rsid w:val="00085271"/>
    <w:rsid w:val="00087011"/>
    <w:rsid w:val="000905E5"/>
    <w:rsid w:val="00091F3E"/>
    <w:rsid w:val="00096CDA"/>
    <w:rsid w:val="00097794"/>
    <w:rsid w:val="000978C8"/>
    <w:rsid w:val="000A05ED"/>
    <w:rsid w:val="000A3019"/>
    <w:rsid w:val="000A612E"/>
    <w:rsid w:val="000A770F"/>
    <w:rsid w:val="000B0D12"/>
    <w:rsid w:val="000B0FC1"/>
    <w:rsid w:val="000B45D6"/>
    <w:rsid w:val="000C1672"/>
    <w:rsid w:val="000C5C80"/>
    <w:rsid w:val="000C634D"/>
    <w:rsid w:val="000D5FD3"/>
    <w:rsid w:val="000D6E6C"/>
    <w:rsid w:val="000D70D1"/>
    <w:rsid w:val="000E2388"/>
    <w:rsid w:val="000E3805"/>
    <w:rsid w:val="000E445D"/>
    <w:rsid w:val="000F0B6B"/>
    <w:rsid w:val="000F28B9"/>
    <w:rsid w:val="000F2C7A"/>
    <w:rsid w:val="000F378E"/>
    <w:rsid w:val="000F6529"/>
    <w:rsid w:val="001004FF"/>
    <w:rsid w:val="0010209C"/>
    <w:rsid w:val="00111CED"/>
    <w:rsid w:val="00114BBE"/>
    <w:rsid w:val="0011613D"/>
    <w:rsid w:val="001239FD"/>
    <w:rsid w:val="0012527F"/>
    <w:rsid w:val="00125770"/>
    <w:rsid w:val="00126200"/>
    <w:rsid w:val="001272BD"/>
    <w:rsid w:val="00130D73"/>
    <w:rsid w:val="001314B0"/>
    <w:rsid w:val="00132910"/>
    <w:rsid w:val="00140468"/>
    <w:rsid w:val="00143F17"/>
    <w:rsid w:val="0014542A"/>
    <w:rsid w:val="00150D02"/>
    <w:rsid w:val="00150FFB"/>
    <w:rsid w:val="001527FA"/>
    <w:rsid w:val="001537D8"/>
    <w:rsid w:val="001540B7"/>
    <w:rsid w:val="0016084A"/>
    <w:rsid w:val="00160880"/>
    <w:rsid w:val="001648AB"/>
    <w:rsid w:val="00173CB3"/>
    <w:rsid w:val="001744CD"/>
    <w:rsid w:val="00176914"/>
    <w:rsid w:val="00177002"/>
    <w:rsid w:val="001777A4"/>
    <w:rsid w:val="00184174"/>
    <w:rsid w:val="00184B02"/>
    <w:rsid w:val="001851FE"/>
    <w:rsid w:val="001855BC"/>
    <w:rsid w:val="001866FC"/>
    <w:rsid w:val="00190944"/>
    <w:rsid w:val="00194FF2"/>
    <w:rsid w:val="001978A0"/>
    <w:rsid w:val="001A080D"/>
    <w:rsid w:val="001A42FF"/>
    <w:rsid w:val="001A5699"/>
    <w:rsid w:val="001B1A85"/>
    <w:rsid w:val="001B371C"/>
    <w:rsid w:val="001B3A44"/>
    <w:rsid w:val="001B79D6"/>
    <w:rsid w:val="001C2763"/>
    <w:rsid w:val="001C2C68"/>
    <w:rsid w:val="001C65BF"/>
    <w:rsid w:val="001C7370"/>
    <w:rsid w:val="001D0150"/>
    <w:rsid w:val="001D2107"/>
    <w:rsid w:val="001D36E7"/>
    <w:rsid w:val="001D420E"/>
    <w:rsid w:val="001D5B02"/>
    <w:rsid w:val="001D6465"/>
    <w:rsid w:val="001D7073"/>
    <w:rsid w:val="001D7513"/>
    <w:rsid w:val="001D786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37C"/>
    <w:rsid w:val="0022673E"/>
    <w:rsid w:val="00232635"/>
    <w:rsid w:val="002343A8"/>
    <w:rsid w:val="00235DBE"/>
    <w:rsid w:val="00241944"/>
    <w:rsid w:val="00242C10"/>
    <w:rsid w:val="00247A3C"/>
    <w:rsid w:val="0025111C"/>
    <w:rsid w:val="00253E19"/>
    <w:rsid w:val="00265553"/>
    <w:rsid w:val="002663FD"/>
    <w:rsid w:val="002676CD"/>
    <w:rsid w:val="00267F48"/>
    <w:rsid w:val="00270A75"/>
    <w:rsid w:val="002714F9"/>
    <w:rsid w:val="00272912"/>
    <w:rsid w:val="002729B4"/>
    <w:rsid w:val="002755D9"/>
    <w:rsid w:val="00275745"/>
    <w:rsid w:val="002804E5"/>
    <w:rsid w:val="00282242"/>
    <w:rsid w:val="002829BC"/>
    <w:rsid w:val="002847DE"/>
    <w:rsid w:val="0028498B"/>
    <w:rsid w:val="0029215C"/>
    <w:rsid w:val="00293D43"/>
    <w:rsid w:val="00295E9A"/>
    <w:rsid w:val="0029623C"/>
    <w:rsid w:val="0029624E"/>
    <w:rsid w:val="002A037D"/>
    <w:rsid w:val="002A07A9"/>
    <w:rsid w:val="002A16BA"/>
    <w:rsid w:val="002A57DB"/>
    <w:rsid w:val="002A69AD"/>
    <w:rsid w:val="002A7C37"/>
    <w:rsid w:val="002B2172"/>
    <w:rsid w:val="002B2A1B"/>
    <w:rsid w:val="002B3C10"/>
    <w:rsid w:val="002B4A1A"/>
    <w:rsid w:val="002C00A1"/>
    <w:rsid w:val="002C4CC7"/>
    <w:rsid w:val="002C4E2F"/>
    <w:rsid w:val="002C5C24"/>
    <w:rsid w:val="002C64BB"/>
    <w:rsid w:val="002D1797"/>
    <w:rsid w:val="002D4D2D"/>
    <w:rsid w:val="002F2245"/>
    <w:rsid w:val="002F26B4"/>
    <w:rsid w:val="002F2D70"/>
    <w:rsid w:val="002F3163"/>
    <w:rsid w:val="002F63B2"/>
    <w:rsid w:val="00302EDD"/>
    <w:rsid w:val="003061DC"/>
    <w:rsid w:val="003079ED"/>
    <w:rsid w:val="00310C5C"/>
    <w:rsid w:val="00311EFF"/>
    <w:rsid w:val="003162CB"/>
    <w:rsid w:val="003172DB"/>
    <w:rsid w:val="003208E6"/>
    <w:rsid w:val="0032176F"/>
    <w:rsid w:val="00321D78"/>
    <w:rsid w:val="0032280F"/>
    <w:rsid w:val="0032324A"/>
    <w:rsid w:val="00324C51"/>
    <w:rsid w:val="00325894"/>
    <w:rsid w:val="00326195"/>
    <w:rsid w:val="00326678"/>
    <w:rsid w:val="00327CFB"/>
    <w:rsid w:val="00334E27"/>
    <w:rsid w:val="0033649B"/>
    <w:rsid w:val="00344A74"/>
    <w:rsid w:val="003464FE"/>
    <w:rsid w:val="00347AE9"/>
    <w:rsid w:val="00351F12"/>
    <w:rsid w:val="00362359"/>
    <w:rsid w:val="00364AAB"/>
    <w:rsid w:val="00370A07"/>
    <w:rsid w:val="00370FEE"/>
    <w:rsid w:val="00375EB0"/>
    <w:rsid w:val="003771C7"/>
    <w:rsid w:val="003777B5"/>
    <w:rsid w:val="00385A29"/>
    <w:rsid w:val="00385C7B"/>
    <w:rsid w:val="003967B5"/>
    <w:rsid w:val="003A488B"/>
    <w:rsid w:val="003A4C32"/>
    <w:rsid w:val="003A7596"/>
    <w:rsid w:val="003B2008"/>
    <w:rsid w:val="003B2D0B"/>
    <w:rsid w:val="003C267D"/>
    <w:rsid w:val="003C2891"/>
    <w:rsid w:val="003C65A1"/>
    <w:rsid w:val="003C795F"/>
    <w:rsid w:val="003D4202"/>
    <w:rsid w:val="003D44CE"/>
    <w:rsid w:val="003D4627"/>
    <w:rsid w:val="003E1EED"/>
    <w:rsid w:val="003E3299"/>
    <w:rsid w:val="003E3EDF"/>
    <w:rsid w:val="003E5C0F"/>
    <w:rsid w:val="003F00A9"/>
    <w:rsid w:val="003F4E89"/>
    <w:rsid w:val="004017B2"/>
    <w:rsid w:val="00401813"/>
    <w:rsid w:val="0040374C"/>
    <w:rsid w:val="004040C3"/>
    <w:rsid w:val="00405BD8"/>
    <w:rsid w:val="00407C84"/>
    <w:rsid w:val="00416A4B"/>
    <w:rsid w:val="00417F6E"/>
    <w:rsid w:val="00422850"/>
    <w:rsid w:val="00424382"/>
    <w:rsid w:val="00431236"/>
    <w:rsid w:val="00431C38"/>
    <w:rsid w:val="00433A75"/>
    <w:rsid w:val="004426B4"/>
    <w:rsid w:val="004435E3"/>
    <w:rsid w:val="00443C08"/>
    <w:rsid w:val="00447743"/>
    <w:rsid w:val="00450CEA"/>
    <w:rsid w:val="00451A8A"/>
    <w:rsid w:val="004623F2"/>
    <w:rsid w:val="004647F0"/>
    <w:rsid w:val="00476131"/>
    <w:rsid w:val="00476E22"/>
    <w:rsid w:val="00477AED"/>
    <w:rsid w:val="00480684"/>
    <w:rsid w:val="00483EC5"/>
    <w:rsid w:val="0048774D"/>
    <w:rsid w:val="00490AAE"/>
    <w:rsid w:val="00492020"/>
    <w:rsid w:val="004931A5"/>
    <w:rsid w:val="00494926"/>
    <w:rsid w:val="004A4910"/>
    <w:rsid w:val="004B0D97"/>
    <w:rsid w:val="004B130D"/>
    <w:rsid w:val="004B6E05"/>
    <w:rsid w:val="004B7166"/>
    <w:rsid w:val="004C548E"/>
    <w:rsid w:val="004D1FAD"/>
    <w:rsid w:val="004D583E"/>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30B9F"/>
    <w:rsid w:val="0053582F"/>
    <w:rsid w:val="0053586E"/>
    <w:rsid w:val="005412B2"/>
    <w:rsid w:val="0054145E"/>
    <w:rsid w:val="00542345"/>
    <w:rsid w:val="005438B0"/>
    <w:rsid w:val="00544773"/>
    <w:rsid w:val="005600E7"/>
    <w:rsid w:val="005635AF"/>
    <w:rsid w:val="00566223"/>
    <w:rsid w:val="00570C1B"/>
    <w:rsid w:val="00572FD8"/>
    <w:rsid w:val="005748A8"/>
    <w:rsid w:val="005814C0"/>
    <w:rsid w:val="005824BD"/>
    <w:rsid w:val="0058588C"/>
    <w:rsid w:val="00586424"/>
    <w:rsid w:val="005A2246"/>
    <w:rsid w:val="005A3B33"/>
    <w:rsid w:val="005A617F"/>
    <w:rsid w:val="005B35F3"/>
    <w:rsid w:val="005B438A"/>
    <w:rsid w:val="005B67B3"/>
    <w:rsid w:val="005C00FE"/>
    <w:rsid w:val="005C08B0"/>
    <w:rsid w:val="005C4436"/>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0F3"/>
    <w:rsid w:val="005F63C3"/>
    <w:rsid w:val="005F69B2"/>
    <w:rsid w:val="005F7787"/>
    <w:rsid w:val="00602C2B"/>
    <w:rsid w:val="0060593A"/>
    <w:rsid w:val="00610889"/>
    <w:rsid w:val="00610EAA"/>
    <w:rsid w:val="0061333E"/>
    <w:rsid w:val="006138F0"/>
    <w:rsid w:val="00613D1F"/>
    <w:rsid w:val="0061410A"/>
    <w:rsid w:val="00625B95"/>
    <w:rsid w:val="006268DA"/>
    <w:rsid w:val="00630E99"/>
    <w:rsid w:val="006318CD"/>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7B23"/>
    <w:rsid w:val="006679E6"/>
    <w:rsid w:val="0067008D"/>
    <w:rsid w:val="0067066F"/>
    <w:rsid w:val="006761BB"/>
    <w:rsid w:val="0067693E"/>
    <w:rsid w:val="00680AE4"/>
    <w:rsid w:val="00680E36"/>
    <w:rsid w:val="00681022"/>
    <w:rsid w:val="006813D8"/>
    <w:rsid w:val="00681AD9"/>
    <w:rsid w:val="00694B4D"/>
    <w:rsid w:val="00694F52"/>
    <w:rsid w:val="00695471"/>
    <w:rsid w:val="006A201E"/>
    <w:rsid w:val="006A308B"/>
    <w:rsid w:val="006B0633"/>
    <w:rsid w:val="006C122C"/>
    <w:rsid w:val="006C3DFE"/>
    <w:rsid w:val="006C3EE6"/>
    <w:rsid w:val="006C49A7"/>
    <w:rsid w:val="006D02FD"/>
    <w:rsid w:val="006D160C"/>
    <w:rsid w:val="006D1DD6"/>
    <w:rsid w:val="006D32A0"/>
    <w:rsid w:val="006E07BA"/>
    <w:rsid w:val="006F0FC6"/>
    <w:rsid w:val="006F1912"/>
    <w:rsid w:val="006F2CD8"/>
    <w:rsid w:val="006F49E7"/>
    <w:rsid w:val="006F5E82"/>
    <w:rsid w:val="006F615A"/>
    <w:rsid w:val="007011B6"/>
    <w:rsid w:val="0070188F"/>
    <w:rsid w:val="00703D6B"/>
    <w:rsid w:val="00707FBD"/>
    <w:rsid w:val="00711A8A"/>
    <w:rsid w:val="007135FC"/>
    <w:rsid w:val="007201BD"/>
    <w:rsid w:val="00720250"/>
    <w:rsid w:val="007224AF"/>
    <w:rsid w:val="00724E7C"/>
    <w:rsid w:val="00726C51"/>
    <w:rsid w:val="00731521"/>
    <w:rsid w:val="007362AC"/>
    <w:rsid w:val="0074205B"/>
    <w:rsid w:val="0075142F"/>
    <w:rsid w:val="00751F72"/>
    <w:rsid w:val="007559DB"/>
    <w:rsid w:val="00761711"/>
    <w:rsid w:val="00765445"/>
    <w:rsid w:val="0077111C"/>
    <w:rsid w:val="007715F2"/>
    <w:rsid w:val="00773A17"/>
    <w:rsid w:val="00773D69"/>
    <w:rsid w:val="00773D8B"/>
    <w:rsid w:val="00776789"/>
    <w:rsid w:val="00777AEF"/>
    <w:rsid w:val="00783CD4"/>
    <w:rsid w:val="0079216E"/>
    <w:rsid w:val="00792F4E"/>
    <w:rsid w:val="00797437"/>
    <w:rsid w:val="007A0630"/>
    <w:rsid w:val="007A0DBE"/>
    <w:rsid w:val="007A1767"/>
    <w:rsid w:val="007A5FB1"/>
    <w:rsid w:val="007B5A28"/>
    <w:rsid w:val="007B70AD"/>
    <w:rsid w:val="007C1995"/>
    <w:rsid w:val="007C462A"/>
    <w:rsid w:val="007D4953"/>
    <w:rsid w:val="007F13F2"/>
    <w:rsid w:val="007F39BB"/>
    <w:rsid w:val="007F3B7C"/>
    <w:rsid w:val="007F3C9B"/>
    <w:rsid w:val="008057C2"/>
    <w:rsid w:val="008063E6"/>
    <w:rsid w:val="0081114C"/>
    <w:rsid w:val="008151D2"/>
    <w:rsid w:val="0081589C"/>
    <w:rsid w:val="00817A10"/>
    <w:rsid w:val="008273F1"/>
    <w:rsid w:val="008275A8"/>
    <w:rsid w:val="00830B62"/>
    <w:rsid w:val="008312F9"/>
    <w:rsid w:val="00832402"/>
    <w:rsid w:val="00835D87"/>
    <w:rsid w:val="0083655C"/>
    <w:rsid w:val="00837B95"/>
    <w:rsid w:val="00841183"/>
    <w:rsid w:val="00841E4C"/>
    <w:rsid w:val="00844C00"/>
    <w:rsid w:val="00844C47"/>
    <w:rsid w:val="0084500C"/>
    <w:rsid w:val="00845815"/>
    <w:rsid w:val="00845A54"/>
    <w:rsid w:val="0084623F"/>
    <w:rsid w:val="008469D3"/>
    <w:rsid w:val="00852075"/>
    <w:rsid w:val="00856B55"/>
    <w:rsid w:val="00857C0E"/>
    <w:rsid w:val="0086495E"/>
    <w:rsid w:val="00865CE6"/>
    <w:rsid w:val="0086789C"/>
    <w:rsid w:val="00867DEE"/>
    <w:rsid w:val="0087023B"/>
    <w:rsid w:val="00870A3F"/>
    <w:rsid w:val="008753B3"/>
    <w:rsid w:val="0088079F"/>
    <w:rsid w:val="00881E18"/>
    <w:rsid w:val="0088270D"/>
    <w:rsid w:val="00884819"/>
    <w:rsid w:val="0089048A"/>
    <w:rsid w:val="008914E6"/>
    <w:rsid w:val="0089158B"/>
    <w:rsid w:val="00891C6B"/>
    <w:rsid w:val="00893320"/>
    <w:rsid w:val="008945AE"/>
    <w:rsid w:val="008949E0"/>
    <w:rsid w:val="008A3BD9"/>
    <w:rsid w:val="008B0385"/>
    <w:rsid w:val="008B29F8"/>
    <w:rsid w:val="008B6FC3"/>
    <w:rsid w:val="008C51CA"/>
    <w:rsid w:val="008C56F9"/>
    <w:rsid w:val="008C70C5"/>
    <w:rsid w:val="008C73E6"/>
    <w:rsid w:val="008D5E07"/>
    <w:rsid w:val="008D7AA2"/>
    <w:rsid w:val="008F1741"/>
    <w:rsid w:val="008F2BCD"/>
    <w:rsid w:val="00902A07"/>
    <w:rsid w:val="00912A8A"/>
    <w:rsid w:val="00914D26"/>
    <w:rsid w:val="0091617E"/>
    <w:rsid w:val="00916533"/>
    <w:rsid w:val="00916C78"/>
    <w:rsid w:val="00917330"/>
    <w:rsid w:val="009204AA"/>
    <w:rsid w:val="00920878"/>
    <w:rsid w:val="00920DA2"/>
    <w:rsid w:val="00922059"/>
    <w:rsid w:val="0092349F"/>
    <w:rsid w:val="009247BA"/>
    <w:rsid w:val="00924CD9"/>
    <w:rsid w:val="00927D28"/>
    <w:rsid w:val="00935D6E"/>
    <w:rsid w:val="00936595"/>
    <w:rsid w:val="009400E0"/>
    <w:rsid w:val="00940150"/>
    <w:rsid w:val="00940DA9"/>
    <w:rsid w:val="0094295F"/>
    <w:rsid w:val="009455F2"/>
    <w:rsid w:val="00945950"/>
    <w:rsid w:val="00955DC8"/>
    <w:rsid w:val="00955E90"/>
    <w:rsid w:val="00957FE5"/>
    <w:rsid w:val="00961F5B"/>
    <w:rsid w:val="00963B04"/>
    <w:rsid w:val="009663D6"/>
    <w:rsid w:val="00981D42"/>
    <w:rsid w:val="00982B22"/>
    <w:rsid w:val="0098310A"/>
    <w:rsid w:val="00983612"/>
    <w:rsid w:val="0098616F"/>
    <w:rsid w:val="00990E34"/>
    <w:rsid w:val="009928D9"/>
    <w:rsid w:val="00996151"/>
    <w:rsid w:val="00996EBD"/>
    <w:rsid w:val="00997694"/>
    <w:rsid w:val="00997713"/>
    <w:rsid w:val="00997C54"/>
    <w:rsid w:val="009A71AF"/>
    <w:rsid w:val="009B07DD"/>
    <w:rsid w:val="009B1546"/>
    <w:rsid w:val="009B16AD"/>
    <w:rsid w:val="009B2E56"/>
    <w:rsid w:val="009B3197"/>
    <w:rsid w:val="009B385A"/>
    <w:rsid w:val="009B651F"/>
    <w:rsid w:val="009C40EF"/>
    <w:rsid w:val="009C66C3"/>
    <w:rsid w:val="009D62AC"/>
    <w:rsid w:val="009D71BF"/>
    <w:rsid w:val="009E0348"/>
    <w:rsid w:val="009E25DA"/>
    <w:rsid w:val="009E2AA5"/>
    <w:rsid w:val="009E5241"/>
    <w:rsid w:val="009E68C6"/>
    <w:rsid w:val="009F23C4"/>
    <w:rsid w:val="009F2483"/>
    <w:rsid w:val="009F42CC"/>
    <w:rsid w:val="009F603E"/>
    <w:rsid w:val="00A0130D"/>
    <w:rsid w:val="00A03316"/>
    <w:rsid w:val="00A0483D"/>
    <w:rsid w:val="00A04EFA"/>
    <w:rsid w:val="00A06A3E"/>
    <w:rsid w:val="00A10891"/>
    <w:rsid w:val="00A109C3"/>
    <w:rsid w:val="00A12631"/>
    <w:rsid w:val="00A15DC3"/>
    <w:rsid w:val="00A170FB"/>
    <w:rsid w:val="00A2147D"/>
    <w:rsid w:val="00A251CD"/>
    <w:rsid w:val="00A25823"/>
    <w:rsid w:val="00A2601A"/>
    <w:rsid w:val="00A303D5"/>
    <w:rsid w:val="00A3095F"/>
    <w:rsid w:val="00A310EA"/>
    <w:rsid w:val="00A322AA"/>
    <w:rsid w:val="00A327F6"/>
    <w:rsid w:val="00A33E71"/>
    <w:rsid w:val="00A34DB9"/>
    <w:rsid w:val="00A40E31"/>
    <w:rsid w:val="00A444F9"/>
    <w:rsid w:val="00A46C4A"/>
    <w:rsid w:val="00A50FB7"/>
    <w:rsid w:val="00A6009C"/>
    <w:rsid w:val="00A603B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96DDC"/>
    <w:rsid w:val="00AA1706"/>
    <w:rsid w:val="00AA187A"/>
    <w:rsid w:val="00AA5024"/>
    <w:rsid w:val="00AA678E"/>
    <w:rsid w:val="00AA75BD"/>
    <w:rsid w:val="00AB1006"/>
    <w:rsid w:val="00AB36F7"/>
    <w:rsid w:val="00AC2B3D"/>
    <w:rsid w:val="00AC59ED"/>
    <w:rsid w:val="00AD01B6"/>
    <w:rsid w:val="00AD7ADC"/>
    <w:rsid w:val="00AE0D6A"/>
    <w:rsid w:val="00AE59EE"/>
    <w:rsid w:val="00AF3D11"/>
    <w:rsid w:val="00AF78D0"/>
    <w:rsid w:val="00B01508"/>
    <w:rsid w:val="00B01533"/>
    <w:rsid w:val="00B02076"/>
    <w:rsid w:val="00B02D74"/>
    <w:rsid w:val="00B119E3"/>
    <w:rsid w:val="00B17241"/>
    <w:rsid w:val="00B17B6A"/>
    <w:rsid w:val="00B215AC"/>
    <w:rsid w:val="00B24D13"/>
    <w:rsid w:val="00B27C9F"/>
    <w:rsid w:val="00B31FC9"/>
    <w:rsid w:val="00B34132"/>
    <w:rsid w:val="00B35FDB"/>
    <w:rsid w:val="00B366B7"/>
    <w:rsid w:val="00B36BFA"/>
    <w:rsid w:val="00B45DFF"/>
    <w:rsid w:val="00B4685F"/>
    <w:rsid w:val="00B5190A"/>
    <w:rsid w:val="00B56D03"/>
    <w:rsid w:val="00B62037"/>
    <w:rsid w:val="00B703DE"/>
    <w:rsid w:val="00B76782"/>
    <w:rsid w:val="00B82B92"/>
    <w:rsid w:val="00B9319A"/>
    <w:rsid w:val="00B95E66"/>
    <w:rsid w:val="00BA3C62"/>
    <w:rsid w:val="00BA5FF0"/>
    <w:rsid w:val="00BA7E44"/>
    <w:rsid w:val="00BB0912"/>
    <w:rsid w:val="00BB1741"/>
    <w:rsid w:val="00BB3448"/>
    <w:rsid w:val="00BB3FE6"/>
    <w:rsid w:val="00BB5725"/>
    <w:rsid w:val="00BC1EF8"/>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14FC9"/>
    <w:rsid w:val="00C167CC"/>
    <w:rsid w:val="00C21E02"/>
    <w:rsid w:val="00C26ED1"/>
    <w:rsid w:val="00C271FA"/>
    <w:rsid w:val="00C32789"/>
    <w:rsid w:val="00C34C5C"/>
    <w:rsid w:val="00C35660"/>
    <w:rsid w:val="00C425A1"/>
    <w:rsid w:val="00C43EBE"/>
    <w:rsid w:val="00C5056E"/>
    <w:rsid w:val="00C50B4E"/>
    <w:rsid w:val="00C50FD5"/>
    <w:rsid w:val="00C51F7B"/>
    <w:rsid w:val="00C53444"/>
    <w:rsid w:val="00C56C6E"/>
    <w:rsid w:val="00C57749"/>
    <w:rsid w:val="00C60221"/>
    <w:rsid w:val="00C6130D"/>
    <w:rsid w:val="00C7220A"/>
    <w:rsid w:val="00C73CC1"/>
    <w:rsid w:val="00C742C7"/>
    <w:rsid w:val="00C754E1"/>
    <w:rsid w:val="00C7698F"/>
    <w:rsid w:val="00C807B2"/>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C7C34"/>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00DB"/>
    <w:rsid w:val="00D24254"/>
    <w:rsid w:val="00D257C1"/>
    <w:rsid w:val="00D314F9"/>
    <w:rsid w:val="00D32C5D"/>
    <w:rsid w:val="00D34702"/>
    <w:rsid w:val="00D406AA"/>
    <w:rsid w:val="00D4418E"/>
    <w:rsid w:val="00D44562"/>
    <w:rsid w:val="00D45167"/>
    <w:rsid w:val="00D4574F"/>
    <w:rsid w:val="00D463B7"/>
    <w:rsid w:val="00D46CA0"/>
    <w:rsid w:val="00D4719D"/>
    <w:rsid w:val="00D50220"/>
    <w:rsid w:val="00D53424"/>
    <w:rsid w:val="00D54395"/>
    <w:rsid w:val="00D57B0A"/>
    <w:rsid w:val="00D60AAF"/>
    <w:rsid w:val="00D63430"/>
    <w:rsid w:val="00D64700"/>
    <w:rsid w:val="00D65AAD"/>
    <w:rsid w:val="00D67514"/>
    <w:rsid w:val="00D67F66"/>
    <w:rsid w:val="00D732A9"/>
    <w:rsid w:val="00D76361"/>
    <w:rsid w:val="00D803A1"/>
    <w:rsid w:val="00D90931"/>
    <w:rsid w:val="00D92A1A"/>
    <w:rsid w:val="00D92C07"/>
    <w:rsid w:val="00D942BE"/>
    <w:rsid w:val="00D94A3B"/>
    <w:rsid w:val="00D95EA2"/>
    <w:rsid w:val="00D9649B"/>
    <w:rsid w:val="00D976E9"/>
    <w:rsid w:val="00DA0C5D"/>
    <w:rsid w:val="00DA5524"/>
    <w:rsid w:val="00DA618C"/>
    <w:rsid w:val="00DA6E52"/>
    <w:rsid w:val="00DB4A16"/>
    <w:rsid w:val="00DB5024"/>
    <w:rsid w:val="00DB5518"/>
    <w:rsid w:val="00DB5EFB"/>
    <w:rsid w:val="00DB6C1E"/>
    <w:rsid w:val="00DC0B1C"/>
    <w:rsid w:val="00DC2AAD"/>
    <w:rsid w:val="00DC2EE6"/>
    <w:rsid w:val="00DC47DA"/>
    <w:rsid w:val="00DD2D75"/>
    <w:rsid w:val="00DD4D85"/>
    <w:rsid w:val="00DE57B8"/>
    <w:rsid w:val="00DE5907"/>
    <w:rsid w:val="00DF0251"/>
    <w:rsid w:val="00DF08BD"/>
    <w:rsid w:val="00DF1057"/>
    <w:rsid w:val="00DF44DE"/>
    <w:rsid w:val="00E04EFE"/>
    <w:rsid w:val="00E05DE7"/>
    <w:rsid w:val="00E0602A"/>
    <w:rsid w:val="00E109EA"/>
    <w:rsid w:val="00E122C5"/>
    <w:rsid w:val="00E21E9E"/>
    <w:rsid w:val="00E23E54"/>
    <w:rsid w:val="00E25A25"/>
    <w:rsid w:val="00E265D5"/>
    <w:rsid w:val="00E271BB"/>
    <w:rsid w:val="00E306CB"/>
    <w:rsid w:val="00E35120"/>
    <w:rsid w:val="00E3778C"/>
    <w:rsid w:val="00E37C95"/>
    <w:rsid w:val="00E40BEF"/>
    <w:rsid w:val="00E40CBC"/>
    <w:rsid w:val="00E40DD5"/>
    <w:rsid w:val="00E41840"/>
    <w:rsid w:val="00E4681E"/>
    <w:rsid w:val="00E540BC"/>
    <w:rsid w:val="00E565C5"/>
    <w:rsid w:val="00E57043"/>
    <w:rsid w:val="00E5723B"/>
    <w:rsid w:val="00E631F0"/>
    <w:rsid w:val="00E632EE"/>
    <w:rsid w:val="00E634D2"/>
    <w:rsid w:val="00E667CB"/>
    <w:rsid w:val="00E67DCD"/>
    <w:rsid w:val="00E750CC"/>
    <w:rsid w:val="00E77CAA"/>
    <w:rsid w:val="00E82940"/>
    <w:rsid w:val="00E83A84"/>
    <w:rsid w:val="00E85115"/>
    <w:rsid w:val="00E85F3F"/>
    <w:rsid w:val="00E94006"/>
    <w:rsid w:val="00EA0ED2"/>
    <w:rsid w:val="00EA52B3"/>
    <w:rsid w:val="00EA7527"/>
    <w:rsid w:val="00EB2543"/>
    <w:rsid w:val="00EB2B22"/>
    <w:rsid w:val="00EB2C83"/>
    <w:rsid w:val="00EB3A96"/>
    <w:rsid w:val="00EB476F"/>
    <w:rsid w:val="00EB52B3"/>
    <w:rsid w:val="00EC136E"/>
    <w:rsid w:val="00EC1852"/>
    <w:rsid w:val="00EC2814"/>
    <w:rsid w:val="00EC37CB"/>
    <w:rsid w:val="00ED0762"/>
    <w:rsid w:val="00ED266F"/>
    <w:rsid w:val="00ED431D"/>
    <w:rsid w:val="00ED5E21"/>
    <w:rsid w:val="00ED7C53"/>
    <w:rsid w:val="00EE0633"/>
    <w:rsid w:val="00EE150B"/>
    <w:rsid w:val="00EE1BE5"/>
    <w:rsid w:val="00EE4795"/>
    <w:rsid w:val="00EF09A7"/>
    <w:rsid w:val="00EF29EC"/>
    <w:rsid w:val="00F0076E"/>
    <w:rsid w:val="00F00FB7"/>
    <w:rsid w:val="00F0654E"/>
    <w:rsid w:val="00F118B1"/>
    <w:rsid w:val="00F1313C"/>
    <w:rsid w:val="00F136EE"/>
    <w:rsid w:val="00F22A71"/>
    <w:rsid w:val="00F259FE"/>
    <w:rsid w:val="00F27D86"/>
    <w:rsid w:val="00F30329"/>
    <w:rsid w:val="00F31726"/>
    <w:rsid w:val="00F31E52"/>
    <w:rsid w:val="00F33EED"/>
    <w:rsid w:val="00F343EB"/>
    <w:rsid w:val="00F41E19"/>
    <w:rsid w:val="00F441A2"/>
    <w:rsid w:val="00F44E44"/>
    <w:rsid w:val="00F46A54"/>
    <w:rsid w:val="00F50705"/>
    <w:rsid w:val="00F5130C"/>
    <w:rsid w:val="00F5534B"/>
    <w:rsid w:val="00F65C09"/>
    <w:rsid w:val="00F676BF"/>
    <w:rsid w:val="00F67B66"/>
    <w:rsid w:val="00F70EC7"/>
    <w:rsid w:val="00F72AAB"/>
    <w:rsid w:val="00F74EB9"/>
    <w:rsid w:val="00F80F23"/>
    <w:rsid w:val="00F823F7"/>
    <w:rsid w:val="00F87405"/>
    <w:rsid w:val="00F9160B"/>
    <w:rsid w:val="00F94113"/>
    <w:rsid w:val="00F9530C"/>
    <w:rsid w:val="00FA206C"/>
    <w:rsid w:val="00FA2340"/>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06">
      <w:bodyDiv w:val="1"/>
      <w:marLeft w:val="0"/>
      <w:marRight w:val="0"/>
      <w:marTop w:val="0"/>
      <w:marBottom w:val="0"/>
      <w:divBdr>
        <w:top w:val="none" w:sz="0" w:space="0" w:color="auto"/>
        <w:left w:val="none" w:sz="0" w:space="0" w:color="auto"/>
        <w:bottom w:val="none" w:sz="0" w:space="0" w:color="auto"/>
        <w:right w:val="none" w:sz="0" w:space="0" w:color="auto"/>
      </w:divBdr>
    </w:div>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78261841">
      <w:bodyDiv w:val="1"/>
      <w:marLeft w:val="0"/>
      <w:marRight w:val="0"/>
      <w:marTop w:val="0"/>
      <w:marBottom w:val="0"/>
      <w:divBdr>
        <w:top w:val="none" w:sz="0" w:space="0" w:color="auto"/>
        <w:left w:val="none" w:sz="0" w:space="0" w:color="auto"/>
        <w:bottom w:val="none" w:sz="0" w:space="0" w:color="auto"/>
        <w:right w:val="none" w:sz="0" w:space="0" w:color="auto"/>
      </w:divBdr>
    </w:div>
    <w:div w:id="113255543">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304093280">
      <w:bodyDiv w:val="1"/>
      <w:marLeft w:val="0"/>
      <w:marRight w:val="0"/>
      <w:marTop w:val="0"/>
      <w:marBottom w:val="0"/>
      <w:divBdr>
        <w:top w:val="none" w:sz="0" w:space="0" w:color="auto"/>
        <w:left w:val="none" w:sz="0" w:space="0" w:color="auto"/>
        <w:bottom w:val="none" w:sz="0" w:space="0" w:color="auto"/>
        <w:right w:val="none" w:sz="0" w:space="0" w:color="auto"/>
      </w:divBdr>
    </w:div>
    <w:div w:id="440687899">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7367253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890963229">
      <w:bodyDiv w:val="1"/>
      <w:marLeft w:val="0"/>
      <w:marRight w:val="0"/>
      <w:marTop w:val="0"/>
      <w:marBottom w:val="0"/>
      <w:divBdr>
        <w:top w:val="none" w:sz="0" w:space="0" w:color="auto"/>
        <w:left w:val="none" w:sz="0" w:space="0" w:color="auto"/>
        <w:bottom w:val="none" w:sz="0" w:space="0" w:color="auto"/>
        <w:right w:val="none" w:sz="0" w:space="0" w:color="auto"/>
      </w:divBdr>
    </w:div>
    <w:div w:id="900869166">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972174542">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15730573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18759161">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 w:id="2130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gurcan.acar.BAHCE\Dropbox%20(Personal)\betam\betam_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'2021Q4'!$E$32</c:f>
              <c:strCache>
                <c:ptCount val="1"/>
                <c:pt idx="0">
                  <c:v>Annual Change</c:v>
                </c:pt>
              </c:strCache>
            </c:strRef>
          </c:tx>
          <c:spPr>
            <a:solidFill>
              <a:schemeClr val="accent1"/>
            </a:solidFill>
            <a:ln>
              <a:noFill/>
            </a:ln>
            <a:effectLst/>
          </c:spPr>
          <c:invertIfNegative val="0"/>
          <c:cat>
            <c:strRef>
              <c:f>'2021Q4'!$A$37:$A$60</c:f>
              <c:strCache>
                <c:ptCount val="24"/>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strCache>
            </c:strRef>
          </c:cat>
          <c:val>
            <c:numRef>
              <c:f>'2021Q4'!$E$37:$E$60</c:f>
              <c:numCache>
                <c:formatCode>0.000</c:formatCode>
                <c:ptCount val="24"/>
                <c:pt idx="0">
                  <c:v>4.9433773000792769</c:v>
                </c:pt>
                <c:pt idx="1">
                  <c:v>5.0029753619351913</c:v>
                </c:pt>
                <c:pt idx="2">
                  <c:v>-0.66916264538373627</c:v>
                </c:pt>
                <c:pt idx="3">
                  <c:v>4.4311945807482322</c:v>
                </c:pt>
                <c:pt idx="4">
                  <c:v>5.2908425432556472</c:v>
                </c:pt>
                <c:pt idx="5">
                  <c:v>5.3018811864605109</c:v>
                </c:pt>
                <c:pt idx="6">
                  <c:v>11.790057801663067</c:v>
                </c:pt>
                <c:pt idx="7">
                  <c:v>7.268453394698593</c:v>
                </c:pt>
                <c:pt idx="8">
                  <c:v>7.4790849570820495</c:v>
                </c:pt>
                <c:pt idx="9">
                  <c:v>5.8373529623979348</c:v>
                </c:pt>
                <c:pt idx="10">
                  <c:v>2.4970675554269572</c:v>
                </c:pt>
                <c:pt idx="11">
                  <c:v>-2.6385699021583275</c:v>
                </c:pt>
                <c:pt idx="12">
                  <c:v>-2.4614408736860049</c:v>
                </c:pt>
                <c:pt idx="13">
                  <c:v>-1.5675408224043341</c:v>
                </c:pt>
                <c:pt idx="14">
                  <c:v>1.0169684352881569</c:v>
                </c:pt>
                <c:pt idx="15">
                  <c:v>6.0479310481225568</c:v>
                </c:pt>
                <c:pt idx="16">
                  <c:v>4.3526826239118854</c:v>
                </c:pt>
                <c:pt idx="17">
                  <c:v>-10.404267872147443</c:v>
                </c:pt>
                <c:pt idx="18">
                  <c:v>6.3336040005007144</c:v>
                </c:pt>
                <c:pt idx="19">
                  <c:v>6.1618906188610767</c:v>
                </c:pt>
                <c:pt idx="20">
                  <c:v>7.250613747682344</c:v>
                </c:pt>
                <c:pt idx="21">
                  <c:v>21.8933443057449</c:v>
                </c:pt>
                <c:pt idx="22">
                  <c:v>7.5188155523878697</c:v>
                </c:pt>
                <c:pt idx="23">
                  <c:v>9.1367918868312756</c:v>
                </c:pt>
              </c:numCache>
            </c:numRef>
          </c:val>
          <c:extLst>
            <c:ext xmlns:c16="http://schemas.microsoft.com/office/drawing/2014/chart" uri="{C3380CC4-5D6E-409C-BE32-E72D297353CC}">
              <c16:uniqueId val="{00000000-FAFD-4DF7-A495-CB89DD564428}"/>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'2021Q4'!$F$32</c:f>
              <c:strCache>
                <c:ptCount val="1"/>
                <c:pt idx="0">
                  <c:v>Quarter Change</c:v>
                </c:pt>
              </c:strCache>
            </c:strRef>
          </c:tx>
          <c:spPr>
            <a:ln w="25400" cap="rnd">
              <a:solidFill>
                <a:schemeClr val="tx1"/>
              </a:solidFill>
              <a:round/>
            </a:ln>
            <a:effectLst/>
          </c:spPr>
          <c:marker>
            <c:symbol val="none"/>
          </c:marker>
          <c:cat>
            <c:strRef>
              <c:f>'2021Q4'!$A$37:$A$60</c:f>
              <c:strCache>
                <c:ptCount val="24"/>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strCache>
            </c:strRef>
          </c:cat>
          <c:val>
            <c:numRef>
              <c:f>'2021Q4'!$F$37:$F$60</c:f>
              <c:numCache>
                <c:formatCode>0.000</c:formatCode>
                <c:ptCount val="24"/>
                <c:pt idx="0">
                  <c:v>0.361537998800876</c:v>
                </c:pt>
                <c:pt idx="1">
                  <c:v>1.4308864145411659</c:v>
                </c:pt>
                <c:pt idx="2">
                  <c:v>-2.8676734614659694</c:v>
                </c:pt>
                <c:pt idx="3">
                  <c:v>5.5096116443495324</c:v>
                </c:pt>
                <c:pt idx="4">
                  <c:v>1.368865259222618</c:v>
                </c:pt>
                <c:pt idx="5">
                  <c:v>2.2803188216812265</c:v>
                </c:pt>
                <c:pt idx="6">
                  <c:v>1.515918557513718</c:v>
                </c:pt>
                <c:pt idx="7">
                  <c:v>1.8827611322633553</c:v>
                </c:pt>
                <c:pt idx="8">
                  <c:v>1.4687431302132792</c:v>
                </c:pt>
                <c:pt idx="9">
                  <c:v>0.65752178788840432</c:v>
                </c:pt>
                <c:pt idx="10">
                  <c:v>-1.6279355144123486</c:v>
                </c:pt>
                <c:pt idx="11">
                  <c:v>-3.1841153368222574</c:v>
                </c:pt>
                <c:pt idx="12">
                  <c:v>1.9010266536273912</c:v>
                </c:pt>
                <c:pt idx="13">
                  <c:v>2.3799511316839439</c:v>
                </c:pt>
                <c:pt idx="14">
                  <c:v>5.0625443587937191E-2</c:v>
                </c:pt>
                <c:pt idx="15">
                  <c:v>1.3646299664258121</c:v>
                </c:pt>
                <c:pt idx="16">
                  <c:v>0.44624293775687995</c:v>
                </c:pt>
                <c:pt idx="17">
                  <c:v>-10.769850738045239</c:v>
                </c:pt>
                <c:pt idx="18">
                  <c:v>16.400501825253055</c:v>
                </c:pt>
                <c:pt idx="19">
                  <c:v>1.2025247567780228</c:v>
                </c:pt>
                <c:pt idx="20">
                  <c:v>2.20411894446082</c:v>
                </c:pt>
                <c:pt idx="21">
                  <c:v>1.6880766485128484</c:v>
                </c:pt>
                <c:pt idx="22">
                  <c:v>2.7739530826206504</c:v>
                </c:pt>
                <c:pt idx="23">
                  <c:v>1.5109707124161043</c:v>
                </c:pt>
              </c:numCache>
            </c:numRef>
          </c:val>
          <c:smooth val="0"/>
          <c:extLst>
            <c:ext xmlns:c16="http://schemas.microsoft.com/office/drawing/2014/chart" uri="{C3380CC4-5D6E-409C-BE32-E72D297353CC}">
              <c16:uniqueId val="{00000001-FAFD-4DF7-A495-CB89DD564428}"/>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77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CAA2B-1DDC-4B4C-A756-FB05AB7B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746</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Ugurcan ACAR</cp:lastModifiedBy>
  <cp:revision>51</cp:revision>
  <cp:lastPrinted>2019-12-05T12:09:00Z</cp:lastPrinted>
  <dcterms:created xsi:type="dcterms:W3CDTF">2021-09-28T13:00:00Z</dcterms:created>
  <dcterms:modified xsi:type="dcterms:W3CDTF">2022-06-13T11:24:00Z</dcterms:modified>
</cp:coreProperties>
</file>