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D1B7D" w14:textId="77777777" w:rsidR="00917330" w:rsidRPr="00CC0355" w:rsidRDefault="00917330">
      <w:pPr>
        <w:rPr>
          <w:rFonts w:ascii="Palatino Linotype" w:hAnsi="Palatino Linotype" w:cstheme="minorHAnsi"/>
        </w:rPr>
      </w:pPr>
    </w:p>
    <w:p w14:paraId="4E745BEF" w14:textId="77777777" w:rsidR="00D07713" w:rsidRPr="00CC0355" w:rsidRDefault="00062A8A">
      <w:pPr>
        <w:rPr>
          <w:rFonts w:ascii="Palatino Linotype" w:hAnsi="Palatino Linotype" w:cstheme="minorHAnsi"/>
        </w:rPr>
      </w:pPr>
      <w:r w:rsidRPr="00CC0355">
        <w:rPr>
          <w:rFonts w:ascii="Palatino Linotype" w:hAnsi="Palatino Linotype" w:cstheme="minorHAnsi"/>
          <w:noProof/>
          <w:lang w:val="en-GB" w:eastAsia="en-GB"/>
        </w:rPr>
        <mc:AlternateContent>
          <mc:Choice Requires="wps">
            <w:drawing>
              <wp:anchor distT="0" distB="0" distL="114935" distR="114935" simplePos="0" relativeHeight="251658752" behindDoc="0" locked="0" layoutInCell="1" allowOverlap="1" wp14:anchorId="3C0B86FB" wp14:editId="67FACDA7">
                <wp:simplePos x="0" y="0"/>
                <wp:positionH relativeFrom="column">
                  <wp:posOffset>5404053</wp:posOffset>
                </wp:positionH>
                <wp:positionV relativeFrom="paragraph">
                  <wp:posOffset>53340</wp:posOffset>
                </wp:positionV>
                <wp:extent cx="1209675" cy="419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4191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CFDC6" w14:textId="1CF9A489" w:rsidR="00D07713" w:rsidRPr="00D07713" w:rsidRDefault="00C34D9B"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6</w:t>
                            </w:r>
                            <w:r w:rsidR="006F0FC6">
                              <w:rPr>
                                <w:rFonts w:ascii="Arial" w:eastAsia="Times New Roman" w:hAnsi="Arial" w:cs="Arial"/>
                                <w:b/>
                                <w:bCs/>
                                <w:color w:val="FFFFFF"/>
                                <w:sz w:val="22"/>
                                <w:szCs w:val="22"/>
                                <w:lang w:eastAsia="ar-SA"/>
                              </w:rPr>
                              <w:t xml:space="preserve"> </w:t>
                            </w:r>
                            <w:r>
                              <w:rPr>
                                <w:rFonts w:ascii="Arial" w:eastAsia="Times New Roman" w:hAnsi="Arial" w:cs="Arial"/>
                                <w:b/>
                                <w:bCs/>
                                <w:color w:val="FFFFFF"/>
                                <w:sz w:val="22"/>
                                <w:szCs w:val="22"/>
                                <w:lang w:eastAsia="ar-SA"/>
                              </w:rPr>
                              <w:t>Haziran</w:t>
                            </w:r>
                            <w:r w:rsidR="00E37C95">
                              <w:rPr>
                                <w:rFonts w:ascii="Arial" w:eastAsia="Times New Roman" w:hAnsi="Arial" w:cs="Arial"/>
                                <w:b/>
                                <w:bCs/>
                                <w:color w:val="FFFFFF"/>
                                <w:sz w:val="22"/>
                                <w:szCs w:val="22"/>
                                <w:lang w:eastAsia="ar-SA"/>
                              </w:rPr>
                              <w:t xml:space="preserve"> 202</w:t>
                            </w:r>
                            <w:r w:rsidR="006C1ABC">
                              <w:rPr>
                                <w:rFonts w:ascii="Arial" w:eastAsia="Times New Roman" w:hAnsi="Arial" w:cs="Arial"/>
                                <w:b/>
                                <w:bCs/>
                                <w:color w:val="FFFFFF"/>
                                <w:sz w:val="22"/>
                                <w:szCs w:val="22"/>
                                <w:lang w:eastAsia="ar-SA"/>
                              </w:rPr>
                              <w:t>2</w:t>
                            </w:r>
                          </w:p>
                          <w:p w14:paraId="1C706E2C"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0B86FB" id="_x0000_t202" coordsize="21600,21600" o:spt="202" path="m,l,21600r21600,l21600,xe">
                <v:stroke joinstyle="miter"/>
                <v:path gradientshapeok="t" o:connecttype="rect"/>
              </v:shapetype>
              <v:shape id="Text Box 3" o:spid="_x0000_s1026" type="#_x0000_t202" style="position:absolute;margin-left:425.5pt;margin-top:4.2pt;width:95.25pt;height:33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3aiwIAABwFAAAOAAAAZHJzL2Uyb0RvYy54bWysVNuO2yAQfa/Uf0C8Z32pk42tdVZ7aapK&#10;24u02w8gBseoGCiQ2NtV/70DxNnN9qWq6gc8wHDmzMyBi8uxF2jPjOVK1jg7SzFislGUy22Nvz2s&#10;Z0uMrCOSEqEkq/Ejs/hy9fbNxaArlqtOCcoMAhBpq0HXuHNOV0lim471xJ4pzSRstsr0xMHUbBNq&#10;yADovUjyNF0kgzJUG9Uwa2H1Nm7iVcBvW9a4L21rmUOixsDNhdGEcePHZHVBqq0huuPNgQb5BxY9&#10;4RKCHqFuiSNoZ/gfUD1vjLKqdWeN6hPVtrxhIQfIJktfZXPfEc1CLlAcq49lsv8Ptvm8/2oQpzXO&#10;MZKkhxY9sNGhazWid746g7YVON1rcHMjLEOXQ6ZW36nmu0VS3XREbtmVMWroGKHALvMnkxdHI471&#10;IJvhk6IQhuycCkBja3pfOigGAnTo0uOxM55K40Pmabk4n2PUwF6RlVkaWpeQajqtjXUfmOqRN2ps&#10;oPMBnezvrPNsSDW5+GBWCU7XXIgwMdvNjTBoT0Al6/DFs0J3JK5O4Wx0DXgnGEJ6JKk8ZgwXVyAD&#10;IOD3fC5BEk9llhfpdV7O1ovl+axYF/NZeZ4uZ2lWXpeLtCiL2/UvzyArqo5TyuQdl2ySZ1b8XfsP&#10;FyUKKwgUDTUu5/k8JHfC/pDWIdfUf6GFrwrVcwe3VfC+xsujE6l8199LCmmTyhEuop2c0g8lgxpM&#10;/1CVoBEviygQN25GQPHC2Sj6CGoxCpoJkoAnBoxOmZ8YDXBda2x/7IhhGImPEhTn7/ZkmMnYTAaR&#10;DRytscMomjcuvgE7bfi2A+SoaamuQJUtD4J5ZgGU/QSuYCB/eC78HX85D17Pj9rqNwAAAP//AwBQ&#10;SwMEFAAGAAgAAAAhAO/ohrzdAAAACQEAAA8AAABkcnMvZG93bnJldi54bWxMj8FOwzAQRO9I/IO1&#10;SNyok5LSELKpoAiuiIDUqxtv4yjxOordNvw97glus5rVzJtyM9tBnGjynWOEdJGAIG6c7rhF+P56&#10;u8tB+KBYq8ExIfyQh011fVWqQrszf9KpDq2IIewLhWBCGAspfWPIKr9wI3H0Dm6yKsRzaqWe1DmG&#10;20Euk+RBWtVxbDBqpK2hpq+PFuH+Y7ne+ff6dTvu6LHP/Ut/YIN4ezM/P4EINIe/Z7jgR3SoItPe&#10;HVl7MSDkqzRuCVFkIC5+kqUrEHuEdZaBrEr5f0H1CwAA//8DAFBLAQItABQABgAIAAAAIQC2gziS&#10;/gAAAOEBAAATAAAAAAAAAAAAAAAAAAAAAABbQ29udGVudF9UeXBlc10ueG1sUEsBAi0AFAAGAAgA&#10;AAAhADj9If/WAAAAlAEAAAsAAAAAAAAAAAAAAAAALwEAAF9yZWxzLy5yZWxzUEsBAi0AFAAGAAgA&#10;AAAhAI5GjdqLAgAAHAUAAA4AAAAAAAAAAAAAAAAALgIAAGRycy9lMm9Eb2MueG1sUEsBAi0AFAAG&#10;AAgAAAAhAO/ohrzdAAAACQEAAA8AAAAAAAAAAAAAAAAA5QQAAGRycy9kb3ducmV2LnhtbFBLBQYA&#10;AAAABAAEAPMAAADvBQAAAAA=&#10;" stroked="f">
                <v:fill opacity="0"/>
                <v:textbox inset="0,0,0,0">
                  <w:txbxContent>
                    <w:p w14:paraId="5B0CFDC6" w14:textId="1CF9A489" w:rsidR="00D07713" w:rsidRPr="00D07713" w:rsidRDefault="00C34D9B"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6</w:t>
                      </w:r>
                      <w:r w:rsidR="006F0FC6">
                        <w:rPr>
                          <w:rFonts w:ascii="Arial" w:eastAsia="Times New Roman" w:hAnsi="Arial" w:cs="Arial"/>
                          <w:b/>
                          <w:bCs/>
                          <w:color w:val="FFFFFF"/>
                          <w:sz w:val="22"/>
                          <w:szCs w:val="22"/>
                          <w:lang w:eastAsia="ar-SA"/>
                        </w:rPr>
                        <w:t xml:space="preserve"> </w:t>
                      </w:r>
                      <w:r>
                        <w:rPr>
                          <w:rFonts w:ascii="Arial" w:eastAsia="Times New Roman" w:hAnsi="Arial" w:cs="Arial"/>
                          <w:b/>
                          <w:bCs/>
                          <w:color w:val="FFFFFF"/>
                          <w:sz w:val="22"/>
                          <w:szCs w:val="22"/>
                          <w:lang w:eastAsia="ar-SA"/>
                        </w:rPr>
                        <w:t>Haziran</w:t>
                      </w:r>
                      <w:r w:rsidR="00E37C95">
                        <w:rPr>
                          <w:rFonts w:ascii="Arial" w:eastAsia="Times New Roman" w:hAnsi="Arial" w:cs="Arial"/>
                          <w:b/>
                          <w:bCs/>
                          <w:color w:val="FFFFFF"/>
                          <w:sz w:val="22"/>
                          <w:szCs w:val="22"/>
                          <w:lang w:eastAsia="ar-SA"/>
                        </w:rPr>
                        <w:t xml:space="preserve"> 202</w:t>
                      </w:r>
                      <w:r w:rsidR="006C1ABC">
                        <w:rPr>
                          <w:rFonts w:ascii="Arial" w:eastAsia="Times New Roman" w:hAnsi="Arial" w:cs="Arial"/>
                          <w:b/>
                          <w:bCs/>
                          <w:color w:val="FFFFFF"/>
                          <w:sz w:val="22"/>
                          <w:szCs w:val="22"/>
                          <w:lang w:eastAsia="ar-SA"/>
                        </w:rPr>
                        <w:t>2</w:t>
                      </w:r>
                    </w:p>
                    <w:p w14:paraId="1C706E2C" w14:textId="77777777" w:rsidR="00D07713" w:rsidRPr="00187FA0" w:rsidRDefault="00D07713" w:rsidP="00D07713"/>
                  </w:txbxContent>
                </v:textbox>
              </v:shape>
            </w:pict>
          </mc:Fallback>
        </mc:AlternateContent>
      </w:r>
      <w:r w:rsidR="007F39BB" w:rsidRPr="00CC0355">
        <w:rPr>
          <w:rFonts w:ascii="Palatino Linotype" w:hAnsi="Palatino Linotype" w:cstheme="minorHAnsi"/>
          <w:noProof/>
          <w:lang w:val="en-GB" w:eastAsia="en-GB"/>
        </w:rPr>
        <mc:AlternateContent>
          <mc:Choice Requires="wps">
            <w:drawing>
              <wp:anchor distT="0" distB="0" distL="114935" distR="114935" simplePos="0" relativeHeight="251656704" behindDoc="0" locked="0" layoutInCell="1" allowOverlap="1" wp14:anchorId="1A71AF94" wp14:editId="16698A46">
                <wp:simplePos x="0" y="0"/>
                <wp:positionH relativeFrom="column">
                  <wp:posOffset>1367155</wp:posOffset>
                </wp:positionH>
                <wp:positionV relativeFrom="paragraph">
                  <wp:posOffset>-709295</wp:posOffset>
                </wp:positionV>
                <wp:extent cx="3819525" cy="6477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647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AA76D" w14:textId="77777777"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135E9FE7" w:rsidR="00D07713" w:rsidRPr="00526178" w:rsidRDefault="001537D8" w:rsidP="00D07713">
                            <w:pPr>
                              <w:pStyle w:val="Heading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w:t>
                            </w:r>
                            <w:r w:rsidR="00C34D9B">
                              <w:rPr>
                                <w:rFonts w:ascii="Times New Roman" w:hAnsi="Times New Roman" w:cs="Times New Roman"/>
                                <w:sz w:val="40"/>
                                <w:szCs w:val="40"/>
                              </w:rPr>
                              <w:t>2</w:t>
                            </w:r>
                            <w:r>
                              <w:rPr>
                                <w:rFonts w:ascii="Times New Roman" w:hAnsi="Times New Roman" w:cs="Times New Roman"/>
                                <w:sz w:val="40"/>
                                <w:szCs w:val="40"/>
                              </w:rPr>
                              <w:t xml:space="preserve"> </w:t>
                            </w:r>
                            <w:r w:rsidR="00C34D9B">
                              <w:rPr>
                                <w:rFonts w:ascii="Times New Roman" w:hAnsi="Times New Roman" w:cs="Times New Roman"/>
                                <w:sz w:val="40"/>
                                <w:szCs w:val="40"/>
                              </w:rPr>
                              <w:t>1</w:t>
                            </w:r>
                            <w:r w:rsidR="00D07713" w:rsidRPr="00803E3E">
                              <w:rPr>
                                <w:rFonts w:ascii="Times New Roman" w:hAnsi="Times New Roman" w:cs="Times New Roman"/>
                                <w:sz w:val="40"/>
                                <w:szCs w:val="40"/>
                              </w:rPr>
                              <w:t>. Çeyrek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71AF94" id="Text Box 2" o:spid="_x0000_s1027" type="#_x0000_t202" style="position:absolute;margin-left:107.65pt;margin-top:-55.85pt;width:300.75pt;height:51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wOigIAACQFAAAOAAAAZHJzL2Uyb0RvYy54bWysVNuO2yAQfa/Uf0C8Z32pN4mtdVabbFNV&#10;2l6k3X4AwThGxUCBxN5W/fcOsM5eqkpVVT/gAYbDmZkzXFyOvUBHZixXssbZWYoRk1Q1XO5r/OVu&#10;O1tiZB2RDRFKshrfM4svV69fXQy6YrnqlGiYQQAibTXoGnfO6SpJLO1YT+yZ0kzCZqtMTxxMzT5p&#10;DBkAvRdJnqbzZFCm0UZRZi2sXsdNvAr4bcuo+9S2ljkkagzcXBhNGHd+TFYXpNobojtOH2iQf2DR&#10;Ey7h0hPUNXEEHQz/Darn1CirWndGVZ+otuWUhRggmix9Ec1tRzQLsUByrD6lyf4/WPrx+Nkg3tQ4&#10;h/RI0kON7tjo0FqNKPfpGbStwOtWg58bYRnKHEK1+kbRrxZJtemI3LMrY9TQMdIAvcyfTJ4cjTjW&#10;g+yGD6qBa8jBqQA0tqb3uYNsIEAHHven0ngqFBbfLLPyPD/HiMLevFgs0lC7hFTTaW2se8dUj7xR&#10;YwOlD+jkeGOdZ0OqycVfZpXgzZYLESZmv9sIg44EZLINXzwrdEfi6nSdja4B7xmGkB5JKo8Zr4sr&#10;EAEQ8Hs+lqCJH2WWF+k6L2fb+XIxK7bF+axcpMtZmpXrcp4WZXG9/ekZZEXV8aZh8oZLNukzK/6u&#10;/g+dEpUVFIqGGoc0hqD/mIE0fKGELxLVcwftKnhf4+XJiVS+6m9lA2GTyhEuop08px9SBjmY/iEr&#10;QSNeFlEgbtyNQY1BQF4/O9Xcg2iMgpqCMuCpAaNT5jtGA7Rtje23AzEMI/FegvB8j0+GmYzdZBBJ&#10;4WiNHUbR3Lj4Fhy04fsOkKO0pboCcbY86OaRBTD3E2jFEMPDs+F7/ek8eD0+bqtfAAAA//8DAFBL&#10;AwQUAAYACAAAACEAwDBLId8AAAALAQAADwAAAGRycy9kb3ducmV2LnhtbEyPwU6DQBCG7ya+w2ZM&#10;vLXL0lgosjRaY69GNOl1C1MgsLOE3bb49h1PepyZL/98f76d7SAuOPnOkQa1jEAgVa7uqNHw/fW+&#10;SEH4YKg2gyPU8IMetsX9XW6y2l3pEy9laASHkM+MhjaEMZPSVy1a45duROLbyU3WBB6nRtaTuXK4&#10;HWQcRWtpTUf8oTUj7lqs+vJsNaw+4uTg9+Xbbjzgpk/9a3+iVuvHh/nlGUTAOfzB8KvP6lCw09Gd&#10;qfZi0BCrpxWjGhZKqQQEI6lac5sjrzYJyCKX/zsUNwAAAP//AwBQSwECLQAUAAYACAAAACEAtoM4&#10;kv4AAADhAQAAEwAAAAAAAAAAAAAAAAAAAAAAW0NvbnRlbnRfVHlwZXNdLnhtbFBLAQItABQABgAI&#10;AAAAIQA4/SH/1gAAAJQBAAALAAAAAAAAAAAAAAAAAC8BAABfcmVscy8ucmVsc1BLAQItABQABgAI&#10;AAAAIQB9bcwOigIAACQFAAAOAAAAAAAAAAAAAAAAAC4CAABkcnMvZTJvRG9jLnhtbFBLAQItABQA&#10;BgAIAAAAIQDAMEsh3wAAAAsBAAAPAAAAAAAAAAAAAAAAAOQEAABkcnMvZG93bnJldi54bWxQSwUG&#10;AAAAAAQABADzAAAA8AUAAAAA&#10;" stroked="f">
                <v:fill opacity="0"/>
                <v:textbox inset="0,0,0,0">
                  <w:txbxContent>
                    <w:p w14:paraId="37AAA76D" w14:textId="77777777" w:rsidR="00D07713" w:rsidRDefault="00D07713" w:rsidP="00D07713">
                      <w:pPr>
                        <w:pStyle w:val="Heading1"/>
                        <w:rPr>
                          <w:rFonts w:ascii="Times New Roman" w:hAnsi="Times New Roman" w:cs="Times New Roman"/>
                          <w:sz w:val="40"/>
                          <w:szCs w:val="40"/>
                        </w:rPr>
                      </w:pPr>
                      <w:r w:rsidRPr="00803E3E">
                        <w:rPr>
                          <w:rFonts w:ascii="Times New Roman" w:hAnsi="Times New Roman" w:cs="Times New Roman"/>
                          <w:sz w:val="40"/>
                          <w:szCs w:val="40"/>
                        </w:rPr>
                        <w:t xml:space="preserve">Büyüme </w:t>
                      </w:r>
                      <w:r w:rsidR="00125770">
                        <w:rPr>
                          <w:rFonts w:ascii="Times New Roman" w:hAnsi="Times New Roman" w:cs="Times New Roman"/>
                          <w:sz w:val="40"/>
                          <w:szCs w:val="40"/>
                        </w:rPr>
                        <w:t>Değerlendirmesi</w:t>
                      </w:r>
                      <w:r w:rsidR="00125770" w:rsidRPr="00803E3E">
                        <w:rPr>
                          <w:rFonts w:ascii="Times New Roman" w:hAnsi="Times New Roman" w:cs="Times New Roman"/>
                          <w:sz w:val="40"/>
                          <w:szCs w:val="40"/>
                        </w:rPr>
                        <w:t>:</w:t>
                      </w:r>
                    </w:p>
                    <w:p w14:paraId="28E5CBD4" w14:textId="135E9FE7" w:rsidR="00D07713" w:rsidRPr="00526178" w:rsidRDefault="001537D8" w:rsidP="00D07713">
                      <w:pPr>
                        <w:pStyle w:val="Heading1"/>
                        <w:rPr>
                          <w:b w:val="0"/>
                          <w:bCs w:val="0"/>
                          <w:i/>
                          <w:iCs/>
                        </w:rPr>
                      </w:pPr>
                      <w:r>
                        <w:rPr>
                          <w:rFonts w:ascii="Times New Roman" w:hAnsi="Times New Roman" w:cs="Times New Roman"/>
                          <w:sz w:val="40"/>
                          <w:szCs w:val="40"/>
                        </w:rPr>
                        <w:t>20</w:t>
                      </w:r>
                      <w:r w:rsidR="00BB0912">
                        <w:rPr>
                          <w:rFonts w:ascii="Times New Roman" w:hAnsi="Times New Roman" w:cs="Times New Roman"/>
                          <w:sz w:val="40"/>
                          <w:szCs w:val="40"/>
                        </w:rPr>
                        <w:t>2</w:t>
                      </w:r>
                      <w:r w:rsidR="00C34D9B">
                        <w:rPr>
                          <w:rFonts w:ascii="Times New Roman" w:hAnsi="Times New Roman" w:cs="Times New Roman"/>
                          <w:sz w:val="40"/>
                          <w:szCs w:val="40"/>
                        </w:rPr>
                        <w:t>2</w:t>
                      </w:r>
                      <w:r>
                        <w:rPr>
                          <w:rFonts w:ascii="Times New Roman" w:hAnsi="Times New Roman" w:cs="Times New Roman"/>
                          <w:sz w:val="40"/>
                          <w:szCs w:val="40"/>
                        </w:rPr>
                        <w:t xml:space="preserve"> </w:t>
                      </w:r>
                      <w:r w:rsidR="00C34D9B">
                        <w:rPr>
                          <w:rFonts w:ascii="Times New Roman" w:hAnsi="Times New Roman" w:cs="Times New Roman"/>
                          <w:sz w:val="40"/>
                          <w:szCs w:val="40"/>
                        </w:rPr>
                        <w:t>1</w:t>
                      </w:r>
                      <w:r w:rsidR="00D07713" w:rsidRPr="00803E3E">
                        <w:rPr>
                          <w:rFonts w:ascii="Times New Roman" w:hAnsi="Times New Roman" w:cs="Times New Roman"/>
                          <w:sz w:val="40"/>
                          <w:szCs w:val="40"/>
                        </w:rPr>
                        <w:t>. Çeyrek</w:t>
                      </w:r>
                    </w:p>
                  </w:txbxContent>
                </v:textbox>
              </v:shape>
            </w:pict>
          </mc:Fallback>
        </mc:AlternateContent>
      </w:r>
      <w:r w:rsidR="00D07713" w:rsidRPr="00CC0355">
        <w:rPr>
          <w:rFonts w:ascii="Palatino Linotype" w:hAnsi="Palatino Linotype" w:cstheme="minorHAnsi"/>
          <w:noProof/>
          <w:lang w:val="en-GB" w:eastAsia="en-GB"/>
        </w:rPr>
        <w:drawing>
          <wp:anchor distT="0" distB="0" distL="114300" distR="114300" simplePos="0" relativeHeight="251655680" behindDoc="1" locked="0" layoutInCell="1" allowOverlap="1" wp14:anchorId="69EA5A2C" wp14:editId="5E923368">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11"/>
                    <a:srcRect/>
                    <a:stretch>
                      <a:fillRect/>
                    </a:stretch>
                  </pic:blipFill>
                  <pic:spPr bwMode="auto">
                    <a:xfrm>
                      <a:off x="0" y="0"/>
                      <a:ext cx="7315200" cy="1330325"/>
                    </a:xfrm>
                    <a:prstGeom prst="rect">
                      <a:avLst/>
                    </a:prstGeom>
                    <a:noFill/>
                  </pic:spPr>
                </pic:pic>
              </a:graphicData>
            </a:graphic>
          </wp:anchor>
        </w:drawing>
      </w:r>
    </w:p>
    <w:p w14:paraId="1A2A657A" w14:textId="408BA8A5" w:rsidR="00D07713" w:rsidRDefault="00D07713" w:rsidP="009E4A1F">
      <w:pPr>
        <w:spacing w:line="288" w:lineRule="auto"/>
        <w:ind w:right="-319"/>
        <w:outlineLvl w:val="0"/>
        <w:rPr>
          <w:rFonts w:ascii="Palatino Linotype" w:hAnsi="Palatino Linotype" w:cstheme="minorHAnsi"/>
        </w:rPr>
      </w:pPr>
    </w:p>
    <w:p w14:paraId="48D1A525" w14:textId="77777777" w:rsidR="009E4A1F" w:rsidRPr="00CC0355" w:rsidRDefault="009E4A1F" w:rsidP="009E4A1F">
      <w:pPr>
        <w:spacing w:line="288" w:lineRule="auto"/>
        <w:ind w:right="-319"/>
        <w:outlineLvl w:val="0"/>
        <w:rPr>
          <w:rFonts w:ascii="Palatino Linotype" w:hAnsi="Palatino Linotype" w:cstheme="minorHAnsi"/>
          <w:b/>
          <w:bCs/>
          <w:sz w:val="28"/>
          <w:szCs w:val="28"/>
        </w:rPr>
      </w:pPr>
    </w:p>
    <w:p w14:paraId="6D031923" w14:textId="6E503C94" w:rsidR="0002466A" w:rsidRPr="0002466A" w:rsidRDefault="0002466A" w:rsidP="0002466A">
      <w:pPr>
        <w:spacing w:line="288" w:lineRule="auto"/>
        <w:ind w:right="-319"/>
        <w:jc w:val="center"/>
        <w:outlineLvl w:val="0"/>
        <w:rPr>
          <w:rFonts w:ascii="Palatino Linotype" w:hAnsi="Palatino Linotype" w:cstheme="minorHAnsi"/>
          <w:b/>
          <w:bCs/>
          <w:sz w:val="28"/>
          <w:szCs w:val="28"/>
        </w:rPr>
      </w:pPr>
      <w:r w:rsidRPr="008E4870">
        <w:rPr>
          <w:rFonts w:ascii="Palatino Linotype" w:hAnsi="Palatino Linotype" w:cstheme="minorHAnsi"/>
          <w:b/>
          <w:bCs/>
          <w:sz w:val="28"/>
          <w:szCs w:val="28"/>
        </w:rPr>
        <w:t>BÜYÜME</w:t>
      </w:r>
      <w:r w:rsidR="008E4870" w:rsidRPr="008E4870">
        <w:rPr>
          <w:rFonts w:ascii="Palatino Linotype" w:hAnsi="Palatino Linotype" w:cstheme="minorHAnsi"/>
          <w:b/>
          <w:bCs/>
          <w:sz w:val="28"/>
          <w:szCs w:val="28"/>
        </w:rPr>
        <w:t>Y</w:t>
      </w:r>
      <w:r w:rsidR="008E4870">
        <w:rPr>
          <w:rFonts w:ascii="Palatino Linotype" w:hAnsi="Palatino Linotype" w:cstheme="minorHAnsi"/>
          <w:b/>
          <w:bCs/>
          <w:sz w:val="28"/>
          <w:szCs w:val="28"/>
        </w:rPr>
        <w:t>İ</w:t>
      </w:r>
      <w:r w:rsidR="000D5974">
        <w:rPr>
          <w:rFonts w:ascii="Palatino Linotype" w:hAnsi="Palatino Linotype" w:cstheme="minorHAnsi"/>
          <w:b/>
          <w:bCs/>
          <w:sz w:val="28"/>
          <w:szCs w:val="28"/>
        </w:rPr>
        <w:t xml:space="preserve"> </w:t>
      </w:r>
      <w:r w:rsidR="004126A2">
        <w:rPr>
          <w:rFonts w:ascii="Palatino Linotype" w:hAnsi="Palatino Linotype" w:cstheme="minorHAnsi"/>
          <w:b/>
          <w:bCs/>
          <w:sz w:val="28"/>
          <w:szCs w:val="28"/>
        </w:rPr>
        <w:t>ÖZEL TÜKETİM VE İHRACAT SIRTLADI</w:t>
      </w:r>
    </w:p>
    <w:p w14:paraId="428E7403" w14:textId="2D72E974" w:rsidR="00D07713" w:rsidRPr="0002466A" w:rsidRDefault="00D07713" w:rsidP="004623F2">
      <w:pPr>
        <w:spacing w:line="288" w:lineRule="auto"/>
        <w:ind w:right="-319"/>
        <w:jc w:val="center"/>
        <w:outlineLvl w:val="0"/>
        <w:rPr>
          <w:rFonts w:ascii="Palatino Linotype" w:hAnsi="Palatino Linotype" w:cstheme="minorHAnsi"/>
        </w:rPr>
      </w:pPr>
      <w:r w:rsidRPr="0002466A">
        <w:rPr>
          <w:rFonts w:ascii="Palatino Linotype" w:hAnsi="Palatino Linotype" w:cstheme="minorHAnsi"/>
          <w:b/>
          <w:bCs/>
          <w:sz w:val="22"/>
          <w:szCs w:val="22"/>
        </w:rPr>
        <w:t>Ozan Bakış</w:t>
      </w:r>
      <w:r w:rsidR="00C32789" w:rsidRPr="0002466A">
        <w:rPr>
          <w:rStyle w:val="FootnoteReference"/>
          <w:rFonts w:ascii="Palatino Linotype" w:hAnsi="Palatino Linotype" w:cstheme="minorHAnsi"/>
          <w:b/>
          <w:bCs/>
          <w:sz w:val="22"/>
          <w:szCs w:val="22"/>
        </w:rPr>
        <w:footnoteReference w:id="1"/>
      </w:r>
      <w:r w:rsidR="001537D8" w:rsidRPr="0002466A">
        <w:rPr>
          <w:rFonts w:ascii="Palatino Linotype" w:hAnsi="Palatino Linotype" w:cstheme="minorHAnsi"/>
          <w:b/>
          <w:bCs/>
          <w:sz w:val="22"/>
          <w:szCs w:val="22"/>
        </w:rPr>
        <w:t xml:space="preserve"> ve </w:t>
      </w:r>
      <w:r w:rsidR="00E7272A">
        <w:rPr>
          <w:rFonts w:ascii="Palatino Linotype" w:hAnsi="Palatino Linotype" w:cstheme="minorHAnsi"/>
          <w:b/>
          <w:bCs/>
          <w:sz w:val="22"/>
          <w:szCs w:val="22"/>
        </w:rPr>
        <w:t>Uğurcan Acar</w:t>
      </w:r>
      <w:r w:rsidR="001537D8" w:rsidRPr="0002466A">
        <w:rPr>
          <w:rStyle w:val="FootnoteReference"/>
          <w:rFonts w:ascii="Palatino Linotype" w:hAnsi="Palatino Linotype" w:cstheme="minorHAnsi"/>
          <w:b/>
          <w:bCs/>
          <w:sz w:val="22"/>
          <w:szCs w:val="22"/>
        </w:rPr>
        <w:footnoteReference w:id="2"/>
      </w:r>
    </w:p>
    <w:p w14:paraId="6E057918" w14:textId="77777777" w:rsidR="00405BD8" w:rsidRPr="0002466A" w:rsidRDefault="00405BD8" w:rsidP="00751F72">
      <w:pPr>
        <w:jc w:val="center"/>
        <w:rPr>
          <w:rFonts w:ascii="Palatino Linotype" w:hAnsi="Palatino Linotype" w:cstheme="minorHAnsi"/>
          <w:b/>
          <w:sz w:val="22"/>
          <w:szCs w:val="22"/>
        </w:rPr>
      </w:pPr>
    </w:p>
    <w:p w14:paraId="2F0E4C03" w14:textId="77777777" w:rsidR="00C34D9B" w:rsidRDefault="00D257C1" w:rsidP="00C34D9B">
      <w:pPr>
        <w:spacing w:line="360" w:lineRule="auto"/>
        <w:jc w:val="center"/>
        <w:rPr>
          <w:rFonts w:ascii="Palatino Linotype" w:hAnsi="Palatino Linotype" w:cstheme="minorHAnsi"/>
          <w:b/>
          <w:sz w:val="22"/>
          <w:szCs w:val="22"/>
        </w:rPr>
      </w:pPr>
      <w:r w:rsidRPr="0002466A">
        <w:rPr>
          <w:rFonts w:ascii="Palatino Linotype" w:hAnsi="Palatino Linotype" w:cstheme="minorHAnsi"/>
          <w:b/>
          <w:sz w:val="22"/>
          <w:szCs w:val="22"/>
        </w:rPr>
        <w:t>Yönetici</w:t>
      </w:r>
      <w:r w:rsidR="00C86475" w:rsidRPr="0002466A">
        <w:rPr>
          <w:rFonts w:ascii="Palatino Linotype" w:hAnsi="Palatino Linotype" w:cstheme="minorHAnsi"/>
          <w:b/>
          <w:sz w:val="22"/>
          <w:szCs w:val="22"/>
        </w:rPr>
        <w:t xml:space="preserve"> </w:t>
      </w:r>
      <w:r w:rsidRPr="0002466A">
        <w:rPr>
          <w:rFonts w:ascii="Palatino Linotype" w:hAnsi="Palatino Linotype" w:cstheme="minorHAnsi"/>
          <w:b/>
          <w:sz w:val="22"/>
          <w:szCs w:val="22"/>
        </w:rPr>
        <w:t>Özeti</w:t>
      </w:r>
      <w:bookmarkStart w:id="0" w:name="OLE_LINK5"/>
      <w:bookmarkStart w:id="1" w:name="OLE_LINK6"/>
    </w:p>
    <w:p w14:paraId="49621AB2" w14:textId="47C8F0B9" w:rsidR="009A3D0F" w:rsidRDefault="00DD1374" w:rsidP="00C34D9B">
      <w:pPr>
        <w:spacing w:line="360" w:lineRule="auto"/>
        <w:jc w:val="both"/>
        <w:rPr>
          <w:rFonts w:ascii="Palatino Linotype" w:hAnsi="Palatino Linotype" w:cstheme="minorHAnsi"/>
          <w:sz w:val="22"/>
          <w:szCs w:val="22"/>
        </w:rPr>
      </w:pPr>
      <w:r>
        <w:rPr>
          <w:rFonts w:ascii="Palatino Linotype" w:hAnsi="Palatino Linotype" w:cstheme="minorHAnsi"/>
          <w:sz w:val="22"/>
          <w:szCs w:val="22"/>
        </w:rPr>
        <w:t xml:space="preserve">Türkiye </w:t>
      </w:r>
      <w:r w:rsidRPr="005E0D21">
        <w:rPr>
          <w:rFonts w:ascii="Palatino Linotype" w:hAnsi="Palatino Linotype" w:cstheme="minorHAnsi"/>
          <w:sz w:val="22"/>
          <w:szCs w:val="22"/>
        </w:rPr>
        <w:t>ekonomisi 202</w:t>
      </w:r>
      <w:r w:rsidR="005D0E8C">
        <w:rPr>
          <w:rFonts w:ascii="Palatino Linotype" w:hAnsi="Palatino Linotype" w:cstheme="minorHAnsi"/>
          <w:sz w:val="22"/>
          <w:szCs w:val="22"/>
        </w:rPr>
        <w:t>2</w:t>
      </w:r>
      <w:r w:rsidRPr="005E0D21">
        <w:rPr>
          <w:rFonts w:ascii="Palatino Linotype" w:hAnsi="Palatino Linotype" w:cstheme="minorHAnsi"/>
          <w:sz w:val="22"/>
          <w:szCs w:val="22"/>
        </w:rPr>
        <w:t xml:space="preserve"> yılının </w:t>
      </w:r>
      <w:r w:rsidR="005D0E8C">
        <w:rPr>
          <w:rFonts w:ascii="Palatino Linotype" w:hAnsi="Palatino Linotype" w:cstheme="minorHAnsi"/>
          <w:sz w:val="22"/>
          <w:szCs w:val="22"/>
        </w:rPr>
        <w:t>ilk</w:t>
      </w:r>
      <w:r w:rsidRPr="005E0D21">
        <w:rPr>
          <w:rFonts w:ascii="Palatino Linotype" w:hAnsi="Palatino Linotype" w:cstheme="minorHAnsi"/>
          <w:sz w:val="22"/>
          <w:szCs w:val="22"/>
        </w:rPr>
        <w:t xml:space="preserve"> çeyreğinde yüzde </w:t>
      </w:r>
      <w:r w:rsidR="005D0E8C">
        <w:rPr>
          <w:rFonts w:ascii="Palatino Linotype" w:hAnsi="Palatino Linotype" w:cstheme="minorHAnsi"/>
          <w:sz w:val="22"/>
          <w:szCs w:val="22"/>
        </w:rPr>
        <w:t>7</w:t>
      </w:r>
      <w:r w:rsidRPr="005E0D21">
        <w:rPr>
          <w:rFonts w:ascii="Palatino Linotype" w:hAnsi="Palatino Linotype" w:cstheme="minorHAnsi"/>
          <w:sz w:val="22"/>
          <w:szCs w:val="22"/>
        </w:rPr>
        <w:t>,</w:t>
      </w:r>
      <w:r w:rsidR="005D0E8C">
        <w:rPr>
          <w:rFonts w:ascii="Palatino Linotype" w:hAnsi="Palatino Linotype" w:cstheme="minorHAnsi"/>
          <w:sz w:val="22"/>
          <w:szCs w:val="22"/>
        </w:rPr>
        <w:t>3</w:t>
      </w:r>
      <w:r w:rsidRPr="005E0D21">
        <w:rPr>
          <w:rFonts w:ascii="Palatino Linotype" w:hAnsi="Palatino Linotype" w:cstheme="minorHAnsi"/>
          <w:sz w:val="22"/>
          <w:szCs w:val="22"/>
        </w:rPr>
        <w:t xml:space="preserve"> büyüdü. Bu çeyrekte büyümeye </w:t>
      </w:r>
      <w:r w:rsidR="00AC59ED" w:rsidRPr="005E0D21">
        <w:rPr>
          <w:rFonts w:ascii="Palatino Linotype" w:hAnsi="Palatino Linotype" w:cstheme="minorHAnsi"/>
          <w:sz w:val="22"/>
          <w:szCs w:val="22"/>
        </w:rPr>
        <w:t xml:space="preserve">en büyük katkı </w:t>
      </w:r>
      <w:r w:rsidR="006C1ABC">
        <w:rPr>
          <w:rFonts w:ascii="Palatino Linotype" w:hAnsi="Palatino Linotype" w:cstheme="minorHAnsi"/>
          <w:sz w:val="22"/>
          <w:szCs w:val="22"/>
        </w:rPr>
        <w:t>1</w:t>
      </w:r>
      <w:r w:rsidR="005D0E8C">
        <w:rPr>
          <w:rFonts w:ascii="Palatino Linotype" w:hAnsi="Palatino Linotype" w:cstheme="minorHAnsi"/>
          <w:sz w:val="22"/>
          <w:szCs w:val="22"/>
        </w:rPr>
        <w:t>0</w:t>
      </w:r>
      <w:r w:rsidR="006C1ABC">
        <w:rPr>
          <w:rFonts w:ascii="Palatino Linotype" w:hAnsi="Palatino Linotype" w:cstheme="minorHAnsi"/>
          <w:sz w:val="22"/>
          <w:szCs w:val="22"/>
        </w:rPr>
        <w:t>,</w:t>
      </w:r>
      <w:r w:rsidR="005D0E8C">
        <w:rPr>
          <w:rFonts w:ascii="Palatino Linotype" w:hAnsi="Palatino Linotype" w:cstheme="minorHAnsi"/>
          <w:sz w:val="22"/>
          <w:szCs w:val="22"/>
        </w:rPr>
        <w:t>5</w:t>
      </w:r>
      <w:r w:rsidR="006C1ABC">
        <w:rPr>
          <w:rFonts w:ascii="Palatino Linotype" w:hAnsi="Palatino Linotype" w:cstheme="minorHAnsi"/>
          <w:sz w:val="22"/>
          <w:szCs w:val="22"/>
        </w:rPr>
        <w:t xml:space="preserve"> yüzde puan ile özel tüketimden</w:t>
      </w:r>
      <w:r w:rsidRPr="005E0D21">
        <w:rPr>
          <w:rFonts w:ascii="Palatino Linotype" w:hAnsi="Palatino Linotype" w:cstheme="minorHAnsi"/>
          <w:sz w:val="22"/>
          <w:szCs w:val="22"/>
        </w:rPr>
        <w:t xml:space="preserve"> geldi</w:t>
      </w:r>
      <w:r w:rsidR="00AC59ED" w:rsidRPr="005E0D21">
        <w:rPr>
          <w:rFonts w:ascii="Palatino Linotype" w:hAnsi="Palatino Linotype" w:cstheme="minorHAnsi"/>
          <w:sz w:val="22"/>
          <w:szCs w:val="22"/>
        </w:rPr>
        <w:t xml:space="preserve">. </w:t>
      </w:r>
      <w:bookmarkStart w:id="2" w:name="OLE_LINK9"/>
      <w:bookmarkStart w:id="3" w:name="OLE_LINK10"/>
      <w:r w:rsidR="005D0E8C">
        <w:rPr>
          <w:rFonts w:ascii="Palatino Linotype" w:hAnsi="Palatino Linotype" w:cstheme="minorHAnsi"/>
          <w:sz w:val="22"/>
          <w:szCs w:val="22"/>
        </w:rPr>
        <w:t>D</w:t>
      </w:r>
      <w:r w:rsidR="006C1ABC">
        <w:rPr>
          <w:rFonts w:ascii="Palatino Linotype" w:hAnsi="Palatino Linotype" w:cstheme="minorHAnsi"/>
          <w:sz w:val="22"/>
          <w:szCs w:val="22"/>
        </w:rPr>
        <w:t xml:space="preserve">ış ticaret katkısı </w:t>
      </w:r>
      <w:r w:rsidR="00FE7DE5">
        <w:rPr>
          <w:rFonts w:ascii="Palatino Linotype" w:hAnsi="Palatino Linotype" w:cstheme="minorHAnsi"/>
          <w:sz w:val="22"/>
          <w:szCs w:val="22"/>
        </w:rPr>
        <w:t>ilk</w:t>
      </w:r>
      <w:r w:rsidR="005D0E8C">
        <w:rPr>
          <w:rFonts w:ascii="Palatino Linotype" w:hAnsi="Palatino Linotype" w:cstheme="minorHAnsi"/>
          <w:sz w:val="22"/>
          <w:szCs w:val="22"/>
        </w:rPr>
        <w:t xml:space="preserve"> çeyrekte 4,9</w:t>
      </w:r>
      <w:r w:rsidR="006C1ABC">
        <w:rPr>
          <w:rFonts w:ascii="Palatino Linotype" w:hAnsi="Palatino Linotype" w:cstheme="minorHAnsi"/>
          <w:sz w:val="22"/>
          <w:szCs w:val="22"/>
        </w:rPr>
        <w:t xml:space="preserve"> yüzde puan</w:t>
      </w:r>
      <w:r w:rsidR="005D0E8C">
        <w:rPr>
          <w:rFonts w:ascii="Palatino Linotype" w:hAnsi="Palatino Linotype" w:cstheme="minorHAnsi"/>
          <w:sz w:val="22"/>
          <w:szCs w:val="22"/>
        </w:rPr>
        <w:t xml:space="preserve"> </w:t>
      </w:r>
      <w:bookmarkEnd w:id="2"/>
      <w:bookmarkEnd w:id="3"/>
      <w:r w:rsidR="005D0E8C">
        <w:rPr>
          <w:rFonts w:ascii="Palatino Linotype" w:hAnsi="Palatino Linotype" w:cstheme="minorHAnsi"/>
          <w:sz w:val="22"/>
          <w:szCs w:val="22"/>
        </w:rPr>
        <w:t>olarak gerçekleşti</w:t>
      </w:r>
      <w:r w:rsidR="006C1ABC">
        <w:rPr>
          <w:rFonts w:ascii="Palatino Linotype" w:hAnsi="Palatino Linotype" w:cstheme="minorHAnsi"/>
          <w:sz w:val="22"/>
          <w:szCs w:val="22"/>
        </w:rPr>
        <w:t xml:space="preserve">. </w:t>
      </w:r>
      <w:r w:rsidR="005D0E8C">
        <w:rPr>
          <w:rFonts w:ascii="Palatino Linotype" w:hAnsi="Palatino Linotype" w:cstheme="minorHAnsi"/>
          <w:sz w:val="22"/>
          <w:szCs w:val="22"/>
        </w:rPr>
        <w:t>Stok değişimi</w:t>
      </w:r>
      <w:r w:rsidR="004B5355">
        <w:rPr>
          <w:rFonts w:ascii="Palatino Linotype" w:hAnsi="Palatino Linotype" w:cstheme="minorHAnsi"/>
          <w:sz w:val="22"/>
          <w:szCs w:val="22"/>
        </w:rPr>
        <w:t xml:space="preserve"> büyümey</w:t>
      </w:r>
      <w:r w:rsidR="00117128">
        <w:rPr>
          <w:rFonts w:ascii="Palatino Linotype" w:hAnsi="Palatino Linotype" w:cstheme="minorHAnsi"/>
          <w:sz w:val="22"/>
          <w:szCs w:val="22"/>
        </w:rPr>
        <w:t>i</w:t>
      </w:r>
      <w:r w:rsidR="005D0E8C">
        <w:rPr>
          <w:rFonts w:ascii="Palatino Linotype" w:hAnsi="Palatino Linotype" w:cstheme="minorHAnsi"/>
          <w:sz w:val="22"/>
          <w:szCs w:val="22"/>
        </w:rPr>
        <w:t xml:space="preserve"> 8,6 yüzde puan </w:t>
      </w:r>
      <w:r w:rsidR="00117128">
        <w:rPr>
          <w:rFonts w:ascii="Palatino Linotype" w:hAnsi="Palatino Linotype" w:cstheme="minorHAnsi"/>
          <w:sz w:val="22"/>
          <w:szCs w:val="22"/>
        </w:rPr>
        <w:t>düşürdü</w:t>
      </w:r>
      <w:r w:rsidR="005D0E8C">
        <w:rPr>
          <w:rFonts w:ascii="Palatino Linotype" w:hAnsi="Palatino Linotype" w:cstheme="minorHAnsi"/>
          <w:sz w:val="22"/>
          <w:szCs w:val="22"/>
        </w:rPr>
        <w:t xml:space="preserve">. </w:t>
      </w:r>
      <w:r w:rsidR="00AC59ED" w:rsidRPr="005E0D21">
        <w:rPr>
          <w:rFonts w:ascii="Palatino Linotype" w:hAnsi="Palatino Linotype" w:cstheme="minorHAnsi"/>
          <w:sz w:val="22"/>
          <w:szCs w:val="22"/>
        </w:rPr>
        <w:t xml:space="preserve">Mevsim ve takvim etkisinden arındırılmış serilere </w:t>
      </w:r>
      <w:r w:rsidR="005D0E8C">
        <w:rPr>
          <w:rFonts w:ascii="Palatino Linotype" w:hAnsi="Palatino Linotype" w:cstheme="minorHAnsi"/>
          <w:sz w:val="22"/>
          <w:szCs w:val="22"/>
        </w:rPr>
        <w:t>göre</w:t>
      </w:r>
      <w:r w:rsidR="00AC59ED" w:rsidRPr="005E0D21">
        <w:rPr>
          <w:rFonts w:ascii="Palatino Linotype" w:hAnsi="Palatino Linotype" w:cstheme="minorHAnsi"/>
          <w:sz w:val="22"/>
          <w:szCs w:val="22"/>
        </w:rPr>
        <w:t xml:space="preserve"> ise</w:t>
      </w:r>
      <w:r w:rsidR="005D0E8C">
        <w:rPr>
          <w:rFonts w:ascii="Palatino Linotype" w:hAnsi="Palatino Linotype" w:cstheme="minorHAnsi"/>
          <w:sz w:val="22"/>
          <w:szCs w:val="22"/>
        </w:rPr>
        <w:t xml:space="preserve"> GSYH</w:t>
      </w:r>
      <w:r w:rsidR="00AC59ED" w:rsidRPr="005E0D21">
        <w:rPr>
          <w:rFonts w:ascii="Palatino Linotype" w:hAnsi="Palatino Linotype" w:cstheme="minorHAnsi"/>
          <w:sz w:val="22"/>
          <w:szCs w:val="22"/>
        </w:rPr>
        <w:t xml:space="preserve"> </w:t>
      </w:r>
      <w:r w:rsidR="005D0E8C">
        <w:rPr>
          <w:rFonts w:ascii="Palatino Linotype" w:hAnsi="Palatino Linotype" w:cstheme="minorHAnsi"/>
          <w:sz w:val="22"/>
          <w:szCs w:val="22"/>
        </w:rPr>
        <w:t>stok değişimi ve ithalat katkısıyla</w:t>
      </w:r>
      <w:r w:rsidR="00AC59ED" w:rsidRPr="005E0D21">
        <w:rPr>
          <w:rFonts w:ascii="Palatino Linotype" w:hAnsi="Palatino Linotype" w:cstheme="minorHAnsi"/>
          <w:sz w:val="22"/>
          <w:szCs w:val="22"/>
        </w:rPr>
        <w:t xml:space="preserve"> bir önceki çeyreğe kıyasla yüzde </w:t>
      </w:r>
      <w:r w:rsidR="00EA0452">
        <w:rPr>
          <w:rFonts w:ascii="Palatino Linotype" w:hAnsi="Palatino Linotype" w:cstheme="minorHAnsi"/>
          <w:sz w:val="22"/>
          <w:szCs w:val="22"/>
        </w:rPr>
        <w:t>1</w:t>
      </w:r>
      <w:r w:rsidR="00715A66" w:rsidRPr="005E0D21">
        <w:rPr>
          <w:rFonts w:ascii="Palatino Linotype" w:hAnsi="Palatino Linotype" w:cstheme="minorHAnsi"/>
          <w:sz w:val="22"/>
          <w:szCs w:val="22"/>
        </w:rPr>
        <w:t>,</w:t>
      </w:r>
      <w:r w:rsidR="005D0E8C">
        <w:rPr>
          <w:rFonts w:ascii="Palatino Linotype" w:hAnsi="Palatino Linotype" w:cstheme="minorHAnsi"/>
          <w:sz w:val="22"/>
          <w:szCs w:val="22"/>
        </w:rPr>
        <w:t>2</w:t>
      </w:r>
      <w:r w:rsidR="00AC59ED" w:rsidRPr="005E0D21">
        <w:rPr>
          <w:rFonts w:ascii="Palatino Linotype" w:hAnsi="Palatino Linotype" w:cstheme="minorHAnsi"/>
          <w:sz w:val="22"/>
          <w:szCs w:val="22"/>
        </w:rPr>
        <w:t xml:space="preserve"> büyüdü</w:t>
      </w:r>
      <w:r w:rsidR="00B606FC" w:rsidRPr="005E0D21">
        <w:rPr>
          <w:rFonts w:ascii="Palatino Linotype" w:hAnsi="Palatino Linotype" w:cstheme="minorHAnsi"/>
          <w:sz w:val="22"/>
          <w:szCs w:val="22"/>
        </w:rPr>
        <w:t>.</w:t>
      </w:r>
      <w:r w:rsidR="00EA0452">
        <w:rPr>
          <w:rFonts w:ascii="Palatino Linotype" w:hAnsi="Palatino Linotype" w:cstheme="minorHAnsi"/>
          <w:sz w:val="22"/>
          <w:szCs w:val="22"/>
        </w:rPr>
        <w:t xml:space="preserve"> </w:t>
      </w:r>
      <w:r w:rsidR="005D0E8C">
        <w:rPr>
          <w:rFonts w:ascii="Palatino Linotype" w:hAnsi="Palatino Linotype" w:cstheme="minorHAnsi"/>
          <w:sz w:val="22"/>
          <w:szCs w:val="22"/>
        </w:rPr>
        <w:t>Özel tüketim çeyreklik büyümeyi 2 yüzde puan aşağı çekmiştir</w:t>
      </w:r>
      <w:r w:rsidR="00EA0452">
        <w:rPr>
          <w:rFonts w:ascii="Palatino Linotype" w:hAnsi="Palatino Linotype" w:cstheme="minorHAnsi"/>
          <w:sz w:val="22"/>
          <w:szCs w:val="22"/>
        </w:rPr>
        <w:t xml:space="preserve">. </w:t>
      </w:r>
      <w:bookmarkStart w:id="4" w:name="_GoBack"/>
      <w:bookmarkEnd w:id="4"/>
    </w:p>
    <w:p w14:paraId="387DE0B2" w14:textId="1F634F75" w:rsidR="005D0E8C" w:rsidRDefault="005D0E8C" w:rsidP="00C34D9B">
      <w:pPr>
        <w:spacing w:line="360" w:lineRule="auto"/>
        <w:jc w:val="both"/>
        <w:rPr>
          <w:rFonts w:ascii="Palatino Linotype" w:hAnsi="Palatino Linotype" w:cstheme="minorHAnsi"/>
          <w:sz w:val="22"/>
          <w:szCs w:val="22"/>
        </w:rPr>
      </w:pPr>
    </w:p>
    <w:p w14:paraId="3FEC0B87" w14:textId="77777777" w:rsidR="005D0E8C" w:rsidRDefault="005D0E8C" w:rsidP="00C34D9B">
      <w:pPr>
        <w:spacing w:line="360" w:lineRule="auto"/>
        <w:jc w:val="both"/>
        <w:rPr>
          <w:rFonts w:ascii="Palatino Linotype" w:hAnsi="Palatino Linotype" w:cstheme="minorHAnsi"/>
          <w:sz w:val="22"/>
          <w:szCs w:val="22"/>
        </w:rPr>
      </w:pPr>
    </w:p>
    <w:p w14:paraId="5A035E2A" w14:textId="15EDFBE0" w:rsidR="00646879" w:rsidRPr="005E0D21" w:rsidRDefault="00646879" w:rsidP="00646879">
      <w:pPr>
        <w:spacing w:line="288" w:lineRule="auto"/>
        <w:ind w:left="567" w:right="567"/>
        <w:jc w:val="both"/>
        <w:rPr>
          <w:rFonts w:ascii="Palatino Linotype" w:hAnsi="Palatino Linotype" w:cstheme="minorHAnsi"/>
          <w:sz w:val="22"/>
          <w:szCs w:val="22"/>
        </w:rPr>
      </w:pPr>
      <w:r w:rsidRPr="005E0D21">
        <w:rPr>
          <w:rFonts w:ascii="Palatino Linotype" w:hAnsi="Palatino Linotype" w:cstheme="minorHAnsi"/>
          <w:b/>
          <w:bCs/>
          <w:sz w:val="22"/>
          <w:szCs w:val="22"/>
        </w:rPr>
        <w:t>Şekil</w:t>
      </w:r>
      <w:r w:rsidR="001F1CCF">
        <w:rPr>
          <w:rFonts w:ascii="Palatino Linotype" w:hAnsi="Palatino Linotype" w:cstheme="minorHAnsi"/>
          <w:b/>
          <w:bCs/>
          <w:sz w:val="22"/>
          <w:szCs w:val="22"/>
        </w:rPr>
        <w:t xml:space="preserve"> 1: GSYH alt kalemlerinin 202</w:t>
      </w:r>
      <w:r w:rsidR="00C34D9B">
        <w:rPr>
          <w:rFonts w:ascii="Palatino Linotype" w:hAnsi="Palatino Linotype" w:cstheme="minorHAnsi"/>
          <w:b/>
          <w:bCs/>
          <w:sz w:val="22"/>
          <w:szCs w:val="22"/>
        </w:rPr>
        <w:t>2</w:t>
      </w:r>
      <w:r w:rsidR="001F1CCF">
        <w:rPr>
          <w:rFonts w:ascii="Palatino Linotype" w:hAnsi="Palatino Linotype" w:cstheme="minorHAnsi"/>
          <w:b/>
          <w:bCs/>
          <w:sz w:val="22"/>
          <w:szCs w:val="22"/>
        </w:rPr>
        <w:t xml:space="preserve"> </w:t>
      </w:r>
      <w:r w:rsidR="00C34D9B">
        <w:rPr>
          <w:rFonts w:ascii="Palatino Linotype" w:hAnsi="Palatino Linotype" w:cstheme="minorHAnsi"/>
          <w:b/>
          <w:bCs/>
          <w:sz w:val="22"/>
          <w:szCs w:val="22"/>
        </w:rPr>
        <w:t>1</w:t>
      </w:r>
      <w:r w:rsidRPr="005E0D21">
        <w:rPr>
          <w:rFonts w:ascii="Palatino Linotype" w:hAnsi="Palatino Linotype" w:cstheme="minorHAnsi"/>
          <w:b/>
          <w:bCs/>
          <w:sz w:val="22"/>
          <w:szCs w:val="22"/>
        </w:rPr>
        <w:t>. çeyrekte bir önceki yılın aynı çeyreğine göre büyümeye katkıları (sol şekil) ve büyüme oranları (sağ şekil)</w:t>
      </w:r>
    </w:p>
    <w:bookmarkEnd w:id="0"/>
    <w:bookmarkEnd w:id="1"/>
    <w:p w14:paraId="27DDFB67" w14:textId="3BB4455E" w:rsidR="00C1422A" w:rsidRPr="005E0D21" w:rsidRDefault="00A72E1B" w:rsidP="00BB27EB">
      <w:pPr>
        <w:ind w:left="567" w:right="567"/>
        <w:jc w:val="both"/>
        <w:rPr>
          <w:rFonts w:ascii="Palatino Linotype" w:hAnsi="Palatino Linotype" w:cstheme="minorHAnsi"/>
        </w:rPr>
      </w:pPr>
      <w:r>
        <w:rPr>
          <w:noProof/>
          <w:lang w:val="en-GB" w:eastAsia="en-GB"/>
        </w:rPr>
        <w:drawing>
          <wp:anchor distT="0" distB="0" distL="114300" distR="114300" simplePos="0" relativeHeight="251659776" behindDoc="0" locked="0" layoutInCell="1" allowOverlap="1" wp14:anchorId="7EDC89EA" wp14:editId="12000DF7">
            <wp:simplePos x="0" y="0"/>
            <wp:positionH relativeFrom="margin">
              <wp:align>left</wp:align>
            </wp:positionH>
            <wp:positionV relativeFrom="paragraph">
              <wp:posOffset>220980</wp:posOffset>
            </wp:positionV>
            <wp:extent cx="3105150" cy="2051050"/>
            <wp:effectExtent l="0" t="0" r="0" b="6350"/>
            <wp:wrapSquare wrapText="bothSides"/>
            <wp:docPr id="4" name="Chart 4">
              <a:extLst xmlns:a="http://schemas.openxmlformats.org/drawingml/2006/main">
                <a:ext uri="{FF2B5EF4-FFF2-40B4-BE49-F238E27FC236}">
                  <a16:creationId xmlns:a16="http://schemas.microsoft.com/office/drawing/2014/main" id="{2627C9A7-604B-455E-B850-683E615249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7728" behindDoc="0" locked="0" layoutInCell="1" allowOverlap="1" wp14:anchorId="21E3D2B2" wp14:editId="474D5A51">
            <wp:simplePos x="0" y="0"/>
            <wp:positionH relativeFrom="column">
              <wp:posOffset>3100705</wp:posOffset>
            </wp:positionH>
            <wp:positionV relativeFrom="paragraph">
              <wp:posOffset>220980</wp:posOffset>
            </wp:positionV>
            <wp:extent cx="2976880" cy="2051050"/>
            <wp:effectExtent l="0" t="0" r="13970" b="6350"/>
            <wp:wrapSquare wrapText="bothSides"/>
            <wp:docPr id="5" name="Chart 5">
              <a:extLst xmlns:a="http://schemas.openxmlformats.org/drawingml/2006/main">
                <a:ext uri="{FF2B5EF4-FFF2-40B4-BE49-F238E27FC236}">
                  <a16:creationId xmlns:a16="http://schemas.microsoft.com/office/drawing/2014/main" id="{5A72B520-6449-4475-BAB2-8819AF2FE5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C1422A" w:rsidRPr="005E0D21">
        <w:rPr>
          <w:rFonts w:ascii="Palatino Linotype" w:hAnsi="Palatino Linotype" w:cstheme="minorHAnsi"/>
          <w:sz w:val="18"/>
          <w:szCs w:val="18"/>
        </w:rPr>
        <w:t>Kaynak: TÜİK, Betam</w:t>
      </w:r>
      <w:r w:rsidR="00C1422A" w:rsidRPr="005E0D21">
        <w:rPr>
          <w:rFonts w:ascii="Palatino Linotype" w:hAnsi="Palatino Linotype" w:cstheme="minorHAnsi"/>
          <w:sz w:val="16"/>
          <w:szCs w:val="16"/>
        </w:rPr>
        <w:t xml:space="preserve">. </w:t>
      </w:r>
    </w:p>
    <w:p w14:paraId="24C6C2F1" w14:textId="0BC55561" w:rsidR="0033649B" w:rsidRDefault="0033649B"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47F373E6" w14:textId="1ABFB52E" w:rsidR="00EA0452" w:rsidRDefault="00EA0452"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02C9166F" w14:textId="77777777" w:rsidR="00EA0452" w:rsidRDefault="00EA0452"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753758E6" w14:textId="77777777" w:rsidR="00900E1A" w:rsidRPr="005E0D21" w:rsidRDefault="00900E1A"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66A8F766" w14:textId="77777777" w:rsidR="00C34D9B" w:rsidRDefault="00C34D9B" w:rsidP="006C3EE6">
      <w:pPr>
        <w:pStyle w:val="NormalWeb"/>
        <w:spacing w:before="0" w:beforeAutospacing="0" w:after="0" w:afterAutospacing="0" w:line="360" w:lineRule="auto"/>
        <w:ind w:right="77"/>
        <w:rPr>
          <w:rFonts w:ascii="Palatino Linotype" w:hAnsi="Palatino Linotype" w:cstheme="minorHAnsi"/>
          <w:b/>
          <w:bCs/>
          <w:sz w:val="22"/>
          <w:szCs w:val="22"/>
        </w:rPr>
      </w:pPr>
    </w:p>
    <w:p w14:paraId="2781E629" w14:textId="62BC2374" w:rsidR="006C3EE6" w:rsidRPr="005E0D21" w:rsidRDefault="00C21E02" w:rsidP="006C3EE6">
      <w:pPr>
        <w:pStyle w:val="NormalWeb"/>
        <w:spacing w:before="0" w:beforeAutospacing="0" w:after="0" w:afterAutospacing="0" w:line="360" w:lineRule="auto"/>
        <w:ind w:right="77"/>
        <w:rPr>
          <w:rFonts w:ascii="Palatino Linotype" w:hAnsi="Palatino Linotype" w:cstheme="minorHAnsi"/>
          <w:b/>
          <w:bCs/>
          <w:color w:val="FF0000"/>
          <w:sz w:val="22"/>
          <w:szCs w:val="22"/>
        </w:rPr>
      </w:pPr>
      <w:r w:rsidRPr="005E0D21">
        <w:rPr>
          <w:rFonts w:ascii="Palatino Linotype" w:hAnsi="Palatino Linotype" w:cstheme="minorHAnsi"/>
          <w:b/>
          <w:bCs/>
          <w:sz w:val="22"/>
          <w:szCs w:val="22"/>
        </w:rPr>
        <w:lastRenderedPageBreak/>
        <w:t>Özel</w:t>
      </w:r>
      <w:r w:rsidR="00C11B5A" w:rsidRPr="005E0D21">
        <w:rPr>
          <w:rFonts w:ascii="Palatino Linotype" w:hAnsi="Palatino Linotype" w:cstheme="minorHAnsi"/>
          <w:b/>
          <w:bCs/>
          <w:sz w:val="22"/>
          <w:szCs w:val="22"/>
        </w:rPr>
        <w:t xml:space="preserve"> t</w:t>
      </w:r>
      <w:r w:rsidR="00D1282D" w:rsidRPr="005E0D21">
        <w:rPr>
          <w:rFonts w:ascii="Palatino Linotype" w:hAnsi="Palatino Linotype" w:cstheme="minorHAnsi"/>
          <w:b/>
          <w:bCs/>
          <w:sz w:val="22"/>
          <w:szCs w:val="22"/>
        </w:rPr>
        <w:t>üketim</w:t>
      </w:r>
      <w:r w:rsidR="00BB3FE6" w:rsidRPr="005E0D21">
        <w:rPr>
          <w:rFonts w:ascii="Palatino Linotype" w:hAnsi="Palatino Linotype" w:cstheme="minorHAnsi"/>
          <w:b/>
          <w:bCs/>
          <w:sz w:val="22"/>
          <w:szCs w:val="22"/>
        </w:rPr>
        <w:t xml:space="preserve">de </w:t>
      </w:r>
      <w:r w:rsidR="00377868">
        <w:rPr>
          <w:rFonts w:ascii="Palatino Linotype" w:hAnsi="Palatino Linotype" w:cstheme="minorHAnsi"/>
          <w:b/>
          <w:bCs/>
          <w:sz w:val="22"/>
          <w:szCs w:val="22"/>
        </w:rPr>
        <w:t>büyük artış</w:t>
      </w:r>
    </w:p>
    <w:p w14:paraId="3D67829E" w14:textId="12603F34" w:rsidR="00044AF3" w:rsidRPr="005E0D21" w:rsidRDefault="00BB05D5" w:rsidP="00916C78">
      <w:pPr>
        <w:pStyle w:val="NormalWeb"/>
        <w:spacing w:before="0" w:beforeAutospacing="0" w:after="0" w:afterAutospacing="0" w:line="360" w:lineRule="auto"/>
        <w:ind w:right="77"/>
        <w:jc w:val="both"/>
        <w:rPr>
          <w:rFonts w:ascii="Palatino Linotype" w:hAnsi="Palatino Linotype" w:cstheme="minorHAnsi"/>
          <w:sz w:val="22"/>
          <w:szCs w:val="22"/>
        </w:rPr>
      </w:pPr>
      <w:r w:rsidRPr="005E0D21">
        <w:rPr>
          <w:rFonts w:ascii="Palatino Linotype" w:hAnsi="Palatino Linotype" w:cstheme="minorHAnsi"/>
          <w:sz w:val="22"/>
          <w:szCs w:val="22"/>
        </w:rPr>
        <w:t>202</w:t>
      </w:r>
      <w:r w:rsidR="003C09C5">
        <w:rPr>
          <w:rFonts w:ascii="Palatino Linotype" w:hAnsi="Palatino Linotype" w:cstheme="minorHAnsi"/>
          <w:sz w:val="22"/>
          <w:szCs w:val="22"/>
        </w:rPr>
        <w:t>2</w:t>
      </w:r>
      <w:r w:rsidRPr="005E0D21">
        <w:rPr>
          <w:rFonts w:ascii="Palatino Linotype" w:hAnsi="Palatino Linotype" w:cstheme="minorHAnsi"/>
          <w:sz w:val="22"/>
          <w:szCs w:val="22"/>
        </w:rPr>
        <w:t xml:space="preserve"> yılının </w:t>
      </w:r>
      <w:r w:rsidR="003C09C5">
        <w:rPr>
          <w:rFonts w:ascii="Palatino Linotype" w:hAnsi="Palatino Linotype" w:cstheme="minorHAnsi"/>
          <w:sz w:val="22"/>
          <w:szCs w:val="22"/>
        </w:rPr>
        <w:t>ilk</w:t>
      </w:r>
      <w:r w:rsidRPr="005E0D21">
        <w:rPr>
          <w:rFonts w:ascii="Palatino Linotype" w:hAnsi="Palatino Linotype" w:cstheme="minorHAnsi"/>
          <w:sz w:val="22"/>
          <w:szCs w:val="22"/>
        </w:rPr>
        <w:t xml:space="preserve"> çeyreğinde özel tüketim yıllık yüzde </w:t>
      </w:r>
      <w:r w:rsidR="003C09C5">
        <w:rPr>
          <w:rFonts w:ascii="Palatino Linotype" w:hAnsi="Palatino Linotype" w:cstheme="minorHAnsi"/>
          <w:sz w:val="22"/>
          <w:szCs w:val="22"/>
        </w:rPr>
        <w:t>19,5</w:t>
      </w:r>
      <w:r w:rsidRPr="005E0D21">
        <w:rPr>
          <w:rFonts w:ascii="Palatino Linotype" w:hAnsi="Palatino Linotype" w:cstheme="minorHAnsi"/>
          <w:sz w:val="22"/>
          <w:szCs w:val="22"/>
        </w:rPr>
        <w:t xml:space="preserve"> </w:t>
      </w:r>
      <w:r w:rsidR="00377868">
        <w:rPr>
          <w:rFonts w:ascii="Palatino Linotype" w:hAnsi="Palatino Linotype" w:cstheme="minorHAnsi"/>
          <w:sz w:val="22"/>
          <w:szCs w:val="22"/>
        </w:rPr>
        <w:t>artarak</w:t>
      </w:r>
      <w:r w:rsidRPr="005E0D21">
        <w:rPr>
          <w:rFonts w:ascii="Palatino Linotype" w:hAnsi="Palatino Linotype" w:cstheme="minorHAnsi"/>
          <w:sz w:val="22"/>
          <w:szCs w:val="22"/>
        </w:rPr>
        <w:t xml:space="preserve"> büyümeye </w:t>
      </w:r>
      <w:r w:rsidR="00377868">
        <w:rPr>
          <w:rFonts w:ascii="Palatino Linotype" w:hAnsi="Palatino Linotype" w:cstheme="minorHAnsi"/>
          <w:sz w:val="22"/>
          <w:szCs w:val="22"/>
        </w:rPr>
        <w:t>1</w:t>
      </w:r>
      <w:r w:rsidR="003C09C5">
        <w:rPr>
          <w:rFonts w:ascii="Palatino Linotype" w:hAnsi="Palatino Linotype" w:cstheme="minorHAnsi"/>
          <w:sz w:val="22"/>
          <w:szCs w:val="22"/>
        </w:rPr>
        <w:t>0</w:t>
      </w:r>
      <w:r w:rsidR="00DD1374" w:rsidRPr="005E0D21">
        <w:rPr>
          <w:rFonts w:ascii="Palatino Linotype" w:hAnsi="Palatino Linotype" w:cstheme="minorHAnsi"/>
          <w:sz w:val="22"/>
          <w:szCs w:val="22"/>
        </w:rPr>
        <w:t>,</w:t>
      </w:r>
      <w:r w:rsidR="003C09C5">
        <w:rPr>
          <w:rFonts w:ascii="Palatino Linotype" w:hAnsi="Palatino Linotype" w:cstheme="minorHAnsi"/>
          <w:sz w:val="22"/>
          <w:szCs w:val="22"/>
        </w:rPr>
        <w:t>5</w:t>
      </w:r>
      <w:r w:rsidRPr="005E0D21">
        <w:rPr>
          <w:rFonts w:ascii="Palatino Linotype" w:hAnsi="Palatino Linotype" w:cstheme="minorHAnsi"/>
          <w:sz w:val="22"/>
          <w:szCs w:val="22"/>
        </w:rPr>
        <w:t xml:space="preserve"> yüzde puan katkı yaptı</w:t>
      </w:r>
      <w:r w:rsidR="003C267D" w:rsidRPr="005E0D21">
        <w:rPr>
          <w:rFonts w:ascii="Palatino Linotype" w:hAnsi="Palatino Linotype" w:cstheme="minorHAnsi"/>
          <w:sz w:val="22"/>
          <w:szCs w:val="22"/>
        </w:rPr>
        <w:t xml:space="preserve"> (</w:t>
      </w:r>
      <w:r w:rsidR="003F00A9" w:rsidRPr="005E0D21">
        <w:rPr>
          <w:rFonts w:ascii="Palatino Linotype" w:hAnsi="Palatino Linotype" w:cstheme="minorHAnsi"/>
          <w:sz w:val="22"/>
          <w:szCs w:val="22"/>
        </w:rPr>
        <w:t xml:space="preserve">Tablo 1). Mevsim ve takvim etkilerinden arındırılmış rakamlara baktığımızda ise </w:t>
      </w:r>
      <w:r w:rsidR="003C09C5">
        <w:rPr>
          <w:rFonts w:ascii="Palatino Linotype" w:hAnsi="Palatino Linotype" w:cstheme="minorHAnsi"/>
          <w:sz w:val="22"/>
          <w:szCs w:val="22"/>
        </w:rPr>
        <w:t>tersi bir durum söz konusu. Ö</w:t>
      </w:r>
      <w:r w:rsidR="003F00A9" w:rsidRPr="005E0D21">
        <w:rPr>
          <w:rFonts w:ascii="Palatino Linotype" w:hAnsi="Palatino Linotype" w:cstheme="minorHAnsi"/>
          <w:sz w:val="22"/>
          <w:szCs w:val="22"/>
        </w:rPr>
        <w:t>zel tüketim</w:t>
      </w:r>
      <w:r w:rsidR="003C09C5">
        <w:rPr>
          <w:rFonts w:ascii="Palatino Linotype" w:hAnsi="Palatino Linotype" w:cstheme="minorHAnsi"/>
          <w:sz w:val="22"/>
          <w:szCs w:val="22"/>
        </w:rPr>
        <w:t xml:space="preserve"> </w:t>
      </w:r>
      <w:r w:rsidR="00BD7F4E" w:rsidRPr="005E0D21">
        <w:rPr>
          <w:rFonts w:ascii="Palatino Linotype" w:hAnsi="Palatino Linotype" w:cstheme="minorHAnsi"/>
          <w:sz w:val="22"/>
          <w:szCs w:val="22"/>
        </w:rPr>
        <w:t xml:space="preserve">yüzde </w:t>
      </w:r>
      <w:r w:rsidR="003C09C5">
        <w:rPr>
          <w:rFonts w:ascii="Palatino Linotype" w:hAnsi="Palatino Linotype" w:cstheme="minorHAnsi"/>
          <w:sz w:val="22"/>
          <w:szCs w:val="22"/>
        </w:rPr>
        <w:t xml:space="preserve">2,8 azalarak </w:t>
      </w:r>
      <w:r w:rsidR="00BD7F4E" w:rsidRPr="005E0D21">
        <w:rPr>
          <w:rFonts w:ascii="Palatino Linotype" w:hAnsi="Palatino Linotype" w:cstheme="minorHAnsi"/>
          <w:sz w:val="22"/>
          <w:szCs w:val="22"/>
        </w:rPr>
        <w:t>büyümey</w:t>
      </w:r>
      <w:r w:rsidR="008949E0" w:rsidRPr="005E0D21">
        <w:rPr>
          <w:rFonts w:ascii="Palatino Linotype" w:hAnsi="Palatino Linotype" w:cstheme="minorHAnsi"/>
          <w:sz w:val="22"/>
          <w:szCs w:val="22"/>
        </w:rPr>
        <w:t>i</w:t>
      </w:r>
      <w:r w:rsidR="00BD7F4E" w:rsidRPr="005E0D21">
        <w:rPr>
          <w:rFonts w:ascii="Palatino Linotype" w:hAnsi="Palatino Linotype" w:cstheme="minorHAnsi"/>
          <w:sz w:val="22"/>
          <w:szCs w:val="22"/>
        </w:rPr>
        <w:t xml:space="preserve"> </w:t>
      </w:r>
      <w:r w:rsidR="003C09C5">
        <w:rPr>
          <w:rFonts w:ascii="Palatino Linotype" w:hAnsi="Palatino Linotype" w:cstheme="minorHAnsi"/>
          <w:sz w:val="22"/>
          <w:szCs w:val="22"/>
        </w:rPr>
        <w:t>2</w:t>
      </w:r>
      <w:r w:rsidR="0061333E" w:rsidRPr="005E0D21">
        <w:rPr>
          <w:rFonts w:ascii="Palatino Linotype" w:hAnsi="Palatino Linotype" w:cstheme="minorHAnsi"/>
          <w:sz w:val="22"/>
          <w:szCs w:val="22"/>
        </w:rPr>
        <w:t xml:space="preserve"> yüzde puan</w:t>
      </w:r>
      <w:r w:rsidR="00DB5EFB" w:rsidRPr="005E0D21">
        <w:rPr>
          <w:rFonts w:ascii="Palatino Linotype" w:hAnsi="Palatino Linotype" w:cstheme="minorHAnsi"/>
          <w:sz w:val="22"/>
          <w:szCs w:val="22"/>
        </w:rPr>
        <w:t xml:space="preserve"> </w:t>
      </w:r>
      <w:r w:rsidR="003C09C5">
        <w:rPr>
          <w:rFonts w:ascii="Palatino Linotype" w:hAnsi="Palatino Linotype" w:cstheme="minorHAnsi"/>
          <w:sz w:val="22"/>
          <w:szCs w:val="22"/>
        </w:rPr>
        <w:t>aşağı çekmiştir</w:t>
      </w:r>
      <w:r w:rsidR="003F00A9" w:rsidRPr="005E0D21">
        <w:rPr>
          <w:rFonts w:ascii="Palatino Linotype" w:hAnsi="Palatino Linotype" w:cstheme="minorHAnsi"/>
          <w:sz w:val="22"/>
          <w:szCs w:val="22"/>
        </w:rPr>
        <w:t xml:space="preserve"> (Tablo 2</w:t>
      </w:r>
      <w:r w:rsidR="00715A66" w:rsidRPr="005E0D21">
        <w:rPr>
          <w:rFonts w:ascii="Palatino Linotype" w:hAnsi="Palatino Linotype" w:cstheme="minorHAnsi"/>
          <w:sz w:val="22"/>
          <w:szCs w:val="22"/>
        </w:rPr>
        <w:t>).</w:t>
      </w:r>
      <w:r w:rsidR="00F94070" w:rsidRPr="005E0D21">
        <w:rPr>
          <w:rFonts w:ascii="Palatino Linotype" w:hAnsi="Palatino Linotype" w:cstheme="minorHAnsi"/>
          <w:sz w:val="22"/>
          <w:szCs w:val="22"/>
        </w:rPr>
        <w:t xml:space="preserve"> </w:t>
      </w:r>
    </w:p>
    <w:p w14:paraId="376793DA" w14:textId="77777777" w:rsidR="0000013E" w:rsidRPr="005E0D21" w:rsidRDefault="0000013E" w:rsidP="00916C78">
      <w:pPr>
        <w:pStyle w:val="NormalWeb"/>
        <w:spacing w:before="0" w:beforeAutospacing="0" w:after="0" w:afterAutospacing="0" w:line="360" w:lineRule="auto"/>
        <w:ind w:right="77"/>
        <w:jc w:val="both"/>
        <w:rPr>
          <w:rFonts w:ascii="Palatino Linotype" w:hAnsi="Palatino Linotype" w:cstheme="minorHAnsi"/>
          <w:sz w:val="22"/>
          <w:szCs w:val="22"/>
        </w:rPr>
      </w:pPr>
    </w:p>
    <w:p w14:paraId="0AF66471" w14:textId="35924CE7" w:rsidR="004647F0" w:rsidRPr="005E0D21" w:rsidRDefault="006C3EE6" w:rsidP="006C3EE6">
      <w:pPr>
        <w:keepNext/>
        <w:ind w:right="77"/>
        <w:jc w:val="both"/>
        <w:rPr>
          <w:rFonts w:ascii="Palatino Linotype" w:hAnsi="Palatino Linotype" w:cstheme="minorHAnsi"/>
          <w:b/>
          <w:bCs/>
          <w:sz w:val="22"/>
          <w:szCs w:val="22"/>
        </w:rPr>
      </w:pPr>
      <w:r w:rsidRPr="005E0D21">
        <w:rPr>
          <w:rFonts w:ascii="Palatino Linotype" w:hAnsi="Palatino Linotype" w:cstheme="minorHAnsi"/>
          <w:b/>
          <w:bCs/>
          <w:sz w:val="22"/>
          <w:szCs w:val="22"/>
        </w:rPr>
        <w:t xml:space="preserve">Tablo 1: </w:t>
      </w:r>
      <w:r w:rsidR="00D53424" w:rsidRPr="005E0D21">
        <w:rPr>
          <w:rFonts w:ascii="Palatino Linotype" w:hAnsi="Palatino Linotype" w:cstheme="minorHAnsi"/>
          <w:b/>
          <w:bCs/>
          <w:sz w:val="22"/>
          <w:szCs w:val="22"/>
        </w:rPr>
        <w:t xml:space="preserve">GSYH alt kalemlerinin </w:t>
      </w:r>
      <w:bookmarkStart w:id="5" w:name="OLE_LINK1"/>
      <w:bookmarkStart w:id="6" w:name="OLE_LINK2"/>
      <w:r w:rsidR="009F2483" w:rsidRPr="005E0D21">
        <w:rPr>
          <w:rFonts w:ascii="Palatino Linotype" w:hAnsi="Palatino Linotype" w:cstheme="minorHAnsi"/>
          <w:b/>
          <w:bCs/>
          <w:sz w:val="22"/>
          <w:szCs w:val="22"/>
        </w:rPr>
        <w:t>20</w:t>
      </w:r>
      <w:r w:rsidR="0001081A" w:rsidRPr="005E0D21">
        <w:rPr>
          <w:rFonts w:ascii="Palatino Linotype" w:hAnsi="Palatino Linotype" w:cstheme="minorHAnsi"/>
          <w:b/>
          <w:bCs/>
          <w:sz w:val="22"/>
          <w:szCs w:val="22"/>
        </w:rPr>
        <w:t>21</w:t>
      </w:r>
      <w:r w:rsidR="009F2483" w:rsidRPr="005E0D21">
        <w:rPr>
          <w:rFonts w:ascii="Palatino Linotype" w:hAnsi="Palatino Linotype" w:cstheme="minorHAnsi"/>
          <w:b/>
          <w:bCs/>
          <w:sz w:val="22"/>
          <w:szCs w:val="22"/>
        </w:rPr>
        <w:t xml:space="preserve"> </w:t>
      </w:r>
      <w:r w:rsidR="00C34D9B">
        <w:rPr>
          <w:rFonts w:ascii="Palatino Linotype" w:hAnsi="Palatino Linotype" w:cstheme="minorHAnsi"/>
          <w:b/>
          <w:bCs/>
          <w:sz w:val="22"/>
          <w:szCs w:val="22"/>
        </w:rPr>
        <w:t>4</w:t>
      </w:r>
      <w:r w:rsidR="00632CF6" w:rsidRPr="005E0D21">
        <w:rPr>
          <w:rFonts w:ascii="Palatino Linotype" w:hAnsi="Palatino Linotype" w:cstheme="minorHAnsi"/>
          <w:b/>
          <w:bCs/>
          <w:sz w:val="22"/>
          <w:szCs w:val="22"/>
        </w:rPr>
        <w:t>. ve 20</w:t>
      </w:r>
      <w:r w:rsidR="00BB0912" w:rsidRPr="005E0D21">
        <w:rPr>
          <w:rFonts w:ascii="Palatino Linotype" w:hAnsi="Palatino Linotype" w:cstheme="minorHAnsi"/>
          <w:b/>
          <w:bCs/>
          <w:sz w:val="22"/>
          <w:szCs w:val="22"/>
        </w:rPr>
        <w:t>2</w:t>
      </w:r>
      <w:r w:rsidR="00C34D9B">
        <w:rPr>
          <w:rFonts w:ascii="Palatino Linotype" w:hAnsi="Palatino Linotype" w:cstheme="minorHAnsi"/>
          <w:b/>
          <w:bCs/>
          <w:sz w:val="22"/>
          <w:szCs w:val="22"/>
        </w:rPr>
        <w:t>2</w:t>
      </w:r>
      <w:r w:rsidR="00632CF6" w:rsidRPr="005E0D21">
        <w:rPr>
          <w:rFonts w:ascii="Palatino Linotype" w:hAnsi="Palatino Linotype" w:cstheme="minorHAnsi"/>
          <w:b/>
          <w:bCs/>
          <w:sz w:val="22"/>
          <w:szCs w:val="22"/>
        </w:rPr>
        <w:t xml:space="preserve"> </w:t>
      </w:r>
      <w:r w:rsidR="00C34D9B">
        <w:rPr>
          <w:rFonts w:ascii="Palatino Linotype" w:hAnsi="Palatino Linotype" w:cstheme="minorHAnsi"/>
          <w:b/>
          <w:bCs/>
          <w:sz w:val="22"/>
          <w:szCs w:val="22"/>
        </w:rPr>
        <w:t>1</w:t>
      </w:r>
      <w:r w:rsidR="009F2483" w:rsidRPr="005E0D21">
        <w:rPr>
          <w:rFonts w:ascii="Palatino Linotype" w:hAnsi="Palatino Linotype" w:cstheme="minorHAnsi"/>
          <w:b/>
          <w:bCs/>
          <w:sz w:val="22"/>
          <w:szCs w:val="22"/>
        </w:rPr>
        <w:t>. çeyrekte</w:t>
      </w:r>
      <w:bookmarkEnd w:id="5"/>
      <w:bookmarkEnd w:id="6"/>
      <w:r w:rsidR="009F2483" w:rsidRPr="005E0D21">
        <w:rPr>
          <w:rFonts w:ascii="Palatino Linotype" w:hAnsi="Palatino Linotype" w:cstheme="minorHAnsi"/>
          <w:b/>
          <w:bCs/>
          <w:sz w:val="22"/>
          <w:szCs w:val="22"/>
        </w:rPr>
        <w:t xml:space="preserve"> </w:t>
      </w:r>
      <w:r w:rsidRPr="005E0D21">
        <w:rPr>
          <w:rFonts w:ascii="Palatino Linotype" w:hAnsi="Palatino Linotype" w:cstheme="minorHAnsi"/>
          <w:b/>
          <w:bCs/>
          <w:sz w:val="22"/>
          <w:szCs w:val="22"/>
        </w:rPr>
        <w:t>bir önceki yılın aynı çeyreğine göre büyüme oranları ve büyümeye katkıları</w:t>
      </w:r>
    </w:p>
    <w:p w14:paraId="3BD50814" w14:textId="77777777" w:rsidR="008949E0" w:rsidRPr="005E0D21" w:rsidRDefault="008949E0" w:rsidP="006C3EE6">
      <w:pPr>
        <w:keepNext/>
        <w:ind w:right="77"/>
        <w:jc w:val="both"/>
        <w:rPr>
          <w:rFonts w:ascii="Palatino Linotype" w:hAnsi="Palatino Linotype" w:cstheme="minorHAnsi"/>
          <w:b/>
          <w:bCs/>
          <w:sz w:val="22"/>
          <w:szCs w:val="22"/>
        </w:rPr>
      </w:pPr>
    </w:p>
    <w:tbl>
      <w:tblPr>
        <w:tblW w:w="5920" w:type="dxa"/>
        <w:tblLook w:val="04A0" w:firstRow="1" w:lastRow="0" w:firstColumn="1" w:lastColumn="0" w:noHBand="0" w:noVBand="1"/>
      </w:tblPr>
      <w:tblGrid>
        <w:gridCol w:w="1480"/>
        <w:gridCol w:w="1259"/>
        <w:gridCol w:w="961"/>
        <w:gridCol w:w="1259"/>
        <w:gridCol w:w="961"/>
      </w:tblGrid>
      <w:tr w:rsidR="005D0E8C" w:rsidRPr="005D0E8C" w14:paraId="11BDD8EE" w14:textId="77777777" w:rsidTr="005D0E8C">
        <w:trPr>
          <w:trHeight w:val="282"/>
        </w:trPr>
        <w:tc>
          <w:tcPr>
            <w:tcW w:w="1480" w:type="dxa"/>
            <w:tcBorders>
              <w:top w:val="nil"/>
              <w:left w:val="nil"/>
              <w:bottom w:val="nil"/>
              <w:right w:val="nil"/>
            </w:tcBorders>
            <w:shd w:val="clear" w:color="000000" w:fill="FFFFFF"/>
            <w:noWrap/>
            <w:vAlign w:val="bottom"/>
            <w:hideMark/>
          </w:tcPr>
          <w:p w14:paraId="1A3BE807" w14:textId="77777777" w:rsidR="005D0E8C" w:rsidRPr="005D0E8C" w:rsidRDefault="005D0E8C" w:rsidP="005D0E8C">
            <w:pP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0741089F" w14:textId="77777777" w:rsidR="005D0E8C" w:rsidRPr="005D0E8C" w:rsidRDefault="005D0E8C" w:rsidP="005D0E8C">
            <w:pPr>
              <w:jc w:val="cente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2021Q4</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4F47874" w14:textId="77777777" w:rsidR="005D0E8C" w:rsidRPr="005D0E8C" w:rsidRDefault="005D0E8C" w:rsidP="005D0E8C">
            <w:pPr>
              <w:jc w:val="cente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2022Q1</w:t>
            </w:r>
          </w:p>
        </w:tc>
      </w:tr>
      <w:tr w:rsidR="005D0E8C" w:rsidRPr="005D0E8C" w14:paraId="045935F5" w14:textId="77777777" w:rsidTr="005D0E8C">
        <w:trPr>
          <w:trHeight w:val="282"/>
        </w:trPr>
        <w:tc>
          <w:tcPr>
            <w:tcW w:w="1480" w:type="dxa"/>
            <w:tcBorders>
              <w:top w:val="nil"/>
              <w:left w:val="nil"/>
              <w:bottom w:val="nil"/>
              <w:right w:val="nil"/>
            </w:tcBorders>
            <w:shd w:val="clear" w:color="000000" w:fill="FFFFFF"/>
            <w:noWrap/>
            <w:vAlign w:val="bottom"/>
            <w:hideMark/>
          </w:tcPr>
          <w:p w14:paraId="3B37CD52" w14:textId="77777777" w:rsidR="005D0E8C" w:rsidRPr="005D0E8C" w:rsidRDefault="005D0E8C" w:rsidP="005D0E8C">
            <w:pP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 </w:t>
            </w:r>
          </w:p>
        </w:tc>
        <w:tc>
          <w:tcPr>
            <w:tcW w:w="1259" w:type="dxa"/>
            <w:tcBorders>
              <w:top w:val="nil"/>
              <w:left w:val="single" w:sz="4" w:space="0" w:color="auto"/>
              <w:bottom w:val="single" w:sz="4" w:space="0" w:color="auto"/>
              <w:right w:val="nil"/>
            </w:tcBorders>
            <w:shd w:val="clear" w:color="000000" w:fill="FFFFFF"/>
            <w:noWrap/>
            <w:vAlign w:val="bottom"/>
            <w:hideMark/>
          </w:tcPr>
          <w:p w14:paraId="66CC98BB" w14:textId="77777777" w:rsidR="005D0E8C" w:rsidRPr="005D0E8C" w:rsidRDefault="005D0E8C" w:rsidP="005D0E8C">
            <w:pPr>
              <w:jc w:val="cente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Değişim (%)</w:t>
            </w:r>
          </w:p>
        </w:tc>
        <w:tc>
          <w:tcPr>
            <w:tcW w:w="961" w:type="dxa"/>
            <w:tcBorders>
              <w:top w:val="nil"/>
              <w:left w:val="nil"/>
              <w:bottom w:val="nil"/>
              <w:right w:val="single" w:sz="4" w:space="0" w:color="auto"/>
            </w:tcBorders>
            <w:shd w:val="clear" w:color="000000" w:fill="FFFFFF"/>
            <w:noWrap/>
            <w:vAlign w:val="bottom"/>
            <w:hideMark/>
          </w:tcPr>
          <w:p w14:paraId="520C24E2" w14:textId="77777777" w:rsidR="005D0E8C" w:rsidRPr="005D0E8C" w:rsidRDefault="005D0E8C" w:rsidP="005D0E8C">
            <w:pPr>
              <w:jc w:val="cente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Katkı (%)</w:t>
            </w:r>
          </w:p>
        </w:tc>
        <w:tc>
          <w:tcPr>
            <w:tcW w:w="1259" w:type="dxa"/>
            <w:tcBorders>
              <w:top w:val="nil"/>
              <w:left w:val="nil"/>
              <w:bottom w:val="nil"/>
              <w:right w:val="nil"/>
            </w:tcBorders>
            <w:shd w:val="clear" w:color="000000" w:fill="FFFFFF"/>
            <w:noWrap/>
            <w:vAlign w:val="bottom"/>
            <w:hideMark/>
          </w:tcPr>
          <w:p w14:paraId="36EFE1F8" w14:textId="77777777" w:rsidR="005D0E8C" w:rsidRPr="005D0E8C" w:rsidRDefault="005D0E8C" w:rsidP="005D0E8C">
            <w:pPr>
              <w:jc w:val="cente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Değişim (%)</w:t>
            </w:r>
          </w:p>
        </w:tc>
        <w:tc>
          <w:tcPr>
            <w:tcW w:w="961" w:type="dxa"/>
            <w:tcBorders>
              <w:top w:val="nil"/>
              <w:left w:val="nil"/>
              <w:bottom w:val="nil"/>
              <w:right w:val="single" w:sz="4" w:space="0" w:color="auto"/>
            </w:tcBorders>
            <w:shd w:val="clear" w:color="000000" w:fill="FFFFFF"/>
            <w:noWrap/>
            <w:vAlign w:val="bottom"/>
            <w:hideMark/>
          </w:tcPr>
          <w:p w14:paraId="2BBCC834" w14:textId="77777777" w:rsidR="005D0E8C" w:rsidRPr="005D0E8C" w:rsidRDefault="005D0E8C" w:rsidP="005D0E8C">
            <w:pPr>
              <w:jc w:val="cente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Katkı (%)</w:t>
            </w:r>
          </w:p>
        </w:tc>
      </w:tr>
      <w:tr w:rsidR="005D0E8C" w:rsidRPr="005D0E8C" w14:paraId="62B297C1" w14:textId="77777777" w:rsidTr="005D0E8C">
        <w:trPr>
          <w:trHeight w:val="282"/>
        </w:trPr>
        <w:tc>
          <w:tcPr>
            <w:tcW w:w="1480" w:type="dxa"/>
            <w:tcBorders>
              <w:top w:val="single" w:sz="4" w:space="0" w:color="auto"/>
              <w:left w:val="nil"/>
              <w:bottom w:val="nil"/>
              <w:right w:val="nil"/>
            </w:tcBorders>
            <w:shd w:val="clear" w:color="000000" w:fill="FFFFFF"/>
            <w:noWrap/>
            <w:vAlign w:val="bottom"/>
            <w:hideMark/>
          </w:tcPr>
          <w:p w14:paraId="6D779AEB" w14:textId="77777777" w:rsidR="005D0E8C" w:rsidRPr="005D0E8C" w:rsidRDefault="005D0E8C" w:rsidP="005D0E8C">
            <w:pP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Özel Tüketim</w:t>
            </w:r>
          </w:p>
        </w:tc>
        <w:tc>
          <w:tcPr>
            <w:tcW w:w="1259" w:type="dxa"/>
            <w:tcBorders>
              <w:top w:val="nil"/>
              <w:left w:val="single" w:sz="4" w:space="0" w:color="auto"/>
              <w:bottom w:val="nil"/>
              <w:right w:val="nil"/>
            </w:tcBorders>
            <w:shd w:val="clear" w:color="000000" w:fill="FFFFFF"/>
            <w:noWrap/>
            <w:vAlign w:val="bottom"/>
            <w:hideMark/>
          </w:tcPr>
          <w:p w14:paraId="207F1BF0"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21.4</w:t>
            </w:r>
          </w:p>
        </w:tc>
        <w:tc>
          <w:tcPr>
            <w:tcW w:w="961" w:type="dxa"/>
            <w:tcBorders>
              <w:top w:val="single" w:sz="4" w:space="0" w:color="auto"/>
              <w:left w:val="nil"/>
              <w:bottom w:val="nil"/>
              <w:right w:val="single" w:sz="4" w:space="0" w:color="auto"/>
            </w:tcBorders>
            <w:shd w:val="clear" w:color="000000" w:fill="FFFFFF"/>
            <w:noWrap/>
            <w:vAlign w:val="bottom"/>
            <w:hideMark/>
          </w:tcPr>
          <w:p w14:paraId="475F95B0"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11.9</w:t>
            </w:r>
          </w:p>
        </w:tc>
        <w:tc>
          <w:tcPr>
            <w:tcW w:w="1259" w:type="dxa"/>
            <w:tcBorders>
              <w:top w:val="single" w:sz="4" w:space="0" w:color="auto"/>
              <w:left w:val="nil"/>
              <w:bottom w:val="nil"/>
              <w:right w:val="nil"/>
            </w:tcBorders>
            <w:shd w:val="clear" w:color="000000" w:fill="FFFFFF"/>
            <w:noWrap/>
            <w:vAlign w:val="bottom"/>
            <w:hideMark/>
          </w:tcPr>
          <w:p w14:paraId="38FE5010"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19.5</w:t>
            </w:r>
          </w:p>
        </w:tc>
        <w:tc>
          <w:tcPr>
            <w:tcW w:w="961" w:type="dxa"/>
            <w:tcBorders>
              <w:top w:val="single" w:sz="4" w:space="0" w:color="auto"/>
              <w:left w:val="nil"/>
              <w:bottom w:val="nil"/>
              <w:right w:val="single" w:sz="4" w:space="0" w:color="auto"/>
            </w:tcBorders>
            <w:shd w:val="clear" w:color="000000" w:fill="FFFFFF"/>
            <w:noWrap/>
            <w:vAlign w:val="bottom"/>
            <w:hideMark/>
          </w:tcPr>
          <w:p w14:paraId="0F524876"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10.5</w:t>
            </w:r>
          </w:p>
        </w:tc>
      </w:tr>
      <w:tr w:rsidR="005D0E8C" w:rsidRPr="005D0E8C" w14:paraId="6EE4667C" w14:textId="77777777" w:rsidTr="005D0E8C">
        <w:trPr>
          <w:trHeight w:val="282"/>
        </w:trPr>
        <w:tc>
          <w:tcPr>
            <w:tcW w:w="1480" w:type="dxa"/>
            <w:tcBorders>
              <w:top w:val="nil"/>
              <w:left w:val="nil"/>
              <w:bottom w:val="nil"/>
              <w:right w:val="nil"/>
            </w:tcBorders>
            <w:shd w:val="clear" w:color="000000" w:fill="FFFFFF"/>
            <w:noWrap/>
            <w:vAlign w:val="bottom"/>
            <w:hideMark/>
          </w:tcPr>
          <w:p w14:paraId="7874AC7D" w14:textId="77777777" w:rsidR="005D0E8C" w:rsidRPr="005D0E8C" w:rsidRDefault="005D0E8C" w:rsidP="005D0E8C">
            <w:pP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Kamu Tüketimi</w:t>
            </w:r>
          </w:p>
        </w:tc>
        <w:tc>
          <w:tcPr>
            <w:tcW w:w="1259" w:type="dxa"/>
            <w:tcBorders>
              <w:top w:val="nil"/>
              <w:left w:val="single" w:sz="4" w:space="0" w:color="auto"/>
              <w:bottom w:val="nil"/>
              <w:right w:val="nil"/>
            </w:tcBorders>
            <w:shd w:val="clear" w:color="000000" w:fill="FFFFFF"/>
            <w:noWrap/>
            <w:vAlign w:val="bottom"/>
            <w:hideMark/>
          </w:tcPr>
          <w:p w14:paraId="2F0A2E66"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-1.9</w:t>
            </w:r>
          </w:p>
        </w:tc>
        <w:tc>
          <w:tcPr>
            <w:tcW w:w="961" w:type="dxa"/>
            <w:tcBorders>
              <w:top w:val="nil"/>
              <w:left w:val="nil"/>
              <w:bottom w:val="nil"/>
              <w:right w:val="single" w:sz="4" w:space="0" w:color="auto"/>
            </w:tcBorders>
            <w:shd w:val="clear" w:color="000000" w:fill="FFFFFF"/>
            <w:noWrap/>
            <w:vAlign w:val="bottom"/>
            <w:hideMark/>
          </w:tcPr>
          <w:p w14:paraId="34A2C39D"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-0.3</w:t>
            </w:r>
          </w:p>
        </w:tc>
        <w:tc>
          <w:tcPr>
            <w:tcW w:w="1259" w:type="dxa"/>
            <w:tcBorders>
              <w:top w:val="nil"/>
              <w:left w:val="nil"/>
              <w:bottom w:val="nil"/>
              <w:right w:val="nil"/>
            </w:tcBorders>
            <w:shd w:val="clear" w:color="000000" w:fill="FFFFFF"/>
            <w:noWrap/>
            <w:vAlign w:val="bottom"/>
            <w:hideMark/>
          </w:tcPr>
          <w:p w14:paraId="63373F97"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0.9</w:t>
            </w:r>
          </w:p>
        </w:tc>
        <w:tc>
          <w:tcPr>
            <w:tcW w:w="961" w:type="dxa"/>
            <w:tcBorders>
              <w:top w:val="nil"/>
              <w:left w:val="nil"/>
              <w:bottom w:val="nil"/>
              <w:right w:val="single" w:sz="4" w:space="0" w:color="auto"/>
            </w:tcBorders>
            <w:shd w:val="clear" w:color="000000" w:fill="FFFFFF"/>
            <w:noWrap/>
            <w:vAlign w:val="bottom"/>
            <w:hideMark/>
          </w:tcPr>
          <w:p w14:paraId="598F70BA"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0.1</w:t>
            </w:r>
          </w:p>
        </w:tc>
      </w:tr>
      <w:tr w:rsidR="005D0E8C" w:rsidRPr="005D0E8C" w14:paraId="285808A1" w14:textId="77777777" w:rsidTr="005D0E8C">
        <w:trPr>
          <w:trHeight w:val="282"/>
        </w:trPr>
        <w:tc>
          <w:tcPr>
            <w:tcW w:w="1480" w:type="dxa"/>
            <w:tcBorders>
              <w:top w:val="nil"/>
              <w:left w:val="nil"/>
              <w:bottom w:val="nil"/>
              <w:right w:val="nil"/>
            </w:tcBorders>
            <w:shd w:val="clear" w:color="000000" w:fill="FFFFFF"/>
            <w:noWrap/>
            <w:vAlign w:val="bottom"/>
            <w:hideMark/>
          </w:tcPr>
          <w:p w14:paraId="4B3C97DC" w14:textId="77777777" w:rsidR="005D0E8C" w:rsidRPr="005D0E8C" w:rsidRDefault="005D0E8C" w:rsidP="005D0E8C">
            <w:pP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Yatırım</w:t>
            </w:r>
          </w:p>
        </w:tc>
        <w:tc>
          <w:tcPr>
            <w:tcW w:w="1259" w:type="dxa"/>
            <w:tcBorders>
              <w:top w:val="nil"/>
              <w:left w:val="single" w:sz="4" w:space="0" w:color="auto"/>
              <w:bottom w:val="nil"/>
              <w:right w:val="nil"/>
            </w:tcBorders>
            <w:shd w:val="clear" w:color="000000" w:fill="FFFFFF"/>
            <w:noWrap/>
            <w:vAlign w:val="bottom"/>
            <w:hideMark/>
          </w:tcPr>
          <w:p w14:paraId="6E9AB3A7"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-0.8</w:t>
            </w:r>
          </w:p>
        </w:tc>
        <w:tc>
          <w:tcPr>
            <w:tcW w:w="961" w:type="dxa"/>
            <w:tcBorders>
              <w:top w:val="nil"/>
              <w:left w:val="nil"/>
              <w:bottom w:val="nil"/>
              <w:right w:val="single" w:sz="4" w:space="0" w:color="auto"/>
            </w:tcBorders>
            <w:shd w:val="clear" w:color="000000" w:fill="FFFFFF"/>
            <w:noWrap/>
            <w:vAlign w:val="bottom"/>
            <w:hideMark/>
          </w:tcPr>
          <w:p w14:paraId="3FEAFA9D"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-0.2</w:t>
            </w:r>
          </w:p>
        </w:tc>
        <w:tc>
          <w:tcPr>
            <w:tcW w:w="1259" w:type="dxa"/>
            <w:tcBorders>
              <w:top w:val="nil"/>
              <w:left w:val="nil"/>
              <w:bottom w:val="nil"/>
              <w:right w:val="nil"/>
            </w:tcBorders>
            <w:shd w:val="clear" w:color="000000" w:fill="FFFFFF"/>
            <w:noWrap/>
            <w:vAlign w:val="bottom"/>
            <w:hideMark/>
          </w:tcPr>
          <w:p w14:paraId="349D3712"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1.1</w:t>
            </w:r>
          </w:p>
        </w:tc>
        <w:tc>
          <w:tcPr>
            <w:tcW w:w="961" w:type="dxa"/>
            <w:tcBorders>
              <w:top w:val="nil"/>
              <w:left w:val="nil"/>
              <w:bottom w:val="nil"/>
              <w:right w:val="single" w:sz="4" w:space="0" w:color="auto"/>
            </w:tcBorders>
            <w:shd w:val="clear" w:color="000000" w:fill="FFFFFF"/>
            <w:noWrap/>
            <w:vAlign w:val="bottom"/>
            <w:hideMark/>
          </w:tcPr>
          <w:p w14:paraId="0E5685CF"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0.4</w:t>
            </w:r>
          </w:p>
        </w:tc>
      </w:tr>
      <w:tr w:rsidR="005D0E8C" w:rsidRPr="005D0E8C" w14:paraId="4C0707FA" w14:textId="77777777" w:rsidTr="005D0E8C">
        <w:trPr>
          <w:trHeight w:val="282"/>
        </w:trPr>
        <w:tc>
          <w:tcPr>
            <w:tcW w:w="1480" w:type="dxa"/>
            <w:tcBorders>
              <w:top w:val="nil"/>
              <w:left w:val="nil"/>
              <w:bottom w:val="nil"/>
              <w:right w:val="nil"/>
            </w:tcBorders>
            <w:shd w:val="clear" w:color="000000" w:fill="FFFFFF"/>
            <w:noWrap/>
            <w:vAlign w:val="bottom"/>
            <w:hideMark/>
          </w:tcPr>
          <w:p w14:paraId="544FC554" w14:textId="77777777" w:rsidR="005D0E8C" w:rsidRPr="005D0E8C" w:rsidRDefault="005D0E8C" w:rsidP="005D0E8C">
            <w:pP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Stok Değişimi</w:t>
            </w:r>
          </w:p>
        </w:tc>
        <w:tc>
          <w:tcPr>
            <w:tcW w:w="1259" w:type="dxa"/>
            <w:tcBorders>
              <w:top w:val="nil"/>
              <w:left w:val="single" w:sz="4" w:space="0" w:color="auto"/>
              <w:bottom w:val="nil"/>
              <w:right w:val="nil"/>
            </w:tcBorders>
            <w:shd w:val="clear" w:color="000000" w:fill="FFFFFF"/>
            <w:noWrap/>
            <w:vAlign w:val="bottom"/>
            <w:hideMark/>
          </w:tcPr>
          <w:p w14:paraId="1352143D"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 </w:t>
            </w:r>
          </w:p>
        </w:tc>
        <w:tc>
          <w:tcPr>
            <w:tcW w:w="961" w:type="dxa"/>
            <w:tcBorders>
              <w:top w:val="nil"/>
              <w:left w:val="nil"/>
              <w:bottom w:val="nil"/>
              <w:right w:val="single" w:sz="4" w:space="0" w:color="auto"/>
            </w:tcBorders>
            <w:shd w:val="clear" w:color="000000" w:fill="FFFFFF"/>
            <w:noWrap/>
            <w:vAlign w:val="bottom"/>
            <w:hideMark/>
          </w:tcPr>
          <w:p w14:paraId="4EDF3124"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-7.8</w:t>
            </w:r>
          </w:p>
        </w:tc>
        <w:tc>
          <w:tcPr>
            <w:tcW w:w="1259" w:type="dxa"/>
            <w:tcBorders>
              <w:top w:val="nil"/>
              <w:left w:val="nil"/>
              <w:bottom w:val="nil"/>
              <w:right w:val="nil"/>
            </w:tcBorders>
            <w:shd w:val="clear" w:color="000000" w:fill="FFFFFF"/>
            <w:noWrap/>
            <w:vAlign w:val="bottom"/>
            <w:hideMark/>
          </w:tcPr>
          <w:p w14:paraId="636D08C5"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 </w:t>
            </w:r>
          </w:p>
        </w:tc>
        <w:tc>
          <w:tcPr>
            <w:tcW w:w="961" w:type="dxa"/>
            <w:tcBorders>
              <w:top w:val="nil"/>
              <w:left w:val="nil"/>
              <w:bottom w:val="nil"/>
              <w:right w:val="single" w:sz="4" w:space="0" w:color="auto"/>
            </w:tcBorders>
            <w:shd w:val="clear" w:color="000000" w:fill="FFFFFF"/>
            <w:noWrap/>
            <w:vAlign w:val="bottom"/>
            <w:hideMark/>
          </w:tcPr>
          <w:p w14:paraId="68F64D79"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-8.6</w:t>
            </w:r>
          </w:p>
        </w:tc>
      </w:tr>
      <w:tr w:rsidR="005D0E8C" w:rsidRPr="005D0E8C" w14:paraId="1222D7B6" w14:textId="77777777" w:rsidTr="005D0E8C">
        <w:trPr>
          <w:trHeight w:val="282"/>
        </w:trPr>
        <w:tc>
          <w:tcPr>
            <w:tcW w:w="1480" w:type="dxa"/>
            <w:tcBorders>
              <w:top w:val="nil"/>
              <w:left w:val="nil"/>
              <w:bottom w:val="nil"/>
              <w:right w:val="nil"/>
            </w:tcBorders>
            <w:shd w:val="clear" w:color="000000" w:fill="FFFFFF"/>
            <w:noWrap/>
            <w:vAlign w:val="bottom"/>
            <w:hideMark/>
          </w:tcPr>
          <w:p w14:paraId="44C9E6AC" w14:textId="77777777" w:rsidR="005D0E8C" w:rsidRPr="005D0E8C" w:rsidRDefault="005D0E8C" w:rsidP="005D0E8C">
            <w:pP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İhracat</w:t>
            </w:r>
          </w:p>
        </w:tc>
        <w:tc>
          <w:tcPr>
            <w:tcW w:w="1259" w:type="dxa"/>
            <w:tcBorders>
              <w:top w:val="nil"/>
              <w:left w:val="single" w:sz="4" w:space="0" w:color="auto"/>
              <w:bottom w:val="nil"/>
              <w:right w:val="nil"/>
            </w:tcBorders>
            <w:shd w:val="clear" w:color="000000" w:fill="FFFFFF"/>
            <w:noWrap/>
            <w:vAlign w:val="bottom"/>
            <w:hideMark/>
          </w:tcPr>
          <w:p w14:paraId="10A3410F"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20.7</w:t>
            </w:r>
          </w:p>
        </w:tc>
        <w:tc>
          <w:tcPr>
            <w:tcW w:w="961" w:type="dxa"/>
            <w:tcBorders>
              <w:top w:val="nil"/>
              <w:left w:val="nil"/>
              <w:bottom w:val="nil"/>
              <w:right w:val="single" w:sz="4" w:space="0" w:color="auto"/>
            </w:tcBorders>
            <w:shd w:val="clear" w:color="000000" w:fill="FFFFFF"/>
            <w:noWrap/>
            <w:vAlign w:val="bottom"/>
            <w:hideMark/>
          </w:tcPr>
          <w:p w14:paraId="6203977E"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6.6</w:t>
            </w:r>
          </w:p>
        </w:tc>
        <w:tc>
          <w:tcPr>
            <w:tcW w:w="1259" w:type="dxa"/>
            <w:tcBorders>
              <w:top w:val="nil"/>
              <w:left w:val="nil"/>
              <w:bottom w:val="nil"/>
              <w:right w:val="nil"/>
            </w:tcBorders>
            <w:shd w:val="clear" w:color="000000" w:fill="FFFFFF"/>
            <w:noWrap/>
            <w:vAlign w:val="bottom"/>
            <w:hideMark/>
          </w:tcPr>
          <w:p w14:paraId="3ED79BB5"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16.8</w:t>
            </w:r>
          </w:p>
        </w:tc>
        <w:tc>
          <w:tcPr>
            <w:tcW w:w="961" w:type="dxa"/>
            <w:tcBorders>
              <w:top w:val="nil"/>
              <w:left w:val="nil"/>
              <w:bottom w:val="nil"/>
              <w:right w:val="single" w:sz="4" w:space="0" w:color="auto"/>
            </w:tcBorders>
            <w:shd w:val="clear" w:color="000000" w:fill="FFFFFF"/>
            <w:noWrap/>
            <w:vAlign w:val="bottom"/>
            <w:hideMark/>
          </w:tcPr>
          <w:p w14:paraId="707D4DE9"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5.7</w:t>
            </w:r>
          </w:p>
        </w:tc>
      </w:tr>
      <w:tr w:rsidR="005D0E8C" w:rsidRPr="005D0E8C" w14:paraId="7B5D4251" w14:textId="77777777" w:rsidTr="005D0E8C">
        <w:trPr>
          <w:trHeight w:val="282"/>
        </w:trPr>
        <w:tc>
          <w:tcPr>
            <w:tcW w:w="1480" w:type="dxa"/>
            <w:tcBorders>
              <w:top w:val="nil"/>
              <w:left w:val="nil"/>
              <w:bottom w:val="nil"/>
              <w:right w:val="nil"/>
            </w:tcBorders>
            <w:shd w:val="clear" w:color="000000" w:fill="FFFFFF"/>
            <w:noWrap/>
            <w:vAlign w:val="bottom"/>
            <w:hideMark/>
          </w:tcPr>
          <w:p w14:paraId="5DBA2287" w14:textId="77777777" w:rsidR="005D0E8C" w:rsidRPr="005D0E8C" w:rsidRDefault="005D0E8C" w:rsidP="005D0E8C">
            <w:pP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İthalat</w:t>
            </w:r>
          </w:p>
        </w:tc>
        <w:tc>
          <w:tcPr>
            <w:tcW w:w="1259" w:type="dxa"/>
            <w:tcBorders>
              <w:top w:val="nil"/>
              <w:left w:val="single" w:sz="4" w:space="0" w:color="auto"/>
              <w:bottom w:val="nil"/>
              <w:right w:val="nil"/>
            </w:tcBorders>
            <w:shd w:val="clear" w:color="000000" w:fill="FFFFFF"/>
            <w:noWrap/>
            <w:vAlign w:val="bottom"/>
            <w:hideMark/>
          </w:tcPr>
          <w:p w14:paraId="48CB84D6"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2.6</w:t>
            </w:r>
          </w:p>
        </w:tc>
        <w:tc>
          <w:tcPr>
            <w:tcW w:w="961" w:type="dxa"/>
            <w:tcBorders>
              <w:top w:val="nil"/>
              <w:left w:val="nil"/>
              <w:bottom w:val="nil"/>
              <w:right w:val="single" w:sz="4" w:space="0" w:color="auto"/>
            </w:tcBorders>
            <w:shd w:val="clear" w:color="000000" w:fill="FFFFFF"/>
            <w:noWrap/>
            <w:vAlign w:val="bottom"/>
            <w:hideMark/>
          </w:tcPr>
          <w:p w14:paraId="42B3DFE2"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-1.0</w:t>
            </w:r>
          </w:p>
        </w:tc>
        <w:tc>
          <w:tcPr>
            <w:tcW w:w="1259" w:type="dxa"/>
            <w:tcBorders>
              <w:top w:val="nil"/>
              <w:left w:val="nil"/>
              <w:bottom w:val="nil"/>
              <w:right w:val="nil"/>
            </w:tcBorders>
            <w:shd w:val="clear" w:color="000000" w:fill="FFFFFF"/>
            <w:noWrap/>
            <w:vAlign w:val="bottom"/>
            <w:hideMark/>
          </w:tcPr>
          <w:p w14:paraId="09A0A849"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2.3</w:t>
            </w:r>
          </w:p>
        </w:tc>
        <w:tc>
          <w:tcPr>
            <w:tcW w:w="961" w:type="dxa"/>
            <w:tcBorders>
              <w:top w:val="nil"/>
              <w:left w:val="nil"/>
              <w:bottom w:val="nil"/>
              <w:right w:val="single" w:sz="4" w:space="0" w:color="auto"/>
            </w:tcBorders>
            <w:shd w:val="clear" w:color="000000" w:fill="FFFFFF"/>
            <w:noWrap/>
            <w:vAlign w:val="bottom"/>
            <w:hideMark/>
          </w:tcPr>
          <w:p w14:paraId="7364C16C"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-0.8</w:t>
            </w:r>
          </w:p>
        </w:tc>
      </w:tr>
      <w:tr w:rsidR="005D0E8C" w:rsidRPr="005D0E8C" w14:paraId="1AEA01B4" w14:textId="77777777" w:rsidTr="005D0E8C">
        <w:trPr>
          <w:trHeight w:val="315"/>
        </w:trPr>
        <w:tc>
          <w:tcPr>
            <w:tcW w:w="1480" w:type="dxa"/>
            <w:tcBorders>
              <w:top w:val="nil"/>
              <w:left w:val="nil"/>
              <w:bottom w:val="double" w:sz="6" w:space="0" w:color="auto"/>
              <w:right w:val="nil"/>
            </w:tcBorders>
            <w:shd w:val="clear" w:color="000000" w:fill="FFFFFF"/>
            <w:noWrap/>
            <w:vAlign w:val="bottom"/>
            <w:hideMark/>
          </w:tcPr>
          <w:p w14:paraId="43C627D2" w14:textId="77777777" w:rsidR="005D0E8C" w:rsidRPr="005D0E8C" w:rsidRDefault="005D0E8C" w:rsidP="005D0E8C">
            <w:pP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GSYH</w:t>
            </w:r>
          </w:p>
        </w:tc>
        <w:tc>
          <w:tcPr>
            <w:tcW w:w="1259" w:type="dxa"/>
            <w:tcBorders>
              <w:top w:val="nil"/>
              <w:left w:val="single" w:sz="4" w:space="0" w:color="auto"/>
              <w:bottom w:val="double" w:sz="6" w:space="0" w:color="auto"/>
              <w:right w:val="nil"/>
            </w:tcBorders>
            <w:shd w:val="clear" w:color="000000" w:fill="FFFFFF"/>
            <w:noWrap/>
            <w:vAlign w:val="bottom"/>
            <w:hideMark/>
          </w:tcPr>
          <w:p w14:paraId="23F269A6"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9.1</w:t>
            </w:r>
          </w:p>
        </w:tc>
        <w:tc>
          <w:tcPr>
            <w:tcW w:w="961" w:type="dxa"/>
            <w:tcBorders>
              <w:top w:val="nil"/>
              <w:left w:val="nil"/>
              <w:bottom w:val="double" w:sz="6" w:space="0" w:color="auto"/>
              <w:right w:val="single" w:sz="4" w:space="0" w:color="auto"/>
            </w:tcBorders>
            <w:shd w:val="clear" w:color="000000" w:fill="FFFFFF"/>
            <w:noWrap/>
            <w:vAlign w:val="bottom"/>
            <w:hideMark/>
          </w:tcPr>
          <w:p w14:paraId="25CBCE49"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 </w:t>
            </w:r>
          </w:p>
        </w:tc>
        <w:tc>
          <w:tcPr>
            <w:tcW w:w="1259" w:type="dxa"/>
            <w:tcBorders>
              <w:top w:val="nil"/>
              <w:left w:val="nil"/>
              <w:bottom w:val="double" w:sz="6" w:space="0" w:color="auto"/>
              <w:right w:val="nil"/>
            </w:tcBorders>
            <w:shd w:val="clear" w:color="000000" w:fill="FFFFFF"/>
            <w:noWrap/>
            <w:vAlign w:val="bottom"/>
            <w:hideMark/>
          </w:tcPr>
          <w:p w14:paraId="16B59D37"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7.3</w:t>
            </w:r>
          </w:p>
        </w:tc>
        <w:tc>
          <w:tcPr>
            <w:tcW w:w="961" w:type="dxa"/>
            <w:tcBorders>
              <w:top w:val="nil"/>
              <w:left w:val="nil"/>
              <w:bottom w:val="double" w:sz="6" w:space="0" w:color="auto"/>
              <w:right w:val="single" w:sz="4" w:space="0" w:color="auto"/>
            </w:tcBorders>
            <w:shd w:val="clear" w:color="000000" w:fill="FFFFFF"/>
            <w:noWrap/>
            <w:vAlign w:val="bottom"/>
            <w:hideMark/>
          </w:tcPr>
          <w:p w14:paraId="505D0086"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 </w:t>
            </w:r>
          </w:p>
        </w:tc>
      </w:tr>
    </w:tbl>
    <w:p w14:paraId="68ED2418" w14:textId="664BD983" w:rsidR="00405BD8" w:rsidRDefault="003D44CE" w:rsidP="00405BD8">
      <w:pPr>
        <w:keepLines/>
        <w:widowControl w:val="0"/>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06E46BDB" w14:textId="77777777" w:rsidR="00311EFF" w:rsidRPr="00CC0355" w:rsidRDefault="00311EFF" w:rsidP="00405BD8">
      <w:pPr>
        <w:keepLines/>
        <w:widowControl w:val="0"/>
        <w:rPr>
          <w:rFonts w:ascii="Palatino Linotype" w:hAnsi="Palatino Linotype" w:cstheme="minorHAnsi"/>
          <w:sz w:val="18"/>
          <w:szCs w:val="18"/>
        </w:rPr>
      </w:pPr>
    </w:p>
    <w:p w14:paraId="4C8D8926" w14:textId="78A22F3C" w:rsidR="006C3EE6" w:rsidRPr="00CC0355" w:rsidRDefault="006C3EE6" w:rsidP="006C3EE6">
      <w:pPr>
        <w:keepNext/>
        <w:ind w:right="77"/>
        <w:jc w:val="both"/>
        <w:rPr>
          <w:rFonts w:ascii="Palatino Linotype" w:hAnsi="Palatino Linotype" w:cstheme="minorHAnsi"/>
          <w:b/>
          <w:bCs/>
          <w:sz w:val="22"/>
          <w:szCs w:val="22"/>
        </w:rPr>
      </w:pPr>
      <w:r w:rsidRPr="00CC0355">
        <w:rPr>
          <w:rFonts w:ascii="Palatino Linotype" w:hAnsi="Palatino Linotype" w:cstheme="minorHAnsi"/>
          <w:b/>
          <w:bCs/>
          <w:sz w:val="22"/>
          <w:szCs w:val="22"/>
        </w:rPr>
        <w:t xml:space="preserve">Tablo 2: </w:t>
      </w:r>
      <w:r w:rsidR="00D53424" w:rsidRPr="00CC0355">
        <w:rPr>
          <w:rFonts w:ascii="Palatino Linotype" w:hAnsi="Palatino Linotype" w:cstheme="minorHAnsi"/>
          <w:b/>
          <w:bCs/>
          <w:sz w:val="22"/>
          <w:szCs w:val="22"/>
        </w:rPr>
        <w:t xml:space="preserve">GSYH </w:t>
      </w:r>
      <w:r w:rsidR="00D53424" w:rsidRPr="00CC0355">
        <w:rPr>
          <w:rFonts w:ascii="Palatino Linotype" w:hAnsi="Palatino Linotype" w:cstheme="minorHAnsi"/>
          <w:b/>
          <w:bCs/>
          <w:color w:val="000000" w:themeColor="text1"/>
          <w:sz w:val="22"/>
          <w:szCs w:val="22"/>
        </w:rPr>
        <w:t xml:space="preserve">alt </w:t>
      </w:r>
      <w:r w:rsidR="00D53424" w:rsidRPr="00CC0355">
        <w:rPr>
          <w:rFonts w:ascii="Palatino Linotype" w:hAnsi="Palatino Linotype" w:cstheme="minorHAnsi"/>
          <w:b/>
          <w:bCs/>
          <w:sz w:val="22"/>
          <w:szCs w:val="22"/>
        </w:rPr>
        <w:t xml:space="preserve">kalemlerinin </w:t>
      </w:r>
      <w:r w:rsidR="00CC0355">
        <w:rPr>
          <w:rFonts w:ascii="Palatino Linotype" w:hAnsi="Palatino Linotype" w:cstheme="minorHAnsi"/>
          <w:b/>
          <w:bCs/>
          <w:sz w:val="22"/>
          <w:szCs w:val="22"/>
        </w:rPr>
        <w:t>20</w:t>
      </w:r>
      <w:r w:rsidR="0001081A">
        <w:rPr>
          <w:rFonts w:ascii="Palatino Linotype" w:hAnsi="Palatino Linotype" w:cstheme="minorHAnsi"/>
          <w:b/>
          <w:bCs/>
          <w:sz w:val="22"/>
          <w:szCs w:val="22"/>
        </w:rPr>
        <w:t>21</w:t>
      </w:r>
      <w:r w:rsidR="00CC0355">
        <w:rPr>
          <w:rFonts w:ascii="Palatino Linotype" w:hAnsi="Palatino Linotype" w:cstheme="minorHAnsi"/>
          <w:b/>
          <w:bCs/>
          <w:sz w:val="22"/>
          <w:szCs w:val="22"/>
        </w:rPr>
        <w:t xml:space="preserve"> </w:t>
      </w:r>
      <w:r w:rsidR="00C34D9B">
        <w:rPr>
          <w:rFonts w:ascii="Palatino Linotype" w:hAnsi="Palatino Linotype" w:cstheme="minorHAnsi"/>
          <w:b/>
          <w:bCs/>
          <w:sz w:val="22"/>
          <w:szCs w:val="22"/>
        </w:rPr>
        <w:t>4</w:t>
      </w:r>
      <w:r w:rsidR="000561F7" w:rsidRPr="00CC0355">
        <w:rPr>
          <w:rFonts w:ascii="Palatino Linotype" w:hAnsi="Palatino Linotype" w:cstheme="minorHAnsi"/>
          <w:b/>
          <w:bCs/>
          <w:sz w:val="22"/>
          <w:szCs w:val="22"/>
        </w:rPr>
        <w:t xml:space="preserve">. ve </w:t>
      </w:r>
      <w:r w:rsidR="00CC0355">
        <w:rPr>
          <w:rFonts w:ascii="Palatino Linotype" w:hAnsi="Palatino Linotype" w:cstheme="minorHAnsi"/>
          <w:b/>
          <w:bCs/>
          <w:sz w:val="22"/>
          <w:szCs w:val="22"/>
        </w:rPr>
        <w:t>20</w:t>
      </w:r>
      <w:r w:rsidR="005F0FF9">
        <w:rPr>
          <w:rFonts w:ascii="Palatino Linotype" w:hAnsi="Palatino Linotype" w:cstheme="minorHAnsi"/>
          <w:b/>
          <w:bCs/>
          <w:sz w:val="22"/>
          <w:szCs w:val="22"/>
        </w:rPr>
        <w:t>2</w:t>
      </w:r>
      <w:r w:rsidR="00C34D9B">
        <w:rPr>
          <w:rFonts w:ascii="Palatino Linotype" w:hAnsi="Palatino Linotype" w:cstheme="minorHAnsi"/>
          <w:b/>
          <w:bCs/>
          <w:sz w:val="22"/>
          <w:szCs w:val="22"/>
        </w:rPr>
        <w:t>2</w:t>
      </w:r>
      <w:r w:rsidR="00CC0355">
        <w:rPr>
          <w:rFonts w:ascii="Palatino Linotype" w:hAnsi="Palatino Linotype" w:cstheme="minorHAnsi"/>
          <w:b/>
          <w:bCs/>
          <w:sz w:val="22"/>
          <w:szCs w:val="22"/>
        </w:rPr>
        <w:t xml:space="preserve"> </w:t>
      </w:r>
      <w:r w:rsidR="00C34D9B">
        <w:rPr>
          <w:rFonts w:ascii="Palatino Linotype" w:hAnsi="Palatino Linotype" w:cstheme="minorHAnsi"/>
          <w:b/>
          <w:bCs/>
          <w:sz w:val="22"/>
          <w:szCs w:val="22"/>
        </w:rPr>
        <w:t>1</w:t>
      </w:r>
      <w:r w:rsidR="006F1912" w:rsidRPr="00CC0355">
        <w:rPr>
          <w:rFonts w:ascii="Palatino Linotype" w:hAnsi="Palatino Linotype" w:cstheme="minorHAnsi"/>
          <w:b/>
          <w:bCs/>
          <w:sz w:val="22"/>
          <w:szCs w:val="22"/>
        </w:rPr>
        <w:t>. çeyrekte</w:t>
      </w:r>
      <w:r w:rsidR="00E4681E" w:rsidRPr="00CC0355">
        <w:rPr>
          <w:rFonts w:ascii="Palatino Linotype" w:hAnsi="Palatino Linotype" w:cstheme="minorHAnsi"/>
          <w:b/>
          <w:bCs/>
          <w:sz w:val="22"/>
          <w:szCs w:val="22"/>
        </w:rPr>
        <w:t xml:space="preserve"> </w:t>
      </w:r>
      <w:r w:rsidRPr="00CC0355">
        <w:rPr>
          <w:rFonts w:ascii="Palatino Linotype" w:hAnsi="Palatino Linotype" w:cstheme="minorHAnsi"/>
          <w:b/>
          <w:bCs/>
          <w:sz w:val="22"/>
          <w:szCs w:val="22"/>
        </w:rPr>
        <w:t>bir önceki çeyreğe göre büyüme oranları ve büyümeye katkıları</w:t>
      </w:r>
      <w:r w:rsidR="00CF5053" w:rsidRPr="00CC0355">
        <w:rPr>
          <w:rFonts w:ascii="Palatino Linotype" w:hAnsi="Palatino Linotype" w:cstheme="minorHAnsi"/>
          <w:b/>
          <w:bCs/>
          <w:sz w:val="22"/>
          <w:szCs w:val="22"/>
        </w:rPr>
        <w:t xml:space="preserve"> (mevsim ve takvim etkilerinden arındırılmış)</w:t>
      </w:r>
    </w:p>
    <w:p w14:paraId="0530BD83" w14:textId="77777777" w:rsidR="00CC0355" w:rsidRPr="00CC0355" w:rsidRDefault="00CC0355" w:rsidP="006C3EE6">
      <w:pPr>
        <w:keepNext/>
        <w:ind w:right="77"/>
        <w:jc w:val="both"/>
        <w:rPr>
          <w:rFonts w:ascii="Palatino Linotype" w:hAnsi="Palatino Linotype" w:cstheme="minorHAnsi"/>
          <w:b/>
          <w:bCs/>
          <w:sz w:val="22"/>
          <w:szCs w:val="22"/>
        </w:rPr>
      </w:pPr>
    </w:p>
    <w:tbl>
      <w:tblPr>
        <w:tblW w:w="5920" w:type="dxa"/>
        <w:tblLook w:val="04A0" w:firstRow="1" w:lastRow="0" w:firstColumn="1" w:lastColumn="0" w:noHBand="0" w:noVBand="1"/>
      </w:tblPr>
      <w:tblGrid>
        <w:gridCol w:w="1480"/>
        <w:gridCol w:w="1259"/>
        <w:gridCol w:w="961"/>
        <w:gridCol w:w="1259"/>
        <w:gridCol w:w="961"/>
      </w:tblGrid>
      <w:tr w:rsidR="005D0E8C" w:rsidRPr="005D0E8C" w14:paraId="4A1FD858" w14:textId="77777777" w:rsidTr="005D0E8C">
        <w:trPr>
          <w:trHeight w:val="282"/>
        </w:trPr>
        <w:tc>
          <w:tcPr>
            <w:tcW w:w="1480" w:type="dxa"/>
            <w:tcBorders>
              <w:top w:val="nil"/>
              <w:left w:val="nil"/>
              <w:bottom w:val="nil"/>
              <w:right w:val="nil"/>
            </w:tcBorders>
            <w:shd w:val="clear" w:color="000000" w:fill="FFFFFF"/>
            <w:noWrap/>
            <w:vAlign w:val="bottom"/>
            <w:hideMark/>
          </w:tcPr>
          <w:p w14:paraId="64195F98" w14:textId="77777777" w:rsidR="005D0E8C" w:rsidRPr="005D0E8C" w:rsidRDefault="005D0E8C" w:rsidP="005D0E8C">
            <w:pP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3C752E8C" w14:textId="77777777" w:rsidR="005D0E8C" w:rsidRPr="005D0E8C" w:rsidRDefault="005D0E8C" w:rsidP="005D0E8C">
            <w:pPr>
              <w:jc w:val="cente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2021Q4</w:t>
            </w:r>
          </w:p>
        </w:tc>
        <w:tc>
          <w:tcPr>
            <w:tcW w:w="2220"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76879303" w14:textId="77777777" w:rsidR="005D0E8C" w:rsidRPr="005D0E8C" w:rsidRDefault="005D0E8C" w:rsidP="005D0E8C">
            <w:pPr>
              <w:jc w:val="cente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2022Q1</w:t>
            </w:r>
          </w:p>
        </w:tc>
      </w:tr>
      <w:tr w:rsidR="005D0E8C" w:rsidRPr="005D0E8C" w14:paraId="3F8E0876" w14:textId="77777777" w:rsidTr="005D0E8C">
        <w:trPr>
          <w:trHeight w:val="282"/>
        </w:trPr>
        <w:tc>
          <w:tcPr>
            <w:tcW w:w="1480" w:type="dxa"/>
            <w:tcBorders>
              <w:top w:val="nil"/>
              <w:left w:val="nil"/>
              <w:bottom w:val="nil"/>
              <w:right w:val="nil"/>
            </w:tcBorders>
            <w:shd w:val="clear" w:color="000000" w:fill="FFFFFF"/>
            <w:noWrap/>
            <w:vAlign w:val="bottom"/>
            <w:hideMark/>
          </w:tcPr>
          <w:p w14:paraId="42BB845B" w14:textId="77777777" w:rsidR="005D0E8C" w:rsidRPr="005D0E8C" w:rsidRDefault="005D0E8C" w:rsidP="005D0E8C">
            <w:pP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 </w:t>
            </w:r>
          </w:p>
        </w:tc>
        <w:tc>
          <w:tcPr>
            <w:tcW w:w="1259" w:type="dxa"/>
            <w:tcBorders>
              <w:top w:val="nil"/>
              <w:left w:val="single" w:sz="4" w:space="0" w:color="auto"/>
              <w:bottom w:val="nil"/>
              <w:right w:val="nil"/>
            </w:tcBorders>
            <w:shd w:val="clear" w:color="000000" w:fill="FFFFFF"/>
            <w:noWrap/>
            <w:vAlign w:val="bottom"/>
            <w:hideMark/>
          </w:tcPr>
          <w:p w14:paraId="2ED16F7A" w14:textId="77777777" w:rsidR="005D0E8C" w:rsidRPr="005D0E8C" w:rsidRDefault="005D0E8C" w:rsidP="005D0E8C">
            <w:pPr>
              <w:jc w:val="cente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Değişim (%)</w:t>
            </w:r>
          </w:p>
        </w:tc>
        <w:tc>
          <w:tcPr>
            <w:tcW w:w="961" w:type="dxa"/>
            <w:tcBorders>
              <w:top w:val="nil"/>
              <w:left w:val="nil"/>
              <w:bottom w:val="nil"/>
              <w:right w:val="single" w:sz="4" w:space="0" w:color="auto"/>
            </w:tcBorders>
            <w:shd w:val="clear" w:color="000000" w:fill="FFFFFF"/>
            <w:noWrap/>
            <w:vAlign w:val="bottom"/>
            <w:hideMark/>
          </w:tcPr>
          <w:p w14:paraId="33AE5BAF" w14:textId="77777777" w:rsidR="005D0E8C" w:rsidRPr="005D0E8C" w:rsidRDefault="005D0E8C" w:rsidP="005D0E8C">
            <w:pPr>
              <w:jc w:val="cente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Katkı (%)</w:t>
            </w:r>
          </w:p>
        </w:tc>
        <w:tc>
          <w:tcPr>
            <w:tcW w:w="1259" w:type="dxa"/>
            <w:tcBorders>
              <w:top w:val="nil"/>
              <w:left w:val="nil"/>
              <w:bottom w:val="nil"/>
              <w:right w:val="nil"/>
            </w:tcBorders>
            <w:shd w:val="clear" w:color="000000" w:fill="FFFFFF"/>
            <w:noWrap/>
            <w:vAlign w:val="bottom"/>
            <w:hideMark/>
          </w:tcPr>
          <w:p w14:paraId="4300238A" w14:textId="77777777" w:rsidR="005D0E8C" w:rsidRPr="005D0E8C" w:rsidRDefault="005D0E8C" w:rsidP="005D0E8C">
            <w:pPr>
              <w:jc w:val="cente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Değişim (%)</w:t>
            </w:r>
          </w:p>
        </w:tc>
        <w:tc>
          <w:tcPr>
            <w:tcW w:w="961" w:type="dxa"/>
            <w:tcBorders>
              <w:top w:val="nil"/>
              <w:left w:val="nil"/>
              <w:bottom w:val="nil"/>
              <w:right w:val="single" w:sz="4" w:space="0" w:color="auto"/>
            </w:tcBorders>
            <w:shd w:val="clear" w:color="000000" w:fill="FFFFFF"/>
            <w:noWrap/>
            <w:vAlign w:val="bottom"/>
            <w:hideMark/>
          </w:tcPr>
          <w:p w14:paraId="77602C3D" w14:textId="77777777" w:rsidR="005D0E8C" w:rsidRPr="005D0E8C" w:rsidRDefault="005D0E8C" w:rsidP="005D0E8C">
            <w:pPr>
              <w:jc w:val="cente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Katkı (%)</w:t>
            </w:r>
          </w:p>
        </w:tc>
      </w:tr>
      <w:tr w:rsidR="005D0E8C" w:rsidRPr="005D0E8C" w14:paraId="6875500E" w14:textId="77777777" w:rsidTr="005D0E8C">
        <w:trPr>
          <w:trHeight w:val="282"/>
        </w:trPr>
        <w:tc>
          <w:tcPr>
            <w:tcW w:w="1480" w:type="dxa"/>
            <w:tcBorders>
              <w:top w:val="single" w:sz="4" w:space="0" w:color="auto"/>
              <w:left w:val="nil"/>
              <w:bottom w:val="nil"/>
              <w:right w:val="nil"/>
            </w:tcBorders>
            <w:shd w:val="clear" w:color="000000" w:fill="FFFFFF"/>
            <w:noWrap/>
            <w:vAlign w:val="bottom"/>
            <w:hideMark/>
          </w:tcPr>
          <w:p w14:paraId="46E76AB6" w14:textId="77777777" w:rsidR="005D0E8C" w:rsidRPr="005D0E8C" w:rsidRDefault="005D0E8C" w:rsidP="005D0E8C">
            <w:pP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Özel Tüketim</w:t>
            </w:r>
          </w:p>
        </w:tc>
        <w:tc>
          <w:tcPr>
            <w:tcW w:w="1259" w:type="dxa"/>
            <w:tcBorders>
              <w:top w:val="single" w:sz="4" w:space="0" w:color="auto"/>
              <w:left w:val="single" w:sz="4" w:space="0" w:color="auto"/>
              <w:bottom w:val="nil"/>
              <w:right w:val="nil"/>
            </w:tcBorders>
            <w:shd w:val="clear" w:color="000000" w:fill="FFFFFF"/>
            <w:noWrap/>
            <w:vAlign w:val="bottom"/>
            <w:hideMark/>
          </w:tcPr>
          <w:p w14:paraId="36F5ABC6"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9.4</w:t>
            </w:r>
          </w:p>
        </w:tc>
        <w:tc>
          <w:tcPr>
            <w:tcW w:w="961" w:type="dxa"/>
            <w:tcBorders>
              <w:top w:val="single" w:sz="4" w:space="0" w:color="auto"/>
              <w:left w:val="nil"/>
              <w:bottom w:val="nil"/>
              <w:right w:val="single" w:sz="4" w:space="0" w:color="auto"/>
            </w:tcBorders>
            <w:shd w:val="clear" w:color="000000" w:fill="FFFFFF"/>
            <w:noWrap/>
            <w:vAlign w:val="bottom"/>
            <w:hideMark/>
          </w:tcPr>
          <w:p w14:paraId="09CB94BD"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5.6</w:t>
            </w:r>
          </w:p>
        </w:tc>
        <w:tc>
          <w:tcPr>
            <w:tcW w:w="1259" w:type="dxa"/>
            <w:tcBorders>
              <w:top w:val="single" w:sz="4" w:space="0" w:color="auto"/>
              <w:left w:val="nil"/>
              <w:bottom w:val="nil"/>
              <w:right w:val="nil"/>
            </w:tcBorders>
            <w:shd w:val="clear" w:color="000000" w:fill="FFFFFF"/>
            <w:noWrap/>
            <w:vAlign w:val="bottom"/>
            <w:hideMark/>
          </w:tcPr>
          <w:p w14:paraId="6215C6EA"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-2.8</w:t>
            </w:r>
          </w:p>
        </w:tc>
        <w:tc>
          <w:tcPr>
            <w:tcW w:w="961" w:type="dxa"/>
            <w:tcBorders>
              <w:top w:val="single" w:sz="4" w:space="0" w:color="auto"/>
              <w:left w:val="nil"/>
              <w:bottom w:val="nil"/>
              <w:right w:val="single" w:sz="4" w:space="0" w:color="auto"/>
            </w:tcBorders>
            <w:shd w:val="clear" w:color="000000" w:fill="FFFFFF"/>
            <w:noWrap/>
            <w:vAlign w:val="bottom"/>
            <w:hideMark/>
          </w:tcPr>
          <w:p w14:paraId="787CD7F2"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-2.0</w:t>
            </w:r>
          </w:p>
        </w:tc>
      </w:tr>
      <w:tr w:rsidR="005D0E8C" w:rsidRPr="005D0E8C" w14:paraId="7188633C" w14:textId="77777777" w:rsidTr="005D0E8C">
        <w:trPr>
          <w:trHeight w:val="282"/>
        </w:trPr>
        <w:tc>
          <w:tcPr>
            <w:tcW w:w="1480" w:type="dxa"/>
            <w:tcBorders>
              <w:top w:val="nil"/>
              <w:left w:val="nil"/>
              <w:bottom w:val="nil"/>
              <w:right w:val="nil"/>
            </w:tcBorders>
            <w:shd w:val="clear" w:color="000000" w:fill="FFFFFF"/>
            <w:noWrap/>
            <w:vAlign w:val="bottom"/>
            <w:hideMark/>
          </w:tcPr>
          <w:p w14:paraId="778D0DB6" w14:textId="77777777" w:rsidR="005D0E8C" w:rsidRPr="005D0E8C" w:rsidRDefault="005D0E8C" w:rsidP="005D0E8C">
            <w:pP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Kamu Tüketimi</w:t>
            </w:r>
          </w:p>
        </w:tc>
        <w:tc>
          <w:tcPr>
            <w:tcW w:w="1259" w:type="dxa"/>
            <w:tcBorders>
              <w:top w:val="nil"/>
              <w:left w:val="single" w:sz="4" w:space="0" w:color="auto"/>
              <w:bottom w:val="nil"/>
              <w:right w:val="nil"/>
            </w:tcBorders>
            <w:shd w:val="clear" w:color="000000" w:fill="FFFFFF"/>
            <w:noWrap/>
            <w:vAlign w:val="bottom"/>
            <w:hideMark/>
          </w:tcPr>
          <w:p w14:paraId="7953FD25"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-7.3</w:t>
            </w:r>
          </w:p>
        </w:tc>
        <w:tc>
          <w:tcPr>
            <w:tcW w:w="961" w:type="dxa"/>
            <w:tcBorders>
              <w:top w:val="nil"/>
              <w:left w:val="nil"/>
              <w:bottom w:val="nil"/>
              <w:right w:val="single" w:sz="4" w:space="0" w:color="auto"/>
            </w:tcBorders>
            <w:shd w:val="clear" w:color="000000" w:fill="FFFFFF"/>
            <w:noWrap/>
            <w:vAlign w:val="bottom"/>
            <w:hideMark/>
          </w:tcPr>
          <w:p w14:paraId="2623625D"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-1.1</w:t>
            </w:r>
          </w:p>
        </w:tc>
        <w:tc>
          <w:tcPr>
            <w:tcW w:w="1259" w:type="dxa"/>
            <w:tcBorders>
              <w:top w:val="nil"/>
              <w:left w:val="nil"/>
              <w:bottom w:val="nil"/>
              <w:right w:val="nil"/>
            </w:tcBorders>
            <w:shd w:val="clear" w:color="000000" w:fill="FFFFFF"/>
            <w:noWrap/>
            <w:vAlign w:val="bottom"/>
            <w:hideMark/>
          </w:tcPr>
          <w:p w14:paraId="36814F3F"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0.0</w:t>
            </w:r>
          </w:p>
        </w:tc>
        <w:tc>
          <w:tcPr>
            <w:tcW w:w="961" w:type="dxa"/>
            <w:tcBorders>
              <w:top w:val="nil"/>
              <w:left w:val="nil"/>
              <w:bottom w:val="nil"/>
              <w:right w:val="single" w:sz="4" w:space="0" w:color="auto"/>
            </w:tcBorders>
            <w:shd w:val="clear" w:color="000000" w:fill="FFFFFF"/>
            <w:noWrap/>
            <w:vAlign w:val="bottom"/>
            <w:hideMark/>
          </w:tcPr>
          <w:p w14:paraId="19C9E5FA"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0.0</w:t>
            </w:r>
          </w:p>
        </w:tc>
      </w:tr>
      <w:tr w:rsidR="005D0E8C" w:rsidRPr="005D0E8C" w14:paraId="0165430B" w14:textId="77777777" w:rsidTr="005D0E8C">
        <w:trPr>
          <w:trHeight w:val="282"/>
        </w:trPr>
        <w:tc>
          <w:tcPr>
            <w:tcW w:w="1480" w:type="dxa"/>
            <w:tcBorders>
              <w:top w:val="nil"/>
              <w:left w:val="nil"/>
              <w:bottom w:val="nil"/>
              <w:right w:val="nil"/>
            </w:tcBorders>
            <w:shd w:val="clear" w:color="000000" w:fill="FFFFFF"/>
            <w:noWrap/>
            <w:vAlign w:val="bottom"/>
            <w:hideMark/>
          </w:tcPr>
          <w:p w14:paraId="1853F693" w14:textId="77777777" w:rsidR="005D0E8C" w:rsidRPr="005D0E8C" w:rsidRDefault="005D0E8C" w:rsidP="005D0E8C">
            <w:pP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Yatırım</w:t>
            </w:r>
          </w:p>
        </w:tc>
        <w:tc>
          <w:tcPr>
            <w:tcW w:w="1259" w:type="dxa"/>
            <w:tcBorders>
              <w:top w:val="nil"/>
              <w:left w:val="single" w:sz="4" w:space="0" w:color="auto"/>
              <w:bottom w:val="nil"/>
              <w:right w:val="nil"/>
            </w:tcBorders>
            <w:shd w:val="clear" w:color="000000" w:fill="FFFFFF"/>
            <w:noWrap/>
            <w:vAlign w:val="bottom"/>
            <w:hideMark/>
          </w:tcPr>
          <w:p w14:paraId="68272FF4"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-1.0</w:t>
            </w:r>
          </w:p>
        </w:tc>
        <w:tc>
          <w:tcPr>
            <w:tcW w:w="961" w:type="dxa"/>
            <w:tcBorders>
              <w:top w:val="nil"/>
              <w:left w:val="nil"/>
              <w:bottom w:val="nil"/>
              <w:right w:val="single" w:sz="4" w:space="0" w:color="auto"/>
            </w:tcBorders>
            <w:shd w:val="clear" w:color="000000" w:fill="FFFFFF"/>
            <w:noWrap/>
            <w:vAlign w:val="bottom"/>
            <w:hideMark/>
          </w:tcPr>
          <w:p w14:paraId="42679994"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-0.3</w:t>
            </w:r>
          </w:p>
        </w:tc>
        <w:tc>
          <w:tcPr>
            <w:tcW w:w="1259" w:type="dxa"/>
            <w:tcBorders>
              <w:top w:val="nil"/>
              <w:left w:val="nil"/>
              <w:bottom w:val="nil"/>
              <w:right w:val="nil"/>
            </w:tcBorders>
            <w:shd w:val="clear" w:color="000000" w:fill="FFFFFF"/>
            <w:noWrap/>
            <w:vAlign w:val="bottom"/>
            <w:hideMark/>
          </w:tcPr>
          <w:p w14:paraId="1B7B98DC"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2.0</w:t>
            </w:r>
          </w:p>
        </w:tc>
        <w:tc>
          <w:tcPr>
            <w:tcW w:w="961" w:type="dxa"/>
            <w:tcBorders>
              <w:top w:val="nil"/>
              <w:left w:val="nil"/>
              <w:bottom w:val="nil"/>
              <w:right w:val="single" w:sz="4" w:space="0" w:color="auto"/>
            </w:tcBorders>
            <w:shd w:val="clear" w:color="000000" w:fill="FFFFFF"/>
            <w:noWrap/>
            <w:vAlign w:val="bottom"/>
            <w:hideMark/>
          </w:tcPr>
          <w:p w14:paraId="6FA3FE72"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0.4</w:t>
            </w:r>
          </w:p>
        </w:tc>
      </w:tr>
      <w:tr w:rsidR="005D0E8C" w:rsidRPr="005D0E8C" w14:paraId="3174B6FE" w14:textId="77777777" w:rsidTr="005D0E8C">
        <w:trPr>
          <w:trHeight w:val="282"/>
        </w:trPr>
        <w:tc>
          <w:tcPr>
            <w:tcW w:w="1480" w:type="dxa"/>
            <w:tcBorders>
              <w:top w:val="nil"/>
              <w:left w:val="nil"/>
              <w:bottom w:val="nil"/>
              <w:right w:val="nil"/>
            </w:tcBorders>
            <w:shd w:val="clear" w:color="000000" w:fill="FFFFFF"/>
            <w:noWrap/>
            <w:vAlign w:val="bottom"/>
            <w:hideMark/>
          </w:tcPr>
          <w:p w14:paraId="24C9B891" w14:textId="77777777" w:rsidR="005D0E8C" w:rsidRPr="005D0E8C" w:rsidRDefault="005D0E8C" w:rsidP="005D0E8C">
            <w:pP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Stok Değişimi</w:t>
            </w:r>
          </w:p>
        </w:tc>
        <w:tc>
          <w:tcPr>
            <w:tcW w:w="1259" w:type="dxa"/>
            <w:tcBorders>
              <w:top w:val="nil"/>
              <w:left w:val="single" w:sz="4" w:space="0" w:color="auto"/>
              <w:bottom w:val="nil"/>
              <w:right w:val="nil"/>
            </w:tcBorders>
            <w:shd w:val="clear" w:color="000000" w:fill="FFFFFF"/>
            <w:noWrap/>
            <w:vAlign w:val="bottom"/>
            <w:hideMark/>
          </w:tcPr>
          <w:p w14:paraId="69BA55A9"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 </w:t>
            </w:r>
          </w:p>
        </w:tc>
        <w:tc>
          <w:tcPr>
            <w:tcW w:w="961" w:type="dxa"/>
            <w:tcBorders>
              <w:top w:val="nil"/>
              <w:left w:val="nil"/>
              <w:bottom w:val="nil"/>
              <w:right w:val="single" w:sz="4" w:space="0" w:color="auto"/>
            </w:tcBorders>
            <w:shd w:val="clear" w:color="000000" w:fill="FFFFFF"/>
            <w:noWrap/>
            <w:vAlign w:val="bottom"/>
            <w:hideMark/>
          </w:tcPr>
          <w:p w14:paraId="2C752893"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-3.7</w:t>
            </w:r>
          </w:p>
        </w:tc>
        <w:tc>
          <w:tcPr>
            <w:tcW w:w="1259" w:type="dxa"/>
            <w:tcBorders>
              <w:top w:val="nil"/>
              <w:left w:val="nil"/>
              <w:bottom w:val="nil"/>
              <w:right w:val="nil"/>
            </w:tcBorders>
            <w:shd w:val="clear" w:color="000000" w:fill="FFFFFF"/>
            <w:noWrap/>
            <w:vAlign w:val="bottom"/>
            <w:hideMark/>
          </w:tcPr>
          <w:p w14:paraId="25A2480D"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 </w:t>
            </w:r>
          </w:p>
        </w:tc>
        <w:tc>
          <w:tcPr>
            <w:tcW w:w="961" w:type="dxa"/>
            <w:tcBorders>
              <w:top w:val="nil"/>
              <w:left w:val="nil"/>
              <w:bottom w:val="nil"/>
              <w:right w:val="single" w:sz="4" w:space="0" w:color="auto"/>
            </w:tcBorders>
            <w:shd w:val="clear" w:color="000000" w:fill="FFFFFF"/>
            <w:noWrap/>
            <w:vAlign w:val="bottom"/>
            <w:hideMark/>
          </w:tcPr>
          <w:p w14:paraId="5DB2DA7C"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1.9</w:t>
            </w:r>
          </w:p>
        </w:tc>
      </w:tr>
      <w:tr w:rsidR="005D0E8C" w:rsidRPr="005D0E8C" w14:paraId="11CD5BB9" w14:textId="77777777" w:rsidTr="005D0E8C">
        <w:trPr>
          <w:trHeight w:val="282"/>
        </w:trPr>
        <w:tc>
          <w:tcPr>
            <w:tcW w:w="1480" w:type="dxa"/>
            <w:tcBorders>
              <w:top w:val="nil"/>
              <w:left w:val="nil"/>
              <w:bottom w:val="nil"/>
              <w:right w:val="nil"/>
            </w:tcBorders>
            <w:shd w:val="clear" w:color="000000" w:fill="FFFFFF"/>
            <w:noWrap/>
            <w:vAlign w:val="bottom"/>
            <w:hideMark/>
          </w:tcPr>
          <w:p w14:paraId="659CEFFC" w14:textId="77777777" w:rsidR="005D0E8C" w:rsidRPr="005D0E8C" w:rsidRDefault="005D0E8C" w:rsidP="005D0E8C">
            <w:pP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İhracat</w:t>
            </w:r>
          </w:p>
        </w:tc>
        <w:tc>
          <w:tcPr>
            <w:tcW w:w="1259" w:type="dxa"/>
            <w:tcBorders>
              <w:top w:val="nil"/>
              <w:left w:val="single" w:sz="4" w:space="0" w:color="auto"/>
              <w:bottom w:val="nil"/>
              <w:right w:val="nil"/>
            </w:tcBorders>
            <w:shd w:val="clear" w:color="000000" w:fill="FFFFFF"/>
            <w:noWrap/>
            <w:vAlign w:val="bottom"/>
            <w:hideMark/>
          </w:tcPr>
          <w:p w14:paraId="50AF7BD9"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11.4</w:t>
            </w:r>
          </w:p>
        </w:tc>
        <w:tc>
          <w:tcPr>
            <w:tcW w:w="961" w:type="dxa"/>
            <w:tcBorders>
              <w:top w:val="nil"/>
              <w:left w:val="nil"/>
              <w:bottom w:val="nil"/>
              <w:right w:val="single" w:sz="4" w:space="0" w:color="auto"/>
            </w:tcBorders>
            <w:shd w:val="clear" w:color="000000" w:fill="FFFFFF"/>
            <w:noWrap/>
            <w:vAlign w:val="bottom"/>
            <w:hideMark/>
          </w:tcPr>
          <w:p w14:paraId="772F23D9"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3.6</w:t>
            </w:r>
          </w:p>
        </w:tc>
        <w:tc>
          <w:tcPr>
            <w:tcW w:w="1259" w:type="dxa"/>
            <w:tcBorders>
              <w:top w:val="nil"/>
              <w:left w:val="nil"/>
              <w:bottom w:val="nil"/>
              <w:right w:val="nil"/>
            </w:tcBorders>
            <w:shd w:val="clear" w:color="000000" w:fill="FFFFFF"/>
            <w:noWrap/>
            <w:vAlign w:val="bottom"/>
            <w:hideMark/>
          </w:tcPr>
          <w:p w14:paraId="667F2AE0"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-3.2</w:t>
            </w:r>
          </w:p>
        </w:tc>
        <w:tc>
          <w:tcPr>
            <w:tcW w:w="961" w:type="dxa"/>
            <w:tcBorders>
              <w:top w:val="nil"/>
              <w:left w:val="nil"/>
              <w:bottom w:val="nil"/>
              <w:right w:val="single" w:sz="4" w:space="0" w:color="auto"/>
            </w:tcBorders>
            <w:shd w:val="clear" w:color="000000" w:fill="FFFFFF"/>
            <w:noWrap/>
            <w:vAlign w:val="bottom"/>
            <w:hideMark/>
          </w:tcPr>
          <w:p w14:paraId="379CB4B5"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-1.0</w:t>
            </w:r>
          </w:p>
        </w:tc>
      </w:tr>
      <w:tr w:rsidR="005D0E8C" w:rsidRPr="005D0E8C" w14:paraId="6E24521E" w14:textId="77777777" w:rsidTr="005D0E8C">
        <w:trPr>
          <w:trHeight w:val="282"/>
        </w:trPr>
        <w:tc>
          <w:tcPr>
            <w:tcW w:w="1480" w:type="dxa"/>
            <w:tcBorders>
              <w:top w:val="nil"/>
              <w:left w:val="nil"/>
              <w:bottom w:val="nil"/>
              <w:right w:val="nil"/>
            </w:tcBorders>
            <w:shd w:val="clear" w:color="000000" w:fill="FFFFFF"/>
            <w:noWrap/>
            <w:vAlign w:val="bottom"/>
            <w:hideMark/>
          </w:tcPr>
          <w:p w14:paraId="0E448521" w14:textId="77777777" w:rsidR="005D0E8C" w:rsidRPr="005D0E8C" w:rsidRDefault="005D0E8C" w:rsidP="005D0E8C">
            <w:pP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İthalat</w:t>
            </w:r>
          </w:p>
        </w:tc>
        <w:tc>
          <w:tcPr>
            <w:tcW w:w="1259" w:type="dxa"/>
            <w:tcBorders>
              <w:top w:val="nil"/>
              <w:left w:val="single" w:sz="4" w:space="0" w:color="auto"/>
              <w:bottom w:val="nil"/>
              <w:right w:val="nil"/>
            </w:tcBorders>
            <w:shd w:val="clear" w:color="000000" w:fill="FFFFFF"/>
            <w:noWrap/>
            <w:vAlign w:val="bottom"/>
            <w:hideMark/>
          </w:tcPr>
          <w:p w14:paraId="75B3E9F3"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9.2</w:t>
            </w:r>
          </w:p>
        </w:tc>
        <w:tc>
          <w:tcPr>
            <w:tcW w:w="961" w:type="dxa"/>
            <w:tcBorders>
              <w:top w:val="nil"/>
              <w:left w:val="nil"/>
              <w:bottom w:val="nil"/>
              <w:right w:val="single" w:sz="4" w:space="0" w:color="auto"/>
            </w:tcBorders>
            <w:shd w:val="clear" w:color="000000" w:fill="FFFFFF"/>
            <w:noWrap/>
            <w:vAlign w:val="bottom"/>
            <w:hideMark/>
          </w:tcPr>
          <w:p w14:paraId="1222FA81"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-2.7</w:t>
            </w:r>
          </w:p>
        </w:tc>
        <w:tc>
          <w:tcPr>
            <w:tcW w:w="1259" w:type="dxa"/>
            <w:tcBorders>
              <w:top w:val="nil"/>
              <w:left w:val="nil"/>
              <w:bottom w:val="nil"/>
              <w:right w:val="nil"/>
            </w:tcBorders>
            <w:shd w:val="clear" w:color="000000" w:fill="FFFFFF"/>
            <w:noWrap/>
            <w:vAlign w:val="bottom"/>
            <w:hideMark/>
          </w:tcPr>
          <w:p w14:paraId="62F0D7A4"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-5.6</w:t>
            </w:r>
          </w:p>
        </w:tc>
        <w:tc>
          <w:tcPr>
            <w:tcW w:w="961" w:type="dxa"/>
            <w:tcBorders>
              <w:top w:val="nil"/>
              <w:left w:val="nil"/>
              <w:bottom w:val="nil"/>
              <w:right w:val="single" w:sz="4" w:space="0" w:color="auto"/>
            </w:tcBorders>
            <w:shd w:val="clear" w:color="000000" w:fill="FFFFFF"/>
            <w:noWrap/>
            <w:vAlign w:val="bottom"/>
            <w:hideMark/>
          </w:tcPr>
          <w:p w14:paraId="4C8D91EF"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1.8</w:t>
            </w:r>
          </w:p>
        </w:tc>
      </w:tr>
      <w:tr w:rsidR="005D0E8C" w:rsidRPr="005D0E8C" w14:paraId="10A392BF" w14:textId="77777777" w:rsidTr="005D0E8C">
        <w:trPr>
          <w:trHeight w:val="315"/>
        </w:trPr>
        <w:tc>
          <w:tcPr>
            <w:tcW w:w="1480" w:type="dxa"/>
            <w:tcBorders>
              <w:top w:val="nil"/>
              <w:left w:val="nil"/>
              <w:bottom w:val="double" w:sz="6" w:space="0" w:color="auto"/>
              <w:right w:val="nil"/>
            </w:tcBorders>
            <w:shd w:val="clear" w:color="000000" w:fill="FFFFFF"/>
            <w:noWrap/>
            <w:vAlign w:val="bottom"/>
            <w:hideMark/>
          </w:tcPr>
          <w:p w14:paraId="026F3001" w14:textId="77777777" w:rsidR="005D0E8C" w:rsidRPr="005D0E8C" w:rsidRDefault="005D0E8C" w:rsidP="005D0E8C">
            <w:pPr>
              <w:rPr>
                <w:rFonts w:ascii="Calibri" w:hAnsi="Calibri" w:cs="Calibri"/>
                <w:b/>
                <w:bCs/>
                <w:color w:val="000000"/>
                <w:sz w:val="20"/>
                <w:szCs w:val="20"/>
                <w:lang w:val="en-GB" w:eastAsia="en-GB"/>
              </w:rPr>
            </w:pPr>
            <w:r w:rsidRPr="005D0E8C">
              <w:rPr>
                <w:rFonts w:ascii="Calibri" w:hAnsi="Calibri" w:cs="Calibri"/>
                <w:b/>
                <w:bCs/>
                <w:color w:val="000000"/>
                <w:sz w:val="20"/>
                <w:szCs w:val="20"/>
                <w:lang w:val="en-GB" w:eastAsia="en-GB"/>
              </w:rPr>
              <w:t>GSYH</w:t>
            </w:r>
          </w:p>
        </w:tc>
        <w:tc>
          <w:tcPr>
            <w:tcW w:w="1259" w:type="dxa"/>
            <w:tcBorders>
              <w:top w:val="nil"/>
              <w:left w:val="single" w:sz="4" w:space="0" w:color="auto"/>
              <w:bottom w:val="double" w:sz="6" w:space="0" w:color="auto"/>
              <w:right w:val="nil"/>
            </w:tcBorders>
            <w:shd w:val="clear" w:color="000000" w:fill="FFFFFF"/>
            <w:noWrap/>
            <w:vAlign w:val="bottom"/>
            <w:hideMark/>
          </w:tcPr>
          <w:p w14:paraId="7E914770"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1.5</w:t>
            </w:r>
          </w:p>
        </w:tc>
        <w:tc>
          <w:tcPr>
            <w:tcW w:w="961" w:type="dxa"/>
            <w:tcBorders>
              <w:top w:val="nil"/>
              <w:left w:val="nil"/>
              <w:bottom w:val="double" w:sz="6" w:space="0" w:color="auto"/>
              <w:right w:val="single" w:sz="4" w:space="0" w:color="auto"/>
            </w:tcBorders>
            <w:shd w:val="clear" w:color="000000" w:fill="FFFFFF"/>
            <w:noWrap/>
            <w:vAlign w:val="bottom"/>
            <w:hideMark/>
          </w:tcPr>
          <w:p w14:paraId="266E92EC"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 </w:t>
            </w:r>
          </w:p>
        </w:tc>
        <w:tc>
          <w:tcPr>
            <w:tcW w:w="1259" w:type="dxa"/>
            <w:tcBorders>
              <w:top w:val="nil"/>
              <w:left w:val="nil"/>
              <w:bottom w:val="double" w:sz="6" w:space="0" w:color="auto"/>
              <w:right w:val="nil"/>
            </w:tcBorders>
            <w:shd w:val="clear" w:color="000000" w:fill="FFFFFF"/>
            <w:noWrap/>
            <w:vAlign w:val="bottom"/>
            <w:hideMark/>
          </w:tcPr>
          <w:p w14:paraId="7B071C41"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1.2</w:t>
            </w:r>
          </w:p>
        </w:tc>
        <w:tc>
          <w:tcPr>
            <w:tcW w:w="961" w:type="dxa"/>
            <w:tcBorders>
              <w:top w:val="nil"/>
              <w:left w:val="nil"/>
              <w:bottom w:val="double" w:sz="6" w:space="0" w:color="auto"/>
              <w:right w:val="single" w:sz="4" w:space="0" w:color="auto"/>
            </w:tcBorders>
            <w:shd w:val="clear" w:color="000000" w:fill="FFFFFF"/>
            <w:noWrap/>
            <w:vAlign w:val="bottom"/>
            <w:hideMark/>
          </w:tcPr>
          <w:p w14:paraId="5AD3F67A" w14:textId="77777777" w:rsidR="005D0E8C" w:rsidRPr="005D0E8C" w:rsidRDefault="005D0E8C" w:rsidP="005D0E8C">
            <w:pPr>
              <w:jc w:val="center"/>
              <w:rPr>
                <w:rFonts w:ascii="Calibri" w:hAnsi="Calibri" w:cs="Calibri"/>
                <w:color w:val="000000"/>
                <w:sz w:val="20"/>
                <w:szCs w:val="20"/>
                <w:lang w:val="en-GB" w:eastAsia="en-GB"/>
              </w:rPr>
            </w:pPr>
            <w:r w:rsidRPr="005D0E8C">
              <w:rPr>
                <w:rFonts w:ascii="Calibri" w:hAnsi="Calibri" w:cs="Calibri"/>
                <w:color w:val="000000"/>
                <w:sz w:val="20"/>
                <w:szCs w:val="20"/>
                <w:lang w:val="en-GB" w:eastAsia="en-GB"/>
              </w:rPr>
              <w:t> </w:t>
            </w:r>
          </w:p>
        </w:tc>
      </w:tr>
    </w:tbl>
    <w:p w14:paraId="04FC8E76" w14:textId="76A3C0F4" w:rsidR="00F46A54" w:rsidRPr="00CC0355" w:rsidRDefault="003D44CE" w:rsidP="00F46A54">
      <w:pPr>
        <w:keepNext/>
        <w:rPr>
          <w:rFonts w:ascii="Palatino Linotype" w:hAnsi="Palatino Linotype" w:cstheme="minorHAnsi"/>
          <w:sz w:val="18"/>
          <w:szCs w:val="18"/>
        </w:rPr>
      </w:pPr>
      <w:r w:rsidRPr="00CC0355">
        <w:rPr>
          <w:rFonts w:ascii="Palatino Linotype" w:hAnsi="Palatino Linotype" w:cstheme="minorHAnsi"/>
          <w:sz w:val="18"/>
          <w:szCs w:val="18"/>
        </w:rPr>
        <w:t>Ka</w:t>
      </w:r>
      <w:r w:rsidR="00062A8A" w:rsidRPr="00CC0355">
        <w:rPr>
          <w:rFonts w:ascii="Palatino Linotype" w:hAnsi="Palatino Linotype" w:cstheme="minorHAnsi"/>
          <w:sz w:val="18"/>
          <w:szCs w:val="18"/>
        </w:rPr>
        <w:t>ynak: TÜİK, Betam</w:t>
      </w:r>
    </w:p>
    <w:p w14:paraId="67F1EC21" w14:textId="77777777" w:rsidR="006C3EE6" w:rsidRPr="00CC0355" w:rsidRDefault="006C3EE6" w:rsidP="004931A5">
      <w:pPr>
        <w:pStyle w:val="NormalWeb"/>
        <w:spacing w:before="0" w:beforeAutospacing="0" w:after="0" w:afterAutospacing="0" w:line="360" w:lineRule="auto"/>
        <w:ind w:right="77"/>
        <w:rPr>
          <w:rFonts w:ascii="Palatino Linotype" w:hAnsi="Palatino Linotype" w:cstheme="minorHAnsi"/>
          <w:b/>
          <w:sz w:val="20"/>
          <w:szCs w:val="20"/>
        </w:rPr>
      </w:pPr>
    </w:p>
    <w:p w14:paraId="46FC8EB8" w14:textId="49A76468" w:rsidR="006C3EE6" w:rsidRPr="00CC0355" w:rsidRDefault="00480684" w:rsidP="004931A5">
      <w:pPr>
        <w:pStyle w:val="NormalWeb"/>
        <w:spacing w:before="0" w:beforeAutospacing="0" w:after="0" w:afterAutospacing="0" w:line="360" w:lineRule="auto"/>
        <w:ind w:right="77"/>
        <w:rPr>
          <w:rFonts w:ascii="Palatino Linotype" w:hAnsi="Palatino Linotype" w:cstheme="minorHAnsi"/>
          <w:b/>
          <w:sz w:val="22"/>
          <w:szCs w:val="22"/>
        </w:rPr>
      </w:pPr>
      <w:r w:rsidRPr="00CC0355">
        <w:rPr>
          <w:rFonts w:ascii="Palatino Linotype" w:hAnsi="Palatino Linotype" w:cstheme="minorHAnsi"/>
          <w:b/>
          <w:sz w:val="22"/>
          <w:szCs w:val="22"/>
        </w:rPr>
        <w:t>Yatırım</w:t>
      </w:r>
      <w:r w:rsidR="003C267D">
        <w:rPr>
          <w:rFonts w:ascii="Palatino Linotype" w:hAnsi="Palatino Linotype" w:cstheme="minorHAnsi"/>
          <w:b/>
          <w:sz w:val="22"/>
          <w:szCs w:val="22"/>
        </w:rPr>
        <w:t xml:space="preserve"> harcamaları</w:t>
      </w:r>
      <w:r w:rsidR="00007C3F">
        <w:rPr>
          <w:rFonts w:ascii="Palatino Linotype" w:hAnsi="Palatino Linotype" w:cstheme="minorHAnsi"/>
          <w:b/>
          <w:sz w:val="22"/>
          <w:szCs w:val="22"/>
        </w:rPr>
        <w:t xml:space="preserve"> </w:t>
      </w:r>
      <w:r w:rsidR="00F022E0">
        <w:rPr>
          <w:rFonts w:ascii="Palatino Linotype" w:hAnsi="Palatino Linotype" w:cstheme="minorHAnsi"/>
          <w:b/>
          <w:sz w:val="22"/>
          <w:szCs w:val="22"/>
        </w:rPr>
        <w:t>az da olsa arttı</w:t>
      </w:r>
    </w:p>
    <w:p w14:paraId="1EDCC445" w14:textId="5CF8DBAB" w:rsidR="00062A8A" w:rsidRPr="005E0D21" w:rsidRDefault="003C09C5" w:rsidP="002A037D">
      <w:pPr>
        <w:pStyle w:val="NormalWeb"/>
        <w:spacing w:before="0" w:beforeAutospacing="0" w:after="0" w:afterAutospacing="0" w:line="360" w:lineRule="auto"/>
        <w:ind w:right="77"/>
        <w:jc w:val="both"/>
        <w:rPr>
          <w:rFonts w:ascii="Palatino Linotype" w:hAnsi="Palatino Linotype" w:cstheme="minorHAnsi"/>
          <w:sz w:val="22"/>
          <w:szCs w:val="22"/>
        </w:rPr>
      </w:pPr>
      <w:bookmarkStart w:id="7" w:name="OLE_LINK19"/>
      <w:bookmarkStart w:id="8" w:name="OLE_LINK20"/>
      <w:r>
        <w:rPr>
          <w:rFonts w:ascii="Palatino Linotype" w:hAnsi="Palatino Linotype" w:cstheme="minorHAnsi"/>
          <w:sz w:val="22"/>
          <w:szCs w:val="22"/>
        </w:rPr>
        <w:t xml:space="preserve">2021 yılının ikinci yarısında azalan yatırımlar bu </w:t>
      </w:r>
      <w:r w:rsidR="00D8482B">
        <w:rPr>
          <w:rFonts w:ascii="Palatino Linotype" w:hAnsi="Palatino Linotype" w:cstheme="minorHAnsi"/>
          <w:sz w:val="22"/>
          <w:szCs w:val="22"/>
        </w:rPr>
        <w:t xml:space="preserve">çeyrekte </w:t>
      </w:r>
      <w:bookmarkEnd w:id="7"/>
      <w:bookmarkEnd w:id="8"/>
      <w:r>
        <w:rPr>
          <w:rFonts w:ascii="Palatino Linotype" w:hAnsi="Palatino Linotype" w:cstheme="minorHAnsi"/>
          <w:sz w:val="22"/>
          <w:szCs w:val="22"/>
        </w:rPr>
        <w:t>sınırlı da olsa artarak büyümeyi destekledi. Yıllık bazda yüzde 1,1, çeyreklik bazda yüzde 2 artan yatırımlar yıllık ve çeyrek büyüme rakamına 0,4 yüzde puan katkı yaptı.</w:t>
      </w:r>
      <w:r w:rsidR="001D37D1">
        <w:rPr>
          <w:rFonts w:ascii="Palatino Linotype" w:hAnsi="Palatino Linotype" w:cstheme="minorHAnsi"/>
          <w:sz w:val="22"/>
          <w:szCs w:val="22"/>
        </w:rPr>
        <w:t xml:space="preserve"> (Tablo 1</w:t>
      </w:r>
      <w:r>
        <w:rPr>
          <w:rFonts w:ascii="Palatino Linotype" w:hAnsi="Palatino Linotype" w:cstheme="minorHAnsi"/>
          <w:sz w:val="22"/>
          <w:szCs w:val="22"/>
        </w:rPr>
        <w:t xml:space="preserve"> ve Tablo 2</w:t>
      </w:r>
      <w:r w:rsidR="001D37D1">
        <w:rPr>
          <w:rFonts w:ascii="Palatino Linotype" w:hAnsi="Palatino Linotype" w:cstheme="minorHAnsi"/>
          <w:sz w:val="22"/>
          <w:szCs w:val="22"/>
        </w:rPr>
        <w:t>).</w:t>
      </w:r>
      <w:r w:rsidR="006324E3">
        <w:rPr>
          <w:rFonts w:ascii="Palatino Linotype" w:hAnsi="Palatino Linotype" w:cstheme="minorHAnsi"/>
          <w:sz w:val="22"/>
          <w:szCs w:val="22"/>
        </w:rPr>
        <w:t xml:space="preserve"> </w:t>
      </w:r>
    </w:p>
    <w:p w14:paraId="526B7713" w14:textId="77777777" w:rsidR="00450CEA" w:rsidRPr="005E0D21" w:rsidRDefault="00450CEA" w:rsidP="002A037D">
      <w:pPr>
        <w:pStyle w:val="NormalWeb"/>
        <w:spacing w:before="0" w:beforeAutospacing="0" w:after="0" w:afterAutospacing="0" w:line="360" w:lineRule="auto"/>
        <w:ind w:right="77"/>
        <w:jc w:val="both"/>
        <w:rPr>
          <w:rFonts w:ascii="Palatino Linotype" w:hAnsi="Palatino Linotype" w:cstheme="minorHAnsi"/>
          <w:sz w:val="22"/>
          <w:szCs w:val="22"/>
        </w:rPr>
      </w:pPr>
    </w:p>
    <w:p w14:paraId="16625566" w14:textId="0DD95884" w:rsidR="00681AD9" w:rsidRPr="005E0D21" w:rsidRDefault="00681022" w:rsidP="00681022">
      <w:pPr>
        <w:pStyle w:val="NormalWeb"/>
        <w:spacing w:before="0" w:beforeAutospacing="0" w:after="0" w:afterAutospacing="0" w:line="360" w:lineRule="auto"/>
        <w:ind w:right="77"/>
        <w:rPr>
          <w:rFonts w:ascii="Palatino Linotype" w:hAnsi="Palatino Linotype" w:cstheme="minorHAnsi"/>
          <w:b/>
          <w:sz w:val="22"/>
          <w:szCs w:val="22"/>
        </w:rPr>
      </w:pPr>
      <w:r w:rsidRPr="005E0D21">
        <w:rPr>
          <w:rFonts w:ascii="Palatino Linotype" w:hAnsi="Palatino Linotype" w:cstheme="minorHAnsi"/>
          <w:b/>
          <w:sz w:val="22"/>
          <w:szCs w:val="22"/>
        </w:rPr>
        <w:lastRenderedPageBreak/>
        <w:t>Stok</w:t>
      </w:r>
      <w:r w:rsidR="00B31727">
        <w:rPr>
          <w:rFonts w:ascii="Palatino Linotype" w:hAnsi="Palatino Linotype" w:cstheme="minorHAnsi"/>
          <w:b/>
          <w:sz w:val="22"/>
          <w:szCs w:val="22"/>
        </w:rPr>
        <w:t>lar eri</w:t>
      </w:r>
      <w:r w:rsidR="000F34BE">
        <w:rPr>
          <w:rFonts w:ascii="Palatino Linotype" w:hAnsi="Palatino Linotype" w:cstheme="minorHAnsi"/>
          <w:b/>
          <w:sz w:val="22"/>
          <w:szCs w:val="22"/>
        </w:rPr>
        <w:t>meye devam etti</w:t>
      </w:r>
      <w:r w:rsidR="00494926" w:rsidRPr="005E0D21">
        <w:rPr>
          <w:rStyle w:val="FootnoteReference"/>
          <w:rFonts w:ascii="Palatino Linotype" w:hAnsi="Palatino Linotype" w:cstheme="minorHAnsi"/>
          <w:b/>
          <w:sz w:val="22"/>
          <w:szCs w:val="22"/>
        </w:rPr>
        <w:footnoteReference w:id="3"/>
      </w:r>
    </w:p>
    <w:p w14:paraId="2F77854E" w14:textId="4FDD9D6E" w:rsidR="00450CEA" w:rsidRDefault="00F022E0" w:rsidP="002A037D">
      <w:pPr>
        <w:pStyle w:val="NormalWeb"/>
        <w:spacing w:before="0" w:beforeAutospacing="0" w:after="120" w:afterAutospacing="0" w:line="360" w:lineRule="auto"/>
        <w:ind w:right="79"/>
        <w:jc w:val="both"/>
        <w:rPr>
          <w:rFonts w:ascii="Palatino Linotype" w:hAnsi="Palatino Linotype" w:cstheme="minorHAnsi"/>
          <w:sz w:val="22"/>
          <w:szCs w:val="22"/>
        </w:rPr>
      </w:pPr>
      <w:bookmarkStart w:id="11" w:name="OLE_LINK15"/>
      <w:bookmarkStart w:id="12" w:name="OLE_LINK16"/>
      <w:bookmarkStart w:id="13" w:name="OLE_LINK7"/>
      <w:bookmarkStart w:id="14" w:name="OLE_LINK8"/>
      <w:r>
        <w:rPr>
          <w:rFonts w:ascii="Palatino Linotype" w:hAnsi="Palatino Linotype" w:cstheme="minorHAnsi"/>
          <w:sz w:val="22"/>
          <w:szCs w:val="22"/>
        </w:rPr>
        <w:t>Stok değişimlerinin yıllık büyümeyi baskılamaya devam ettiğini görüyoruz.</w:t>
      </w:r>
      <w:r w:rsidR="00007C3F" w:rsidRPr="005E0D21">
        <w:rPr>
          <w:rFonts w:ascii="Palatino Linotype" w:hAnsi="Palatino Linotype" w:cstheme="minorHAnsi"/>
          <w:sz w:val="22"/>
          <w:szCs w:val="22"/>
        </w:rPr>
        <w:t xml:space="preserve"> </w:t>
      </w:r>
      <w:bookmarkEnd w:id="11"/>
      <w:bookmarkEnd w:id="12"/>
      <w:r w:rsidR="00173752">
        <w:rPr>
          <w:rFonts w:ascii="Palatino Linotype" w:hAnsi="Palatino Linotype" w:cstheme="minorHAnsi"/>
          <w:sz w:val="22"/>
          <w:szCs w:val="22"/>
        </w:rPr>
        <w:t xml:space="preserve">Stok değişimlerinin yıllık büyümeye katkısı eksi </w:t>
      </w:r>
      <w:r>
        <w:rPr>
          <w:rFonts w:ascii="Palatino Linotype" w:hAnsi="Palatino Linotype" w:cstheme="minorHAnsi"/>
          <w:sz w:val="22"/>
          <w:szCs w:val="22"/>
        </w:rPr>
        <w:t>8</w:t>
      </w:r>
      <w:r w:rsidR="00173752">
        <w:rPr>
          <w:rFonts w:ascii="Palatino Linotype" w:hAnsi="Palatino Linotype" w:cstheme="minorHAnsi"/>
          <w:sz w:val="22"/>
          <w:szCs w:val="22"/>
        </w:rPr>
        <w:t>,</w:t>
      </w:r>
      <w:r>
        <w:rPr>
          <w:rFonts w:ascii="Palatino Linotype" w:hAnsi="Palatino Linotype" w:cstheme="minorHAnsi"/>
          <w:sz w:val="22"/>
          <w:szCs w:val="22"/>
        </w:rPr>
        <w:t>6</w:t>
      </w:r>
      <w:r w:rsidR="00173752">
        <w:rPr>
          <w:rFonts w:ascii="Palatino Linotype" w:hAnsi="Palatino Linotype" w:cstheme="minorHAnsi"/>
          <w:sz w:val="22"/>
          <w:szCs w:val="22"/>
        </w:rPr>
        <w:t xml:space="preserve"> yüzde puan olurken </w:t>
      </w:r>
      <w:r w:rsidR="005C51D9" w:rsidRPr="005E0D21">
        <w:rPr>
          <w:rFonts w:ascii="Palatino Linotype" w:hAnsi="Palatino Linotype" w:cstheme="minorHAnsi"/>
          <w:sz w:val="22"/>
          <w:szCs w:val="22"/>
        </w:rPr>
        <w:t>(Tablo 1) mevsim ve takvim etkisinden arındırılmış veriye göre</w:t>
      </w:r>
      <w:r>
        <w:rPr>
          <w:rFonts w:ascii="Palatino Linotype" w:hAnsi="Palatino Linotype" w:cstheme="minorHAnsi"/>
          <w:sz w:val="22"/>
          <w:szCs w:val="22"/>
        </w:rPr>
        <w:t xml:space="preserve"> ise</w:t>
      </w:r>
      <w:r w:rsidR="005C51D9" w:rsidRPr="005E0D21">
        <w:rPr>
          <w:rFonts w:ascii="Palatino Linotype" w:hAnsi="Palatino Linotype" w:cstheme="minorHAnsi"/>
          <w:sz w:val="22"/>
          <w:szCs w:val="22"/>
        </w:rPr>
        <w:t xml:space="preserve"> çeyreklik büyümeye katkısı</w:t>
      </w:r>
      <w:r w:rsidR="00AA678E" w:rsidRPr="005E0D21">
        <w:rPr>
          <w:rFonts w:ascii="Palatino Linotype" w:hAnsi="Palatino Linotype" w:cstheme="minorHAnsi"/>
          <w:sz w:val="22"/>
          <w:szCs w:val="22"/>
        </w:rPr>
        <w:t xml:space="preserve"> </w:t>
      </w:r>
      <w:r>
        <w:rPr>
          <w:rFonts w:ascii="Palatino Linotype" w:hAnsi="Palatino Linotype" w:cstheme="minorHAnsi"/>
          <w:sz w:val="22"/>
          <w:szCs w:val="22"/>
        </w:rPr>
        <w:t>pozitif yönde 1,9 yüzde puan olarak gerçekleşti</w:t>
      </w:r>
      <w:r w:rsidR="005C51D9" w:rsidRPr="005E0D21">
        <w:rPr>
          <w:rFonts w:ascii="Palatino Linotype" w:hAnsi="Palatino Linotype" w:cstheme="minorHAnsi"/>
          <w:sz w:val="22"/>
          <w:szCs w:val="22"/>
        </w:rPr>
        <w:t xml:space="preserve"> (Tablo 2).</w:t>
      </w:r>
      <w:bookmarkEnd w:id="13"/>
      <w:bookmarkEnd w:id="14"/>
      <w:r w:rsidR="006E09D6" w:rsidRPr="005E0D21">
        <w:rPr>
          <w:rFonts w:ascii="Palatino Linotype" w:hAnsi="Palatino Linotype" w:cstheme="minorHAnsi"/>
          <w:sz w:val="22"/>
          <w:szCs w:val="22"/>
        </w:rPr>
        <w:t xml:space="preserve"> </w:t>
      </w:r>
      <w:r w:rsidR="006E09D6" w:rsidRPr="00E431D7">
        <w:rPr>
          <w:rFonts w:ascii="Palatino Linotype" w:hAnsi="Palatino Linotype" w:cstheme="minorHAnsi"/>
          <w:sz w:val="22"/>
          <w:szCs w:val="22"/>
        </w:rPr>
        <w:t>Stok değişiminin yıllık büyümey</w:t>
      </w:r>
      <w:r w:rsidR="00793D58" w:rsidRPr="00E431D7">
        <w:rPr>
          <w:rFonts w:ascii="Palatino Linotype" w:hAnsi="Palatino Linotype" w:cstheme="minorHAnsi"/>
          <w:sz w:val="22"/>
          <w:szCs w:val="22"/>
        </w:rPr>
        <w:t>e katkısı negatif oldu. Bunun sebebi p</w:t>
      </w:r>
      <w:r w:rsidR="0048730C" w:rsidRPr="00E431D7">
        <w:rPr>
          <w:rFonts w:ascii="Palatino Linotype" w:hAnsi="Palatino Linotype" w:cstheme="minorHAnsi"/>
          <w:sz w:val="22"/>
          <w:szCs w:val="22"/>
        </w:rPr>
        <w:t xml:space="preserve">andemi </w:t>
      </w:r>
      <w:r w:rsidR="00793D58" w:rsidRPr="00E431D7">
        <w:rPr>
          <w:rFonts w:ascii="Palatino Linotype" w:hAnsi="Palatino Linotype" w:cstheme="minorHAnsi"/>
          <w:sz w:val="22"/>
          <w:szCs w:val="22"/>
        </w:rPr>
        <w:t xml:space="preserve">döneminde biriken </w:t>
      </w:r>
      <w:r w:rsidR="00B31727" w:rsidRPr="00E431D7">
        <w:rPr>
          <w:rFonts w:ascii="Palatino Linotype" w:hAnsi="Palatino Linotype" w:cstheme="minorHAnsi"/>
          <w:sz w:val="22"/>
          <w:szCs w:val="22"/>
        </w:rPr>
        <w:t>stokların</w:t>
      </w:r>
      <w:r w:rsidR="0071724C" w:rsidRPr="00E431D7">
        <w:rPr>
          <w:rFonts w:ascii="Palatino Linotype" w:hAnsi="Palatino Linotype" w:cstheme="minorHAnsi"/>
          <w:sz w:val="22"/>
          <w:szCs w:val="22"/>
        </w:rPr>
        <w:t xml:space="preserve">, </w:t>
      </w:r>
      <w:r w:rsidR="00DD00FB" w:rsidRPr="00E431D7">
        <w:rPr>
          <w:rFonts w:ascii="Palatino Linotype" w:hAnsi="Palatino Linotype" w:cstheme="minorHAnsi"/>
          <w:sz w:val="22"/>
          <w:szCs w:val="22"/>
        </w:rPr>
        <w:t xml:space="preserve">2021’de olduğu gibi 2022’nin </w:t>
      </w:r>
      <w:r w:rsidR="0071724C" w:rsidRPr="00E431D7">
        <w:rPr>
          <w:rFonts w:ascii="Palatino Linotype" w:hAnsi="Palatino Linotype" w:cstheme="minorHAnsi"/>
          <w:sz w:val="22"/>
          <w:szCs w:val="22"/>
        </w:rPr>
        <w:t>ilk</w:t>
      </w:r>
      <w:r w:rsidR="0048730C" w:rsidRPr="00E431D7">
        <w:rPr>
          <w:rFonts w:ascii="Palatino Linotype" w:hAnsi="Palatino Linotype" w:cstheme="minorHAnsi"/>
          <w:sz w:val="22"/>
          <w:szCs w:val="22"/>
        </w:rPr>
        <w:t xml:space="preserve"> çeyre</w:t>
      </w:r>
      <w:r w:rsidR="00DD00FB" w:rsidRPr="00E431D7">
        <w:rPr>
          <w:rFonts w:ascii="Palatino Linotype" w:hAnsi="Palatino Linotype" w:cstheme="minorHAnsi"/>
          <w:sz w:val="22"/>
          <w:szCs w:val="22"/>
        </w:rPr>
        <w:t xml:space="preserve">ğinde de </w:t>
      </w:r>
      <w:r w:rsidR="0048730C" w:rsidRPr="00E431D7">
        <w:rPr>
          <w:rFonts w:ascii="Palatino Linotype" w:hAnsi="Palatino Linotype" w:cstheme="minorHAnsi"/>
          <w:sz w:val="22"/>
          <w:szCs w:val="22"/>
        </w:rPr>
        <w:t>eri</w:t>
      </w:r>
      <w:r w:rsidR="00B31727" w:rsidRPr="00E431D7">
        <w:rPr>
          <w:rFonts w:ascii="Palatino Linotype" w:hAnsi="Palatino Linotype" w:cstheme="minorHAnsi"/>
          <w:sz w:val="22"/>
          <w:szCs w:val="22"/>
        </w:rPr>
        <w:t>meye devam et</w:t>
      </w:r>
      <w:r w:rsidR="00DD00FB" w:rsidRPr="00E431D7">
        <w:rPr>
          <w:rFonts w:ascii="Palatino Linotype" w:hAnsi="Palatino Linotype" w:cstheme="minorHAnsi"/>
          <w:sz w:val="22"/>
          <w:szCs w:val="22"/>
        </w:rPr>
        <w:t>me</w:t>
      </w:r>
      <w:r w:rsidR="008F10DA" w:rsidRPr="00E431D7">
        <w:rPr>
          <w:rFonts w:ascii="Palatino Linotype" w:hAnsi="Palatino Linotype" w:cstheme="minorHAnsi"/>
          <w:sz w:val="22"/>
          <w:szCs w:val="22"/>
        </w:rPr>
        <w:t xml:space="preserve">sidir. Azalan stoklar sebebi ile </w:t>
      </w:r>
      <w:r w:rsidR="004950F8" w:rsidRPr="00E431D7">
        <w:rPr>
          <w:rFonts w:ascii="Palatino Linotype" w:hAnsi="Palatino Linotype" w:cstheme="minorHAnsi"/>
          <w:sz w:val="22"/>
          <w:szCs w:val="22"/>
        </w:rPr>
        <w:t>üretim</w:t>
      </w:r>
      <w:r w:rsidR="008F10DA" w:rsidRPr="00E431D7">
        <w:rPr>
          <w:rFonts w:ascii="Palatino Linotype" w:hAnsi="Palatino Linotype" w:cstheme="minorHAnsi"/>
          <w:sz w:val="22"/>
          <w:szCs w:val="22"/>
        </w:rPr>
        <w:t xml:space="preserve"> artışı</w:t>
      </w:r>
      <w:r w:rsidR="000F34BE">
        <w:rPr>
          <w:rFonts w:ascii="Palatino Linotype" w:hAnsi="Palatino Linotype" w:cstheme="minorHAnsi"/>
          <w:sz w:val="22"/>
          <w:szCs w:val="22"/>
        </w:rPr>
        <w:t xml:space="preserve">nın </w:t>
      </w:r>
      <w:r w:rsidR="007C47CA">
        <w:rPr>
          <w:rFonts w:ascii="Palatino Linotype" w:hAnsi="Palatino Linotype" w:cstheme="minorHAnsi"/>
          <w:sz w:val="22"/>
          <w:szCs w:val="22"/>
        </w:rPr>
        <w:t xml:space="preserve">tüketim artışının gerisinde kaldığı </w:t>
      </w:r>
      <w:r w:rsidR="000F34BE">
        <w:rPr>
          <w:rFonts w:ascii="Palatino Linotype" w:hAnsi="Palatino Linotype" w:cstheme="minorHAnsi"/>
          <w:sz w:val="22"/>
          <w:szCs w:val="22"/>
        </w:rPr>
        <w:t xml:space="preserve">söylenebilir. </w:t>
      </w:r>
    </w:p>
    <w:p w14:paraId="460F9C7D" w14:textId="77777777" w:rsidR="007C47CA" w:rsidRPr="005E0D21" w:rsidRDefault="007C47CA" w:rsidP="002A037D">
      <w:pPr>
        <w:pStyle w:val="NormalWeb"/>
        <w:spacing w:before="0" w:beforeAutospacing="0" w:after="120" w:afterAutospacing="0" w:line="360" w:lineRule="auto"/>
        <w:ind w:right="79"/>
        <w:jc w:val="both"/>
        <w:rPr>
          <w:rFonts w:ascii="Palatino Linotype" w:hAnsi="Palatino Linotype" w:cstheme="minorHAnsi"/>
          <w:sz w:val="22"/>
          <w:szCs w:val="22"/>
        </w:rPr>
      </w:pPr>
    </w:p>
    <w:p w14:paraId="7233E2B8" w14:textId="41352C12" w:rsidR="00F46A54" w:rsidRPr="005E0D21" w:rsidRDefault="00F022E0" w:rsidP="00F30329">
      <w:pPr>
        <w:pStyle w:val="NormalWeb"/>
        <w:spacing w:before="0" w:beforeAutospacing="0" w:after="120" w:afterAutospacing="0" w:line="360" w:lineRule="auto"/>
        <w:ind w:right="79"/>
        <w:rPr>
          <w:rFonts w:ascii="Palatino Linotype" w:hAnsi="Palatino Linotype" w:cstheme="minorHAnsi"/>
          <w:b/>
          <w:sz w:val="22"/>
          <w:szCs w:val="22"/>
        </w:rPr>
      </w:pPr>
      <w:r>
        <w:rPr>
          <w:rFonts w:ascii="Palatino Linotype" w:hAnsi="Palatino Linotype" w:cstheme="minorHAnsi"/>
          <w:b/>
          <w:sz w:val="22"/>
          <w:szCs w:val="22"/>
        </w:rPr>
        <w:t>Dış ticaret katkısı düşüyor</w:t>
      </w:r>
    </w:p>
    <w:p w14:paraId="142C0302" w14:textId="6EE42064" w:rsidR="00062A8A" w:rsidRPr="005E0D21" w:rsidRDefault="00F022E0" w:rsidP="002A037D">
      <w:pPr>
        <w:pStyle w:val="NormalWeb"/>
        <w:spacing w:before="0" w:beforeAutospacing="0" w:after="0" w:afterAutospacing="0" w:line="360" w:lineRule="auto"/>
        <w:ind w:right="77"/>
        <w:jc w:val="both"/>
        <w:rPr>
          <w:rFonts w:ascii="Palatino Linotype" w:hAnsi="Palatino Linotype" w:cstheme="minorHAnsi"/>
          <w:sz w:val="22"/>
          <w:szCs w:val="22"/>
        </w:rPr>
      </w:pPr>
      <w:bookmarkStart w:id="15" w:name="OLE_LINK11"/>
      <w:bookmarkStart w:id="16" w:name="OLE_LINK12"/>
      <w:r>
        <w:rPr>
          <w:rFonts w:ascii="Palatino Linotype" w:hAnsi="Palatino Linotype" w:cstheme="minorHAnsi"/>
          <w:sz w:val="22"/>
          <w:szCs w:val="22"/>
        </w:rPr>
        <w:t xml:space="preserve">İhracat artışı ithalat artışından daha hızlı yavaşladığı için dış ticaret katkısı azalıyor. </w:t>
      </w:r>
      <w:r w:rsidR="005C51D9" w:rsidRPr="005E0D21">
        <w:rPr>
          <w:rFonts w:ascii="Palatino Linotype" w:hAnsi="Palatino Linotype" w:cstheme="minorHAnsi"/>
          <w:sz w:val="22"/>
          <w:szCs w:val="22"/>
        </w:rPr>
        <w:t>202</w:t>
      </w:r>
      <w:r>
        <w:rPr>
          <w:rFonts w:ascii="Palatino Linotype" w:hAnsi="Palatino Linotype" w:cstheme="minorHAnsi"/>
          <w:sz w:val="22"/>
          <w:szCs w:val="22"/>
        </w:rPr>
        <w:t>2</w:t>
      </w:r>
      <w:r w:rsidR="005C51D9" w:rsidRPr="005E0D21">
        <w:rPr>
          <w:rFonts w:ascii="Palatino Linotype" w:hAnsi="Palatino Linotype" w:cstheme="minorHAnsi"/>
          <w:sz w:val="22"/>
          <w:szCs w:val="22"/>
        </w:rPr>
        <w:t xml:space="preserve"> yılının</w:t>
      </w:r>
      <w:r w:rsidR="00A94E9C" w:rsidRPr="005E0D21">
        <w:rPr>
          <w:rFonts w:ascii="Palatino Linotype" w:hAnsi="Palatino Linotype" w:cstheme="minorHAnsi"/>
          <w:sz w:val="22"/>
          <w:szCs w:val="22"/>
        </w:rPr>
        <w:t xml:space="preserve"> </w:t>
      </w:r>
      <w:r>
        <w:rPr>
          <w:rFonts w:ascii="Palatino Linotype" w:hAnsi="Palatino Linotype" w:cstheme="minorHAnsi"/>
          <w:sz w:val="22"/>
          <w:szCs w:val="22"/>
        </w:rPr>
        <w:t>ilk</w:t>
      </w:r>
      <w:r w:rsidR="00DB5024" w:rsidRPr="005E0D21">
        <w:rPr>
          <w:rFonts w:ascii="Palatino Linotype" w:hAnsi="Palatino Linotype" w:cstheme="minorHAnsi"/>
          <w:sz w:val="22"/>
          <w:szCs w:val="22"/>
        </w:rPr>
        <w:t xml:space="preserve"> </w:t>
      </w:r>
      <w:r w:rsidR="005C51D9" w:rsidRPr="005E0D21">
        <w:rPr>
          <w:rFonts w:ascii="Palatino Linotype" w:hAnsi="Palatino Linotype" w:cstheme="minorHAnsi"/>
          <w:sz w:val="22"/>
          <w:szCs w:val="22"/>
        </w:rPr>
        <w:t>çeyreğinde ihracat</w:t>
      </w:r>
      <w:r w:rsidR="00416A4B" w:rsidRPr="005E0D21">
        <w:rPr>
          <w:rFonts w:ascii="Palatino Linotype" w:hAnsi="Palatino Linotype" w:cstheme="minorHAnsi"/>
          <w:sz w:val="22"/>
          <w:szCs w:val="22"/>
        </w:rPr>
        <w:t xml:space="preserve"> </w:t>
      </w:r>
      <w:r w:rsidR="00A94E9C" w:rsidRPr="005E0D21">
        <w:rPr>
          <w:rFonts w:ascii="Palatino Linotype" w:hAnsi="Palatino Linotype" w:cstheme="minorHAnsi"/>
          <w:sz w:val="22"/>
          <w:szCs w:val="22"/>
        </w:rPr>
        <w:t xml:space="preserve">bir önceki yılın aynı dönemine göre yüzde </w:t>
      </w:r>
      <w:r w:rsidR="0068354F">
        <w:rPr>
          <w:rFonts w:ascii="Palatino Linotype" w:hAnsi="Palatino Linotype" w:cstheme="minorHAnsi"/>
          <w:sz w:val="22"/>
          <w:szCs w:val="22"/>
        </w:rPr>
        <w:t>16,8</w:t>
      </w:r>
      <w:r w:rsidR="00A94E9C" w:rsidRPr="005E0D21">
        <w:rPr>
          <w:rFonts w:ascii="Palatino Linotype" w:hAnsi="Palatino Linotype" w:cstheme="minorHAnsi"/>
          <w:sz w:val="22"/>
          <w:szCs w:val="22"/>
        </w:rPr>
        <w:t xml:space="preserve"> </w:t>
      </w:r>
      <w:r w:rsidR="009C4B9E" w:rsidRPr="005E0D21">
        <w:rPr>
          <w:rFonts w:ascii="Palatino Linotype" w:hAnsi="Palatino Linotype" w:cstheme="minorHAnsi"/>
          <w:sz w:val="22"/>
          <w:szCs w:val="22"/>
        </w:rPr>
        <w:t>artarak</w:t>
      </w:r>
      <w:r w:rsidR="00A94E9C" w:rsidRPr="005E0D21">
        <w:rPr>
          <w:rFonts w:ascii="Palatino Linotype" w:hAnsi="Palatino Linotype" w:cstheme="minorHAnsi"/>
          <w:sz w:val="22"/>
          <w:szCs w:val="22"/>
        </w:rPr>
        <w:t xml:space="preserve"> yıllık GSYH büyümesine </w:t>
      </w:r>
      <w:r w:rsidR="0068354F">
        <w:rPr>
          <w:rFonts w:ascii="Palatino Linotype" w:hAnsi="Palatino Linotype" w:cstheme="minorHAnsi"/>
          <w:sz w:val="22"/>
          <w:szCs w:val="22"/>
        </w:rPr>
        <w:t>5</w:t>
      </w:r>
      <w:r w:rsidR="009C4B9E" w:rsidRPr="005E0D21">
        <w:rPr>
          <w:rFonts w:ascii="Palatino Linotype" w:hAnsi="Palatino Linotype" w:cstheme="minorHAnsi"/>
          <w:sz w:val="22"/>
          <w:szCs w:val="22"/>
        </w:rPr>
        <w:t>,</w:t>
      </w:r>
      <w:r w:rsidR="0068354F">
        <w:rPr>
          <w:rFonts w:ascii="Palatino Linotype" w:hAnsi="Palatino Linotype" w:cstheme="minorHAnsi"/>
          <w:sz w:val="22"/>
          <w:szCs w:val="22"/>
        </w:rPr>
        <w:t>7</w:t>
      </w:r>
      <w:r w:rsidR="009C4B9E" w:rsidRPr="005E0D21">
        <w:rPr>
          <w:rFonts w:ascii="Palatino Linotype" w:hAnsi="Palatino Linotype" w:cstheme="minorHAnsi"/>
          <w:sz w:val="22"/>
          <w:szCs w:val="22"/>
        </w:rPr>
        <w:t xml:space="preserve"> </w:t>
      </w:r>
      <w:r w:rsidR="00A94E9C" w:rsidRPr="005E0D21">
        <w:rPr>
          <w:rFonts w:ascii="Palatino Linotype" w:hAnsi="Palatino Linotype" w:cstheme="minorHAnsi"/>
          <w:sz w:val="22"/>
          <w:szCs w:val="22"/>
        </w:rPr>
        <w:t xml:space="preserve">yüzde puan </w:t>
      </w:r>
      <w:r w:rsidR="009C4B9E" w:rsidRPr="005E0D21">
        <w:rPr>
          <w:rFonts w:ascii="Palatino Linotype" w:hAnsi="Palatino Linotype" w:cstheme="minorHAnsi"/>
          <w:sz w:val="22"/>
          <w:szCs w:val="22"/>
        </w:rPr>
        <w:t>katkı yaptı</w:t>
      </w:r>
      <w:r w:rsidR="00A94E9C" w:rsidRPr="005E0D21">
        <w:rPr>
          <w:rFonts w:ascii="Palatino Linotype" w:hAnsi="Palatino Linotype" w:cstheme="minorHAnsi"/>
          <w:sz w:val="22"/>
          <w:szCs w:val="22"/>
        </w:rPr>
        <w:t xml:space="preserve">. </w:t>
      </w:r>
      <w:r w:rsidR="00173752">
        <w:rPr>
          <w:rFonts w:ascii="Palatino Linotype" w:hAnsi="Palatino Linotype" w:cstheme="minorHAnsi"/>
          <w:sz w:val="22"/>
          <w:szCs w:val="22"/>
        </w:rPr>
        <w:t>Fakat i</w:t>
      </w:r>
      <w:r w:rsidR="009C4B9E" w:rsidRPr="005E0D21">
        <w:rPr>
          <w:rFonts w:ascii="Palatino Linotype" w:hAnsi="Palatino Linotype" w:cstheme="minorHAnsi"/>
          <w:sz w:val="22"/>
          <w:szCs w:val="22"/>
        </w:rPr>
        <w:t xml:space="preserve">thalattaki </w:t>
      </w:r>
      <w:r w:rsidR="0068354F">
        <w:rPr>
          <w:rFonts w:ascii="Palatino Linotype" w:hAnsi="Palatino Linotype" w:cstheme="minorHAnsi"/>
          <w:sz w:val="22"/>
          <w:szCs w:val="22"/>
        </w:rPr>
        <w:t xml:space="preserve">yüzde 2,3’lük </w:t>
      </w:r>
      <w:r w:rsidR="00173752">
        <w:rPr>
          <w:rFonts w:ascii="Palatino Linotype" w:hAnsi="Palatino Linotype" w:cstheme="minorHAnsi"/>
          <w:sz w:val="22"/>
          <w:szCs w:val="22"/>
        </w:rPr>
        <w:t>artış</w:t>
      </w:r>
      <w:r w:rsidR="0068354F">
        <w:rPr>
          <w:rFonts w:ascii="Palatino Linotype" w:hAnsi="Palatino Linotype" w:cstheme="minorHAnsi"/>
          <w:sz w:val="22"/>
          <w:szCs w:val="22"/>
        </w:rPr>
        <w:t xml:space="preserve">ın sebep olduğu 0,8 yüzde puanlık negatif katkı ile </w:t>
      </w:r>
      <w:r w:rsidR="00173752">
        <w:rPr>
          <w:rFonts w:ascii="Palatino Linotype" w:hAnsi="Palatino Linotype" w:cstheme="minorHAnsi"/>
          <w:sz w:val="22"/>
          <w:szCs w:val="22"/>
        </w:rPr>
        <w:t xml:space="preserve">net </w:t>
      </w:r>
      <w:r w:rsidR="009C4B9E" w:rsidRPr="005E0D21">
        <w:rPr>
          <w:rFonts w:ascii="Palatino Linotype" w:hAnsi="Palatino Linotype" w:cstheme="minorHAnsi"/>
          <w:sz w:val="22"/>
          <w:szCs w:val="22"/>
        </w:rPr>
        <w:t>dış ticaretin büyümeye katkısı</w:t>
      </w:r>
      <w:r w:rsidR="00173752">
        <w:rPr>
          <w:rFonts w:ascii="Palatino Linotype" w:hAnsi="Palatino Linotype" w:cstheme="minorHAnsi"/>
          <w:sz w:val="22"/>
          <w:szCs w:val="22"/>
        </w:rPr>
        <w:t xml:space="preserve"> </w:t>
      </w:r>
      <w:r w:rsidR="0068354F">
        <w:rPr>
          <w:rFonts w:ascii="Palatino Linotype" w:hAnsi="Palatino Linotype" w:cstheme="minorHAnsi"/>
          <w:sz w:val="22"/>
          <w:szCs w:val="22"/>
        </w:rPr>
        <w:t>4</w:t>
      </w:r>
      <w:r w:rsidR="00173752">
        <w:rPr>
          <w:rFonts w:ascii="Palatino Linotype" w:hAnsi="Palatino Linotype" w:cstheme="minorHAnsi"/>
          <w:sz w:val="22"/>
          <w:szCs w:val="22"/>
        </w:rPr>
        <w:t>,</w:t>
      </w:r>
      <w:r w:rsidR="0068354F">
        <w:rPr>
          <w:rFonts w:ascii="Palatino Linotype" w:hAnsi="Palatino Linotype" w:cstheme="minorHAnsi"/>
          <w:sz w:val="22"/>
          <w:szCs w:val="22"/>
        </w:rPr>
        <w:t>9</w:t>
      </w:r>
      <w:r w:rsidR="00173752">
        <w:rPr>
          <w:rFonts w:ascii="Palatino Linotype" w:hAnsi="Palatino Linotype" w:cstheme="minorHAnsi"/>
          <w:sz w:val="22"/>
          <w:szCs w:val="22"/>
        </w:rPr>
        <w:t xml:space="preserve"> yüzde puana düştü</w:t>
      </w:r>
      <w:r w:rsidR="004D1A55" w:rsidRPr="005E0D21">
        <w:rPr>
          <w:rFonts w:ascii="Palatino Linotype" w:hAnsi="Palatino Linotype" w:cstheme="minorHAnsi"/>
          <w:sz w:val="22"/>
          <w:szCs w:val="22"/>
        </w:rPr>
        <w:t xml:space="preserve"> (Tablo 1). </w:t>
      </w:r>
      <w:bookmarkStart w:id="17" w:name="OLE_LINK13"/>
      <w:bookmarkStart w:id="18" w:name="OLE_LINK14"/>
      <w:r w:rsidR="0068354F">
        <w:rPr>
          <w:rFonts w:ascii="Palatino Linotype" w:hAnsi="Palatino Linotype" w:cstheme="minorHAnsi"/>
          <w:sz w:val="22"/>
          <w:szCs w:val="22"/>
        </w:rPr>
        <w:t>Mevsim ve takvim etkisinden arındırılmış rakamlara</w:t>
      </w:r>
      <w:r w:rsidR="00A94E9C" w:rsidRPr="005E0D21">
        <w:rPr>
          <w:rFonts w:ascii="Palatino Linotype" w:hAnsi="Palatino Linotype" w:cstheme="minorHAnsi"/>
          <w:sz w:val="22"/>
          <w:szCs w:val="22"/>
        </w:rPr>
        <w:t xml:space="preserve"> </w:t>
      </w:r>
      <w:r w:rsidR="005A3A4D" w:rsidRPr="005E0D21">
        <w:rPr>
          <w:rFonts w:ascii="Palatino Linotype" w:hAnsi="Palatino Linotype" w:cstheme="minorHAnsi"/>
          <w:sz w:val="22"/>
          <w:szCs w:val="22"/>
        </w:rPr>
        <w:t xml:space="preserve">bakıldığınsa ise </w:t>
      </w:r>
      <w:r w:rsidR="0068354F">
        <w:rPr>
          <w:rFonts w:ascii="Palatino Linotype" w:hAnsi="Palatino Linotype" w:cstheme="minorHAnsi"/>
          <w:sz w:val="22"/>
          <w:szCs w:val="22"/>
        </w:rPr>
        <w:t xml:space="preserve">bir önceki çeyrekte yüzde 9,2 artan </w:t>
      </w:r>
      <w:r w:rsidR="005A3A4D" w:rsidRPr="005E0D21">
        <w:rPr>
          <w:rFonts w:ascii="Palatino Linotype" w:hAnsi="Palatino Linotype" w:cstheme="minorHAnsi"/>
          <w:sz w:val="22"/>
          <w:szCs w:val="22"/>
        </w:rPr>
        <w:t>ithalat</w:t>
      </w:r>
      <w:r w:rsidR="0068354F">
        <w:rPr>
          <w:rFonts w:ascii="Palatino Linotype" w:hAnsi="Palatino Linotype" w:cstheme="minorHAnsi"/>
          <w:sz w:val="22"/>
          <w:szCs w:val="22"/>
        </w:rPr>
        <w:t xml:space="preserve"> bu çeyrekte </w:t>
      </w:r>
      <w:r w:rsidR="009C4B9E" w:rsidRPr="005E0D21">
        <w:rPr>
          <w:rFonts w:ascii="Palatino Linotype" w:hAnsi="Palatino Linotype" w:cstheme="minorHAnsi"/>
          <w:sz w:val="22"/>
          <w:szCs w:val="22"/>
        </w:rPr>
        <w:t xml:space="preserve">yüzde </w:t>
      </w:r>
      <w:r w:rsidR="0068354F">
        <w:rPr>
          <w:rFonts w:ascii="Palatino Linotype" w:hAnsi="Palatino Linotype" w:cstheme="minorHAnsi"/>
          <w:sz w:val="22"/>
          <w:szCs w:val="22"/>
        </w:rPr>
        <w:t>5,6 azalmıştır</w:t>
      </w:r>
      <w:bookmarkEnd w:id="17"/>
      <w:bookmarkEnd w:id="18"/>
      <w:r w:rsidR="0068354F">
        <w:rPr>
          <w:rFonts w:ascii="Palatino Linotype" w:hAnsi="Palatino Linotype" w:cstheme="minorHAnsi"/>
          <w:sz w:val="22"/>
          <w:szCs w:val="22"/>
        </w:rPr>
        <w:t xml:space="preserve"> </w:t>
      </w:r>
      <w:r w:rsidR="00A94E9C" w:rsidRPr="005E0D21">
        <w:rPr>
          <w:rFonts w:ascii="Palatino Linotype" w:hAnsi="Palatino Linotype" w:cstheme="minorHAnsi"/>
          <w:sz w:val="22"/>
          <w:szCs w:val="22"/>
        </w:rPr>
        <w:t>(Tablo 2).</w:t>
      </w:r>
      <w:r w:rsidR="0064747F" w:rsidRPr="005E0D21">
        <w:rPr>
          <w:rFonts w:ascii="Palatino Linotype" w:hAnsi="Palatino Linotype" w:cstheme="minorHAnsi"/>
          <w:sz w:val="22"/>
          <w:szCs w:val="22"/>
        </w:rPr>
        <w:t xml:space="preserve"> </w:t>
      </w:r>
    </w:p>
    <w:bookmarkEnd w:id="15"/>
    <w:bookmarkEnd w:id="16"/>
    <w:p w14:paraId="2B8DE216" w14:textId="642AB2AC" w:rsidR="00450CEA" w:rsidRPr="005E0D21" w:rsidRDefault="00450CEA" w:rsidP="002A037D">
      <w:pPr>
        <w:pStyle w:val="NormalWeb"/>
        <w:spacing w:before="0" w:beforeAutospacing="0" w:after="0" w:afterAutospacing="0" w:line="360" w:lineRule="auto"/>
        <w:ind w:right="77"/>
        <w:jc w:val="both"/>
        <w:rPr>
          <w:rFonts w:ascii="Palatino Linotype" w:hAnsi="Palatino Linotype" w:cstheme="minorHAnsi"/>
          <w:sz w:val="22"/>
          <w:szCs w:val="22"/>
        </w:rPr>
      </w:pPr>
    </w:p>
    <w:p w14:paraId="777C1939" w14:textId="5A03D5CA" w:rsidR="006C3EE6" w:rsidRPr="005E0D21" w:rsidRDefault="006C3EE6" w:rsidP="008F1741">
      <w:pPr>
        <w:pStyle w:val="NormalWeb"/>
        <w:spacing w:before="0" w:beforeAutospacing="0" w:after="0" w:afterAutospacing="0" w:line="360" w:lineRule="auto"/>
        <w:ind w:right="77"/>
        <w:rPr>
          <w:rFonts w:ascii="Palatino Linotype" w:hAnsi="Palatino Linotype" w:cstheme="minorHAnsi"/>
          <w:b/>
          <w:bCs/>
          <w:sz w:val="22"/>
          <w:szCs w:val="22"/>
        </w:rPr>
      </w:pPr>
      <w:r w:rsidRPr="005E0D21">
        <w:rPr>
          <w:rFonts w:ascii="Palatino Linotype" w:hAnsi="Palatino Linotype" w:cstheme="minorHAnsi"/>
          <w:b/>
          <w:bCs/>
          <w:sz w:val="22"/>
          <w:szCs w:val="22"/>
        </w:rPr>
        <w:t>Kamu harcamaları</w:t>
      </w:r>
      <w:r w:rsidR="00A94E9C" w:rsidRPr="005E0D21">
        <w:rPr>
          <w:rFonts w:ascii="Palatino Linotype" w:hAnsi="Palatino Linotype" w:cstheme="minorHAnsi"/>
          <w:b/>
          <w:bCs/>
          <w:sz w:val="22"/>
          <w:szCs w:val="22"/>
        </w:rPr>
        <w:t xml:space="preserve"> </w:t>
      </w:r>
      <w:r w:rsidR="0048406B">
        <w:rPr>
          <w:rFonts w:ascii="Palatino Linotype" w:hAnsi="Palatino Linotype" w:cstheme="minorHAnsi"/>
          <w:b/>
          <w:bCs/>
          <w:sz w:val="22"/>
          <w:szCs w:val="22"/>
        </w:rPr>
        <w:t>azaldı</w:t>
      </w:r>
    </w:p>
    <w:p w14:paraId="6D5A1000" w14:textId="106F5211" w:rsidR="00370FEE" w:rsidRPr="00CC0355" w:rsidRDefault="009C4B9E" w:rsidP="00BD6EC8">
      <w:pPr>
        <w:pStyle w:val="NormalWeb"/>
        <w:spacing w:before="0" w:beforeAutospacing="0" w:after="0" w:afterAutospacing="0" w:line="360" w:lineRule="auto"/>
        <w:ind w:right="77"/>
        <w:jc w:val="both"/>
        <w:rPr>
          <w:rFonts w:ascii="Palatino Linotype" w:hAnsi="Palatino Linotype" w:cstheme="minorHAnsi"/>
          <w:sz w:val="22"/>
          <w:szCs w:val="22"/>
        </w:rPr>
      </w:pPr>
      <w:r w:rsidRPr="005E0D21">
        <w:rPr>
          <w:rFonts w:ascii="Palatino Linotype" w:hAnsi="Palatino Linotype" w:cstheme="minorHAnsi"/>
          <w:sz w:val="22"/>
          <w:szCs w:val="22"/>
        </w:rPr>
        <w:t>202</w:t>
      </w:r>
      <w:r w:rsidR="0068354F">
        <w:rPr>
          <w:rFonts w:ascii="Palatino Linotype" w:hAnsi="Palatino Linotype" w:cstheme="minorHAnsi"/>
          <w:sz w:val="22"/>
          <w:szCs w:val="22"/>
        </w:rPr>
        <w:t>2</w:t>
      </w:r>
      <w:r w:rsidR="00A94E9C" w:rsidRPr="005E0D21">
        <w:rPr>
          <w:rFonts w:ascii="Palatino Linotype" w:hAnsi="Palatino Linotype" w:cstheme="minorHAnsi"/>
          <w:sz w:val="22"/>
          <w:szCs w:val="22"/>
        </w:rPr>
        <w:t xml:space="preserve"> yılın</w:t>
      </w:r>
      <w:r w:rsidRPr="005E0D21">
        <w:rPr>
          <w:rFonts w:ascii="Palatino Linotype" w:hAnsi="Palatino Linotype" w:cstheme="minorHAnsi"/>
          <w:sz w:val="22"/>
          <w:szCs w:val="22"/>
        </w:rPr>
        <w:t>ın</w:t>
      </w:r>
      <w:r w:rsidR="00A94E9C" w:rsidRPr="005E0D21">
        <w:rPr>
          <w:rFonts w:ascii="Palatino Linotype" w:hAnsi="Palatino Linotype" w:cstheme="minorHAnsi"/>
          <w:sz w:val="22"/>
          <w:szCs w:val="22"/>
        </w:rPr>
        <w:t xml:space="preserve"> </w:t>
      </w:r>
      <w:r w:rsidR="0068354F">
        <w:rPr>
          <w:rFonts w:ascii="Palatino Linotype" w:hAnsi="Palatino Linotype" w:cstheme="minorHAnsi"/>
          <w:sz w:val="22"/>
          <w:szCs w:val="22"/>
        </w:rPr>
        <w:t>ilk</w:t>
      </w:r>
      <w:r w:rsidR="00A94E9C" w:rsidRPr="005E0D21">
        <w:rPr>
          <w:rFonts w:ascii="Palatino Linotype" w:hAnsi="Palatino Linotype" w:cstheme="minorHAnsi"/>
          <w:sz w:val="22"/>
          <w:szCs w:val="22"/>
        </w:rPr>
        <w:t xml:space="preserve"> çeyreğinde </w:t>
      </w:r>
      <w:bookmarkStart w:id="19" w:name="OLE_LINK17"/>
      <w:bookmarkStart w:id="20" w:name="OLE_LINK18"/>
      <w:r w:rsidRPr="005E0D21">
        <w:rPr>
          <w:rFonts w:ascii="Palatino Linotype" w:hAnsi="Palatino Linotype" w:cstheme="minorHAnsi"/>
          <w:sz w:val="22"/>
          <w:szCs w:val="22"/>
        </w:rPr>
        <w:t>kamu harcamaları</w:t>
      </w:r>
      <w:r w:rsidR="005A3A4D" w:rsidRPr="005E0D21">
        <w:rPr>
          <w:rFonts w:ascii="Palatino Linotype" w:hAnsi="Palatino Linotype" w:cstheme="minorHAnsi"/>
          <w:sz w:val="22"/>
          <w:szCs w:val="22"/>
        </w:rPr>
        <w:t xml:space="preserve"> yüzde </w:t>
      </w:r>
      <w:r w:rsidR="0068354F">
        <w:rPr>
          <w:rFonts w:ascii="Palatino Linotype" w:hAnsi="Palatino Linotype" w:cstheme="minorHAnsi"/>
          <w:sz w:val="22"/>
          <w:szCs w:val="22"/>
        </w:rPr>
        <w:t>0</w:t>
      </w:r>
      <w:r w:rsidR="0048406B">
        <w:rPr>
          <w:rFonts w:ascii="Palatino Linotype" w:hAnsi="Palatino Linotype" w:cstheme="minorHAnsi"/>
          <w:sz w:val="22"/>
          <w:szCs w:val="22"/>
        </w:rPr>
        <w:t xml:space="preserve">,9 </w:t>
      </w:r>
      <w:r w:rsidR="0068354F">
        <w:rPr>
          <w:rFonts w:ascii="Palatino Linotype" w:hAnsi="Palatino Linotype" w:cstheme="minorHAnsi"/>
          <w:sz w:val="22"/>
          <w:szCs w:val="22"/>
        </w:rPr>
        <w:t>artarak</w:t>
      </w:r>
      <w:r w:rsidRPr="005E0D21">
        <w:rPr>
          <w:rFonts w:ascii="Palatino Linotype" w:hAnsi="Palatino Linotype" w:cstheme="minorHAnsi"/>
          <w:sz w:val="22"/>
          <w:szCs w:val="22"/>
        </w:rPr>
        <w:t xml:space="preserve"> </w:t>
      </w:r>
      <w:r w:rsidR="005A3A4D" w:rsidRPr="005E0D21">
        <w:rPr>
          <w:rFonts w:ascii="Palatino Linotype" w:hAnsi="Palatino Linotype" w:cstheme="minorHAnsi"/>
          <w:sz w:val="22"/>
          <w:szCs w:val="22"/>
        </w:rPr>
        <w:t>yı</w:t>
      </w:r>
      <w:r w:rsidRPr="005E0D21">
        <w:rPr>
          <w:rFonts w:ascii="Palatino Linotype" w:hAnsi="Palatino Linotype" w:cstheme="minorHAnsi"/>
          <w:sz w:val="22"/>
          <w:szCs w:val="22"/>
        </w:rPr>
        <w:t xml:space="preserve">llık </w:t>
      </w:r>
      <w:r w:rsidR="005A3A4D" w:rsidRPr="005E0D21">
        <w:rPr>
          <w:rFonts w:ascii="Palatino Linotype" w:hAnsi="Palatino Linotype" w:cstheme="minorHAnsi"/>
          <w:sz w:val="22"/>
          <w:szCs w:val="22"/>
        </w:rPr>
        <w:t>büyümey</w:t>
      </w:r>
      <w:r w:rsidR="0068354F">
        <w:rPr>
          <w:rFonts w:ascii="Palatino Linotype" w:hAnsi="Palatino Linotype" w:cstheme="minorHAnsi"/>
          <w:sz w:val="22"/>
          <w:szCs w:val="22"/>
        </w:rPr>
        <w:t>e</w:t>
      </w:r>
      <w:r w:rsidRPr="005E0D21">
        <w:rPr>
          <w:rFonts w:ascii="Palatino Linotype" w:hAnsi="Palatino Linotype" w:cstheme="minorHAnsi"/>
          <w:sz w:val="22"/>
          <w:szCs w:val="22"/>
        </w:rPr>
        <w:t xml:space="preserve"> </w:t>
      </w:r>
      <w:r w:rsidR="0048406B">
        <w:rPr>
          <w:rFonts w:ascii="Palatino Linotype" w:hAnsi="Palatino Linotype" w:cstheme="minorHAnsi"/>
          <w:sz w:val="22"/>
          <w:szCs w:val="22"/>
        </w:rPr>
        <w:t>0</w:t>
      </w:r>
      <w:r w:rsidRPr="005E0D21">
        <w:rPr>
          <w:rFonts w:ascii="Palatino Linotype" w:hAnsi="Palatino Linotype" w:cstheme="minorHAnsi"/>
          <w:sz w:val="22"/>
          <w:szCs w:val="22"/>
        </w:rPr>
        <w:t>,</w:t>
      </w:r>
      <w:r w:rsidR="0068354F">
        <w:rPr>
          <w:rFonts w:ascii="Palatino Linotype" w:hAnsi="Palatino Linotype" w:cstheme="minorHAnsi"/>
          <w:sz w:val="22"/>
          <w:szCs w:val="22"/>
        </w:rPr>
        <w:t>4</w:t>
      </w:r>
      <w:r w:rsidRPr="005E0D21">
        <w:rPr>
          <w:rFonts w:ascii="Palatino Linotype" w:hAnsi="Palatino Linotype" w:cstheme="minorHAnsi"/>
          <w:sz w:val="22"/>
          <w:szCs w:val="22"/>
        </w:rPr>
        <w:t xml:space="preserve"> yüzde puan</w:t>
      </w:r>
      <w:r w:rsidR="0048406B">
        <w:rPr>
          <w:rFonts w:ascii="Palatino Linotype" w:hAnsi="Palatino Linotype" w:cstheme="minorHAnsi"/>
          <w:sz w:val="22"/>
          <w:szCs w:val="22"/>
        </w:rPr>
        <w:t xml:space="preserve"> </w:t>
      </w:r>
      <w:bookmarkEnd w:id="19"/>
      <w:bookmarkEnd w:id="20"/>
      <w:r w:rsidR="0068354F">
        <w:rPr>
          <w:rFonts w:ascii="Palatino Linotype" w:hAnsi="Palatino Linotype" w:cstheme="minorHAnsi"/>
          <w:sz w:val="22"/>
          <w:szCs w:val="22"/>
        </w:rPr>
        <w:t>katkı yaptı</w:t>
      </w:r>
      <w:r w:rsidR="007D4168" w:rsidRPr="005E0D21">
        <w:rPr>
          <w:rFonts w:ascii="Palatino Linotype" w:hAnsi="Palatino Linotype" w:cstheme="minorHAnsi"/>
          <w:sz w:val="22"/>
          <w:szCs w:val="22"/>
        </w:rPr>
        <w:t xml:space="preserve"> </w:t>
      </w:r>
      <w:r w:rsidR="00792837" w:rsidRPr="005E0D21">
        <w:rPr>
          <w:rFonts w:ascii="Palatino Linotype" w:hAnsi="Palatino Linotype" w:cstheme="minorHAnsi"/>
          <w:sz w:val="22"/>
          <w:szCs w:val="22"/>
        </w:rPr>
        <w:t>(Tablo 1)</w:t>
      </w:r>
      <w:r w:rsidRPr="005E0D21">
        <w:rPr>
          <w:rFonts w:ascii="Palatino Linotype" w:hAnsi="Palatino Linotype" w:cstheme="minorHAnsi"/>
          <w:sz w:val="22"/>
          <w:szCs w:val="22"/>
        </w:rPr>
        <w:t>.</w:t>
      </w:r>
      <w:r w:rsidR="00A94E9C" w:rsidRPr="005E0D21">
        <w:rPr>
          <w:rFonts w:ascii="Palatino Linotype" w:hAnsi="Palatino Linotype" w:cstheme="minorHAnsi"/>
          <w:sz w:val="22"/>
          <w:szCs w:val="22"/>
        </w:rPr>
        <w:t xml:space="preserve"> Mevsimsellikten</w:t>
      </w:r>
      <w:r w:rsidR="00A94E9C">
        <w:rPr>
          <w:rFonts w:ascii="Palatino Linotype" w:hAnsi="Palatino Linotype" w:cstheme="minorHAnsi"/>
          <w:sz w:val="22"/>
          <w:szCs w:val="22"/>
        </w:rPr>
        <w:t xml:space="preserve"> arındırılmış rakamlarda ise, kamu tüketimi</w:t>
      </w:r>
      <w:r w:rsidR="0068354F">
        <w:rPr>
          <w:rFonts w:ascii="Palatino Linotype" w:hAnsi="Palatino Linotype" w:cstheme="minorHAnsi"/>
          <w:sz w:val="22"/>
          <w:szCs w:val="22"/>
        </w:rPr>
        <w:t xml:space="preserve"> sabit kalarak büyümeye herhangi bir etki yapmamıştır </w:t>
      </w:r>
      <w:r w:rsidR="00944ED5">
        <w:rPr>
          <w:rFonts w:ascii="Palatino Linotype" w:hAnsi="Palatino Linotype" w:cstheme="minorHAnsi"/>
          <w:sz w:val="22"/>
          <w:szCs w:val="22"/>
        </w:rPr>
        <w:t>(Tablo 2).</w:t>
      </w:r>
      <w:r w:rsidR="00A94E9C">
        <w:rPr>
          <w:rFonts w:ascii="Palatino Linotype" w:hAnsi="Palatino Linotype" w:cstheme="minorHAnsi"/>
          <w:sz w:val="22"/>
          <w:szCs w:val="22"/>
        </w:rPr>
        <w:t xml:space="preserve"> </w:t>
      </w:r>
    </w:p>
    <w:p w14:paraId="52AD8623" w14:textId="040A6E4E" w:rsidR="00DA618C" w:rsidRDefault="00DA618C" w:rsidP="00BD6EC8">
      <w:pPr>
        <w:pStyle w:val="NormalWeb"/>
        <w:spacing w:before="0" w:beforeAutospacing="0" w:after="0" w:afterAutospacing="0" w:line="360" w:lineRule="auto"/>
        <w:ind w:right="77"/>
        <w:rPr>
          <w:rFonts w:ascii="Palatino Linotype" w:hAnsi="Palatino Linotype" w:cstheme="minorHAnsi"/>
          <w:b/>
          <w:bCs/>
          <w:sz w:val="22"/>
          <w:szCs w:val="22"/>
        </w:rPr>
      </w:pPr>
    </w:p>
    <w:p w14:paraId="1F364D3A" w14:textId="77777777" w:rsidR="00311EFF" w:rsidRDefault="00311EFF" w:rsidP="00BD6EC8">
      <w:pPr>
        <w:pStyle w:val="NormalWeb"/>
        <w:spacing w:before="0" w:beforeAutospacing="0" w:after="0" w:afterAutospacing="0" w:line="360" w:lineRule="auto"/>
        <w:ind w:right="77"/>
        <w:rPr>
          <w:rFonts w:ascii="Palatino Linotype" w:hAnsi="Palatino Linotype" w:cstheme="minorHAnsi"/>
          <w:b/>
          <w:bCs/>
          <w:sz w:val="22"/>
          <w:szCs w:val="22"/>
        </w:rPr>
      </w:pPr>
    </w:p>
    <w:p w14:paraId="72449C03" w14:textId="77777777" w:rsidR="00944ED5" w:rsidRDefault="00944ED5">
      <w:pPr>
        <w:spacing w:after="160" w:line="259" w:lineRule="auto"/>
        <w:rPr>
          <w:rFonts w:ascii="Palatino Linotype" w:hAnsi="Palatino Linotype" w:cstheme="minorHAnsi"/>
          <w:b/>
          <w:bCs/>
          <w:sz w:val="22"/>
          <w:szCs w:val="22"/>
        </w:rPr>
      </w:pPr>
      <w:r>
        <w:rPr>
          <w:rFonts w:ascii="Palatino Linotype" w:hAnsi="Palatino Linotype" w:cstheme="minorHAnsi"/>
          <w:b/>
          <w:bCs/>
          <w:sz w:val="22"/>
          <w:szCs w:val="22"/>
        </w:rPr>
        <w:br w:type="page"/>
      </w:r>
    </w:p>
    <w:p w14:paraId="4C5F10E3" w14:textId="1F5746D2" w:rsidR="00955E90" w:rsidRPr="00F11E6D" w:rsidRDefault="004F0543" w:rsidP="00B366B7">
      <w:pPr>
        <w:pStyle w:val="NormalWeb"/>
        <w:spacing w:before="0" w:beforeAutospacing="0" w:after="0" w:afterAutospacing="0" w:line="360" w:lineRule="auto"/>
        <w:ind w:right="77"/>
        <w:rPr>
          <w:rFonts w:ascii="Palatino Linotype" w:hAnsi="Palatino Linotype" w:cstheme="minorHAnsi"/>
          <w:b/>
          <w:bCs/>
          <w:sz w:val="22"/>
          <w:szCs w:val="22"/>
        </w:rPr>
      </w:pPr>
      <w:r w:rsidRPr="00F11E6D">
        <w:rPr>
          <w:rFonts w:ascii="Palatino Linotype" w:hAnsi="Palatino Linotype" w:cstheme="minorHAnsi"/>
          <w:b/>
          <w:bCs/>
          <w:sz w:val="22"/>
          <w:szCs w:val="22"/>
        </w:rPr>
        <w:lastRenderedPageBreak/>
        <w:t>B</w:t>
      </w:r>
      <w:r w:rsidR="00B27C9F" w:rsidRPr="00F11E6D">
        <w:rPr>
          <w:rFonts w:ascii="Palatino Linotype" w:hAnsi="Palatino Linotype" w:cstheme="minorHAnsi"/>
          <w:b/>
          <w:bCs/>
          <w:sz w:val="22"/>
          <w:szCs w:val="22"/>
        </w:rPr>
        <w:t>üyümenin geleceği</w:t>
      </w:r>
      <w:r w:rsidR="00955E90" w:rsidRPr="00F11E6D">
        <w:rPr>
          <w:rFonts w:ascii="Palatino Linotype" w:hAnsi="Palatino Linotype" w:cstheme="minorHAnsi"/>
          <w:bCs/>
          <w:sz w:val="22"/>
          <w:szCs w:val="22"/>
        </w:rPr>
        <w:t xml:space="preserve"> </w:t>
      </w:r>
    </w:p>
    <w:p w14:paraId="193A0CC4" w14:textId="23B69F41" w:rsidR="00E265D5" w:rsidRDefault="00F63DCE" w:rsidP="00513359">
      <w:pPr>
        <w:pStyle w:val="NormalWeb"/>
        <w:spacing w:before="0" w:beforeAutospacing="0" w:after="0" w:afterAutospacing="0" w:line="360" w:lineRule="auto"/>
        <w:ind w:right="77"/>
        <w:jc w:val="both"/>
        <w:rPr>
          <w:rFonts w:ascii="Palatino Linotype" w:hAnsi="Palatino Linotype" w:cstheme="minorHAnsi"/>
          <w:bCs/>
          <w:sz w:val="22"/>
          <w:szCs w:val="22"/>
        </w:rPr>
      </w:pPr>
      <w:r w:rsidRPr="00874EB4">
        <w:rPr>
          <w:rFonts w:ascii="Palatino Linotype" w:hAnsi="Palatino Linotype" w:cstheme="minorHAnsi"/>
          <w:bCs/>
          <w:sz w:val="22"/>
          <w:szCs w:val="22"/>
        </w:rPr>
        <w:t xml:space="preserve">2022’nin ilk çeyreğinde büyümeyi iki bileşen sırtladı: özel tüketim ve ihracat. </w:t>
      </w:r>
      <w:r w:rsidR="00E13456" w:rsidRPr="00874EB4">
        <w:rPr>
          <w:rFonts w:ascii="Palatino Linotype" w:hAnsi="Palatino Linotype" w:cstheme="minorHAnsi"/>
          <w:bCs/>
          <w:sz w:val="22"/>
          <w:szCs w:val="22"/>
        </w:rPr>
        <w:t xml:space="preserve">Enflasyonun yükselmeye devam ettiği ilk çeyrekteki </w:t>
      </w:r>
      <w:r w:rsidR="00F43C5B" w:rsidRPr="00874EB4">
        <w:rPr>
          <w:rFonts w:ascii="Palatino Linotype" w:hAnsi="Palatino Linotype" w:cstheme="minorHAnsi"/>
          <w:bCs/>
          <w:sz w:val="22"/>
          <w:szCs w:val="22"/>
        </w:rPr>
        <w:t>ö</w:t>
      </w:r>
      <w:r w:rsidR="00FF7C43" w:rsidRPr="00874EB4">
        <w:rPr>
          <w:rFonts w:ascii="Palatino Linotype" w:hAnsi="Palatino Linotype" w:cstheme="minorHAnsi"/>
          <w:bCs/>
          <w:sz w:val="22"/>
          <w:szCs w:val="22"/>
        </w:rPr>
        <w:t>zel tüketimdeki yüksek artı</w:t>
      </w:r>
      <w:r w:rsidR="00F43C5B" w:rsidRPr="00874EB4">
        <w:rPr>
          <w:rFonts w:ascii="Palatino Linotype" w:hAnsi="Palatino Linotype" w:cstheme="minorHAnsi"/>
          <w:bCs/>
          <w:sz w:val="22"/>
          <w:szCs w:val="22"/>
        </w:rPr>
        <w:t xml:space="preserve">şın gerisinde </w:t>
      </w:r>
      <w:r w:rsidR="00263C3E" w:rsidRPr="00874EB4">
        <w:rPr>
          <w:rFonts w:ascii="Palatino Linotype" w:hAnsi="Palatino Linotype" w:cstheme="minorHAnsi"/>
          <w:bCs/>
          <w:sz w:val="22"/>
          <w:szCs w:val="22"/>
        </w:rPr>
        <w:t xml:space="preserve">esas olarak </w:t>
      </w:r>
      <w:r w:rsidR="00F43C5B" w:rsidRPr="00874EB4">
        <w:rPr>
          <w:rFonts w:ascii="Palatino Linotype" w:hAnsi="Palatino Linotype" w:cstheme="minorHAnsi"/>
          <w:bCs/>
          <w:sz w:val="22"/>
          <w:szCs w:val="22"/>
        </w:rPr>
        <w:t>ö</w:t>
      </w:r>
      <w:r w:rsidR="005A611C" w:rsidRPr="00874EB4">
        <w:rPr>
          <w:rFonts w:ascii="Palatino Linotype" w:hAnsi="Palatino Linotype" w:cstheme="minorHAnsi"/>
          <w:bCs/>
          <w:sz w:val="22"/>
          <w:szCs w:val="22"/>
        </w:rPr>
        <w:t xml:space="preserve">ne çekilmiş </w:t>
      </w:r>
      <w:r w:rsidR="00FB6066" w:rsidRPr="00874EB4">
        <w:rPr>
          <w:rFonts w:ascii="Palatino Linotype" w:hAnsi="Palatino Linotype" w:cstheme="minorHAnsi"/>
          <w:bCs/>
          <w:sz w:val="22"/>
          <w:szCs w:val="22"/>
        </w:rPr>
        <w:t>tale</w:t>
      </w:r>
      <w:r w:rsidR="00357BC6" w:rsidRPr="00874EB4">
        <w:rPr>
          <w:rFonts w:ascii="Palatino Linotype" w:hAnsi="Palatino Linotype" w:cstheme="minorHAnsi"/>
          <w:bCs/>
          <w:sz w:val="22"/>
          <w:szCs w:val="22"/>
        </w:rPr>
        <w:t xml:space="preserve">bin olduğunu söyleyebiliriz. İhracat artışının </w:t>
      </w:r>
      <w:r w:rsidR="006D48CF" w:rsidRPr="00874EB4">
        <w:rPr>
          <w:rFonts w:ascii="Palatino Linotype" w:hAnsi="Palatino Linotype" w:cstheme="minorHAnsi"/>
          <w:bCs/>
          <w:sz w:val="22"/>
          <w:szCs w:val="22"/>
        </w:rPr>
        <w:t>sebebi ise yine son dönemlerde meydana gelen TL’deki değer kayıpları</w:t>
      </w:r>
      <w:r w:rsidR="00C21BB8" w:rsidRPr="00874EB4">
        <w:rPr>
          <w:rFonts w:ascii="Palatino Linotype" w:hAnsi="Palatino Linotype" w:cstheme="minorHAnsi"/>
          <w:bCs/>
          <w:sz w:val="22"/>
          <w:szCs w:val="22"/>
        </w:rPr>
        <w:t xml:space="preserve"> idi</w:t>
      </w:r>
      <w:r w:rsidR="006D48CF" w:rsidRPr="00874EB4">
        <w:rPr>
          <w:rFonts w:ascii="Palatino Linotype" w:hAnsi="Palatino Linotype" w:cstheme="minorHAnsi"/>
          <w:bCs/>
          <w:sz w:val="22"/>
          <w:szCs w:val="22"/>
        </w:rPr>
        <w:t xml:space="preserve">. </w:t>
      </w:r>
      <w:r w:rsidR="00C21BB8" w:rsidRPr="00874EB4">
        <w:rPr>
          <w:rFonts w:ascii="Palatino Linotype" w:hAnsi="Palatino Linotype" w:cstheme="minorHAnsi"/>
          <w:bCs/>
          <w:sz w:val="22"/>
          <w:szCs w:val="22"/>
        </w:rPr>
        <w:t xml:space="preserve">Enflasyon ve kurda </w:t>
      </w:r>
      <w:r w:rsidR="00D4648E" w:rsidRPr="00874EB4">
        <w:rPr>
          <w:rFonts w:ascii="Palatino Linotype" w:hAnsi="Palatino Linotype" w:cstheme="minorHAnsi"/>
          <w:bCs/>
          <w:sz w:val="22"/>
          <w:szCs w:val="22"/>
        </w:rPr>
        <w:t>sürpriz</w:t>
      </w:r>
      <w:r w:rsidR="00C21BB8" w:rsidRPr="00874EB4">
        <w:rPr>
          <w:rFonts w:ascii="Palatino Linotype" w:hAnsi="Palatino Linotype" w:cstheme="minorHAnsi"/>
          <w:bCs/>
          <w:sz w:val="22"/>
          <w:szCs w:val="22"/>
        </w:rPr>
        <w:t xml:space="preserve"> şoklar </w:t>
      </w:r>
      <w:r w:rsidR="00D4648E" w:rsidRPr="00874EB4">
        <w:rPr>
          <w:rFonts w:ascii="Palatino Linotype" w:hAnsi="Palatino Linotype" w:cstheme="minorHAnsi"/>
          <w:bCs/>
          <w:sz w:val="22"/>
          <w:szCs w:val="22"/>
        </w:rPr>
        <w:t xml:space="preserve">gerçekleşmezse eğer </w:t>
      </w:r>
      <w:r w:rsidR="00C21BB8" w:rsidRPr="00874EB4">
        <w:rPr>
          <w:rFonts w:ascii="Palatino Linotype" w:hAnsi="Palatino Linotype" w:cstheme="minorHAnsi"/>
          <w:bCs/>
          <w:sz w:val="22"/>
          <w:szCs w:val="22"/>
        </w:rPr>
        <w:t>h</w:t>
      </w:r>
      <w:r w:rsidR="00C75096" w:rsidRPr="00874EB4">
        <w:rPr>
          <w:rFonts w:ascii="Palatino Linotype" w:hAnsi="Palatino Linotype" w:cstheme="minorHAnsi"/>
          <w:bCs/>
          <w:sz w:val="22"/>
          <w:szCs w:val="22"/>
        </w:rPr>
        <w:t xml:space="preserve">er iki etkinin de </w:t>
      </w:r>
      <w:r w:rsidR="00CF7180" w:rsidRPr="00874EB4">
        <w:rPr>
          <w:rFonts w:ascii="Palatino Linotype" w:hAnsi="Palatino Linotype" w:cstheme="minorHAnsi"/>
          <w:bCs/>
          <w:sz w:val="22"/>
          <w:szCs w:val="22"/>
        </w:rPr>
        <w:t xml:space="preserve">gelecek aylarda daha zayıf olacağını </w:t>
      </w:r>
      <w:r w:rsidR="006145E6" w:rsidRPr="00874EB4">
        <w:rPr>
          <w:rFonts w:ascii="Palatino Linotype" w:hAnsi="Palatino Linotype" w:cstheme="minorHAnsi"/>
          <w:bCs/>
          <w:sz w:val="22"/>
          <w:szCs w:val="22"/>
        </w:rPr>
        <w:t>söyleyebiliriz. Bu da büyüm</w:t>
      </w:r>
      <w:r w:rsidR="00874EB4">
        <w:rPr>
          <w:rFonts w:ascii="Palatino Linotype" w:hAnsi="Palatino Linotype" w:cstheme="minorHAnsi"/>
          <w:bCs/>
          <w:sz w:val="22"/>
          <w:szCs w:val="22"/>
        </w:rPr>
        <w:t>e</w:t>
      </w:r>
      <w:r w:rsidR="008D6DC6" w:rsidRPr="00874EB4">
        <w:rPr>
          <w:rFonts w:ascii="Palatino Linotype" w:hAnsi="Palatino Linotype" w:cstheme="minorHAnsi"/>
          <w:bCs/>
          <w:sz w:val="22"/>
          <w:szCs w:val="22"/>
        </w:rPr>
        <w:t xml:space="preserve">nin düşük seyretmesine sebep olacaktır. </w:t>
      </w:r>
      <w:r w:rsidR="00E14637" w:rsidRPr="00874EB4">
        <w:rPr>
          <w:rFonts w:ascii="Palatino Linotype" w:hAnsi="Palatino Linotype" w:cstheme="minorHAnsi"/>
          <w:bCs/>
          <w:sz w:val="22"/>
          <w:szCs w:val="22"/>
        </w:rPr>
        <w:t xml:space="preserve">Büyümeyi olumsuz etkiyen bir diğer </w:t>
      </w:r>
      <w:r w:rsidR="00C757D6" w:rsidRPr="00874EB4">
        <w:rPr>
          <w:rFonts w:ascii="Palatino Linotype" w:hAnsi="Palatino Linotype" w:cstheme="minorHAnsi"/>
          <w:bCs/>
          <w:sz w:val="22"/>
          <w:szCs w:val="22"/>
        </w:rPr>
        <w:t xml:space="preserve">faktör de </w:t>
      </w:r>
      <w:r w:rsidR="00E07DD7" w:rsidRPr="00874EB4">
        <w:rPr>
          <w:rFonts w:ascii="Palatino Linotype" w:hAnsi="Palatino Linotype" w:cstheme="minorHAnsi"/>
          <w:bCs/>
          <w:sz w:val="22"/>
          <w:szCs w:val="22"/>
        </w:rPr>
        <w:t xml:space="preserve">yükselmeye devam eden enflasyon ve bozulan beklentiler sebebi ile yatırım iştahının düşük seyretmesi. </w:t>
      </w:r>
      <w:r w:rsidR="00666235" w:rsidRPr="00874EB4">
        <w:rPr>
          <w:rFonts w:ascii="Palatino Linotype" w:hAnsi="Palatino Linotype" w:cstheme="minorHAnsi"/>
          <w:bCs/>
          <w:sz w:val="22"/>
          <w:szCs w:val="22"/>
        </w:rPr>
        <w:t>Yak</w:t>
      </w:r>
      <w:r w:rsidR="003A1AFE" w:rsidRPr="00874EB4">
        <w:rPr>
          <w:rFonts w:ascii="Palatino Linotype" w:hAnsi="Palatino Linotype" w:cstheme="minorHAnsi"/>
          <w:bCs/>
          <w:sz w:val="22"/>
          <w:szCs w:val="22"/>
        </w:rPr>
        <w:t>ı</w:t>
      </w:r>
      <w:r w:rsidR="00666235" w:rsidRPr="00874EB4">
        <w:rPr>
          <w:rFonts w:ascii="Palatino Linotype" w:hAnsi="Palatino Linotype" w:cstheme="minorHAnsi"/>
          <w:bCs/>
          <w:sz w:val="22"/>
          <w:szCs w:val="22"/>
        </w:rPr>
        <w:t xml:space="preserve">n gelecekte </w:t>
      </w:r>
      <w:r w:rsidR="003A1AFE" w:rsidRPr="00874EB4">
        <w:rPr>
          <w:rFonts w:ascii="Palatino Linotype" w:hAnsi="Palatino Linotype" w:cstheme="minorHAnsi"/>
          <w:bCs/>
          <w:sz w:val="22"/>
          <w:szCs w:val="22"/>
        </w:rPr>
        <w:t xml:space="preserve">yatırım davranışının </w:t>
      </w:r>
      <w:r w:rsidR="00D83AB7" w:rsidRPr="00874EB4">
        <w:rPr>
          <w:rFonts w:ascii="Palatino Linotype" w:hAnsi="Palatino Linotype" w:cstheme="minorHAnsi"/>
          <w:bCs/>
          <w:sz w:val="22"/>
          <w:szCs w:val="22"/>
        </w:rPr>
        <w:t xml:space="preserve">radikal şekilde değişmesini beklemiyoruz. Tüm bu </w:t>
      </w:r>
      <w:r w:rsidR="000719F5" w:rsidRPr="00874EB4">
        <w:rPr>
          <w:rFonts w:ascii="Palatino Linotype" w:hAnsi="Palatino Linotype" w:cstheme="minorHAnsi"/>
          <w:bCs/>
          <w:sz w:val="22"/>
          <w:szCs w:val="22"/>
        </w:rPr>
        <w:t xml:space="preserve">sebeplerden dolayı gelecek dönem büyümesinin ilk çeyrek büyümesine kıyasla daha düşük olmasını bekliyoruz. </w:t>
      </w:r>
    </w:p>
    <w:p w14:paraId="12200A18" w14:textId="77777777" w:rsidR="00513359" w:rsidRPr="00513359" w:rsidRDefault="00513359" w:rsidP="00513359">
      <w:pPr>
        <w:pStyle w:val="NormalWeb"/>
        <w:spacing w:before="0" w:beforeAutospacing="0" w:after="0" w:afterAutospacing="0" w:line="360" w:lineRule="auto"/>
        <w:ind w:right="77"/>
        <w:jc w:val="both"/>
        <w:rPr>
          <w:rFonts w:ascii="Palatino Linotype" w:hAnsi="Palatino Linotype" w:cstheme="minorHAnsi"/>
          <w:bCs/>
          <w:color w:val="FF0000"/>
          <w:sz w:val="22"/>
          <w:szCs w:val="22"/>
        </w:rPr>
      </w:pPr>
    </w:p>
    <w:p w14:paraId="2CECF811" w14:textId="2E58A18B" w:rsidR="00DF08BD" w:rsidRPr="003771C7" w:rsidRDefault="00E85F3F" w:rsidP="00DF08BD">
      <w:pPr>
        <w:pStyle w:val="NormalWeb"/>
        <w:spacing w:before="0" w:beforeAutospacing="0" w:after="0" w:afterAutospacing="0" w:line="360" w:lineRule="auto"/>
        <w:ind w:right="77"/>
        <w:jc w:val="both"/>
        <w:rPr>
          <w:rFonts w:ascii="Palatino Linotype" w:hAnsi="Palatino Linotype" w:cstheme="minorHAnsi"/>
          <w:b/>
          <w:bCs/>
          <w:vanish/>
          <w:sz w:val="22"/>
          <w:szCs w:val="22"/>
          <w:specVanish/>
        </w:rPr>
      </w:pPr>
      <w:r w:rsidRPr="00CC0355">
        <w:rPr>
          <w:rFonts w:ascii="Palatino Linotype" w:hAnsi="Palatino Linotype" w:cstheme="minorHAnsi"/>
          <w:b/>
          <w:bCs/>
          <w:sz w:val="22"/>
          <w:szCs w:val="22"/>
        </w:rPr>
        <w:t xml:space="preserve">Şekil </w:t>
      </w:r>
      <w:r w:rsidR="00F22A71" w:rsidRPr="00CC0355">
        <w:rPr>
          <w:rFonts w:ascii="Palatino Linotype" w:hAnsi="Palatino Linotype" w:cstheme="minorHAnsi"/>
          <w:b/>
          <w:bCs/>
          <w:sz w:val="22"/>
          <w:szCs w:val="22"/>
        </w:rPr>
        <w:t>2</w:t>
      </w:r>
      <w:r w:rsidRPr="00CC0355">
        <w:rPr>
          <w:rFonts w:ascii="Palatino Linotype" w:hAnsi="Palatino Linotype" w:cstheme="minorHAnsi"/>
          <w:b/>
          <w:bCs/>
          <w:sz w:val="22"/>
          <w:szCs w:val="22"/>
        </w:rPr>
        <w:t>: Bir önceki çeyreğe ve geçen yılın aynı çeyreğine göre GSYH büyüme oranları</w:t>
      </w:r>
    </w:p>
    <w:p w14:paraId="19F577E0" w14:textId="0522A379" w:rsidR="003A4C32" w:rsidRPr="00CC0355" w:rsidRDefault="003771C7" w:rsidP="00DF08BD">
      <w:pPr>
        <w:pStyle w:val="NormalWeb"/>
        <w:spacing w:before="0" w:beforeAutospacing="0" w:after="0" w:afterAutospacing="0" w:line="360" w:lineRule="auto"/>
        <w:ind w:right="77"/>
        <w:jc w:val="both"/>
        <w:rPr>
          <w:rFonts w:ascii="Palatino Linotype" w:hAnsi="Palatino Linotype" w:cstheme="minorHAnsi"/>
          <w:sz w:val="18"/>
          <w:szCs w:val="18"/>
        </w:rPr>
      </w:pPr>
      <w:r>
        <w:rPr>
          <w:noProof/>
        </w:rPr>
        <w:t xml:space="preserve"> </w:t>
      </w:r>
    </w:p>
    <w:p w14:paraId="1F647BBD" w14:textId="098F0A35" w:rsidR="0001081A" w:rsidRDefault="00C34D9B" w:rsidP="00062A8A">
      <w:pPr>
        <w:pStyle w:val="NormalWeb"/>
        <w:spacing w:before="0" w:beforeAutospacing="0" w:after="0" w:afterAutospacing="0" w:line="360" w:lineRule="auto"/>
        <w:ind w:right="77"/>
        <w:jc w:val="both"/>
        <w:rPr>
          <w:rFonts w:ascii="Palatino Linotype" w:hAnsi="Palatino Linotype" w:cstheme="minorHAnsi"/>
          <w:noProof/>
          <w:sz w:val="18"/>
          <w:szCs w:val="18"/>
        </w:rPr>
      </w:pPr>
      <w:r>
        <w:rPr>
          <w:noProof/>
          <w:lang w:val="en-GB" w:eastAsia="en-GB"/>
        </w:rPr>
        <w:drawing>
          <wp:inline distT="0" distB="0" distL="0" distR="0" wp14:anchorId="4F873C2A" wp14:editId="0350EA52">
            <wp:extent cx="5760720" cy="3325495"/>
            <wp:effectExtent l="0" t="0" r="11430" b="8255"/>
            <wp:docPr id="8" name="Chart 8">
              <a:extLst xmlns:a="http://schemas.openxmlformats.org/drawingml/2006/main">
                <a:ext uri="{FF2B5EF4-FFF2-40B4-BE49-F238E27FC236}">
                  <a16:creationId xmlns:a16="http://schemas.microsoft.com/office/drawing/2014/main" id="{F7EE9F57-C77A-4FB4-9702-3089968ECB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9047BBA" w14:textId="375A5465" w:rsidR="001A080D" w:rsidRPr="00CC0355" w:rsidRDefault="00062A8A" w:rsidP="00062A8A">
      <w:pPr>
        <w:pStyle w:val="NormalWeb"/>
        <w:spacing w:before="0" w:beforeAutospacing="0" w:after="0" w:afterAutospacing="0" w:line="360" w:lineRule="auto"/>
        <w:ind w:right="77"/>
        <w:jc w:val="both"/>
        <w:rPr>
          <w:rFonts w:ascii="Palatino Linotype" w:hAnsi="Palatino Linotype" w:cstheme="minorHAnsi"/>
          <w:bCs/>
          <w:sz w:val="22"/>
          <w:szCs w:val="22"/>
        </w:rPr>
      </w:pPr>
      <w:r w:rsidRPr="00CC0355">
        <w:rPr>
          <w:rFonts w:ascii="Palatino Linotype" w:hAnsi="Palatino Linotype" w:cstheme="minorHAnsi"/>
          <w:sz w:val="18"/>
          <w:szCs w:val="18"/>
        </w:rPr>
        <w:t>Kaynak: TÜİK, Betam</w:t>
      </w:r>
    </w:p>
    <w:sectPr w:rsidR="001A080D" w:rsidRPr="00CC0355"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242D9" w14:textId="77777777" w:rsidR="00190F8D" w:rsidRDefault="00190F8D" w:rsidP="00DA0C5D">
      <w:r>
        <w:separator/>
      </w:r>
    </w:p>
  </w:endnote>
  <w:endnote w:type="continuationSeparator" w:id="0">
    <w:p w14:paraId="7B1F7964" w14:textId="77777777" w:rsidR="00190F8D" w:rsidRDefault="00190F8D"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49805" w14:textId="77777777" w:rsidR="00190F8D" w:rsidRDefault="00190F8D" w:rsidP="00DA0C5D">
      <w:r>
        <w:separator/>
      </w:r>
    </w:p>
  </w:footnote>
  <w:footnote w:type="continuationSeparator" w:id="0">
    <w:p w14:paraId="116E7692" w14:textId="77777777" w:rsidR="00190F8D" w:rsidRDefault="00190F8D" w:rsidP="00DA0C5D">
      <w:r>
        <w:continuationSeparator/>
      </w:r>
    </w:p>
  </w:footnote>
  <w:footnote w:id="1">
    <w:p w14:paraId="6D61CC27" w14:textId="77777777" w:rsidR="00C32789" w:rsidRDefault="00C32789">
      <w:pPr>
        <w:pStyle w:val="FootnoteText"/>
      </w:pPr>
      <w:r>
        <w:rPr>
          <w:rStyle w:val="FootnoteReference"/>
        </w:rPr>
        <w:footnoteRef/>
      </w:r>
      <w:r w:rsidR="001866FC">
        <w:t xml:space="preserve"> </w:t>
      </w:r>
      <w:r w:rsidRPr="001866FC">
        <w:rPr>
          <w:rFonts w:ascii="Palatino Linotype" w:hAnsi="Palatino Linotype"/>
          <w:sz w:val="18"/>
          <w:szCs w:val="18"/>
        </w:rPr>
        <w:t>Betam, ozan.bakis@eas.bau.edu.tr</w:t>
      </w:r>
    </w:p>
  </w:footnote>
  <w:footnote w:id="2">
    <w:p w14:paraId="5BE1DCEB" w14:textId="39F7BC74" w:rsidR="001537D8" w:rsidRDefault="001537D8" w:rsidP="001537D8">
      <w:pPr>
        <w:pStyle w:val="FootnoteText"/>
      </w:pPr>
      <w:r>
        <w:rPr>
          <w:rStyle w:val="FootnoteReference"/>
        </w:rPr>
        <w:footnoteRef/>
      </w:r>
      <w:r w:rsidR="001866FC">
        <w:t xml:space="preserve"> </w:t>
      </w:r>
      <w:r w:rsidRPr="001866FC">
        <w:rPr>
          <w:rFonts w:ascii="Palatino Linotype" w:hAnsi="Palatino Linotype"/>
          <w:sz w:val="18"/>
          <w:szCs w:val="18"/>
        </w:rPr>
        <w:t>Betam,</w:t>
      </w:r>
      <w:r w:rsidR="00302EDD">
        <w:rPr>
          <w:rFonts w:ascii="Palatino Linotype" w:hAnsi="Palatino Linotype"/>
          <w:sz w:val="18"/>
          <w:szCs w:val="18"/>
        </w:rPr>
        <w:t xml:space="preserve"> </w:t>
      </w:r>
      <w:r w:rsidR="00715A66">
        <w:rPr>
          <w:rFonts w:ascii="Palatino Linotype" w:hAnsi="Palatino Linotype"/>
          <w:sz w:val="18"/>
          <w:szCs w:val="18"/>
        </w:rPr>
        <w:t>ugurcan.acar</w:t>
      </w:r>
      <w:r w:rsidRPr="001866FC">
        <w:rPr>
          <w:rFonts w:ascii="Palatino Linotype" w:hAnsi="Palatino Linotype"/>
          <w:sz w:val="18"/>
          <w:szCs w:val="18"/>
        </w:rPr>
        <w:t>@eas.bau.edu.tr</w:t>
      </w:r>
      <w:r>
        <w:t xml:space="preserve"> </w:t>
      </w:r>
    </w:p>
  </w:footnote>
  <w:footnote w:id="3">
    <w:p w14:paraId="02E4FAD1" w14:textId="45844E10" w:rsidR="00494926" w:rsidRPr="00E22DFD" w:rsidRDefault="00494926">
      <w:pPr>
        <w:pStyle w:val="FootnoteText"/>
        <w:rPr>
          <w:rFonts w:ascii="Palatino Linotype" w:hAnsi="Palatino Linotype"/>
          <w:sz w:val="18"/>
          <w:szCs w:val="18"/>
        </w:rPr>
      </w:pPr>
      <w:r w:rsidRPr="00E22DFD">
        <w:rPr>
          <w:rStyle w:val="FootnoteReference"/>
          <w:rFonts w:ascii="Palatino Linotype" w:hAnsi="Palatino Linotype"/>
          <w:sz w:val="18"/>
          <w:szCs w:val="18"/>
        </w:rPr>
        <w:footnoteRef/>
      </w:r>
      <w:r w:rsidRPr="00E22DFD">
        <w:rPr>
          <w:rFonts w:ascii="Palatino Linotype" w:hAnsi="Palatino Linotype"/>
          <w:sz w:val="18"/>
          <w:szCs w:val="18"/>
        </w:rPr>
        <w:t xml:space="preserve"> TÜİK yeni milli gelir serilerini hesaplarken zincirleme hacim endeksi yöntemini kullanıyor. Zincirleme yöntemde hem toplamsallık sorunu olduğu hem de "stoktaki değişiklikler" kalemi için zincirlenmiş endeks türetilemediği için stok değişiminin büyümeye katkısı kolayca hesaplanamamaktadır. Zincirleme hacim endeksi yaklaşımında stok değişimi kaleminin büyümeye katkısının nasıl hesaplanacağını yayınladığımız araştırma notunda detaylı olarak tartışmıştık (bkz. </w:t>
      </w:r>
      <w:bookmarkStart w:id="9" w:name="OLE_LINK3"/>
      <w:bookmarkStart w:id="10" w:name="OLE_LINK4"/>
      <w:r w:rsidRPr="00E22DFD">
        <w:rPr>
          <w:rFonts w:ascii="Palatino Linotype" w:hAnsi="Palatino Linotype"/>
          <w:sz w:val="18"/>
          <w:szCs w:val="18"/>
        </w:rPr>
        <w:t>Betam Araştırma Notu 17/217</w:t>
      </w:r>
      <w:bookmarkEnd w:id="9"/>
      <w:bookmarkEnd w:id="10"/>
      <w:r w:rsidRPr="00E22DFD">
        <w:rPr>
          <w:rFonts w:ascii="Palatino Linotype" w:hAnsi="Palatino Linotype"/>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MzQ1MzcytDQzNrBU0lEKTi0uzszPAykwrgUAxT2duywAAAA="/>
  </w:docVars>
  <w:rsids>
    <w:rsidRoot w:val="00D07713"/>
    <w:rsid w:val="0000013E"/>
    <w:rsid w:val="00000824"/>
    <w:rsid w:val="0000228F"/>
    <w:rsid w:val="00007C3F"/>
    <w:rsid w:val="0001081A"/>
    <w:rsid w:val="0001392F"/>
    <w:rsid w:val="000141C7"/>
    <w:rsid w:val="00017B51"/>
    <w:rsid w:val="00023B97"/>
    <w:rsid w:val="0002466A"/>
    <w:rsid w:val="00030A2C"/>
    <w:rsid w:val="00036770"/>
    <w:rsid w:val="000404B3"/>
    <w:rsid w:val="00041FB7"/>
    <w:rsid w:val="0004390D"/>
    <w:rsid w:val="00044AF3"/>
    <w:rsid w:val="00044D9E"/>
    <w:rsid w:val="0004588B"/>
    <w:rsid w:val="0005290F"/>
    <w:rsid w:val="000529F2"/>
    <w:rsid w:val="00052B86"/>
    <w:rsid w:val="00054943"/>
    <w:rsid w:val="00055EA1"/>
    <w:rsid w:val="000561F7"/>
    <w:rsid w:val="00057F8E"/>
    <w:rsid w:val="00062A8A"/>
    <w:rsid w:val="000652B6"/>
    <w:rsid w:val="00070018"/>
    <w:rsid w:val="000719F5"/>
    <w:rsid w:val="000725DB"/>
    <w:rsid w:val="00073415"/>
    <w:rsid w:val="000753CE"/>
    <w:rsid w:val="00080211"/>
    <w:rsid w:val="00080336"/>
    <w:rsid w:val="00085271"/>
    <w:rsid w:val="00087011"/>
    <w:rsid w:val="000905E5"/>
    <w:rsid w:val="00091F3E"/>
    <w:rsid w:val="00096CDA"/>
    <w:rsid w:val="00097794"/>
    <w:rsid w:val="000978C8"/>
    <w:rsid w:val="000A05ED"/>
    <w:rsid w:val="000A3019"/>
    <w:rsid w:val="000A612E"/>
    <w:rsid w:val="000B0D12"/>
    <w:rsid w:val="000B0FC1"/>
    <w:rsid w:val="000B45D6"/>
    <w:rsid w:val="000C1672"/>
    <w:rsid w:val="000C5C80"/>
    <w:rsid w:val="000C634D"/>
    <w:rsid w:val="000D5974"/>
    <w:rsid w:val="000D5FD3"/>
    <w:rsid w:val="000D6E6C"/>
    <w:rsid w:val="000D70D1"/>
    <w:rsid w:val="000E2388"/>
    <w:rsid w:val="000E3436"/>
    <w:rsid w:val="000E445D"/>
    <w:rsid w:val="000F0B6B"/>
    <w:rsid w:val="000F2C7A"/>
    <w:rsid w:val="000F34BE"/>
    <w:rsid w:val="000F378E"/>
    <w:rsid w:val="000F6529"/>
    <w:rsid w:val="000F75B9"/>
    <w:rsid w:val="001004FF"/>
    <w:rsid w:val="0010209C"/>
    <w:rsid w:val="00111CED"/>
    <w:rsid w:val="0011613D"/>
    <w:rsid w:val="00117128"/>
    <w:rsid w:val="001239FD"/>
    <w:rsid w:val="0012527F"/>
    <w:rsid w:val="00125770"/>
    <w:rsid w:val="00126200"/>
    <w:rsid w:val="00130D73"/>
    <w:rsid w:val="00132910"/>
    <w:rsid w:val="00140468"/>
    <w:rsid w:val="00143F17"/>
    <w:rsid w:val="0014542A"/>
    <w:rsid w:val="00150FFB"/>
    <w:rsid w:val="001527FA"/>
    <w:rsid w:val="001537D8"/>
    <w:rsid w:val="001540B7"/>
    <w:rsid w:val="0016084A"/>
    <w:rsid w:val="00160880"/>
    <w:rsid w:val="001648AB"/>
    <w:rsid w:val="00173752"/>
    <w:rsid w:val="00173CB3"/>
    <w:rsid w:val="001744CD"/>
    <w:rsid w:val="00177002"/>
    <w:rsid w:val="001777A4"/>
    <w:rsid w:val="001804D3"/>
    <w:rsid w:val="00183AFA"/>
    <w:rsid w:val="00184174"/>
    <w:rsid w:val="00184B02"/>
    <w:rsid w:val="001851FE"/>
    <w:rsid w:val="001855BC"/>
    <w:rsid w:val="001866FC"/>
    <w:rsid w:val="00190944"/>
    <w:rsid w:val="00190F8D"/>
    <w:rsid w:val="00194FF2"/>
    <w:rsid w:val="001978A0"/>
    <w:rsid w:val="001A080D"/>
    <w:rsid w:val="001A18B0"/>
    <w:rsid w:val="001A42FF"/>
    <w:rsid w:val="001A5699"/>
    <w:rsid w:val="001B371C"/>
    <w:rsid w:val="001B3A44"/>
    <w:rsid w:val="001B584B"/>
    <w:rsid w:val="001C2763"/>
    <w:rsid w:val="001C2C68"/>
    <w:rsid w:val="001C566F"/>
    <w:rsid w:val="001C65BF"/>
    <w:rsid w:val="001C7370"/>
    <w:rsid w:val="001D0150"/>
    <w:rsid w:val="001D2107"/>
    <w:rsid w:val="001D36E7"/>
    <w:rsid w:val="001D37D1"/>
    <w:rsid w:val="001D420E"/>
    <w:rsid w:val="001D5B02"/>
    <w:rsid w:val="001D6465"/>
    <w:rsid w:val="001D7073"/>
    <w:rsid w:val="001D7513"/>
    <w:rsid w:val="001E181B"/>
    <w:rsid w:val="001E2E49"/>
    <w:rsid w:val="001E495B"/>
    <w:rsid w:val="001E514D"/>
    <w:rsid w:val="001E7126"/>
    <w:rsid w:val="001E72E4"/>
    <w:rsid w:val="001F12E3"/>
    <w:rsid w:val="001F1554"/>
    <w:rsid w:val="001F1CCF"/>
    <w:rsid w:val="001F2DE9"/>
    <w:rsid w:val="001F4E3D"/>
    <w:rsid w:val="001F5841"/>
    <w:rsid w:val="001F7B1D"/>
    <w:rsid w:val="001F7BC7"/>
    <w:rsid w:val="00201E79"/>
    <w:rsid w:val="00202302"/>
    <w:rsid w:val="00205844"/>
    <w:rsid w:val="00206F72"/>
    <w:rsid w:val="002106DF"/>
    <w:rsid w:val="00211E95"/>
    <w:rsid w:val="00212579"/>
    <w:rsid w:val="00212782"/>
    <w:rsid w:val="00214914"/>
    <w:rsid w:val="00214B5E"/>
    <w:rsid w:val="0022637C"/>
    <w:rsid w:val="0022673E"/>
    <w:rsid w:val="00232635"/>
    <w:rsid w:val="002343A8"/>
    <w:rsid w:val="00235DBE"/>
    <w:rsid w:val="00242C10"/>
    <w:rsid w:val="00244CF8"/>
    <w:rsid w:val="00247A3C"/>
    <w:rsid w:val="0025111C"/>
    <w:rsid w:val="00253E19"/>
    <w:rsid w:val="002561CB"/>
    <w:rsid w:val="00263C3E"/>
    <w:rsid w:val="00265553"/>
    <w:rsid w:val="002655E5"/>
    <w:rsid w:val="002663FD"/>
    <w:rsid w:val="00267F48"/>
    <w:rsid w:val="00270A75"/>
    <w:rsid w:val="002714F9"/>
    <w:rsid w:val="002729B4"/>
    <w:rsid w:val="002755D9"/>
    <w:rsid w:val="00275745"/>
    <w:rsid w:val="002804E5"/>
    <w:rsid w:val="00282242"/>
    <w:rsid w:val="002829BC"/>
    <w:rsid w:val="002847DE"/>
    <w:rsid w:val="0028498B"/>
    <w:rsid w:val="0029215C"/>
    <w:rsid w:val="00295E9A"/>
    <w:rsid w:val="0029623C"/>
    <w:rsid w:val="0029624E"/>
    <w:rsid w:val="002A037D"/>
    <w:rsid w:val="002A07A9"/>
    <w:rsid w:val="002A16BA"/>
    <w:rsid w:val="002A20F3"/>
    <w:rsid w:val="002A7C37"/>
    <w:rsid w:val="002B2172"/>
    <w:rsid w:val="002B2A1B"/>
    <w:rsid w:val="002B3C10"/>
    <w:rsid w:val="002B4A1A"/>
    <w:rsid w:val="002C00A1"/>
    <w:rsid w:val="002C4CC7"/>
    <w:rsid w:val="002C4E2F"/>
    <w:rsid w:val="002C5C24"/>
    <w:rsid w:val="002C64BB"/>
    <w:rsid w:val="002D0F16"/>
    <w:rsid w:val="002D1797"/>
    <w:rsid w:val="002D4D2D"/>
    <w:rsid w:val="002E1F54"/>
    <w:rsid w:val="002F1503"/>
    <w:rsid w:val="002F2245"/>
    <w:rsid w:val="002F26B4"/>
    <w:rsid w:val="002F2D70"/>
    <w:rsid w:val="002F3163"/>
    <w:rsid w:val="002F63B2"/>
    <w:rsid w:val="00302EDD"/>
    <w:rsid w:val="003061DC"/>
    <w:rsid w:val="003079ED"/>
    <w:rsid w:val="00310C5C"/>
    <w:rsid w:val="00311EFF"/>
    <w:rsid w:val="003142E3"/>
    <w:rsid w:val="003172DB"/>
    <w:rsid w:val="0032176F"/>
    <w:rsid w:val="00321D78"/>
    <w:rsid w:val="0032280F"/>
    <w:rsid w:val="0032324A"/>
    <w:rsid w:val="00324C51"/>
    <w:rsid w:val="00326195"/>
    <w:rsid w:val="00326678"/>
    <w:rsid w:val="00327CFB"/>
    <w:rsid w:val="00334E27"/>
    <w:rsid w:val="0033649B"/>
    <w:rsid w:val="00344A74"/>
    <w:rsid w:val="00351F12"/>
    <w:rsid w:val="00357BC6"/>
    <w:rsid w:val="00362359"/>
    <w:rsid w:val="00364AAB"/>
    <w:rsid w:val="00370A07"/>
    <w:rsid w:val="00370FEE"/>
    <w:rsid w:val="00375EB0"/>
    <w:rsid w:val="003771C7"/>
    <w:rsid w:val="003777B5"/>
    <w:rsid w:val="00377868"/>
    <w:rsid w:val="0038057D"/>
    <w:rsid w:val="00385A29"/>
    <w:rsid w:val="00385C7B"/>
    <w:rsid w:val="003864E6"/>
    <w:rsid w:val="003967B5"/>
    <w:rsid w:val="003A1AFE"/>
    <w:rsid w:val="003A488B"/>
    <w:rsid w:val="003A4C32"/>
    <w:rsid w:val="003A5499"/>
    <w:rsid w:val="003A7596"/>
    <w:rsid w:val="003B2008"/>
    <w:rsid w:val="003B2D0B"/>
    <w:rsid w:val="003B42D2"/>
    <w:rsid w:val="003C09C5"/>
    <w:rsid w:val="003C15C6"/>
    <w:rsid w:val="003C267D"/>
    <w:rsid w:val="003C2891"/>
    <w:rsid w:val="003C65A1"/>
    <w:rsid w:val="003D4202"/>
    <w:rsid w:val="003D44CE"/>
    <w:rsid w:val="003D4627"/>
    <w:rsid w:val="003E1EED"/>
    <w:rsid w:val="003E3299"/>
    <w:rsid w:val="003E5C0F"/>
    <w:rsid w:val="003F00A9"/>
    <w:rsid w:val="003F4E89"/>
    <w:rsid w:val="004017B2"/>
    <w:rsid w:val="00401813"/>
    <w:rsid w:val="004040C3"/>
    <w:rsid w:val="00405BD8"/>
    <w:rsid w:val="00407C84"/>
    <w:rsid w:val="004126A2"/>
    <w:rsid w:val="00416A4B"/>
    <w:rsid w:val="00417F6E"/>
    <w:rsid w:val="00424382"/>
    <w:rsid w:val="00431236"/>
    <w:rsid w:val="00431C38"/>
    <w:rsid w:val="00433A75"/>
    <w:rsid w:val="00435806"/>
    <w:rsid w:val="004426B4"/>
    <w:rsid w:val="004435E3"/>
    <w:rsid w:val="00443C08"/>
    <w:rsid w:val="00443D50"/>
    <w:rsid w:val="00447743"/>
    <w:rsid w:val="00450CEA"/>
    <w:rsid w:val="00451A8A"/>
    <w:rsid w:val="004623F2"/>
    <w:rsid w:val="004647F0"/>
    <w:rsid w:val="00476131"/>
    <w:rsid w:val="00476E22"/>
    <w:rsid w:val="00477AED"/>
    <w:rsid w:val="00480684"/>
    <w:rsid w:val="00483EC5"/>
    <w:rsid w:val="0048406B"/>
    <w:rsid w:val="0048730C"/>
    <w:rsid w:val="0048774D"/>
    <w:rsid w:val="00490AAE"/>
    <w:rsid w:val="00492020"/>
    <w:rsid w:val="004931A5"/>
    <w:rsid w:val="00494926"/>
    <w:rsid w:val="004950F8"/>
    <w:rsid w:val="004B0D97"/>
    <w:rsid w:val="004B130D"/>
    <w:rsid w:val="004B5355"/>
    <w:rsid w:val="004B6E05"/>
    <w:rsid w:val="004B7166"/>
    <w:rsid w:val="004C548E"/>
    <w:rsid w:val="004D1A55"/>
    <w:rsid w:val="004D1FAD"/>
    <w:rsid w:val="004D626D"/>
    <w:rsid w:val="004D6586"/>
    <w:rsid w:val="004E0098"/>
    <w:rsid w:val="004E5018"/>
    <w:rsid w:val="004F0543"/>
    <w:rsid w:val="004F10AB"/>
    <w:rsid w:val="004F4BDC"/>
    <w:rsid w:val="0050008F"/>
    <w:rsid w:val="005020BC"/>
    <w:rsid w:val="005033DB"/>
    <w:rsid w:val="00505041"/>
    <w:rsid w:val="00506253"/>
    <w:rsid w:val="00507586"/>
    <w:rsid w:val="00510883"/>
    <w:rsid w:val="00513359"/>
    <w:rsid w:val="005150C1"/>
    <w:rsid w:val="00521326"/>
    <w:rsid w:val="005225E0"/>
    <w:rsid w:val="00530B9F"/>
    <w:rsid w:val="0053582F"/>
    <w:rsid w:val="0053586E"/>
    <w:rsid w:val="00537BE1"/>
    <w:rsid w:val="0054145E"/>
    <w:rsid w:val="00542345"/>
    <w:rsid w:val="005438B0"/>
    <w:rsid w:val="00544773"/>
    <w:rsid w:val="005600E7"/>
    <w:rsid w:val="00560CD9"/>
    <w:rsid w:val="00570C1B"/>
    <w:rsid w:val="00572FD8"/>
    <w:rsid w:val="005748A8"/>
    <w:rsid w:val="005824BD"/>
    <w:rsid w:val="0058588C"/>
    <w:rsid w:val="00586424"/>
    <w:rsid w:val="005A2246"/>
    <w:rsid w:val="005A3A4D"/>
    <w:rsid w:val="005A3B33"/>
    <w:rsid w:val="005A611C"/>
    <w:rsid w:val="005A617F"/>
    <w:rsid w:val="005B35F3"/>
    <w:rsid w:val="005B67B3"/>
    <w:rsid w:val="005C00FE"/>
    <w:rsid w:val="005C08B0"/>
    <w:rsid w:val="005C51D9"/>
    <w:rsid w:val="005C6245"/>
    <w:rsid w:val="005D00FB"/>
    <w:rsid w:val="005D0E8C"/>
    <w:rsid w:val="005D27F8"/>
    <w:rsid w:val="005D2979"/>
    <w:rsid w:val="005D3C96"/>
    <w:rsid w:val="005D4126"/>
    <w:rsid w:val="005D72F5"/>
    <w:rsid w:val="005D7F3E"/>
    <w:rsid w:val="005E0D21"/>
    <w:rsid w:val="005E2717"/>
    <w:rsid w:val="005E458B"/>
    <w:rsid w:val="005E49F0"/>
    <w:rsid w:val="005F0C29"/>
    <w:rsid w:val="005F0FF9"/>
    <w:rsid w:val="005F26AF"/>
    <w:rsid w:val="005F63C3"/>
    <w:rsid w:val="005F69B2"/>
    <w:rsid w:val="005F7787"/>
    <w:rsid w:val="00602C2B"/>
    <w:rsid w:val="0060593A"/>
    <w:rsid w:val="00610889"/>
    <w:rsid w:val="0061333E"/>
    <w:rsid w:val="006138F0"/>
    <w:rsid w:val="00613D1F"/>
    <w:rsid w:val="0061410A"/>
    <w:rsid w:val="006145E6"/>
    <w:rsid w:val="00625B95"/>
    <w:rsid w:val="006268DA"/>
    <w:rsid w:val="00631D5B"/>
    <w:rsid w:val="00632221"/>
    <w:rsid w:val="006324E3"/>
    <w:rsid w:val="00632CF6"/>
    <w:rsid w:val="0064012D"/>
    <w:rsid w:val="0064287A"/>
    <w:rsid w:val="00643113"/>
    <w:rsid w:val="006432C9"/>
    <w:rsid w:val="006439C5"/>
    <w:rsid w:val="00643F5D"/>
    <w:rsid w:val="0064483B"/>
    <w:rsid w:val="00645147"/>
    <w:rsid w:val="00646879"/>
    <w:rsid w:val="00647318"/>
    <w:rsid w:val="0064747F"/>
    <w:rsid w:val="00647792"/>
    <w:rsid w:val="00650BB3"/>
    <w:rsid w:val="006549E3"/>
    <w:rsid w:val="00654A8F"/>
    <w:rsid w:val="00655938"/>
    <w:rsid w:val="00655B95"/>
    <w:rsid w:val="00657B23"/>
    <w:rsid w:val="00666235"/>
    <w:rsid w:val="0067008D"/>
    <w:rsid w:val="0067066F"/>
    <w:rsid w:val="006761BB"/>
    <w:rsid w:val="0067693E"/>
    <w:rsid w:val="00680AE4"/>
    <w:rsid w:val="00680E36"/>
    <w:rsid w:val="00681022"/>
    <w:rsid w:val="006813D8"/>
    <w:rsid w:val="00681AD9"/>
    <w:rsid w:val="0068354F"/>
    <w:rsid w:val="00693FB8"/>
    <w:rsid w:val="00694B4D"/>
    <w:rsid w:val="00694F52"/>
    <w:rsid w:val="00695471"/>
    <w:rsid w:val="006A201E"/>
    <w:rsid w:val="006A308B"/>
    <w:rsid w:val="006B0633"/>
    <w:rsid w:val="006C122C"/>
    <w:rsid w:val="006C1ABC"/>
    <w:rsid w:val="006C3EE6"/>
    <w:rsid w:val="006C49A7"/>
    <w:rsid w:val="006D02FD"/>
    <w:rsid w:val="006D1DD6"/>
    <w:rsid w:val="006D32A0"/>
    <w:rsid w:val="006D48CF"/>
    <w:rsid w:val="006D507A"/>
    <w:rsid w:val="006E07BA"/>
    <w:rsid w:val="006E09D6"/>
    <w:rsid w:val="006F0FC6"/>
    <w:rsid w:val="006F1912"/>
    <w:rsid w:val="006F2CD8"/>
    <w:rsid w:val="006F49E7"/>
    <w:rsid w:val="006F5E82"/>
    <w:rsid w:val="006F615A"/>
    <w:rsid w:val="007011B6"/>
    <w:rsid w:val="007014CD"/>
    <w:rsid w:val="0070188F"/>
    <w:rsid w:val="00707FBD"/>
    <w:rsid w:val="00711A8A"/>
    <w:rsid w:val="007135FC"/>
    <w:rsid w:val="00715A66"/>
    <w:rsid w:val="0071724C"/>
    <w:rsid w:val="007201BD"/>
    <w:rsid w:val="00720250"/>
    <w:rsid w:val="007224AF"/>
    <w:rsid w:val="00724E7C"/>
    <w:rsid w:val="00731521"/>
    <w:rsid w:val="0074205B"/>
    <w:rsid w:val="007468E9"/>
    <w:rsid w:val="0075142F"/>
    <w:rsid w:val="00751F72"/>
    <w:rsid w:val="00761711"/>
    <w:rsid w:val="00761E4E"/>
    <w:rsid w:val="0076407C"/>
    <w:rsid w:val="00765445"/>
    <w:rsid w:val="0077111C"/>
    <w:rsid w:val="007715F2"/>
    <w:rsid w:val="0077267F"/>
    <w:rsid w:val="00773A17"/>
    <w:rsid w:val="00773D8B"/>
    <w:rsid w:val="00775CAF"/>
    <w:rsid w:val="00776789"/>
    <w:rsid w:val="00777594"/>
    <w:rsid w:val="00777AEF"/>
    <w:rsid w:val="00783CD4"/>
    <w:rsid w:val="0079216E"/>
    <w:rsid w:val="00792837"/>
    <w:rsid w:val="00792F4E"/>
    <w:rsid w:val="00793D58"/>
    <w:rsid w:val="00797437"/>
    <w:rsid w:val="007A0DBE"/>
    <w:rsid w:val="007A1767"/>
    <w:rsid w:val="007A5AC1"/>
    <w:rsid w:val="007A5FB1"/>
    <w:rsid w:val="007B1D6E"/>
    <w:rsid w:val="007B3FC0"/>
    <w:rsid w:val="007B5A28"/>
    <w:rsid w:val="007B70AD"/>
    <w:rsid w:val="007C1995"/>
    <w:rsid w:val="007C462A"/>
    <w:rsid w:val="007C47CA"/>
    <w:rsid w:val="007D4168"/>
    <w:rsid w:val="007D4953"/>
    <w:rsid w:val="007F13F2"/>
    <w:rsid w:val="007F39BB"/>
    <w:rsid w:val="007F3B7C"/>
    <w:rsid w:val="007F3C9B"/>
    <w:rsid w:val="008063E6"/>
    <w:rsid w:val="00806989"/>
    <w:rsid w:val="0081114C"/>
    <w:rsid w:val="008151D2"/>
    <w:rsid w:val="0081589C"/>
    <w:rsid w:val="00817A10"/>
    <w:rsid w:val="008275A8"/>
    <w:rsid w:val="00830B62"/>
    <w:rsid w:val="008312F9"/>
    <w:rsid w:val="00832402"/>
    <w:rsid w:val="00835D87"/>
    <w:rsid w:val="0083655C"/>
    <w:rsid w:val="00837B95"/>
    <w:rsid w:val="00841E4C"/>
    <w:rsid w:val="00844C00"/>
    <w:rsid w:val="00844C47"/>
    <w:rsid w:val="0084500C"/>
    <w:rsid w:val="00845815"/>
    <w:rsid w:val="00845A54"/>
    <w:rsid w:val="0084623F"/>
    <w:rsid w:val="008469D3"/>
    <w:rsid w:val="008505DA"/>
    <w:rsid w:val="008549A0"/>
    <w:rsid w:val="00856B55"/>
    <w:rsid w:val="0086495E"/>
    <w:rsid w:val="00865CE6"/>
    <w:rsid w:val="00866E5B"/>
    <w:rsid w:val="00867DEE"/>
    <w:rsid w:val="0087023B"/>
    <w:rsid w:val="00870A3F"/>
    <w:rsid w:val="00874EB4"/>
    <w:rsid w:val="008753B3"/>
    <w:rsid w:val="0088079F"/>
    <w:rsid w:val="00881E18"/>
    <w:rsid w:val="0088270D"/>
    <w:rsid w:val="00884819"/>
    <w:rsid w:val="0089048A"/>
    <w:rsid w:val="008914E6"/>
    <w:rsid w:val="0089158B"/>
    <w:rsid w:val="00893320"/>
    <w:rsid w:val="008945AE"/>
    <w:rsid w:val="008949E0"/>
    <w:rsid w:val="008A3BD9"/>
    <w:rsid w:val="008B0385"/>
    <w:rsid w:val="008B29F8"/>
    <w:rsid w:val="008B6FC3"/>
    <w:rsid w:val="008C51CA"/>
    <w:rsid w:val="008C56F9"/>
    <w:rsid w:val="008C70C5"/>
    <w:rsid w:val="008C73E6"/>
    <w:rsid w:val="008D6DC6"/>
    <w:rsid w:val="008D7AA2"/>
    <w:rsid w:val="008E1CF4"/>
    <w:rsid w:val="008E4870"/>
    <w:rsid w:val="008F10DA"/>
    <w:rsid w:val="008F1741"/>
    <w:rsid w:val="008F2BCD"/>
    <w:rsid w:val="00900E1A"/>
    <w:rsid w:val="00912A8A"/>
    <w:rsid w:val="009145CD"/>
    <w:rsid w:val="00914D26"/>
    <w:rsid w:val="00916142"/>
    <w:rsid w:val="0091617E"/>
    <w:rsid w:val="00916533"/>
    <w:rsid w:val="00916C78"/>
    <w:rsid w:val="00917330"/>
    <w:rsid w:val="009204AA"/>
    <w:rsid w:val="00920DA2"/>
    <w:rsid w:val="0092349F"/>
    <w:rsid w:val="009247BA"/>
    <w:rsid w:val="00924CD9"/>
    <w:rsid w:val="00927D28"/>
    <w:rsid w:val="0093554D"/>
    <w:rsid w:val="00935D6E"/>
    <w:rsid w:val="00936595"/>
    <w:rsid w:val="009400E0"/>
    <w:rsid w:val="00940150"/>
    <w:rsid w:val="00940DA9"/>
    <w:rsid w:val="0094295F"/>
    <w:rsid w:val="00944ED5"/>
    <w:rsid w:val="009455F2"/>
    <w:rsid w:val="00945950"/>
    <w:rsid w:val="0095529F"/>
    <w:rsid w:val="0095536D"/>
    <w:rsid w:val="00955DC8"/>
    <w:rsid w:val="00955E90"/>
    <w:rsid w:val="00957FE5"/>
    <w:rsid w:val="00961F5B"/>
    <w:rsid w:val="00963B04"/>
    <w:rsid w:val="009663D6"/>
    <w:rsid w:val="00967571"/>
    <w:rsid w:val="0097116F"/>
    <w:rsid w:val="00982B22"/>
    <w:rsid w:val="0098310A"/>
    <w:rsid w:val="00983612"/>
    <w:rsid w:val="0098616F"/>
    <w:rsid w:val="00990E34"/>
    <w:rsid w:val="00996151"/>
    <w:rsid w:val="00996EBD"/>
    <w:rsid w:val="00997694"/>
    <w:rsid w:val="00997713"/>
    <w:rsid w:val="00997C54"/>
    <w:rsid w:val="009A3D0F"/>
    <w:rsid w:val="009A71AF"/>
    <w:rsid w:val="009B1546"/>
    <w:rsid w:val="009B16AD"/>
    <w:rsid w:val="009B2E56"/>
    <w:rsid w:val="009B3197"/>
    <w:rsid w:val="009B385A"/>
    <w:rsid w:val="009B651F"/>
    <w:rsid w:val="009C40EF"/>
    <w:rsid w:val="009C4B9E"/>
    <w:rsid w:val="009C66C3"/>
    <w:rsid w:val="009D62AC"/>
    <w:rsid w:val="009D71BF"/>
    <w:rsid w:val="009E0348"/>
    <w:rsid w:val="009E25DA"/>
    <w:rsid w:val="009E4A1F"/>
    <w:rsid w:val="009E5241"/>
    <w:rsid w:val="009E68C6"/>
    <w:rsid w:val="009F23C4"/>
    <w:rsid w:val="009F2483"/>
    <w:rsid w:val="009F42CC"/>
    <w:rsid w:val="009F603E"/>
    <w:rsid w:val="00A0130D"/>
    <w:rsid w:val="00A03316"/>
    <w:rsid w:val="00A0483D"/>
    <w:rsid w:val="00A04EFA"/>
    <w:rsid w:val="00A06A3E"/>
    <w:rsid w:val="00A10891"/>
    <w:rsid w:val="00A109C3"/>
    <w:rsid w:val="00A15DC3"/>
    <w:rsid w:val="00A2147D"/>
    <w:rsid w:val="00A251CD"/>
    <w:rsid w:val="00A25823"/>
    <w:rsid w:val="00A2601A"/>
    <w:rsid w:val="00A303D5"/>
    <w:rsid w:val="00A3095F"/>
    <w:rsid w:val="00A310EA"/>
    <w:rsid w:val="00A322AA"/>
    <w:rsid w:val="00A327F6"/>
    <w:rsid w:val="00A34DB9"/>
    <w:rsid w:val="00A40E31"/>
    <w:rsid w:val="00A444F9"/>
    <w:rsid w:val="00A46C4A"/>
    <w:rsid w:val="00A50FB7"/>
    <w:rsid w:val="00A6009C"/>
    <w:rsid w:val="00A6165E"/>
    <w:rsid w:val="00A648DB"/>
    <w:rsid w:val="00A675D3"/>
    <w:rsid w:val="00A719DB"/>
    <w:rsid w:val="00A72E1B"/>
    <w:rsid w:val="00A73EA9"/>
    <w:rsid w:val="00A7662B"/>
    <w:rsid w:val="00A842EA"/>
    <w:rsid w:val="00A8572B"/>
    <w:rsid w:val="00A86808"/>
    <w:rsid w:val="00A874DA"/>
    <w:rsid w:val="00A90B4F"/>
    <w:rsid w:val="00A90F77"/>
    <w:rsid w:val="00A92286"/>
    <w:rsid w:val="00A9270B"/>
    <w:rsid w:val="00A94E9C"/>
    <w:rsid w:val="00AA1706"/>
    <w:rsid w:val="00AA678E"/>
    <w:rsid w:val="00AB1006"/>
    <w:rsid w:val="00AB36F7"/>
    <w:rsid w:val="00AC2B3D"/>
    <w:rsid w:val="00AC59ED"/>
    <w:rsid w:val="00AD01B6"/>
    <w:rsid w:val="00AD7ADC"/>
    <w:rsid w:val="00AE59EE"/>
    <w:rsid w:val="00AF2318"/>
    <w:rsid w:val="00AF3D11"/>
    <w:rsid w:val="00B01508"/>
    <w:rsid w:val="00B01533"/>
    <w:rsid w:val="00B02076"/>
    <w:rsid w:val="00B02D74"/>
    <w:rsid w:val="00B119E3"/>
    <w:rsid w:val="00B17241"/>
    <w:rsid w:val="00B17B6A"/>
    <w:rsid w:val="00B24D13"/>
    <w:rsid w:val="00B25D14"/>
    <w:rsid w:val="00B26FF9"/>
    <w:rsid w:val="00B27C9F"/>
    <w:rsid w:val="00B31727"/>
    <w:rsid w:val="00B31FC9"/>
    <w:rsid w:val="00B34132"/>
    <w:rsid w:val="00B35FDB"/>
    <w:rsid w:val="00B366B7"/>
    <w:rsid w:val="00B36BFA"/>
    <w:rsid w:val="00B45DFF"/>
    <w:rsid w:val="00B4685F"/>
    <w:rsid w:val="00B56D03"/>
    <w:rsid w:val="00B606FC"/>
    <w:rsid w:val="00B62037"/>
    <w:rsid w:val="00B703DE"/>
    <w:rsid w:val="00B76782"/>
    <w:rsid w:val="00B82B92"/>
    <w:rsid w:val="00B92E7B"/>
    <w:rsid w:val="00B9319A"/>
    <w:rsid w:val="00B95E66"/>
    <w:rsid w:val="00BA3C62"/>
    <w:rsid w:val="00BA5FF0"/>
    <w:rsid w:val="00BA7E44"/>
    <w:rsid w:val="00BB05D5"/>
    <w:rsid w:val="00BB0912"/>
    <w:rsid w:val="00BB27EB"/>
    <w:rsid w:val="00BB3448"/>
    <w:rsid w:val="00BB3FE6"/>
    <w:rsid w:val="00BB5725"/>
    <w:rsid w:val="00BC1EF8"/>
    <w:rsid w:val="00BC42E1"/>
    <w:rsid w:val="00BD00B2"/>
    <w:rsid w:val="00BD51DF"/>
    <w:rsid w:val="00BD6621"/>
    <w:rsid w:val="00BD6EC8"/>
    <w:rsid w:val="00BD7F4E"/>
    <w:rsid w:val="00BE0415"/>
    <w:rsid w:val="00BE06CE"/>
    <w:rsid w:val="00BE1622"/>
    <w:rsid w:val="00BE280E"/>
    <w:rsid w:val="00BE5BD1"/>
    <w:rsid w:val="00BE6CCA"/>
    <w:rsid w:val="00BE7C49"/>
    <w:rsid w:val="00BF1EC4"/>
    <w:rsid w:val="00BF59B3"/>
    <w:rsid w:val="00C066D2"/>
    <w:rsid w:val="00C11B5A"/>
    <w:rsid w:val="00C126FC"/>
    <w:rsid w:val="00C1422A"/>
    <w:rsid w:val="00C14C86"/>
    <w:rsid w:val="00C167CC"/>
    <w:rsid w:val="00C21BB8"/>
    <w:rsid w:val="00C21E02"/>
    <w:rsid w:val="00C271FA"/>
    <w:rsid w:val="00C32789"/>
    <w:rsid w:val="00C34C5C"/>
    <w:rsid w:val="00C34D9B"/>
    <w:rsid w:val="00C35660"/>
    <w:rsid w:val="00C43EBE"/>
    <w:rsid w:val="00C5056E"/>
    <w:rsid w:val="00C50FD5"/>
    <w:rsid w:val="00C53444"/>
    <w:rsid w:val="00C56C6E"/>
    <w:rsid w:val="00C57749"/>
    <w:rsid w:val="00C60221"/>
    <w:rsid w:val="00C6130D"/>
    <w:rsid w:val="00C7220A"/>
    <w:rsid w:val="00C73CC1"/>
    <w:rsid w:val="00C742C7"/>
    <w:rsid w:val="00C75096"/>
    <w:rsid w:val="00C754E1"/>
    <w:rsid w:val="00C757D6"/>
    <w:rsid w:val="00C7698F"/>
    <w:rsid w:val="00C807B2"/>
    <w:rsid w:val="00C813E4"/>
    <w:rsid w:val="00C82B14"/>
    <w:rsid w:val="00C850EC"/>
    <w:rsid w:val="00C86475"/>
    <w:rsid w:val="00C87C00"/>
    <w:rsid w:val="00C9003F"/>
    <w:rsid w:val="00C900F9"/>
    <w:rsid w:val="00C9036E"/>
    <w:rsid w:val="00C97FD1"/>
    <w:rsid w:val="00CA234B"/>
    <w:rsid w:val="00CA77D7"/>
    <w:rsid w:val="00CB0E7B"/>
    <w:rsid w:val="00CB1AD7"/>
    <w:rsid w:val="00CB3462"/>
    <w:rsid w:val="00CB4102"/>
    <w:rsid w:val="00CB41BA"/>
    <w:rsid w:val="00CB72D1"/>
    <w:rsid w:val="00CB767C"/>
    <w:rsid w:val="00CB76B6"/>
    <w:rsid w:val="00CC0355"/>
    <w:rsid w:val="00CC3EAD"/>
    <w:rsid w:val="00CC44D3"/>
    <w:rsid w:val="00CC5784"/>
    <w:rsid w:val="00CC79C0"/>
    <w:rsid w:val="00CD2C46"/>
    <w:rsid w:val="00CD6778"/>
    <w:rsid w:val="00CE6E39"/>
    <w:rsid w:val="00CF365B"/>
    <w:rsid w:val="00CF5053"/>
    <w:rsid w:val="00CF506B"/>
    <w:rsid w:val="00CF7180"/>
    <w:rsid w:val="00CF7798"/>
    <w:rsid w:val="00D0155A"/>
    <w:rsid w:val="00D01A3E"/>
    <w:rsid w:val="00D07713"/>
    <w:rsid w:val="00D10C44"/>
    <w:rsid w:val="00D1282D"/>
    <w:rsid w:val="00D136A7"/>
    <w:rsid w:val="00D147ED"/>
    <w:rsid w:val="00D1686E"/>
    <w:rsid w:val="00D24254"/>
    <w:rsid w:val="00D257C1"/>
    <w:rsid w:val="00D32C5D"/>
    <w:rsid w:val="00D34702"/>
    <w:rsid w:val="00D4418E"/>
    <w:rsid w:val="00D44562"/>
    <w:rsid w:val="00D45167"/>
    <w:rsid w:val="00D4574F"/>
    <w:rsid w:val="00D463B7"/>
    <w:rsid w:val="00D4648E"/>
    <w:rsid w:val="00D468FA"/>
    <w:rsid w:val="00D4719D"/>
    <w:rsid w:val="00D50220"/>
    <w:rsid w:val="00D53424"/>
    <w:rsid w:val="00D54395"/>
    <w:rsid w:val="00D60AAF"/>
    <w:rsid w:val="00D63430"/>
    <w:rsid w:val="00D64700"/>
    <w:rsid w:val="00D65AAD"/>
    <w:rsid w:val="00D67F66"/>
    <w:rsid w:val="00D732A9"/>
    <w:rsid w:val="00D76361"/>
    <w:rsid w:val="00D803A1"/>
    <w:rsid w:val="00D83AB7"/>
    <w:rsid w:val="00D8482B"/>
    <w:rsid w:val="00D90931"/>
    <w:rsid w:val="00D92A1A"/>
    <w:rsid w:val="00D94A3B"/>
    <w:rsid w:val="00D95EA2"/>
    <w:rsid w:val="00D9649B"/>
    <w:rsid w:val="00D976E9"/>
    <w:rsid w:val="00DA0C5D"/>
    <w:rsid w:val="00DA5524"/>
    <w:rsid w:val="00DA618C"/>
    <w:rsid w:val="00DA6E52"/>
    <w:rsid w:val="00DB4A16"/>
    <w:rsid w:val="00DB5024"/>
    <w:rsid w:val="00DB5518"/>
    <w:rsid w:val="00DB5EFB"/>
    <w:rsid w:val="00DB6C1E"/>
    <w:rsid w:val="00DC0B1C"/>
    <w:rsid w:val="00DC2AAD"/>
    <w:rsid w:val="00DC2C8D"/>
    <w:rsid w:val="00DC2DF9"/>
    <w:rsid w:val="00DD00FB"/>
    <w:rsid w:val="00DD1374"/>
    <w:rsid w:val="00DD2D75"/>
    <w:rsid w:val="00DD4D85"/>
    <w:rsid w:val="00DE57B8"/>
    <w:rsid w:val="00DF08BD"/>
    <w:rsid w:val="00DF1057"/>
    <w:rsid w:val="00DF44DE"/>
    <w:rsid w:val="00E04EFE"/>
    <w:rsid w:val="00E05DE7"/>
    <w:rsid w:val="00E0602A"/>
    <w:rsid w:val="00E07DD7"/>
    <w:rsid w:val="00E109EA"/>
    <w:rsid w:val="00E122C5"/>
    <w:rsid w:val="00E13456"/>
    <w:rsid w:val="00E14637"/>
    <w:rsid w:val="00E17CED"/>
    <w:rsid w:val="00E21E9E"/>
    <w:rsid w:val="00E2254F"/>
    <w:rsid w:val="00E22DFD"/>
    <w:rsid w:val="00E23E54"/>
    <w:rsid w:val="00E24D8F"/>
    <w:rsid w:val="00E25A25"/>
    <w:rsid w:val="00E265D5"/>
    <w:rsid w:val="00E27199"/>
    <w:rsid w:val="00E306CB"/>
    <w:rsid w:val="00E3778C"/>
    <w:rsid w:val="00E37C95"/>
    <w:rsid w:val="00E40BEF"/>
    <w:rsid w:val="00E40CBC"/>
    <w:rsid w:val="00E40DD5"/>
    <w:rsid w:val="00E41840"/>
    <w:rsid w:val="00E431D7"/>
    <w:rsid w:val="00E4681E"/>
    <w:rsid w:val="00E540BC"/>
    <w:rsid w:val="00E565C5"/>
    <w:rsid w:val="00E57043"/>
    <w:rsid w:val="00E5723B"/>
    <w:rsid w:val="00E631F0"/>
    <w:rsid w:val="00E634D2"/>
    <w:rsid w:val="00E667CB"/>
    <w:rsid w:val="00E67DCD"/>
    <w:rsid w:val="00E7272A"/>
    <w:rsid w:val="00E750CC"/>
    <w:rsid w:val="00E77CAA"/>
    <w:rsid w:val="00E82940"/>
    <w:rsid w:val="00E83A84"/>
    <w:rsid w:val="00E85F3F"/>
    <w:rsid w:val="00EA0452"/>
    <w:rsid w:val="00EA0ED2"/>
    <w:rsid w:val="00EA7527"/>
    <w:rsid w:val="00EB2C83"/>
    <w:rsid w:val="00EB3A96"/>
    <w:rsid w:val="00EB476F"/>
    <w:rsid w:val="00EB52B3"/>
    <w:rsid w:val="00EC136E"/>
    <w:rsid w:val="00EC2814"/>
    <w:rsid w:val="00EC37CB"/>
    <w:rsid w:val="00ED0762"/>
    <w:rsid w:val="00ED266F"/>
    <w:rsid w:val="00ED5E21"/>
    <w:rsid w:val="00ED7C24"/>
    <w:rsid w:val="00ED7C53"/>
    <w:rsid w:val="00EE0633"/>
    <w:rsid w:val="00EE150B"/>
    <w:rsid w:val="00EE1BE5"/>
    <w:rsid w:val="00EE4795"/>
    <w:rsid w:val="00EF09A7"/>
    <w:rsid w:val="00EF1E78"/>
    <w:rsid w:val="00EF29EC"/>
    <w:rsid w:val="00EF7154"/>
    <w:rsid w:val="00F0076E"/>
    <w:rsid w:val="00F00FB7"/>
    <w:rsid w:val="00F022E0"/>
    <w:rsid w:val="00F0425A"/>
    <w:rsid w:val="00F0654E"/>
    <w:rsid w:val="00F118B1"/>
    <w:rsid w:val="00F11E6D"/>
    <w:rsid w:val="00F136EE"/>
    <w:rsid w:val="00F22A71"/>
    <w:rsid w:val="00F259FE"/>
    <w:rsid w:val="00F27D86"/>
    <w:rsid w:val="00F30329"/>
    <w:rsid w:val="00F31726"/>
    <w:rsid w:val="00F31E52"/>
    <w:rsid w:val="00F33EED"/>
    <w:rsid w:val="00F36F06"/>
    <w:rsid w:val="00F41E19"/>
    <w:rsid w:val="00F43C5B"/>
    <w:rsid w:val="00F441A2"/>
    <w:rsid w:val="00F44E44"/>
    <w:rsid w:val="00F46A54"/>
    <w:rsid w:val="00F50705"/>
    <w:rsid w:val="00F5130C"/>
    <w:rsid w:val="00F5534B"/>
    <w:rsid w:val="00F63DCE"/>
    <w:rsid w:val="00F65C09"/>
    <w:rsid w:val="00F676BF"/>
    <w:rsid w:val="00F67B66"/>
    <w:rsid w:val="00F70EC7"/>
    <w:rsid w:val="00F72AAB"/>
    <w:rsid w:val="00F80F23"/>
    <w:rsid w:val="00F823F7"/>
    <w:rsid w:val="00F87405"/>
    <w:rsid w:val="00F9160B"/>
    <w:rsid w:val="00F94070"/>
    <w:rsid w:val="00F94113"/>
    <w:rsid w:val="00F9530C"/>
    <w:rsid w:val="00FA1A2D"/>
    <w:rsid w:val="00FA206C"/>
    <w:rsid w:val="00FA63BA"/>
    <w:rsid w:val="00FB3FBF"/>
    <w:rsid w:val="00FB5611"/>
    <w:rsid w:val="00FB6066"/>
    <w:rsid w:val="00FB701E"/>
    <w:rsid w:val="00FC0F20"/>
    <w:rsid w:val="00FC5B54"/>
    <w:rsid w:val="00FD2267"/>
    <w:rsid w:val="00FD35CE"/>
    <w:rsid w:val="00FD7B4A"/>
    <w:rsid w:val="00FE385C"/>
    <w:rsid w:val="00FE7DE5"/>
    <w:rsid w:val="00FF0884"/>
    <w:rsid w:val="00FF13E3"/>
    <w:rsid w:val="00FF7C4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77F0"/>
  <w15:docId w15:val="{9CA1EF39-B796-443B-AC8D-F92DAEA6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492020"/>
    <w:rPr>
      <w:sz w:val="16"/>
      <w:szCs w:val="16"/>
    </w:rPr>
  </w:style>
  <w:style w:type="paragraph" w:styleId="CommentText">
    <w:name w:val="annotation text"/>
    <w:basedOn w:val="Normal"/>
    <w:link w:val="CommentTextChar"/>
    <w:uiPriority w:val="99"/>
    <w:semiHidden/>
    <w:unhideWhenUsed/>
    <w:rsid w:val="00492020"/>
    <w:rPr>
      <w:sz w:val="20"/>
      <w:szCs w:val="20"/>
    </w:rPr>
  </w:style>
  <w:style w:type="character" w:customStyle="1" w:styleId="CommentTextChar">
    <w:name w:val="Comment Text Char"/>
    <w:basedOn w:val="DefaultParagraphFont"/>
    <w:link w:val="CommentText"/>
    <w:uiPriority w:val="99"/>
    <w:semiHidden/>
    <w:rsid w:val="00492020"/>
    <w:rPr>
      <w:rFonts w:ascii="Times New Roman"/>
      <w:sz w:val="20"/>
      <w:szCs w:val="20"/>
      <w:lang w:val="tr-TR" w:eastAsia="tr-TR"/>
    </w:rPr>
  </w:style>
  <w:style w:type="paragraph" w:styleId="CommentSubject">
    <w:name w:val="annotation subject"/>
    <w:basedOn w:val="CommentText"/>
    <w:next w:val="CommentText"/>
    <w:link w:val="CommentSubjectChar"/>
    <w:uiPriority w:val="99"/>
    <w:semiHidden/>
    <w:unhideWhenUsed/>
    <w:rsid w:val="00492020"/>
    <w:rPr>
      <w:b/>
      <w:bCs/>
    </w:rPr>
  </w:style>
  <w:style w:type="character" w:customStyle="1" w:styleId="CommentSubjectChar">
    <w:name w:val="Comment Subject Char"/>
    <w:basedOn w:val="CommentTextChar"/>
    <w:link w:val="CommentSubject"/>
    <w:uiPriority w:val="99"/>
    <w:semiHidden/>
    <w:rsid w:val="00492020"/>
    <w:rPr>
      <w:rFonts w:ascii="Times New Roman"/>
      <w:b/>
      <w:bCs/>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1704">
      <w:bodyDiv w:val="1"/>
      <w:marLeft w:val="0"/>
      <w:marRight w:val="0"/>
      <w:marTop w:val="0"/>
      <w:marBottom w:val="0"/>
      <w:divBdr>
        <w:top w:val="none" w:sz="0" w:space="0" w:color="auto"/>
        <w:left w:val="none" w:sz="0" w:space="0" w:color="auto"/>
        <w:bottom w:val="none" w:sz="0" w:space="0" w:color="auto"/>
        <w:right w:val="none" w:sz="0" w:space="0" w:color="auto"/>
      </w:divBdr>
    </w:div>
    <w:div w:id="46809400">
      <w:bodyDiv w:val="1"/>
      <w:marLeft w:val="0"/>
      <w:marRight w:val="0"/>
      <w:marTop w:val="0"/>
      <w:marBottom w:val="0"/>
      <w:divBdr>
        <w:top w:val="none" w:sz="0" w:space="0" w:color="auto"/>
        <w:left w:val="none" w:sz="0" w:space="0" w:color="auto"/>
        <w:bottom w:val="none" w:sz="0" w:space="0" w:color="auto"/>
        <w:right w:val="none" w:sz="0" w:space="0" w:color="auto"/>
      </w:divBdr>
    </w:div>
    <w:div w:id="99107687">
      <w:bodyDiv w:val="1"/>
      <w:marLeft w:val="0"/>
      <w:marRight w:val="0"/>
      <w:marTop w:val="0"/>
      <w:marBottom w:val="0"/>
      <w:divBdr>
        <w:top w:val="none" w:sz="0" w:space="0" w:color="auto"/>
        <w:left w:val="none" w:sz="0" w:space="0" w:color="auto"/>
        <w:bottom w:val="none" w:sz="0" w:space="0" w:color="auto"/>
        <w:right w:val="none" w:sz="0" w:space="0" w:color="auto"/>
      </w:divBdr>
    </w:div>
    <w:div w:id="197817056">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222954893">
      <w:bodyDiv w:val="1"/>
      <w:marLeft w:val="0"/>
      <w:marRight w:val="0"/>
      <w:marTop w:val="0"/>
      <w:marBottom w:val="0"/>
      <w:divBdr>
        <w:top w:val="none" w:sz="0" w:space="0" w:color="auto"/>
        <w:left w:val="none" w:sz="0" w:space="0" w:color="auto"/>
        <w:bottom w:val="none" w:sz="0" w:space="0" w:color="auto"/>
        <w:right w:val="none" w:sz="0" w:space="0" w:color="auto"/>
      </w:divBdr>
    </w:div>
    <w:div w:id="249626825">
      <w:bodyDiv w:val="1"/>
      <w:marLeft w:val="0"/>
      <w:marRight w:val="0"/>
      <w:marTop w:val="0"/>
      <w:marBottom w:val="0"/>
      <w:divBdr>
        <w:top w:val="none" w:sz="0" w:space="0" w:color="auto"/>
        <w:left w:val="none" w:sz="0" w:space="0" w:color="auto"/>
        <w:bottom w:val="none" w:sz="0" w:space="0" w:color="auto"/>
        <w:right w:val="none" w:sz="0" w:space="0" w:color="auto"/>
      </w:divBdr>
    </w:div>
    <w:div w:id="504173187">
      <w:bodyDiv w:val="1"/>
      <w:marLeft w:val="0"/>
      <w:marRight w:val="0"/>
      <w:marTop w:val="0"/>
      <w:marBottom w:val="0"/>
      <w:divBdr>
        <w:top w:val="none" w:sz="0" w:space="0" w:color="auto"/>
        <w:left w:val="none" w:sz="0" w:space="0" w:color="auto"/>
        <w:bottom w:val="none" w:sz="0" w:space="0" w:color="auto"/>
        <w:right w:val="none" w:sz="0" w:space="0" w:color="auto"/>
      </w:divBdr>
    </w:div>
    <w:div w:id="520171166">
      <w:bodyDiv w:val="1"/>
      <w:marLeft w:val="0"/>
      <w:marRight w:val="0"/>
      <w:marTop w:val="0"/>
      <w:marBottom w:val="0"/>
      <w:divBdr>
        <w:top w:val="none" w:sz="0" w:space="0" w:color="auto"/>
        <w:left w:val="none" w:sz="0" w:space="0" w:color="auto"/>
        <w:bottom w:val="none" w:sz="0" w:space="0" w:color="auto"/>
        <w:right w:val="none" w:sz="0" w:space="0" w:color="auto"/>
      </w:divBdr>
    </w:div>
    <w:div w:id="556550228">
      <w:bodyDiv w:val="1"/>
      <w:marLeft w:val="0"/>
      <w:marRight w:val="0"/>
      <w:marTop w:val="0"/>
      <w:marBottom w:val="0"/>
      <w:divBdr>
        <w:top w:val="none" w:sz="0" w:space="0" w:color="auto"/>
        <w:left w:val="none" w:sz="0" w:space="0" w:color="auto"/>
        <w:bottom w:val="none" w:sz="0" w:space="0" w:color="auto"/>
        <w:right w:val="none" w:sz="0" w:space="0" w:color="auto"/>
      </w:divBdr>
    </w:div>
    <w:div w:id="584613792">
      <w:bodyDiv w:val="1"/>
      <w:marLeft w:val="0"/>
      <w:marRight w:val="0"/>
      <w:marTop w:val="0"/>
      <w:marBottom w:val="0"/>
      <w:divBdr>
        <w:top w:val="none" w:sz="0" w:space="0" w:color="auto"/>
        <w:left w:val="none" w:sz="0" w:space="0" w:color="auto"/>
        <w:bottom w:val="none" w:sz="0" w:space="0" w:color="auto"/>
        <w:right w:val="none" w:sz="0" w:space="0" w:color="auto"/>
      </w:divBdr>
    </w:div>
    <w:div w:id="592318087">
      <w:bodyDiv w:val="1"/>
      <w:marLeft w:val="0"/>
      <w:marRight w:val="0"/>
      <w:marTop w:val="0"/>
      <w:marBottom w:val="0"/>
      <w:divBdr>
        <w:top w:val="none" w:sz="0" w:space="0" w:color="auto"/>
        <w:left w:val="none" w:sz="0" w:space="0" w:color="auto"/>
        <w:bottom w:val="none" w:sz="0" w:space="0" w:color="auto"/>
        <w:right w:val="none" w:sz="0" w:space="0" w:color="auto"/>
      </w:divBdr>
    </w:div>
    <w:div w:id="684596504">
      <w:bodyDiv w:val="1"/>
      <w:marLeft w:val="0"/>
      <w:marRight w:val="0"/>
      <w:marTop w:val="0"/>
      <w:marBottom w:val="0"/>
      <w:divBdr>
        <w:top w:val="none" w:sz="0" w:space="0" w:color="auto"/>
        <w:left w:val="none" w:sz="0" w:space="0" w:color="auto"/>
        <w:bottom w:val="none" w:sz="0" w:space="0" w:color="auto"/>
        <w:right w:val="none" w:sz="0" w:space="0" w:color="auto"/>
      </w:divBdr>
    </w:div>
    <w:div w:id="749355561">
      <w:bodyDiv w:val="1"/>
      <w:marLeft w:val="0"/>
      <w:marRight w:val="0"/>
      <w:marTop w:val="0"/>
      <w:marBottom w:val="0"/>
      <w:divBdr>
        <w:top w:val="none" w:sz="0" w:space="0" w:color="auto"/>
        <w:left w:val="none" w:sz="0" w:space="0" w:color="auto"/>
        <w:bottom w:val="none" w:sz="0" w:space="0" w:color="auto"/>
        <w:right w:val="none" w:sz="0" w:space="0" w:color="auto"/>
      </w:divBdr>
    </w:div>
    <w:div w:id="789515289">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07037378">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16864096">
      <w:bodyDiv w:val="1"/>
      <w:marLeft w:val="0"/>
      <w:marRight w:val="0"/>
      <w:marTop w:val="0"/>
      <w:marBottom w:val="0"/>
      <w:divBdr>
        <w:top w:val="none" w:sz="0" w:space="0" w:color="auto"/>
        <w:left w:val="none" w:sz="0" w:space="0" w:color="auto"/>
        <w:bottom w:val="none" w:sz="0" w:space="0" w:color="auto"/>
        <w:right w:val="none" w:sz="0" w:space="0" w:color="auto"/>
      </w:divBdr>
    </w:div>
    <w:div w:id="953171385">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003507363">
      <w:bodyDiv w:val="1"/>
      <w:marLeft w:val="0"/>
      <w:marRight w:val="0"/>
      <w:marTop w:val="0"/>
      <w:marBottom w:val="0"/>
      <w:divBdr>
        <w:top w:val="none" w:sz="0" w:space="0" w:color="auto"/>
        <w:left w:val="none" w:sz="0" w:space="0" w:color="auto"/>
        <w:bottom w:val="none" w:sz="0" w:space="0" w:color="auto"/>
        <w:right w:val="none" w:sz="0" w:space="0" w:color="auto"/>
      </w:divBdr>
    </w:div>
    <w:div w:id="1039205501">
      <w:bodyDiv w:val="1"/>
      <w:marLeft w:val="0"/>
      <w:marRight w:val="0"/>
      <w:marTop w:val="0"/>
      <w:marBottom w:val="0"/>
      <w:divBdr>
        <w:top w:val="none" w:sz="0" w:space="0" w:color="auto"/>
        <w:left w:val="none" w:sz="0" w:space="0" w:color="auto"/>
        <w:bottom w:val="none" w:sz="0" w:space="0" w:color="auto"/>
        <w:right w:val="none" w:sz="0" w:space="0" w:color="auto"/>
      </w:divBdr>
    </w:div>
    <w:div w:id="1076124176">
      <w:bodyDiv w:val="1"/>
      <w:marLeft w:val="0"/>
      <w:marRight w:val="0"/>
      <w:marTop w:val="0"/>
      <w:marBottom w:val="0"/>
      <w:divBdr>
        <w:top w:val="none" w:sz="0" w:space="0" w:color="auto"/>
        <w:left w:val="none" w:sz="0" w:space="0" w:color="auto"/>
        <w:bottom w:val="none" w:sz="0" w:space="0" w:color="auto"/>
        <w:right w:val="none" w:sz="0" w:space="0" w:color="auto"/>
      </w:divBdr>
    </w:div>
    <w:div w:id="1112165418">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54630808">
      <w:bodyDiv w:val="1"/>
      <w:marLeft w:val="0"/>
      <w:marRight w:val="0"/>
      <w:marTop w:val="0"/>
      <w:marBottom w:val="0"/>
      <w:divBdr>
        <w:top w:val="none" w:sz="0" w:space="0" w:color="auto"/>
        <w:left w:val="none" w:sz="0" w:space="0" w:color="auto"/>
        <w:bottom w:val="none" w:sz="0" w:space="0" w:color="auto"/>
        <w:right w:val="none" w:sz="0" w:space="0" w:color="auto"/>
      </w:divBdr>
    </w:div>
    <w:div w:id="1282493043">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62439212">
      <w:bodyDiv w:val="1"/>
      <w:marLeft w:val="0"/>
      <w:marRight w:val="0"/>
      <w:marTop w:val="0"/>
      <w:marBottom w:val="0"/>
      <w:divBdr>
        <w:top w:val="none" w:sz="0" w:space="0" w:color="auto"/>
        <w:left w:val="none" w:sz="0" w:space="0" w:color="auto"/>
        <w:bottom w:val="none" w:sz="0" w:space="0" w:color="auto"/>
        <w:right w:val="none" w:sz="0" w:space="0" w:color="auto"/>
      </w:divBdr>
    </w:div>
    <w:div w:id="1375738626">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595549677">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64891248">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01661388">
      <w:bodyDiv w:val="1"/>
      <w:marLeft w:val="0"/>
      <w:marRight w:val="0"/>
      <w:marTop w:val="0"/>
      <w:marBottom w:val="0"/>
      <w:divBdr>
        <w:top w:val="none" w:sz="0" w:space="0" w:color="auto"/>
        <w:left w:val="none" w:sz="0" w:space="0" w:color="auto"/>
        <w:bottom w:val="none" w:sz="0" w:space="0" w:color="auto"/>
        <w:right w:val="none" w:sz="0" w:space="0" w:color="auto"/>
      </w:divBdr>
    </w:div>
    <w:div w:id="1790081860">
      <w:bodyDiv w:val="1"/>
      <w:marLeft w:val="0"/>
      <w:marRight w:val="0"/>
      <w:marTop w:val="0"/>
      <w:marBottom w:val="0"/>
      <w:divBdr>
        <w:top w:val="none" w:sz="0" w:space="0" w:color="auto"/>
        <w:left w:val="none" w:sz="0" w:space="0" w:color="auto"/>
        <w:bottom w:val="none" w:sz="0" w:space="0" w:color="auto"/>
        <w:right w:val="none" w:sz="0" w:space="0" w:color="auto"/>
      </w:divBdr>
    </w:div>
    <w:div w:id="1831364171">
      <w:bodyDiv w:val="1"/>
      <w:marLeft w:val="0"/>
      <w:marRight w:val="0"/>
      <w:marTop w:val="0"/>
      <w:marBottom w:val="0"/>
      <w:divBdr>
        <w:top w:val="none" w:sz="0" w:space="0" w:color="auto"/>
        <w:left w:val="none" w:sz="0" w:space="0" w:color="auto"/>
        <w:bottom w:val="none" w:sz="0" w:space="0" w:color="auto"/>
        <w:right w:val="none" w:sz="0" w:space="0" w:color="auto"/>
      </w:divBdr>
    </w:div>
    <w:div w:id="1879394879">
      <w:bodyDiv w:val="1"/>
      <w:marLeft w:val="0"/>
      <w:marRight w:val="0"/>
      <w:marTop w:val="0"/>
      <w:marBottom w:val="0"/>
      <w:divBdr>
        <w:top w:val="none" w:sz="0" w:space="0" w:color="auto"/>
        <w:left w:val="none" w:sz="0" w:space="0" w:color="auto"/>
        <w:bottom w:val="none" w:sz="0" w:space="0" w:color="auto"/>
        <w:right w:val="none" w:sz="0" w:space="0" w:color="auto"/>
      </w:divBdr>
    </w:div>
    <w:div w:id="1900938190">
      <w:bodyDiv w:val="1"/>
      <w:marLeft w:val="0"/>
      <w:marRight w:val="0"/>
      <w:marTop w:val="0"/>
      <w:marBottom w:val="0"/>
      <w:divBdr>
        <w:top w:val="none" w:sz="0" w:space="0" w:color="auto"/>
        <w:left w:val="none" w:sz="0" w:space="0" w:color="auto"/>
        <w:bottom w:val="none" w:sz="0" w:space="0" w:color="auto"/>
        <w:right w:val="none" w:sz="0" w:space="0" w:color="auto"/>
      </w:divBdr>
    </w:div>
    <w:div w:id="1922791543">
      <w:bodyDiv w:val="1"/>
      <w:marLeft w:val="0"/>
      <w:marRight w:val="0"/>
      <w:marTop w:val="0"/>
      <w:marBottom w:val="0"/>
      <w:divBdr>
        <w:top w:val="none" w:sz="0" w:space="0" w:color="auto"/>
        <w:left w:val="none" w:sz="0" w:space="0" w:color="auto"/>
        <w:bottom w:val="none" w:sz="0" w:space="0" w:color="auto"/>
        <w:right w:val="none" w:sz="0" w:space="0" w:color="auto"/>
      </w:divBdr>
    </w:div>
    <w:div w:id="1923486722">
      <w:bodyDiv w:val="1"/>
      <w:marLeft w:val="0"/>
      <w:marRight w:val="0"/>
      <w:marTop w:val="0"/>
      <w:marBottom w:val="0"/>
      <w:divBdr>
        <w:top w:val="none" w:sz="0" w:space="0" w:color="auto"/>
        <w:left w:val="none" w:sz="0" w:space="0" w:color="auto"/>
        <w:bottom w:val="none" w:sz="0" w:space="0" w:color="auto"/>
        <w:right w:val="none" w:sz="0" w:space="0" w:color="auto"/>
      </w:divBdr>
    </w:div>
    <w:div w:id="1931503990">
      <w:bodyDiv w:val="1"/>
      <w:marLeft w:val="0"/>
      <w:marRight w:val="0"/>
      <w:marTop w:val="0"/>
      <w:marBottom w:val="0"/>
      <w:divBdr>
        <w:top w:val="none" w:sz="0" w:space="0" w:color="auto"/>
        <w:left w:val="none" w:sz="0" w:space="0" w:color="auto"/>
        <w:bottom w:val="none" w:sz="0" w:space="0" w:color="auto"/>
        <w:right w:val="none" w:sz="0" w:space="0" w:color="auto"/>
      </w:divBdr>
    </w:div>
    <w:div w:id="1958877341">
      <w:bodyDiv w:val="1"/>
      <w:marLeft w:val="0"/>
      <w:marRight w:val="0"/>
      <w:marTop w:val="0"/>
      <w:marBottom w:val="0"/>
      <w:divBdr>
        <w:top w:val="none" w:sz="0" w:space="0" w:color="auto"/>
        <w:left w:val="none" w:sz="0" w:space="0" w:color="auto"/>
        <w:bottom w:val="none" w:sz="0" w:space="0" w:color="auto"/>
        <w:right w:val="none" w:sz="0" w:space="0" w:color="auto"/>
      </w:divBdr>
    </w:div>
    <w:div w:id="1984043899">
      <w:bodyDiv w:val="1"/>
      <w:marLeft w:val="0"/>
      <w:marRight w:val="0"/>
      <w:marTop w:val="0"/>
      <w:marBottom w:val="0"/>
      <w:divBdr>
        <w:top w:val="none" w:sz="0" w:space="0" w:color="auto"/>
        <w:left w:val="none" w:sz="0" w:space="0" w:color="auto"/>
        <w:bottom w:val="none" w:sz="0" w:space="0" w:color="auto"/>
        <w:right w:val="none" w:sz="0" w:space="0" w:color="auto"/>
      </w:divBdr>
    </w:div>
    <w:div w:id="1990090732">
      <w:bodyDiv w:val="1"/>
      <w:marLeft w:val="0"/>
      <w:marRight w:val="0"/>
      <w:marTop w:val="0"/>
      <w:marBottom w:val="0"/>
      <w:divBdr>
        <w:top w:val="none" w:sz="0" w:space="0" w:color="auto"/>
        <w:left w:val="none" w:sz="0" w:space="0" w:color="auto"/>
        <w:bottom w:val="none" w:sz="0" w:space="0" w:color="auto"/>
        <w:right w:val="none" w:sz="0" w:space="0" w:color="auto"/>
      </w:divBdr>
    </w:div>
    <w:div w:id="20707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oleObject" Target="https://bahcesehir-my.sharepoint.com/personal/ozan_bakis_eas_bau_edu_tr/Documents/betam_ortak/buyume_degerlendirme/buy_deg_tablola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bahcesehir-my.sharepoint.com/personal/ozan_bakis_eas_bau_edu_tr/Documents/betam_ortak/buyume_degerlendirme/buy_deg_tablolar.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bahcesehir-my.sharepoint.com/personal/ozan_bakis_eas_bau_edu_tr/Documents/betam_ortak/buyume_degerlendirme/buy_deg_tablolar.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Pt>
            <c:idx val="0"/>
            <c:invertIfNegative val="0"/>
            <c:bubble3D val="0"/>
            <c:extLst>
              <c:ext xmlns:c16="http://schemas.microsoft.com/office/drawing/2014/chart" uri="{C3380CC4-5D6E-409C-BE32-E72D297353CC}">
                <c16:uniqueId val="{00000001-63BD-4524-806A-CED92C3751B9}"/>
              </c:ext>
            </c:extLst>
          </c:dPt>
          <c:dPt>
            <c:idx val="1"/>
            <c:invertIfNegative val="0"/>
            <c:bubble3D val="0"/>
            <c:extLst>
              <c:ext xmlns:c16="http://schemas.microsoft.com/office/drawing/2014/chart" uri="{C3380CC4-5D6E-409C-BE32-E72D297353CC}">
                <c16:uniqueId val="{00000003-63BD-4524-806A-CED92C3751B9}"/>
              </c:ext>
            </c:extLst>
          </c:dPt>
          <c:dPt>
            <c:idx val="2"/>
            <c:invertIfNegative val="0"/>
            <c:bubble3D val="0"/>
            <c:extLst>
              <c:ext xmlns:c16="http://schemas.microsoft.com/office/drawing/2014/chart" uri="{C3380CC4-5D6E-409C-BE32-E72D297353CC}">
                <c16:uniqueId val="{00000005-63BD-4524-806A-CED92C3751B9}"/>
              </c:ext>
            </c:extLst>
          </c:dPt>
          <c:dPt>
            <c:idx val="3"/>
            <c:invertIfNegative val="0"/>
            <c:bubble3D val="0"/>
            <c:spPr>
              <a:solidFill>
                <a:srgbClr val="FF0000"/>
              </a:solidFill>
              <a:ln>
                <a:noFill/>
              </a:ln>
              <a:effectLst/>
            </c:spPr>
            <c:extLst>
              <c:ext xmlns:c16="http://schemas.microsoft.com/office/drawing/2014/chart" uri="{C3380CC4-5D6E-409C-BE32-E72D297353CC}">
                <c16:uniqueId val="{00000007-63BD-4524-806A-CED92C3751B9}"/>
              </c:ext>
            </c:extLst>
          </c:dPt>
          <c:dPt>
            <c:idx val="4"/>
            <c:invertIfNegative val="0"/>
            <c:bubble3D val="0"/>
            <c:extLst>
              <c:ext xmlns:c16="http://schemas.microsoft.com/office/drawing/2014/chart" uri="{C3380CC4-5D6E-409C-BE32-E72D297353CC}">
                <c16:uniqueId val="{00000009-63BD-4524-806A-CED92C3751B9}"/>
              </c:ext>
            </c:extLst>
          </c:dPt>
          <c:dPt>
            <c:idx val="5"/>
            <c:invertIfNegative val="0"/>
            <c:bubble3D val="0"/>
            <c:spPr>
              <a:solidFill>
                <a:srgbClr val="FF0000"/>
              </a:solidFill>
              <a:ln>
                <a:noFill/>
              </a:ln>
              <a:effectLst/>
            </c:spPr>
            <c:extLst>
              <c:ext xmlns:c16="http://schemas.microsoft.com/office/drawing/2014/chart" uri="{C3380CC4-5D6E-409C-BE32-E72D297353CC}">
                <c16:uniqueId val="{0000000B-63BD-4524-806A-CED92C3751B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'2022Q1'!$B$4:$B$9</c:f>
              <c:strCache>
                <c:ptCount val="6"/>
                <c:pt idx="0">
                  <c:v>Özel Tüketim</c:v>
                </c:pt>
                <c:pt idx="1">
                  <c:v>Kamu Tüketimi</c:v>
                </c:pt>
                <c:pt idx="2">
                  <c:v>Yatırım</c:v>
                </c:pt>
                <c:pt idx="3">
                  <c:v>Stok Değişimi</c:v>
                </c:pt>
                <c:pt idx="4">
                  <c:v>İhracat</c:v>
                </c:pt>
                <c:pt idx="5">
                  <c:v>İthalat</c:v>
                </c:pt>
              </c:strCache>
            </c:strRef>
          </c:cat>
          <c:val>
            <c:numRef>
              <c:f>'2022Q1'!$F$4:$F$9</c:f>
              <c:numCache>
                <c:formatCode>0.0</c:formatCode>
                <c:ptCount val="6"/>
                <c:pt idx="0">
                  <c:v>10.513147221971151</c:v>
                </c:pt>
                <c:pt idx="1">
                  <c:v>9.0095107035541022E-2</c:v>
                </c:pt>
                <c:pt idx="2">
                  <c:v>0.38286925552476819</c:v>
                </c:pt>
                <c:pt idx="3">
                  <c:v>-8.5913734802429005</c:v>
                </c:pt>
                <c:pt idx="4">
                  <c:v>5.7470478075429572</c:v>
                </c:pt>
                <c:pt idx="5">
                  <c:v>-0.79938089335735396</c:v>
                </c:pt>
              </c:numCache>
            </c:numRef>
          </c:val>
          <c:extLst>
            <c:ext xmlns:c16="http://schemas.microsoft.com/office/drawing/2014/chart" uri="{C3380CC4-5D6E-409C-BE32-E72D297353CC}">
              <c16:uniqueId val="{0000000C-63BD-4524-806A-CED92C3751B9}"/>
            </c:ext>
          </c:extLst>
        </c:ser>
        <c:dLbls>
          <c:dLblPos val="outEnd"/>
          <c:showLegendKey val="0"/>
          <c:showVal val="1"/>
          <c:showCatName val="0"/>
          <c:showSerName val="0"/>
          <c:showPercent val="0"/>
          <c:showBubbleSize val="0"/>
        </c:dLbls>
        <c:gapWidth val="219"/>
        <c:overlap val="-27"/>
        <c:axId val="1487158688"/>
        <c:axId val="1328452304"/>
      </c:barChart>
      <c:catAx>
        <c:axId val="1487158688"/>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a:softEdge rad="0"/>
          </a:effectLst>
        </c:spPr>
        <c:txPr>
          <a:bodyPr rot="0" spcFirstLastPara="1" vertOverflow="ellipsis" wrap="square" anchor="b"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8452304"/>
        <c:crosses val="autoZero"/>
        <c:auto val="1"/>
        <c:lblAlgn val="ctr"/>
        <c:lblOffset val="100"/>
        <c:noMultiLvlLbl val="0"/>
      </c:catAx>
      <c:valAx>
        <c:axId val="132845230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15868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rgbClr val="0070C0"/>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1-823E-43F9-86E1-F234F83882F8}"/>
              </c:ext>
            </c:extLst>
          </c:dPt>
          <c:dPt>
            <c:idx val="2"/>
            <c:invertIfNegative val="0"/>
            <c:bubble3D val="0"/>
            <c:spPr>
              <a:solidFill>
                <a:schemeClr val="accent1"/>
              </a:solidFill>
              <a:ln>
                <a:noFill/>
              </a:ln>
              <a:effectLst/>
            </c:spPr>
            <c:extLst>
              <c:ext xmlns:c16="http://schemas.microsoft.com/office/drawing/2014/chart" uri="{C3380CC4-5D6E-409C-BE32-E72D297353CC}">
                <c16:uniqueId val="{00000003-823E-43F9-86E1-F234F83882F8}"/>
              </c:ext>
            </c:extLst>
          </c:dPt>
          <c:dPt>
            <c:idx val="3"/>
            <c:invertIfNegative val="0"/>
            <c:bubble3D val="0"/>
            <c:spPr>
              <a:solidFill>
                <a:srgbClr val="0070C0"/>
              </a:solidFill>
              <a:ln>
                <a:noFill/>
              </a:ln>
              <a:effectLst/>
            </c:spPr>
            <c:extLst>
              <c:ext xmlns:c16="http://schemas.microsoft.com/office/drawing/2014/chart" uri="{C3380CC4-5D6E-409C-BE32-E72D297353CC}">
                <c16:uniqueId val="{00000005-823E-43F9-86E1-F234F83882F8}"/>
              </c:ext>
            </c:extLst>
          </c:dPt>
          <c:dPt>
            <c:idx val="4"/>
            <c:invertIfNegative val="0"/>
            <c:bubble3D val="0"/>
            <c:spPr>
              <a:solidFill>
                <a:schemeClr val="accent1"/>
              </a:solidFill>
              <a:ln>
                <a:noFill/>
              </a:ln>
              <a:effectLst/>
            </c:spPr>
            <c:extLst>
              <c:ext xmlns:c16="http://schemas.microsoft.com/office/drawing/2014/chart" uri="{C3380CC4-5D6E-409C-BE32-E72D297353CC}">
                <c16:uniqueId val="{00000007-823E-43F9-86E1-F234F83882F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('2022Q1'!$B$4:$B$6,'2022Q1'!$B$8:$B$10)</c:f>
              <c:strCache>
                <c:ptCount val="6"/>
                <c:pt idx="0">
                  <c:v>Özel Tüketim</c:v>
                </c:pt>
                <c:pt idx="1">
                  <c:v>Kamu Tüketimi</c:v>
                </c:pt>
                <c:pt idx="2">
                  <c:v>Yatırım</c:v>
                </c:pt>
                <c:pt idx="3">
                  <c:v>İhracat</c:v>
                </c:pt>
                <c:pt idx="4">
                  <c:v>İthalat</c:v>
                </c:pt>
                <c:pt idx="5">
                  <c:v>GSYH</c:v>
                </c:pt>
              </c:strCache>
            </c:strRef>
          </c:cat>
          <c:val>
            <c:numRef>
              <c:f>('2022Q1'!$E$4:$E$6,'2022Q1'!$E$8:$E$10)</c:f>
              <c:numCache>
                <c:formatCode>0.0</c:formatCode>
                <c:ptCount val="6"/>
                <c:pt idx="0">
                  <c:v>19.493934492552057</c:v>
                </c:pt>
                <c:pt idx="1">
                  <c:v>0.88436953196990853</c:v>
                </c:pt>
                <c:pt idx="2">
                  <c:v>1.0784686153478829</c:v>
                </c:pt>
                <c:pt idx="3">
                  <c:v>16.771531441657395</c:v>
                </c:pt>
                <c:pt idx="4">
                  <c:v>2.3442214689190832</c:v>
                </c:pt>
                <c:pt idx="5">
                  <c:v>7.3424050184741407</c:v>
                </c:pt>
              </c:numCache>
            </c:numRef>
          </c:val>
          <c:extLst>
            <c:ext xmlns:c16="http://schemas.microsoft.com/office/drawing/2014/chart" uri="{C3380CC4-5D6E-409C-BE32-E72D297353CC}">
              <c16:uniqueId val="{00000008-823E-43F9-86E1-F234F83882F8}"/>
            </c:ext>
          </c:extLst>
        </c:ser>
        <c:dLbls>
          <c:dLblPos val="outEnd"/>
          <c:showLegendKey val="0"/>
          <c:showVal val="1"/>
          <c:showCatName val="0"/>
          <c:showSerName val="0"/>
          <c:showPercent val="0"/>
          <c:showBubbleSize val="0"/>
        </c:dLbls>
        <c:gapWidth val="219"/>
        <c:overlap val="-27"/>
        <c:axId val="1487485792"/>
        <c:axId val="1486137568"/>
      </c:barChart>
      <c:catAx>
        <c:axId val="148748579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6137568"/>
        <c:crosses val="autoZero"/>
        <c:auto val="1"/>
        <c:lblAlgn val="ctr"/>
        <c:lblOffset val="100"/>
        <c:noMultiLvlLbl val="0"/>
      </c:catAx>
      <c:valAx>
        <c:axId val="1486137568"/>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4857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'2022Q1'!$E$29</c:f>
              <c:strCache>
                <c:ptCount val="1"/>
                <c:pt idx="0">
                  <c:v>Yıllık değişim</c:v>
                </c:pt>
              </c:strCache>
            </c:strRef>
          </c:tx>
          <c:spPr>
            <a:solidFill>
              <a:schemeClr val="accent1"/>
            </a:solidFill>
            <a:ln>
              <a:noFill/>
            </a:ln>
            <a:effectLst/>
          </c:spPr>
          <c:invertIfNegative val="0"/>
          <c:cat>
            <c:strRef>
              <c:f>'2022Q1'!$A$35:$A$58</c:f>
              <c:strCache>
                <c:ptCount val="24"/>
                <c:pt idx="0">
                  <c:v>2016Q2</c:v>
                </c:pt>
                <c:pt idx="1">
                  <c:v>2016Q3</c:v>
                </c:pt>
                <c:pt idx="2">
                  <c:v>2016Q4</c:v>
                </c:pt>
                <c:pt idx="3">
                  <c:v>2017Q1</c:v>
                </c:pt>
                <c:pt idx="4">
                  <c:v>2017Q2</c:v>
                </c:pt>
                <c:pt idx="5">
                  <c:v>2017Q3</c:v>
                </c:pt>
                <c:pt idx="6">
                  <c:v>2017Q4</c:v>
                </c:pt>
                <c:pt idx="7">
                  <c:v>2018Q1</c:v>
                </c:pt>
                <c:pt idx="8">
                  <c:v>2018Q2</c:v>
                </c:pt>
                <c:pt idx="9">
                  <c:v>2018Q3</c:v>
                </c:pt>
                <c:pt idx="10">
                  <c:v>2018Q4</c:v>
                </c:pt>
                <c:pt idx="11">
                  <c:v>2019Q1</c:v>
                </c:pt>
                <c:pt idx="12">
                  <c:v>2019Q2</c:v>
                </c:pt>
                <c:pt idx="13">
                  <c:v>2019Q3</c:v>
                </c:pt>
                <c:pt idx="14">
                  <c:v>2019Q4</c:v>
                </c:pt>
                <c:pt idx="15">
                  <c:v>2020Q1</c:v>
                </c:pt>
                <c:pt idx="16">
                  <c:v>2020Q2</c:v>
                </c:pt>
                <c:pt idx="17">
                  <c:v>2020Q3</c:v>
                </c:pt>
                <c:pt idx="18">
                  <c:v>2020Q4</c:v>
                </c:pt>
                <c:pt idx="19">
                  <c:v>2021Q1</c:v>
                </c:pt>
                <c:pt idx="20">
                  <c:v>2021Q2</c:v>
                </c:pt>
                <c:pt idx="21">
                  <c:v>2021Q3</c:v>
                </c:pt>
                <c:pt idx="22">
                  <c:v>2021Q4</c:v>
                </c:pt>
                <c:pt idx="23">
                  <c:v>2022Q1</c:v>
                </c:pt>
              </c:strCache>
            </c:strRef>
          </c:cat>
          <c:val>
            <c:numRef>
              <c:f>'2022Q1'!$E$35:$E$58</c:f>
              <c:numCache>
                <c:formatCode>0.0</c:formatCode>
                <c:ptCount val="24"/>
                <c:pt idx="0">
                  <c:v>5.0029753619351913</c:v>
                </c:pt>
                <c:pt idx="1">
                  <c:v>-0.66916264538373627</c:v>
                </c:pt>
                <c:pt idx="2">
                  <c:v>4.4311945807482322</c:v>
                </c:pt>
                <c:pt idx="3">
                  <c:v>5.2908425432556472</c:v>
                </c:pt>
                <c:pt idx="4">
                  <c:v>5.3018811864605109</c:v>
                </c:pt>
                <c:pt idx="5">
                  <c:v>11.790057801663067</c:v>
                </c:pt>
                <c:pt idx="6">
                  <c:v>7.268453394698593</c:v>
                </c:pt>
                <c:pt idx="7">
                  <c:v>7.4790849570820495</c:v>
                </c:pt>
                <c:pt idx="8">
                  <c:v>5.8373529623979348</c:v>
                </c:pt>
                <c:pt idx="9">
                  <c:v>2.4970675554269572</c:v>
                </c:pt>
                <c:pt idx="10">
                  <c:v>-2.6385699021583275</c:v>
                </c:pt>
                <c:pt idx="11">
                  <c:v>-2.4614408736860049</c:v>
                </c:pt>
                <c:pt idx="12">
                  <c:v>-1.5675408224043341</c:v>
                </c:pt>
                <c:pt idx="13">
                  <c:v>1.0169684352881569</c:v>
                </c:pt>
                <c:pt idx="14">
                  <c:v>6.0479310481225568</c:v>
                </c:pt>
                <c:pt idx="15">
                  <c:v>4.3526826239118854</c:v>
                </c:pt>
                <c:pt idx="16">
                  <c:v>-10.404267872147443</c:v>
                </c:pt>
                <c:pt idx="17">
                  <c:v>6.3336040005007144</c:v>
                </c:pt>
                <c:pt idx="18">
                  <c:v>6.1618906188610767</c:v>
                </c:pt>
                <c:pt idx="19">
                  <c:v>7.2506137476729071</c:v>
                </c:pt>
                <c:pt idx="20">
                  <c:v>21.893344305534622</c:v>
                </c:pt>
                <c:pt idx="21">
                  <c:v>7.5188155525066858</c:v>
                </c:pt>
                <c:pt idx="22">
                  <c:v>9.1367918868887621</c:v>
                </c:pt>
                <c:pt idx="23">
                  <c:v>7.3424050184741407</c:v>
                </c:pt>
              </c:numCache>
            </c:numRef>
          </c:val>
          <c:extLst>
            <c:ext xmlns:c16="http://schemas.microsoft.com/office/drawing/2014/chart" uri="{C3380CC4-5D6E-409C-BE32-E72D297353CC}">
              <c16:uniqueId val="{00000000-F9CB-498E-A38D-AFCB85986DA6}"/>
            </c:ext>
          </c:extLst>
        </c:ser>
        <c:dLbls>
          <c:showLegendKey val="0"/>
          <c:showVal val="0"/>
          <c:showCatName val="0"/>
          <c:showSerName val="0"/>
          <c:showPercent val="0"/>
          <c:showBubbleSize val="0"/>
        </c:dLbls>
        <c:gapWidth val="75"/>
        <c:overlap val="-25"/>
        <c:axId val="796996655"/>
        <c:axId val="795652143"/>
      </c:barChart>
      <c:lineChart>
        <c:grouping val="standard"/>
        <c:varyColors val="0"/>
        <c:ser>
          <c:idx val="1"/>
          <c:order val="1"/>
          <c:tx>
            <c:strRef>
              <c:f>'2022Q1'!$F$29</c:f>
              <c:strCache>
                <c:ptCount val="1"/>
                <c:pt idx="0">
                  <c:v>Çeyreklik değişim</c:v>
                </c:pt>
              </c:strCache>
            </c:strRef>
          </c:tx>
          <c:spPr>
            <a:ln w="25400" cap="rnd">
              <a:solidFill>
                <a:schemeClr val="tx1"/>
              </a:solidFill>
              <a:round/>
            </a:ln>
            <a:effectLst/>
          </c:spPr>
          <c:marker>
            <c:symbol val="none"/>
          </c:marker>
          <c:cat>
            <c:strRef>
              <c:f>'2022Q1'!$A$35:$A$58</c:f>
              <c:strCache>
                <c:ptCount val="24"/>
                <c:pt idx="0">
                  <c:v>2016Q2</c:v>
                </c:pt>
                <c:pt idx="1">
                  <c:v>2016Q3</c:v>
                </c:pt>
                <c:pt idx="2">
                  <c:v>2016Q4</c:v>
                </c:pt>
                <c:pt idx="3">
                  <c:v>2017Q1</c:v>
                </c:pt>
                <c:pt idx="4">
                  <c:v>2017Q2</c:v>
                </c:pt>
                <c:pt idx="5">
                  <c:v>2017Q3</c:v>
                </c:pt>
                <c:pt idx="6">
                  <c:v>2017Q4</c:v>
                </c:pt>
                <c:pt idx="7">
                  <c:v>2018Q1</c:v>
                </c:pt>
                <c:pt idx="8">
                  <c:v>2018Q2</c:v>
                </c:pt>
                <c:pt idx="9">
                  <c:v>2018Q3</c:v>
                </c:pt>
                <c:pt idx="10">
                  <c:v>2018Q4</c:v>
                </c:pt>
                <c:pt idx="11">
                  <c:v>2019Q1</c:v>
                </c:pt>
                <c:pt idx="12">
                  <c:v>2019Q2</c:v>
                </c:pt>
                <c:pt idx="13">
                  <c:v>2019Q3</c:v>
                </c:pt>
                <c:pt idx="14">
                  <c:v>2019Q4</c:v>
                </c:pt>
                <c:pt idx="15">
                  <c:v>2020Q1</c:v>
                </c:pt>
                <c:pt idx="16">
                  <c:v>2020Q2</c:v>
                </c:pt>
                <c:pt idx="17">
                  <c:v>2020Q3</c:v>
                </c:pt>
                <c:pt idx="18">
                  <c:v>2020Q4</c:v>
                </c:pt>
                <c:pt idx="19">
                  <c:v>2021Q1</c:v>
                </c:pt>
                <c:pt idx="20">
                  <c:v>2021Q2</c:v>
                </c:pt>
                <c:pt idx="21">
                  <c:v>2021Q3</c:v>
                </c:pt>
                <c:pt idx="22">
                  <c:v>2021Q4</c:v>
                </c:pt>
                <c:pt idx="23">
                  <c:v>2022Q1</c:v>
                </c:pt>
              </c:strCache>
            </c:strRef>
          </c:cat>
          <c:val>
            <c:numRef>
              <c:f>'2022Q1'!$F$35:$F$58</c:f>
              <c:numCache>
                <c:formatCode>0.0</c:formatCode>
                <c:ptCount val="24"/>
                <c:pt idx="0">
                  <c:v>1.4308864145411659</c:v>
                </c:pt>
                <c:pt idx="1">
                  <c:v>-2.8676734614659694</c:v>
                </c:pt>
                <c:pt idx="2">
                  <c:v>5.5096116443495324</c:v>
                </c:pt>
                <c:pt idx="3">
                  <c:v>1.368865259222618</c:v>
                </c:pt>
                <c:pt idx="4">
                  <c:v>2.2803188216812265</c:v>
                </c:pt>
                <c:pt idx="5">
                  <c:v>1.515918557513718</c:v>
                </c:pt>
                <c:pt idx="6">
                  <c:v>1.8827611322633553</c:v>
                </c:pt>
                <c:pt idx="7">
                  <c:v>1.4687431302132792</c:v>
                </c:pt>
                <c:pt idx="8">
                  <c:v>0.65752178788840432</c:v>
                </c:pt>
                <c:pt idx="9">
                  <c:v>-1.6279355144123486</c:v>
                </c:pt>
                <c:pt idx="10">
                  <c:v>-3.1841153368222574</c:v>
                </c:pt>
                <c:pt idx="11">
                  <c:v>1.9010266536273912</c:v>
                </c:pt>
                <c:pt idx="12">
                  <c:v>2.3799511316839439</c:v>
                </c:pt>
                <c:pt idx="13">
                  <c:v>5.0625443587937191E-2</c:v>
                </c:pt>
                <c:pt idx="14">
                  <c:v>1.3646299664258121</c:v>
                </c:pt>
                <c:pt idx="15">
                  <c:v>0.44624293775687995</c:v>
                </c:pt>
                <c:pt idx="16">
                  <c:v>-10.769850738045239</c:v>
                </c:pt>
                <c:pt idx="17">
                  <c:v>16.400501825253055</c:v>
                </c:pt>
                <c:pt idx="18">
                  <c:v>1.2025247567780228</c:v>
                </c:pt>
                <c:pt idx="19">
                  <c:v>2.2041189443047227</c:v>
                </c:pt>
                <c:pt idx="20">
                  <c:v>1.6880766484628884</c:v>
                </c:pt>
                <c:pt idx="21">
                  <c:v>2.773953082911218</c:v>
                </c:pt>
                <c:pt idx="22">
                  <c:v>1.5109707123643235</c:v>
                </c:pt>
                <c:pt idx="23">
                  <c:v>1.200618302926193</c:v>
                </c:pt>
              </c:numCache>
            </c:numRef>
          </c:val>
          <c:smooth val="0"/>
          <c:extLst>
            <c:ext xmlns:c16="http://schemas.microsoft.com/office/drawing/2014/chart" uri="{C3380CC4-5D6E-409C-BE32-E72D297353CC}">
              <c16:uniqueId val="{00000001-F9CB-498E-A38D-AFCB85986DA6}"/>
            </c:ext>
          </c:extLst>
        </c:ser>
        <c:dLbls>
          <c:showLegendKey val="0"/>
          <c:showVal val="0"/>
          <c:showCatName val="0"/>
          <c:showSerName val="0"/>
          <c:showPercent val="0"/>
          <c:showBubbleSize val="0"/>
        </c:dLbls>
        <c:marker val="1"/>
        <c:smooth val="0"/>
        <c:axId val="796996655"/>
        <c:axId val="795652143"/>
      </c:lineChart>
      <c:catAx>
        <c:axId val="79699665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5652143"/>
        <c:crosses val="autoZero"/>
        <c:auto val="1"/>
        <c:lblAlgn val="ctr"/>
        <c:lblOffset val="100"/>
        <c:noMultiLvlLbl val="0"/>
      </c:catAx>
      <c:valAx>
        <c:axId val="795652143"/>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699665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192CDA151078BE4DB52CE2A0BF05C16B" ma:contentTypeVersion="16" ma:contentTypeDescription="Yeni belge oluşturun." ma:contentTypeScope="" ma:versionID="2464b6872367c00d340570baff9db5d5">
  <xsd:schema xmlns:xsd="http://www.w3.org/2001/XMLSchema" xmlns:xs="http://www.w3.org/2001/XMLSchema" xmlns:p="http://schemas.microsoft.com/office/2006/metadata/properties" xmlns:ns1="http://schemas.microsoft.com/sharepoint/v3" xmlns:ns3="6a91392b-4aab-4a5a-8abc-e018e4ed1710" xmlns:ns4="a948c1a1-7427-4f82-bcc1-319815582633" targetNamespace="http://schemas.microsoft.com/office/2006/metadata/properties" ma:root="true" ma:fieldsID="e643b129f10375a8b0d74e30ffdaf847" ns1:_="" ns3:_="" ns4:_="">
    <xsd:import namespace="http://schemas.microsoft.com/sharepoint/v3"/>
    <xsd:import namespace="6a91392b-4aab-4a5a-8abc-e018e4ed1710"/>
    <xsd:import namespace="a948c1a1-7427-4f82-bcc1-3198155826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Birleşik Uygunluk İlkesi Özellikleri" ma:hidden="true" ma:internalName="_ip_UnifiedCompliancePolicyProperties">
      <xsd:simpleType>
        <xsd:restriction base="dms:Note"/>
      </xsd:simpleType>
    </xsd:element>
    <xsd:element name="_ip_UnifiedCompliancePolicyUIAction" ma:index="23" nillable="true" ma:displayName="Birleşik Uygunluk İlkesi UI Eylem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91392b-4aab-4a5a-8abc-e018e4ed1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48c1a1-7427-4f82-bcc1-319815582633"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SharingHintHash" ma:index="12"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626F8-431B-4CF4-A81B-FBECE9A7C923}">
  <ds:schemaRefs>
    <ds:schemaRef ds:uri="http://schemas.microsoft.com/sharepoint/v3/contenttype/forms"/>
  </ds:schemaRefs>
</ds:datastoreItem>
</file>

<file path=customXml/itemProps2.xml><?xml version="1.0" encoding="utf-8"?>
<ds:datastoreItem xmlns:ds="http://schemas.openxmlformats.org/officeDocument/2006/customXml" ds:itemID="{B13C4E5F-EF7F-4EBF-974F-0DFE5C48456B}">
  <ds:schemaRefs>
    <ds:schemaRef ds:uri="6a91392b-4aab-4a5a-8abc-e018e4ed1710"/>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purl.org/dc/elements/1.1/"/>
    <ds:schemaRef ds:uri="http://schemas.microsoft.com/office/infopath/2007/PartnerControls"/>
    <ds:schemaRef ds:uri="a948c1a1-7427-4f82-bcc1-31981558263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14E19B37-448A-4262-8F52-E69973EE8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91392b-4aab-4a5a-8abc-e018e4ed1710"/>
    <ds:schemaRef ds:uri="a948c1a1-7427-4f82-bcc1-319815582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D7C926-B9DB-49F1-A934-D0E0334F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4</Pages>
  <Words>690</Words>
  <Characters>3939</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Ozan BAKIS</dc:creator>
  <cp:lastModifiedBy>Ugurcan ACAR</cp:lastModifiedBy>
  <cp:revision>63</cp:revision>
  <cp:lastPrinted>2022-06-06T07:00:00Z</cp:lastPrinted>
  <dcterms:created xsi:type="dcterms:W3CDTF">2021-12-07T05:33:00Z</dcterms:created>
  <dcterms:modified xsi:type="dcterms:W3CDTF">2022-06-06T12:45:00Z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0x010100192CDA151078BE4DB52CE2A0BF05C16B</vt:lpwstr>
  </property>
</Properties>
</file>