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771" w:rsidRDefault="00F405A0">
      <w:pPr>
        <w:spacing w:before="120" w:after="0" w:line="276" w:lineRule="auto"/>
        <w:jc w:val="right"/>
      </w:pPr>
      <w:r>
        <w:t>20</w:t>
      </w:r>
      <w:r w:rsidR="00050BC3">
        <w:t xml:space="preserve"> Mayıs 2022</w:t>
      </w:r>
    </w:p>
    <w:p w:rsidR="005E1771" w:rsidRDefault="005E1771">
      <w:pPr>
        <w:spacing w:after="0" w:line="276" w:lineRule="auto"/>
        <w:jc w:val="center"/>
      </w:pPr>
    </w:p>
    <w:p w:rsidR="00FE10CF" w:rsidRPr="00FE10CF" w:rsidRDefault="00050BC3" w:rsidP="00FE10CF">
      <w:pPr>
        <w:spacing w:after="0" w:line="276" w:lineRule="auto"/>
        <w:jc w:val="center"/>
        <w:rPr>
          <w:b/>
          <w:sz w:val="20"/>
          <w:szCs w:val="20"/>
          <w:highlight w:val="white"/>
        </w:rPr>
      </w:pPr>
      <w:proofErr w:type="spellStart"/>
      <w:r>
        <w:t>sahibindex</w:t>
      </w:r>
      <w:proofErr w:type="spellEnd"/>
      <w:r>
        <w:t xml:space="preserve"> Satılık Konut Piyasası Görünümü Mayıs raporuna göre; </w:t>
      </w:r>
      <w:r>
        <w:rPr>
          <w:b/>
          <w:color w:val="231F20"/>
          <w:sz w:val="34"/>
          <w:szCs w:val="34"/>
          <w:highlight w:val="white"/>
        </w:rPr>
        <w:br/>
      </w:r>
      <w:r>
        <w:rPr>
          <w:b/>
          <w:sz w:val="28"/>
          <w:szCs w:val="28"/>
          <w:highlight w:val="white"/>
        </w:rPr>
        <w:t>Satılık işyerlerindeki fiyat artışı konut fiyatlarındaki artışın altında kaldı</w:t>
      </w:r>
      <w:r>
        <w:rPr>
          <w:b/>
          <w:sz w:val="20"/>
          <w:szCs w:val="20"/>
          <w:highlight w:val="white"/>
        </w:rPr>
        <w:t xml:space="preserve"> </w:t>
      </w:r>
    </w:p>
    <w:p w:rsidR="005E1771" w:rsidRDefault="005E1771">
      <w:pPr>
        <w:tabs>
          <w:tab w:val="center" w:pos="4536"/>
          <w:tab w:val="right" w:pos="9072"/>
        </w:tabs>
        <w:spacing w:after="0" w:line="276" w:lineRule="auto"/>
        <w:jc w:val="center"/>
        <w:rPr>
          <w:b/>
          <w:color w:val="231F20"/>
          <w:sz w:val="28"/>
          <w:szCs w:val="28"/>
          <w:highlight w:val="white"/>
        </w:rPr>
      </w:pPr>
    </w:p>
    <w:p w:rsidR="005E1771" w:rsidRDefault="00050BC3">
      <w:pPr>
        <w:spacing w:after="0" w:line="276" w:lineRule="auto"/>
        <w:ind w:left="-141" w:right="-264"/>
        <w:jc w:val="center"/>
        <w:rPr>
          <w:b/>
          <w:i/>
        </w:rPr>
      </w:pPr>
      <w:bookmarkStart w:id="0" w:name="_gjdgxs" w:colFirst="0" w:colLast="0"/>
      <w:bookmarkEnd w:id="0"/>
      <w:proofErr w:type="gramStart"/>
      <w:r>
        <w:rPr>
          <w:b/>
          <w:i/>
        </w:rPr>
        <w:t>sahibinden</w:t>
      </w:r>
      <w:proofErr w:type="gramEnd"/>
      <w:r>
        <w:rPr>
          <w:b/>
          <w:i/>
        </w:rPr>
        <w:t xml:space="preserve">.com ve </w:t>
      </w:r>
      <w:proofErr w:type="spellStart"/>
      <w:r>
        <w:rPr>
          <w:b/>
          <w:i/>
        </w:rPr>
        <w:t>Bahçeşehir</w:t>
      </w:r>
      <w:proofErr w:type="spellEnd"/>
      <w:r>
        <w:rPr>
          <w:b/>
          <w:i/>
        </w:rPr>
        <w:t xml:space="preserve"> Üniversitesi Ekonomik ve Toplumsal Araştırmalar Merkezi (BETAM)’</w:t>
      </w:r>
      <w:proofErr w:type="spellStart"/>
      <w:r>
        <w:rPr>
          <w:b/>
          <w:i/>
        </w:rPr>
        <w:t>ın</w:t>
      </w:r>
      <w:proofErr w:type="spellEnd"/>
      <w:r>
        <w:rPr>
          <w:b/>
          <w:i/>
        </w:rPr>
        <w:t xml:space="preserve"> hazırladığı “</w:t>
      </w:r>
      <w:proofErr w:type="spellStart"/>
      <w:r>
        <w:rPr>
          <w:b/>
          <w:i/>
        </w:rPr>
        <w:t>sahibindex</w:t>
      </w:r>
      <w:proofErr w:type="spellEnd"/>
      <w:r>
        <w:rPr>
          <w:b/>
          <w:i/>
        </w:rPr>
        <w:t xml:space="preserve"> Satılık Konut Piyasa</w:t>
      </w:r>
      <w:r w:rsidR="007B09C7">
        <w:rPr>
          <w:b/>
          <w:i/>
        </w:rPr>
        <w:t>sı Görünümü” Mayıs</w:t>
      </w:r>
      <w:bookmarkStart w:id="1" w:name="_GoBack"/>
      <w:bookmarkEnd w:id="1"/>
      <w:r w:rsidR="007A451F">
        <w:rPr>
          <w:b/>
          <w:i/>
        </w:rPr>
        <w:t xml:space="preserve"> raporu</w:t>
      </w:r>
      <w:r>
        <w:rPr>
          <w:b/>
          <w:i/>
        </w:rPr>
        <w:t xml:space="preserve">, Türkiye genelinde geçen yılın </w:t>
      </w:r>
      <w:r w:rsidR="007A451F">
        <w:rPr>
          <w:b/>
          <w:i/>
        </w:rPr>
        <w:t>N</w:t>
      </w:r>
      <w:r>
        <w:rPr>
          <w:b/>
          <w:i/>
        </w:rPr>
        <w:t>isan ayına göre ortalama satılık konut ilan m2 cari fiyatı</w:t>
      </w:r>
      <w:r w:rsidR="007A451F">
        <w:rPr>
          <w:b/>
          <w:i/>
        </w:rPr>
        <w:t>nın</w:t>
      </w:r>
      <w:r>
        <w:rPr>
          <w:b/>
          <w:i/>
        </w:rPr>
        <w:t xml:space="preserve"> %153,9 artarak 9.723 TL oldu</w:t>
      </w:r>
      <w:r w:rsidR="007A451F">
        <w:rPr>
          <w:b/>
          <w:i/>
        </w:rPr>
        <w:t>ğunu ortaya koyuyor</w:t>
      </w:r>
      <w:r>
        <w:rPr>
          <w:b/>
          <w:i/>
        </w:rPr>
        <w:t>. Raporda yeni bir alan olarak incelenen satılık işyerlerindeki fiyat artışı konut fiyatlarındaki artışın altın</w:t>
      </w:r>
      <w:r w:rsidR="00374FB7">
        <w:rPr>
          <w:b/>
          <w:i/>
        </w:rPr>
        <w:t>da</w:t>
      </w:r>
      <w:r>
        <w:rPr>
          <w:b/>
          <w:i/>
        </w:rPr>
        <w:t xml:space="preserve"> kaldığı gözlemlendi.  </w:t>
      </w:r>
    </w:p>
    <w:p w:rsidR="005E1771" w:rsidRDefault="005E1771">
      <w:pPr>
        <w:spacing w:after="0" w:line="276" w:lineRule="auto"/>
      </w:pPr>
    </w:p>
    <w:p w:rsidR="005E1771" w:rsidRDefault="00050BC3">
      <w:pPr>
        <w:spacing w:after="0" w:line="276" w:lineRule="auto"/>
        <w:jc w:val="both"/>
      </w:pPr>
      <w:proofErr w:type="spellStart"/>
      <w:r>
        <w:t>Bahçeşehir</w:t>
      </w:r>
      <w:proofErr w:type="spellEnd"/>
      <w:r>
        <w:t xml:space="preserve"> Üniversitesi Ekonomik ve Toplumsal Araştırmalar Merkezi (BETAM) tarafından </w:t>
      </w:r>
      <w:proofErr w:type="spellStart"/>
      <w:proofErr w:type="gramStart"/>
      <w:r>
        <w:t>sahibinden.com’un</w:t>
      </w:r>
      <w:proofErr w:type="spellEnd"/>
      <w:proofErr w:type="gramEnd"/>
      <w:r>
        <w:t xml:space="preserve"> ilan verileriyle hazırlanan “</w:t>
      </w:r>
      <w:proofErr w:type="spellStart"/>
      <w:r>
        <w:t>sahibindex</w:t>
      </w:r>
      <w:proofErr w:type="spellEnd"/>
      <w:r>
        <w:t xml:space="preserve">  Satılık Konut Piyasası Görünümü” 2022 Mayıs ayı raporu yayınlandı. Rapora göre geçen yılın </w:t>
      </w:r>
      <w:r w:rsidR="007A451F">
        <w:t>N</w:t>
      </w:r>
      <w:r>
        <w:t xml:space="preserve">isan ayına </w:t>
      </w:r>
      <w:r w:rsidR="007A451F">
        <w:t>oranla</w:t>
      </w:r>
      <w:r>
        <w:t xml:space="preserve"> Türkiye genelinde ortalama satılık konut ilan m</w:t>
      </w:r>
      <w:r>
        <w:rPr>
          <w:vertAlign w:val="superscript"/>
        </w:rPr>
        <w:t>2</w:t>
      </w:r>
      <w:r>
        <w:t xml:space="preserve"> cari fiyatı %153,9 artarak 9.723 TL oldu. Satılık konut ilan m</w:t>
      </w:r>
      <w:r>
        <w:rPr>
          <w:vertAlign w:val="superscript"/>
        </w:rPr>
        <w:t>2</w:t>
      </w:r>
      <w:r>
        <w:t xml:space="preserve"> cari fiyatları aynı dönemde İstanbul’da %183,6, Ankara’da %133,8 ve İzmir’de %136,2 arttı. Böylece, ortalama satılık konut m</w:t>
      </w:r>
      <w:r>
        <w:rPr>
          <w:vertAlign w:val="superscript"/>
        </w:rPr>
        <w:t>2</w:t>
      </w:r>
      <w:r>
        <w:t xml:space="preserve"> fiyatları İstanbul’da 14.474 TL, Ankara’da 6.167 TL, İzmir’de ise 10.800 TL’ye ulaştı. Enflasyondan arındırılmış (reel) satış fiyatları ülke genelinde ve üç büyükşehirde yükseldi. Konut piyasasındaki canlılığın bir göstergesi olarak izlenen satılan konutların satılık ilan sayısına oranı, önceki aya göre hem ülke genelinde hem de üç büyük ilde yükseldi. Konut piyasasındaki canlılığı ölçen bir diğer gösterge olan kapatılan ilan yaşı, geçen aya göre hem ülke genelinde hem de üç büyük ilde yükseldi. Kapatılan ilan yaşı ülke genelinde 40,4 gün, İstanbul’da 38,2 gün, Ankara’da 32,2 gün, İzmir’de ise 48,1 gün oldu. </w:t>
      </w:r>
    </w:p>
    <w:p w:rsidR="005E1771" w:rsidRDefault="005E1771">
      <w:pPr>
        <w:spacing w:after="0" w:line="276" w:lineRule="auto"/>
        <w:jc w:val="both"/>
      </w:pPr>
    </w:p>
    <w:p w:rsidR="005E1771" w:rsidRDefault="00050BC3">
      <w:pPr>
        <w:spacing w:after="0" w:line="276" w:lineRule="auto"/>
        <w:jc w:val="both"/>
        <w:rPr>
          <w:b/>
          <w:i/>
        </w:rPr>
      </w:pPr>
      <w:r>
        <w:rPr>
          <w:b/>
          <w:i/>
        </w:rPr>
        <w:t xml:space="preserve">Satılık işyeri fiyatlarındaki artışta İstanbul ilk sırada yer aldı </w:t>
      </w:r>
    </w:p>
    <w:p w:rsidR="005E1771" w:rsidRDefault="00050BC3">
      <w:pPr>
        <w:spacing w:after="0" w:line="276" w:lineRule="auto"/>
        <w:jc w:val="both"/>
      </w:pPr>
      <w:r>
        <w:t>Satılık işyeri fiyatları geçen yılın aynı ayına göre İstanbul’da %98, Ankara’da %93,6, İzmir’de ise %91,5 arttı. Ortalama satılık işyeri m</w:t>
      </w:r>
      <w:r>
        <w:rPr>
          <w:vertAlign w:val="superscript"/>
        </w:rPr>
        <w:t>2</w:t>
      </w:r>
      <w:r>
        <w:t xml:space="preserve"> fiyatı İstanbul’da 24.108 TL, Ankara’da 14.084 TL, İzmir’de ise 18.955 TL oldu. Satılık işyeri fiyatlarında artış konut fiyatlarındaki artışın altında kaldı.</w:t>
      </w:r>
    </w:p>
    <w:p w:rsidR="005E1771" w:rsidRDefault="005E1771">
      <w:pPr>
        <w:spacing w:after="0" w:line="276" w:lineRule="auto"/>
        <w:jc w:val="both"/>
        <w:rPr>
          <w:b/>
          <w:i/>
        </w:rPr>
      </w:pPr>
    </w:p>
    <w:p w:rsidR="005E1771" w:rsidRDefault="00050BC3">
      <w:pPr>
        <w:spacing w:after="0" w:line="276" w:lineRule="auto"/>
        <w:jc w:val="both"/>
        <w:rPr>
          <w:b/>
          <w:i/>
        </w:rPr>
      </w:pPr>
      <w:r>
        <w:rPr>
          <w:b/>
          <w:i/>
        </w:rPr>
        <w:t>Türkiye geneli ortalama satılık konut ilan m</w:t>
      </w:r>
      <w:r>
        <w:rPr>
          <w:b/>
          <w:i/>
          <w:vertAlign w:val="superscript"/>
        </w:rPr>
        <w:t>2</w:t>
      </w:r>
      <w:r>
        <w:rPr>
          <w:b/>
          <w:i/>
        </w:rPr>
        <w:t xml:space="preserve"> fiyatı 9.723 TL'ye yükseldi</w:t>
      </w:r>
    </w:p>
    <w:p w:rsidR="005E1771" w:rsidRDefault="00050BC3">
      <w:pPr>
        <w:spacing w:after="0" w:line="276" w:lineRule="auto"/>
        <w:jc w:val="both"/>
      </w:pPr>
      <w:r>
        <w:t xml:space="preserve">Satılık konut fiyatlarındaki yıllık artış oranı </w:t>
      </w:r>
      <w:r w:rsidR="007A451F">
        <w:t>O</w:t>
      </w:r>
      <w:r>
        <w:t xml:space="preserve">cak ve </w:t>
      </w:r>
      <w:r w:rsidR="007A451F">
        <w:t>Ş</w:t>
      </w:r>
      <w:r>
        <w:t xml:space="preserve">ubat aylarında bir miktar ivme kaybetse de </w:t>
      </w:r>
      <w:r w:rsidR="007A451F">
        <w:t>M</w:t>
      </w:r>
      <w:r>
        <w:t xml:space="preserve">art ayında hızlanarak yükselmeye devam etti. Satış fiyatlarındaki artış oranının </w:t>
      </w:r>
      <w:r w:rsidR="007A451F">
        <w:t>N</w:t>
      </w:r>
      <w:r>
        <w:t>isan ayında da hızlandığı görüldü. Mart ayında 15 puan yükselen fiyat artış oranı nisan ayında 19,6 puan yükseldi. Bu yükselişle ülke genelindeki satılık konut fiyatları geçen yılın aynı ayına kıyasla %153,9 artarak raporlarda incelenen dönemdeki yeni en yüksek seviyeye ulaştı. Geçen yılın aynı ayında 3.830 TL olan Türkiye geneli ortalama satılık konut ilan m</w:t>
      </w:r>
      <w:r>
        <w:rPr>
          <w:vertAlign w:val="superscript"/>
        </w:rPr>
        <w:t>2</w:t>
      </w:r>
      <w:r>
        <w:t xml:space="preserve"> fiyatı 9.723 TL'ye yükseldi.</w:t>
      </w:r>
    </w:p>
    <w:p w:rsidR="005E1771" w:rsidRDefault="00050BC3">
      <w:pPr>
        <w:spacing w:after="0" w:line="276" w:lineRule="auto"/>
        <w:jc w:val="both"/>
      </w:pPr>
      <w:r>
        <w:t xml:space="preserve"> </w:t>
      </w:r>
    </w:p>
    <w:p w:rsidR="007A451F" w:rsidRDefault="007A451F">
      <w:pPr>
        <w:rPr>
          <w:b/>
        </w:rPr>
      </w:pPr>
      <w:r>
        <w:rPr>
          <w:b/>
        </w:rPr>
        <w:br w:type="page"/>
      </w:r>
    </w:p>
    <w:p w:rsidR="005E1771" w:rsidRDefault="00050BC3">
      <w:pPr>
        <w:spacing w:after="0" w:line="276" w:lineRule="auto"/>
        <w:jc w:val="both"/>
      </w:pPr>
      <w:r>
        <w:lastRenderedPageBreak/>
        <w:t>Satılık konut cari fiyatlarındaki yıllık artış oranı Türkiye genelinde olduğu gibi üç büyük ilde yükselmeye devam etti. Satılık konut fiyatlarının artış hızı geçen aya göre İstanbul'da 24,2, Ankara'da 17,2, İzmir'de 17 puan yükseldi. Böylece, satılık konut cari fiyatındaki yıllık artış oranı İstanbul’da %183,6, Ankara’da %133,8 ve İzmir’de %136,2 oldu. Satılık konut ilan m</w:t>
      </w:r>
      <w:r>
        <w:rPr>
          <w:vertAlign w:val="superscript"/>
        </w:rPr>
        <w:t>2</w:t>
      </w:r>
      <w:r>
        <w:t xml:space="preserve"> ortalama fiyatları İstanbul'da 14.474 TL’ye, Ankara'da 6.167 TL’ye ve İzmir'de 10.800 TL’ye yükseldi. Son aylarda İstanbul’da satılık konut fiyatlarında Ankara ve İzmir’e kıyasla daha yüksek artışların gerçekleştiği ve İstanbul piyasasının belirgin bir ayrışma sürecine girdiği dikkat çekti.</w:t>
      </w:r>
    </w:p>
    <w:p w:rsidR="005E1771" w:rsidRDefault="005E1771">
      <w:pPr>
        <w:spacing w:after="0" w:line="276" w:lineRule="auto"/>
        <w:jc w:val="both"/>
        <w:rPr>
          <w:b/>
        </w:rPr>
      </w:pPr>
    </w:p>
    <w:p w:rsidR="005E1771" w:rsidRDefault="00050BC3">
      <w:pPr>
        <w:spacing w:line="276" w:lineRule="auto"/>
        <w:rPr>
          <w:b/>
          <w:i/>
        </w:rPr>
      </w:pPr>
      <w:r>
        <w:rPr>
          <w:b/>
          <w:i/>
        </w:rPr>
        <w:t xml:space="preserve">Büyükşehirlerde konut satış fiyatları artışlarında farklılık dikkat çekiyor  </w:t>
      </w:r>
    </w:p>
    <w:p w:rsidR="007A451F" w:rsidRDefault="00050BC3" w:rsidP="007A451F">
      <w:pPr>
        <w:spacing w:before="120" w:after="0" w:line="276" w:lineRule="auto"/>
        <w:jc w:val="both"/>
      </w:pPr>
      <w:r>
        <w:t xml:space="preserve">İlan satış fiyatları nisan ayında da geçen yılın aynı ayına kıyasla bütün büyükşehirlerde arttı. Satılık konut m2 fiyatlarında en hızlı artışın görüldüğü iller: Mersin %198,2, İstanbul %183,6, Antalya %172,8, Aydın %155,8 ve Samsun %150, oldu. En düşük artışların görüldüğü iller ise Manisa %113,5, Malatya %111,6, Eskişehir %105,8, Van %101,7 ve Erzurum %100,4 olarak sıralandı. </w:t>
      </w:r>
    </w:p>
    <w:p w:rsidR="007A451F" w:rsidRDefault="007A451F" w:rsidP="007A451F">
      <w:pPr>
        <w:spacing w:before="120" w:after="0" w:line="276" w:lineRule="auto"/>
        <w:jc w:val="both"/>
        <w:rPr>
          <w:b/>
        </w:rPr>
      </w:pPr>
    </w:p>
    <w:p w:rsidR="005E1771" w:rsidRDefault="00050BC3">
      <w:pPr>
        <w:widowControl w:val="0"/>
        <w:spacing w:after="0" w:line="240" w:lineRule="auto"/>
        <w:rPr>
          <w:b/>
        </w:rPr>
      </w:pPr>
      <w:r>
        <w:rPr>
          <w:b/>
        </w:rPr>
        <w:t>Tablo 1: En yüksek ve en düşük yıllık satılık ilan fiyatı değişimlerinin yaşandığı iller- 2022 Nisan</w:t>
      </w:r>
    </w:p>
    <w:tbl>
      <w:tblPr>
        <w:tblStyle w:val="a"/>
        <w:tblW w:w="9174" w:type="dxa"/>
        <w:tblInd w:w="0" w:type="dxa"/>
        <w:tblLayout w:type="fixed"/>
        <w:tblLook w:val="0400" w:firstRow="0" w:lastRow="0" w:firstColumn="0" w:lastColumn="0" w:noHBand="0" w:noVBand="1"/>
      </w:tblPr>
      <w:tblGrid>
        <w:gridCol w:w="2010"/>
        <w:gridCol w:w="2436"/>
        <w:gridCol w:w="2436"/>
        <w:gridCol w:w="2292"/>
      </w:tblGrid>
      <w:tr w:rsidR="005E1771">
        <w:trPr>
          <w:trHeight w:val="780"/>
        </w:trPr>
        <w:tc>
          <w:tcPr>
            <w:tcW w:w="20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1771" w:rsidRDefault="00050BC3">
            <w:pPr>
              <w:spacing w:after="0" w:line="240" w:lineRule="auto"/>
              <w:jc w:val="center"/>
              <w:rPr>
                <w:b/>
                <w:color w:val="000000"/>
              </w:rPr>
            </w:pPr>
            <w:r>
              <w:rPr>
                <w:b/>
                <w:color w:val="000000"/>
              </w:rPr>
              <w:t>İller</w:t>
            </w:r>
          </w:p>
        </w:tc>
        <w:tc>
          <w:tcPr>
            <w:tcW w:w="2436"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1771" w:rsidRDefault="00050BC3">
            <w:pPr>
              <w:spacing w:after="0" w:line="240" w:lineRule="auto"/>
              <w:jc w:val="center"/>
              <w:rPr>
                <w:b/>
                <w:color w:val="000000"/>
              </w:rPr>
            </w:pPr>
            <w:r>
              <w:rPr>
                <w:b/>
                <w:color w:val="000000"/>
              </w:rPr>
              <w:t>Nisan 2021 m</w:t>
            </w:r>
            <w:r>
              <w:rPr>
                <w:b/>
                <w:color w:val="000000"/>
                <w:vertAlign w:val="superscript"/>
              </w:rPr>
              <w:t>2</w:t>
            </w:r>
            <w:r>
              <w:rPr>
                <w:b/>
                <w:color w:val="000000"/>
              </w:rPr>
              <w:t xml:space="preserve"> Fiyatı</w:t>
            </w:r>
          </w:p>
        </w:tc>
        <w:tc>
          <w:tcPr>
            <w:tcW w:w="2436" w:type="dxa"/>
            <w:tcBorders>
              <w:top w:val="single" w:sz="8" w:space="0" w:color="000000"/>
              <w:left w:val="nil"/>
              <w:bottom w:val="single" w:sz="8" w:space="0" w:color="000000"/>
              <w:right w:val="single" w:sz="4" w:space="0" w:color="000000"/>
            </w:tcBorders>
            <w:shd w:val="clear" w:color="auto" w:fill="auto"/>
            <w:vAlign w:val="center"/>
          </w:tcPr>
          <w:p w:rsidR="005E1771" w:rsidRDefault="00050BC3">
            <w:pPr>
              <w:spacing w:after="0" w:line="240" w:lineRule="auto"/>
              <w:jc w:val="center"/>
              <w:rPr>
                <w:b/>
                <w:color w:val="000000"/>
              </w:rPr>
            </w:pPr>
            <w:r>
              <w:rPr>
                <w:b/>
                <w:color w:val="000000"/>
              </w:rPr>
              <w:t>Nisan 2022 m</w:t>
            </w:r>
            <w:r>
              <w:rPr>
                <w:b/>
                <w:color w:val="000000"/>
                <w:vertAlign w:val="superscript"/>
              </w:rPr>
              <w:t>2</w:t>
            </w:r>
            <w:r>
              <w:rPr>
                <w:b/>
                <w:color w:val="000000"/>
              </w:rPr>
              <w:t xml:space="preserve"> Fiyatı</w:t>
            </w:r>
          </w:p>
        </w:tc>
        <w:tc>
          <w:tcPr>
            <w:tcW w:w="2292" w:type="dxa"/>
            <w:tcBorders>
              <w:top w:val="single" w:sz="8" w:space="0" w:color="000000"/>
              <w:left w:val="nil"/>
              <w:bottom w:val="single" w:sz="8" w:space="0" w:color="000000"/>
              <w:right w:val="single" w:sz="8" w:space="0" w:color="000000"/>
            </w:tcBorders>
            <w:shd w:val="clear" w:color="auto" w:fill="auto"/>
            <w:vAlign w:val="center"/>
          </w:tcPr>
          <w:p w:rsidR="005E1771" w:rsidRDefault="00050BC3">
            <w:pPr>
              <w:spacing w:after="0" w:line="240" w:lineRule="auto"/>
              <w:jc w:val="center"/>
              <w:rPr>
                <w:b/>
                <w:color w:val="000000"/>
              </w:rPr>
            </w:pPr>
            <w:r>
              <w:rPr>
                <w:b/>
                <w:color w:val="000000"/>
              </w:rPr>
              <w:t>Satılık Fiyat Değişimi (%)</w:t>
            </w:r>
          </w:p>
        </w:tc>
      </w:tr>
      <w:tr w:rsidR="005E1771">
        <w:trPr>
          <w:trHeight w:val="300"/>
        </w:trPr>
        <w:tc>
          <w:tcPr>
            <w:tcW w:w="20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1771" w:rsidRDefault="00050BC3">
            <w:pPr>
              <w:spacing w:after="0" w:line="240" w:lineRule="auto"/>
              <w:jc w:val="center"/>
              <w:rPr>
                <w:color w:val="FF0000"/>
              </w:rPr>
            </w:pPr>
            <w:r>
              <w:rPr>
                <w:color w:val="FF0000"/>
              </w:rPr>
              <w:t>Türkiye Ortalaması</w:t>
            </w:r>
          </w:p>
        </w:tc>
        <w:tc>
          <w:tcPr>
            <w:tcW w:w="2436" w:type="dxa"/>
            <w:tcBorders>
              <w:top w:val="single" w:sz="8" w:space="0" w:color="000000"/>
              <w:left w:val="nil"/>
              <w:bottom w:val="single" w:sz="8" w:space="0" w:color="000000"/>
              <w:right w:val="single" w:sz="4" w:space="0" w:color="000000"/>
            </w:tcBorders>
            <w:shd w:val="clear" w:color="auto" w:fill="auto"/>
            <w:vAlign w:val="bottom"/>
          </w:tcPr>
          <w:p w:rsidR="005E1771" w:rsidRDefault="00050BC3">
            <w:pPr>
              <w:spacing w:after="0" w:line="240" w:lineRule="auto"/>
              <w:jc w:val="center"/>
              <w:rPr>
                <w:color w:val="FF0000"/>
              </w:rPr>
            </w:pPr>
            <w:r>
              <w:rPr>
                <w:color w:val="FF0000"/>
              </w:rPr>
              <w:t>3829</w:t>
            </w:r>
          </w:p>
        </w:tc>
        <w:tc>
          <w:tcPr>
            <w:tcW w:w="2436" w:type="dxa"/>
            <w:tcBorders>
              <w:top w:val="single" w:sz="8" w:space="0" w:color="000000"/>
              <w:left w:val="nil"/>
              <w:bottom w:val="single" w:sz="8" w:space="0" w:color="000000"/>
              <w:right w:val="single" w:sz="4" w:space="0" w:color="000000"/>
            </w:tcBorders>
            <w:shd w:val="clear" w:color="auto" w:fill="auto"/>
            <w:vAlign w:val="bottom"/>
          </w:tcPr>
          <w:p w:rsidR="005E1771" w:rsidRDefault="00050BC3">
            <w:pPr>
              <w:spacing w:after="0" w:line="240" w:lineRule="auto"/>
              <w:jc w:val="center"/>
              <w:rPr>
                <w:color w:val="FF0000"/>
              </w:rPr>
            </w:pPr>
            <w:r>
              <w:rPr>
                <w:color w:val="FF0000"/>
              </w:rPr>
              <w:t>9723</w:t>
            </w:r>
          </w:p>
        </w:tc>
        <w:tc>
          <w:tcPr>
            <w:tcW w:w="2292" w:type="dxa"/>
            <w:tcBorders>
              <w:top w:val="single" w:sz="8" w:space="0" w:color="000000"/>
              <w:left w:val="nil"/>
              <w:bottom w:val="single" w:sz="8" w:space="0" w:color="000000"/>
              <w:right w:val="single" w:sz="8" w:space="0" w:color="000000"/>
            </w:tcBorders>
            <w:shd w:val="clear" w:color="auto" w:fill="auto"/>
            <w:vAlign w:val="center"/>
          </w:tcPr>
          <w:p w:rsidR="005E1771" w:rsidRDefault="00050BC3">
            <w:pPr>
              <w:spacing w:after="0" w:line="240" w:lineRule="auto"/>
              <w:jc w:val="center"/>
              <w:rPr>
                <w:color w:val="FF0000"/>
              </w:rPr>
            </w:pPr>
            <w:r>
              <w:rPr>
                <w:color w:val="FF0000"/>
              </w:rPr>
              <w:t>153,9</w:t>
            </w:r>
          </w:p>
        </w:tc>
      </w:tr>
      <w:tr w:rsidR="005E1771">
        <w:trPr>
          <w:trHeight w:val="300"/>
        </w:trPr>
        <w:tc>
          <w:tcPr>
            <w:tcW w:w="2010" w:type="dxa"/>
            <w:tcBorders>
              <w:top w:val="single" w:sz="8" w:space="0" w:color="000000"/>
              <w:left w:val="single" w:sz="8" w:space="0" w:color="000000"/>
              <w:bottom w:val="single" w:sz="4" w:space="0" w:color="000000"/>
              <w:right w:val="single" w:sz="4" w:space="0" w:color="000000"/>
            </w:tcBorders>
            <w:shd w:val="clear" w:color="auto" w:fill="auto"/>
            <w:vAlign w:val="bottom"/>
          </w:tcPr>
          <w:p w:rsidR="005E1771" w:rsidRDefault="00050BC3">
            <w:pPr>
              <w:spacing w:after="0" w:line="240" w:lineRule="auto"/>
              <w:jc w:val="center"/>
              <w:rPr>
                <w:color w:val="000000"/>
              </w:rPr>
            </w:pPr>
            <w:r>
              <w:rPr>
                <w:color w:val="000000"/>
              </w:rPr>
              <w:t>Mersin</w:t>
            </w:r>
          </w:p>
        </w:tc>
        <w:tc>
          <w:tcPr>
            <w:tcW w:w="2436" w:type="dxa"/>
            <w:tcBorders>
              <w:top w:val="single" w:sz="8" w:space="0" w:color="000000"/>
              <w:left w:val="nil"/>
              <w:bottom w:val="single" w:sz="4" w:space="0" w:color="000000"/>
              <w:right w:val="single" w:sz="4" w:space="0" w:color="000000"/>
            </w:tcBorders>
            <w:shd w:val="clear" w:color="auto" w:fill="auto"/>
            <w:vAlign w:val="center"/>
          </w:tcPr>
          <w:p w:rsidR="005E1771" w:rsidRDefault="00050BC3">
            <w:pPr>
              <w:spacing w:after="0" w:line="240" w:lineRule="auto"/>
              <w:jc w:val="center"/>
              <w:rPr>
                <w:color w:val="000000"/>
              </w:rPr>
            </w:pPr>
            <w:r>
              <w:rPr>
                <w:color w:val="000000"/>
              </w:rPr>
              <w:t>2591</w:t>
            </w:r>
          </w:p>
        </w:tc>
        <w:tc>
          <w:tcPr>
            <w:tcW w:w="2436" w:type="dxa"/>
            <w:tcBorders>
              <w:top w:val="single" w:sz="8" w:space="0" w:color="000000"/>
              <w:left w:val="nil"/>
              <w:bottom w:val="single" w:sz="4" w:space="0" w:color="000000"/>
              <w:right w:val="single" w:sz="4" w:space="0" w:color="000000"/>
            </w:tcBorders>
            <w:shd w:val="clear" w:color="auto" w:fill="auto"/>
            <w:vAlign w:val="center"/>
          </w:tcPr>
          <w:p w:rsidR="005E1771" w:rsidRDefault="00050BC3">
            <w:pPr>
              <w:spacing w:after="0" w:line="240" w:lineRule="auto"/>
              <w:jc w:val="center"/>
              <w:rPr>
                <w:color w:val="000000"/>
              </w:rPr>
            </w:pPr>
            <w:r>
              <w:rPr>
                <w:color w:val="000000"/>
              </w:rPr>
              <w:t>7727</w:t>
            </w:r>
          </w:p>
        </w:tc>
        <w:tc>
          <w:tcPr>
            <w:tcW w:w="2292" w:type="dxa"/>
            <w:tcBorders>
              <w:top w:val="single" w:sz="8" w:space="0" w:color="000000"/>
              <w:left w:val="single" w:sz="4" w:space="0" w:color="000000"/>
              <w:bottom w:val="single" w:sz="4" w:space="0" w:color="000000"/>
              <w:right w:val="single" w:sz="8" w:space="0" w:color="000000"/>
            </w:tcBorders>
            <w:shd w:val="clear" w:color="auto" w:fill="00B050"/>
            <w:vAlign w:val="center"/>
          </w:tcPr>
          <w:p w:rsidR="005E1771" w:rsidRDefault="00050BC3">
            <w:pPr>
              <w:spacing w:after="0" w:line="240" w:lineRule="auto"/>
              <w:jc w:val="center"/>
              <w:rPr>
                <w:color w:val="000000"/>
              </w:rPr>
            </w:pPr>
            <w:r>
              <w:rPr>
                <w:color w:val="000000"/>
              </w:rPr>
              <w:t>198,2</w:t>
            </w:r>
          </w:p>
        </w:tc>
      </w:tr>
      <w:tr w:rsidR="005E1771">
        <w:trPr>
          <w:trHeight w:val="300"/>
        </w:trPr>
        <w:tc>
          <w:tcPr>
            <w:tcW w:w="2010" w:type="dxa"/>
            <w:tcBorders>
              <w:top w:val="nil"/>
              <w:left w:val="single" w:sz="8" w:space="0" w:color="000000"/>
              <w:bottom w:val="single" w:sz="4" w:space="0" w:color="000000"/>
              <w:right w:val="single" w:sz="4" w:space="0" w:color="000000"/>
            </w:tcBorders>
            <w:shd w:val="clear" w:color="auto" w:fill="auto"/>
            <w:vAlign w:val="bottom"/>
          </w:tcPr>
          <w:p w:rsidR="005E1771" w:rsidRDefault="00050BC3">
            <w:pPr>
              <w:spacing w:after="0" w:line="240" w:lineRule="auto"/>
              <w:jc w:val="center"/>
              <w:rPr>
                <w:color w:val="000000"/>
              </w:rPr>
            </w:pPr>
            <w:r>
              <w:rPr>
                <w:color w:val="000000"/>
              </w:rPr>
              <w:t>İstanbul</w:t>
            </w:r>
          </w:p>
        </w:tc>
        <w:tc>
          <w:tcPr>
            <w:tcW w:w="2436" w:type="dxa"/>
            <w:tcBorders>
              <w:top w:val="nil"/>
              <w:left w:val="nil"/>
              <w:bottom w:val="single" w:sz="4" w:space="0" w:color="000000"/>
              <w:right w:val="single" w:sz="4" w:space="0" w:color="000000"/>
            </w:tcBorders>
            <w:shd w:val="clear" w:color="auto" w:fill="auto"/>
            <w:vAlign w:val="center"/>
          </w:tcPr>
          <w:p w:rsidR="005E1771" w:rsidRDefault="00050BC3">
            <w:pPr>
              <w:spacing w:after="0" w:line="240" w:lineRule="auto"/>
              <w:jc w:val="center"/>
              <w:rPr>
                <w:color w:val="000000"/>
              </w:rPr>
            </w:pPr>
            <w:r>
              <w:rPr>
                <w:color w:val="000000"/>
              </w:rPr>
              <w:t>5104</w:t>
            </w:r>
          </w:p>
        </w:tc>
        <w:tc>
          <w:tcPr>
            <w:tcW w:w="2436" w:type="dxa"/>
            <w:tcBorders>
              <w:top w:val="nil"/>
              <w:left w:val="nil"/>
              <w:bottom w:val="single" w:sz="4" w:space="0" w:color="000000"/>
              <w:right w:val="single" w:sz="4" w:space="0" w:color="000000"/>
            </w:tcBorders>
            <w:shd w:val="clear" w:color="auto" w:fill="auto"/>
            <w:vAlign w:val="center"/>
          </w:tcPr>
          <w:p w:rsidR="005E1771" w:rsidRDefault="00050BC3">
            <w:pPr>
              <w:spacing w:after="0" w:line="240" w:lineRule="auto"/>
              <w:jc w:val="center"/>
              <w:rPr>
                <w:color w:val="000000"/>
              </w:rPr>
            </w:pPr>
            <w:r>
              <w:rPr>
                <w:color w:val="000000"/>
              </w:rPr>
              <w:t>14474</w:t>
            </w:r>
          </w:p>
        </w:tc>
        <w:tc>
          <w:tcPr>
            <w:tcW w:w="2292" w:type="dxa"/>
            <w:tcBorders>
              <w:top w:val="single" w:sz="4" w:space="0" w:color="000000"/>
              <w:left w:val="single" w:sz="4" w:space="0" w:color="000000"/>
              <w:bottom w:val="single" w:sz="4" w:space="0" w:color="000000"/>
              <w:right w:val="single" w:sz="8" w:space="0" w:color="000000"/>
            </w:tcBorders>
            <w:shd w:val="clear" w:color="auto" w:fill="00B050"/>
            <w:vAlign w:val="center"/>
          </w:tcPr>
          <w:p w:rsidR="005E1771" w:rsidRDefault="00050BC3">
            <w:pPr>
              <w:spacing w:after="0" w:line="240" w:lineRule="auto"/>
              <w:jc w:val="center"/>
              <w:rPr>
                <w:color w:val="000000"/>
              </w:rPr>
            </w:pPr>
            <w:r>
              <w:rPr>
                <w:color w:val="000000"/>
              </w:rPr>
              <w:t>183,6</w:t>
            </w:r>
          </w:p>
        </w:tc>
      </w:tr>
      <w:tr w:rsidR="005E1771">
        <w:trPr>
          <w:trHeight w:val="300"/>
        </w:trPr>
        <w:tc>
          <w:tcPr>
            <w:tcW w:w="2010" w:type="dxa"/>
            <w:tcBorders>
              <w:top w:val="nil"/>
              <w:left w:val="single" w:sz="8" w:space="0" w:color="000000"/>
              <w:bottom w:val="single" w:sz="4" w:space="0" w:color="000000"/>
              <w:right w:val="single" w:sz="4" w:space="0" w:color="000000"/>
            </w:tcBorders>
            <w:shd w:val="clear" w:color="auto" w:fill="auto"/>
            <w:vAlign w:val="bottom"/>
          </w:tcPr>
          <w:p w:rsidR="005E1771" w:rsidRDefault="00050BC3">
            <w:pPr>
              <w:spacing w:after="0" w:line="240" w:lineRule="auto"/>
              <w:jc w:val="center"/>
              <w:rPr>
                <w:color w:val="000000"/>
              </w:rPr>
            </w:pPr>
            <w:r>
              <w:rPr>
                <w:color w:val="000000"/>
              </w:rPr>
              <w:t>Antalya</w:t>
            </w:r>
          </w:p>
        </w:tc>
        <w:tc>
          <w:tcPr>
            <w:tcW w:w="2436" w:type="dxa"/>
            <w:tcBorders>
              <w:top w:val="nil"/>
              <w:left w:val="nil"/>
              <w:bottom w:val="single" w:sz="4" w:space="0" w:color="000000"/>
              <w:right w:val="single" w:sz="4" w:space="0" w:color="000000"/>
            </w:tcBorders>
            <w:shd w:val="clear" w:color="auto" w:fill="auto"/>
            <w:vAlign w:val="center"/>
          </w:tcPr>
          <w:p w:rsidR="005E1771" w:rsidRDefault="00050BC3">
            <w:pPr>
              <w:spacing w:after="0" w:line="240" w:lineRule="auto"/>
              <w:jc w:val="center"/>
              <w:rPr>
                <w:color w:val="000000"/>
              </w:rPr>
            </w:pPr>
            <w:r>
              <w:rPr>
                <w:color w:val="000000"/>
              </w:rPr>
              <w:t>4266</w:t>
            </w:r>
          </w:p>
        </w:tc>
        <w:tc>
          <w:tcPr>
            <w:tcW w:w="2436" w:type="dxa"/>
            <w:tcBorders>
              <w:top w:val="nil"/>
              <w:left w:val="nil"/>
              <w:bottom w:val="single" w:sz="4" w:space="0" w:color="000000"/>
              <w:right w:val="single" w:sz="4" w:space="0" w:color="000000"/>
            </w:tcBorders>
            <w:shd w:val="clear" w:color="auto" w:fill="auto"/>
            <w:vAlign w:val="center"/>
          </w:tcPr>
          <w:p w:rsidR="005E1771" w:rsidRDefault="00050BC3">
            <w:pPr>
              <w:spacing w:after="0" w:line="240" w:lineRule="auto"/>
              <w:jc w:val="center"/>
              <w:rPr>
                <w:color w:val="000000"/>
              </w:rPr>
            </w:pPr>
            <w:r>
              <w:rPr>
                <w:color w:val="000000"/>
              </w:rPr>
              <w:t>11638</w:t>
            </w:r>
          </w:p>
        </w:tc>
        <w:tc>
          <w:tcPr>
            <w:tcW w:w="2292" w:type="dxa"/>
            <w:tcBorders>
              <w:top w:val="single" w:sz="4" w:space="0" w:color="000000"/>
              <w:left w:val="single" w:sz="4" w:space="0" w:color="000000"/>
              <w:bottom w:val="single" w:sz="4" w:space="0" w:color="000000"/>
              <w:right w:val="single" w:sz="8" w:space="0" w:color="000000"/>
            </w:tcBorders>
            <w:shd w:val="clear" w:color="auto" w:fill="00B050"/>
            <w:vAlign w:val="center"/>
          </w:tcPr>
          <w:p w:rsidR="005E1771" w:rsidRDefault="00050BC3">
            <w:pPr>
              <w:spacing w:after="0" w:line="240" w:lineRule="auto"/>
              <w:jc w:val="center"/>
              <w:rPr>
                <w:color w:val="000000"/>
              </w:rPr>
            </w:pPr>
            <w:r>
              <w:rPr>
                <w:color w:val="000000"/>
              </w:rPr>
              <w:t>172,8</w:t>
            </w:r>
          </w:p>
        </w:tc>
      </w:tr>
      <w:tr w:rsidR="005E1771">
        <w:trPr>
          <w:trHeight w:val="300"/>
        </w:trPr>
        <w:tc>
          <w:tcPr>
            <w:tcW w:w="2010" w:type="dxa"/>
            <w:tcBorders>
              <w:top w:val="nil"/>
              <w:left w:val="single" w:sz="8" w:space="0" w:color="000000"/>
              <w:bottom w:val="single" w:sz="4" w:space="0" w:color="000000"/>
              <w:right w:val="single" w:sz="4" w:space="0" w:color="000000"/>
            </w:tcBorders>
            <w:shd w:val="clear" w:color="auto" w:fill="auto"/>
            <w:vAlign w:val="bottom"/>
          </w:tcPr>
          <w:p w:rsidR="005E1771" w:rsidRDefault="00050BC3">
            <w:pPr>
              <w:spacing w:after="0" w:line="240" w:lineRule="auto"/>
              <w:jc w:val="center"/>
              <w:rPr>
                <w:color w:val="000000"/>
              </w:rPr>
            </w:pPr>
            <w:r>
              <w:rPr>
                <w:color w:val="000000"/>
              </w:rPr>
              <w:t>Aydın</w:t>
            </w:r>
          </w:p>
        </w:tc>
        <w:tc>
          <w:tcPr>
            <w:tcW w:w="2436" w:type="dxa"/>
            <w:tcBorders>
              <w:top w:val="nil"/>
              <w:left w:val="nil"/>
              <w:bottom w:val="single" w:sz="4" w:space="0" w:color="000000"/>
              <w:right w:val="single" w:sz="4" w:space="0" w:color="000000"/>
            </w:tcBorders>
            <w:shd w:val="clear" w:color="auto" w:fill="auto"/>
            <w:vAlign w:val="center"/>
          </w:tcPr>
          <w:p w:rsidR="005E1771" w:rsidRDefault="00050BC3">
            <w:pPr>
              <w:spacing w:after="0" w:line="240" w:lineRule="auto"/>
              <w:jc w:val="center"/>
              <w:rPr>
                <w:color w:val="000000"/>
              </w:rPr>
            </w:pPr>
            <w:r>
              <w:rPr>
                <w:color w:val="000000"/>
              </w:rPr>
              <w:t>4679</w:t>
            </w:r>
          </w:p>
        </w:tc>
        <w:tc>
          <w:tcPr>
            <w:tcW w:w="2436" w:type="dxa"/>
            <w:tcBorders>
              <w:top w:val="nil"/>
              <w:left w:val="nil"/>
              <w:bottom w:val="single" w:sz="4" w:space="0" w:color="000000"/>
              <w:right w:val="single" w:sz="4" w:space="0" w:color="000000"/>
            </w:tcBorders>
            <w:shd w:val="clear" w:color="auto" w:fill="auto"/>
            <w:vAlign w:val="center"/>
          </w:tcPr>
          <w:p w:rsidR="005E1771" w:rsidRDefault="00050BC3">
            <w:pPr>
              <w:spacing w:after="0" w:line="240" w:lineRule="auto"/>
              <w:jc w:val="center"/>
              <w:rPr>
                <w:color w:val="000000"/>
              </w:rPr>
            </w:pPr>
            <w:r>
              <w:rPr>
                <w:color w:val="000000"/>
              </w:rPr>
              <w:t>11970</w:t>
            </w:r>
          </w:p>
        </w:tc>
        <w:tc>
          <w:tcPr>
            <w:tcW w:w="2292" w:type="dxa"/>
            <w:tcBorders>
              <w:top w:val="single" w:sz="4" w:space="0" w:color="000000"/>
              <w:left w:val="single" w:sz="4" w:space="0" w:color="000000"/>
              <w:bottom w:val="single" w:sz="4" w:space="0" w:color="000000"/>
              <w:right w:val="single" w:sz="8" w:space="0" w:color="000000"/>
            </w:tcBorders>
            <w:shd w:val="clear" w:color="auto" w:fill="00B050"/>
            <w:vAlign w:val="center"/>
          </w:tcPr>
          <w:p w:rsidR="005E1771" w:rsidRDefault="00050BC3">
            <w:pPr>
              <w:spacing w:after="0" w:line="240" w:lineRule="auto"/>
              <w:jc w:val="center"/>
              <w:rPr>
                <w:color w:val="000000"/>
              </w:rPr>
            </w:pPr>
            <w:r>
              <w:rPr>
                <w:color w:val="000000"/>
              </w:rPr>
              <w:t>155,8</w:t>
            </w:r>
          </w:p>
        </w:tc>
      </w:tr>
      <w:tr w:rsidR="005E1771">
        <w:trPr>
          <w:trHeight w:val="300"/>
        </w:trPr>
        <w:tc>
          <w:tcPr>
            <w:tcW w:w="2010" w:type="dxa"/>
            <w:tcBorders>
              <w:top w:val="nil"/>
              <w:left w:val="single" w:sz="8" w:space="0" w:color="000000"/>
              <w:bottom w:val="single" w:sz="4" w:space="0" w:color="000000"/>
              <w:right w:val="single" w:sz="4" w:space="0" w:color="000000"/>
            </w:tcBorders>
            <w:shd w:val="clear" w:color="auto" w:fill="auto"/>
            <w:vAlign w:val="bottom"/>
          </w:tcPr>
          <w:p w:rsidR="005E1771" w:rsidRDefault="00050BC3">
            <w:pPr>
              <w:spacing w:after="0" w:line="240" w:lineRule="auto"/>
              <w:jc w:val="center"/>
              <w:rPr>
                <w:color w:val="000000"/>
              </w:rPr>
            </w:pPr>
            <w:r>
              <w:rPr>
                <w:color w:val="000000"/>
              </w:rPr>
              <w:t>Samsun</w:t>
            </w:r>
          </w:p>
        </w:tc>
        <w:tc>
          <w:tcPr>
            <w:tcW w:w="2436" w:type="dxa"/>
            <w:tcBorders>
              <w:top w:val="nil"/>
              <w:left w:val="nil"/>
              <w:bottom w:val="single" w:sz="4" w:space="0" w:color="000000"/>
              <w:right w:val="single" w:sz="4" w:space="0" w:color="000000"/>
            </w:tcBorders>
            <w:shd w:val="clear" w:color="auto" w:fill="auto"/>
            <w:vAlign w:val="center"/>
          </w:tcPr>
          <w:p w:rsidR="005E1771" w:rsidRDefault="00050BC3">
            <w:pPr>
              <w:spacing w:after="0" w:line="240" w:lineRule="auto"/>
              <w:jc w:val="center"/>
              <w:rPr>
                <w:color w:val="000000"/>
              </w:rPr>
            </w:pPr>
            <w:r>
              <w:rPr>
                <w:color w:val="000000"/>
              </w:rPr>
              <w:t>2739</w:t>
            </w:r>
          </w:p>
        </w:tc>
        <w:tc>
          <w:tcPr>
            <w:tcW w:w="2436" w:type="dxa"/>
            <w:tcBorders>
              <w:top w:val="nil"/>
              <w:left w:val="nil"/>
              <w:bottom w:val="single" w:sz="4" w:space="0" w:color="000000"/>
              <w:right w:val="single" w:sz="4" w:space="0" w:color="000000"/>
            </w:tcBorders>
            <w:shd w:val="clear" w:color="auto" w:fill="auto"/>
            <w:vAlign w:val="center"/>
          </w:tcPr>
          <w:p w:rsidR="005E1771" w:rsidRDefault="00050BC3">
            <w:pPr>
              <w:spacing w:after="0" w:line="240" w:lineRule="auto"/>
              <w:jc w:val="center"/>
              <w:rPr>
                <w:color w:val="000000"/>
              </w:rPr>
            </w:pPr>
            <w:r>
              <w:rPr>
                <w:color w:val="000000"/>
              </w:rPr>
              <w:t>6855</w:t>
            </w:r>
          </w:p>
        </w:tc>
        <w:tc>
          <w:tcPr>
            <w:tcW w:w="2292" w:type="dxa"/>
            <w:tcBorders>
              <w:top w:val="single" w:sz="4" w:space="0" w:color="000000"/>
              <w:left w:val="single" w:sz="4" w:space="0" w:color="000000"/>
              <w:bottom w:val="single" w:sz="4" w:space="0" w:color="000000"/>
              <w:right w:val="single" w:sz="8" w:space="0" w:color="000000"/>
            </w:tcBorders>
            <w:shd w:val="clear" w:color="auto" w:fill="00B050"/>
            <w:vAlign w:val="center"/>
          </w:tcPr>
          <w:p w:rsidR="005E1771" w:rsidRDefault="00050BC3">
            <w:pPr>
              <w:spacing w:after="0" w:line="240" w:lineRule="auto"/>
              <w:jc w:val="center"/>
              <w:rPr>
                <w:color w:val="000000"/>
              </w:rPr>
            </w:pPr>
            <w:r>
              <w:rPr>
                <w:color w:val="000000"/>
              </w:rPr>
              <w:t>150,3</w:t>
            </w:r>
          </w:p>
        </w:tc>
      </w:tr>
      <w:tr w:rsidR="005E1771">
        <w:trPr>
          <w:trHeight w:val="300"/>
        </w:trPr>
        <w:tc>
          <w:tcPr>
            <w:tcW w:w="2010" w:type="dxa"/>
            <w:tcBorders>
              <w:top w:val="single" w:sz="4" w:space="0" w:color="000000"/>
              <w:left w:val="single" w:sz="8" w:space="0" w:color="000000"/>
              <w:bottom w:val="single" w:sz="4" w:space="0" w:color="000000"/>
              <w:right w:val="single" w:sz="4" w:space="0" w:color="000000"/>
            </w:tcBorders>
            <w:shd w:val="clear" w:color="auto" w:fill="auto"/>
            <w:vAlign w:val="bottom"/>
          </w:tcPr>
          <w:p w:rsidR="005E1771" w:rsidRDefault="00050BC3">
            <w:pPr>
              <w:spacing w:after="0" w:line="240" w:lineRule="auto"/>
              <w:jc w:val="center"/>
              <w:rPr>
                <w:color w:val="000000"/>
              </w:rPr>
            </w:pPr>
            <w:r>
              <w:rPr>
                <w:color w:val="000000"/>
              </w:rPr>
              <w:t>Manisa</w:t>
            </w:r>
          </w:p>
        </w:tc>
        <w:tc>
          <w:tcPr>
            <w:tcW w:w="2436" w:type="dxa"/>
            <w:tcBorders>
              <w:top w:val="single" w:sz="4" w:space="0" w:color="000000"/>
              <w:left w:val="nil"/>
              <w:bottom w:val="single" w:sz="4" w:space="0" w:color="000000"/>
              <w:right w:val="single" w:sz="4" w:space="0" w:color="000000"/>
            </w:tcBorders>
            <w:shd w:val="clear" w:color="auto" w:fill="auto"/>
            <w:vAlign w:val="center"/>
          </w:tcPr>
          <w:p w:rsidR="005E1771" w:rsidRDefault="00050BC3">
            <w:pPr>
              <w:spacing w:after="0" w:line="240" w:lineRule="auto"/>
              <w:jc w:val="center"/>
              <w:rPr>
                <w:color w:val="000000"/>
              </w:rPr>
            </w:pPr>
            <w:r>
              <w:rPr>
                <w:color w:val="000000"/>
              </w:rPr>
              <w:t>2885</w:t>
            </w:r>
          </w:p>
        </w:tc>
        <w:tc>
          <w:tcPr>
            <w:tcW w:w="2436" w:type="dxa"/>
            <w:tcBorders>
              <w:top w:val="single" w:sz="4" w:space="0" w:color="000000"/>
              <w:left w:val="nil"/>
              <w:bottom w:val="single" w:sz="4" w:space="0" w:color="000000"/>
              <w:right w:val="single" w:sz="4" w:space="0" w:color="000000"/>
            </w:tcBorders>
            <w:shd w:val="clear" w:color="auto" w:fill="auto"/>
            <w:vAlign w:val="center"/>
          </w:tcPr>
          <w:p w:rsidR="005E1771" w:rsidRDefault="00050BC3">
            <w:pPr>
              <w:spacing w:after="0" w:line="240" w:lineRule="auto"/>
              <w:jc w:val="center"/>
              <w:rPr>
                <w:color w:val="000000"/>
              </w:rPr>
            </w:pPr>
            <w:r>
              <w:rPr>
                <w:color w:val="000000"/>
              </w:rPr>
              <w:t>6160</w:t>
            </w:r>
          </w:p>
        </w:tc>
        <w:tc>
          <w:tcPr>
            <w:tcW w:w="2292" w:type="dxa"/>
            <w:tcBorders>
              <w:top w:val="single" w:sz="4" w:space="0" w:color="000000"/>
              <w:left w:val="single" w:sz="4" w:space="0" w:color="000000"/>
              <w:bottom w:val="single" w:sz="4" w:space="0" w:color="000000"/>
              <w:right w:val="single" w:sz="8" w:space="0" w:color="000000"/>
            </w:tcBorders>
            <w:shd w:val="clear" w:color="auto" w:fill="92D050"/>
            <w:vAlign w:val="center"/>
          </w:tcPr>
          <w:p w:rsidR="005E1771" w:rsidRDefault="00050BC3">
            <w:pPr>
              <w:spacing w:after="0" w:line="240" w:lineRule="auto"/>
              <w:jc w:val="center"/>
              <w:rPr>
                <w:color w:val="000000"/>
              </w:rPr>
            </w:pPr>
            <w:r>
              <w:rPr>
                <w:color w:val="000000"/>
              </w:rPr>
              <w:t>113,5</w:t>
            </w:r>
          </w:p>
        </w:tc>
      </w:tr>
      <w:tr w:rsidR="005E1771">
        <w:trPr>
          <w:trHeight w:val="300"/>
        </w:trPr>
        <w:tc>
          <w:tcPr>
            <w:tcW w:w="2010" w:type="dxa"/>
            <w:tcBorders>
              <w:top w:val="nil"/>
              <w:left w:val="single" w:sz="8" w:space="0" w:color="000000"/>
              <w:bottom w:val="single" w:sz="4" w:space="0" w:color="000000"/>
              <w:right w:val="single" w:sz="4" w:space="0" w:color="000000"/>
            </w:tcBorders>
            <w:shd w:val="clear" w:color="auto" w:fill="auto"/>
            <w:vAlign w:val="bottom"/>
          </w:tcPr>
          <w:p w:rsidR="005E1771" w:rsidRDefault="00050BC3">
            <w:pPr>
              <w:spacing w:after="0" w:line="240" w:lineRule="auto"/>
              <w:jc w:val="center"/>
              <w:rPr>
                <w:color w:val="000000"/>
              </w:rPr>
            </w:pPr>
            <w:r>
              <w:rPr>
                <w:color w:val="000000"/>
              </w:rPr>
              <w:t>Malatya</w:t>
            </w:r>
          </w:p>
        </w:tc>
        <w:tc>
          <w:tcPr>
            <w:tcW w:w="2436" w:type="dxa"/>
            <w:tcBorders>
              <w:top w:val="nil"/>
              <w:left w:val="nil"/>
              <w:bottom w:val="single" w:sz="4" w:space="0" w:color="000000"/>
              <w:right w:val="single" w:sz="4" w:space="0" w:color="000000"/>
            </w:tcBorders>
            <w:shd w:val="clear" w:color="auto" w:fill="auto"/>
            <w:vAlign w:val="center"/>
          </w:tcPr>
          <w:p w:rsidR="005E1771" w:rsidRDefault="00050BC3">
            <w:pPr>
              <w:spacing w:after="0" w:line="240" w:lineRule="auto"/>
              <w:jc w:val="center"/>
              <w:rPr>
                <w:color w:val="000000"/>
              </w:rPr>
            </w:pPr>
            <w:r>
              <w:rPr>
                <w:color w:val="000000"/>
              </w:rPr>
              <w:t>2287</w:t>
            </w:r>
          </w:p>
        </w:tc>
        <w:tc>
          <w:tcPr>
            <w:tcW w:w="2436" w:type="dxa"/>
            <w:tcBorders>
              <w:top w:val="nil"/>
              <w:left w:val="nil"/>
              <w:bottom w:val="single" w:sz="4" w:space="0" w:color="000000"/>
              <w:right w:val="single" w:sz="4" w:space="0" w:color="000000"/>
            </w:tcBorders>
            <w:shd w:val="clear" w:color="auto" w:fill="auto"/>
            <w:vAlign w:val="center"/>
          </w:tcPr>
          <w:p w:rsidR="005E1771" w:rsidRDefault="00050BC3">
            <w:pPr>
              <w:spacing w:after="0" w:line="240" w:lineRule="auto"/>
              <w:jc w:val="center"/>
              <w:rPr>
                <w:color w:val="000000"/>
              </w:rPr>
            </w:pPr>
            <w:r>
              <w:rPr>
                <w:color w:val="000000"/>
              </w:rPr>
              <w:t>4839</w:t>
            </w:r>
          </w:p>
        </w:tc>
        <w:tc>
          <w:tcPr>
            <w:tcW w:w="2292" w:type="dxa"/>
            <w:tcBorders>
              <w:top w:val="single" w:sz="4" w:space="0" w:color="000000"/>
              <w:left w:val="single" w:sz="4" w:space="0" w:color="000000"/>
              <w:bottom w:val="single" w:sz="4" w:space="0" w:color="000000"/>
              <w:right w:val="single" w:sz="8" w:space="0" w:color="000000"/>
            </w:tcBorders>
            <w:shd w:val="clear" w:color="auto" w:fill="92D050"/>
            <w:vAlign w:val="center"/>
          </w:tcPr>
          <w:p w:rsidR="005E1771" w:rsidRDefault="00050BC3">
            <w:pPr>
              <w:spacing w:after="0" w:line="240" w:lineRule="auto"/>
              <w:jc w:val="center"/>
              <w:rPr>
                <w:color w:val="000000"/>
              </w:rPr>
            </w:pPr>
            <w:r>
              <w:rPr>
                <w:color w:val="000000"/>
              </w:rPr>
              <w:t>111,6</w:t>
            </w:r>
          </w:p>
        </w:tc>
      </w:tr>
      <w:tr w:rsidR="005E1771">
        <w:trPr>
          <w:trHeight w:val="300"/>
        </w:trPr>
        <w:tc>
          <w:tcPr>
            <w:tcW w:w="2010" w:type="dxa"/>
            <w:tcBorders>
              <w:top w:val="nil"/>
              <w:left w:val="single" w:sz="8" w:space="0" w:color="000000"/>
              <w:bottom w:val="single" w:sz="4" w:space="0" w:color="000000"/>
              <w:right w:val="single" w:sz="4" w:space="0" w:color="000000"/>
            </w:tcBorders>
            <w:shd w:val="clear" w:color="auto" w:fill="auto"/>
            <w:vAlign w:val="bottom"/>
          </w:tcPr>
          <w:p w:rsidR="005E1771" w:rsidRDefault="00050BC3">
            <w:pPr>
              <w:spacing w:after="0" w:line="240" w:lineRule="auto"/>
              <w:jc w:val="center"/>
              <w:rPr>
                <w:color w:val="000000"/>
              </w:rPr>
            </w:pPr>
            <w:r>
              <w:rPr>
                <w:color w:val="000000"/>
              </w:rPr>
              <w:t>Eskişehir</w:t>
            </w:r>
          </w:p>
        </w:tc>
        <w:tc>
          <w:tcPr>
            <w:tcW w:w="2436" w:type="dxa"/>
            <w:tcBorders>
              <w:top w:val="nil"/>
              <w:left w:val="nil"/>
              <w:bottom w:val="single" w:sz="4" w:space="0" w:color="000000"/>
              <w:right w:val="single" w:sz="4" w:space="0" w:color="000000"/>
            </w:tcBorders>
            <w:shd w:val="clear" w:color="auto" w:fill="auto"/>
            <w:vAlign w:val="center"/>
          </w:tcPr>
          <w:p w:rsidR="005E1771" w:rsidRDefault="00050BC3">
            <w:pPr>
              <w:spacing w:after="0" w:line="240" w:lineRule="auto"/>
              <w:jc w:val="center"/>
              <w:rPr>
                <w:color w:val="000000"/>
              </w:rPr>
            </w:pPr>
            <w:r>
              <w:rPr>
                <w:color w:val="000000"/>
              </w:rPr>
              <w:t>2990</w:t>
            </w:r>
          </w:p>
        </w:tc>
        <w:tc>
          <w:tcPr>
            <w:tcW w:w="2436" w:type="dxa"/>
            <w:tcBorders>
              <w:top w:val="nil"/>
              <w:left w:val="nil"/>
              <w:bottom w:val="single" w:sz="4" w:space="0" w:color="000000"/>
              <w:right w:val="single" w:sz="4" w:space="0" w:color="000000"/>
            </w:tcBorders>
            <w:shd w:val="clear" w:color="auto" w:fill="auto"/>
            <w:vAlign w:val="center"/>
          </w:tcPr>
          <w:p w:rsidR="005E1771" w:rsidRDefault="00050BC3">
            <w:pPr>
              <w:spacing w:after="0" w:line="240" w:lineRule="auto"/>
              <w:jc w:val="center"/>
              <w:rPr>
                <w:color w:val="000000"/>
              </w:rPr>
            </w:pPr>
            <w:r>
              <w:rPr>
                <w:color w:val="000000"/>
              </w:rPr>
              <w:t>6154</w:t>
            </w:r>
          </w:p>
        </w:tc>
        <w:tc>
          <w:tcPr>
            <w:tcW w:w="2292" w:type="dxa"/>
            <w:tcBorders>
              <w:top w:val="single" w:sz="4" w:space="0" w:color="000000"/>
              <w:left w:val="single" w:sz="4" w:space="0" w:color="000000"/>
              <w:bottom w:val="single" w:sz="4" w:space="0" w:color="000000"/>
              <w:right w:val="single" w:sz="8" w:space="0" w:color="000000"/>
            </w:tcBorders>
            <w:shd w:val="clear" w:color="auto" w:fill="92D050"/>
            <w:vAlign w:val="center"/>
          </w:tcPr>
          <w:p w:rsidR="005E1771" w:rsidRDefault="00050BC3">
            <w:pPr>
              <w:spacing w:after="0" w:line="240" w:lineRule="auto"/>
              <w:jc w:val="center"/>
              <w:rPr>
                <w:color w:val="000000"/>
              </w:rPr>
            </w:pPr>
            <w:r>
              <w:rPr>
                <w:color w:val="000000"/>
              </w:rPr>
              <w:t>105,8</w:t>
            </w:r>
          </w:p>
        </w:tc>
      </w:tr>
      <w:tr w:rsidR="005E1771">
        <w:trPr>
          <w:trHeight w:val="300"/>
        </w:trPr>
        <w:tc>
          <w:tcPr>
            <w:tcW w:w="2010" w:type="dxa"/>
            <w:tcBorders>
              <w:top w:val="nil"/>
              <w:left w:val="single" w:sz="8" w:space="0" w:color="000000"/>
              <w:bottom w:val="single" w:sz="4" w:space="0" w:color="000000"/>
              <w:right w:val="single" w:sz="4" w:space="0" w:color="000000"/>
            </w:tcBorders>
            <w:shd w:val="clear" w:color="auto" w:fill="auto"/>
            <w:vAlign w:val="bottom"/>
          </w:tcPr>
          <w:p w:rsidR="005E1771" w:rsidRDefault="00050BC3">
            <w:pPr>
              <w:spacing w:after="0" w:line="240" w:lineRule="auto"/>
              <w:jc w:val="center"/>
              <w:rPr>
                <w:color w:val="000000"/>
              </w:rPr>
            </w:pPr>
            <w:r>
              <w:rPr>
                <w:color w:val="000000"/>
              </w:rPr>
              <w:t>Van</w:t>
            </w:r>
          </w:p>
        </w:tc>
        <w:tc>
          <w:tcPr>
            <w:tcW w:w="2436" w:type="dxa"/>
            <w:tcBorders>
              <w:top w:val="nil"/>
              <w:left w:val="nil"/>
              <w:bottom w:val="single" w:sz="4" w:space="0" w:color="000000"/>
              <w:right w:val="single" w:sz="4" w:space="0" w:color="000000"/>
            </w:tcBorders>
            <w:shd w:val="clear" w:color="auto" w:fill="auto"/>
            <w:vAlign w:val="center"/>
          </w:tcPr>
          <w:p w:rsidR="005E1771" w:rsidRDefault="00050BC3">
            <w:pPr>
              <w:spacing w:after="0" w:line="240" w:lineRule="auto"/>
              <w:jc w:val="center"/>
              <w:rPr>
                <w:color w:val="000000"/>
              </w:rPr>
            </w:pPr>
            <w:r>
              <w:rPr>
                <w:color w:val="000000"/>
              </w:rPr>
              <w:t>2314</w:t>
            </w:r>
          </w:p>
        </w:tc>
        <w:tc>
          <w:tcPr>
            <w:tcW w:w="2436" w:type="dxa"/>
            <w:tcBorders>
              <w:top w:val="nil"/>
              <w:left w:val="nil"/>
              <w:bottom w:val="single" w:sz="4" w:space="0" w:color="000000"/>
              <w:right w:val="single" w:sz="4" w:space="0" w:color="000000"/>
            </w:tcBorders>
            <w:shd w:val="clear" w:color="auto" w:fill="auto"/>
            <w:vAlign w:val="center"/>
          </w:tcPr>
          <w:p w:rsidR="005E1771" w:rsidRDefault="00050BC3">
            <w:pPr>
              <w:spacing w:after="0" w:line="240" w:lineRule="auto"/>
              <w:jc w:val="center"/>
              <w:rPr>
                <w:color w:val="000000"/>
              </w:rPr>
            </w:pPr>
            <w:r>
              <w:rPr>
                <w:color w:val="000000"/>
              </w:rPr>
              <w:t>4667</w:t>
            </w:r>
          </w:p>
        </w:tc>
        <w:tc>
          <w:tcPr>
            <w:tcW w:w="2292" w:type="dxa"/>
            <w:tcBorders>
              <w:top w:val="single" w:sz="4" w:space="0" w:color="000000"/>
              <w:left w:val="single" w:sz="4" w:space="0" w:color="000000"/>
              <w:bottom w:val="single" w:sz="4" w:space="0" w:color="000000"/>
              <w:right w:val="single" w:sz="8" w:space="0" w:color="000000"/>
            </w:tcBorders>
            <w:shd w:val="clear" w:color="auto" w:fill="92D050"/>
            <w:vAlign w:val="center"/>
          </w:tcPr>
          <w:p w:rsidR="005E1771" w:rsidRDefault="00050BC3">
            <w:pPr>
              <w:spacing w:after="0" w:line="240" w:lineRule="auto"/>
              <w:jc w:val="center"/>
              <w:rPr>
                <w:color w:val="000000"/>
              </w:rPr>
            </w:pPr>
            <w:r>
              <w:rPr>
                <w:color w:val="000000"/>
              </w:rPr>
              <w:t>101,7</w:t>
            </w:r>
          </w:p>
        </w:tc>
      </w:tr>
      <w:tr w:rsidR="005E1771">
        <w:trPr>
          <w:trHeight w:val="315"/>
        </w:trPr>
        <w:tc>
          <w:tcPr>
            <w:tcW w:w="2010" w:type="dxa"/>
            <w:tcBorders>
              <w:top w:val="single" w:sz="4" w:space="0" w:color="000000"/>
              <w:left w:val="single" w:sz="8" w:space="0" w:color="000000"/>
              <w:bottom w:val="single" w:sz="4" w:space="0" w:color="000000"/>
              <w:right w:val="single" w:sz="4" w:space="0" w:color="000000"/>
            </w:tcBorders>
            <w:shd w:val="clear" w:color="auto" w:fill="auto"/>
            <w:vAlign w:val="bottom"/>
          </w:tcPr>
          <w:p w:rsidR="005E1771" w:rsidRDefault="00050BC3">
            <w:pPr>
              <w:spacing w:after="0" w:line="240" w:lineRule="auto"/>
              <w:jc w:val="center"/>
              <w:rPr>
                <w:color w:val="000000"/>
              </w:rPr>
            </w:pPr>
            <w:r>
              <w:rPr>
                <w:color w:val="000000"/>
              </w:rPr>
              <w:t>Erzurum</w:t>
            </w:r>
          </w:p>
        </w:tc>
        <w:tc>
          <w:tcPr>
            <w:tcW w:w="2436" w:type="dxa"/>
            <w:tcBorders>
              <w:top w:val="single" w:sz="4" w:space="0" w:color="000000"/>
              <w:left w:val="nil"/>
              <w:bottom w:val="single" w:sz="4" w:space="0" w:color="000000"/>
              <w:right w:val="single" w:sz="4" w:space="0" w:color="000000"/>
            </w:tcBorders>
            <w:shd w:val="clear" w:color="auto" w:fill="auto"/>
            <w:vAlign w:val="center"/>
          </w:tcPr>
          <w:p w:rsidR="005E1771" w:rsidRDefault="00050BC3">
            <w:pPr>
              <w:spacing w:after="0" w:line="240" w:lineRule="auto"/>
              <w:jc w:val="center"/>
              <w:rPr>
                <w:color w:val="000000"/>
              </w:rPr>
            </w:pPr>
            <w:r>
              <w:rPr>
                <w:color w:val="000000"/>
              </w:rPr>
              <w:t>1806</w:t>
            </w:r>
          </w:p>
        </w:tc>
        <w:tc>
          <w:tcPr>
            <w:tcW w:w="2436" w:type="dxa"/>
            <w:tcBorders>
              <w:top w:val="single" w:sz="4" w:space="0" w:color="000000"/>
              <w:left w:val="nil"/>
              <w:bottom w:val="single" w:sz="4" w:space="0" w:color="000000"/>
              <w:right w:val="single" w:sz="4" w:space="0" w:color="000000"/>
            </w:tcBorders>
            <w:shd w:val="clear" w:color="auto" w:fill="auto"/>
            <w:vAlign w:val="center"/>
          </w:tcPr>
          <w:p w:rsidR="005E1771" w:rsidRDefault="00050BC3">
            <w:pPr>
              <w:spacing w:after="0" w:line="240" w:lineRule="auto"/>
              <w:jc w:val="center"/>
              <w:rPr>
                <w:color w:val="000000"/>
              </w:rPr>
            </w:pPr>
            <w:r>
              <w:rPr>
                <w:color w:val="000000"/>
              </w:rPr>
              <w:t>3619</w:t>
            </w:r>
          </w:p>
        </w:tc>
        <w:tc>
          <w:tcPr>
            <w:tcW w:w="2292" w:type="dxa"/>
            <w:tcBorders>
              <w:top w:val="single" w:sz="4" w:space="0" w:color="000000"/>
              <w:left w:val="single" w:sz="4" w:space="0" w:color="000000"/>
              <w:bottom w:val="single" w:sz="4" w:space="0" w:color="000000"/>
              <w:right w:val="single" w:sz="8" w:space="0" w:color="000000"/>
            </w:tcBorders>
            <w:shd w:val="clear" w:color="auto" w:fill="92D050"/>
            <w:vAlign w:val="center"/>
          </w:tcPr>
          <w:p w:rsidR="005E1771" w:rsidRDefault="00050BC3">
            <w:pPr>
              <w:spacing w:after="0" w:line="240" w:lineRule="auto"/>
              <w:jc w:val="center"/>
              <w:rPr>
                <w:color w:val="000000"/>
              </w:rPr>
            </w:pPr>
            <w:r>
              <w:rPr>
                <w:color w:val="000000"/>
              </w:rPr>
              <w:t>100,4</w:t>
            </w:r>
          </w:p>
        </w:tc>
      </w:tr>
    </w:tbl>
    <w:p w:rsidR="005E1771" w:rsidRDefault="00050BC3">
      <w:pPr>
        <w:widowControl w:val="0"/>
        <w:spacing w:before="120" w:after="0" w:line="276" w:lineRule="auto"/>
        <w:jc w:val="both"/>
        <w:rPr>
          <w:sz w:val="24"/>
          <w:szCs w:val="24"/>
        </w:rPr>
      </w:pPr>
      <w:r>
        <w:rPr>
          <w:b/>
          <w:sz w:val="24"/>
          <w:szCs w:val="24"/>
        </w:rPr>
        <w:t>Kaynak:</w:t>
      </w:r>
      <w:r>
        <w:rPr>
          <w:sz w:val="24"/>
          <w:szCs w:val="24"/>
        </w:rPr>
        <w:t xml:space="preserve"> sahibinden.com, Betam</w:t>
      </w:r>
    </w:p>
    <w:p w:rsidR="005E1771" w:rsidRDefault="005E1771">
      <w:pPr>
        <w:spacing w:after="0" w:line="276" w:lineRule="auto"/>
        <w:jc w:val="both"/>
      </w:pPr>
    </w:p>
    <w:p w:rsidR="005E1771" w:rsidRDefault="00050BC3">
      <w:pPr>
        <w:spacing w:after="0" w:line="276" w:lineRule="auto"/>
        <w:jc w:val="both"/>
        <w:rPr>
          <w:b/>
        </w:rPr>
      </w:pPr>
      <w:r>
        <w:rPr>
          <w:b/>
        </w:rPr>
        <w:t>Reel konut fiyatlarındaki artış hızı yükseldi</w:t>
      </w:r>
    </w:p>
    <w:p w:rsidR="005E1771" w:rsidRDefault="00050BC3">
      <w:pPr>
        <w:spacing w:after="0" w:line="276" w:lineRule="auto"/>
        <w:jc w:val="both"/>
      </w:pPr>
      <w:r>
        <w:t xml:space="preserve">2021 Aralık-2022 Şubat döneminde satılık konut reel fiyatlarındaki artış hızı %40-42 arasındayken </w:t>
      </w:r>
      <w:r w:rsidR="007A451F">
        <w:t>M</w:t>
      </w:r>
      <w:r>
        <w:t xml:space="preserve">art ayında belirgin bir yükselişle %45,4 oldu. Reel konut fiyatlarındaki artış </w:t>
      </w:r>
      <w:r w:rsidR="007A451F">
        <w:t>N</w:t>
      </w:r>
      <w:r>
        <w:t xml:space="preserve">isan ayında da devam etti, satılık konut reel fiyatlarındaki yıllık değişim %49,4’e yükseldi. </w:t>
      </w:r>
    </w:p>
    <w:p w:rsidR="005E1771" w:rsidRDefault="005E1771">
      <w:pPr>
        <w:spacing w:after="0" w:line="276" w:lineRule="auto"/>
        <w:jc w:val="both"/>
        <w:rPr>
          <w:b/>
        </w:rPr>
      </w:pPr>
    </w:p>
    <w:p w:rsidR="005E1771" w:rsidRDefault="00050BC3">
      <w:pPr>
        <w:spacing w:after="0" w:line="276" w:lineRule="auto"/>
        <w:jc w:val="both"/>
      </w:pPr>
      <w:r>
        <w:t xml:space="preserve">2020 Mayıs’tan itibaren sürekli artan ülke genelindeki reel konut fiyat endeksi, </w:t>
      </w:r>
      <w:r w:rsidR="007A451F">
        <w:t>M</w:t>
      </w:r>
      <w:r>
        <w:t>art ayında da yükselerek 142,7’ye ulaştı. Endeksin bu seviyesi satılık konut reel fiyatlarının 2017 Eylül dönemindeki değerini %42,7 aştığını gösterdi.</w:t>
      </w:r>
    </w:p>
    <w:p w:rsidR="005E1771" w:rsidRDefault="005E1771">
      <w:pPr>
        <w:spacing w:after="0" w:line="276" w:lineRule="auto"/>
        <w:jc w:val="both"/>
        <w:rPr>
          <w:b/>
        </w:rPr>
      </w:pPr>
    </w:p>
    <w:p w:rsidR="007A451F" w:rsidRDefault="007A451F">
      <w:pPr>
        <w:rPr>
          <w:b/>
        </w:rPr>
      </w:pPr>
      <w:r>
        <w:rPr>
          <w:b/>
        </w:rPr>
        <w:br w:type="page"/>
      </w:r>
    </w:p>
    <w:p w:rsidR="005E1771" w:rsidRDefault="00050BC3">
      <w:pPr>
        <w:rPr>
          <w:b/>
        </w:rPr>
      </w:pPr>
      <w:r>
        <w:rPr>
          <w:b/>
        </w:rPr>
        <w:lastRenderedPageBreak/>
        <w:t>Şekil 3: Türkiye genelinde reel konut fiyat endeksi (2017 Eylül=100)</w:t>
      </w:r>
    </w:p>
    <w:p w:rsidR="005E1771" w:rsidRDefault="00050BC3">
      <w:pPr>
        <w:jc w:val="center"/>
        <w:rPr>
          <w:rFonts w:ascii="Cambria" w:eastAsia="Cambria" w:hAnsi="Cambria" w:cs="Cambria"/>
          <w:b/>
        </w:rPr>
      </w:pPr>
      <w:r>
        <w:rPr>
          <w:rFonts w:ascii="Cambria" w:eastAsia="Cambria" w:hAnsi="Cambria" w:cs="Cambria"/>
          <w:b/>
          <w:noProof/>
        </w:rPr>
        <w:drawing>
          <wp:inline distT="0" distB="0" distL="0" distR="0">
            <wp:extent cx="4099680" cy="2304000"/>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4099680" cy="2304000"/>
                    </a:xfrm>
                    <a:prstGeom prst="rect">
                      <a:avLst/>
                    </a:prstGeom>
                    <a:ln/>
                  </pic:spPr>
                </pic:pic>
              </a:graphicData>
            </a:graphic>
          </wp:inline>
        </w:drawing>
      </w:r>
    </w:p>
    <w:p w:rsidR="005E1771" w:rsidRDefault="00050BC3">
      <w:pPr>
        <w:spacing w:before="120" w:after="0" w:line="276" w:lineRule="auto"/>
        <w:jc w:val="both"/>
      </w:pPr>
      <w:r>
        <w:rPr>
          <w:b/>
        </w:rPr>
        <w:t>Kaynak:</w:t>
      </w:r>
      <w:r>
        <w:t xml:space="preserve"> sahibinden.com, Betam</w:t>
      </w:r>
    </w:p>
    <w:p w:rsidR="005E1771" w:rsidRDefault="005E1771">
      <w:pPr>
        <w:spacing w:after="0" w:line="276" w:lineRule="auto"/>
        <w:jc w:val="both"/>
        <w:rPr>
          <w:rFonts w:ascii="Cambria" w:eastAsia="Cambria" w:hAnsi="Cambria" w:cs="Cambria"/>
          <w:highlight w:val="yellow"/>
        </w:rPr>
      </w:pPr>
    </w:p>
    <w:p w:rsidR="005E1771" w:rsidRDefault="00050BC3">
      <w:pPr>
        <w:spacing w:after="0" w:line="276" w:lineRule="auto"/>
        <w:jc w:val="both"/>
        <w:rPr>
          <w:b/>
        </w:rPr>
      </w:pPr>
      <w:r>
        <w:rPr>
          <w:b/>
        </w:rPr>
        <w:t>Üç büyük ildeki reel satış fiyatı artış hızı yükseldi</w:t>
      </w:r>
    </w:p>
    <w:p w:rsidR="005E1771" w:rsidRDefault="00050BC3">
      <w:pPr>
        <w:spacing w:after="0" w:line="276" w:lineRule="auto"/>
        <w:jc w:val="both"/>
      </w:pPr>
      <w:r>
        <w:t xml:space="preserve">Reel satış fiyatı artış hızı üç büyük ilde de yükselmiştir. Reel satış fiyatı artış hızı geçen aya göre İstanbul’da 5,5 puan, Ankara’da 2,7 puan, İzmir’de ise 3,5 puan yükseldi. Böylece, satılık konut reel fiyatlarındaki yıllık artış oranı İstanbul'da %73,4, Ankara'da %36,7 ve İzmir'de %41,5 oldu. </w:t>
      </w:r>
    </w:p>
    <w:p w:rsidR="005E1771" w:rsidRDefault="005E1771">
      <w:pPr>
        <w:spacing w:after="0" w:line="276" w:lineRule="auto"/>
        <w:jc w:val="both"/>
        <w:rPr>
          <w:b/>
        </w:rPr>
      </w:pPr>
    </w:p>
    <w:p w:rsidR="005E1771" w:rsidRDefault="00050BC3">
      <w:pPr>
        <w:widowControl w:val="0"/>
        <w:spacing w:after="0" w:line="240" w:lineRule="auto"/>
        <w:rPr>
          <w:sz w:val="24"/>
          <w:szCs w:val="24"/>
        </w:rPr>
      </w:pPr>
      <w:r>
        <w:rPr>
          <w:b/>
        </w:rPr>
        <w:t>Şekil 4: Üç büyük ilde satılık konut reel fiyatlarının yıllık değişimi (%)</w:t>
      </w:r>
    </w:p>
    <w:p w:rsidR="005E1771" w:rsidRDefault="00050BC3">
      <w:pPr>
        <w:widowControl w:val="0"/>
        <w:spacing w:after="0" w:line="276" w:lineRule="auto"/>
      </w:pPr>
      <w:r>
        <w:rPr>
          <w:noProof/>
        </w:rPr>
        <w:drawing>
          <wp:inline distT="0" distB="0" distL="0" distR="0">
            <wp:extent cx="2760252" cy="1616400"/>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760252" cy="1616400"/>
                    </a:xfrm>
                    <a:prstGeom prst="rect">
                      <a:avLst/>
                    </a:prstGeom>
                    <a:ln/>
                  </pic:spPr>
                </pic:pic>
              </a:graphicData>
            </a:graphic>
          </wp:inline>
        </w:drawing>
      </w:r>
      <w:r>
        <w:rPr>
          <w:noProof/>
        </w:rPr>
        <w:drawing>
          <wp:inline distT="0" distB="0" distL="0" distR="0">
            <wp:extent cx="2731740" cy="1616400"/>
            <wp:effectExtent l="0" t="0" r="0" b="0"/>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2731740" cy="1616400"/>
                    </a:xfrm>
                    <a:prstGeom prst="rect">
                      <a:avLst/>
                    </a:prstGeom>
                    <a:ln/>
                  </pic:spPr>
                </pic:pic>
              </a:graphicData>
            </a:graphic>
          </wp:inline>
        </w:drawing>
      </w:r>
    </w:p>
    <w:p w:rsidR="005E1771" w:rsidRDefault="005E1771">
      <w:pPr>
        <w:widowControl w:val="0"/>
        <w:spacing w:after="0" w:line="276" w:lineRule="auto"/>
      </w:pPr>
    </w:p>
    <w:p w:rsidR="005E1771" w:rsidRDefault="00050BC3">
      <w:pPr>
        <w:widowControl w:val="0"/>
        <w:spacing w:after="0" w:line="276" w:lineRule="auto"/>
        <w:jc w:val="center"/>
      </w:pPr>
      <w:r>
        <w:rPr>
          <w:noProof/>
        </w:rPr>
        <w:drawing>
          <wp:inline distT="0" distB="0" distL="0" distR="0">
            <wp:extent cx="2730001" cy="1616400"/>
            <wp:effectExtent l="0" t="0" r="0"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2730001" cy="1616400"/>
                    </a:xfrm>
                    <a:prstGeom prst="rect">
                      <a:avLst/>
                    </a:prstGeom>
                    <a:ln/>
                  </pic:spPr>
                </pic:pic>
              </a:graphicData>
            </a:graphic>
          </wp:inline>
        </w:drawing>
      </w:r>
    </w:p>
    <w:p w:rsidR="005E1771" w:rsidRDefault="00050BC3">
      <w:pPr>
        <w:widowControl w:val="0"/>
        <w:spacing w:after="0" w:line="276" w:lineRule="auto"/>
      </w:pPr>
      <w:r>
        <w:rPr>
          <w:b/>
        </w:rPr>
        <w:t>Kaynak:</w:t>
      </w:r>
      <w:r>
        <w:t xml:space="preserve"> sahibinden.com, Betam</w:t>
      </w:r>
    </w:p>
    <w:p w:rsidR="005E1771" w:rsidRDefault="005E1771">
      <w:pPr>
        <w:spacing w:after="0" w:line="276" w:lineRule="auto"/>
        <w:jc w:val="both"/>
        <w:rPr>
          <w:b/>
        </w:rPr>
      </w:pPr>
    </w:p>
    <w:p w:rsidR="007A451F" w:rsidRDefault="007A451F">
      <w:pPr>
        <w:rPr>
          <w:b/>
          <w:i/>
        </w:rPr>
      </w:pPr>
      <w:r>
        <w:rPr>
          <w:b/>
          <w:i/>
        </w:rPr>
        <w:br w:type="page"/>
      </w:r>
    </w:p>
    <w:p w:rsidR="005E1771" w:rsidRDefault="00050BC3">
      <w:pPr>
        <w:spacing w:after="0" w:line="276" w:lineRule="auto"/>
        <w:jc w:val="both"/>
        <w:rPr>
          <w:b/>
          <w:i/>
        </w:rPr>
      </w:pPr>
      <w:r>
        <w:rPr>
          <w:b/>
          <w:i/>
        </w:rPr>
        <w:lastRenderedPageBreak/>
        <w:t>Üç büyük ilde reel satış fiyat endeksi yükselmeye devam ediyor</w:t>
      </w:r>
    </w:p>
    <w:p w:rsidR="005E1771" w:rsidRDefault="00050BC3">
      <w:pPr>
        <w:spacing w:after="0" w:line="276" w:lineRule="auto"/>
        <w:jc w:val="both"/>
      </w:pPr>
      <w:r>
        <w:t xml:space="preserve">Reel satış fiyatları üç büyük ilde de yükseldi. Reel konut fiyat endeksi İstanbul’da 159, Ankara’da 140,3, İzmir’de ise 143,7’ye ulaştı. Reel satış fiyat endeksinde artış özellikle İstanbul’da belirgin olduğu görüldü. Nisan ayı verileri satılık konut reel fiyatlarının 2017 Eylül’deki seviyesine kıyasla İstanbul’da %59, Ankara’da %40,3 ve İzmir’de %43,7 oranında yüksek olduğunu </w:t>
      </w:r>
      <w:proofErr w:type="spellStart"/>
      <w:r>
        <w:t>görülüdü</w:t>
      </w:r>
      <w:proofErr w:type="spellEnd"/>
      <w:r>
        <w:t>.</w:t>
      </w:r>
    </w:p>
    <w:p w:rsidR="005E1771" w:rsidRDefault="005E1771">
      <w:pPr>
        <w:spacing w:after="0" w:line="276" w:lineRule="auto"/>
        <w:jc w:val="both"/>
      </w:pPr>
    </w:p>
    <w:p w:rsidR="005E1771" w:rsidRDefault="00050BC3">
      <w:pPr>
        <w:widowControl w:val="0"/>
        <w:spacing w:after="0" w:line="276" w:lineRule="auto"/>
        <w:jc w:val="both"/>
        <w:rPr>
          <w:b/>
        </w:rPr>
      </w:pPr>
      <w:r>
        <w:rPr>
          <w:b/>
        </w:rPr>
        <w:t>Şekil 5: Üç büyük ilde reel satılık fiyatları (2017 Eylül=100)</w:t>
      </w:r>
    </w:p>
    <w:p w:rsidR="005E1771" w:rsidRDefault="00050BC3">
      <w:pPr>
        <w:widowControl w:val="0"/>
        <w:spacing w:after="0" w:line="276" w:lineRule="auto"/>
        <w:jc w:val="center"/>
      </w:pPr>
      <w:r>
        <w:rPr>
          <w:noProof/>
        </w:rPr>
        <w:drawing>
          <wp:inline distT="0" distB="0" distL="0" distR="0">
            <wp:extent cx="3051333" cy="1730829"/>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3051333" cy="1730829"/>
                    </a:xfrm>
                    <a:prstGeom prst="rect">
                      <a:avLst/>
                    </a:prstGeom>
                    <a:ln/>
                  </pic:spPr>
                </pic:pic>
              </a:graphicData>
            </a:graphic>
          </wp:inline>
        </w:drawing>
      </w:r>
    </w:p>
    <w:p w:rsidR="005E1771" w:rsidRDefault="00050BC3">
      <w:pPr>
        <w:widowControl w:val="0"/>
        <w:spacing w:after="0" w:line="276" w:lineRule="auto"/>
      </w:pPr>
      <w:r>
        <w:rPr>
          <w:b/>
        </w:rPr>
        <w:t>Kaynak:</w:t>
      </w:r>
      <w:r>
        <w:t xml:space="preserve"> sahibinden.com, Betam</w:t>
      </w:r>
    </w:p>
    <w:p w:rsidR="005E1771" w:rsidRDefault="005E1771">
      <w:pPr>
        <w:spacing w:after="0" w:line="276" w:lineRule="auto"/>
        <w:jc w:val="both"/>
        <w:rPr>
          <w:b/>
        </w:rPr>
      </w:pPr>
    </w:p>
    <w:p w:rsidR="005E1771" w:rsidRDefault="00050BC3">
      <w:pPr>
        <w:spacing w:after="0" w:line="276" w:lineRule="auto"/>
        <w:jc w:val="both"/>
        <w:rPr>
          <w:b/>
          <w:i/>
        </w:rPr>
      </w:pPr>
      <w:r>
        <w:rPr>
          <w:b/>
          <w:i/>
        </w:rPr>
        <w:t>Konut arzında sınırlı azalış</w:t>
      </w:r>
    </w:p>
    <w:p w:rsidR="005E1771" w:rsidRDefault="00050BC3">
      <w:pPr>
        <w:spacing w:after="0" w:line="276" w:lineRule="auto"/>
        <w:jc w:val="both"/>
      </w:pPr>
      <w:r>
        <w:t>Satılık konut ilan sayısı hem ülke genelinde hem de üç büyük ilde sınırlı oranda düştü. Satılık konut arzı geçen aya kıyasla ülke genelinde %0,9 (746 binden 739 bine), İstanbul'da %0,5 (201 binden 200 bine), Ankara'da %3,4 (71.3 binden 68.9 bine), İzmir'de ise %1 (59.4 binden 58.8 bine) geriledi.</w:t>
      </w:r>
    </w:p>
    <w:p w:rsidR="005E1771" w:rsidRDefault="005E1771">
      <w:pPr>
        <w:spacing w:after="0" w:line="276" w:lineRule="auto"/>
        <w:jc w:val="both"/>
        <w:rPr>
          <w:b/>
        </w:rPr>
      </w:pPr>
    </w:p>
    <w:p w:rsidR="005E1771" w:rsidRDefault="00050BC3">
      <w:pPr>
        <w:spacing w:after="0" w:line="276" w:lineRule="auto"/>
        <w:rPr>
          <w:b/>
        </w:rPr>
      </w:pPr>
      <w:r>
        <w:rPr>
          <w:b/>
        </w:rPr>
        <w:t>Şekil 6: Türkiye ve üç büyük ilde satılık ilan sayısı (adet)</w:t>
      </w:r>
    </w:p>
    <w:p w:rsidR="005E1771" w:rsidRDefault="00050BC3">
      <w:pPr>
        <w:spacing w:after="0" w:line="276" w:lineRule="auto"/>
        <w:jc w:val="center"/>
        <w:rPr>
          <w:rFonts w:ascii="Cambria" w:eastAsia="Cambria" w:hAnsi="Cambria" w:cs="Cambria"/>
        </w:rPr>
      </w:pPr>
      <w:r>
        <w:rPr>
          <w:rFonts w:ascii="Cambria" w:eastAsia="Cambria" w:hAnsi="Cambria" w:cs="Cambria"/>
          <w:noProof/>
        </w:rPr>
        <w:drawing>
          <wp:inline distT="0" distB="0" distL="0" distR="0">
            <wp:extent cx="3659712" cy="2112983"/>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3659712" cy="2112983"/>
                    </a:xfrm>
                    <a:prstGeom prst="rect">
                      <a:avLst/>
                    </a:prstGeom>
                    <a:ln/>
                  </pic:spPr>
                </pic:pic>
              </a:graphicData>
            </a:graphic>
          </wp:inline>
        </w:drawing>
      </w:r>
    </w:p>
    <w:p w:rsidR="005E1771" w:rsidRDefault="00050BC3">
      <w:pPr>
        <w:widowControl w:val="0"/>
        <w:spacing w:after="0" w:line="276" w:lineRule="auto"/>
      </w:pPr>
      <w:r>
        <w:rPr>
          <w:b/>
        </w:rPr>
        <w:t>Kaynak:</w:t>
      </w:r>
      <w:r>
        <w:t xml:space="preserve"> sahibinden.com, Betam</w:t>
      </w:r>
    </w:p>
    <w:p w:rsidR="005E1771" w:rsidRDefault="005E1771">
      <w:pPr>
        <w:spacing w:after="0" w:line="276" w:lineRule="auto"/>
        <w:jc w:val="both"/>
        <w:rPr>
          <w:b/>
          <w:i/>
        </w:rPr>
      </w:pPr>
    </w:p>
    <w:p w:rsidR="005E1771" w:rsidRDefault="00050BC3">
      <w:pPr>
        <w:spacing w:after="0" w:line="276" w:lineRule="auto"/>
        <w:jc w:val="both"/>
        <w:rPr>
          <w:b/>
          <w:i/>
        </w:rPr>
      </w:pPr>
      <w:r>
        <w:rPr>
          <w:b/>
          <w:i/>
        </w:rPr>
        <w:t xml:space="preserve">İşyeri fiyatlarındaki yıllık artış oranı en yüksek seviyeye ulaştı  </w:t>
      </w:r>
    </w:p>
    <w:p w:rsidR="005E1771" w:rsidRDefault="00050BC3">
      <w:pPr>
        <w:spacing w:after="0" w:line="276" w:lineRule="auto"/>
        <w:jc w:val="both"/>
      </w:pPr>
      <w:r>
        <w:t>Konut piyasasındaki özgün gelişmeleri</w:t>
      </w:r>
      <w:r w:rsidR="007A451F">
        <w:t>n</w:t>
      </w:r>
      <w:r>
        <w:t xml:space="preserve"> incelendiği raporda</w:t>
      </w:r>
      <w:r w:rsidR="007A451F">
        <w:t>,</w:t>
      </w:r>
      <w:r>
        <w:t xml:space="preserve"> satılık işyeri fiyatlarındaki gelişmeler de mercek altına alındı. Hem konut piyasasına alternatif bir yatırım aracı olması hem de ekonomik </w:t>
      </w:r>
      <w:proofErr w:type="gramStart"/>
      <w:r>
        <w:t>konjonktürü</w:t>
      </w:r>
      <w:proofErr w:type="gramEnd"/>
      <w:r>
        <w:t xml:space="preserve"> yakından ilgilendirmesi bakımından satılık işyerlerindeki fiyat hareketleri değerlendirildi. Bu amaçla 2020 Nisan ayından sonraki dönemde üç büyük ildeki işyeri fiyatlarındaki gelişmeler incelendi. Analizde, hem satılık işyeri kategorisinde en fazla ilan sayısına sahip olması hem de kullanım </w:t>
      </w:r>
      <w:r>
        <w:lastRenderedPageBreak/>
        <w:t xml:space="preserve">amaçlarının sınırlanmamış olması sebebiyle sadece “Dükkân &amp; Mağaza” kategorisinde yer alan ilanlar kullanıldı. </w:t>
      </w:r>
    </w:p>
    <w:p w:rsidR="005E1771" w:rsidRDefault="005E1771">
      <w:pPr>
        <w:spacing w:after="0" w:line="276" w:lineRule="auto"/>
        <w:jc w:val="both"/>
      </w:pPr>
    </w:p>
    <w:p w:rsidR="005E1771" w:rsidRDefault="00050BC3">
      <w:pPr>
        <w:spacing w:after="0" w:line="276" w:lineRule="auto"/>
        <w:jc w:val="both"/>
      </w:pPr>
      <w:r>
        <w:t>Üç büyük ilde (Ankara, İzmir, İs</w:t>
      </w:r>
      <w:r w:rsidR="007A451F">
        <w:t>tanbul) yıllık artış oranları</w:t>
      </w:r>
      <w:r>
        <w:t xml:space="preserve"> birbirine paralel bir seyir izledi. İşyeri fiyatlarındaki yıllık artış oranı</w:t>
      </w:r>
      <w:r w:rsidR="007A451F">
        <w:t>,</w:t>
      </w:r>
      <w:r>
        <w:t xml:space="preserve"> 2021 Nisan-Ekim arasında yaklaşık %30 civarındayken takip eden dönemde giderek yükseldi. Önceki raporlarda aynı dönemde konut fiyatlarındaki artış hızının da yükseldiğini ve tasarruf sahiplerinin döviz kurlarında ve enflasyon oranında ortaya çıkan yüksek artışlar karşısında kendilerini koruma amacıyla satılık konut tercih ettikleri görüldü. Benzer sebepler satılık işyeri fiyatlarında ortaya çıkan bu belirgin yükselişte de kendini gösterdi. Bununla birlikte işyeri satış fiyatlarında artışın konut fiyatlarındaki artışın altında kaldığı dikkat çekti. </w:t>
      </w:r>
    </w:p>
    <w:p w:rsidR="005E1771" w:rsidRDefault="005E1771">
      <w:pPr>
        <w:spacing w:after="0" w:line="276" w:lineRule="auto"/>
        <w:rPr>
          <w:b/>
        </w:rPr>
      </w:pPr>
    </w:p>
    <w:p w:rsidR="005E1771" w:rsidRDefault="00050BC3">
      <w:pPr>
        <w:spacing w:after="0" w:line="276" w:lineRule="auto"/>
        <w:rPr>
          <w:b/>
        </w:rPr>
      </w:pPr>
      <w:r>
        <w:rPr>
          <w:b/>
        </w:rPr>
        <w:t>Şekil 12: Üç büyük ilde satılık iş yeri ilan fiyatlarının yıllık değişimi (%)</w:t>
      </w:r>
    </w:p>
    <w:p w:rsidR="005E1771" w:rsidRDefault="00050BC3">
      <w:pPr>
        <w:spacing w:after="0" w:line="276" w:lineRule="auto"/>
        <w:jc w:val="center"/>
        <w:rPr>
          <w:rFonts w:ascii="Cambria" w:eastAsia="Cambria" w:hAnsi="Cambria" w:cs="Cambria"/>
          <w:b/>
          <w:sz w:val="24"/>
          <w:szCs w:val="24"/>
        </w:rPr>
      </w:pPr>
      <w:r>
        <w:rPr>
          <w:rFonts w:ascii="Cambria" w:eastAsia="Cambria" w:hAnsi="Cambria" w:cs="Cambria"/>
          <w:b/>
          <w:noProof/>
          <w:sz w:val="24"/>
          <w:szCs w:val="24"/>
        </w:rPr>
        <w:drawing>
          <wp:inline distT="0" distB="0" distL="0" distR="0">
            <wp:extent cx="4001234" cy="2340000"/>
            <wp:effectExtent l="0" t="0" r="0" b="0"/>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4001234" cy="2340000"/>
                    </a:xfrm>
                    <a:prstGeom prst="rect">
                      <a:avLst/>
                    </a:prstGeom>
                    <a:ln/>
                  </pic:spPr>
                </pic:pic>
              </a:graphicData>
            </a:graphic>
          </wp:inline>
        </w:drawing>
      </w:r>
    </w:p>
    <w:p w:rsidR="005E1771" w:rsidRDefault="00050BC3">
      <w:pPr>
        <w:widowControl w:val="0"/>
        <w:spacing w:after="0" w:line="276" w:lineRule="auto"/>
      </w:pPr>
      <w:r>
        <w:rPr>
          <w:b/>
        </w:rPr>
        <w:t>Kaynak:</w:t>
      </w:r>
      <w:r>
        <w:t xml:space="preserve"> sahibinden.com, Betam</w:t>
      </w:r>
    </w:p>
    <w:p w:rsidR="005E1771" w:rsidRDefault="005E1771">
      <w:pPr>
        <w:spacing w:after="0" w:line="276" w:lineRule="auto"/>
        <w:jc w:val="both"/>
        <w:rPr>
          <w:rFonts w:ascii="Cambria" w:eastAsia="Cambria" w:hAnsi="Cambria" w:cs="Cambria"/>
        </w:rPr>
      </w:pPr>
    </w:p>
    <w:p w:rsidR="005E1771" w:rsidRDefault="00050BC3">
      <w:pPr>
        <w:spacing w:after="0" w:line="276" w:lineRule="auto"/>
        <w:jc w:val="both"/>
      </w:pPr>
      <w:r>
        <w:t>Nisan ayı verilerine göre işyeri fiyatlarındaki yıllık artış oranları</w:t>
      </w:r>
      <w:r w:rsidR="007A451F">
        <w:t>,</w:t>
      </w:r>
      <w:r>
        <w:t xml:space="preserve"> incele</w:t>
      </w:r>
      <w:r w:rsidR="007A451F">
        <w:t>n</w:t>
      </w:r>
      <w:r>
        <w:t>diği dönemdeki en yüksek seviyeye ulaştı. Satılık işyeri fiyatındaki yıllık artış oranı İstanbul’da %98, Ankara’da %93,6, İzmir’de ise %91,5 oldu. Böylece, ortalama satılık işyeri m2 fiyatı İstanbul’da 24.108 TL’ye, Ankara’da 14.084 TL’ye, İzmir’de ise 18.955 TL’ye yükseldi.</w:t>
      </w:r>
    </w:p>
    <w:p w:rsidR="005E1771" w:rsidRDefault="005E1771">
      <w:pPr>
        <w:spacing w:after="0" w:line="276" w:lineRule="auto"/>
        <w:jc w:val="both"/>
      </w:pPr>
    </w:p>
    <w:p w:rsidR="005E1771" w:rsidRDefault="00050BC3">
      <w:pPr>
        <w:spacing w:after="0" w:line="276" w:lineRule="auto"/>
        <w:jc w:val="both"/>
      </w:pPr>
      <w:r>
        <w:t xml:space="preserve">Ortalama satılık işyeri m2 ilan fiyatlarında görülen bu yüksek artışlar işyerlerinin reel fiyatlarının (enflasyondan arındırılmış) da arttığını gösterdi. Son verilere göre işyerlerinin reel fiyatlarındaki yıllık artış oranı İstanbul’da %21,1, Ankara’da %13,2, İzmir’de ise %14,8 oldu. </w:t>
      </w:r>
    </w:p>
    <w:p w:rsidR="005E1771" w:rsidRDefault="005E1771">
      <w:pPr>
        <w:spacing w:after="0" w:line="276" w:lineRule="auto"/>
        <w:jc w:val="both"/>
      </w:pPr>
    </w:p>
    <w:p w:rsidR="005E1771" w:rsidRDefault="00050BC3">
      <w:pPr>
        <w:pBdr>
          <w:top w:val="nil"/>
          <w:left w:val="nil"/>
          <w:bottom w:val="nil"/>
          <w:right w:val="nil"/>
          <w:between w:val="nil"/>
        </w:pBdr>
        <w:spacing w:after="0" w:line="276" w:lineRule="auto"/>
        <w:jc w:val="both"/>
        <w:rPr>
          <w:color w:val="000000"/>
        </w:rPr>
      </w:pPr>
      <w:r>
        <w:rPr>
          <w:color w:val="000000"/>
        </w:rPr>
        <w:t xml:space="preserve">Raporun tamamına </w:t>
      </w:r>
      <w:r>
        <w:rPr>
          <w:b/>
          <w:color w:val="0000FF"/>
          <w:u w:val="single"/>
        </w:rPr>
        <w:t>buradan</w:t>
      </w:r>
      <w:r>
        <w:rPr>
          <w:color w:val="000000"/>
        </w:rPr>
        <w:t xml:space="preserve"> ulaşabilirsiniz. </w:t>
      </w:r>
    </w:p>
    <w:p w:rsidR="005E1771" w:rsidRDefault="005E1771">
      <w:pPr>
        <w:spacing w:after="0" w:line="276" w:lineRule="auto"/>
        <w:jc w:val="both"/>
      </w:pPr>
    </w:p>
    <w:p w:rsidR="005E1771" w:rsidRDefault="00050BC3">
      <w:pPr>
        <w:spacing w:after="0" w:line="276" w:lineRule="auto"/>
        <w:jc w:val="both"/>
        <w:rPr>
          <w:b/>
        </w:rPr>
      </w:pPr>
      <w:proofErr w:type="gramStart"/>
      <w:r>
        <w:rPr>
          <w:b/>
        </w:rPr>
        <w:t>sahibinden</w:t>
      </w:r>
      <w:proofErr w:type="gramEnd"/>
      <w:r>
        <w:rPr>
          <w:b/>
        </w:rPr>
        <w:t>.com hakkında</w:t>
      </w:r>
    </w:p>
    <w:p w:rsidR="00CB26DC" w:rsidRDefault="00050BC3">
      <w:pPr>
        <w:spacing w:after="0" w:line="276" w:lineRule="auto"/>
        <w:jc w:val="both"/>
      </w:pPr>
      <w:bookmarkStart w:id="2" w:name="_30j0zll" w:colFirst="0" w:colLast="0"/>
      <w:bookmarkEnd w:id="2"/>
      <w:r>
        <w:t xml:space="preserve">Aksoy </w:t>
      </w:r>
      <w:proofErr w:type="spellStart"/>
      <w:r>
        <w:t>Group</w:t>
      </w:r>
      <w:proofErr w:type="spellEnd"/>
      <w:r>
        <w:t xml:space="preserve"> bünyesinde 2000 yılında kurulan sahibinden.com, AR-GE merkezinde geliştirdiği yenilikçi ürün ve hizmetlerle Türkiye’nin lider teknoloji şirketlerinden biri olmaya devam ediyor. Aralık 2021’de ayda 58,1 milyon kullanıcının 463,4 milyon kez ziyaret ederek, 12,7 milyar sayfa görüntülediği sahibinden.com; 900’den fazla çalışanı, 5 milyondan fazla aktif ilan ve yüz binlerce ürün çeşidiyle Türkiye’nin en büyük elektronik ticaret ve ilan platformlarından birisi olma özelliğini taşıyor.</w:t>
      </w:r>
      <w:r w:rsidR="003B0B01">
        <w:t xml:space="preserve"> Aldığı </w:t>
      </w:r>
      <w:r w:rsidR="003B0B01">
        <w:lastRenderedPageBreak/>
        <w:t>ulusal ve uluslararası ödüllerle de başarısını kanıtlayan sahibinden.com,</w:t>
      </w:r>
      <w:r w:rsidR="00CB26DC">
        <w:t xml:space="preserve"> </w:t>
      </w:r>
      <w:proofErr w:type="spellStart"/>
      <w:r w:rsidR="00CB26DC">
        <w:t>T</w:t>
      </w:r>
      <w:r w:rsidR="00CB26DC" w:rsidRPr="00CB26DC">
        <w:t>ech</w:t>
      </w:r>
      <w:proofErr w:type="spellEnd"/>
      <w:r w:rsidR="003B0B01">
        <w:t xml:space="preserve"> </w:t>
      </w:r>
      <w:proofErr w:type="spellStart"/>
      <w:r w:rsidR="003B0B01">
        <w:t>Brands</w:t>
      </w:r>
      <w:proofErr w:type="spellEnd"/>
      <w:r w:rsidR="003B0B01">
        <w:t xml:space="preserve"> Turkey |</w:t>
      </w:r>
      <w:r w:rsidR="00CB26DC">
        <w:t xml:space="preserve"> Online Alışveriş &amp; İlan kategorisinde Türkiye’nin en teknolojik markası unvanına sahip.</w:t>
      </w:r>
      <w:r w:rsidR="00CB26DC" w:rsidRPr="00CB26DC">
        <w:t xml:space="preserve"> </w:t>
      </w:r>
    </w:p>
    <w:p w:rsidR="005E1771" w:rsidRDefault="005E1771">
      <w:pPr>
        <w:spacing w:after="0" w:line="276" w:lineRule="auto"/>
        <w:jc w:val="both"/>
      </w:pPr>
    </w:p>
    <w:p w:rsidR="005E1771" w:rsidRDefault="00050BC3">
      <w:pPr>
        <w:spacing w:after="0" w:line="276" w:lineRule="auto"/>
        <w:jc w:val="both"/>
      </w:pPr>
      <w:bookmarkStart w:id="3" w:name="_1fob9te" w:colFirst="0" w:colLast="0"/>
      <w:bookmarkEnd w:id="3"/>
      <w:proofErr w:type="gramStart"/>
      <w:r>
        <w:t>sahibinden</w:t>
      </w:r>
      <w:proofErr w:type="gramEnd"/>
      <w:r>
        <w:t xml:space="preserve">.com güçlü teknolojik altyapısı ve çağın şartlarına uygun olarak geliştirdiği iş modeli sayesinde ikinci el ürünlerin satış yoluyla tekrar kullanıma kazandırılmasına aracılık ederek çevresel sürdürülebilirliğe katkı sağlıyor. </w:t>
      </w:r>
      <w:proofErr w:type="gramStart"/>
      <w:r>
        <w:t>sahibinden</w:t>
      </w:r>
      <w:proofErr w:type="gramEnd"/>
      <w:r>
        <w:t>.com, 2021 yılında açıkladığı İkinci Elin Sürdürülebilirliğe Katkısı raporunda kullanıcıların ikinci el ürünleri tercih ederek 1 yılda 1,9 milyon ton karbondioksit üretiminden tasarruf ettiğini ortaya koydu. Yeşil Ofis Sertifikası almaya hak kazanan ilk e-ticaret şirketi olan sahibinden.com; uzun yıllardır enerji tasarrufu, yenilenebilir kaynaklar ve doğal kaynakların bilinçli kullanımı konusunda kurum içi çalışmalar gerçekleştiriyor. Teknoloji endüstrisini karbon-</w:t>
      </w:r>
      <w:proofErr w:type="gramStart"/>
      <w:r>
        <w:t>nötr</w:t>
      </w:r>
      <w:proofErr w:type="gramEnd"/>
      <w:r>
        <w:t xml:space="preserve"> hale getirmeyi hedefleyen LFCA (</w:t>
      </w:r>
      <w:proofErr w:type="spellStart"/>
      <w:r>
        <w:t>Leaders</w:t>
      </w:r>
      <w:proofErr w:type="spellEnd"/>
      <w:r>
        <w:t xml:space="preserve"> </w:t>
      </w:r>
      <w:proofErr w:type="spellStart"/>
      <w:r>
        <w:t>for</w:t>
      </w:r>
      <w:proofErr w:type="spellEnd"/>
      <w:r>
        <w:t xml:space="preserve"> </w:t>
      </w:r>
      <w:proofErr w:type="spellStart"/>
      <w:r>
        <w:t>Climate</w:t>
      </w:r>
      <w:proofErr w:type="spellEnd"/>
      <w:r>
        <w:t xml:space="preserve"> Action) üyeliği bulunan şirketin çalışanları da birer sürdürülebilirlik elçisi olarak çalışmalarına aralıksız devam ediyor.</w:t>
      </w:r>
    </w:p>
    <w:p w:rsidR="005E1771" w:rsidRDefault="005E1771">
      <w:pPr>
        <w:spacing w:after="120" w:line="276" w:lineRule="auto"/>
        <w:jc w:val="both"/>
      </w:pPr>
    </w:p>
    <w:sectPr w:rsidR="005E1771">
      <w:headerReference w:type="default" r:id="rId13"/>
      <w:footerReference w:type="default" r:id="rId14"/>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2D2" w:rsidRDefault="005F22D2">
      <w:pPr>
        <w:spacing w:after="0" w:line="240" w:lineRule="auto"/>
      </w:pPr>
      <w:r>
        <w:separator/>
      </w:r>
    </w:p>
  </w:endnote>
  <w:endnote w:type="continuationSeparator" w:id="0">
    <w:p w:rsidR="005F22D2" w:rsidRDefault="005F2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771" w:rsidRDefault="005E177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2D2" w:rsidRDefault="005F22D2">
      <w:pPr>
        <w:spacing w:after="0" w:line="240" w:lineRule="auto"/>
      </w:pPr>
      <w:r>
        <w:separator/>
      </w:r>
    </w:p>
  </w:footnote>
  <w:footnote w:type="continuationSeparator" w:id="0">
    <w:p w:rsidR="005F22D2" w:rsidRDefault="005F2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771" w:rsidRDefault="00050BC3">
    <w:pPr>
      <w:pBdr>
        <w:top w:val="nil"/>
        <w:left w:val="nil"/>
        <w:bottom w:val="nil"/>
        <w:right w:val="nil"/>
        <w:between w:val="nil"/>
      </w:pBdr>
      <w:tabs>
        <w:tab w:val="center" w:pos="4536"/>
        <w:tab w:val="right" w:pos="9072"/>
      </w:tabs>
      <w:spacing w:after="0" w:line="240" w:lineRule="auto"/>
      <w:jc w:val="center"/>
      <w:rPr>
        <w:color w:val="000000"/>
      </w:rPr>
    </w:pPr>
    <w:r>
      <w:rPr>
        <w:noProof/>
        <w:color w:val="000000"/>
      </w:rPr>
      <w:drawing>
        <wp:inline distT="0" distB="0" distL="0" distR="0">
          <wp:extent cx="2482688" cy="533195"/>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482688" cy="533195"/>
                  </a:xfrm>
                  <a:prstGeom prst="rect">
                    <a:avLst/>
                  </a:prstGeom>
                  <a:ln/>
                </pic:spPr>
              </pic:pic>
            </a:graphicData>
          </a:graphic>
        </wp:inline>
      </w:drawing>
    </w:r>
  </w:p>
  <w:p w:rsidR="005E1771" w:rsidRDefault="005E177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771"/>
    <w:rsid w:val="00050BC3"/>
    <w:rsid w:val="001B368A"/>
    <w:rsid w:val="003236A3"/>
    <w:rsid w:val="00374FB7"/>
    <w:rsid w:val="003B0B01"/>
    <w:rsid w:val="005E1771"/>
    <w:rsid w:val="005F22D2"/>
    <w:rsid w:val="007A451F"/>
    <w:rsid w:val="007B09C7"/>
    <w:rsid w:val="00915C8C"/>
    <w:rsid w:val="00AA3F9B"/>
    <w:rsid w:val="00CB26DC"/>
    <w:rsid w:val="00CC771C"/>
    <w:rsid w:val="00F405A0"/>
    <w:rsid w:val="00F93EA1"/>
    <w:rsid w:val="00FE10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ED4FF"/>
  <w15:docId w15:val="{638598E8-B4AA-4F43-AA49-3C6378D38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1529</Words>
  <Characters>8719</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 Sabuncu</dc:creator>
  <cp:lastModifiedBy>Deniz Sabuncu</cp:lastModifiedBy>
  <cp:revision>7</cp:revision>
  <dcterms:created xsi:type="dcterms:W3CDTF">2022-05-18T08:13:00Z</dcterms:created>
  <dcterms:modified xsi:type="dcterms:W3CDTF">2022-05-20T07:32:00Z</dcterms:modified>
</cp:coreProperties>
</file>