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6F" w:rsidRDefault="003C7949" w:rsidP="00771A01">
      <w:pPr>
        <w:spacing w:before="120" w:after="120" w:line="276" w:lineRule="auto"/>
        <w:contextualSpacing/>
        <w:jc w:val="right"/>
      </w:pPr>
      <w:r>
        <w:t>1</w:t>
      </w:r>
      <w:r w:rsidR="002B0223">
        <w:t>8</w:t>
      </w:r>
      <w:r>
        <w:t xml:space="preserve"> Nisan 2022</w:t>
      </w:r>
    </w:p>
    <w:p w:rsidR="00D22F6F" w:rsidRDefault="003C7949" w:rsidP="00771A01">
      <w:pPr>
        <w:spacing w:before="120" w:after="120" w:line="276" w:lineRule="auto"/>
        <w:contextualSpacing/>
        <w:jc w:val="center"/>
        <w:rPr>
          <w:b/>
          <w:sz w:val="20"/>
          <w:szCs w:val="20"/>
          <w:highlight w:val="white"/>
        </w:rPr>
      </w:pPr>
      <w:proofErr w:type="spellStart"/>
      <w:r>
        <w:t>sahibindex</w:t>
      </w:r>
      <w:proofErr w:type="spellEnd"/>
      <w:r>
        <w:t xml:space="preserve"> Satılık Konut Piyasası Görünümü raporuna göre; </w:t>
      </w:r>
      <w:r>
        <w:rPr>
          <w:b/>
          <w:color w:val="231F20"/>
          <w:sz w:val="34"/>
          <w:szCs w:val="34"/>
          <w:highlight w:val="white"/>
        </w:rPr>
        <w:br/>
      </w:r>
      <w:r>
        <w:rPr>
          <w:b/>
          <w:color w:val="231F20"/>
          <w:sz w:val="36"/>
          <w:szCs w:val="36"/>
          <w:highlight w:val="white"/>
        </w:rPr>
        <w:t>Konut talebi</w:t>
      </w:r>
      <w:r w:rsidR="008929CF">
        <w:rPr>
          <w:b/>
          <w:color w:val="231F20"/>
          <w:sz w:val="36"/>
          <w:szCs w:val="36"/>
          <w:highlight w:val="white"/>
        </w:rPr>
        <w:t>nde ve fiyatlarda</w:t>
      </w:r>
      <w:r>
        <w:rPr>
          <w:b/>
          <w:color w:val="231F20"/>
          <w:sz w:val="36"/>
          <w:szCs w:val="36"/>
          <w:highlight w:val="white"/>
        </w:rPr>
        <w:t xml:space="preserve"> art</w:t>
      </w:r>
      <w:r w:rsidR="008929CF">
        <w:rPr>
          <w:b/>
          <w:color w:val="231F20"/>
          <w:sz w:val="36"/>
          <w:szCs w:val="36"/>
          <w:highlight w:val="white"/>
        </w:rPr>
        <w:t>ış</w:t>
      </w:r>
    </w:p>
    <w:p w:rsidR="00D22F6F" w:rsidRDefault="00D22F6F" w:rsidP="00771A01">
      <w:pPr>
        <w:tabs>
          <w:tab w:val="center" w:pos="4536"/>
          <w:tab w:val="right" w:pos="9072"/>
        </w:tabs>
        <w:spacing w:before="120" w:after="120" w:line="276" w:lineRule="auto"/>
        <w:contextualSpacing/>
        <w:jc w:val="center"/>
        <w:rPr>
          <w:b/>
        </w:rPr>
      </w:pPr>
    </w:p>
    <w:p w:rsidR="00D22F6F" w:rsidRDefault="003C7949" w:rsidP="00771A01">
      <w:pPr>
        <w:spacing w:before="120" w:after="120" w:line="276" w:lineRule="auto"/>
        <w:ind w:left="-141" w:right="-264"/>
        <w:contextualSpacing/>
        <w:jc w:val="center"/>
        <w:rPr>
          <w:b/>
          <w:i/>
        </w:rPr>
      </w:pPr>
      <w:proofErr w:type="gramStart"/>
      <w:r>
        <w:rPr>
          <w:b/>
          <w:i/>
        </w:rPr>
        <w:t>sahibinden</w:t>
      </w:r>
      <w:proofErr w:type="gramEnd"/>
      <w:r>
        <w:rPr>
          <w:b/>
          <w:i/>
        </w:rPr>
        <w:t xml:space="preserve">.com ve </w:t>
      </w:r>
      <w:proofErr w:type="spellStart"/>
      <w:r>
        <w:rPr>
          <w:b/>
          <w:i/>
        </w:rPr>
        <w:t>Bahçeşehir</w:t>
      </w:r>
      <w:proofErr w:type="spellEnd"/>
      <w:r>
        <w:rPr>
          <w:b/>
          <w:i/>
        </w:rPr>
        <w:t xml:space="preserve"> Üniversitesi Ekonomik ve Toplumsal Araştırmalar Merkezi (BETAM)’</w:t>
      </w:r>
      <w:proofErr w:type="spellStart"/>
      <w:r>
        <w:rPr>
          <w:b/>
          <w:i/>
        </w:rPr>
        <w:t>ın</w:t>
      </w:r>
      <w:proofErr w:type="spellEnd"/>
      <w:r>
        <w:rPr>
          <w:b/>
          <w:i/>
        </w:rPr>
        <w:t xml:space="preserve"> hazırladığı “</w:t>
      </w:r>
      <w:proofErr w:type="spellStart"/>
      <w:r>
        <w:rPr>
          <w:b/>
          <w:i/>
        </w:rPr>
        <w:t>sahibindex</w:t>
      </w:r>
      <w:proofErr w:type="spellEnd"/>
      <w:r>
        <w:rPr>
          <w:b/>
          <w:i/>
        </w:rPr>
        <w:t xml:space="preserve"> Satılık Konut Piyasası Görünümü” raporuna göre, Türkiye genelinde ortalama satılık konut ilan m</w:t>
      </w:r>
      <w:r>
        <w:rPr>
          <w:b/>
          <w:i/>
          <w:vertAlign w:val="superscript"/>
        </w:rPr>
        <w:t>2</w:t>
      </w:r>
      <w:r>
        <w:rPr>
          <w:b/>
          <w:i/>
        </w:rPr>
        <w:t xml:space="preserve"> cari fiyatı %134,3 artarak 8.656 TL oldu. Büyükşehirler arasında satılık konut m</w:t>
      </w:r>
      <w:r>
        <w:rPr>
          <w:b/>
          <w:i/>
          <w:vertAlign w:val="superscript"/>
        </w:rPr>
        <w:t>2</w:t>
      </w:r>
      <w:r>
        <w:rPr>
          <w:b/>
          <w:i/>
        </w:rPr>
        <w:t xml:space="preserve"> fiyatlarında en hızlı artışın görüldüğü il %172,7 artışla Mersin oldu. Satılık konut fiyatları raporlarda incelenen dönemdeki en yüksek seviyesine ulaştı.</w:t>
      </w:r>
    </w:p>
    <w:p w:rsidR="00D22F6F" w:rsidRDefault="00D22F6F" w:rsidP="00771A01">
      <w:pPr>
        <w:spacing w:before="120" w:after="120" w:line="276" w:lineRule="auto"/>
        <w:contextualSpacing/>
      </w:pPr>
    </w:p>
    <w:p w:rsidR="00D22F6F" w:rsidRDefault="003C7949" w:rsidP="00771A01">
      <w:pPr>
        <w:spacing w:before="120" w:after="120" w:line="276" w:lineRule="auto"/>
        <w:contextualSpacing/>
        <w:jc w:val="both"/>
      </w:pPr>
      <w:proofErr w:type="spellStart"/>
      <w:r>
        <w:t>Bahçeşehir</w:t>
      </w:r>
      <w:proofErr w:type="spellEnd"/>
      <w:r>
        <w:t xml:space="preserve"> Üniversitesi Ekonomik ve Toplumsal Araştırmalar Merkezi (BETAM) tarafından </w:t>
      </w:r>
      <w:proofErr w:type="spellStart"/>
      <w:proofErr w:type="gramStart"/>
      <w:r>
        <w:t>sahibinden.com’un</w:t>
      </w:r>
      <w:proofErr w:type="spellEnd"/>
      <w:proofErr w:type="gramEnd"/>
      <w:r>
        <w:t xml:space="preserve"> ilan verileriyle hazırlanan “</w:t>
      </w:r>
      <w:proofErr w:type="spellStart"/>
      <w:r>
        <w:t>sahibindex</w:t>
      </w:r>
      <w:proofErr w:type="spellEnd"/>
      <w:r>
        <w:t xml:space="preserve"> Satılık Konut Piyasası Görünümü” 2022 Nisan ayı raporu yayınlandı. Rapora göre geçen yılın Mart ayı ile kıyaslandığında Türkiye genelinde ortalama satılık konut ilan m</w:t>
      </w:r>
      <w:r>
        <w:rPr>
          <w:vertAlign w:val="superscript"/>
        </w:rPr>
        <w:t>2</w:t>
      </w:r>
      <w:r>
        <w:t xml:space="preserve"> cari fiyatı %134,3 artarak 8.656 TL oldu. Satılık konut ilan m</w:t>
      </w:r>
      <w:r>
        <w:rPr>
          <w:vertAlign w:val="superscript"/>
        </w:rPr>
        <w:t>2</w:t>
      </w:r>
      <w:r>
        <w:t xml:space="preserve"> cari fiyatları aynı dönemde İstanbul’da %159,3, Ankara’da %116,6 ve İzmir’de %119,3 arttı. Böylece ortalama satılık konut m</w:t>
      </w:r>
      <w:r>
        <w:rPr>
          <w:vertAlign w:val="superscript"/>
        </w:rPr>
        <w:t>2</w:t>
      </w:r>
      <w:r>
        <w:t xml:space="preserve"> fiyatları İstanbul’da 12.805 TL, Ankara’da 5.545 TL, İzmir’de ise 9.722 TL seviyesine ulaştı. Enflasyondan arındırılmış (reel) satış fiyatları ülke genelinde ve üç büyükşehirde yükseldi. Konut piyasasındaki canlılığın bir göstergesi olarak izlenen satılan konutların satılık ilan sayısına oranı, önceki aya göre hem ülke genelinde hem de üç büyük ilde yükseldi. Konut piyasasındaki canlılığı ölçen bir diğer gösterge olan kapatılan ilan yaşı, geçen aya göre hem ülke genelinde hem de üç büyük ilde yükseldi. Kapatılan ilan yaşı ülke genelinde 40,3 gün, İstanbul’da 38,5 gün, Ankara’da 31,7 gün, İzmir’de ise 46,6 gün olarak izlendi. </w:t>
      </w:r>
    </w:p>
    <w:p w:rsidR="00771A01" w:rsidRDefault="00771A01" w:rsidP="00771A01">
      <w:pPr>
        <w:spacing w:before="120" w:after="120" w:line="276" w:lineRule="auto"/>
        <w:contextualSpacing/>
        <w:jc w:val="both"/>
        <w:rPr>
          <w:b/>
          <w:i/>
          <w:szCs w:val="24"/>
        </w:rPr>
      </w:pPr>
    </w:p>
    <w:p w:rsidR="00771A01" w:rsidRDefault="003C7949" w:rsidP="00771A01">
      <w:pPr>
        <w:spacing w:before="120" w:after="120" w:line="276" w:lineRule="auto"/>
        <w:contextualSpacing/>
        <w:jc w:val="both"/>
        <w:rPr>
          <w:b/>
          <w:i/>
          <w:szCs w:val="24"/>
        </w:rPr>
      </w:pPr>
      <w:r w:rsidRPr="00771A01">
        <w:rPr>
          <w:b/>
          <w:i/>
          <w:szCs w:val="24"/>
        </w:rPr>
        <w:t>Satış fiyatlarındaki artış hızlandı</w:t>
      </w:r>
    </w:p>
    <w:p w:rsidR="00D22F6F" w:rsidRDefault="003C7949" w:rsidP="00771A01">
      <w:pPr>
        <w:spacing w:before="120" w:after="120" w:line="276" w:lineRule="auto"/>
        <w:contextualSpacing/>
        <w:jc w:val="both"/>
      </w:pPr>
      <w:r>
        <w:t>Satılık konut fiyatlarındaki yıllık artış oranı geçtiğimiz Ocak ve Şubat aylarında artmaya devam etse de bir miktar ivme kaybetti. Mart ayından itibaren satış fiyatlarındaki artış oranı hızlandı. Şubat ayında 10,2 puan yükselen fiyat artış oranı Mart ayında 15 puan yükseldi. Bu yükselişle satılık konut fiyatları geçen yılın aynı ayına kıyasla %134,3 artarak raporda incelenen dönemdeki yeni en yüksek seviyesine ulaştı. Mart ayı verilerine göre geçen yılın aynı ayında 3.695 TL olan Türkiye geneli ortalama satılık konut ilan m</w:t>
      </w:r>
      <w:r>
        <w:rPr>
          <w:vertAlign w:val="superscript"/>
        </w:rPr>
        <w:t>2</w:t>
      </w:r>
      <w:r>
        <w:t xml:space="preserve"> fiyatı 8.656 TL'ye yükseldi.</w:t>
      </w:r>
    </w:p>
    <w:p w:rsidR="00771A01" w:rsidRPr="00771A01" w:rsidRDefault="00771A01" w:rsidP="00771A01">
      <w:pPr>
        <w:spacing w:before="120" w:after="120" w:line="276" w:lineRule="auto"/>
        <w:contextualSpacing/>
        <w:jc w:val="both"/>
        <w:rPr>
          <w:b/>
          <w:i/>
          <w:szCs w:val="24"/>
        </w:rPr>
      </w:pPr>
    </w:p>
    <w:p w:rsidR="00D22F6F" w:rsidRDefault="003C7949" w:rsidP="00771A01">
      <w:pPr>
        <w:spacing w:before="120" w:after="120" w:line="276" w:lineRule="auto"/>
        <w:contextualSpacing/>
      </w:pPr>
      <w:r>
        <w:rPr>
          <w:b/>
        </w:rPr>
        <w:t>Şekil 1: Türkiye ve üç büyük ilde satılık konut ilan fiyatlarının yıllık değişimi (%)</w:t>
      </w:r>
      <w:r>
        <w:rPr>
          <w:b/>
        </w:rPr>
        <w:br/>
      </w:r>
      <w:r>
        <w:rPr>
          <w:b/>
          <w:noProof/>
        </w:rPr>
        <w:drawing>
          <wp:inline distT="114300" distB="114300" distL="114300" distR="114300">
            <wp:extent cx="3177570" cy="186404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77570" cy="1864046"/>
                    </a:xfrm>
                    <a:prstGeom prst="rect">
                      <a:avLst/>
                    </a:prstGeom>
                    <a:ln/>
                  </pic:spPr>
                </pic:pic>
              </a:graphicData>
            </a:graphic>
          </wp:inline>
        </w:drawing>
      </w:r>
      <w:r>
        <w:rPr>
          <w:b/>
        </w:rPr>
        <w:br/>
      </w:r>
      <w:r>
        <w:rPr>
          <w:b/>
          <w:sz w:val="16"/>
          <w:szCs w:val="16"/>
        </w:rPr>
        <w:t>Kaynak:</w:t>
      </w:r>
      <w:r>
        <w:rPr>
          <w:sz w:val="16"/>
          <w:szCs w:val="16"/>
        </w:rPr>
        <w:t xml:space="preserve"> BETAM, sahibinden.com</w:t>
      </w:r>
    </w:p>
    <w:p w:rsidR="00D22F6F" w:rsidRDefault="003C7949" w:rsidP="00771A01">
      <w:pPr>
        <w:spacing w:before="120" w:after="120" w:line="276" w:lineRule="auto"/>
        <w:contextualSpacing/>
        <w:jc w:val="both"/>
      </w:pPr>
      <w:r>
        <w:lastRenderedPageBreak/>
        <w:t>Satılık konut cari fiyatlarındaki yıllık artış oranı Türkiye genelinde olduğu gibi üç büyük ilde geçen aya göre yükseldi. Satılık konut fiyatlarının artış hızı geçen aya göre İstanbul'da 21,4, Ankara'da 11,1, İzmir'de 14,8 puan yükseldi. Böylece, satılık konut cari fiyatındaki yıllık artış oranı İstanbul’da %159,3, Ankara’da %116,6 ve İzmir’de %119,3 oldu. Satılık konut m</w:t>
      </w:r>
      <w:r>
        <w:rPr>
          <w:vertAlign w:val="superscript"/>
        </w:rPr>
        <w:t>2</w:t>
      </w:r>
      <w:r>
        <w:t xml:space="preserve"> ortalama fiyatları İstanbul'da 12.805 TL’ye, Ankara'da 5.545 TL’ye ve İzmir'de 9.722 TL’ye yükseldi. Son aylarda İstanbul’da satılık konut fiyatlarında Ankara ve İzmir’e kıyasla daha yüksek artışların gerçekleştiği ve İstanbul piyasasının belirgin bir ayrışma sürecine girdiği dikkat çekti. </w:t>
      </w:r>
    </w:p>
    <w:p w:rsidR="00771A01" w:rsidRDefault="00771A01" w:rsidP="00771A01">
      <w:pPr>
        <w:spacing w:before="120" w:after="120" w:line="276" w:lineRule="auto"/>
        <w:contextualSpacing/>
        <w:jc w:val="both"/>
      </w:pPr>
    </w:p>
    <w:p w:rsidR="00D22F6F" w:rsidRPr="00771A01" w:rsidRDefault="003C7949" w:rsidP="00694D3D">
      <w:pPr>
        <w:spacing w:before="120" w:after="120" w:line="276" w:lineRule="auto"/>
        <w:contextualSpacing/>
        <w:rPr>
          <w:b/>
          <w:sz w:val="20"/>
        </w:rPr>
      </w:pPr>
      <w:r w:rsidRPr="00771A01">
        <w:rPr>
          <w:b/>
          <w:szCs w:val="24"/>
        </w:rPr>
        <w:t>Satılık konut m2 fiyatlarında en hızlı artışın görüldüğü il Mersin oldu</w:t>
      </w:r>
    </w:p>
    <w:p w:rsidR="00D22F6F" w:rsidRDefault="003C7949" w:rsidP="00694D3D">
      <w:pPr>
        <w:spacing w:before="120" w:after="120" w:line="276" w:lineRule="auto"/>
        <w:contextualSpacing/>
        <w:rPr>
          <w:b/>
        </w:rPr>
      </w:pPr>
      <w:r>
        <w:t>İlan satış fiyatları Mart ayında da geçen yılın aynı ayına göre bütün büyükşehirlerde arttı. Satılık konut m</w:t>
      </w:r>
      <w:r>
        <w:rPr>
          <w:vertAlign w:val="superscript"/>
        </w:rPr>
        <w:t>2</w:t>
      </w:r>
      <w:r>
        <w:t xml:space="preserve"> fiyatlarında en hızlı artışın görüldüğü iller; Mersin %172,7, İstanbul %159,3, Aydın ve Antalya %142,9 ve Diyarbakır %140 olarak izlendi. En düşük artışların görüldüğü iller ise Ordu %99,3, Malatya %99, Eskişehir %95,2, Erzurum %94,3 ve Van %87,7 olarak gözlendi.</w:t>
      </w:r>
      <w:r>
        <w:br/>
      </w:r>
      <w:r>
        <w:br/>
      </w:r>
      <w:r>
        <w:rPr>
          <w:b/>
        </w:rPr>
        <w:t>Tablo 1: En yüksek ve en düşük yıllık satılık ilan fiyatı değişimlerinin yaşandığı iller- 2022 Mart</w:t>
      </w:r>
    </w:p>
    <w:tbl>
      <w:tblPr>
        <w:tblStyle w:val="a"/>
        <w:tblW w:w="9255" w:type="dxa"/>
        <w:tblInd w:w="135" w:type="dxa"/>
        <w:tblLayout w:type="fixed"/>
        <w:tblLook w:val="0400" w:firstRow="0" w:lastRow="0" w:firstColumn="0" w:lastColumn="0" w:noHBand="0" w:noVBand="1"/>
      </w:tblPr>
      <w:tblGrid>
        <w:gridCol w:w="1965"/>
        <w:gridCol w:w="2340"/>
        <w:gridCol w:w="2430"/>
        <w:gridCol w:w="2520"/>
      </w:tblGrid>
      <w:tr w:rsidR="00D22F6F">
        <w:trPr>
          <w:trHeight w:val="780"/>
        </w:trPr>
        <w:tc>
          <w:tcPr>
            <w:tcW w:w="1965" w:type="dxa"/>
            <w:tcBorders>
              <w:top w:val="single" w:sz="8" w:space="0" w:color="000000"/>
              <w:left w:val="single" w:sz="8" w:space="0" w:color="000000"/>
              <w:bottom w:val="single" w:sz="8"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b/>
                <w:color w:val="000000"/>
              </w:rPr>
            </w:pPr>
            <w:r>
              <w:rPr>
                <w:b/>
                <w:color w:val="000000"/>
              </w:rPr>
              <w:t>İller</w:t>
            </w:r>
          </w:p>
        </w:tc>
        <w:tc>
          <w:tcPr>
            <w:tcW w:w="2340" w:type="dxa"/>
            <w:tcBorders>
              <w:top w:val="single" w:sz="8" w:space="0" w:color="000000"/>
              <w:left w:val="single" w:sz="4" w:space="0" w:color="000000"/>
              <w:bottom w:val="single" w:sz="8"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b/>
                <w:color w:val="000000"/>
              </w:rPr>
            </w:pPr>
            <w:r>
              <w:rPr>
                <w:b/>
                <w:color w:val="000000"/>
              </w:rPr>
              <w:t>Mart 2021 m</w:t>
            </w:r>
            <w:r>
              <w:rPr>
                <w:b/>
                <w:color w:val="000000"/>
                <w:vertAlign w:val="superscript"/>
              </w:rPr>
              <w:t>2</w:t>
            </w:r>
            <w:r>
              <w:rPr>
                <w:b/>
                <w:color w:val="000000"/>
              </w:rPr>
              <w:t xml:space="preserve"> Fiyatı</w:t>
            </w:r>
          </w:p>
        </w:tc>
        <w:tc>
          <w:tcPr>
            <w:tcW w:w="2430" w:type="dxa"/>
            <w:tcBorders>
              <w:top w:val="single" w:sz="8" w:space="0" w:color="000000"/>
              <w:left w:val="nil"/>
              <w:bottom w:val="single" w:sz="8"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b/>
                <w:color w:val="000000"/>
              </w:rPr>
            </w:pPr>
            <w:r>
              <w:rPr>
                <w:b/>
                <w:color w:val="000000"/>
              </w:rPr>
              <w:t>Mart 2022 m</w:t>
            </w:r>
            <w:r>
              <w:rPr>
                <w:b/>
                <w:color w:val="000000"/>
                <w:vertAlign w:val="superscript"/>
              </w:rPr>
              <w:t>2</w:t>
            </w:r>
            <w:r>
              <w:rPr>
                <w:b/>
                <w:color w:val="000000"/>
              </w:rPr>
              <w:t xml:space="preserve"> Fiyatı</w:t>
            </w:r>
          </w:p>
        </w:tc>
        <w:tc>
          <w:tcPr>
            <w:tcW w:w="2520" w:type="dxa"/>
            <w:tcBorders>
              <w:top w:val="single" w:sz="8" w:space="0" w:color="000000"/>
              <w:left w:val="nil"/>
              <w:bottom w:val="single" w:sz="8" w:space="0" w:color="000000"/>
              <w:right w:val="single" w:sz="8" w:space="0" w:color="000000"/>
            </w:tcBorders>
            <w:shd w:val="clear" w:color="auto" w:fill="auto"/>
            <w:vAlign w:val="center"/>
          </w:tcPr>
          <w:p w:rsidR="00D22F6F" w:rsidRDefault="003C7949" w:rsidP="00771A01">
            <w:pPr>
              <w:spacing w:before="120" w:after="120" w:line="276" w:lineRule="auto"/>
              <w:contextualSpacing/>
              <w:jc w:val="center"/>
              <w:rPr>
                <w:b/>
                <w:color w:val="000000"/>
              </w:rPr>
            </w:pPr>
            <w:r>
              <w:rPr>
                <w:b/>
                <w:color w:val="000000"/>
              </w:rPr>
              <w:t>Satılık Fiyat Değişimi (%)</w:t>
            </w:r>
          </w:p>
        </w:tc>
      </w:tr>
      <w:tr w:rsidR="00D22F6F">
        <w:trPr>
          <w:trHeight w:val="300"/>
        </w:trPr>
        <w:tc>
          <w:tcPr>
            <w:tcW w:w="1965" w:type="dxa"/>
            <w:tcBorders>
              <w:top w:val="single" w:sz="8" w:space="0" w:color="000000"/>
              <w:left w:val="single" w:sz="8" w:space="0" w:color="000000"/>
              <w:bottom w:val="single" w:sz="8"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FF0000"/>
              </w:rPr>
            </w:pPr>
            <w:r>
              <w:rPr>
                <w:color w:val="FF0000"/>
              </w:rPr>
              <w:t>Türkiye Ortalaması</w:t>
            </w:r>
          </w:p>
        </w:tc>
        <w:tc>
          <w:tcPr>
            <w:tcW w:w="2340" w:type="dxa"/>
            <w:tcBorders>
              <w:top w:val="single" w:sz="8" w:space="0" w:color="000000"/>
              <w:left w:val="nil"/>
              <w:bottom w:val="single" w:sz="8"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FF0000"/>
              </w:rPr>
            </w:pPr>
            <w:r>
              <w:rPr>
                <w:color w:val="FF0000"/>
              </w:rPr>
              <w:t>3695</w:t>
            </w:r>
          </w:p>
        </w:tc>
        <w:tc>
          <w:tcPr>
            <w:tcW w:w="2430" w:type="dxa"/>
            <w:tcBorders>
              <w:top w:val="single" w:sz="8" w:space="0" w:color="000000"/>
              <w:left w:val="nil"/>
              <w:bottom w:val="single" w:sz="8"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FF0000"/>
              </w:rPr>
            </w:pPr>
            <w:r>
              <w:rPr>
                <w:color w:val="FF0000"/>
              </w:rPr>
              <w:t>8656</w:t>
            </w:r>
          </w:p>
        </w:tc>
        <w:tc>
          <w:tcPr>
            <w:tcW w:w="2520" w:type="dxa"/>
            <w:tcBorders>
              <w:top w:val="single" w:sz="8" w:space="0" w:color="000000"/>
              <w:left w:val="nil"/>
              <w:bottom w:val="single" w:sz="8" w:space="0" w:color="000000"/>
              <w:right w:val="single" w:sz="8" w:space="0" w:color="000000"/>
            </w:tcBorders>
            <w:shd w:val="clear" w:color="auto" w:fill="auto"/>
            <w:vAlign w:val="center"/>
          </w:tcPr>
          <w:p w:rsidR="00D22F6F" w:rsidRDefault="003C7949" w:rsidP="00771A01">
            <w:pPr>
              <w:spacing w:before="120" w:after="120" w:line="276" w:lineRule="auto"/>
              <w:contextualSpacing/>
              <w:jc w:val="center"/>
              <w:rPr>
                <w:color w:val="FF0000"/>
              </w:rPr>
            </w:pPr>
            <w:r>
              <w:rPr>
                <w:color w:val="FF0000"/>
              </w:rPr>
              <w:t>134,3</w:t>
            </w:r>
          </w:p>
        </w:tc>
      </w:tr>
      <w:tr w:rsidR="00D22F6F">
        <w:trPr>
          <w:trHeight w:val="300"/>
        </w:trPr>
        <w:tc>
          <w:tcPr>
            <w:tcW w:w="1965" w:type="dxa"/>
            <w:tcBorders>
              <w:top w:val="single" w:sz="8" w:space="0" w:color="000000"/>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Mersin</w:t>
            </w:r>
          </w:p>
        </w:tc>
        <w:tc>
          <w:tcPr>
            <w:tcW w:w="2340" w:type="dxa"/>
            <w:tcBorders>
              <w:top w:val="single" w:sz="8" w:space="0" w:color="000000"/>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2500</w:t>
            </w:r>
          </w:p>
        </w:tc>
        <w:tc>
          <w:tcPr>
            <w:tcW w:w="2430" w:type="dxa"/>
            <w:tcBorders>
              <w:top w:val="single" w:sz="8" w:space="0" w:color="000000"/>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6818</w:t>
            </w:r>
          </w:p>
        </w:tc>
        <w:tc>
          <w:tcPr>
            <w:tcW w:w="2520" w:type="dxa"/>
            <w:tcBorders>
              <w:top w:val="single" w:sz="8" w:space="0" w:color="000000"/>
              <w:left w:val="single" w:sz="4" w:space="0" w:color="000000"/>
              <w:bottom w:val="single" w:sz="4" w:space="0" w:color="000000"/>
              <w:right w:val="single" w:sz="8" w:space="0" w:color="000000"/>
            </w:tcBorders>
            <w:shd w:val="clear" w:color="auto" w:fill="00B050"/>
            <w:vAlign w:val="center"/>
          </w:tcPr>
          <w:p w:rsidR="00D22F6F" w:rsidRDefault="003C7949" w:rsidP="00771A01">
            <w:pPr>
              <w:spacing w:before="120" w:after="120" w:line="276" w:lineRule="auto"/>
              <w:contextualSpacing/>
              <w:jc w:val="center"/>
              <w:rPr>
                <w:color w:val="000000"/>
              </w:rPr>
            </w:pPr>
            <w:r>
              <w:rPr>
                <w:color w:val="000000"/>
              </w:rPr>
              <w:t>172,7</w:t>
            </w:r>
          </w:p>
        </w:tc>
      </w:tr>
      <w:tr w:rsidR="00D22F6F">
        <w:trPr>
          <w:trHeight w:val="300"/>
        </w:trPr>
        <w:tc>
          <w:tcPr>
            <w:tcW w:w="1965" w:type="dxa"/>
            <w:tcBorders>
              <w:top w:val="nil"/>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İstanbul</w:t>
            </w:r>
          </w:p>
        </w:tc>
        <w:tc>
          <w:tcPr>
            <w:tcW w:w="234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4938</w:t>
            </w:r>
          </w:p>
        </w:tc>
        <w:tc>
          <w:tcPr>
            <w:tcW w:w="243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12805</w:t>
            </w:r>
          </w:p>
        </w:tc>
        <w:tc>
          <w:tcPr>
            <w:tcW w:w="2520"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D22F6F" w:rsidRDefault="003C7949" w:rsidP="00771A01">
            <w:pPr>
              <w:spacing w:before="120" w:after="120" w:line="276" w:lineRule="auto"/>
              <w:contextualSpacing/>
              <w:jc w:val="center"/>
              <w:rPr>
                <w:color w:val="000000"/>
              </w:rPr>
            </w:pPr>
            <w:r>
              <w:rPr>
                <w:color w:val="000000"/>
              </w:rPr>
              <w:t>159,3</w:t>
            </w:r>
          </w:p>
        </w:tc>
      </w:tr>
      <w:tr w:rsidR="00D22F6F">
        <w:trPr>
          <w:trHeight w:val="300"/>
        </w:trPr>
        <w:tc>
          <w:tcPr>
            <w:tcW w:w="1965" w:type="dxa"/>
            <w:tcBorders>
              <w:top w:val="nil"/>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Aydın</w:t>
            </w:r>
          </w:p>
        </w:tc>
        <w:tc>
          <w:tcPr>
            <w:tcW w:w="234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4400</w:t>
            </w:r>
          </w:p>
        </w:tc>
        <w:tc>
          <w:tcPr>
            <w:tcW w:w="243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10690</w:t>
            </w:r>
          </w:p>
        </w:tc>
        <w:tc>
          <w:tcPr>
            <w:tcW w:w="2520"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D22F6F" w:rsidRDefault="003C7949" w:rsidP="00771A01">
            <w:pPr>
              <w:spacing w:before="120" w:after="120" w:line="276" w:lineRule="auto"/>
              <w:contextualSpacing/>
              <w:jc w:val="center"/>
              <w:rPr>
                <w:color w:val="000000"/>
              </w:rPr>
            </w:pPr>
            <w:r>
              <w:rPr>
                <w:color w:val="000000"/>
              </w:rPr>
              <w:t>142,9</w:t>
            </w:r>
          </w:p>
        </w:tc>
      </w:tr>
      <w:tr w:rsidR="00D22F6F">
        <w:trPr>
          <w:trHeight w:val="300"/>
        </w:trPr>
        <w:tc>
          <w:tcPr>
            <w:tcW w:w="1965" w:type="dxa"/>
            <w:tcBorders>
              <w:top w:val="nil"/>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Antalya</w:t>
            </w:r>
          </w:p>
        </w:tc>
        <w:tc>
          <w:tcPr>
            <w:tcW w:w="234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4117</w:t>
            </w:r>
          </w:p>
        </w:tc>
        <w:tc>
          <w:tcPr>
            <w:tcW w:w="243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10000</w:t>
            </w:r>
          </w:p>
        </w:tc>
        <w:tc>
          <w:tcPr>
            <w:tcW w:w="2520"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D22F6F" w:rsidRDefault="003C7949" w:rsidP="00771A01">
            <w:pPr>
              <w:spacing w:before="120" w:after="120" w:line="276" w:lineRule="auto"/>
              <w:contextualSpacing/>
              <w:jc w:val="center"/>
              <w:rPr>
                <w:color w:val="000000"/>
              </w:rPr>
            </w:pPr>
            <w:r>
              <w:rPr>
                <w:color w:val="000000"/>
              </w:rPr>
              <w:t>142,9</w:t>
            </w:r>
          </w:p>
        </w:tc>
      </w:tr>
      <w:tr w:rsidR="00D22F6F">
        <w:trPr>
          <w:trHeight w:val="300"/>
        </w:trPr>
        <w:tc>
          <w:tcPr>
            <w:tcW w:w="1965" w:type="dxa"/>
            <w:tcBorders>
              <w:top w:val="nil"/>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Diyarbakır</w:t>
            </w:r>
          </w:p>
        </w:tc>
        <w:tc>
          <w:tcPr>
            <w:tcW w:w="234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2324</w:t>
            </w:r>
          </w:p>
        </w:tc>
        <w:tc>
          <w:tcPr>
            <w:tcW w:w="243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5576</w:t>
            </w:r>
          </w:p>
        </w:tc>
        <w:tc>
          <w:tcPr>
            <w:tcW w:w="2520" w:type="dxa"/>
            <w:tcBorders>
              <w:top w:val="single" w:sz="4" w:space="0" w:color="000000"/>
              <w:left w:val="single" w:sz="4" w:space="0" w:color="000000"/>
              <w:bottom w:val="single" w:sz="4" w:space="0" w:color="000000"/>
              <w:right w:val="single" w:sz="8" w:space="0" w:color="000000"/>
            </w:tcBorders>
            <w:shd w:val="clear" w:color="auto" w:fill="00B050"/>
            <w:vAlign w:val="center"/>
          </w:tcPr>
          <w:p w:rsidR="00D22F6F" w:rsidRDefault="003C7949" w:rsidP="00771A01">
            <w:pPr>
              <w:spacing w:before="120" w:after="120" w:line="276" w:lineRule="auto"/>
              <w:contextualSpacing/>
              <w:jc w:val="center"/>
              <w:rPr>
                <w:color w:val="000000"/>
              </w:rPr>
            </w:pPr>
            <w:r>
              <w:rPr>
                <w:color w:val="000000"/>
              </w:rPr>
              <w:t>140,0</w:t>
            </w:r>
          </w:p>
        </w:tc>
      </w:tr>
      <w:tr w:rsidR="00D22F6F">
        <w:trPr>
          <w:trHeight w:val="300"/>
        </w:trPr>
        <w:tc>
          <w:tcPr>
            <w:tcW w:w="1965" w:type="dxa"/>
            <w:tcBorders>
              <w:top w:val="single" w:sz="4" w:space="0" w:color="000000"/>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Ordu</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2682</w:t>
            </w:r>
          </w:p>
        </w:tc>
        <w:tc>
          <w:tcPr>
            <w:tcW w:w="2430" w:type="dxa"/>
            <w:tcBorders>
              <w:top w:val="single" w:sz="4" w:space="0" w:color="000000"/>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5345</w:t>
            </w:r>
          </w:p>
        </w:tc>
        <w:tc>
          <w:tcPr>
            <w:tcW w:w="2520"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D22F6F" w:rsidRDefault="003C7949" w:rsidP="00771A01">
            <w:pPr>
              <w:spacing w:before="120" w:after="120" w:line="276" w:lineRule="auto"/>
              <w:contextualSpacing/>
              <w:jc w:val="center"/>
              <w:rPr>
                <w:color w:val="000000"/>
              </w:rPr>
            </w:pPr>
            <w:r>
              <w:rPr>
                <w:color w:val="000000"/>
              </w:rPr>
              <w:t>99,3</w:t>
            </w:r>
          </w:p>
        </w:tc>
      </w:tr>
      <w:tr w:rsidR="00D22F6F">
        <w:trPr>
          <w:trHeight w:val="300"/>
        </w:trPr>
        <w:tc>
          <w:tcPr>
            <w:tcW w:w="1965" w:type="dxa"/>
            <w:tcBorders>
              <w:top w:val="nil"/>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Malatya</w:t>
            </w:r>
          </w:p>
        </w:tc>
        <w:tc>
          <w:tcPr>
            <w:tcW w:w="234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2217</w:t>
            </w:r>
          </w:p>
        </w:tc>
        <w:tc>
          <w:tcPr>
            <w:tcW w:w="243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4412</w:t>
            </w:r>
          </w:p>
        </w:tc>
        <w:tc>
          <w:tcPr>
            <w:tcW w:w="2520"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D22F6F" w:rsidRDefault="003C7949" w:rsidP="00771A01">
            <w:pPr>
              <w:spacing w:before="120" w:after="120" w:line="276" w:lineRule="auto"/>
              <w:contextualSpacing/>
              <w:jc w:val="center"/>
              <w:rPr>
                <w:color w:val="000000"/>
              </w:rPr>
            </w:pPr>
            <w:r>
              <w:rPr>
                <w:color w:val="000000"/>
              </w:rPr>
              <w:t>99,0</w:t>
            </w:r>
          </w:p>
        </w:tc>
      </w:tr>
      <w:tr w:rsidR="00D22F6F">
        <w:trPr>
          <w:trHeight w:val="300"/>
        </w:trPr>
        <w:tc>
          <w:tcPr>
            <w:tcW w:w="1965" w:type="dxa"/>
            <w:tcBorders>
              <w:top w:val="nil"/>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Eskişehir</w:t>
            </w:r>
          </w:p>
        </w:tc>
        <w:tc>
          <w:tcPr>
            <w:tcW w:w="234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2920</w:t>
            </w:r>
          </w:p>
        </w:tc>
        <w:tc>
          <w:tcPr>
            <w:tcW w:w="243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5700</w:t>
            </w:r>
          </w:p>
        </w:tc>
        <w:tc>
          <w:tcPr>
            <w:tcW w:w="2520"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D22F6F" w:rsidRDefault="003C7949" w:rsidP="00771A01">
            <w:pPr>
              <w:spacing w:before="120" w:after="120" w:line="276" w:lineRule="auto"/>
              <w:contextualSpacing/>
              <w:jc w:val="center"/>
              <w:rPr>
                <w:color w:val="000000"/>
              </w:rPr>
            </w:pPr>
            <w:r>
              <w:rPr>
                <w:color w:val="000000"/>
              </w:rPr>
              <w:t>95,2</w:t>
            </w:r>
          </w:p>
        </w:tc>
      </w:tr>
      <w:tr w:rsidR="00D22F6F">
        <w:trPr>
          <w:trHeight w:val="300"/>
        </w:trPr>
        <w:tc>
          <w:tcPr>
            <w:tcW w:w="1965" w:type="dxa"/>
            <w:tcBorders>
              <w:top w:val="nil"/>
              <w:left w:val="single" w:sz="8" w:space="0" w:color="000000"/>
              <w:bottom w:val="single" w:sz="4"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Erzurum</w:t>
            </w:r>
          </w:p>
        </w:tc>
        <w:tc>
          <w:tcPr>
            <w:tcW w:w="234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1750</w:t>
            </w:r>
          </w:p>
        </w:tc>
        <w:tc>
          <w:tcPr>
            <w:tcW w:w="2430" w:type="dxa"/>
            <w:tcBorders>
              <w:top w:val="nil"/>
              <w:left w:val="nil"/>
              <w:bottom w:val="single" w:sz="4"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3400</w:t>
            </w:r>
          </w:p>
        </w:tc>
        <w:tc>
          <w:tcPr>
            <w:tcW w:w="2520"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D22F6F" w:rsidRDefault="003C7949" w:rsidP="00771A01">
            <w:pPr>
              <w:spacing w:before="120" w:after="120" w:line="276" w:lineRule="auto"/>
              <w:contextualSpacing/>
              <w:jc w:val="center"/>
              <w:rPr>
                <w:color w:val="000000"/>
              </w:rPr>
            </w:pPr>
            <w:r>
              <w:rPr>
                <w:color w:val="000000"/>
              </w:rPr>
              <w:t>94,3</w:t>
            </w:r>
          </w:p>
        </w:tc>
      </w:tr>
      <w:tr w:rsidR="00D22F6F">
        <w:trPr>
          <w:trHeight w:val="315"/>
        </w:trPr>
        <w:tc>
          <w:tcPr>
            <w:tcW w:w="1965" w:type="dxa"/>
            <w:tcBorders>
              <w:top w:val="nil"/>
              <w:left w:val="single" w:sz="8" w:space="0" w:color="000000"/>
              <w:bottom w:val="single" w:sz="8" w:space="0" w:color="000000"/>
              <w:right w:val="single" w:sz="4" w:space="0" w:color="000000"/>
            </w:tcBorders>
            <w:shd w:val="clear" w:color="auto" w:fill="auto"/>
            <w:vAlign w:val="bottom"/>
          </w:tcPr>
          <w:p w:rsidR="00D22F6F" w:rsidRDefault="003C7949" w:rsidP="00771A01">
            <w:pPr>
              <w:spacing w:before="120" w:after="120" w:line="276" w:lineRule="auto"/>
              <w:contextualSpacing/>
              <w:jc w:val="center"/>
              <w:rPr>
                <w:color w:val="000000"/>
              </w:rPr>
            </w:pPr>
            <w:r>
              <w:rPr>
                <w:color w:val="000000"/>
              </w:rPr>
              <w:t>Van</w:t>
            </w:r>
          </w:p>
        </w:tc>
        <w:tc>
          <w:tcPr>
            <w:tcW w:w="2340" w:type="dxa"/>
            <w:tcBorders>
              <w:top w:val="nil"/>
              <w:left w:val="nil"/>
              <w:bottom w:val="single" w:sz="8"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2270</w:t>
            </w:r>
          </w:p>
        </w:tc>
        <w:tc>
          <w:tcPr>
            <w:tcW w:w="2430" w:type="dxa"/>
            <w:tcBorders>
              <w:top w:val="nil"/>
              <w:left w:val="nil"/>
              <w:bottom w:val="single" w:sz="8" w:space="0" w:color="000000"/>
              <w:right w:val="single" w:sz="4" w:space="0" w:color="000000"/>
            </w:tcBorders>
            <w:shd w:val="clear" w:color="auto" w:fill="auto"/>
            <w:vAlign w:val="center"/>
          </w:tcPr>
          <w:p w:rsidR="00D22F6F" w:rsidRDefault="003C7949" w:rsidP="00771A01">
            <w:pPr>
              <w:spacing w:before="120" w:after="120" w:line="276" w:lineRule="auto"/>
              <w:contextualSpacing/>
              <w:jc w:val="center"/>
              <w:rPr>
                <w:color w:val="000000"/>
              </w:rPr>
            </w:pPr>
            <w:r>
              <w:rPr>
                <w:color w:val="000000"/>
              </w:rPr>
              <w:t>4261</w:t>
            </w:r>
          </w:p>
        </w:tc>
        <w:tc>
          <w:tcPr>
            <w:tcW w:w="2520" w:type="dxa"/>
            <w:tcBorders>
              <w:top w:val="single" w:sz="4" w:space="0" w:color="000000"/>
              <w:left w:val="single" w:sz="4" w:space="0" w:color="000000"/>
              <w:bottom w:val="single" w:sz="4" w:space="0" w:color="000000"/>
              <w:right w:val="single" w:sz="8" w:space="0" w:color="000000"/>
            </w:tcBorders>
            <w:shd w:val="clear" w:color="auto" w:fill="92D050"/>
            <w:vAlign w:val="center"/>
          </w:tcPr>
          <w:p w:rsidR="00D22F6F" w:rsidRDefault="003C7949" w:rsidP="00771A01">
            <w:pPr>
              <w:spacing w:before="120" w:after="120" w:line="276" w:lineRule="auto"/>
              <w:contextualSpacing/>
              <w:jc w:val="center"/>
              <w:rPr>
                <w:color w:val="000000"/>
              </w:rPr>
            </w:pPr>
            <w:r>
              <w:rPr>
                <w:color w:val="000000"/>
              </w:rPr>
              <w:t>87,7</w:t>
            </w:r>
          </w:p>
        </w:tc>
      </w:tr>
    </w:tbl>
    <w:p w:rsidR="00D22F6F" w:rsidRPr="00771A01" w:rsidRDefault="003C7949" w:rsidP="00771A01">
      <w:pPr>
        <w:spacing w:before="120" w:after="120" w:line="276" w:lineRule="auto"/>
        <w:contextualSpacing/>
        <w:rPr>
          <w:b/>
        </w:rPr>
      </w:pPr>
      <w:r>
        <w:rPr>
          <w:b/>
          <w:sz w:val="16"/>
          <w:szCs w:val="16"/>
        </w:rPr>
        <w:t>Kaynak:</w:t>
      </w:r>
      <w:r>
        <w:rPr>
          <w:sz w:val="16"/>
          <w:szCs w:val="16"/>
        </w:rPr>
        <w:t xml:space="preserve"> sahibinden.com, Betam</w:t>
      </w:r>
      <w:r>
        <w:rPr>
          <w:sz w:val="16"/>
          <w:szCs w:val="16"/>
        </w:rPr>
        <w:br/>
      </w:r>
      <w:r w:rsidRPr="00771A01">
        <w:br/>
      </w:r>
      <w:r w:rsidR="008929CF" w:rsidRPr="008929CF">
        <w:rPr>
          <w:b/>
        </w:rPr>
        <w:t>Konut arzı önceki aylardaki seyrine devam ediyor</w:t>
      </w:r>
    </w:p>
    <w:p w:rsidR="00D22F6F" w:rsidRDefault="003C7949" w:rsidP="00771A01">
      <w:pPr>
        <w:spacing w:before="120" w:after="120" w:line="276" w:lineRule="auto"/>
        <w:contextualSpacing/>
      </w:pPr>
      <w:r>
        <w:t>Satılık konut ilan sayısı geçen aya kıyasla ülke genelinde %10,7 (674 binden 746 bine), İstanbul'da %9,4 (184 binden 201 bine), Ankara'da %11,8 (64 binden 71 bine), İzmir'de ise %9,1 (54 binden 59 bine) yükseldi.</w:t>
      </w:r>
    </w:p>
    <w:p w:rsidR="008929CF" w:rsidRDefault="008929CF">
      <w:pPr>
        <w:rPr>
          <w:b/>
          <w:sz w:val="24"/>
          <w:szCs w:val="24"/>
        </w:rPr>
      </w:pPr>
      <w:r>
        <w:rPr>
          <w:b/>
          <w:sz w:val="24"/>
          <w:szCs w:val="24"/>
        </w:rPr>
        <w:br w:type="page"/>
      </w:r>
    </w:p>
    <w:p w:rsidR="00D22F6F" w:rsidRPr="008929CF" w:rsidRDefault="003C7949" w:rsidP="00771A01">
      <w:pPr>
        <w:spacing w:before="120" w:after="120" w:line="276" w:lineRule="auto"/>
        <w:contextualSpacing/>
        <w:rPr>
          <w:b/>
          <w:szCs w:val="24"/>
        </w:rPr>
      </w:pPr>
      <w:r w:rsidRPr="008929CF">
        <w:rPr>
          <w:b/>
          <w:szCs w:val="24"/>
        </w:rPr>
        <w:lastRenderedPageBreak/>
        <w:t>Şekil 6: Türkiye ve üç büyük ilde satılık ilan sayısı (adet)</w:t>
      </w:r>
    </w:p>
    <w:p w:rsidR="00D22F6F" w:rsidRDefault="003C7949" w:rsidP="00771A01">
      <w:pPr>
        <w:spacing w:before="120" w:after="120" w:line="276" w:lineRule="auto"/>
        <w:contextualSpacing/>
        <w:jc w:val="center"/>
        <w:rPr>
          <w:b/>
          <w:sz w:val="24"/>
          <w:szCs w:val="24"/>
        </w:rPr>
      </w:pPr>
      <w:r>
        <w:rPr>
          <w:b/>
          <w:noProof/>
          <w:sz w:val="24"/>
          <w:szCs w:val="24"/>
        </w:rPr>
        <w:drawing>
          <wp:inline distT="0" distB="0" distL="0" distR="0">
            <wp:extent cx="3605478" cy="2081671"/>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605478" cy="2081671"/>
                    </a:xfrm>
                    <a:prstGeom prst="rect">
                      <a:avLst/>
                    </a:prstGeom>
                    <a:ln/>
                  </pic:spPr>
                </pic:pic>
              </a:graphicData>
            </a:graphic>
          </wp:inline>
        </w:drawing>
      </w:r>
    </w:p>
    <w:p w:rsidR="00771A01" w:rsidRDefault="003C7949" w:rsidP="007D6595">
      <w:pPr>
        <w:spacing w:before="120" w:after="120" w:line="276" w:lineRule="auto"/>
        <w:contextualSpacing/>
        <w:rPr>
          <w:b/>
          <w:i/>
          <w:sz w:val="24"/>
          <w:szCs w:val="24"/>
        </w:rPr>
      </w:pPr>
      <w:r>
        <w:rPr>
          <w:b/>
          <w:sz w:val="20"/>
          <w:szCs w:val="20"/>
        </w:rPr>
        <w:t xml:space="preserve">Kaynak: </w:t>
      </w:r>
      <w:r>
        <w:rPr>
          <w:sz w:val="20"/>
          <w:szCs w:val="20"/>
        </w:rPr>
        <w:t>sahibinden.com, Betam</w:t>
      </w:r>
      <w:r>
        <w:rPr>
          <w:b/>
          <w:sz w:val="24"/>
          <w:szCs w:val="24"/>
        </w:rPr>
        <w:br/>
      </w:r>
    </w:p>
    <w:p w:rsidR="00D22F6F" w:rsidRPr="00771A01" w:rsidRDefault="003C7949" w:rsidP="00771A01">
      <w:pPr>
        <w:pBdr>
          <w:top w:val="nil"/>
          <w:left w:val="nil"/>
          <w:bottom w:val="nil"/>
          <w:right w:val="nil"/>
          <w:between w:val="nil"/>
        </w:pBdr>
        <w:spacing w:before="120" w:after="120" w:line="276" w:lineRule="auto"/>
        <w:contextualSpacing/>
        <w:rPr>
          <w:b/>
          <w:i/>
          <w:color w:val="000000"/>
        </w:rPr>
      </w:pPr>
      <w:r w:rsidRPr="00771A01">
        <w:rPr>
          <w:b/>
          <w:i/>
        </w:rPr>
        <w:t xml:space="preserve">Mart ayında satılık konut piyasasında güçlü canlanma </w:t>
      </w:r>
    </w:p>
    <w:p w:rsidR="00D22F6F" w:rsidRPr="00771A01" w:rsidRDefault="003C7949" w:rsidP="00771A01">
      <w:pPr>
        <w:pBdr>
          <w:top w:val="nil"/>
          <w:left w:val="nil"/>
          <w:bottom w:val="nil"/>
          <w:right w:val="nil"/>
          <w:between w:val="nil"/>
        </w:pBdr>
        <w:spacing w:before="120" w:after="120" w:line="276" w:lineRule="auto"/>
        <w:contextualSpacing/>
        <w:rPr>
          <w:color w:val="000000"/>
        </w:rPr>
      </w:pPr>
      <w:r w:rsidRPr="00771A01">
        <w:rPr>
          <w:color w:val="000000"/>
        </w:rPr>
        <w:t>Satılan konut sayısının toplam satılık ilan sayısına oranı Ocak ayındaki belirgin düşüşten sonra Şubat ayında bir miktar yükseldi. Bu oran Mart ayında geçen aya kıyasla daha belirgin bir yükseliş gösterdi. Geçen aya göre 2 puan yükselen satılan konut sayısının toplam satılık ilan sayısına oranı % 9,2 oldu.</w:t>
      </w:r>
    </w:p>
    <w:p w:rsidR="00D22F6F" w:rsidRPr="00771A01" w:rsidRDefault="00D22F6F" w:rsidP="00771A01">
      <w:pPr>
        <w:pBdr>
          <w:top w:val="nil"/>
          <w:left w:val="nil"/>
          <w:bottom w:val="nil"/>
          <w:right w:val="nil"/>
          <w:between w:val="nil"/>
        </w:pBdr>
        <w:spacing w:before="120" w:after="120" w:line="276" w:lineRule="auto"/>
        <w:contextualSpacing/>
        <w:rPr>
          <w:color w:val="000000"/>
        </w:rPr>
      </w:pPr>
    </w:p>
    <w:p w:rsidR="00694D3D" w:rsidRDefault="003C7949" w:rsidP="00694D3D">
      <w:pPr>
        <w:pBdr>
          <w:top w:val="nil"/>
          <w:left w:val="nil"/>
          <w:bottom w:val="nil"/>
          <w:right w:val="nil"/>
          <w:between w:val="nil"/>
        </w:pBdr>
        <w:spacing w:before="120" w:after="120" w:line="276" w:lineRule="auto"/>
        <w:contextualSpacing/>
        <w:rPr>
          <w:b/>
          <w:color w:val="000000"/>
        </w:rPr>
      </w:pPr>
      <w:r w:rsidRPr="00771A01">
        <w:rPr>
          <w:color w:val="000000"/>
        </w:rPr>
        <w:t xml:space="preserve">Satılan konut sayısının toplam satılık ilan sayısına oranındaki aylık değişimlerin arka planına bakıldığında hem satılık ilan sayısının hem de satılan konut sayısının belirgin ölçüde arttığı görüldü. Önceki aya kıyasla, satılık ilan sayısı %10,7 (674 binden 746 bine), satılan konut sayısı ise %42,1 (48 binden 69 bine) oranında arttı. </w:t>
      </w:r>
      <w:r w:rsidRPr="00771A01">
        <w:rPr>
          <w:color w:val="000000"/>
        </w:rPr>
        <w:br/>
      </w:r>
    </w:p>
    <w:p w:rsidR="00D22F6F" w:rsidRDefault="003C7949" w:rsidP="00694D3D">
      <w:pPr>
        <w:pBdr>
          <w:top w:val="nil"/>
          <w:left w:val="nil"/>
          <w:bottom w:val="nil"/>
          <w:right w:val="nil"/>
          <w:between w:val="nil"/>
        </w:pBdr>
        <w:spacing w:before="120" w:after="120" w:line="276" w:lineRule="auto"/>
        <w:contextualSpacing/>
        <w:rPr>
          <w:b/>
          <w:color w:val="000000"/>
        </w:rPr>
      </w:pPr>
      <w:r>
        <w:rPr>
          <w:b/>
          <w:color w:val="000000"/>
        </w:rPr>
        <w:t>Şekil 8: Türkiye genelinde satılan konut sayısının satılık konut ilan sayısına oranı (%) (Sol panel), satılan ve satılık konut sayısı (Bin Adet) (Sağ panel)</w:t>
      </w:r>
    </w:p>
    <w:p w:rsidR="00D22F6F" w:rsidRDefault="003C7949" w:rsidP="00771A01">
      <w:pPr>
        <w:pBdr>
          <w:top w:val="nil"/>
          <w:left w:val="nil"/>
          <w:bottom w:val="nil"/>
          <w:right w:val="nil"/>
          <w:between w:val="nil"/>
        </w:pBdr>
        <w:spacing w:before="120" w:after="120" w:line="276" w:lineRule="auto"/>
        <w:contextualSpacing/>
        <w:jc w:val="both"/>
        <w:rPr>
          <w:color w:val="000000"/>
        </w:rPr>
      </w:pPr>
      <w:r>
        <w:rPr>
          <w:noProof/>
          <w:color w:val="000000"/>
        </w:rPr>
        <w:drawing>
          <wp:inline distT="0" distB="0" distL="0" distR="0">
            <wp:extent cx="2880718" cy="16128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880718" cy="1612800"/>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2981325</wp:posOffset>
            </wp:positionH>
            <wp:positionV relativeFrom="paragraph">
              <wp:posOffset>47625</wp:posOffset>
            </wp:positionV>
            <wp:extent cx="2841355" cy="16128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841355" cy="1612800"/>
                    </a:xfrm>
                    <a:prstGeom prst="rect">
                      <a:avLst/>
                    </a:prstGeom>
                    <a:ln/>
                  </pic:spPr>
                </pic:pic>
              </a:graphicData>
            </a:graphic>
          </wp:anchor>
        </w:drawing>
      </w:r>
    </w:p>
    <w:p w:rsidR="00D22F6F" w:rsidRDefault="003C7949" w:rsidP="00771A01">
      <w:pPr>
        <w:pBdr>
          <w:top w:val="nil"/>
          <w:left w:val="nil"/>
          <w:bottom w:val="nil"/>
          <w:right w:val="nil"/>
          <w:between w:val="nil"/>
        </w:pBdr>
        <w:spacing w:before="120" w:after="120" w:line="276" w:lineRule="auto"/>
        <w:contextualSpacing/>
        <w:jc w:val="both"/>
        <w:rPr>
          <w:color w:val="000000"/>
        </w:rPr>
      </w:pPr>
      <w:r>
        <w:rPr>
          <w:color w:val="000000"/>
        </w:rPr>
        <w:t>Kaynak: sahibinden.com, Betam</w:t>
      </w:r>
    </w:p>
    <w:p w:rsidR="00D22F6F" w:rsidRPr="00771A01" w:rsidRDefault="00D22F6F" w:rsidP="00771A01">
      <w:pPr>
        <w:pBdr>
          <w:top w:val="nil"/>
          <w:left w:val="nil"/>
          <w:bottom w:val="nil"/>
          <w:right w:val="nil"/>
          <w:between w:val="nil"/>
        </w:pBdr>
        <w:spacing w:before="120" w:after="120" w:line="276" w:lineRule="auto"/>
        <w:contextualSpacing/>
        <w:jc w:val="both"/>
        <w:rPr>
          <w:b/>
          <w:color w:val="000000"/>
        </w:rPr>
      </w:pPr>
    </w:p>
    <w:p w:rsidR="00D22F6F" w:rsidRPr="00771A01" w:rsidRDefault="003C7949" w:rsidP="00771A01">
      <w:pPr>
        <w:pBdr>
          <w:top w:val="nil"/>
          <w:left w:val="nil"/>
          <w:bottom w:val="nil"/>
          <w:right w:val="nil"/>
          <w:between w:val="nil"/>
        </w:pBdr>
        <w:spacing w:before="120" w:after="120" w:line="276" w:lineRule="auto"/>
        <w:contextualSpacing/>
        <w:jc w:val="both"/>
        <w:rPr>
          <w:b/>
          <w:color w:val="000000"/>
        </w:rPr>
      </w:pPr>
      <w:r w:rsidRPr="00771A01">
        <w:rPr>
          <w:b/>
          <w:i/>
        </w:rPr>
        <w:t>Üç büyük ilde de güçlü canlanma</w:t>
      </w:r>
    </w:p>
    <w:p w:rsidR="00D22F6F" w:rsidRDefault="003C7949" w:rsidP="00771A01">
      <w:pPr>
        <w:pBdr>
          <w:top w:val="nil"/>
          <w:left w:val="nil"/>
          <w:bottom w:val="nil"/>
          <w:right w:val="nil"/>
          <w:between w:val="nil"/>
        </w:pBdr>
        <w:spacing w:before="120" w:after="120" w:line="276" w:lineRule="auto"/>
        <w:contextualSpacing/>
        <w:jc w:val="both"/>
        <w:rPr>
          <w:color w:val="000000"/>
        </w:rPr>
      </w:pPr>
      <w:r w:rsidRPr="00771A01">
        <w:rPr>
          <w:color w:val="000000"/>
        </w:rPr>
        <w:t>Ülke genelinde olduğu</w:t>
      </w:r>
      <w:r>
        <w:rPr>
          <w:color w:val="000000"/>
        </w:rPr>
        <w:t xml:space="preserve"> gibi üç büyük ilde satılan konutların toplam satılık ilan sayısına oranlarında belirgin artışlar görüldü. Mart ayının verilerine göre bu gösterge İstanbul’da %8,4, Ankara’da %9,1, İzmir’de ise %8,1 oldu.</w:t>
      </w:r>
    </w:p>
    <w:p w:rsidR="00D22F6F" w:rsidRDefault="00D22F6F" w:rsidP="00771A01">
      <w:pPr>
        <w:pBdr>
          <w:top w:val="nil"/>
          <w:left w:val="nil"/>
          <w:bottom w:val="nil"/>
          <w:right w:val="nil"/>
          <w:between w:val="nil"/>
        </w:pBdr>
        <w:spacing w:before="120" w:after="120" w:line="276" w:lineRule="auto"/>
        <w:contextualSpacing/>
        <w:jc w:val="both"/>
        <w:rPr>
          <w:color w:val="000000"/>
        </w:rPr>
      </w:pPr>
    </w:p>
    <w:p w:rsidR="00694D3D" w:rsidRDefault="00694D3D">
      <w:pPr>
        <w:rPr>
          <w:b/>
          <w:color w:val="000000"/>
        </w:rPr>
      </w:pPr>
      <w:r>
        <w:rPr>
          <w:b/>
          <w:color w:val="000000"/>
        </w:rPr>
        <w:br w:type="page"/>
      </w:r>
    </w:p>
    <w:p w:rsidR="00D22F6F" w:rsidRDefault="003C7949" w:rsidP="00771A01">
      <w:pPr>
        <w:pBdr>
          <w:top w:val="nil"/>
          <w:left w:val="nil"/>
          <w:bottom w:val="nil"/>
          <w:right w:val="nil"/>
          <w:between w:val="nil"/>
        </w:pBdr>
        <w:spacing w:before="120" w:after="120" w:line="276" w:lineRule="auto"/>
        <w:contextualSpacing/>
        <w:jc w:val="both"/>
        <w:rPr>
          <w:b/>
          <w:color w:val="000000"/>
        </w:rPr>
      </w:pPr>
      <w:r>
        <w:rPr>
          <w:b/>
          <w:color w:val="000000"/>
        </w:rPr>
        <w:lastRenderedPageBreak/>
        <w:t>Şekil 9: Üç büyük ilde satılan konut sayısının satılık konut ilan sayısına oranı (%)</w:t>
      </w:r>
    </w:p>
    <w:p w:rsidR="00D22F6F" w:rsidRDefault="003C7949" w:rsidP="00771A01">
      <w:pPr>
        <w:pBdr>
          <w:top w:val="nil"/>
          <w:left w:val="nil"/>
          <w:bottom w:val="nil"/>
          <w:right w:val="nil"/>
          <w:between w:val="nil"/>
        </w:pBdr>
        <w:spacing w:before="120" w:after="120" w:line="276" w:lineRule="auto"/>
        <w:contextualSpacing/>
        <w:jc w:val="center"/>
        <w:rPr>
          <w:color w:val="000000"/>
        </w:rPr>
      </w:pPr>
      <w:r>
        <w:rPr>
          <w:noProof/>
          <w:color w:val="000000"/>
        </w:rPr>
        <w:drawing>
          <wp:inline distT="0" distB="0" distL="0" distR="0">
            <wp:extent cx="3965839" cy="2002456"/>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65839" cy="2002456"/>
                    </a:xfrm>
                    <a:prstGeom prst="rect">
                      <a:avLst/>
                    </a:prstGeom>
                    <a:ln/>
                  </pic:spPr>
                </pic:pic>
              </a:graphicData>
            </a:graphic>
          </wp:inline>
        </w:drawing>
      </w:r>
    </w:p>
    <w:p w:rsidR="00D22F6F" w:rsidRDefault="003C7949" w:rsidP="00771A01">
      <w:pPr>
        <w:pBdr>
          <w:top w:val="nil"/>
          <w:left w:val="nil"/>
          <w:bottom w:val="nil"/>
          <w:right w:val="nil"/>
          <w:between w:val="nil"/>
        </w:pBdr>
        <w:spacing w:before="120" w:after="120" w:line="276" w:lineRule="auto"/>
        <w:contextualSpacing/>
        <w:jc w:val="both"/>
        <w:rPr>
          <w:color w:val="000000"/>
          <w:sz w:val="20"/>
          <w:szCs w:val="20"/>
        </w:rPr>
      </w:pPr>
      <w:r>
        <w:rPr>
          <w:b/>
          <w:color w:val="000000"/>
          <w:sz w:val="20"/>
          <w:szCs w:val="20"/>
        </w:rPr>
        <w:t>Kaynak:</w:t>
      </w:r>
      <w:r>
        <w:rPr>
          <w:color w:val="000000"/>
          <w:sz w:val="20"/>
          <w:szCs w:val="20"/>
        </w:rPr>
        <w:t xml:space="preserve"> sahibinden.com, Betam</w:t>
      </w:r>
    </w:p>
    <w:p w:rsidR="00D22F6F" w:rsidRDefault="00D22F6F" w:rsidP="00771A01">
      <w:pPr>
        <w:pBdr>
          <w:top w:val="nil"/>
          <w:left w:val="nil"/>
          <w:bottom w:val="nil"/>
          <w:right w:val="nil"/>
          <w:between w:val="nil"/>
        </w:pBdr>
        <w:spacing w:before="120" w:after="120" w:line="276" w:lineRule="auto"/>
        <w:contextualSpacing/>
        <w:jc w:val="both"/>
        <w:rPr>
          <w:color w:val="000000"/>
        </w:rPr>
      </w:pPr>
    </w:p>
    <w:p w:rsidR="00D22F6F" w:rsidRDefault="003C7949" w:rsidP="00771A01">
      <w:pPr>
        <w:pBdr>
          <w:top w:val="nil"/>
          <w:left w:val="nil"/>
          <w:bottom w:val="nil"/>
          <w:right w:val="nil"/>
          <w:between w:val="nil"/>
        </w:pBdr>
        <w:spacing w:before="120" w:after="120" w:line="276" w:lineRule="auto"/>
        <w:contextualSpacing/>
        <w:jc w:val="both"/>
        <w:rPr>
          <w:color w:val="000000"/>
        </w:rPr>
      </w:pPr>
      <w:r>
        <w:rPr>
          <w:color w:val="000000"/>
        </w:rPr>
        <w:t>Üç büyük ilde satılan konut sayısının toplam satılık ilan sayısına oranının analizi bu illerde de hem satılık konut sayısının hem de satılan konut sayısının geçen aya kıyasla arttığını gösterdi. Satılık ilan sayısı İstanbul'da %9,4 (184 binden 201 bine), Ankara'da %11,8 (64 binden 71 bine), İzmir'de i</w:t>
      </w:r>
      <w:r w:rsidR="00694D3D">
        <w:rPr>
          <w:color w:val="000000"/>
        </w:rPr>
        <w:t>se %9,1 (54 binden 59 bine) arttı</w:t>
      </w:r>
      <w:r>
        <w:rPr>
          <w:color w:val="000000"/>
        </w:rPr>
        <w:t xml:space="preserve">. Satılan konut sayısı ise bir önceki aya göre İstanbul'da %34,8 (12.547’den 16.917’ye), Ankara'da %55 (4.193’ten 6.498’e), İzmir'de ise %41 (3.397’den 4.789’a) yükseldi. </w:t>
      </w:r>
    </w:p>
    <w:p w:rsidR="00D22F6F" w:rsidRDefault="00D22F6F" w:rsidP="00771A01">
      <w:pPr>
        <w:pBdr>
          <w:top w:val="nil"/>
          <w:left w:val="nil"/>
          <w:bottom w:val="nil"/>
          <w:right w:val="nil"/>
          <w:between w:val="nil"/>
        </w:pBdr>
        <w:spacing w:before="120" w:after="120" w:line="276" w:lineRule="auto"/>
        <w:contextualSpacing/>
        <w:jc w:val="both"/>
        <w:rPr>
          <w:b/>
        </w:rPr>
      </w:pPr>
    </w:p>
    <w:p w:rsidR="00D22F6F" w:rsidRDefault="00771A01" w:rsidP="00771A01">
      <w:pPr>
        <w:pBdr>
          <w:top w:val="nil"/>
          <w:left w:val="nil"/>
          <w:bottom w:val="nil"/>
          <w:right w:val="nil"/>
          <w:between w:val="nil"/>
        </w:pBdr>
        <w:spacing w:before="120" w:after="120" w:line="276" w:lineRule="auto"/>
        <w:contextualSpacing/>
        <w:rPr>
          <w:b/>
        </w:rPr>
      </w:pPr>
      <w:r>
        <w:rPr>
          <w:b/>
          <w:noProof/>
        </w:rPr>
        <w:drawing>
          <wp:anchor distT="0" distB="0" distL="114300" distR="114300" simplePos="0" relativeHeight="251660288" behindDoc="0" locked="0" layoutInCell="1" allowOverlap="1">
            <wp:simplePos x="0" y="0"/>
            <wp:positionH relativeFrom="column">
              <wp:posOffset>-381635</wp:posOffset>
            </wp:positionH>
            <wp:positionV relativeFrom="paragraph">
              <wp:posOffset>271145</wp:posOffset>
            </wp:positionV>
            <wp:extent cx="3171825" cy="1786255"/>
            <wp:effectExtent l="0" t="0" r="9525" b="444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171825" cy="1786255"/>
                    </a:xfrm>
                    <a:prstGeom prst="rect">
                      <a:avLst/>
                    </a:prstGeom>
                    <a:ln/>
                  </pic:spPr>
                </pic:pic>
              </a:graphicData>
            </a:graphic>
            <wp14:sizeRelH relativeFrom="page">
              <wp14:pctWidth>0</wp14:pctWidth>
            </wp14:sizeRelH>
            <wp14:sizeRelV relativeFrom="page">
              <wp14:pctHeight>0</wp14:pctHeight>
            </wp14:sizeRelV>
          </wp:anchor>
        </w:drawing>
      </w:r>
      <w:r w:rsidR="003C7949">
        <w:rPr>
          <w:b/>
          <w:color w:val="000000"/>
        </w:rPr>
        <w:t>Şekil 10: Üç büyük ildeki satılan ve satılık konut sayısı (Bin Adet)</w:t>
      </w:r>
    </w:p>
    <w:p w:rsidR="00D22F6F" w:rsidRDefault="00771A01" w:rsidP="00771A01">
      <w:pPr>
        <w:pBdr>
          <w:top w:val="nil"/>
          <w:left w:val="nil"/>
          <w:bottom w:val="nil"/>
          <w:right w:val="nil"/>
          <w:between w:val="nil"/>
        </w:pBdr>
        <w:spacing w:before="120" w:after="120" w:line="276" w:lineRule="auto"/>
        <w:contextualSpacing/>
        <w:rPr>
          <w:b/>
        </w:rPr>
      </w:pPr>
      <w:r>
        <w:rPr>
          <w:noProof/>
        </w:rPr>
        <w:drawing>
          <wp:anchor distT="114300" distB="114300" distL="114300" distR="114300" simplePos="0" relativeHeight="251659264" behindDoc="1" locked="0" layoutInCell="1" hidden="0" allowOverlap="1">
            <wp:simplePos x="0" y="0"/>
            <wp:positionH relativeFrom="column">
              <wp:posOffset>2971165</wp:posOffset>
            </wp:positionH>
            <wp:positionV relativeFrom="paragraph">
              <wp:posOffset>89100</wp:posOffset>
            </wp:positionV>
            <wp:extent cx="3192512" cy="1795151"/>
            <wp:effectExtent l="0" t="0" r="8255"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192512" cy="1795151"/>
                    </a:xfrm>
                    <a:prstGeom prst="rect">
                      <a:avLst/>
                    </a:prstGeom>
                    <a:ln/>
                  </pic:spPr>
                </pic:pic>
              </a:graphicData>
            </a:graphic>
          </wp:anchor>
        </w:drawing>
      </w:r>
    </w:p>
    <w:p w:rsidR="00D22F6F" w:rsidRDefault="00D22F6F" w:rsidP="00771A01">
      <w:pPr>
        <w:pBdr>
          <w:top w:val="nil"/>
          <w:left w:val="nil"/>
          <w:bottom w:val="nil"/>
          <w:right w:val="nil"/>
          <w:between w:val="nil"/>
        </w:pBdr>
        <w:spacing w:before="120" w:after="120" w:line="276" w:lineRule="auto"/>
        <w:contextualSpacing/>
        <w:rPr>
          <w:b/>
        </w:rPr>
      </w:pPr>
    </w:p>
    <w:p w:rsidR="00D22F6F" w:rsidRDefault="00D22F6F" w:rsidP="00771A01">
      <w:pPr>
        <w:spacing w:before="120" w:after="120" w:line="276" w:lineRule="auto"/>
        <w:contextualSpacing/>
        <w:jc w:val="center"/>
      </w:pPr>
    </w:p>
    <w:p w:rsidR="00D22F6F" w:rsidRDefault="00D22F6F" w:rsidP="00771A01">
      <w:pPr>
        <w:spacing w:before="120" w:after="120" w:line="276" w:lineRule="auto"/>
        <w:contextualSpacing/>
        <w:jc w:val="center"/>
      </w:pPr>
    </w:p>
    <w:p w:rsidR="00D22F6F" w:rsidRDefault="00D22F6F" w:rsidP="00771A01">
      <w:pPr>
        <w:pBdr>
          <w:top w:val="nil"/>
          <w:left w:val="nil"/>
          <w:bottom w:val="nil"/>
          <w:right w:val="nil"/>
          <w:between w:val="nil"/>
        </w:pBdr>
        <w:spacing w:before="120" w:after="120" w:line="276" w:lineRule="auto"/>
        <w:contextualSpacing/>
        <w:jc w:val="center"/>
        <w:rPr>
          <w:color w:val="00000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51435</wp:posOffset>
            </wp:positionV>
            <wp:extent cx="3278025" cy="1847776"/>
            <wp:effectExtent l="0" t="0" r="0" b="635"/>
            <wp:wrapNone/>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278025" cy="1847776"/>
                    </a:xfrm>
                    <a:prstGeom prst="rect">
                      <a:avLst/>
                    </a:prstGeom>
                    <a:ln/>
                  </pic:spPr>
                </pic:pic>
              </a:graphicData>
            </a:graphic>
            <wp14:sizeRelH relativeFrom="page">
              <wp14:pctWidth>0</wp14:pctWidth>
            </wp14:sizeRelH>
            <wp14:sizeRelV relativeFrom="page">
              <wp14:pctHeight>0</wp14:pctHeight>
            </wp14:sizeRelV>
          </wp:anchor>
        </w:drawing>
      </w: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771A01" w:rsidRDefault="00771A01" w:rsidP="00771A01">
      <w:pPr>
        <w:pBdr>
          <w:top w:val="nil"/>
          <w:left w:val="nil"/>
          <w:bottom w:val="nil"/>
          <w:right w:val="nil"/>
          <w:between w:val="nil"/>
        </w:pBdr>
        <w:spacing w:before="120" w:after="120" w:line="276" w:lineRule="auto"/>
        <w:contextualSpacing/>
        <w:jc w:val="both"/>
        <w:rPr>
          <w:b/>
          <w:color w:val="000000"/>
          <w:sz w:val="20"/>
          <w:szCs w:val="20"/>
        </w:rPr>
      </w:pPr>
    </w:p>
    <w:p w:rsidR="00D22F6F" w:rsidRDefault="003C7949" w:rsidP="00771A01">
      <w:pPr>
        <w:pBdr>
          <w:top w:val="nil"/>
          <w:left w:val="nil"/>
          <w:bottom w:val="nil"/>
          <w:right w:val="nil"/>
          <w:between w:val="nil"/>
        </w:pBdr>
        <w:spacing w:before="120" w:after="120" w:line="276" w:lineRule="auto"/>
        <w:contextualSpacing/>
        <w:jc w:val="both"/>
        <w:rPr>
          <w:color w:val="000000"/>
          <w:sz w:val="20"/>
          <w:szCs w:val="20"/>
        </w:rPr>
      </w:pPr>
      <w:r>
        <w:rPr>
          <w:b/>
          <w:color w:val="000000"/>
          <w:sz w:val="20"/>
          <w:szCs w:val="20"/>
        </w:rPr>
        <w:t>Kaynak:</w:t>
      </w:r>
      <w:r>
        <w:rPr>
          <w:color w:val="000000"/>
          <w:sz w:val="20"/>
          <w:szCs w:val="20"/>
        </w:rPr>
        <w:t xml:space="preserve"> sahibinden.com, Betam</w:t>
      </w:r>
    </w:p>
    <w:p w:rsidR="00D22F6F" w:rsidRDefault="00D22F6F" w:rsidP="00771A01">
      <w:pPr>
        <w:pBdr>
          <w:top w:val="nil"/>
          <w:left w:val="nil"/>
          <w:bottom w:val="nil"/>
          <w:right w:val="nil"/>
          <w:between w:val="nil"/>
        </w:pBdr>
        <w:spacing w:before="120" w:after="120" w:line="276" w:lineRule="auto"/>
        <w:contextualSpacing/>
        <w:jc w:val="both"/>
        <w:rPr>
          <w:color w:val="000000"/>
        </w:rPr>
      </w:pPr>
    </w:p>
    <w:p w:rsidR="00D22F6F" w:rsidRDefault="003C7949" w:rsidP="00771A01">
      <w:pPr>
        <w:pBdr>
          <w:top w:val="nil"/>
          <w:left w:val="nil"/>
          <w:bottom w:val="nil"/>
          <w:right w:val="nil"/>
          <w:between w:val="nil"/>
        </w:pBdr>
        <w:spacing w:before="120" w:after="120" w:line="276" w:lineRule="auto"/>
        <w:contextualSpacing/>
        <w:jc w:val="both"/>
        <w:rPr>
          <w:color w:val="000000"/>
        </w:rPr>
      </w:pPr>
      <w:r>
        <w:rPr>
          <w:color w:val="000000"/>
        </w:rPr>
        <w:t xml:space="preserve">Raporun tamamına </w:t>
      </w:r>
      <w:hyperlink r:id="rId15" w:history="1">
        <w:r w:rsidRPr="00247786">
          <w:rPr>
            <w:rStyle w:val="Kpr"/>
            <w:b/>
          </w:rPr>
          <w:t>buradan</w:t>
        </w:r>
      </w:hyperlink>
      <w:bookmarkStart w:id="0" w:name="_GoBack"/>
      <w:bookmarkEnd w:id="0"/>
      <w:r>
        <w:rPr>
          <w:color w:val="000000"/>
        </w:rPr>
        <w:t xml:space="preserve"> ulaşabilirsiniz. </w:t>
      </w:r>
    </w:p>
    <w:p w:rsidR="00771A01" w:rsidRDefault="00771A01" w:rsidP="00771A01">
      <w:pPr>
        <w:pBdr>
          <w:top w:val="nil"/>
          <w:left w:val="nil"/>
          <w:bottom w:val="nil"/>
          <w:right w:val="nil"/>
          <w:between w:val="nil"/>
        </w:pBdr>
        <w:spacing w:before="120" w:after="120" w:line="276" w:lineRule="auto"/>
        <w:contextualSpacing/>
        <w:jc w:val="both"/>
        <w:rPr>
          <w:b/>
          <w:color w:val="000000"/>
        </w:rPr>
      </w:pPr>
    </w:p>
    <w:p w:rsidR="00D22F6F" w:rsidRDefault="003C7949" w:rsidP="00771A01">
      <w:pPr>
        <w:pBdr>
          <w:top w:val="nil"/>
          <w:left w:val="nil"/>
          <w:bottom w:val="nil"/>
          <w:right w:val="nil"/>
          <w:between w:val="nil"/>
        </w:pBdr>
        <w:spacing w:before="120" w:after="120" w:line="276" w:lineRule="auto"/>
        <w:contextualSpacing/>
        <w:jc w:val="both"/>
        <w:rPr>
          <w:b/>
          <w:color w:val="000000"/>
        </w:rPr>
      </w:pPr>
      <w:proofErr w:type="gramStart"/>
      <w:r>
        <w:rPr>
          <w:b/>
          <w:color w:val="000000"/>
        </w:rPr>
        <w:t>sahibinden</w:t>
      </w:r>
      <w:proofErr w:type="gramEnd"/>
      <w:r>
        <w:rPr>
          <w:b/>
          <w:color w:val="000000"/>
        </w:rPr>
        <w:t>.com hakkında</w:t>
      </w:r>
    </w:p>
    <w:p w:rsidR="00D22F6F" w:rsidRDefault="003C7949" w:rsidP="00771A01">
      <w:pPr>
        <w:pBdr>
          <w:top w:val="nil"/>
          <w:left w:val="nil"/>
          <w:bottom w:val="nil"/>
          <w:right w:val="nil"/>
          <w:between w:val="nil"/>
        </w:pBdr>
        <w:spacing w:before="120" w:after="120" w:line="276" w:lineRule="auto"/>
        <w:contextualSpacing/>
        <w:jc w:val="both"/>
      </w:pPr>
      <w:bookmarkStart w:id="1" w:name="_gjdgxs" w:colFirst="0" w:colLast="0"/>
      <w:bookmarkEnd w:id="1"/>
      <w:r>
        <w:t xml:space="preserve">Aksoy </w:t>
      </w:r>
      <w:proofErr w:type="spellStart"/>
      <w:r>
        <w:t>Group</w:t>
      </w:r>
      <w:proofErr w:type="spellEnd"/>
      <w:r>
        <w:t xml:space="preserve"> bünyesinde 2000 yılında kurulan sahibinden.com, AR-GE merkezinde geliştirdiği yenilikçi ürün ve hizmetlerle Türkiye’nin lider teknoloji şirketlerinden biri olmaya devam ediyor. Aralık 2021’de ayda 58,1 milyon kullanıcının 463,4 milyon kez ziyaret ederek, 12,7 milyar sayfa görüntülediği sahibinden.com; 900’den fazla çalışanı, 5 milyondan fazla aktif ilan ve yüz binlerce ürün çeşidiyle Türkiye’nin en büyük elektronik ticaret ve ilan platformlarından birisi olma özelliğini taşıyor.</w:t>
      </w:r>
    </w:p>
    <w:p w:rsidR="00D22F6F" w:rsidRDefault="00D22F6F" w:rsidP="00771A01">
      <w:pPr>
        <w:pBdr>
          <w:top w:val="nil"/>
          <w:left w:val="nil"/>
          <w:bottom w:val="nil"/>
          <w:right w:val="nil"/>
          <w:between w:val="nil"/>
        </w:pBdr>
        <w:spacing w:before="120" w:after="120" w:line="276" w:lineRule="auto"/>
        <w:contextualSpacing/>
        <w:jc w:val="both"/>
      </w:pPr>
    </w:p>
    <w:p w:rsidR="00771A01" w:rsidRPr="00771A01" w:rsidRDefault="003C7949" w:rsidP="00771A01">
      <w:pPr>
        <w:pBdr>
          <w:top w:val="nil"/>
          <w:left w:val="nil"/>
          <w:bottom w:val="nil"/>
          <w:right w:val="nil"/>
          <w:between w:val="nil"/>
        </w:pBdr>
        <w:spacing w:before="120" w:after="120" w:line="276" w:lineRule="auto"/>
        <w:contextualSpacing/>
        <w:jc w:val="both"/>
      </w:pPr>
      <w:proofErr w:type="gramStart"/>
      <w:r>
        <w:t>sahibinden</w:t>
      </w:r>
      <w:proofErr w:type="gramEnd"/>
      <w:r>
        <w:t xml:space="preserve">.com güçlü teknolojik altyapısı ve çağın şartlarına uygun olarak geliştirdiği iş modeli sayesinde ikinci el ürünlerin satış yoluyla tekrar kullanıma kazandırılmasına aracılık ederek çevresel sürdürülebilirliğe katkı sağlıyor. </w:t>
      </w:r>
      <w:proofErr w:type="gramStart"/>
      <w:r>
        <w:t>sahibinden</w:t>
      </w:r>
      <w:proofErr w:type="gramEnd"/>
      <w:r>
        <w:t>.com, 2021 yılında açıkladığı İkinci Elin Sürdürülebilirliğe Katkısı raporunda kullanıcıların ikinci el ürünleri tercih ederek 1 yılda 1,9 milyon ton karbondioksit üretiminden tasarruf ettiğini ortaya koydu. Yeşil Ofis Sertifikası almaya hak kazanan ilk e-ticaret şirketi olan sahibinden.com; uzun yıllardır enerji tasarrufu, yenilenebilir kaynaklar ve doğal kaynakların bilinçli kullanımı konusunda kurum içi çalışmalar gerçekleştiriyor. Teknoloji endüstrisini karbon-</w:t>
      </w:r>
      <w:proofErr w:type="gramStart"/>
      <w:r>
        <w:t>nötr</w:t>
      </w:r>
      <w:proofErr w:type="gramEnd"/>
      <w:r>
        <w:t xml:space="preserve"> hale getirmeyi hedefleyen LFCA (</w:t>
      </w:r>
      <w:proofErr w:type="spellStart"/>
      <w:r>
        <w:t>Leaders</w:t>
      </w:r>
      <w:proofErr w:type="spellEnd"/>
      <w:r>
        <w:t xml:space="preserve"> </w:t>
      </w:r>
      <w:proofErr w:type="spellStart"/>
      <w:r>
        <w:t>for</w:t>
      </w:r>
      <w:proofErr w:type="spellEnd"/>
      <w:r>
        <w:t xml:space="preserve"> </w:t>
      </w:r>
      <w:proofErr w:type="spellStart"/>
      <w:r>
        <w:t>Climate</w:t>
      </w:r>
      <w:proofErr w:type="spellEnd"/>
      <w:r>
        <w:t xml:space="preserve"> Action) üyeliği bulunan şirketin çalışanları da birer sürdürülebilirlik elçisi olarak çalışmalarına aralıksız devam ediyor.</w:t>
      </w:r>
      <w:bookmarkStart w:id="2" w:name="_30j0zll" w:colFirst="0" w:colLast="0"/>
      <w:bookmarkEnd w:id="2"/>
    </w:p>
    <w:sectPr w:rsidR="00771A01" w:rsidRPr="00771A01">
      <w:headerReference w:type="default" r:id="rId16"/>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FD" w:rsidRDefault="006A50FD">
      <w:pPr>
        <w:spacing w:after="0" w:line="240" w:lineRule="auto"/>
      </w:pPr>
      <w:r>
        <w:separator/>
      </w:r>
    </w:p>
  </w:endnote>
  <w:endnote w:type="continuationSeparator" w:id="0">
    <w:p w:rsidR="006A50FD" w:rsidRDefault="006A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6F" w:rsidRDefault="00D22F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FD" w:rsidRDefault="006A50FD">
      <w:pPr>
        <w:spacing w:after="0" w:line="240" w:lineRule="auto"/>
      </w:pPr>
      <w:r>
        <w:separator/>
      </w:r>
    </w:p>
  </w:footnote>
  <w:footnote w:type="continuationSeparator" w:id="0">
    <w:p w:rsidR="006A50FD" w:rsidRDefault="006A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6F" w:rsidRDefault="003C7949">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2482688" cy="5331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82688" cy="533195"/>
                  </a:xfrm>
                  <a:prstGeom prst="rect">
                    <a:avLst/>
                  </a:prstGeom>
                  <a:ln/>
                </pic:spPr>
              </pic:pic>
            </a:graphicData>
          </a:graphic>
        </wp:inline>
      </w:drawing>
    </w:r>
  </w:p>
  <w:p w:rsidR="00D22F6F" w:rsidRDefault="00D22F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F"/>
    <w:rsid w:val="00247786"/>
    <w:rsid w:val="002B0223"/>
    <w:rsid w:val="00395B9E"/>
    <w:rsid w:val="003C7949"/>
    <w:rsid w:val="00694D3D"/>
    <w:rsid w:val="006A50FD"/>
    <w:rsid w:val="00771A01"/>
    <w:rsid w:val="007D6595"/>
    <w:rsid w:val="008929CF"/>
    <w:rsid w:val="008E7354"/>
    <w:rsid w:val="009364D0"/>
    <w:rsid w:val="00D22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C1D43-D04E-4AD0-B6EC-A61A1E41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Kpr">
    <w:name w:val="Hyperlink"/>
    <w:basedOn w:val="VarsaylanParagrafYazTipi"/>
    <w:uiPriority w:val="99"/>
    <w:unhideWhenUsed/>
    <w:rsid w:val="00247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sahibinden.com/kurumsal/raporlar/sahibindex-satilik-konut-piyasasi-gorunumu---mart-2022"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67AF-75AA-434D-8EDA-01F747C9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Sahibinden Bilgi Teknolojileri</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Sabuncu</dc:creator>
  <cp:lastModifiedBy>Deniz Sabuncu</cp:lastModifiedBy>
  <cp:revision>10</cp:revision>
  <dcterms:created xsi:type="dcterms:W3CDTF">2022-04-14T07:09:00Z</dcterms:created>
  <dcterms:modified xsi:type="dcterms:W3CDTF">2022-04-18T09:14:00Z</dcterms:modified>
</cp:coreProperties>
</file>