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555ABC02" w:rsidR="00D07713" w:rsidRPr="00D07713" w:rsidRDefault="002561C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7</w:t>
                            </w:r>
                            <w:r w:rsidR="006F0FC6">
                              <w:rPr>
                                <w:rFonts w:ascii="Arial" w:eastAsia="Times New Roman" w:hAnsi="Arial" w:cs="Arial"/>
                                <w:b/>
                                <w:bCs/>
                                <w:color w:val="FFFFFF"/>
                                <w:sz w:val="22"/>
                                <w:szCs w:val="22"/>
                                <w:lang w:eastAsia="ar-SA"/>
                              </w:rPr>
                              <w:t xml:space="preserve"> </w:t>
                            </w:r>
                            <w:r w:rsidR="006C1ABC">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" stroked="f">
                <v:fill opacity="0"/>
                <v:textbox inset="0,0,0,0">
                  <w:txbxContent>
                    <w:p w14:paraId="5B0CFDC6" w14:textId="555ABC02" w:rsidR="00D07713" w:rsidRPr="00D07713" w:rsidRDefault="002561C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7</w:t>
                      </w:r>
                      <w:r w:rsidR="006F0FC6">
                        <w:rPr>
                          <w:rFonts w:ascii="Arial" w:eastAsia="Times New Roman" w:hAnsi="Arial" w:cs="Arial"/>
                          <w:b/>
                          <w:bCs/>
                          <w:color w:val="FFFFFF"/>
                          <w:sz w:val="22"/>
                          <w:szCs w:val="22"/>
                          <w:lang w:eastAsia="ar-SA"/>
                        </w:rPr>
                        <w:t xml:space="preserve"> </w:t>
                      </w:r>
                      <w:r w:rsidR="006C1ABC">
                        <w:rPr>
                          <w:rFonts w:ascii="Arial" w:eastAsia="Times New Roman" w:hAnsi="Arial" w:cs="Arial"/>
                          <w:b/>
                          <w:bCs/>
                          <w:color w:val="FFFFFF"/>
                          <w:sz w:val="22"/>
                          <w:szCs w:val="22"/>
                          <w:lang w:eastAsia="ar-SA"/>
                        </w:rPr>
                        <w:t>Mart</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E49454C"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8949E0">
                              <w:rPr>
                                <w:rFonts w:ascii="Times New Roman" w:hAnsi="Times New Roman" w:cs="Times New Roman"/>
                                <w:sz w:val="40"/>
                                <w:szCs w:val="40"/>
                              </w:rPr>
                              <w:t>1</w:t>
                            </w:r>
                            <w:r>
                              <w:rPr>
                                <w:rFonts w:ascii="Times New Roman" w:hAnsi="Times New Roman" w:cs="Times New Roman"/>
                                <w:sz w:val="40"/>
                                <w:szCs w:val="40"/>
                              </w:rPr>
                              <w:t xml:space="preserve"> </w:t>
                            </w:r>
                            <w:r w:rsidR="006C1ABC">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2E49454C"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8949E0">
                        <w:rPr>
                          <w:rFonts w:ascii="Times New Roman" w:hAnsi="Times New Roman" w:cs="Times New Roman"/>
                          <w:sz w:val="40"/>
                          <w:szCs w:val="40"/>
                        </w:rPr>
                        <w:t>1</w:t>
                      </w:r>
                      <w:r>
                        <w:rPr>
                          <w:rFonts w:ascii="Times New Roman" w:hAnsi="Times New Roman" w:cs="Times New Roman"/>
                          <w:sz w:val="40"/>
                          <w:szCs w:val="40"/>
                        </w:rPr>
                        <w:t xml:space="preserve"> </w:t>
                      </w:r>
                      <w:r w:rsidR="006C1ABC">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729F01C9" w:rsidR="0002466A" w:rsidRPr="0002466A" w:rsidRDefault="0002466A" w:rsidP="0002466A">
      <w:pPr>
        <w:spacing w:line="288" w:lineRule="auto"/>
        <w:ind w:right="-319"/>
        <w:jc w:val="center"/>
        <w:outlineLvl w:val="0"/>
        <w:rPr>
          <w:rFonts w:ascii="Palatino Linotype" w:hAnsi="Palatino Linotype" w:cstheme="minorHAnsi"/>
          <w:b/>
          <w:bCs/>
          <w:sz w:val="28"/>
          <w:szCs w:val="28"/>
        </w:rPr>
      </w:pPr>
      <w:r w:rsidRPr="008E4870">
        <w:rPr>
          <w:rFonts w:ascii="Palatino Linotype" w:hAnsi="Palatino Linotype" w:cstheme="minorHAnsi"/>
          <w:b/>
          <w:bCs/>
          <w:sz w:val="28"/>
          <w:szCs w:val="28"/>
        </w:rPr>
        <w:t>BÜYÜME</w:t>
      </w:r>
      <w:r w:rsidR="008E4870" w:rsidRPr="008E4870">
        <w:rPr>
          <w:rFonts w:ascii="Palatino Linotype" w:hAnsi="Palatino Linotype" w:cstheme="minorHAnsi"/>
          <w:b/>
          <w:bCs/>
          <w:sz w:val="28"/>
          <w:szCs w:val="28"/>
        </w:rPr>
        <w:t>Y</w:t>
      </w:r>
      <w:r w:rsidR="008E4870">
        <w:rPr>
          <w:rFonts w:ascii="Palatino Linotype" w:hAnsi="Palatino Linotype" w:cstheme="minorHAnsi"/>
          <w:b/>
          <w:bCs/>
          <w:sz w:val="28"/>
          <w:szCs w:val="28"/>
        </w:rPr>
        <w:t>İ</w:t>
      </w:r>
      <w:r w:rsidR="000D5974">
        <w:rPr>
          <w:rFonts w:ascii="Palatino Linotype" w:hAnsi="Palatino Linotype" w:cstheme="minorHAnsi"/>
          <w:b/>
          <w:bCs/>
          <w:sz w:val="28"/>
          <w:szCs w:val="28"/>
        </w:rPr>
        <w:t xml:space="preserve"> HANEHALKLARININ</w:t>
      </w:r>
      <w:r w:rsidRPr="008E4870">
        <w:rPr>
          <w:rFonts w:ascii="Palatino Linotype" w:hAnsi="Palatino Linotype" w:cstheme="minorHAnsi"/>
          <w:b/>
          <w:bCs/>
          <w:sz w:val="28"/>
          <w:szCs w:val="28"/>
        </w:rPr>
        <w:t xml:space="preserve"> </w:t>
      </w:r>
      <w:r w:rsidR="006C1ABC">
        <w:rPr>
          <w:rFonts w:ascii="Palatino Linotype" w:hAnsi="Palatino Linotype" w:cstheme="minorHAnsi"/>
          <w:b/>
          <w:bCs/>
          <w:sz w:val="28"/>
          <w:szCs w:val="28"/>
        </w:rPr>
        <w:t>TÜKETİM</w:t>
      </w:r>
      <w:r w:rsidR="000D5974">
        <w:rPr>
          <w:rFonts w:ascii="Palatino Linotype" w:hAnsi="Palatino Linotype" w:cstheme="minorHAnsi"/>
          <w:b/>
          <w:bCs/>
          <w:sz w:val="28"/>
          <w:szCs w:val="28"/>
        </w:rPr>
        <w:t>İ</w:t>
      </w:r>
      <w:r w:rsidR="008E4870" w:rsidRPr="008E4870">
        <w:rPr>
          <w:rFonts w:ascii="Palatino Linotype" w:hAnsi="Palatino Linotype" w:cstheme="minorHAnsi"/>
          <w:b/>
          <w:bCs/>
          <w:sz w:val="28"/>
          <w:szCs w:val="28"/>
        </w:rPr>
        <w:t xml:space="preserve"> </w:t>
      </w:r>
      <w:r w:rsidR="008E4870">
        <w:rPr>
          <w:rFonts w:ascii="Palatino Linotype" w:hAnsi="Palatino Linotype" w:cstheme="minorHAnsi"/>
          <w:b/>
          <w:bCs/>
          <w:sz w:val="28"/>
          <w:szCs w:val="28"/>
        </w:rPr>
        <w:t>SÜRÜKLEDİ</w:t>
      </w:r>
    </w:p>
    <w:p w14:paraId="428E7403" w14:textId="2D72E974" w:rsidR="00D07713" w:rsidRPr="0002466A" w:rsidRDefault="00D07713" w:rsidP="004623F2">
      <w:pPr>
        <w:spacing w:line="288" w:lineRule="auto"/>
        <w:ind w:right="-319"/>
        <w:jc w:val="center"/>
        <w:outlineLvl w:val="0"/>
        <w:rPr>
          <w:rFonts w:ascii="Palatino Linotype" w:hAnsi="Palatino Linotype" w:cstheme="minorHAnsi"/>
        </w:rPr>
      </w:pPr>
      <w:r w:rsidRPr="0002466A">
        <w:rPr>
          <w:rFonts w:ascii="Palatino Linotype" w:hAnsi="Palatino Linotype" w:cstheme="minorHAnsi"/>
          <w:b/>
          <w:bCs/>
          <w:sz w:val="22"/>
          <w:szCs w:val="22"/>
        </w:rPr>
        <w:t>Ozan Bakış</w:t>
      </w:r>
      <w:r w:rsidR="00C32789" w:rsidRPr="0002466A">
        <w:rPr>
          <w:rStyle w:val="FootnoteReference"/>
          <w:rFonts w:ascii="Palatino Linotype" w:hAnsi="Palatino Linotype" w:cstheme="minorHAnsi"/>
          <w:b/>
          <w:bCs/>
          <w:sz w:val="22"/>
          <w:szCs w:val="22"/>
        </w:rPr>
        <w:footnoteReference w:id="1"/>
      </w:r>
      <w:r w:rsidR="001537D8" w:rsidRPr="0002466A">
        <w:rPr>
          <w:rFonts w:ascii="Palatino Linotype" w:hAnsi="Palatino Linotype" w:cstheme="minorHAnsi"/>
          <w:b/>
          <w:bCs/>
          <w:sz w:val="22"/>
          <w:szCs w:val="22"/>
        </w:rPr>
        <w:t xml:space="preserve"> ve </w:t>
      </w:r>
      <w:r w:rsidR="00E7272A">
        <w:rPr>
          <w:rFonts w:ascii="Palatino Linotype" w:hAnsi="Palatino Linotype" w:cstheme="minorHAnsi"/>
          <w:b/>
          <w:bCs/>
          <w:sz w:val="22"/>
          <w:szCs w:val="22"/>
        </w:rPr>
        <w:t>Uğurcan Acar</w:t>
      </w:r>
      <w:r w:rsidR="001537D8" w:rsidRPr="0002466A">
        <w:rPr>
          <w:rStyle w:val="FootnoteReference"/>
          <w:rFonts w:ascii="Palatino Linotype" w:hAnsi="Palatino Linotype" w:cstheme="minorHAnsi"/>
          <w:b/>
          <w:bCs/>
          <w:sz w:val="22"/>
          <w:szCs w:val="22"/>
        </w:rPr>
        <w:footnoteReference w:id="2"/>
      </w:r>
    </w:p>
    <w:p w14:paraId="6E057918" w14:textId="77777777" w:rsidR="00405BD8" w:rsidRPr="0002466A" w:rsidRDefault="00405BD8" w:rsidP="00751F72">
      <w:pPr>
        <w:jc w:val="center"/>
        <w:rPr>
          <w:rFonts w:ascii="Palatino Linotype" w:hAnsi="Palatino Linotype" w:cstheme="minorHAnsi"/>
          <w:b/>
          <w:sz w:val="22"/>
          <w:szCs w:val="22"/>
        </w:rPr>
      </w:pPr>
    </w:p>
    <w:p w14:paraId="180703E7" w14:textId="77777777" w:rsidR="00111CED" w:rsidRPr="0002466A" w:rsidRDefault="00D257C1" w:rsidP="00405BD8">
      <w:pPr>
        <w:spacing w:line="360" w:lineRule="auto"/>
        <w:jc w:val="center"/>
        <w:rPr>
          <w:rFonts w:ascii="Palatino Linotype" w:hAnsi="Palatino Linotype" w:cstheme="minorHAnsi"/>
          <w:b/>
          <w:sz w:val="22"/>
          <w:szCs w:val="22"/>
        </w:rPr>
      </w:pPr>
      <w:r w:rsidRPr="0002466A">
        <w:rPr>
          <w:rFonts w:ascii="Palatino Linotype" w:hAnsi="Palatino Linotype" w:cstheme="minorHAnsi"/>
          <w:b/>
          <w:sz w:val="22"/>
          <w:szCs w:val="22"/>
        </w:rPr>
        <w:t>Yönetici</w:t>
      </w:r>
      <w:r w:rsidR="00C86475" w:rsidRPr="0002466A">
        <w:rPr>
          <w:rFonts w:ascii="Palatino Linotype" w:hAnsi="Palatino Linotype" w:cstheme="minorHAnsi"/>
          <w:b/>
          <w:sz w:val="22"/>
          <w:szCs w:val="22"/>
        </w:rPr>
        <w:t xml:space="preserve"> </w:t>
      </w:r>
      <w:r w:rsidRPr="0002466A">
        <w:rPr>
          <w:rFonts w:ascii="Palatino Linotype" w:hAnsi="Palatino Linotype" w:cstheme="minorHAnsi"/>
          <w:b/>
          <w:sz w:val="22"/>
          <w:szCs w:val="22"/>
        </w:rPr>
        <w:t>Özeti</w:t>
      </w:r>
    </w:p>
    <w:p w14:paraId="49621AB2" w14:textId="6D8F956D" w:rsidR="009A3D0F" w:rsidRDefault="00EA0452" w:rsidP="0076407C">
      <w:pPr>
        <w:spacing w:line="288" w:lineRule="auto"/>
        <w:ind w:left="567" w:right="567"/>
        <w:jc w:val="both"/>
        <w:rPr>
          <w:rFonts w:ascii="Palatino Linotype" w:hAnsi="Palatino Linotype" w:cstheme="minorHAnsi"/>
          <w:sz w:val="22"/>
          <w:szCs w:val="22"/>
        </w:rPr>
      </w:pPr>
      <w:bookmarkStart w:id="0" w:name="OLE_LINK5"/>
      <w:bookmarkStart w:id="1" w:name="OLE_LINK6"/>
      <w:r>
        <w:rPr>
          <w:noProof/>
          <w:lang w:val="en-GB" w:eastAsia="en-GB"/>
        </w:rPr>
        <w:drawing>
          <wp:anchor distT="0" distB="0" distL="114300" distR="114300" simplePos="0" relativeHeight="251665408" behindDoc="1" locked="0" layoutInCell="1" allowOverlap="1" wp14:anchorId="7EB89078" wp14:editId="542BAEEA">
            <wp:simplePos x="0" y="0"/>
            <wp:positionH relativeFrom="column">
              <wp:posOffset>3386455</wp:posOffset>
            </wp:positionH>
            <wp:positionV relativeFrom="page">
              <wp:posOffset>5172075</wp:posOffset>
            </wp:positionV>
            <wp:extent cx="3171825" cy="2057400"/>
            <wp:effectExtent l="0" t="0" r="9525" b="0"/>
            <wp:wrapTight wrapText="bothSides">
              <wp:wrapPolygon edited="0">
                <wp:start x="0" y="0"/>
                <wp:lineTo x="0" y="21400"/>
                <wp:lineTo x="21535" y="21400"/>
                <wp:lineTo x="21535" y="0"/>
                <wp:lineTo x="0" y="0"/>
              </wp:wrapPolygon>
            </wp:wrapTight>
            <wp:docPr id="6" name="Chart 6">
              <a:extLst xmlns:a="http://schemas.openxmlformats.org/drawingml/2006/main">
                <a:ext uri="{FF2B5EF4-FFF2-40B4-BE49-F238E27FC236}">
                  <a16:creationId xmlns:a16="http://schemas.microsoft.com/office/drawing/2014/main" id="{5A72B520-6449-4475-BAB2-8819AF2FE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1" locked="0" layoutInCell="1" allowOverlap="1" wp14:anchorId="220D04AF" wp14:editId="73E1E838">
            <wp:simplePos x="0" y="0"/>
            <wp:positionH relativeFrom="margin">
              <wp:posOffset>285750</wp:posOffset>
            </wp:positionH>
            <wp:positionV relativeFrom="page">
              <wp:posOffset>5172075</wp:posOffset>
            </wp:positionV>
            <wp:extent cx="3038475" cy="2057400"/>
            <wp:effectExtent l="0" t="0" r="9525" b="0"/>
            <wp:wrapTight wrapText="bothSides">
              <wp:wrapPolygon edited="0">
                <wp:start x="0" y="0"/>
                <wp:lineTo x="0" y="21400"/>
                <wp:lineTo x="21532" y="21400"/>
                <wp:lineTo x="21532" y="0"/>
                <wp:lineTo x="0" y="0"/>
              </wp:wrapPolygon>
            </wp:wrapTight>
            <wp:docPr id="3" name="Chart 3">
              <a:extLst xmlns:a="http://schemas.openxmlformats.org/drawingml/2006/main">
                <a:ext uri="{FF2B5EF4-FFF2-40B4-BE49-F238E27FC236}">
                  <a16:creationId xmlns:a16="http://schemas.microsoft.com/office/drawing/2014/main" id="{2627C9A7-604B-455E-B850-683E61524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D1374">
        <w:rPr>
          <w:rFonts w:ascii="Palatino Linotype" w:hAnsi="Palatino Linotype" w:cstheme="minorHAnsi"/>
          <w:sz w:val="22"/>
          <w:szCs w:val="22"/>
        </w:rPr>
        <w:t xml:space="preserve">Türkiye </w:t>
      </w:r>
      <w:r w:rsidR="00DD1374" w:rsidRPr="005E0D21">
        <w:rPr>
          <w:rFonts w:ascii="Palatino Linotype" w:hAnsi="Palatino Linotype" w:cstheme="minorHAnsi"/>
          <w:sz w:val="22"/>
          <w:szCs w:val="22"/>
        </w:rPr>
        <w:t xml:space="preserve">ekonomisi 2021 yılının </w:t>
      </w:r>
      <w:r w:rsidR="006C1ABC">
        <w:rPr>
          <w:rFonts w:ascii="Palatino Linotype" w:hAnsi="Palatino Linotype" w:cstheme="minorHAnsi"/>
          <w:sz w:val="22"/>
          <w:szCs w:val="22"/>
        </w:rPr>
        <w:t>dördüncü</w:t>
      </w:r>
      <w:r w:rsidR="00DD1374" w:rsidRPr="005E0D21">
        <w:rPr>
          <w:rFonts w:ascii="Palatino Linotype" w:hAnsi="Palatino Linotype" w:cstheme="minorHAnsi"/>
          <w:sz w:val="22"/>
          <w:szCs w:val="22"/>
        </w:rPr>
        <w:t xml:space="preserve"> çeyreğinde yüzde </w:t>
      </w:r>
      <w:r w:rsidR="006C1ABC">
        <w:rPr>
          <w:rFonts w:ascii="Palatino Linotype" w:hAnsi="Palatino Linotype" w:cstheme="minorHAnsi"/>
          <w:sz w:val="22"/>
          <w:szCs w:val="22"/>
        </w:rPr>
        <w:t>9</w:t>
      </w:r>
      <w:r w:rsidR="00DD1374" w:rsidRPr="005E0D21">
        <w:rPr>
          <w:rFonts w:ascii="Palatino Linotype" w:hAnsi="Palatino Linotype" w:cstheme="minorHAnsi"/>
          <w:sz w:val="22"/>
          <w:szCs w:val="22"/>
        </w:rPr>
        <w:t>,</w:t>
      </w:r>
      <w:r w:rsidR="006C1ABC">
        <w:rPr>
          <w:rFonts w:ascii="Palatino Linotype" w:hAnsi="Palatino Linotype" w:cstheme="minorHAnsi"/>
          <w:sz w:val="22"/>
          <w:szCs w:val="22"/>
        </w:rPr>
        <w:t>1</w:t>
      </w:r>
      <w:r w:rsidR="00DD1374" w:rsidRPr="005E0D21">
        <w:rPr>
          <w:rFonts w:ascii="Palatino Linotype" w:hAnsi="Palatino Linotype" w:cstheme="minorHAnsi"/>
          <w:sz w:val="22"/>
          <w:szCs w:val="22"/>
        </w:rPr>
        <w:t xml:space="preserve"> büyüdü. Bu çeyrekte büyümeye </w:t>
      </w:r>
      <w:r w:rsidR="00AC59ED" w:rsidRPr="005E0D21">
        <w:rPr>
          <w:rFonts w:ascii="Palatino Linotype" w:hAnsi="Palatino Linotype" w:cstheme="minorHAnsi"/>
          <w:sz w:val="22"/>
          <w:szCs w:val="22"/>
        </w:rPr>
        <w:t xml:space="preserve">en büyük katkı </w:t>
      </w:r>
      <w:r w:rsidR="006C1ABC">
        <w:rPr>
          <w:rFonts w:ascii="Palatino Linotype" w:hAnsi="Palatino Linotype" w:cstheme="minorHAnsi"/>
          <w:sz w:val="22"/>
          <w:szCs w:val="22"/>
        </w:rPr>
        <w:t>11,9 yüzde puan ile özel tüketimden</w:t>
      </w:r>
      <w:r w:rsidR="00DD1374" w:rsidRPr="005E0D21">
        <w:rPr>
          <w:rFonts w:ascii="Palatino Linotype" w:hAnsi="Palatino Linotype" w:cstheme="minorHAnsi"/>
          <w:sz w:val="22"/>
          <w:szCs w:val="22"/>
        </w:rPr>
        <w:t xml:space="preserve"> geldi</w:t>
      </w:r>
      <w:r w:rsidR="00AC59ED" w:rsidRPr="005E0D21">
        <w:rPr>
          <w:rFonts w:ascii="Palatino Linotype" w:hAnsi="Palatino Linotype" w:cstheme="minorHAnsi"/>
          <w:sz w:val="22"/>
          <w:szCs w:val="22"/>
        </w:rPr>
        <w:t xml:space="preserve">. </w:t>
      </w:r>
      <w:bookmarkStart w:id="2" w:name="OLE_LINK9"/>
      <w:bookmarkStart w:id="3" w:name="OLE_LINK10"/>
      <w:r w:rsidR="006C1ABC">
        <w:rPr>
          <w:rFonts w:ascii="Palatino Linotype" w:hAnsi="Palatino Linotype" w:cstheme="minorHAnsi"/>
          <w:sz w:val="22"/>
          <w:szCs w:val="22"/>
        </w:rPr>
        <w:t>Yılın ikinci ve üçüncü çeyreklerinde sırasıyla 9,3 ve 8,7 yüzde puan seviyelerinde seyreden dış ticaret katkısı bu çeyrekte 5,6 yüzde puana düştü</w:t>
      </w:r>
      <w:bookmarkEnd w:id="2"/>
      <w:bookmarkEnd w:id="3"/>
      <w:r w:rsidR="006C1ABC">
        <w:rPr>
          <w:rFonts w:ascii="Palatino Linotype" w:hAnsi="Palatino Linotype" w:cstheme="minorHAnsi"/>
          <w:sz w:val="22"/>
          <w:szCs w:val="22"/>
        </w:rPr>
        <w:t xml:space="preserve">. </w:t>
      </w:r>
      <w:r w:rsidR="00AC59ED" w:rsidRPr="005E0D21">
        <w:rPr>
          <w:rFonts w:ascii="Palatino Linotype" w:hAnsi="Palatino Linotype" w:cstheme="minorHAnsi"/>
          <w:sz w:val="22"/>
          <w:szCs w:val="22"/>
        </w:rPr>
        <w:t xml:space="preserve">Mevsim ve takvim etkisinden arındırılmış serilere baktığımızda ise GSYH’nin bir önceki çeyreğe kıyasla </w:t>
      </w:r>
      <w:r>
        <w:rPr>
          <w:rFonts w:ascii="Palatino Linotype" w:hAnsi="Palatino Linotype" w:cstheme="minorHAnsi"/>
          <w:sz w:val="22"/>
          <w:szCs w:val="22"/>
        </w:rPr>
        <w:t xml:space="preserve">yine </w:t>
      </w:r>
      <w:r w:rsidR="00715A66" w:rsidRPr="005E0D21">
        <w:rPr>
          <w:rFonts w:ascii="Palatino Linotype" w:hAnsi="Palatino Linotype" w:cstheme="minorHAnsi"/>
          <w:sz w:val="22"/>
          <w:szCs w:val="22"/>
        </w:rPr>
        <w:t xml:space="preserve">özel tüketimin katkısıyla </w:t>
      </w:r>
      <w:r w:rsidR="00AC59ED" w:rsidRPr="005E0D21">
        <w:rPr>
          <w:rFonts w:ascii="Palatino Linotype" w:hAnsi="Palatino Linotype" w:cstheme="minorHAnsi"/>
          <w:sz w:val="22"/>
          <w:szCs w:val="22"/>
        </w:rPr>
        <w:t xml:space="preserve">yüzde </w:t>
      </w:r>
      <w:r>
        <w:rPr>
          <w:rFonts w:ascii="Palatino Linotype" w:hAnsi="Palatino Linotype" w:cstheme="minorHAnsi"/>
          <w:sz w:val="22"/>
          <w:szCs w:val="22"/>
        </w:rPr>
        <w:t>1</w:t>
      </w:r>
      <w:r w:rsidR="00715A66" w:rsidRPr="005E0D21">
        <w:rPr>
          <w:rFonts w:ascii="Palatino Linotype" w:hAnsi="Palatino Linotype" w:cstheme="minorHAnsi"/>
          <w:sz w:val="22"/>
          <w:szCs w:val="22"/>
        </w:rPr>
        <w:t>,</w:t>
      </w:r>
      <w:r>
        <w:rPr>
          <w:rFonts w:ascii="Palatino Linotype" w:hAnsi="Palatino Linotype" w:cstheme="minorHAnsi"/>
          <w:sz w:val="22"/>
          <w:szCs w:val="22"/>
        </w:rPr>
        <w:t>5</w:t>
      </w:r>
      <w:r w:rsidR="00AC59ED" w:rsidRPr="005E0D21">
        <w:rPr>
          <w:rFonts w:ascii="Palatino Linotype" w:hAnsi="Palatino Linotype" w:cstheme="minorHAnsi"/>
          <w:sz w:val="22"/>
          <w:szCs w:val="22"/>
        </w:rPr>
        <w:t xml:space="preserve"> büyüdüğünü </w:t>
      </w:r>
      <w:r w:rsidR="00693FB8" w:rsidRPr="005E0D21">
        <w:rPr>
          <w:rFonts w:ascii="Palatino Linotype" w:hAnsi="Palatino Linotype" w:cstheme="minorHAnsi"/>
          <w:sz w:val="22"/>
          <w:szCs w:val="22"/>
        </w:rPr>
        <w:t>görüyoruz</w:t>
      </w:r>
      <w:r w:rsidR="00B606FC" w:rsidRPr="005E0D21">
        <w:rPr>
          <w:rFonts w:ascii="Palatino Linotype" w:hAnsi="Palatino Linotype" w:cstheme="minorHAnsi"/>
          <w:sz w:val="22"/>
          <w:szCs w:val="22"/>
        </w:rPr>
        <w:t>.</w:t>
      </w:r>
      <w:r>
        <w:rPr>
          <w:rFonts w:ascii="Palatino Linotype" w:hAnsi="Palatino Linotype" w:cstheme="minorHAnsi"/>
          <w:sz w:val="22"/>
          <w:szCs w:val="22"/>
        </w:rPr>
        <w:t xml:space="preserve"> Çeyreklik büyümeye net dış ticaretin katkısı 0,9 yüzde puandır. Stok değişimi başta olmak üzere azalan yatırımlar ve kamu tüketimi çeyreklik büyümeyi aşağı çekti. </w:t>
      </w:r>
      <w:r w:rsidR="00646879">
        <w:rPr>
          <w:rFonts w:ascii="Palatino Linotype" w:hAnsi="Palatino Linotype" w:cstheme="minorHAnsi"/>
          <w:sz w:val="22"/>
          <w:szCs w:val="22"/>
        </w:rPr>
        <w:br/>
      </w:r>
    </w:p>
    <w:p w14:paraId="5A035E2A" w14:textId="6F496D33" w:rsidR="00646879" w:rsidRPr="005E0D21" w:rsidRDefault="00646879" w:rsidP="00646879">
      <w:pPr>
        <w:spacing w:line="288" w:lineRule="auto"/>
        <w:ind w:left="567" w:right="567"/>
        <w:jc w:val="both"/>
        <w:rPr>
          <w:rFonts w:ascii="Palatino Linotype" w:hAnsi="Palatino Linotype" w:cstheme="minorHAnsi"/>
          <w:sz w:val="22"/>
          <w:szCs w:val="22"/>
        </w:rPr>
      </w:pPr>
      <w:r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2021 4</w:t>
      </w:r>
      <w:r w:rsidRPr="005E0D21">
        <w:rPr>
          <w:rFonts w:ascii="Palatino Linotype" w:hAnsi="Palatino Linotype" w:cstheme="minorHAnsi"/>
          <w:b/>
          <w:bCs/>
          <w:sz w:val="22"/>
          <w:szCs w:val="22"/>
        </w:rPr>
        <w:t>. çeyrekte bir önceki yılın aynı çeyreğine göre büyümeye katkıları (sol şekil) ve büyüme oranları (sağ şekil)</w:t>
      </w:r>
    </w:p>
    <w:bookmarkEnd w:id="0"/>
    <w:bookmarkEnd w:id="1"/>
    <w:p w14:paraId="27DDFB67" w14:textId="0C78EFA4" w:rsidR="00C1422A" w:rsidRPr="005E0D21" w:rsidRDefault="00C1422A" w:rsidP="00BB27EB">
      <w:pPr>
        <w:ind w:left="567" w:right="567"/>
        <w:jc w:val="both"/>
        <w:rPr>
          <w:rFonts w:ascii="Palatino Linotype" w:hAnsi="Palatino Linotype" w:cstheme="minorHAnsi"/>
        </w:rPr>
      </w:pPr>
      <w:r w:rsidRPr="005E0D21">
        <w:rPr>
          <w:rFonts w:ascii="Palatino Linotype" w:hAnsi="Palatino Linotype" w:cstheme="minorHAnsi"/>
          <w:sz w:val="18"/>
          <w:szCs w:val="18"/>
        </w:rPr>
        <w:t>Kaynak: TÜİK, Betam</w:t>
      </w:r>
      <w:r w:rsidRPr="005E0D21">
        <w:rPr>
          <w:rFonts w:ascii="Palatino Linotype" w:hAnsi="Palatino Linotype" w:cstheme="minorHAnsi"/>
          <w:sz w:val="16"/>
          <w:szCs w:val="16"/>
        </w:rPr>
        <w:t xml:space="preserve">. </w:t>
      </w:r>
    </w:p>
    <w:p w14:paraId="24C6C2F1" w14:textId="0DE29178"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3F193EBC"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68885EB" w14:textId="7E86571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02C9166F" w14:textId="77777777" w:rsidR="00EA0452" w:rsidRPr="005E0D21"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320B3BFD"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lastRenderedPageBreak/>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BB3FE6" w:rsidRPr="005E0D21">
        <w:rPr>
          <w:rFonts w:ascii="Palatino Linotype" w:hAnsi="Palatino Linotype" w:cstheme="minorHAnsi"/>
          <w:b/>
          <w:bCs/>
          <w:sz w:val="22"/>
          <w:szCs w:val="22"/>
        </w:rPr>
        <w:t xml:space="preserve">de </w:t>
      </w:r>
      <w:r w:rsidR="00377868">
        <w:rPr>
          <w:rFonts w:ascii="Palatino Linotype" w:hAnsi="Palatino Linotype" w:cstheme="minorHAnsi"/>
          <w:b/>
          <w:bCs/>
          <w:sz w:val="22"/>
          <w:szCs w:val="22"/>
        </w:rPr>
        <w:t>büyük artış</w:t>
      </w:r>
    </w:p>
    <w:p w14:paraId="3D67829E" w14:textId="66397856"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 xml:space="preserve">2021 yılının </w:t>
      </w:r>
      <w:r w:rsidR="00377868">
        <w:rPr>
          <w:rFonts w:ascii="Palatino Linotype" w:hAnsi="Palatino Linotype" w:cstheme="minorHAnsi"/>
          <w:sz w:val="22"/>
          <w:szCs w:val="22"/>
        </w:rPr>
        <w:t>dördüncü</w:t>
      </w:r>
      <w:r w:rsidRPr="005E0D21">
        <w:rPr>
          <w:rFonts w:ascii="Palatino Linotype" w:hAnsi="Palatino Linotype" w:cstheme="minorHAnsi"/>
          <w:sz w:val="22"/>
          <w:szCs w:val="22"/>
        </w:rPr>
        <w:t xml:space="preserve"> çeyreğinde özel tüketim yıllık yüzde </w:t>
      </w:r>
      <w:r w:rsidR="00377868">
        <w:rPr>
          <w:rFonts w:ascii="Palatino Linotype" w:hAnsi="Palatino Linotype" w:cstheme="minorHAnsi"/>
          <w:sz w:val="22"/>
          <w:szCs w:val="22"/>
        </w:rPr>
        <w:t>21,4</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377868">
        <w:rPr>
          <w:rFonts w:ascii="Palatino Linotype" w:hAnsi="Palatino Linotype" w:cstheme="minorHAnsi"/>
          <w:sz w:val="22"/>
          <w:szCs w:val="22"/>
        </w:rPr>
        <w:t>11</w:t>
      </w:r>
      <w:r w:rsidR="00DD1374" w:rsidRPr="005E0D21">
        <w:rPr>
          <w:rFonts w:ascii="Palatino Linotype" w:hAnsi="Palatino Linotype" w:cstheme="minorHAnsi"/>
          <w:sz w:val="22"/>
          <w:szCs w:val="22"/>
        </w:rPr>
        <w:t>,</w:t>
      </w:r>
      <w:r w:rsidR="00377868">
        <w:rPr>
          <w:rFonts w:ascii="Palatino Linotype" w:hAnsi="Palatino Linotype" w:cstheme="minorHAnsi"/>
          <w:sz w:val="22"/>
          <w:szCs w:val="22"/>
        </w:rPr>
        <w:t>9</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Tablo 1). Mevsim ve takvim etkilerinden arındırılmış rakamlara baktığımızda ise özel tüketim</w:t>
      </w:r>
      <w:r w:rsidR="0061333E" w:rsidRPr="005E0D21">
        <w:rPr>
          <w:rFonts w:ascii="Palatino Linotype" w:hAnsi="Palatino Linotype" w:cstheme="minorHAnsi"/>
          <w:sz w:val="22"/>
          <w:szCs w:val="22"/>
        </w:rPr>
        <w:t>in</w:t>
      </w:r>
      <w:r w:rsidR="003F00A9" w:rsidRPr="005E0D21">
        <w:rPr>
          <w:rFonts w:ascii="Palatino Linotype" w:hAnsi="Palatino Linotype" w:cstheme="minorHAnsi"/>
          <w:sz w:val="22"/>
          <w:szCs w:val="22"/>
        </w:rPr>
        <w:t xml:space="preserve"> </w:t>
      </w:r>
      <w:r w:rsidR="00BD7F4E" w:rsidRPr="005E0D21">
        <w:rPr>
          <w:rFonts w:ascii="Palatino Linotype" w:hAnsi="Palatino Linotype" w:cstheme="minorHAnsi"/>
          <w:sz w:val="22"/>
          <w:szCs w:val="22"/>
        </w:rPr>
        <w:t xml:space="preserve">yüzde </w:t>
      </w:r>
      <w:r w:rsidR="00377868">
        <w:rPr>
          <w:rFonts w:ascii="Palatino Linotype" w:hAnsi="Palatino Linotype" w:cstheme="minorHAnsi"/>
          <w:sz w:val="22"/>
          <w:szCs w:val="22"/>
        </w:rPr>
        <w:t>9</w:t>
      </w:r>
      <w:r w:rsidR="00715A66" w:rsidRPr="005E0D21">
        <w:rPr>
          <w:rFonts w:ascii="Palatino Linotype" w:hAnsi="Palatino Linotype" w:cstheme="minorHAnsi"/>
          <w:sz w:val="22"/>
          <w:szCs w:val="22"/>
        </w:rPr>
        <w:t>,</w:t>
      </w:r>
      <w:r w:rsidR="00377868">
        <w:rPr>
          <w:rFonts w:ascii="Palatino Linotype" w:hAnsi="Palatino Linotype" w:cstheme="minorHAnsi"/>
          <w:sz w:val="22"/>
          <w:szCs w:val="22"/>
        </w:rPr>
        <w:t>4</w:t>
      </w:r>
      <w:r w:rsidR="00BD7F4E" w:rsidRPr="005E0D21">
        <w:rPr>
          <w:rFonts w:ascii="Palatino Linotype" w:hAnsi="Palatino Linotype" w:cstheme="minorHAnsi"/>
          <w:sz w:val="22"/>
          <w:szCs w:val="22"/>
        </w:rPr>
        <w:t xml:space="preserve"> </w:t>
      </w:r>
      <w:r w:rsidR="004D1A55" w:rsidRPr="005E0D21">
        <w:rPr>
          <w:rFonts w:ascii="Palatino Linotype" w:hAnsi="Palatino Linotype" w:cstheme="minorHAnsi"/>
          <w:sz w:val="22"/>
          <w:szCs w:val="22"/>
        </w:rPr>
        <w:t>artışla</w:t>
      </w:r>
      <w:r w:rsidR="008949E0" w:rsidRPr="005E0D21">
        <w:rPr>
          <w:rFonts w:ascii="Palatino Linotype" w:hAnsi="Palatino Linotype" w:cstheme="minorHAnsi"/>
          <w:sz w:val="22"/>
          <w:szCs w:val="22"/>
        </w:rPr>
        <w:t xml:space="preserve"> </w:t>
      </w:r>
      <w:r w:rsidR="00BD7F4E" w:rsidRPr="005E0D21">
        <w:rPr>
          <w:rFonts w:ascii="Palatino Linotype" w:hAnsi="Palatino Linotype" w:cstheme="minorHAnsi"/>
          <w:sz w:val="22"/>
          <w:szCs w:val="22"/>
        </w:rPr>
        <w:t>büyümey</w:t>
      </w:r>
      <w:r w:rsidR="008949E0" w:rsidRPr="005E0D21">
        <w:rPr>
          <w:rFonts w:ascii="Palatino Linotype" w:hAnsi="Palatino Linotype" w:cstheme="minorHAnsi"/>
          <w:sz w:val="22"/>
          <w:szCs w:val="22"/>
        </w:rPr>
        <w:t>i</w:t>
      </w:r>
      <w:r w:rsidR="00BD7F4E"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5</w:t>
      </w:r>
      <w:r w:rsidR="00715A66" w:rsidRPr="005E0D21">
        <w:rPr>
          <w:rFonts w:ascii="Palatino Linotype" w:hAnsi="Palatino Linotype" w:cstheme="minorHAnsi"/>
          <w:sz w:val="22"/>
          <w:szCs w:val="22"/>
        </w:rPr>
        <w:t>,</w:t>
      </w:r>
      <w:r w:rsidR="00377868">
        <w:rPr>
          <w:rFonts w:ascii="Palatino Linotype" w:hAnsi="Palatino Linotype" w:cstheme="minorHAnsi"/>
          <w:sz w:val="22"/>
          <w:szCs w:val="22"/>
        </w:rPr>
        <w:t>6</w:t>
      </w:r>
      <w:r w:rsidR="0061333E" w:rsidRPr="005E0D21">
        <w:rPr>
          <w:rFonts w:ascii="Palatino Linotype" w:hAnsi="Palatino Linotype" w:cstheme="minorHAnsi"/>
          <w:sz w:val="22"/>
          <w:szCs w:val="22"/>
        </w:rPr>
        <w:t xml:space="preserve"> yüzde puan</w:t>
      </w:r>
      <w:r w:rsidR="00DB5EFB" w:rsidRPr="005E0D21">
        <w:rPr>
          <w:rFonts w:ascii="Palatino Linotype" w:hAnsi="Palatino Linotype" w:cstheme="minorHAnsi"/>
          <w:sz w:val="22"/>
          <w:szCs w:val="22"/>
        </w:rPr>
        <w:t xml:space="preserve"> </w:t>
      </w:r>
      <w:r w:rsidR="001D37D1" w:rsidRPr="005E0D21">
        <w:rPr>
          <w:rFonts w:ascii="Palatino Linotype" w:hAnsi="Palatino Linotype" w:cstheme="minorHAnsi"/>
          <w:sz w:val="22"/>
          <w:szCs w:val="22"/>
        </w:rPr>
        <w:t xml:space="preserve">desteklediğini </w:t>
      </w:r>
      <w:r w:rsidR="003C267D" w:rsidRPr="005E0D21">
        <w:rPr>
          <w:rFonts w:ascii="Palatino Linotype" w:hAnsi="Palatino Linotype" w:cstheme="minorHAnsi"/>
          <w:sz w:val="22"/>
          <w:szCs w:val="22"/>
        </w:rPr>
        <w:t>görüyoruz</w:t>
      </w:r>
      <w:r w:rsidR="003F00A9" w:rsidRPr="005E0D21">
        <w:rPr>
          <w:rFonts w:ascii="Palatino Linotype" w:hAnsi="Palatino Linotype" w:cstheme="minorHAnsi"/>
          <w:sz w:val="22"/>
          <w:szCs w:val="22"/>
        </w:rPr>
        <w:t xml:space="preserve"> (Tablo 2</w:t>
      </w:r>
      <w:r w:rsidR="00715A66" w:rsidRPr="005E0D21">
        <w:rPr>
          <w:rFonts w:ascii="Palatino Linotype" w:hAnsi="Palatino Linotype" w:cstheme="minorHAnsi"/>
          <w:sz w:val="22"/>
          <w:szCs w:val="22"/>
        </w:rPr>
        <w:t>).</w:t>
      </w:r>
      <w:r w:rsidR="00F94070" w:rsidRPr="005E0D21">
        <w:rPr>
          <w:rFonts w:ascii="Palatino Linotype" w:hAnsi="Palatino Linotype" w:cstheme="minorHAnsi"/>
          <w:sz w:val="22"/>
          <w:szCs w:val="22"/>
        </w:rPr>
        <w:t xml:space="preserve"> </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28E7DB33" w:rsidR="004647F0" w:rsidRPr="005E0D21" w:rsidRDefault="006C3EE6" w:rsidP="006C3EE6">
      <w:pPr>
        <w:keepNext/>
        <w:ind w:right="77"/>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4" w:name="OLE_LINK1"/>
      <w:bookmarkStart w:id="5"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21</w:t>
      </w:r>
      <w:r w:rsidR="009F2483" w:rsidRPr="005E0D21">
        <w:rPr>
          <w:rFonts w:ascii="Palatino Linotype" w:hAnsi="Palatino Linotype" w:cstheme="minorHAnsi"/>
          <w:b/>
          <w:bCs/>
          <w:sz w:val="22"/>
          <w:szCs w:val="22"/>
        </w:rPr>
        <w:t xml:space="preserve"> </w:t>
      </w:r>
      <w:r w:rsidR="001F1CCF">
        <w:rPr>
          <w:rFonts w:ascii="Palatino Linotype" w:hAnsi="Palatino Linotype" w:cstheme="minorHAnsi"/>
          <w:b/>
          <w:bCs/>
          <w:sz w:val="22"/>
          <w:szCs w:val="22"/>
        </w:rPr>
        <w:t>3</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8949E0" w:rsidRPr="005E0D21">
        <w:rPr>
          <w:rFonts w:ascii="Palatino Linotype" w:hAnsi="Palatino Linotype" w:cstheme="minorHAnsi"/>
          <w:b/>
          <w:bCs/>
          <w:sz w:val="22"/>
          <w:szCs w:val="22"/>
        </w:rPr>
        <w:t>1</w:t>
      </w:r>
      <w:r w:rsidR="00632CF6" w:rsidRPr="005E0D21">
        <w:rPr>
          <w:rFonts w:ascii="Palatino Linotype" w:hAnsi="Palatino Linotype" w:cstheme="minorHAnsi"/>
          <w:b/>
          <w:bCs/>
          <w:sz w:val="22"/>
          <w:szCs w:val="22"/>
        </w:rPr>
        <w:t xml:space="preserve"> </w:t>
      </w:r>
      <w:r w:rsidR="001F1CCF">
        <w:rPr>
          <w:rFonts w:ascii="Palatino Linotype" w:hAnsi="Palatino Linotype" w:cstheme="minorHAnsi"/>
          <w:b/>
          <w:bCs/>
          <w:sz w:val="22"/>
          <w:szCs w:val="22"/>
        </w:rPr>
        <w:t>4</w:t>
      </w:r>
      <w:r w:rsidR="009F2483" w:rsidRPr="005E0D21">
        <w:rPr>
          <w:rFonts w:ascii="Palatino Linotype" w:hAnsi="Palatino Linotype" w:cstheme="minorHAnsi"/>
          <w:b/>
          <w:bCs/>
          <w:sz w:val="22"/>
          <w:szCs w:val="22"/>
        </w:rPr>
        <w:t>. çeyrekte</w:t>
      </w:r>
      <w:bookmarkEnd w:id="4"/>
      <w:bookmarkEnd w:id="5"/>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p w14:paraId="3BD50814" w14:textId="77777777" w:rsidR="008949E0" w:rsidRPr="005E0D21" w:rsidRDefault="008949E0"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1F1CCF" w:rsidRPr="001F1CCF" w14:paraId="29E4C899" w14:textId="77777777" w:rsidTr="001F1CCF">
        <w:trPr>
          <w:trHeight w:val="282"/>
        </w:trPr>
        <w:tc>
          <w:tcPr>
            <w:tcW w:w="1480" w:type="dxa"/>
            <w:tcBorders>
              <w:top w:val="nil"/>
              <w:left w:val="nil"/>
              <w:bottom w:val="nil"/>
              <w:right w:val="nil"/>
            </w:tcBorders>
            <w:shd w:val="clear" w:color="000000" w:fill="FFFFFF"/>
            <w:noWrap/>
            <w:vAlign w:val="bottom"/>
            <w:hideMark/>
          </w:tcPr>
          <w:p w14:paraId="34AF1825"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3E047B"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2021Q3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23EAFA3"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2021Q4</w:t>
            </w:r>
          </w:p>
        </w:tc>
      </w:tr>
      <w:tr w:rsidR="001F1CCF" w:rsidRPr="001F1CCF" w14:paraId="1FBACFB4" w14:textId="77777777" w:rsidTr="001F1CCF">
        <w:trPr>
          <w:trHeight w:val="282"/>
        </w:trPr>
        <w:tc>
          <w:tcPr>
            <w:tcW w:w="1480" w:type="dxa"/>
            <w:tcBorders>
              <w:top w:val="nil"/>
              <w:left w:val="nil"/>
              <w:bottom w:val="nil"/>
              <w:right w:val="nil"/>
            </w:tcBorders>
            <w:shd w:val="clear" w:color="000000" w:fill="FFFFFF"/>
            <w:noWrap/>
            <w:vAlign w:val="bottom"/>
            <w:hideMark/>
          </w:tcPr>
          <w:p w14:paraId="48F05AE4"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47DBB757"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53156EA1"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Katkı (%)</w:t>
            </w:r>
          </w:p>
        </w:tc>
        <w:tc>
          <w:tcPr>
            <w:tcW w:w="1259" w:type="dxa"/>
            <w:tcBorders>
              <w:top w:val="nil"/>
              <w:left w:val="nil"/>
              <w:bottom w:val="nil"/>
              <w:right w:val="nil"/>
            </w:tcBorders>
            <w:shd w:val="clear" w:color="000000" w:fill="FFFFFF"/>
            <w:noWrap/>
            <w:vAlign w:val="bottom"/>
            <w:hideMark/>
          </w:tcPr>
          <w:p w14:paraId="7841F126"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14CD36C5"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Katkı (%)</w:t>
            </w:r>
          </w:p>
        </w:tc>
      </w:tr>
      <w:tr w:rsidR="001F1CCF" w:rsidRPr="001F1CCF" w14:paraId="7293490D" w14:textId="77777777" w:rsidTr="001F1CCF">
        <w:trPr>
          <w:trHeight w:val="282"/>
        </w:trPr>
        <w:tc>
          <w:tcPr>
            <w:tcW w:w="1480" w:type="dxa"/>
            <w:tcBorders>
              <w:top w:val="single" w:sz="4" w:space="0" w:color="auto"/>
              <w:left w:val="nil"/>
              <w:bottom w:val="nil"/>
              <w:right w:val="nil"/>
            </w:tcBorders>
            <w:shd w:val="clear" w:color="000000" w:fill="FFFFFF"/>
            <w:noWrap/>
            <w:vAlign w:val="bottom"/>
            <w:hideMark/>
          </w:tcPr>
          <w:p w14:paraId="5CBEDF57"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Özel Tüketim</w:t>
            </w:r>
          </w:p>
        </w:tc>
        <w:tc>
          <w:tcPr>
            <w:tcW w:w="1259" w:type="dxa"/>
            <w:tcBorders>
              <w:top w:val="nil"/>
              <w:left w:val="single" w:sz="4" w:space="0" w:color="auto"/>
              <w:bottom w:val="nil"/>
              <w:right w:val="nil"/>
            </w:tcBorders>
            <w:shd w:val="clear" w:color="000000" w:fill="FFFFFF"/>
            <w:noWrap/>
            <w:vAlign w:val="bottom"/>
            <w:hideMark/>
          </w:tcPr>
          <w:p w14:paraId="218AFA3A"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9.1</w:t>
            </w:r>
          </w:p>
        </w:tc>
        <w:tc>
          <w:tcPr>
            <w:tcW w:w="961" w:type="dxa"/>
            <w:tcBorders>
              <w:top w:val="single" w:sz="4" w:space="0" w:color="auto"/>
              <w:left w:val="nil"/>
              <w:bottom w:val="nil"/>
              <w:right w:val="single" w:sz="4" w:space="0" w:color="auto"/>
            </w:tcBorders>
            <w:shd w:val="clear" w:color="000000" w:fill="FFFFFF"/>
            <w:noWrap/>
            <w:vAlign w:val="bottom"/>
            <w:hideMark/>
          </w:tcPr>
          <w:p w14:paraId="6BAE52F1"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5.2</w:t>
            </w:r>
          </w:p>
        </w:tc>
        <w:tc>
          <w:tcPr>
            <w:tcW w:w="1259" w:type="dxa"/>
            <w:tcBorders>
              <w:top w:val="single" w:sz="4" w:space="0" w:color="auto"/>
              <w:left w:val="nil"/>
              <w:bottom w:val="nil"/>
              <w:right w:val="nil"/>
            </w:tcBorders>
            <w:shd w:val="clear" w:color="000000" w:fill="FFFFFF"/>
            <w:noWrap/>
            <w:vAlign w:val="bottom"/>
            <w:hideMark/>
          </w:tcPr>
          <w:p w14:paraId="19B0D985"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21.4</w:t>
            </w:r>
          </w:p>
        </w:tc>
        <w:tc>
          <w:tcPr>
            <w:tcW w:w="961" w:type="dxa"/>
            <w:tcBorders>
              <w:top w:val="single" w:sz="4" w:space="0" w:color="auto"/>
              <w:left w:val="nil"/>
              <w:bottom w:val="nil"/>
              <w:right w:val="single" w:sz="4" w:space="0" w:color="auto"/>
            </w:tcBorders>
            <w:shd w:val="clear" w:color="000000" w:fill="FFFFFF"/>
            <w:noWrap/>
            <w:vAlign w:val="bottom"/>
            <w:hideMark/>
          </w:tcPr>
          <w:p w14:paraId="3095816F"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11.9</w:t>
            </w:r>
          </w:p>
        </w:tc>
      </w:tr>
      <w:tr w:rsidR="001F1CCF" w:rsidRPr="001F1CCF" w14:paraId="07AE5383" w14:textId="77777777" w:rsidTr="001F1CCF">
        <w:trPr>
          <w:trHeight w:val="282"/>
        </w:trPr>
        <w:tc>
          <w:tcPr>
            <w:tcW w:w="1480" w:type="dxa"/>
            <w:tcBorders>
              <w:top w:val="nil"/>
              <w:left w:val="nil"/>
              <w:bottom w:val="nil"/>
              <w:right w:val="nil"/>
            </w:tcBorders>
            <w:shd w:val="clear" w:color="000000" w:fill="FFFFFF"/>
            <w:noWrap/>
            <w:vAlign w:val="bottom"/>
            <w:hideMark/>
          </w:tcPr>
          <w:p w14:paraId="17666DBD"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4F8CA26F"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7.9</w:t>
            </w:r>
          </w:p>
        </w:tc>
        <w:tc>
          <w:tcPr>
            <w:tcW w:w="961" w:type="dxa"/>
            <w:tcBorders>
              <w:top w:val="nil"/>
              <w:left w:val="nil"/>
              <w:bottom w:val="nil"/>
              <w:right w:val="single" w:sz="4" w:space="0" w:color="auto"/>
            </w:tcBorders>
            <w:shd w:val="clear" w:color="000000" w:fill="FFFFFF"/>
            <w:noWrap/>
            <w:vAlign w:val="bottom"/>
            <w:hideMark/>
          </w:tcPr>
          <w:p w14:paraId="61404DB2"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1.1</w:t>
            </w:r>
          </w:p>
        </w:tc>
        <w:tc>
          <w:tcPr>
            <w:tcW w:w="1259" w:type="dxa"/>
            <w:tcBorders>
              <w:top w:val="nil"/>
              <w:left w:val="nil"/>
              <w:bottom w:val="nil"/>
              <w:right w:val="nil"/>
            </w:tcBorders>
            <w:shd w:val="clear" w:color="000000" w:fill="FFFFFF"/>
            <w:noWrap/>
            <w:vAlign w:val="bottom"/>
            <w:hideMark/>
          </w:tcPr>
          <w:p w14:paraId="7AF1898A"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-1.9</w:t>
            </w:r>
          </w:p>
        </w:tc>
        <w:tc>
          <w:tcPr>
            <w:tcW w:w="961" w:type="dxa"/>
            <w:tcBorders>
              <w:top w:val="nil"/>
              <w:left w:val="nil"/>
              <w:bottom w:val="nil"/>
              <w:right w:val="single" w:sz="4" w:space="0" w:color="auto"/>
            </w:tcBorders>
            <w:shd w:val="clear" w:color="000000" w:fill="FFFFFF"/>
            <w:noWrap/>
            <w:vAlign w:val="bottom"/>
            <w:hideMark/>
          </w:tcPr>
          <w:p w14:paraId="1F367835"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-0.3</w:t>
            </w:r>
          </w:p>
        </w:tc>
      </w:tr>
      <w:tr w:rsidR="001F1CCF" w:rsidRPr="001F1CCF" w14:paraId="36FA1577" w14:textId="77777777" w:rsidTr="001F1CCF">
        <w:trPr>
          <w:trHeight w:val="282"/>
        </w:trPr>
        <w:tc>
          <w:tcPr>
            <w:tcW w:w="1480" w:type="dxa"/>
            <w:tcBorders>
              <w:top w:val="nil"/>
              <w:left w:val="nil"/>
              <w:bottom w:val="nil"/>
              <w:right w:val="nil"/>
            </w:tcBorders>
            <w:shd w:val="clear" w:color="000000" w:fill="FFFFFF"/>
            <w:noWrap/>
            <w:vAlign w:val="bottom"/>
            <w:hideMark/>
          </w:tcPr>
          <w:p w14:paraId="45C67C4A"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Yatırım</w:t>
            </w:r>
          </w:p>
        </w:tc>
        <w:tc>
          <w:tcPr>
            <w:tcW w:w="1259" w:type="dxa"/>
            <w:tcBorders>
              <w:top w:val="nil"/>
              <w:left w:val="single" w:sz="4" w:space="0" w:color="auto"/>
              <w:bottom w:val="nil"/>
              <w:right w:val="nil"/>
            </w:tcBorders>
            <w:shd w:val="clear" w:color="000000" w:fill="FFFFFF"/>
            <w:noWrap/>
            <w:vAlign w:val="bottom"/>
            <w:hideMark/>
          </w:tcPr>
          <w:p w14:paraId="6A9B0975"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-1.9</w:t>
            </w:r>
          </w:p>
        </w:tc>
        <w:tc>
          <w:tcPr>
            <w:tcW w:w="961" w:type="dxa"/>
            <w:tcBorders>
              <w:top w:val="nil"/>
              <w:left w:val="nil"/>
              <w:bottom w:val="nil"/>
              <w:right w:val="single" w:sz="4" w:space="0" w:color="auto"/>
            </w:tcBorders>
            <w:shd w:val="clear" w:color="000000" w:fill="FFFFFF"/>
            <w:noWrap/>
            <w:vAlign w:val="bottom"/>
            <w:hideMark/>
          </w:tcPr>
          <w:p w14:paraId="58C6C0E4"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-0.5</w:t>
            </w:r>
          </w:p>
        </w:tc>
        <w:tc>
          <w:tcPr>
            <w:tcW w:w="1259" w:type="dxa"/>
            <w:tcBorders>
              <w:top w:val="nil"/>
              <w:left w:val="nil"/>
              <w:bottom w:val="nil"/>
              <w:right w:val="nil"/>
            </w:tcBorders>
            <w:shd w:val="clear" w:color="000000" w:fill="FFFFFF"/>
            <w:noWrap/>
            <w:vAlign w:val="bottom"/>
            <w:hideMark/>
          </w:tcPr>
          <w:p w14:paraId="5BE2E08A"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-0.8</w:t>
            </w:r>
          </w:p>
        </w:tc>
        <w:tc>
          <w:tcPr>
            <w:tcW w:w="961" w:type="dxa"/>
            <w:tcBorders>
              <w:top w:val="nil"/>
              <w:left w:val="nil"/>
              <w:bottom w:val="nil"/>
              <w:right w:val="single" w:sz="4" w:space="0" w:color="auto"/>
            </w:tcBorders>
            <w:shd w:val="clear" w:color="000000" w:fill="FFFFFF"/>
            <w:noWrap/>
            <w:vAlign w:val="bottom"/>
            <w:hideMark/>
          </w:tcPr>
          <w:p w14:paraId="29CCF5AF"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-0.2</w:t>
            </w:r>
          </w:p>
        </w:tc>
      </w:tr>
      <w:tr w:rsidR="001F1CCF" w:rsidRPr="001F1CCF" w14:paraId="65967C8A" w14:textId="77777777" w:rsidTr="001F1CCF">
        <w:trPr>
          <w:trHeight w:val="282"/>
        </w:trPr>
        <w:tc>
          <w:tcPr>
            <w:tcW w:w="1480" w:type="dxa"/>
            <w:tcBorders>
              <w:top w:val="nil"/>
              <w:left w:val="nil"/>
              <w:bottom w:val="nil"/>
              <w:right w:val="nil"/>
            </w:tcBorders>
            <w:shd w:val="clear" w:color="000000" w:fill="FFFFFF"/>
            <w:noWrap/>
            <w:vAlign w:val="bottom"/>
            <w:hideMark/>
          </w:tcPr>
          <w:p w14:paraId="3316365F"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7630A091"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428CD482"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-7.7</w:t>
            </w:r>
          </w:p>
        </w:tc>
        <w:tc>
          <w:tcPr>
            <w:tcW w:w="1259" w:type="dxa"/>
            <w:tcBorders>
              <w:top w:val="nil"/>
              <w:left w:val="nil"/>
              <w:bottom w:val="nil"/>
              <w:right w:val="nil"/>
            </w:tcBorders>
            <w:shd w:val="clear" w:color="000000" w:fill="FFFFFF"/>
            <w:noWrap/>
            <w:vAlign w:val="bottom"/>
            <w:hideMark/>
          </w:tcPr>
          <w:p w14:paraId="2FC1668E"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29881B92"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-7.8</w:t>
            </w:r>
          </w:p>
        </w:tc>
      </w:tr>
      <w:tr w:rsidR="001F1CCF" w:rsidRPr="001F1CCF" w14:paraId="4104B3BA" w14:textId="77777777" w:rsidTr="001F1CCF">
        <w:trPr>
          <w:trHeight w:val="282"/>
        </w:trPr>
        <w:tc>
          <w:tcPr>
            <w:tcW w:w="1480" w:type="dxa"/>
            <w:tcBorders>
              <w:top w:val="nil"/>
              <w:left w:val="nil"/>
              <w:bottom w:val="nil"/>
              <w:right w:val="nil"/>
            </w:tcBorders>
            <w:shd w:val="clear" w:color="000000" w:fill="FFFFFF"/>
            <w:noWrap/>
            <w:vAlign w:val="bottom"/>
            <w:hideMark/>
          </w:tcPr>
          <w:p w14:paraId="5934A56E"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İhracat</w:t>
            </w:r>
          </w:p>
        </w:tc>
        <w:tc>
          <w:tcPr>
            <w:tcW w:w="1259" w:type="dxa"/>
            <w:tcBorders>
              <w:top w:val="nil"/>
              <w:left w:val="single" w:sz="4" w:space="0" w:color="auto"/>
              <w:bottom w:val="nil"/>
              <w:right w:val="nil"/>
            </w:tcBorders>
            <w:shd w:val="clear" w:color="000000" w:fill="FFFFFF"/>
            <w:noWrap/>
            <w:vAlign w:val="bottom"/>
            <w:hideMark/>
          </w:tcPr>
          <w:p w14:paraId="53BB4AFF"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25.5</w:t>
            </w:r>
          </w:p>
        </w:tc>
        <w:tc>
          <w:tcPr>
            <w:tcW w:w="961" w:type="dxa"/>
            <w:tcBorders>
              <w:top w:val="nil"/>
              <w:left w:val="nil"/>
              <w:bottom w:val="nil"/>
              <w:right w:val="single" w:sz="4" w:space="0" w:color="auto"/>
            </w:tcBorders>
            <w:shd w:val="clear" w:color="000000" w:fill="FFFFFF"/>
            <w:noWrap/>
            <w:vAlign w:val="bottom"/>
            <w:hideMark/>
          </w:tcPr>
          <w:p w14:paraId="5338F0E7"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6.6</w:t>
            </w:r>
          </w:p>
        </w:tc>
        <w:tc>
          <w:tcPr>
            <w:tcW w:w="1259" w:type="dxa"/>
            <w:tcBorders>
              <w:top w:val="nil"/>
              <w:left w:val="nil"/>
              <w:bottom w:val="nil"/>
              <w:right w:val="nil"/>
            </w:tcBorders>
            <w:shd w:val="clear" w:color="000000" w:fill="FFFFFF"/>
            <w:noWrap/>
            <w:vAlign w:val="bottom"/>
            <w:hideMark/>
          </w:tcPr>
          <w:p w14:paraId="4A7EA6B5"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20.7</w:t>
            </w:r>
          </w:p>
        </w:tc>
        <w:tc>
          <w:tcPr>
            <w:tcW w:w="961" w:type="dxa"/>
            <w:tcBorders>
              <w:top w:val="nil"/>
              <w:left w:val="nil"/>
              <w:bottom w:val="nil"/>
              <w:right w:val="single" w:sz="4" w:space="0" w:color="auto"/>
            </w:tcBorders>
            <w:shd w:val="clear" w:color="000000" w:fill="FFFFFF"/>
            <w:noWrap/>
            <w:vAlign w:val="bottom"/>
            <w:hideMark/>
          </w:tcPr>
          <w:p w14:paraId="77CE50F5"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6.6</w:t>
            </w:r>
          </w:p>
        </w:tc>
      </w:tr>
      <w:tr w:rsidR="001F1CCF" w:rsidRPr="001F1CCF" w14:paraId="6F9A4792" w14:textId="77777777" w:rsidTr="001F1CCF">
        <w:trPr>
          <w:trHeight w:val="282"/>
        </w:trPr>
        <w:tc>
          <w:tcPr>
            <w:tcW w:w="1480" w:type="dxa"/>
            <w:tcBorders>
              <w:top w:val="nil"/>
              <w:left w:val="nil"/>
              <w:bottom w:val="nil"/>
              <w:right w:val="nil"/>
            </w:tcBorders>
            <w:shd w:val="clear" w:color="000000" w:fill="FFFFFF"/>
            <w:noWrap/>
            <w:vAlign w:val="bottom"/>
            <w:hideMark/>
          </w:tcPr>
          <w:p w14:paraId="6C6FAF9F"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İthalat</w:t>
            </w:r>
          </w:p>
        </w:tc>
        <w:tc>
          <w:tcPr>
            <w:tcW w:w="1259" w:type="dxa"/>
            <w:tcBorders>
              <w:top w:val="nil"/>
              <w:left w:val="single" w:sz="4" w:space="0" w:color="auto"/>
              <w:bottom w:val="nil"/>
              <w:right w:val="nil"/>
            </w:tcBorders>
            <w:shd w:val="clear" w:color="000000" w:fill="FFFFFF"/>
            <w:noWrap/>
            <w:vAlign w:val="bottom"/>
            <w:hideMark/>
          </w:tcPr>
          <w:p w14:paraId="13B16ACA"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-8.9</w:t>
            </w:r>
          </w:p>
        </w:tc>
        <w:tc>
          <w:tcPr>
            <w:tcW w:w="961" w:type="dxa"/>
            <w:tcBorders>
              <w:top w:val="nil"/>
              <w:left w:val="nil"/>
              <w:bottom w:val="nil"/>
              <w:right w:val="single" w:sz="4" w:space="0" w:color="auto"/>
            </w:tcBorders>
            <w:shd w:val="clear" w:color="000000" w:fill="FFFFFF"/>
            <w:noWrap/>
            <w:vAlign w:val="bottom"/>
            <w:hideMark/>
          </w:tcPr>
          <w:p w14:paraId="185A7CF6"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2.9</w:t>
            </w:r>
          </w:p>
        </w:tc>
        <w:tc>
          <w:tcPr>
            <w:tcW w:w="1259" w:type="dxa"/>
            <w:tcBorders>
              <w:top w:val="nil"/>
              <w:left w:val="nil"/>
              <w:bottom w:val="nil"/>
              <w:right w:val="nil"/>
            </w:tcBorders>
            <w:shd w:val="clear" w:color="000000" w:fill="FFFFFF"/>
            <w:noWrap/>
            <w:vAlign w:val="bottom"/>
            <w:hideMark/>
          </w:tcPr>
          <w:p w14:paraId="627897F9"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2.6</w:t>
            </w:r>
          </w:p>
        </w:tc>
        <w:tc>
          <w:tcPr>
            <w:tcW w:w="961" w:type="dxa"/>
            <w:tcBorders>
              <w:top w:val="nil"/>
              <w:left w:val="nil"/>
              <w:bottom w:val="nil"/>
              <w:right w:val="single" w:sz="4" w:space="0" w:color="auto"/>
            </w:tcBorders>
            <w:shd w:val="clear" w:color="000000" w:fill="FFFFFF"/>
            <w:noWrap/>
            <w:vAlign w:val="bottom"/>
            <w:hideMark/>
          </w:tcPr>
          <w:p w14:paraId="476B048C"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-1.0</w:t>
            </w:r>
          </w:p>
        </w:tc>
      </w:tr>
      <w:tr w:rsidR="001F1CCF" w:rsidRPr="001F1CCF" w14:paraId="265E26C8" w14:textId="77777777" w:rsidTr="001F1CCF">
        <w:trPr>
          <w:trHeight w:val="315"/>
        </w:trPr>
        <w:tc>
          <w:tcPr>
            <w:tcW w:w="1480" w:type="dxa"/>
            <w:tcBorders>
              <w:top w:val="nil"/>
              <w:left w:val="nil"/>
              <w:bottom w:val="double" w:sz="6" w:space="0" w:color="auto"/>
              <w:right w:val="nil"/>
            </w:tcBorders>
            <w:shd w:val="clear" w:color="000000" w:fill="FFFFFF"/>
            <w:noWrap/>
            <w:vAlign w:val="bottom"/>
            <w:hideMark/>
          </w:tcPr>
          <w:p w14:paraId="0CB8AEA4"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24109422"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7.5</w:t>
            </w:r>
          </w:p>
        </w:tc>
        <w:tc>
          <w:tcPr>
            <w:tcW w:w="961" w:type="dxa"/>
            <w:tcBorders>
              <w:top w:val="nil"/>
              <w:left w:val="nil"/>
              <w:bottom w:val="double" w:sz="6" w:space="0" w:color="auto"/>
              <w:right w:val="single" w:sz="4" w:space="0" w:color="auto"/>
            </w:tcBorders>
            <w:shd w:val="clear" w:color="000000" w:fill="FFFFFF"/>
            <w:noWrap/>
            <w:vAlign w:val="bottom"/>
            <w:hideMark/>
          </w:tcPr>
          <w:p w14:paraId="2B0FABED"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13437931"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9.1</w:t>
            </w:r>
          </w:p>
        </w:tc>
        <w:tc>
          <w:tcPr>
            <w:tcW w:w="961" w:type="dxa"/>
            <w:tcBorders>
              <w:top w:val="nil"/>
              <w:left w:val="nil"/>
              <w:bottom w:val="double" w:sz="6" w:space="0" w:color="auto"/>
              <w:right w:val="single" w:sz="4" w:space="0" w:color="auto"/>
            </w:tcBorders>
            <w:shd w:val="clear" w:color="000000" w:fill="FFFFFF"/>
            <w:noWrap/>
            <w:vAlign w:val="bottom"/>
            <w:hideMark/>
          </w:tcPr>
          <w:p w14:paraId="1E8D1B54"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r>
    </w:tbl>
    <w:p w14:paraId="68ED2418" w14:textId="664BD983" w:rsidR="00405BD8"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195BE0A2"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21</w:t>
      </w:r>
      <w:r w:rsidR="00CC0355">
        <w:rPr>
          <w:rFonts w:ascii="Palatino Linotype" w:hAnsi="Palatino Linotype" w:cstheme="minorHAnsi"/>
          <w:b/>
          <w:bCs/>
          <w:sz w:val="22"/>
          <w:szCs w:val="22"/>
        </w:rPr>
        <w:t xml:space="preserve"> </w:t>
      </w:r>
      <w:r w:rsidR="001F1CCF">
        <w:rPr>
          <w:rFonts w:ascii="Palatino Linotype" w:hAnsi="Palatino Linotype" w:cstheme="minorHAnsi"/>
          <w:b/>
          <w:bCs/>
          <w:sz w:val="22"/>
          <w:szCs w:val="22"/>
        </w:rPr>
        <w:t>3</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8949E0">
        <w:rPr>
          <w:rFonts w:ascii="Palatino Linotype" w:hAnsi="Palatino Linotype" w:cstheme="minorHAnsi"/>
          <w:b/>
          <w:bCs/>
          <w:sz w:val="22"/>
          <w:szCs w:val="22"/>
        </w:rPr>
        <w:t>1</w:t>
      </w:r>
      <w:r w:rsidR="00CC0355">
        <w:rPr>
          <w:rFonts w:ascii="Palatino Linotype" w:hAnsi="Palatino Linotype" w:cstheme="minorHAnsi"/>
          <w:b/>
          <w:bCs/>
          <w:sz w:val="22"/>
          <w:szCs w:val="22"/>
        </w:rPr>
        <w:t xml:space="preserve"> </w:t>
      </w:r>
      <w:r w:rsidR="001F1CCF">
        <w:rPr>
          <w:rFonts w:ascii="Palatino Linotype" w:hAnsi="Palatino Linotype" w:cstheme="minorHAnsi"/>
          <w:b/>
          <w:bCs/>
          <w:sz w:val="22"/>
          <w:szCs w:val="22"/>
        </w:rPr>
        <w:t>4</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1F1CCF" w:rsidRPr="001F1CCF" w14:paraId="1305DD0D" w14:textId="77777777" w:rsidTr="001F1CCF">
        <w:trPr>
          <w:trHeight w:val="282"/>
        </w:trPr>
        <w:tc>
          <w:tcPr>
            <w:tcW w:w="1480" w:type="dxa"/>
            <w:tcBorders>
              <w:top w:val="nil"/>
              <w:left w:val="nil"/>
              <w:bottom w:val="nil"/>
              <w:right w:val="nil"/>
            </w:tcBorders>
            <w:shd w:val="clear" w:color="000000" w:fill="FFFFFF"/>
            <w:noWrap/>
            <w:vAlign w:val="bottom"/>
            <w:hideMark/>
          </w:tcPr>
          <w:p w14:paraId="62B6E595"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92803D"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2021Q3</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84E6859"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2021Q4</w:t>
            </w:r>
          </w:p>
        </w:tc>
      </w:tr>
      <w:tr w:rsidR="001F1CCF" w:rsidRPr="001F1CCF" w14:paraId="54904CA1" w14:textId="77777777" w:rsidTr="001F1CCF">
        <w:trPr>
          <w:trHeight w:val="282"/>
        </w:trPr>
        <w:tc>
          <w:tcPr>
            <w:tcW w:w="1480" w:type="dxa"/>
            <w:tcBorders>
              <w:top w:val="nil"/>
              <w:left w:val="nil"/>
              <w:bottom w:val="nil"/>
              <w:right w:val="nil"/>
            </w:tcBorders>
            <w:shd w:val="clear" w:color="000000" w:fill="FFFFFF"/>
            <w:noWrap/>
            <w:vAlign w:val="bottom"/>
            <w:hideMark/>
          </w:tcPr>
          <w:p w14:paraId="62FDF078"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 </w:t>
            </w:r>
          </w:p>
        </w:tc>
        <w:tc>
          <w:tcPr>
            <w:tcW w:w="1259" w:type="dxa"/>
            <w:tcBorders>
              <w:top w:val="nil"/>
              <w:left w:val="single" w:sz="4" w:space="0" w:color="auto"/>
              <w:bottom w:val="nil"/>
              <w:right w:val="nil"/>
            </w:tcBorders>
            <w:shd w:val="clear" w:color="000000" w:fill="FFFFFF"/>
            <w:noWrap/>
            <w:vAlign w:val="bottom"/>
            <w:hideMark/>
          </w:tcPr>
          <w:p w14:paraId="42FF2700"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51880B0F"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Katkı (%)</w:t>
            </w:r>
          </w:p>
        </w:tc>
        <w:tc>
          <w:tcPr>
            <w:tcW w:w="1259" w:type="dxa"/>
            <w:tcBorders>
              <w:top w:val="nil"/>
              <w:left w:val="nil"/>
              <w:bottom w:val="nil"/>
              <w:right w:val="nil"/>
            </w:tcBorders>
            <w:shd w:val="clear" w:color="000000" w:fill="FFFFFF"/>
            <w:noWrap/>
            <w:vAlign w:val="bottom"/>
            <w:hideMark/>
          </w:tcPr>
          <w:p w14:paraId="6B1D130A"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5570699B" w14:textId="77777777" w:rsidR="001F1CCF" w:rsidRPr="001F1CCF" w:rsidRDefault="001F1CCF" w:rsidP="001F1CCF">
            <w:pPr>
              <w:jc w:val="cente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Katkı (%)</w:t>
            </w:r>
          </w:p>
        </w:tc>
      </w:tr>
      <w:tr w:rsidR="001F1CCF" w:rsidRPr="001F1CCF" w14:paraId="1628A51E" w14:textId="77777777" w:rsidTr="001F1CCF">
        <w:trPr>
          <w:trHeight w:val="282"/>
        </w:trPr>
        <w:tc>
          <w:tcPr>
            <w:tcW w:w="1480" w:type="dxa"/>
            <w:tcBorders>
              <w:top w:val="single" w:sz="4" w:space="0" w:color="auto"/>
              <w:left w:val="nil"/>
              <w:bottom w:val="nil"/>
              <w:right w:val="nil"/>
            </w:tcBorders>
            <w:shd w:val="clear" w:color="000000" w:fill="FFFFFF"/>
            <w:noWrap/>
            <w:vAlign w:val="bottom"/>
            <w:hideMark/>
          </w:tcPr>
          <w:p w14:paraId="3ED896DA"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16200549"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8.3</w:t>
            </w:r>
          </w:p>
        </w:tc>
        <w:tc>
          <w:tcPr>
            <w:tcW w:w="961" w:type="dxa"/>
            <w:tcBorders>
              <w:top w:val="single" w:sz="4" w:space="0" w:color="auto"/>
              <w:left w:val="nil"/>
              <w:bottom w:val="nil"/>
              <w:right w:val="single" w:sz="4" w:space="0" w:color="auto"/>
            </w:tcBorders>
            <w:shd w:val="clear" w:color="000000" w:fill="FFFFFF"/>
            <w:noWrap/>
            <w:vAlign w:val="bottom"/>
            <w:hideMark/>
          </w:tcPr>
          <w:p w14:paraId="65777E0F"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4.6</w:t>
            </w:r>
          </w:p>
        </w:tc>
        <w:tc>
          <w:tcPr>
            <w:tcW w:w="1259" w:type="dxa"/>
            <w:tcBorders>
              <w:top w:val="single" w:sz="4" w:space="0" w:color="auto"/>
              <w:left w:val="nil"/>
              <w:bottom w:val="nil"/>
              <w:right w:val="nil"/>
            </w:tcBorders>
            <w:shd w:val="clear" w:color="000000" w:fill="FFFFFF"/>
            <w:noWrap/>
            <w:vAlign w:val="bottom"/>
            <w:hideMark/>
          </w:tcPr>
          <w:p w14:paraId="342BFCA9"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9.4</w:t>
            </w:r>
          </w:p>
        </w:tc>
        <w:tc>
          <w:tcPr>
            <w:tcW w:w="961" w:type="dxa"/>
            <w:tcBorders>
              <w:top w:val="single" w:sz="4" w:space="0" w:color="auto"/>
              <w:left w:val="nil"/>
              <w:bottom w:val="nil"/>
              <w:right w:val="single" w:sz="4" w:space="0" w:color="auto"/>
            </w:tcBorders>
            <w:shd w:val="clear" w:color="000000" w:fill="FFFFFF"/>
            <w:noWrap/>
            <w:vAlign w:val="bottom"/>
            <w:hideMark/>
          </w:tcPr>
          <w:p w14:paraId="1688B8DD"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5.6</w:t>
            </w:r>
          </w:p>
        </w:tc>
      </w:tr>
      <w:tr w:rsidR="001F1CCF" w:rsidRPr="001F1CCF" w14:paraId="270282B7" w14:textId="77777777" w:rsidTr="001F1CCF">
        <w:trPr>
          <w:trHeight w:val="282"/>
        </w:trPr>
        <w:tc>
          <w:tcPr>
            <w:tcW w:w="1480" w:type="dxa"/>
            <w:tcBorders>
              <w:top w:val="nil"/>
              <w:left w:val="nil"/>
              <w:bottom w:val="nil"/>
              <w:right w:val="nil"/>
            </w:tcBorders>
            <w:shd w:val="clear" w:color="000000" w:fill="FFFFFF"/>
            <w:noWrap/>
            <w:vAlign w:val="bottom"/>
            <w:hideMark/>
          </w:tcPr>
          <w:p w14:paraId="30533788"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038628C3"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6.9</w:t>
            </w:r>
          </w:p>
        </w:tc>
        <w:tc>
          <w:tcPr>
            <w:tcW w:w="961" w:type="dxa"/>
            <w:tcBorders>
              <w:top w:val="nil"/>
              <w:left w:val="nil"/>
              <w:bottom w:val="nil"/>
              <w:right w:val="single" w:sz="4" w:space="0" w:color="auto"/>
            </w:tcBorders>
            <w:shd w:val="clear" w:color="000000" w:fill="FFFFFF"/>
            <w:noWrap/>
            <w:vAlign w:val="bottom"/>
            <w:hideMark/>
          </w:tcPr>
          <w:p w14:paraId="4CD677D6"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1.0</w:t>
            </w:r>
          </w:p>
        </w:tc>
        <w:tc>
          <w:tcPr>
            <w:tcW w:w="1259" w:type="dxa"/>
            <w:tcBorders>
              <w:top w:val="nil"/>
              <w:left w:val="nil"/>
              <w:bottom w:val="nil"/>
              <w:right w:val="nil"/>
            </w:tcBorders>
            <w:shd w:val="clear" w:color="000000" w:fill="FFFFFF"/>
            <w:noWrap/>
            <w:vAlign w:val="bottom"/>
            <w:hideMark/>
          </w:tcPr>
          <w:p w14:paraId="5AC03305"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-7.3</w:t>
            </w:r>
          </w:p>
        </w:tc>
        <w:tc>
          <w:tcPr>
            <w:tcW w:w="961" w:type="dxa"/>
            <w:tcBorders>
              <w:top w:val="nil"/>
              <w:left w:val="nil"/>
              <w:bottom w:val="nil"/>
              <w:right w:val="single" w:sz="4" w:space="0" w:color="auto"/>
            </w:tcBorders>
            <w:shd w:val="clear" w:color="000000" w:fill="FFFFFF"/>
            <w:noWrap/>
            <w:vAlign w:val="bottom"/>
            <w:hideMark/>
          </w:tcPr>
          <w:p w14:paraId="1A721E56"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-1.1</w:t>
            </w:r>
          </w:p>
        </w:tc>
      </w:tr>
      <w:tr w:rsidR="001F1CCF" w:rsidRPr="001F1CCF" w14:paraId="627DA271" w14:textId="77777777" w:rsidTr="001F1CCF">
        <w:trPr>
          <w:trHeight w:val="282"/>
        </w:trPr>
        <w:tc>
          <w:tcPr>
            <w:tcW w:w="1480" w:type="dxa"/>
            <w:tcBorders>
              <w:top w:val="nil"/>
              <w:left w:val="nil"/>
              <w:bottom w:val="nil"/>
              <w:right w:val="nil"/>
            </w:tcBorders>
            <w:shd w:val="clear" w:color="000000" w:fill="FFFFFF"/>
            <w:noWrap/>
            <w:vAlign w:val="bottom"/>
            <w:hideMark/>
          </w:tcPr>
          <w:p w14:paraId="265D662C"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Yatırım</w:t>
            </w:r>
          </w:p>
        </w:tc>
        <w:tc>
          <w:tcPr>
            <w:tcW w:w="1259" w:type="dxa"/>
            <w:tcBorders>
              <w:top w:val="nil"/>
              <w:left w:val="single" w:sz="4" w:space="0" w:color="auto"/>
              <w:bottom w:val="nil"/>
              <w:right w:val="nil"/>
            </w:tcBorders>
            <w:shd w:val="clear" w:color="000000" w:fill="FFFFFF"/>
            <w:noWrap/>
            <w:vAlign w:val="bottom"/>
            <w:hideMark/>
          </w:tcPr>
          <w:p w14:paraId="68256898"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-1.8</w:t>
            </w:r>
          </w:p>
        </w:tc>
        <w:tc>
          <w:tcPr>
            <w:tcW w:w="961" w:type="dxa"/>
            <w:tcBorders>
              <w:top w:val="nil"/>
              <w:left w:val="nil"/>
              <w:bottom w:val="nil"/>
              <w:right w:val="single" w:sz="4" w:space="0" w:color="auto"/>
            </w:tcBorders>
            <w:shd w:val="clear" w:color="000000" w:fill="FFFFFF"/>
            <w:noWrap/>
            <w:vAlign w:val="bottom"/>
            <w:hideMark/>
          </w:tcPr>
          <w:p w14:paraId="7E2A7B69"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-0.5</w:t>
            </w:r>
          </w:p>
        </w:tc>
        <w:tc>
          <w:tcPr>
            <w:tcW w:w="1259" w:type="dxa"/>
            <w:tcBorders>
              <w:top w:val="nil"/>
              <w:left w:val="nil"/>
              <w:bottom w:val="nil"/>
              <w:right w:val="nil"/>
            </w:tcBorders>
            <w:shd w:val="clear" w:color="000000" w:fill="FFFFFF"/>
            <w:noWrap/>
            <w:vAlign w:val="bottom"/>
            <w:hideMark/>
          </w:tcPr>
          <w:p w14:paraId="3ECD7670"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-1.0</w:t>
            </w:r>
          </w:p>
        </w:tc>
        <w:tc>
          <w:tcPr>
            <w:tcW w:w="961" w:type="dxa"/>
            <w:tcBorders>
              <w:top w:val="nil"/>
              <w:left w:val="nil"/>
              <w:bottom w:val="nil"/>
              <w:right w:val="single" w:sz="4" w:space="0" w:color="auto"/>
            </w:tcBorders>
            <w:shd w:val="clear" w:color="000000" w:fill="FFFFFF"/>
            <w:noWrap/>
            <w:vAlign w:val="bottom"/>
            <w:hideMark/>
          </w:tcPr>
          <w:p w14:paraId="6B4573F0"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-0.3</w:t>
            </w:r>
          </w:p>
        </w:tc>
      </w:tr>
      <w:tr w:rsidR="001F1CCF" w:rsidRPr="001F1CCF" w14:paraId="4A506C36" w14:textId="77777777" w:rsidTr="001F1CCF">
        <w:trPr>
          <w:trHeight w:val="282"/>
        </w:trPr>
        <w:tc>
          <w:tcPr>
            <w:tcW w:w="1480" w:type="dxa"/>
            <w:tcBorders>
              <w:top w:val="nil"/>
              <w:left w:val="nil"/>
              <w:bottom w:val="nil"/>
              <w:right w:val="nil"/>
            </w:tcBorders>
            <w:shd w:val="clear" w:color="000000" w:fill="FFFFFF"/>
            <w:noWrap/>
            <w:vAlign w:val="bottom"/>
            <w:hideMark/>
          </w:tcPr>
          <w:p w14:paraId="08CDA464"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542853EA"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2A280BB4"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-2.6</w:t>
            </w:r>
          </w:p>
        </w:tc>
        <w:tc>
          <w:tcPr>
            <w:tcW w:w="1259" w:type="dxa"/>
            <w:tcBorders>
              <w:top w:val="nil"/>
              <w:left w:val="nil"/>
              <w:bottom w:val="nil"/>
              <w:right w:val="nil"/>
            </w:tcBorders>
            <w:shd w:val="clear" w:color="000000" w:fill="FFFFFF"/>
            <w:noWrap/>
            <w:vAlign w:val="bottom"/>
            <w:hideMark/>
          </w:tcPr>
          <w:p w14:paraId="5D55CE1B"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3FD0DA38"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-3.7</w:t>
            </w:r>
          </w:p>
        </w:tc>
      </w:tr>
      <w:tr w:rsidR="001F1CCF" w:rsidRPr="001F1CCF" w14:paraId="09F364A7" w14:textId="77777777" w:rsidTr="001F1CCF">
        <w:trPr>
          <w:trHeight w:val="282"/>
        </w:trPr>
        <w:tc>
          <w:tcPr>
            <w:tcW w:w="1480" w:type="dxa"/>
            <w:tcBorders>
              <w:top w:val="nil"/>
              <w:left w:val="nil"/>
              <w:bottom w:val="nil"/>
              <w:right w:val="nil"/>
            </w:tcBorders>
            <w:shd w:val="clear" w:color="000000" w:fill="FFFFFF"/>
            <w:noWrap/>
            <w:vAlign w:val="bottom"/>
            <w:hideMark/>
          </w:tcPr>
          <w:p w14:paraId="0A54339B"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İhracat</w:t>
            </w:r>
          </w:p>
        </w:tc>
        <w:tc>
          <w:tcPr>
            <w:tcW w:w="1259" w:type="dxa"/>
            <w:tcBorders>
              <w:top w:val="nil"/>
              <w:left w:val="single" w:sz="4" w:space="0" w:color="auto"/>
              <w:bottom w:val="nil"/>
              <w:right w:val="nil"/>
            </w:tcBorders>
            <w:shd w:val="clear" w:color="000000" w:fill="FFFFFF"/>
            <w:noWrap/>
            <w:vAlign w:val="bottom"/>
            <w:hideMark/>
          </w:tcPr>
          <w:p w14:paraId="5B4C6892"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4.5</w:t>
            </w:r>
          </w:p>
        </w:tc>
        <w:tc>
          <w:tcPr>
            <w:tcW w:w="961" w:type="dxa"/>
            <w:tcBorders>
              <w:top w:val="nil"/>
              <w:left w:val="nil"/>
              <w:bottom w:val="nil"/>
              <w:right w:val="single" w:sz="4" w:space="0" w:color="auto"/>
            </w:tcBorders>
            <w:shd w:val="clear" w:color="000000" w:fill="FFFFFF"/>
            <w:noWrap/>
            <w:vAlign w:val="bottom"/>
            <w:hideMark/>
          </w:tcPr>
          <w:p w14:paraId="1D5489C6"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1.4</w:t>
            </w:r>
          </w:p>
        </w:tc>
        <w:tc>
          <w:tcPr>
            <w:tcW w:w="1259" w:type="dxa"/>
            <w:tcBorders>
              <w:top w:val="nil"/>
              <w:left w:val="nil"/>
              <w:bottom w:val="nil"/>
              <w:right w:val="nil"/>
            </w:tcBorders>
            <w:shd w:val="clear" w:color="000000" w:fill="FFFFFF"/>
            <w:noWrap/>
            <w:vAlign w:val="bottom"/>
            <w:hideMark/>
          </w:tcPr>
          <w:p w14:paraId="4F363783"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11.4</w:t>
            </w:r>
          </w:p>
        </w:tc>
        <w:tc>
          <w:tcPr>
            <w:tcW w:w="961" w:type="dxa"/>
            <w:tcBorders>
              <w:top w:val="nil"/>
              <w:left w:val="nil"/>
              <w:bottom w:val="nil"/>
              <w:right w:val="single" w:sz="4" w:space="0" w:color="auto"/>
            </w:tcBorders>
            <w:shd w:val="clear" w:color="000000" w:fill="FFFFFF"/>
            <w:noWrap/>
            <w:vAlign w:val="bottom"/>
            <w:hideMark/>
          </w:tcPr>
          <w:p w14:paraId="6DFC7A79"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3.6</w:t>
            </w:r>
          </w:p>
        </w:tc>
      </w:tr>
      <w:tr w:rsidR="001F1CCF" w:rsidRPr="001F1CCF" w14:paraId="72805046" w14:textId="77777777" w:rsidTr="001F1CCF">
        <w:trPr>
          <w:trHeight w:val="282"/>
        </w:trPr>
        <w:tc>
          <w:tcPr>
            <w:tcW w:w="1480" w:type="dxa"/>
            <w:tcBorders>
              <w:top w:val="nil"/>
              <w:left w:val="nil"/>
              <w:bottom w:val="nil"/>
              <w:right w:val="nil"/>
            </w:tcBorders>
            <w:shd w:val="clear" w:color="000000" w:fill="FFFFFF"/>
            <w:noWrap/>
            <w:vAlign w:val="bottom"/>
            <w:hideMark/>
          </w:tcPr>
          <w:p w14:paraId="59691556"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İthalat</w:t>
            </w:r>
          </w:p>
        </w:tc>
        <w:tc>
          <w:tcPr>
            <w:tcW w:w="1259" w:type="dxa"/>
            <w:tcBorders>
              <w:top w:val="nil"/>
              <w:left w:val="single" w:sz="4" w:space="0" w:color="auto"/>
              <w:bottom w:val="nil"/>
              <w:right w:val="nil"/>
            </w:tcBorders>
            <w:shd w:val="clear" w:color="000000" w:fill="FFFFFF"/>
            <w:noWrap/>
            <w:vAlign w:val="bottom"/>
            <w:hideMark/>
          </w:tcPr>
          <w:p w14:paraId="2F6466B3"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4.2</w:t>
            </w:r>
          </w:p>
        </w:tc>
        <w:tc>
          <w:tcPr>
            <w:tcW w:w="961" w:type="dxa"/>
            <w:tcBorders>
              <w:top w:val="nil"/>
              <w:left w:val="nil"/>
              <w:bottom w:val="nil"/>
              <w:right w:val="single" w:sz="4" w:space="0" w:color="auto"/>
            </w:tcBorders>
            <w:shd w:val="clear" w:color="000000" w:fill="FFFFFF"/>
            <w:noWrap/>
            <w:vAlign w:val="bottom"/>
            <w:hideMark/>
          </w:tcPr>
          <w:p w14:paraId="39C4AE6E"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-1.2</w:t>
            </w:r>
          </w:p>
        </w:tc>
        <w:tc>
          <w:tcPr>
            <w:tcW w:w="1259" w:type="dxa"/>
            <w:tcBorders>
              <w:top w:val="nil"/>
              <w:left w:val="nil"/>
              <w:bottom w:val="nil"/>
              <w:right w:val="nil"/>
            </w:tcBorders>
            <w:shd w:val="clear" w:color="000000" w:fill="FFFFFF"/>
            <w:noWrap/>
            <w:vAlign w:val="bottom"/>
            <w:hideMark/>
          </w:tcPr>
          <w:p w14:paraId="49647DCA"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9.2</w:t>
            </w:r>
          </w:p>
        </w:tc>
        <w:tc>
          <w:tcPr>
            <w:tcW w:w="961" w:type="dxa"/>
            <w:tcBorders>
              <w:top w:val="nil"/>
              <w:left w:val="nil"/>
              <w:bottom w:val="nil"/>
              <w:right w:val="single" w:sz="4" w:space="0" w:color="auto"/>
            </w:tcBorders>
            <w:shd w:val="clear" w:color="000000" w:fill="FFFFFF"/>
            <w:noWrap/>
            <w:vAlign w:val="bottom"/>
            <w:hideMark/>
          </w:tcPr>
          <w:p w14:paraId="2F3A8154"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-2.7</w:t>
            </w:r>
          </w:p>
        </w:tc>
      </w:tr>
      <w:tr w:rsidR="001F1CCF" w:rsidRPr="001F1CCF" w14:paraId="1445A387" w14:textId="77777777" w:rsidTr="001F1CCF">
        <w:trPr>
          <w:trHeight w:val="315"/>
        </w:trPr>
        <w:tc>
          <w:tcPr>
            <w:tcW w:w="1480" w:type="dxa"/>
            <w:tcBorders>
              <w:top w:val="nil"/>
              <w:left w:val="nil"/>
              <w:bottom w:val="double" w:sz="6" w:space="0" w:color="auto"/>
              <w:right w:val="nil"/>
            </w:tcBorders>
            <w:shd w:val="clear" w:color="000000" w:fill="FFFFFF"/>
            <w:noWrap/>
            <w:vAlign w:val="bottom"/>
            <w:hideMark/>
          </w:tcPr>
          <w:p w14:paraId="3F9488B0" w14:textId="77777777" w:rsidR="001F1CCF" w:rsidRPr="001F1CCF" w:rsidRDefault="001F1CCF" w:rsidP="001F1CCF">
            <w:pPr>
              <w:rPr>
                <w:rFonts w:ascii="Calibri" w:hAnsi="Calibri" w:cs="Calibri"/>
                <w:b/>
                <w:bCs/>
                <w:color w:val="000000"/>
                <w:sz w:val="20"/>
                <w:szCs w:val="20"/>
                <w:lang w:val="en-GB" w:eastAsia="en-GB"/>
              </w:rPr>
            </w:pPr>
            <w:r w:rsidRPr="001F1CCF">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404C9A22"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2.8</w:t>
            </w:r>
          </w:p>
        </w:tc>
        <w:tc>
          <w:tcPr>
            <w:tcW w:w="961" w:type="dxa"/>
            <w:tcBorders>
              <w:top w:val="nil"/>
              <w:left w:val="nil"/>
              <w:bottom w:val="double" w:sz="6" w:space="0" w:color="auto"/>
              <w:right w:val="single" w:sz="4" w:space="0" w:color="auto"/>
            </w:tcBorders>
            <w:shd w:val="clear" w:color="000000" w:fill="FFFFFF"/>
            <w:noWrap/>
            <w:vAlign w:val="bottom"/>
            <w:hideMark/>
          </w:tcPr>
          <w:p w14:paraId="55C1EE28"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0BDA4C47"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1.5</w:t>
            </w:r>
          </w:p>
        </w:tc>
        <w:tc>
          <w:tcPr>
            <w:tcW w:w="961" w:type="dxa"/>
            <w:tcBorders>
              <w:top w:val="nil"/>
              <w:left w:val="nil"/>
              <w:bottom w:val="double" w:sz="6" w:space="0" w:color="auto"/>
              <w:right w:val="single" w:sz="4" w:space="0" w:color="auto"/>
            </w:tcBorders>
            <w:shd w:val="clear" w:color="000000" w:fill="FFFFFF"/>
            <w:noWrap/>
            <w:vAlign w:val="bottom"/>
            <w:hideMark/>
          </w:tcPr>
          <w:p w14:paraId="50ACE7CE" w14:textId="77777777" w:rsidR="001F1CCF" w:rsidRPr="001F1CCF" w:rsidRDefault="001F1CCF" w:rsidP="001F1CCF">
            <w:pPr>
              <w:jc w:val="center"/>
              <w:rPr>
                <w:rFonts w:ascii="Calibri" w:hAnsi="Calibri" w:cs="Calibri"/>
                <w:color w:val="000000"/>
                <w:sz w:val="20"/>
                <w:szCs w:val="20"/>
                <w:lang w:val="en-GB" w:eastAsia="en-GB"/>
              </w:rPr>
            </w:pPr>
            <w:r w:rsidRPr="001F1CCF">
              <w:rPr>
                <w:rFonts w:ascii="Calibri" w:hAnsi="Calibri" w:cs="Calibri"/>
                <w:color w:val="000000"/>
                <w:sz w:val="20"/>
                <w:szCs w:val="20"/>
                <w:lang w:val="en-GB" w:eastAsia="en-GB"/>
              </w:rPr>
              <w:t> </w:t>
            </w:r>
          </w:p>
        </w:tc>
      </w:tr>
    </w:tbl>
    <w:p w14:paraId="04FC8E76" w14:textId="76A3C0F4"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732BD1F0"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007C3F">
        <w:rPr>
          <w:rFonts w:ascii="Palatino Linotype" w:hAnsi="Palatino Linotype" w:cstheme="minorHAnsi"/>
          <w:b/>
          <w:sz w:val="22"/>
          <w:szCs w:val="22"/>
        </w:rPr>
        <w:t xml:space="preserve"> </w:t>
      </w:r>
      <w:r w:rsidR="00715A66">
        <w:rPr>
          <w:rFonts w:ascii="Palatino Linotype" w:hAnsi="Palatino Linotype" w:cstheme="minorHAnsi"/>
          <w:b/>
          <w:sz w:val="22"/>
          <w:szCs w:val="22"/>
        </w:rPr>
        <w:t>düştü</w:t>
      </w:r>
    </w:p>
    <w:p w14:paraId="1EDCC445" w14:textId="73355754" w:rsidR="00062A8A" w:rsidRPr="005E0D21" w:rsidRDefault="00D8482B" w:rsidP="002A037D">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Önceki bir yıl boyunca büyümeyi destekleyen yatırımlar</w:t>
      </w:r>
      <w:r w:rsidR="00B31727">
        <w:rPr>
          <w:rFonts w:ascii="Palatino Linotype" w:hAnsi="Palatino Linotype" w:cstheme="minorHAnsi"/>
          <w:sz w:val="22"/>
          <w:szCs w:val="22"/>
        </w:rPr>
        <w:t xml:space="preserve">ın katkısı </w:t>
      </w:r>
      <w:r>
        <w:rPr>
          <w:rFonts w:ascii="Palatino Linotype" w:hAnsi="Palatino Linotype" w:cstheme="minorHAnsi"/>
          <w:sz w:val="22"/>
          <w:szCs w:val="22"/>
        </w:rPr>
        <w:t xml:space="preserve">bu yılın ikinci yarısında yön </w:t>
      </w:r>
      <w:r w:rsidR="00B31727">
        <w:rPr>
          <w:rFonts w:ascii="Palatino Linotype" w:hAnsi="Palatino Linotype" w:cstheme="minorHAnsi"/>
          <w:sz w:val="22"/>
          <w:szCs w:val="22"/>
        </w:rPr>
        <w:t>değiştirdi</w:t>
      </w:r>
      <w:r>
        <w:rPr>
          <w:rFonts w:ascii="Palatino Linotype" w:hAnsi="Palatino Linotype" w:cstheme="minorHAnsi"/>
          <w:sz w:val="22"/>
          <w:szCs w:val="22"/>
        </w:rPr>
        <w:t>. Yatırımlarda bir önceki çeyrekte başlayan düşüş 2021 yılının son çeyreğinde de sürdü</w:t>
      </w:r>
      <w:r w:rsidR="001D37D1">
        <w:rPr>
          <w:rFonts w:ascii="Palatino Linotype" w:hAnsi="Palatino Linotype" w:cstheme="minorHAnsi"/>
          <w:sz w:val="22"/>
          <w:szCs w:val="22"/>
        </w:rPr>
        <w:t xml:space="preserve"> (Tablo 1).</w:t>
      </w:r>
      <w:r w:rsidR="006324E3">
        <w:rPr>
          <w:rFonts w:ascii="Palatino Linotype" w:hAnsi="Palatino Linotype" w:cstheme="minorHAnsi"/>
          <w:sz w:val="22"/>
          <w:szCs w:val="22"/>
        </w:rPr>
        <w:t xml:space="preserve"> </w:t>
      </w:r>
      <w:r w:rsidR="00F30329" w:rsidRPr="00CC0355">
        <w:rPr>
          <w:rFonts w:ascii="Palatino Linotype" w:hAnsi="Palatino Linotype" w:cstheme="minorHAnsi"/>
          <w:sz w:val="22"/>
          <w:szCs w:val="22"/>
        </w:rPr>
        <w:t xml:space="preserve">Mevsim ve takvim </w:t>
      </w:r>
      <w:r w:rsidR="00F30329" w:rsidRPr="005E0D21">
        <w:rPr>
          <w:rFonts w:ascii="Palatino Linotype" w:hAnsi="Palatino Linotype" w:cstheme="minorHAnsi"/>
          <w:sz w:val="22"/>
          <w:szCs w:val="22"/>
        </w:rPr>
        <w:t xml:space="preserve">etkilerinden arındırılmış </w:t>
      </w:r>
      <w:r w:rsidR="00DC2DF9" w:rsidRPr="005E0D21">
        <w:rPr>
          <w:rFonts w:ascii="Palatino Linotype" w:hAnsi="Palatino Linotype" w:cstheme="minorHAnsi"/>
          <w:sz w:val="22"/>
          <w:szCs w:val="22"/>
        </w:rPr>
        <w:t xml:space="preserve">çeyrekten çeyreğe gelişmeler dikkate alındığında benzer bir durum söz konusudur: </w:t>
      </w:r>
      <w:r>
        <w:rPr>
          <w:rFonts w:ascii="Palatino Linotype" w:hAnsi="Palatino Linotype" w:cstheme="minorHAnsi"/>
          <w:sz w:val="22"/>
          <w:szCs w:val="22"/>
        </w:rPr>
        <w:t>yatırımlar çeyreklik bazda yüzde 1 azalarak çeyreklik büyümeyi 0,3 yüzde puan aşağı çekti</w:t>
      </w:r>
      <w:r w:rsidR="00646879">
        <w:rPr>
          <w:rFonts w:ascii="Palatino Linotype" w:hAnsi="Palatino Linotype" w:cstheme="minorHAnsi"/>
          <w:sz w:val="22"/>
          <w:szCs w:val="22"/>
        </w:rPr>
        <w:t xml:space="preserve"> </w:t>
      </w:r>
      <w:r w:rsidR="00480684" w:rsidRPr="005E0D21">
        <w:rPr>
          <w:rFonts w:ascii="Palatino Linotype" w:hAnsi="Palatino Linotype" w:cstheme="minorHAnsi"/>
          <w:sz w:val="22"/>
          <w:szCs w:val="22"/>
        </w:rPr>
        <w:t xml:space="preserve">(Tablo 2). </w:t>
      </w:r>
    </w:p>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48268218" w:rsidR="00681AD9" w:rsidRPr="005E0D21"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5E0D21">
        <w:rPr>
          <w:rFonts w:ascii="Palatino Linotype" w:hAnsi="Palatino Linotype" w:cstheme="minorHAnsi"/>
          <w:b/>
          <w:sz w:val="22"/>
          <w:szCs w:val="22"/>
        </w:rPr>
        <w:lastRenderedPageBreak/>
        <w:t>Stok</w:t>
      </w:r>
      <w:r w:rsidR="00B31727">
        <w:rPr>
          <w:rFonts w:ascii="Palatino Linotype" w:hAnsi="Palatino Linotype" w:cstheme="minorHAnsi"/>
          <w:b/>
          <w:sz w:val="22"/>
          <w:szCs w:val="22"/>
        </w:rPr>
        <w:t>lar eridi</w:t>
      </w:r>
      <w:r w:rsidR="00494926" w:rsidRPr="005E0D21">
        <w:rPr>
          <w:rStyle w:val="FootnoteReference"/>
          <w:rFonts w:ascii="Palatino Linotype" w:hAnsi="Palatino Linotype" w:cstheme="minorHAnsi"/>
          <w:b/>
          <w:sz w:val="22"/>
          <w:szCs w:val="22"/>
        </w:rPr>
        <w:footnoteReference w:id="3"/>
      </w:r>
    </w:p>
    <w:p w14:paraId="7912D79A" w14:textId="41767508" w:rsidR="006138F0" w:rsidRPr="005E0D21" w:rsidRDefault="00BE280E"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8" w:name="OLE_LINK7"/>
      <w:bookmarkStart w:id="9" w:name="OLE_LINK8"/>
      <w:r w:rsidRPr="005E0D21">
        <w:rPr>
          <w:rFonts w:ascii="Palatino Linotype" w:hAnsi="Palatino Linotype" w:cstheme="minorHAnsi"/>
          <w:sz w:val="22"/>
          <w:szCs w:val="22"/>
        </w:rPr>
        <w:t>202</w:t>
      </w:r>
      <w:r w:rsidR="00007C3F" w:rsidRPr="005E0D21">
        <w:rPr>
          <w:rFonts w:ascii="Palatino Linotype" w:hAnsi="Palatino Linotype" w:cstheme="minorHAnsi"/>
          <w:sz w:val="22"/>
          <w:szCs w:val="22"/>
        </w:rPr>
        <w:t>1</w:t>
      </w:r>
      <w:r w:rsidRPr="005E0D21">
        <w:rPr>
          <w:rFonts w:ascii="Palatino Linotype" w:hAnsi="Palatino Linotype" w:cstheme="minorHAnsi"/>
          <w:sz w:val="22"/>
          <w:szCs w:val="22"/>
        </w:rPr>
        <w:t xml:space="preserve"> yılının</w:t>
      </w:r>
      <w:r w:rsidR="00B25D14" w:rsidRPr="005E0D21">
        <w:rPr>
          <w:rFonts w:ascii="Palatino Linotype" w:hAnsi="Palatino Linotype" w:cstheme="minorHAnsi"/>
          <w:sz w:val="22"/>
          <w:szCs w:val="22"/>
        </w:rPr>
        <w:t xml:space="preserve"> </w:t>
      </w:r>
      <w:r w:rsidR="00173752">
        <w:rPr>
          <w:rFonts w:ascii="Palatino Linotype" w:hAnsi="Palatino Linotype" w:cstheme="minorHAnsi"/>
          <w:sz w:val="22"/>
          <w:szCs w:val="22"/>
        </w:rPr>
        <w:t>dördüncü çeyreğinde tıpkı bir önceki çeyrekte olduğu gibi stoklar büyümeyi epeyce baskıladı.</w:t>
      </w:r>
      <w:r w:rsidR="00007C3F" w:rsidRPr="005E0D21">
        <w:rPr>
          <w:rFonts w:ascii="Palatino Linotype" w:hAnsi="Palatino Linotype" w:cstheme="minorHAnsi"/>
          <w:sz w:val="22"/>
          <w:szCs w:val="22"/>
        </w:rPr>
        <w:t xml:space="preserve"> </w:t>
      </w:r>
      <w:r w:rsidR="00173752">
        <w:rPr>
          <w:rFonts w:ascii="Palatino Linotype" w:hAnsi="Palatino Linotype" w:cstheme="minorHAnsi"/>
          <w:sz w:val="22"/>
          <w:szCs w:val="22"/>
        </w:rPr>
        <w:t xml:space="preserve">Stok değişimlerinin yıllık büyümeye katkısı eksi 7,8 yüzde puan olurken </w:t>
      </w:r>
      <w:r w:rsidR="005C51D9" w:rsidRPr="005E0D21">
        <w:rPr>
          <w:rFonts w:ascii="Palatino Linotype" w:hAnsi="Palatino Linotype" w:cstheme="minorHAnsi"/>
          <w:sz w:val="22"/>
          <w:szCs w:val="22"/>
        </w:rPr>
        <w:t>(Tablo 1) mevsim ve takvim etkisinden arındırılmış veriye göre stok değişimlerinin çeyreklik büyümeye katkısı</w:t>
      </w:r>
      <w:r w:rsidR="00AA678E" w:rsidRPr="005E0D21">
        <w:rPr>
          <w:rFonts w:ascii="Palatino Linotype" w:hAnsi="Palatino Linotype" w:cstheme="minorHAnsi"/>
          <w:sz w:val="22"/>
          <w:szCs w:val="22"/>
        </w:rPr>
        <w:t xml:space="preserve"> </w:t>
      </w:r>
      <w:r w:rsidR="00B25D14" w:rsidRPr="005E0D21">
        <w:rPr>
          <w:rFonts w:ascii="Palatino Linotype" w:hAnsi="Palatino Linotype" w:cstheme="minorHAnsi"/>
          <w:sz w:val="22"/>
          <w:szCs w:val="22"/>
        </w:rPr>
        <w:t xml:space="preserve">eksi </w:t>
      </w:r>
      <w:r w:rsidR="00173752">
        <w:rPr>
          <w:rFonts w:ascii="Palatino Linotype" w:hAnsi="Palatino Linotype" w:cstheme="minorHAnsi"/>
          <w:sz w:val="22"/>
          <w:szCs w:val="22"/>
        </w:rPr>
        <w:t>3</w:t>
      </w:r>
      <w:r w:rsidR="00F94070" w:rsidRPr="005E0D21">
        <w:rPr>
          <w:rFonts w:ascii="Palatino Linotype" w:hAnsi="Palatino Linotype" w:cstheme="minorHAnsi"/>
          <w:sz w:val="22"/>
          <w:szCs w:val="22"/>
        </w:rPr>
        <w:t>,</w:t>
      </w:r>
      <w:r w:rsidR="00173752">
        <w:rPr>
          <w:rFonts w:ascii="Palatino Linotype" w:hAnsi="Palatino Linotype" w:cstheme="minorHAnsi"/>
          <w:sz w:val="22"/>
          <w:szCs w:val="22"/>
        </w:rPr>
        <w:t>7</w:t>
      </w:r>
      <w:r w:rsidR="005C51D9" w:rsidRPr="005E0D21">
        <w:rPr>
          <w:rFonts w:ascii="Palatino Linotype" w:hAnsi="Palatino Linotype" w:cstheme="minorHAnsi"/>
          <w:sz w:val="22"/>
          <w:szCs w:val="22"/>
        </w:rPr>
        <w:t xml:space="preserve"> yüzde puan oldu (Tablo 2).</w:t>
      </w:r>
      <w:bookmarkEnd w:id="8"/>
      <w:bookmarkEnd w:id="9"/>
      <w:r w:rsidR="006E09D6" w:rsidRPr="005E0D21">
        <w:rPr>
          <w:rFonts w:ascii="Palatino Linotype" w:hAnsi="Palatino Linotype" w:cstheme="minorHAnsi"/>
          <w:sz w:val="22"/>
          <w:szCs w:val="22"/>
        </w:rPr>
        <w:t xml:space="preserve"> </w:t>
      </w:r>
      <w:r w:rsidR="006E09D6" w:rsidRPr="00B31727">
        <w:rPr>
          <w:rFonts w:ascii="Palatino Linotype" w:hAnsi="Palatino Linotype" w:cstheme="minorHAnsi"/>
          <w:sz w:val="22"/>
          <w:szCs w:val="22"/>
        </w:rPr>
        <w:t>Stok değişiminin yıllık büyümeyi baskılamasında da baz etkisi</w:t>
      </w:r>
      <w:r w:rsidR="00B31727" w:rsidRPr="00B31727">
        <w:rPr>
          <w:rFonts w:ascii="Palatino Linotype" w:hAnsi="Palatino Linotype" w:cstheme="minorHAnsi"/>
          <w:sz w:val="22"/>
          <w:szCs w:val="22"/>
        </w:rPr>
        <w:t xml:space="preserve">nin devam ettiğini söyleyebiliriz. </w:t>
      </w:r>
      <w:r w:rsidR="0048730C" w:rsidRPr="00B31727">
        <w:rPr>
          <w:rFonts w:ascii="Palatino Linotype" w:hAnsi="Palatino Linotype" w:cstheme="minorHAnsi"/>
          <w:sz w:val="22"/>
          <w:szCs w:val="22"/>
        </w:rPr>
        <w:t>Pandemi etkisiyle şişen</w:t>
      </w:r>
      <w:r w:rsidR="00B31727" w:rsidRPr="00B31727">
        <w:rPr>
          <w:rFonts w:ascii="Palatino Linotype" w:hAnsi="Palatino Linotype" w:cstheme="minorHAnsi"/>
          <w:sz w:val="22"/>
          <w:szCs w:val="22"/>
        </w:rPr>
        <w:t xml:space="preserve"> stokların</w:t>
      </w:r>
      <w:r w:rsidR="0048730C" w:rsidRPr="00B31727">
        <w:rPr>
          <w:rFonts w:ascii="Palatino Linotype" w:hAnsi="Palatino Linotype" w:cstheme="minorHAnsi"/>
          <w:sz w:val="22"/>
          <w:szCs w:val="22"/>
        </w:rPr>
        <w:t xml:space="preserve"> </w:t>
      </w:r>
      <w:r w:rsidR="00B31727" w:rsidRPr="00B31727">
        <w:rPr>
          <w:rFonts w:ascii="Palatino Linotype" w:hAnsi="Palatino Linotype" w:cstheme="minorHAnsi"/>
          <w:sz w:val="22"/>
          <w:szCs w:val="22"/>
        </w:rPr>
        <w:t>dördüncü</w:t>
      </w:r>
      <w:r w:rsidR="0048730C" w:rsidRPr="00B31727">
        <w:rPr>
          <w:rFonts w:ascii="Palatino Linotype" w:hAnsi="Palatino Linotype" w:cstheme="minorHAnsi"/>
          <w:sz w:val="22"/>
          <w:szCs w:val="22"/>
        </w:rPr>
        <w:t xml:space="preserve"> çeyrekte eri</w:t>
      </w:r>
      <w:r w:rsidR="00B31727" w:rsidRPr="00B31727">
        <w:rPr>
          <w:rFonts w:ascii="Palatino Linotype" w:hAnsi="Palatino Linotype" w:cstheme="minorHAnsi"/>
          <w:sz w:val="22"/>
          <w:szCs w:val="22"/>
        </w:rPr>
        <w:t>meye devam ettiğini</w:t>
      </w:r>
      <w:r w:rsidR="004950F8" w:rsidRPr="00B31727">
        <w:rPr>
          <w:rFonts w:ascii="Palatino Linotype" w:hAnsi="Palatino Linotype" w:cstheme="minorHAnsi"/>
          <w:sz w:val="22"/>
          <w:szCs w:val="22"/>
        </w:rPr>
        <w:t xml:space="preserve">, bunun da üretimi frenlediğini </w:t>
      </w:r>
      <w:r w:rsidR="0048730C" w:rsidRPr="00B31727">
        <w:rPr>
          <w:rFonts w:ascii="Palatino Linotype" w:hAnsi="Palatino Linotype" w:cstheme="minorHAnsi"/>
          <w:sz w:val="22"/>
          <w:szCs w:val="22"/>
        </w:rPr>
        <w:t>gözlemliyoruz</w:t>
      </w:r>
      <w:r w:rsidR="006E09D6" w:rsidRPr="00B31727">
        <w:rPr>
          <w:rFonts w:ascii="Palatino Linotype" w:hAnsi="Palatino Linotype" w:cstheme="minorHAnsi"/>
          <w:sz w:val="22"/>
          <w:szCs w:val="22"/>
        </w:rPr>
        <w:t>.</w:t>
      </w:r>
    </w:p>
    <w:p w14:paraId="2F77854E" w14:textId="77777777" w:rsidR="00450CEA" w:rsidRPr="005E0D21" w:rsidRDefault="00450CEA"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05BF1584" w:rsidR="00F46A54" w:rsidRPr="005E0D21" w:rsidRDefault="009C4B9E" w:rsidP="00F30329">
      <w:pPr>
        <w:pStyle w:val="NormalWeb"/>
        <w:spacing w:before="0" w:beforeAutospacing="0" w:after="120" w:afterAutospacing="0" w:line="360" w:lineRule="auto"/>
        <w:ind w:right="79"/>
        <w:rPr>
          <w:rFonts w:ascii="Palatino Linotype" w:hAnsi="Palatino Linotype" w:cstheme="minorHAnsi"/>
          <w:b/>
          <w:sz w:val="22"/>
          <w:szCs w:val="22"/>
        </w:rPr>
      </w:pPr>
      <w:r w:rsidRPr="005E0D21">
        <w:rPr>
          <w:rFonts w:ascii="Palatino Linotype" w:hAnsi="Palatino Linotype" w:cstheme="minorHAnsi"/>
          <w:b/>
          <w:sz w:val="22"/>
          <w:szCs w:val="22"/>
        </w:rPr>
        <w:t>İhracat artışı sürüyor</w:t>
      </w:r>
      <w:r w:rsidR="00173752">
        <w:rPr>
          <w:rFonts w:ascii="Palatino Linotype" w:hAnsi="Palatino Linotype" w:cstheme="minorHAnsi"/>
          <w:b/>
          <w:sz w:val="22"/>
          <w:szCs w:val="22"/>
        </w:rPr>
        <w:t xml:space="preserve"> fakat ithalat da artıyor</w:t>
      </w:r>
    </w:p>
    <w:p w14:paraId="142C0302" w14:textId="56A6E310" w:rsidR="00062A8A" w:rsidRPr="005E0D21" w:rsidRDefault="005C51D9" w:rsidP="002A037D">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DB5024" w:rsidRPr="005E0D21">
        <w:rPr>
          <w:rFonts w:ascii="Palatino Linotype" w:hAnsi="Palatino Linotype" w:cstheme="minorHAnsi"/>
          <w:sz w:val="22"/>
          <w:szCs w:val="22"/>
        </w:rPr>
        <w:t>1</w:t>
      </w:r>
      <w:r w:rsidRPr="005E0D21">
        <w:rPr>
          <w:rFonts w:ascii="Palatino Linotype" w:hAnsi="Palatino Linotype" w:cstheme="minorHAnsi"/>
          <w:sz w:val="22"/>
          <w:szCs w:val="22"/>
        </w:rPr>
        <w:t xml:space="preserve"> yılının</w:t>
      </w:r>
      <w:r w:rsidR="00A94E9C" w:rsidRPr="005E0D21">
        <w:rPr>
          <w:rFonts w:ascii="Palatino Linotype" w:hAnsi="Palatino Linotype" w:cstheme="minorHAnsi"/>
          <w:sz w:val="22"/>
          <w:szCs w:val="22"/>
        </w:rPr>
        <w:t xml:space="preserve"> </w:t>
      </w:r>
      <w:r w:rsidR="00173752">
        <w:rPr>
          <w:rFonts w:ascii="Palatino Linotype" w:hAnsi="Palatino Linotype" w:cstheme="minorHAnsi"/>
          <w:sz w:val="22"/>
          <w:szCs w:val="22"/>
        </w:rPr>
        <w:t>dördüncü</w:t>
      </w:r>
      <w:r w:rsidR="00DB5024" w:rsidRPr="005E0D21">
        <w:rPr>
          <w:rFonts w:ascii="Palatino Linotype" w:hAnsi="Palatino Linotype" w:cstheme="minorHAnsi"/>
          <w:sz w:val="22"/>
          <w:szCs w:val="22"/>
        </w:rPr>
        <w:t xml:space="preserve"> </w:t>
      </w:r>
      <w:r w:rsidRPr="005E0D21">
        <w:rPr>
          <w:rFonts w:ascii="Palatino Linotype" w:hAnsi="Palatino Linotype" w:cstheme="minorHAnsi"/>
          <w:sz w:val="22"/>
          <w:szCs w:val="22"/>
        </w:rPr>
        <w:t>çeyreğinde ihracat</w:t>
      </w:r>
      <w:r w:rsidR="00416A4B" w:rsidRPr="005E0D21">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 xml:space="preserve">bir önceki yılın aynı dönemine göre yüzde </w:t>
      </w:r>
      <w:r w:rsidR="00173752">
        <w:rPr>
          <w:rFonts w:ascii="Palatino Linotype" w:hAnsi="Palatino Linotype" w:cstheme="minorHAnsi"/>
          <w:sz w:val="22"/>
          <w:szCs w:val="22"/>
        </w:rPr>
        <w:t>20</w:t>
      </w:r>
      <w:r w:rsidR="009C4B9E" w:rsidRPr="005E0D21">
        <w:rPr>
          <w:rFonts w:ascii="Palatino Linotype" w:hAnsi="Palatino Linotype" w:cstheme="minorHAnsi"/>
          <w:sz w:val="22"/>
          <w:szCs w:val="22"/>
        </w:rPr>
        <w:t>,</w:t>
      </w:r>
      <w:r w:rsidR="00173752">
        <w:rPr>
          <w:rFonts w:ascii="Palatino Linotype" w:hAnsi="Palatino Linotype" w:cstheme="minorHAnsi"/>
          <w:sz w:val="22"/>
          <w:szCs w:val="22"/>
        </w:rPr>
        <w:t>7</w:t>
      </w:r>
      <w:r w:rsidR="00A94E9C" w:rsidRPr="005E0D21">
        <w:rPr>
          <w:rFonts w:ascii="Palatino Linotype" w:hAnsi="Palatino Linotype" w:cstheme="minorHAnsi"/>
          <w:sz w:val="22"/>
          <w:szCs w:val="22"/>
        </w:rPr>
        <w:t xml:space="preserve"> </w:t>
      </w:r>
      <w:r w:rsidR="009C4B9E" w:rsidRPr="005E0D21">
        <w:rPr>
          <w:rFonts w:ascii="Palatino Linotype" w:hAnsi="Palatino Linotype" w:cstheme="minorHAnsi"/>
          <w:sz w:val="22"/>
          <w:szCs w:val="22"/>
        </w:rPr>
        <w:t>artarak</w:t>
      </w:r>
      <w:r w:rsidR="00A94E9C" w:rsidRPr="005E0D21">
        <w:rPr>
          <w:rFonts w:ascii="Palatino Linotype" w:hAnsi="Palatino Linotype" w:cstheme="minorHAnsi"/>
          <w:sz w:val="22"/>
          <w:szCs w:val="22"/>
        </w:rPr>
        <w:t xml:space="preserve"> yıllık GSYH büyümesine </w:t>
      </w:r>
      <w:r w:rsidR="009C4B9E" w:rsidRPr="005E0D21">
        <w:rPr>
          <w:rFonts w:ascii="Palatino Linotype" w:hAnsi="Palatino Linotype" w:cstheme="minorHAnsi"/>
          <w:sz w:val="22"/>
          <w:szCs w:val="22"/>
        </w:rPr>
        <w:t xml:space="preserve">6,6 </w:t>
      </w:r>
      <w:r w:rsidR="00A94E9C" w:rsidRPr="005E0D21">
        <w:rPr>
          <w:rFonts w:ascii="Palatino Linotype" w:hAnsi="Palatino Linotype" w:cstheme="minorHAnsi"/>
          <w:sz w:val="22"/>
          <w:szCs w:val="22"/>
        </w:rPr>
        <w:t xml:space="preserve">yüzde puan </w:t>
      </w:r>
      <w:r w:rsidR="009C4B9E" w:rsidRPr="005E0D21">
        <w:rPr>
          <w:rFonts w:ascii="Palatino Linotype" w:hAnsi="Palatino Linotype" w:cstheme="minorHAnsi"/>
          <w:sz w:val="22"/>
          <w:szCs w:val="22"/>
        </w:rPr>
        <w:t>katkı yaptı</w:t>
      </w:r>
      <w:r w:rsidR="00A94E9C" w:rsidRPr="005E0D21">
        <w:rPr>
          <w:rFonts w:ascii="Palatino Linotype" w:hAnsi="Palatino Linotype" w:cstheme="minorHAnsi"/>
          <w:sz w:val="22"/>
          <w:szCs w:val="22"/>
        </w:rPr>
        <w:t xml:space="preserve">. </w:t>
      </w:r>
      <w:r w:rsidR="00173752">
        <w:rPr>
          <w:rFonts w:ascii="Palatino Linotype" w:hAnsi="Palatino Linotype" w:cstheme="minorHAnsi"/>
          <w:sz w:val="22"/>
          <w:szCs w:val="22"/>
        </w:rPr>
        <w:t>Fakat i</w:t>
      </w:r>
      <w:r w:rsidR="009C4B9E" w:rsidRPr="005E0D21">
        <w:rPr>
          <w:rFonts w:ascii="Palatino Linotype" w:hAnsi="Palatino Linotype" w:cstheme="minorHAnsi"/>
          <w:sz w:val="22"/>
          <w:szCs w:val="22"/>
        </w:rPr>
        <w:t xml:space="preserve">thalattaki </w:t>
      </w:r>
      <w:r w:rsidR="00173752">
        <w:rPr>
          <w:rFonts w:ascii="Palatino Linotype" w:hAnsi="Palatino Linotype" w:cstheme="minorHAnsi"/>
          <w:sz w:val="22"/>
          <w:szCs w:val="22"/>
        </w:rPr>
        <w:t>artış</w:t>
      </w:r>
      <w:r w:rsidR="009C4B9E" w:rsidRPr="005E0D21">
        <w:rPr>
          <w:rFonts w:ascii="Palatino Linotype" w:hAnsi="Palatino Linotype" w:cstheme="minorHAnsi"/>
          <w:sz w:val="22"/>
          <w:szCs w:val="22"/>
        </w:rPr>
        <w:t xml:space="preserve"> </w:t>
      </w:r>
      <w:r w:rsidR="00173752">
        <w:rPr>
          <w:rFonts w:ascii="Palatino Linotype" w:hAnsi="Palatino Linotype" w:cstheme="minorHAnsi"/>
          <w:sz w:val="22"/>
          <w:szCs w:val="22"/>
        </w:rPr>
        <w:t>ile</w:t>
      </w:r>
      <w:r w:rsidR="009C4B9E" w:rsidRPr="005E0D21">
        <w:rPr>
          <w:rFonts w:ascii="Palatino Linotype" w:hAnsi="Palatino Linotype" w:cstheme="minorHAnsi"/>
          <w:sz w:val="22"/>
          <w:szCs w:val="22"/>
        </w:rPr>
        <w:t xml:space="preserve"> </w:t>
      </w:r>
      <w:r w:rsidR="00173752">
        <w:rPr>
          <w:rFonts w:ascii="Palatino Linotype" w:hAnsi="Palatino Linotype" w:cstheme="minorHAnsi"/>
          <w:sz w:val="22"/>
          <w:szCs w:val="22"/>
        </w:rPr>
        <w:t xml:space="preserve">net </w:t>
      </w:r>
      <w:r w:rsidR="009C4B9E" w:rsidRPr="005E0D21">
        <w:rPr>
          <w:rFonts w:ascii="Palatino Linotype" w:hAnsi="Palatino Linotype" w:cstheme="minorHAnsi"/>
          <w:sz w:val="22"/>
          <w:szCs w:val="22"/>
        </w:rPr>
        <w:t>dış ticaretin büyümeye katkısı</w:t>
      </w:r>
      <w:r w:rsidR="00173752">
        <w:rPr>
          <w:rFonts w:ascii="Palatino Linotype" w:hAnsi="Palatino Linotype" w:cstheme="minorHAnsi"/>
          <w:sz w:val="22"/>
          <w:szCs w:val="22"/>
        </w:rPr>
        <w:t xml:space="preserve"> 5,6 yüzde puana düştü</w:t>
      </w:r>
      <w:r w:rsidR="004D1A55" w:rsidRPr="005E0D21">
        <w:rPr>
          <w:rFonts w:ascii="Palatino Linotype" w:hAnsi="Palatino Linotype" w:cstheme="minorHAnsi"/>
          <w:sz w:val="22"/>
          <w:szCs w:val="22"/>
        </w:rPr>
        <w:t xml:space="preserve"> (Tablo 1). Ç</w:t>
      </w:r>
      <w:r w:rsidR="00A94E9C" w:rsidRPr="005E0D21">
        <w:rPr>
          <w:rFonts w:ascii="Palatino Linotype" w:hAnsi="Palatino Linotype" w:cstheme="minorHAnsi"/>
          <w:sz w:val="22"/>
          <w:szCs w:val="22"/>
        </w:rPr>
        <w:t xml:space="preserve">eyrekten çeyreğe </w:t>
      </w:r>
      <w:r w:rsidR="005A3A4D" w:rsidRPr="005E0D21">
        <w:rPr>
          <w:rFonts w:ascii="Palatino Linotype" w:hAnsi="Palatino Linotype" w:cstheme="minorHAnsi"/>
          <w:sz w:val="22"/>
          <w:szCs w:val="22"/>
        </w:rPr>
        <w:t>bakıldığınsa ise ithalat</w:t>
      </w:r>
      <w:r w:rsidR="002655E5">
        <w:rPr>
          <w:rFonts w:ascii="Palatino Linotype" w:hAnsi="Palatino Linotype" w:cstheme="minorHAnsi"/>
          <w:sz w:val="22"/>
          <w:szCs w:val="22"/>
        </w:rPr>
        <w:t>ta</w:t>
      </w:r>
      <w:r w:rsidR="005A3A4D" w:rsidRPr="005E0D21">
        <w:rPr>
          <w:rFonts w:ascii="Palatino Linotype" w:hAnsi="Palatino Linotype" w:cstheme="minorHAnsi"/>
          <w:sz w:val="22"/>
          <w:szCs w:val="22"/>
        </w:rPr>
        <w:t xml:space="preserve"> </w:t>
      </w:r>
      <w:r w:rsidR="009C4B9E" w:rsidRPr="005E0D21">
        <w:rPr>
          <w:rFonts w:ascii="Palatino Linotype" w:hAnsi="Palatino Linotype" w:cstheme="minorHAnsi"/>
          <w:sz w:val="22"/>
          <w:szCs w:val="22"/>
        </w:rPr>
        <w:t xml:space="preserve">yüzde </w:t>
      </w:r>
      <w:r w:rsidR="002655E5">
        <w:rPr>
          <w:rFonts w:ascii="Palatino Linotype" w:hAnsi="Palatino Linotype" w:cstheme="minorHAnsi"/>
          <w:sz w:val="22"/>
          <w:szCs w:val="22"/>
        </w:rPr>
        <w:t>9,2 ile</w:t>
      </w:r>
      <w:r w:rsidR="009C4B9E" w:rsidRPr="005E0D21">
        <w:rPr>
          <w:rFonts w:ascii="Palatino Linotype" w:hAnsi="Palatino Linotype" w:cstheme="minorHAnsi"/>
          <w:sz w:val="22"/>
          <w:szCs w:val="22"/>
        </w:rPr>
        <w:t xml:space="preserve"> </w:t>
      </w:r>
      <w:r w:rsidR="002655E5">
        <w:rPr>
          <w:rFonts w:ascii="Palatino Linotype" w:hAnsi="Palatino Linotype" w:cstheme="minorHAnsi"/>
          <w:sz w:val="22"/>
          <w:szCs w:val="22"/>
        </w:rPr>
        <w:t>güçlü bir</w:t>
      </w:r>
      <w:r w:rsidR="009C4B9E" w:rsidRPr="005E0D21">
        <w:rPr>
          <w:rFonts w:ascii="Palatino Linotype" w:hAnsi="Palatino Linotype" w:cstheme="minorHAnsi"/>
          <w:sz w:val="22"/>
          <w:szCs w:val="22"/>
        </w:rPr>
        <w:t xml:space="preserve"> art</w:t>
      </w:r>
      <w:r w:rsidR="002655E5">
        <w:rPr>
          <w:rFonts w:ascii="Palatino Linotype" w:hAnsi="Palatino Linotype" w:cstheme="minorHAnsi"/>
          <w:sz w:val="22"/>
          <w:szCs w:val="22"/>
        </w:rPr>
        <w:t>ış yaşandığı</w:t>
      </w:r>
      <w:r w:rsidR="009C4B9E" w:rsidRPr="005E0D21">
        <w:rPr>
          <w:rFonts w:ascii="Palatino Linotype" w:hAnsi="Palatino Linotype" w:cstheme="minorHAnsi"/>
          <w:sz w:val="22"/>
          <w:szCs w:val="22"/>
        </w:rPr>
        <w:t xml:space="preserve"> görülüyor </w:t>
      </w:r>
      <w:r w:rsidR="00A94E9C" w:rsidRPr="005E0D21">
        <w:rPr>
          <w:rFonts w:ascii="Palatino Linotype" w:hAnsi="Palatino Linotype" w:cstheme="minorHAnsi"/>
          <w:sz w:val="22"/>
          <w:szCs w:val="22"/>
        </w:rPr>
        <w:t>(Tablo 2).</w:t>
      </w:r>
      <w:r w:rsidR="0064747F" w:rsidRPr="005E0D21">
        <w:rPr>
          <w:rFonts w:ascii="Palatino Linotype" w:hAnsi="Palatino Linotype" w:cstheme="minorHAnsi"/>
          <w:sz w:val="22"/>
          <w:szCs w:val="22"/>
        </w:rPr>
        <w:t xml:space="preserve"> </w:t>
      </w:r>
    </w:p>
    <w:p w14:paraId="2B8DE216" w14:textId="642AB2AC"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5A03D5CA"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E0D21">
        <w:rPr>
          <w:rFonts w:ascii="Palatino Linotype" w:hAnsi="Palatino Linotype" w:cstheme="minorHAnsi"/>
          <w:b/>
          <w:bCs/>
          <w:sz w:val="22"/>
          <w:szCs w:val="22"/>
        </w:rPr>
        <w:t>Kamu harcamaları</w:t>
      </w:r>
      <w:r w:rsidR="00A94E9C" w:rsidRPr="005E0D21">
        <w:rPr>
          <w:rFonts w:ascii="Palatino Linotype" w:hAnsi="Palatino Linotype" w:cstheme="minorHAnsi"/>
          <w:b/>
          <w:bCs/>
          <w:sz w:val="22"/>
          <w:szCs w:val="22"/>
        </w:rPr>
        <w:t xml:space="preserve"> </w:t>
      </w:r>
      <w:r w:rsidR="0048406B">
        <w:rPr>
          <w:rFonts w:ascii="Palatino Linotype" w:hAnsi="Palatino Linotype" w:cstheme="minorHAnsi"/>
          <w:b/>
          <w:bCs/>
          <w:sz w:val="22"/>
          <w:szCs w:val="22"/>
        </w:rPr>
        <w:t>azaldı</w:t>
      </w:r>
    </w:p>
    <w:p w14:paraId="6D5A1000" w14:textId="3F734D35"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2021</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48406B">
        <w:rPr>
          <w:rFonts w:ascii="Palatino Linotype" w:hAnsi="Palatino Linotype" w:cstheme="minorHAnsi"/>
          <w:sz w:val="22"/>
          <w:szCs w:val="22"/>
        </w:rPr>
        <w:t>dördüncü</w:t>
      </w:r>
      <w:r w:rsidR="00A94E9C" w:rsidRPr="005E0D21">
        <w:rPr>
          <w:rFonts w:ascii="Palatino Linotype" w:hAnsi="Palatino Linotype" w:cstheme="minorHAnsi"/>
          <w:sz w:val="22"/>
          <w:szCs w:val="22"/>
        </w:rPr>
        <w:t xml:space="preserve"> çeyreğinde </w:t>
      </w:r>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48406B">
        <w:rPr>
          <w:rFonts w:ascii="Palatino Linotype" w:hAnsi="Palatino Linotype" w:cstheme="minorHAnsi"/>
          <w:sz w:val="22"/>
          <w:szCs w:val="22"/>
        </w:rPr>
        <w:t>1,9 azalarak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48406B">
        <w:rPr>
          <w:rFonts w:ascii="Palatino Linotype" w:hAnsi="Palatino Linotype" w:cstheme="minorHAnsi"/>
          <w:sz w:val="22"/>
          <w:szCs w:val="22"/>
        </w:rPr>
        <w:t>i</w:t>
      </w:r>
      <w:r w:rsidRPr="005E0D21">
        <w:rPr>
          <w:rFonts w:ascii="Palatino Linotype" w:hAnsi="Palatino Linotype" w:cstheme="minorHAnsi"/>
          <w:sz w:val="22"/>
          <w:szCs w:val="22"/>
        </w:rPr>
        <w:t xml:space="preserve"> </w:t>
      </w:r>
      <w:r w:rsidR="0048406B">
        <w:rPr>
          <w:rFonts w:ascii="Palatino Linotype" w:hAnsi="Palatino Linotype" w:cstheme="minorHAnsi"/>
          <w:sz w:val="22"/>
          <w:szCs w:val="22"/>
        </w:rPr>
        <w:t>0</w:t>
      </w:r>
      <w:r w:rsidRPr="005E0D21">
        <w:rPr>
          <w:rFonts w:ascii="Palatino Linotype" w:hAnsi="Palatino Linotype" w:cstheme="minorHAnsi"/>
          <w:sz w:val="22"/>
          <w:szCs w:val="22"/>
        </w:rPr>
        <w:t>,3 yüzde puan</w:t>
      </w:r>
      <w:r w:rsidR="0048406B">
        <w:rPr>
          <w:rFonts w:ascii="Palatino Linotype" w:hAnsi="Palatino Linotype" w:cstheme="minorHAnsi"/>
          <w:sz w:val="22"/>
          <w:szCs w:val="22"/>
        </w:rPr>
        <w:t xml:space="preserve"> aşağı çekti</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Mevsimsellikten</w:t>
      </w:r>
      <w:r w:rsidR="00A94E9C">
        <w:rPr>
          <w:rFonts w:ascii="Palatino Linotype" w:hAnsi="Palatino Linotype" w:cstheme="minorHAnsi"/>
          <w:sz w:val="22"/>
          <w:szCs w:val="22"/>
        </w:rPr>
        <w:t xml:space="preserve"> arındırılmış rakamlarda ise, kamu tüketiminin bir önceki çeyreğe kıyasla yüzde </w:t>
      </w:r>
      <w:r w:rsidR="0048406B">
        <w:rPr>
          <w:rFonts w:ascii="Palatino Linotype" w:hAnsi="Palatino Linotype" w:cstheme="minorHAnsi"/>
          <w:sz w:val="22"/>
          <w:szCs w:val="22"/>
        </w:rPr>
        <w:t>7</w:t>
      </w:r>
      <w:r>
        <w:rPr>
          <w:rFonts w:ascii="Palatino Linotype" w:hAnsi="Palatino Linotype" w:cstheme="minorHAnsi"/>
          <w:sz w:val="22"/>
          <w:szCs w:val="22"/>
        </w:rPr>
        <w:t>,3</w:t>
      </w:r>
      <w:r w:rsidR="00A94E9C">
        <w:rPr>
          <w:rFonts w:ascii="Palatino Linotype" w:hAnsi="Palatino Linotype" w:cstheme="minorHAnsi"/>
          <w:sz w:val="22"/>
          <w:szCs w:val="22"/>
        </w:rPr>
        <w:t xml:space="preserve"> </w:t>
      </w:r>
      <w:r w:rsidR="0048406B">
        <w:rPr>
          <w:rFonts w:ascii="Palatino Linotype" w:hAnsi="Palatino Linotype" w:cstheme="minorHAnsi"/>
          <w:sz w:val="22"/>
          <w:szCs w:val="22"/>
        </w:rPr>
        <w:t>azalarak</w:t>
      </w:r>
      <w:r w:rsidR="00A94E9C">
        <w:rPr>
          <w:rFonts w:ascii="Palatino Linotype" w:hAnsi="Palatino Linotype" w:cstheme="minorHAnsi"/>
          <w:sz w:val="22"/>
          <w:szCs w:val="22"/>
        </w:rPr>
        <w:t xml:space="preserve"> ve büyümeye </w:t>
      </w:r>
      <w:r>
        <w:rPr>
          <w:rFonts w:ascii="Palatino Linotype" w:hAnsi="Palatino Linotype" w:cstheme="minorHAnsi"/>
          <w:sz w:val="22"/>
          <w:szCs w:val="22"/>
        </w:rPr>
        <w:t>1,</w:t>
      </w:r>
      <w:r w:rsidR="0048406B">
        <w:rPr>
          <w:rFonts w:ascii="Palatino Linotype" w:hAnsi="Palatino Linotype" w:cstheme="minorHAnsi"/>
          <w:sz w:val="22"/>
          <w:szCs w:val="22"/>
        </w:rPr>
        <w:t>1</w:t>
      </w:r>
      <w:r w:rsidR="00A94E9C">
        <w:rPr>
          <w:rFonts w:ascii="Palatino Linotype" w:hAnsi="Palatino Linotype" w:cstheme="minorHAnsi"/>
          <w:sz w:val="22"/>
          <w:szCs w:val="22"/>
        </w:rPr>
        <w:t xml:space="preserve"> yüzde puan</w:t>
      </w:r>
      <w:r w:rsidR="00023B97">
        <w:rPr>
          <w:rFonts w:ascii="Palatino Linotype" w:hAnsi="Palatino Linotype" w:cstheme="minorHAnsi"/>
          <w:sz w:val="22"/>
          <w:szCs w:val="22"/>
        </w:rPr>
        <w:t xml:space="preserve"> negatif</w:t>
      </w:r>
      <w:r w:rsidR="00A94E9C">
        <w:rPr>
          <w:rFonts w:ascii="Palatino Linotype" w:hAnsi="Palatino Linotype" w:cstheme="minorHAnsi"/>
          <w:sz w:val="22"/>
          <w:szCs w:val="22"/>
        </w:rPr>
        <w:t xml:space="preserve"> katkı yaptığını </w:t>
      </w:r>
      <w:r w:rsidR="00944ED5">
        <w:rPr>
          <w:rFonts w:ascii="Palatino Linotype" w:hAnsi="Palatino Linotype" w:cstheme="minorHAnsi"/>
          <w:sz w:val="22"/>
          <w:szCs w:val="22"/>
        </w:rPr>
        <w:t>görüyoruz (Tablo 2).</w:t>
      </w:r>
      <w:r w:rsidR="00A94E9C">
        <w:rPr>
          <w:rFonts w:ascii="Palatino Linotype" w:hAnsi="Palatino Linotype" w:cstheme="minorHAnsi"/>
          <w:sz w:val="22"/>
          <w:szCs w:val="22"/>
        </w:rPr>
        <w:t xml:space="preserve"> </w:t>
      </w:r>
    </w:p>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1F364D3A" w14:textId="77777777" w:rsidR="00311EFF" w:rsidRDefault="00311EFF"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72449C03" w14:textId="77777777" w:rsidR="00944ED5" w:rsidRDefault="00944ED5">
      <w:pPr>
        <w:spacing w:after="160" w:line="259" w:lineRule="auto"/>
        <w:rPr>
          <w:rFonts w:ascii="Palatino Linotype" w:hAnsi="Palatino Linotype" w:cstheme="minorHAnsi"/>
          <w:b/>
          <w:bCs/>
          <w:sz w:val="22"/>
          <w:szCs w:val="22"/>
        </w:rPr>
      </w:pPr>
      <w:r>
        <w:rPr>
          <w:rFonts w:ascii="Palatino Linotype" w:hAnsi="Palatino Linotype" w:cstheme="minorHAnsi"/>
          <w:b/>
          <w:bCs/>
          <w:sz w:val="22"/>
          <w:szCs w:val="22"/>
        </w:rPr>
        <w:br w:type="page"/>
      </w: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lastRenderedPageBreak/>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31F5E26F" w:rsidR="00E265D5" w:rsidRDefault="00F0425A" w:rsidP="00513359">
      <w:pPr>
        <w:pStyle w:val="NormalWeb"/>
        <w:spacing w:before="0" w:beforeAutospacing="0" w:after="0" w:afterAutospacing="0" w:line="360" w:lineRule="auto"/>
        <w:ind w:right="77"/>
        <w:jc w:val="both"/>
        <w:rPr>
          <w:rFonts w:ascii="Palatino Linotype" w:hAnsi="Palatino Linotype" w:cstheme="minorHAnsi"/>
          <w:bCs/>
          <w:sz w:val="22"/>
          <w:szCs w:val="22"/>
        </w:rPr>
      </w:pPr>
      <w:r w:rsidRPr="007B1D6E">
        <w:rPr>
          <w:rFonts w:ascii="Palatino Linotype" w:hAnsi="Palatino Linotype" w:cstheme="minorHAnsi"/>
          <w:bCs/>
          <w:sz w:val="22"/>
          <w:szCs w:val="22"/>
        </w:rPr>
        <w:t>Bir önceki büyüme değerlendirme notumuzda ü</w:t>
      </w:r>
      <w:r w:rsidR="003C15C6" w:rsidRPr="007B1D6E">
        <w:rPr>
          <w:rFonts w:ascii="Palatino Linotype" w:hAnsi="Palatino Linotype" w:cstheme="minorHAnsi"/>
          <w:bCs/>
          <w:sz w:val="22"/>
          <w:szCs w:val="22"/>
        </w:rPr>
        <w:t xml:space="preserve">çüncü çeyrek boyunca </w:t>
      </w:r>
      <w:r w:rsidRPr="007B1D6E">
        <w:rPr>
          <w:rFonts w:ascii="Palatino Linotype" w:hAnsi="Palatino Linotype" w:cstheme="minorHAnsi"/>
          <w:bCs/>
          <w:sz w:val="22"/>
          <w:szCs w:val="22"/>
        </w:rPr>
        <w:t xml:space="preserve">döviz </w:t>
      </w:r>
      <w:r w:rsidR="003C15C6" w:rsidRPr="007B1D6E">
        <w:rPr>
          <w:rFonts w:ascii="Palatino Linotype" w:hAnsi="Palatino Linotype" w:cstheme="minorHAnsi"/>
          <w:bCs/>
          <w:sz w:val="22"/>
          <w:szCs w:val="22"/>
        </w:rPr>
        <w:t>kur</w:t>
      </w:r>
      <w:r w:rsidRPr="007B1D6E">
        <w:rPr>
          <w:rFonts w:ascii="Palatino Linotype" w:hAnsi="Palatino Linotype" w:cstheme="minorHAnsi"/>
          <w:bCs/>
          <w:sz w:val="22"/>
          <w:szCs w:val="22"/>
        </w:rPr>
        <w:t>larının</w:t>
      </w:r>
      <w:r w:rsidR="003C15C6" w:rsidRPr="007B1D6E">
        <w:rPr>
          <w:rFonts w:ascii="Palatino Linotype" w:hAnsi="Palatino Linotype" w:cstheme="minorHAnsi"/>
          <w:bCs/>
          <w:sz w:val="22"/>
          <w:szCs w:val="22"/>
        </w:rPr>
        <w:t xml:space="preserve"> görece yatay seyrettiği</w:t>
      </w:r>
      <w:r w:rsidRPr="007B1D6E">
        <w:rPr>
          <w:rFonts w:ascii="Palatino Linotype" w:hAnsi="Palatino Linotype" w:cstheme="minorHAnsi"/>
          <w:bCs/>
          <w:sz w:val="22"/>
          <w:szCs w:val="22"/>
        </w:rPr>
        <w:t>,</w:t>
      </w:r>
      <w:r w:rsidR="003C15C6" w:rsidRPr="007B1D6E">
        <w:rPr>
          <w:rFonts w:ascii="Palatino Linotype" w:hAnsi="Palatino Linotype" w:cstheme="minorHAnsi"/>
          <w:bCs/>
          <w:sz w:val="22"/>
          <w:szCs w:val="22"/>
        </w:rPr>
        <w:t xml:space="preserve"> asıl artış</w:t>
      </w:r>
      <w:r w:rsidRPr="007B1D6E">
        <w:rPr>
          <w:rFonts w:ascii="Palatino Linotype" w:hAnsi="Palatino Linotype" w:cstheme="minorHAnsi"/>
          <w:bCs/>
          <w:sz w:val="22"/>
          <w:szCs w:val="22"/>
        </w:rPr>
        <w:t>lar</w:t>
      </w:r>
      <w:r w:rsidR="003C15C6" w:rsidRPr="007B1D6E">
        <w:rPr>
          <w:rFonts w:ascii="Palatino Linotype" w:hAnsi="Palatino Linotype" w:cstheme="minorHAnsi"/>
          <w:bCs/>
          <w:sz w:val="22"/>
          <w:szCs w:val="22"/>
        </w:rPr>
        <w:t xml:space="preserve"> </w:t>
      </w:r>
      <w:r w:rsidRPr="007B1D6E">
        <w:rPr>
          <w:rFonts w:ascii="Palatino Linotype" w:hAnsi="Palatino Linotype" w:cstheme="minorHAnsi"/>
          <w:bCs/>
          <w:sz w:val="22"/>
          <w:szCs w:val="22"/>
        </w:rPr>
        <w:t xml:space="preserve">dördüncü çeyrekte </w:t>
      </w:r>
      <w:r w:rsidR="003C15C6" w:rsidRPr="007B1D6E">
        <w:rPr>
          <w:rFonts w:ascii="Palatino Linotype" w:hAnsi="Palatino Linotype" w:cstheme="minorHAnsi"/>
          <w:bCs/>
          <w:sz w:val="22"/>
          <w:szCs w:val="22"/>
        </w:rPr>
        <w:t xml:space="preserve">gerçekleştiği </w:t>
      </w:r>
      <w:r w:rsidRPr="007B1D6E">
        <w:rPr>
          <w:rFonts w:ascii="Palatino Linotype" w:hAnsi="Palatino Linotype" w:cstheme="minorHAnsi"/>
          <w:bCs/>
          <w:sz w:val="22"/>
          <w:szCs w:val="22"/>
        </w:rPr>
        <w:t>için</w:t>
      </w:r>
      <w:r w:rsidR="003C15C6" w:rsidRPr="007B1D6E">
        <w:rPr>
          <w:rFonts w:ascii="Palatino Linotype" w:hAnsi="Palatino Linotype" w:cstheme="minorHAnsi"/>
          <w:bCs/>
          <w:sz w:val="22"/>
          <w:szCs w:val="22"/>
        </w:rPr>
        <w:t xml:space="preserve"> net dış ticaretin büyümeye katkısının son çeyrekte daha da güçlü ol</w:t>
      </w:r>
      <w:r w:rsidRPr="007B1D6E">
        <w:rPr>
          <w:rFonts w:ascii="Palatino Linotype" w:hAnsi="Palatino Linotype" w:cstheme="minorHAnsi"/>
          <w:bCs/>
          <w:sz w:val="22"/>
          <w:szCs w:val="22"/>
        </w:rPr>
        <w:t xml:space="preserve">masını beklediğimiz belirtmiştik. Nitekim mevsim ve takvim etkilerinden arındırılmış veriler bu beklentiyle uyumlu bir seyir gösterdi. </w:t>
      </w:r>
      <w:bookmarkStart w:id="10" w:name="_GoBack"/>
      <w:bookmarkEnd w:id="10"/>
      <w:r w:rsidR="007B1D6E" w:rsidRPr="007B1D6E">
        <w:rPr>
          <w:rFonts w:ascii="Palatino Linotype" w:hAnsi="Palatino Linotype" w:cstheme="minorHAnsi"/>
          <w:bCs/>
          <w:sz w:val="22"/>
          <w:szCs w:val="22"/>
        </w:rPr>
        <w:t>Döviz kurları bu seviyelerde kaldığı sürece TL’nin diğer para birimlerine karşı aşırı değersiz olacağı ve bu sebeple de net</w:t>
      </w:r>
      <w:r w:rsidR="00F11E6D" w:rsidRPr="007B1D6E">
        <w:rPr>
          <w:rFonts w:ascii="Palatino Linotype" w:hAnsi="Palatino Linotype" w:cstheme="minorHAnsi"/>
          <w:bCs/>
          <w:sz w:val="22"/>
          <w:szCs w:val="22"/>
        </w:rPr>
        <w:t xml:space="preserve"> dış ticaretin büyümeyi yukarı çeken bir faktör olacağı</w:t>
      </w:r>
      <w:r w:rsidR="007B1D6E" w:rsidRPr="007B1D6E">
        <w:rPr>
          <w:rFonts w:ascii="Palatino Linotype" w:hAnsi="Palatino Linotype" w:cstheme="minorHAnsi"/>
          <w:bCs/>
          <w:sz w:val="22"/>
          <w:szCs w:val="22"/>
        </w:rPr>
        <w:t xml:space="preserve">nı söyleyebiliriz. </w:t>
      </w:r>
      <w:r w:rsidR="00F11E6D" w:rsidRPr="007B1D6E">
        <w:rPr>
          <w:rFonts w:ascii="Palatino Linotype" w:hAnsi="Palatino Linotype" w:cstheme="minorHAnsi"/>
          <w:bCs/>
          <w:sz w:val="22"/>
          <w:szCs w:val="22"/>
        </w:rPr>
        <w:t xml:space="preserve"> </w:t>
      </w:r>
      <w:r w:rsidR="007B1D6E" w:rsidRPr="007B1D6E">
        <w:rPr>
          <w:rFonts w:ascii="Palatino Linotype" w:hAnsi="Palatino Linotype" w:cstheme="minorHAnsi"/>
          <w:bCs/>
          <w:sz w:val="22"/>
          <w:szCs w:val="22"/>
        </w:rPr>
        <w:t xml:space="preserve">Yine bir önceki notumuzda artmaya devam eden </w:t>
      </w:r>
      <w:r w:rsidR="003C15C6" w:rsidRPr="007B1D6E">
        <w:rPr>
          <w:rFonts w:ascii="Palatino Linotype" w:hAnsi="Palatino Linotype" w:cstheme="minorHAnsi"/>
          <w:bCs/>
          <w:sz w:val="22"/>
          <w:szCs w:val="22"/>
        </w:rPr>
        <w:t>enflasyon ve piyasa faizler</w:t>
      </w:r>
      <w:r w:rsidR="00F11E6D" w:rsidRPr="007B1D6E">
        <w:rPr>
          <w:rFonts w:ascii="Palatino Linotype" w:hAnsi="Palatino Linotype" w:cstheme="minorHAnsi"/>
          <w:bCs/>
          <w:sz w:val="22"/>
          <w:szCs w:val="22"/>
        </w:rPr>
        <w:t>i</w:t>
      </w:r>
      <w:r w:rsidR="003C15C6" w:rsidRPr="007B1D6E">
        <w:rPr>
          <w:rFonts w:ascii="Palatino Linotype" w:hAnsi="Palatino Linotype" w:cstheme="minorHAnsi"/>
          <w:bCs/>
          <w:sz w:val="22"/>
          <w:szCs w:val="22"/>
        </w:rPr>
        <w:t xml:space="preserve"> ile bozulan beklentilerin de büyüme</w:t>
      </w:r>
      <w:r w:rsidR="007B1D6E" w:rsidRPr="007B1D6E">
        <w:rPr>
          <w:rFonts w:ascii="Palatino Linotype" w:hAnsi="Palatino Linotype" w:cstheme="minorHAnsi"/>
          <w:bCs/>
          <w:sz w:val="22"/>
          <w:szCs w:val="22"/>
        </w:rPr>
        <w:t>y</w:t>
      </w:r>
      <w:r w:rsidR="003C15C6" w:rsidRPr="007B1D6E">
        <w:rPr>
          <w:rFonts w:ascii="Palatino Linotype" w:hAnsi="Palatino Linotype" w:cstheme="minorHAnsi"/>
          <w:bCs/>
          <w:sz w:val="22"/>
          <w:szCs w:val="22"/>
        </w:rPr>
        <w:t xml:space="preserve">i </w:t>
      </w:r>
      <w:r w:rsidR="007D4168" w:rsidRPr="007B1D6E">
        <w:rPr>
          <w:rFonts w:ascii="Palatino Linotype" w:hAnsi="Palatino Linotype" w:cstheme="minorHAnsi"/>
          <w:bCs/>
          <w:sz w:val="22"/>
          <w:szCs w:val="22"/>
        </w:rPr>
        <w:t xml:space="preserve">özellikle yatırımlar üzerinden </w:t>
      </w:r>
      <w:r w:rsidR="003C15C6" w:rsidRPr="007B1D6E">
        <w:rPr>
          <w:rFonts w:ascii="Palatino Linotype" w:hAnsi="Palatino Linotype" w:cstheme="minorHAnsi"/>
          <w:bCs/>
          <w:sz w:val="22"/>
          <w:szCs w:val="22"/>
        </w:rPr>
        <w:t>aşağı çek</w:t>
      </w:r>
      <w:r w:rsidR="007B1D6E" w:rsidRPr="007B1D6E">
        <w:rPr>
          <w:rFonts w:ascii="Palatino Linotype" w:hAnsi="Palatino Linotype" w:cstheme="minorHAnsi"/>
          <w:bCs/>
          <w:sz w:val="22"/>
          <w:szCs w:val="22"/>
        </w:rPr>
        <w:t xml:space="preserve">mesini beklediğimizi belirtmiştik. Mevsim ve takvim etkilerinden arındırılmış dördüncü çeyrek rakamları bu beklentimizi doğruluyor. Yakın dönem büyüme hikayesi birbiri ile rekabet eden bu iki faktörden hangisinin baskın geleceği ile belirlenecek diyebiliriz. </w:t>
      </w:r>
    </w:p>
    <w:p w14:paraId="12200A18" w14:textId="77777777" w:rsidR="00513359" w:rsidRP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0350F13A" w:rsidR="0001081A" w:rsidRDefault="0095536D"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lang w:val="en-GB" w:eastAsia="en-GB"/>
        </w:rPr>
        <w:drawing>
          <wp:inline distT="0" distB="0" distL="0" distR="0" wp14:anchorId="5342FF42" wp14:editId="6BA9B5F0">
            <wp:extent cx="5719353" cy="3326400"/>
            <wp:effectExtent l="0" t="0" r="15240" b="7620"/>
            <wp:docPr id="7" name="Chart 7">
              <a:extLst xmlns:a="http://schemas.openxmlformats.org/drawingml/2006/main">
                <a:ext uri="{FF2B5EF4-FFF2-40B4-BE49-F238E27FC236}">
                  <a16:creationId xmlns:a16="http://schemas.microsoft.com/office/drawing/2014/main" id="{F7EE9F57-C77A-4FB4-9702-3089968EC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4B27" w14:textId="77777777" w:rsidR="003864E6" w:rsidRDefault="003864E6" w:rsidP="00DA0C5D">
      <w:r>
        <w:separator/>
      </w:r>
    </w:p>
  </w:endnote>
  <w:endnote w:type="continuationSeparator" w:id="0">
    <w:p w14:paraId="42FA6D44" w14:textId="77777777" w:rsidR="003864E6" w:rsidRDefault="003864E6"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BB7E" w14:textId="77777777" w:rsidR="003864E6" w:rsidRDefault="003864E6" w:rsidP="00DA0C5D">
      <w:r>
        <w:separator/>
      </w:r>
    </w:p>
  </w:footnote>
  <w:footnote w:type="continuationSeparator" w:id="0">
    <w:p w14:paraId="207DCAC3" w14:textId="77777777" w:rsidR="003864E6" w:rsidRDefault="003864E6"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39F7BC74"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715A66">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45844E10" w:rsidR="00494926" w:rsidRPr="00E22DFD" w:rsidRDefault="00494926">
      <w:pPr>
        <w:pStyle w:val="FootnoteText"/>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6" w:name="OLE_LINK3"/>
      <w:bookmarkStart w:id="7" w:name="OLE_LINK4"/>
      <w:r w:rsidRPr="00E22DFD">
        <w:rPr>
          <w:rFonts w:ascii="Palatino Linotype" w:hAnsi="Palatino Linotype"/>
          <w:sz w:val="18"/>
          <w:szCs w:val="18"/>
        </w:rPr>
        <w:t>Betam Araştırma Notu 17/217</w:t>
      </w:r>
      <w:bookmarkEnd w:id="6"/>
      <w:bookmarkEnd w:id="7"/>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rgUAxT2duywAAAA="/>
  </w:docVars>
  <w:rsids>
    <w:rsidRoot w:val="00D07713"/>
    <w:rsid w:val="0000013E"/>
    <w:rsid w:val="0000228F"/>
    <w:rsid w:val="00007C3F"/>
    <w:rsid w:val="0001081A"/>
    <w:rsid w:val="0001392F"/>
    <w:rsid w:val="000141C7"/>
    <w:rsid w:val="00017B51"/>
    <w:rsid w:val="00023B97"/>
    <w:rsid w:val="0002466A"/>
    <w:rsid w:val="00030A2C"/>
    <w:rsid w:val="00036770"/>
    <w:rsid w:val="000404B3"/>
    <w:rsid w:val="00041FB7"/>
    <w:rsid w:val="0004390D"/>
    <w:rsid w:val="00044AF3"/>
    <w:rsid w:val="00044D9E"/>
    <w:rsid w:val="0004588B"/>
    <w:rsid w:val="0005290F"/>
    <w:rsid w:val="000529F2"/>
    <w:rsid w:val="00052B86"/>
    <w:rsid w:val="00054943"/>
    <w:rsid w:val="00055EA1"/>
    <w:rsid w:val="000561F7"/>
    <w:rsid w:val="00057F8E"/>
    <w:rsid w:val="00062A8A"/>
    <w:rsid w:val="000652B6"/>
    <w:rsid w:val="00070018"/>
    <w:rsid w:val="000725DB"/>
    <w:rsid w:val="00073415"/>
    <w:rsid w:val="000753CE"/>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1672"/>
    <w:rsid w:val="000C5C80"/>
    <w:rsid w:val="000C634D"/>
    <w:rsid w:val="000D5974"/>
    <w:rsid w:val="000D5FD3"/>
    <w:rsid w:val="000D6E6C"/>
    <w:rsid w:val="000D70D1"/>
    <w:rsid w:val="000E2388"/>
    <w:rsid w:val="000E3436"/>
    <w:rsid w:val="000E445D"/>
    <w:rsid w:val="000F0B6B"/>
    <w:rsid w:val="000F2C7A"/>
    <w:rsid w:val="000F378E"/>
    <w:rsid w:val="000F6529"/>
    <w:rsid w:val="000F75B9"/>
    <w:rsid w:val="001004FF"/>
    <w:rsid w:val="0010209C"/>
    <w:rsid w:val="00111CED"/>
    <w:rsid w:val="0011613D"/>
    <w:rsid w:val="001239F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3752"/>
    <w:rsid w:val="00173CB3"/>
    <w:rsid w:val="001744CD"/>
    <w:rsid w:val="00177002"/>
    <w:rsid w:val="001777A4"/>
    <w:rsid w:val="00183AFA"/>
    <w:rsid w:val="00184174"/>
    <w:rsid w:val="00184B02"/>
    <w:rsid w:val="001851FE"/>
    <w:rsid w:val="001855BC"/>
    <w:rsid w:val="001866FC"/>
    <w:rsid w:val="00190944"/>
    <w:rsid w:val="00194FF2"/>
    <w:rsid w:val="001978A0"/>
    <w:rsid w:val="001A080D"/>
    <w:rsid w:val="001A42FF"/>
    <w:rsid w:val="001A5699"/>
    <w:rsid w:val="001B371C"/>
    <w:rsid w:val="001B3A44"/>
    <w:rsid w:val="001B584B"/>
    <w:rsid w:val="001C2763"/>
    <w:rsid w:val="001C2C68"/>
    <w:rsid w:val="001C566F"/>
    <w:rsid w:val="001C65BF"/>
    <w:rsid w:val="001C7370"/>
    <w:rsid w:val="001D0150"/>
    <w:rsid w:val="001D2107"/>
    <w:rsid w:val="001D36E7"/>
    <w:rsid w:val="001D37D1"/>
    <w:rsid w:val="001D420E"/>
    <w:rsid w:val="001D5B02"/>
    <w:rsid w:val="001D6465"/>
    <w:rsid w:val="001D7073"/>
    <w:rsid w:val="001D7513"/>
    <w:rsid w:val="001E181B"/>
    <w:rsid w:val="001E2E49"/>
    <w:rsid w:val="001E495B"/>
    <w:rsid w:val="001E514D"/>
    <w:rsid w:val="001E7126"/>
    <w:rsid w:val="001E72E4"/>
    <w:rsid w:val="001F12E3"/>
    <w:rsid w:val="001F1554"/>
    <w:rsid w:val="001F1CCF"/>
    <w:rsid w:val="001F2DE9"/>
    <w:rsid w:val="001F4E3D"/>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2C10"/>
    <w:rsid w:val="00244CF8"/>
    <w:rsid w:val="00247A3C"/>
    <w:rsid w:val="0025111C"/>
    <w:rsid w:val="00253E19"/>
    <w:rsid w:val="002561CB"/>
    <w:rsid w:val="00265553"/>
    <w:rsid w:val="002655E5"/>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20F3"/>
    <w:rsid w:val="002A7C37"/>
    <w:rsid w:val="002B2172"/>
    <w:rsid w:val="002B2A1B"/>
    <w:rsid w:val="002B3C10"/>
    <w:rsid w:val="002B4A1A"/>
    <w:rsid w:val="002C00A1"/>
    <w:rsid w:val="002C4CC7"/>
    <w:rsid w:val="002C4E2F"/>
    <w:rsid w:val="002C5C24"/>
    <w:rsid w:val="002C64BB"/>
    <w:rsid w:val="002D0F16"/>
    <w:rsid w:val="002D1797"/>
    <w:rsid w:val="002D4D2D"/>
    <w:rsid w:val="002F2245"/>
    <w:rsid w:val="002F26B4"/>
    <w:rsid w:val="002F2D70"/>
    <w:rsid w:val="002F3163"/>
    <w:rsid w:val="002F63B2"/>
    <w:rsid w:val="00302EDD"/>
    <w:rsid w:val="003061DC"/>
    <w:rsid w:val="003079ED"/>
    <w:rsid w:val="00310C5C"/>
    <w:rsid w:val="00311EFF"/>
    <w:rsid w:val="003142E3"/>
    <w:rsid w:val="003172DB"/>
    <w:rsid w:val="0032176F"/>
    <w:rsid w:val="00321D78"/>
    <w:rsid w:val="0032280F"/>
    <w:rsid w:val="0032324A"/>
    <w:rsid w:val="00324C51"/>
    <w:rsid w:val="00326195"/>
    <w:rsid w:val="00326678"/>
    <w:rsid w:val="00327CFB"/>
    <w:rsid w:val="00334E27"/>
    <w:rsid w:val="0033649B"/>
    <w:rsid w:val="00344A74"/>
    <w:rsid w:val="00351F12"/>
    <w:rsid w:val="00362359"/>
    <w:rsid w:val="00364AAB"/>
    <w:rsid w:val="00370A07"/>
    <w:rsid w:val="00370FEE"/>
    <w:rsid w:val="00375EB0"/>
    <w:rsid w:val="003771C7"/>
    <w:rsid w:val="003777B5"/>
    <w:rsid w:val="00377868"/>
    <w:rsid w:val="00385A29"/>
    <w:rsid w:val="00385C7B"/>
    <w:rsid w:val="003864E6"/>
    <w:rsid w:val="003967B5"/>
    <w:rsid w:val="003A488B"/>
    <w:rsid w:val="003A4C32"/>
    <w:rsid w:val="003A5499"/>
    <w:rsid w:val="003A7596"/>
    <w:rsid w:val="003B2008"/>
    <w:rsid w:val="003B2D0B"/>
    <w:rsid w:val="003B42D2"/>
    <w:rsid w:val="003C15C6"/>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6A4B"/>
    <w:rsid w:val="00417F6E"/>
    <w:rsid w:val="00424382"/>
    <w:rsid w:val="00431236"/>
    <w:rsid w:val="00431C38"/>
    <w:rsid w:val="00433A75"/>
    <w:rsid w:val="004426B4"/>
    <w:rsid w:val="004435E3"/>
    <w:rsid w:val="00443C08"/>
    <w:rsid w:val="00443D50"/>
    <w:rsid w:val="00447743"/>
    <w:rsid w:val="00450CEA"/>
    <w:rsid w:val="00451A8A"/>
    <w:rsid w:val="004623F2"/>
    <w:rsid w:val="004647F0"/>
    <w:rsid w:val="00476131"/>
    <w:rsid w:val="00476E22"/>
    <w:rsid w:val="00477AED"/>
    <w:rsid w:val="00480684"/>
    <w:rsid w:val="00483EC5"/>
    <w:rsid w:val="0048406B"/>
    <w:rsid w:val="0048730C"/>
    <w:rsid w:val="0048774D"/>
    <w:rsid w:val="00490AAE"/>
    <w:rsid w:val="00492020"/>
    <w:rsid w:val="004931A5"/>
    <w:rsid w:val="00494926"/>
    <w:rsid w:val="004950F8"/>
    <w:rsid w:val="004B0D97"/>
    <w:rsid w:val="004B130D"/>
    <w:rsid w:val="004B6E05"/>
    <w:rsid w:val="004B7166"/>
    <w:rsid w:val="004C548E"/>
    <w:rsid w:val="004D1A55"/>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37BE1"/>
    <w:rsid w:val="0054145E"/>
    <w:rsid w:val="00542345"/>
    <w:rsid w:val="005438B0"/>
    <w:rsid w:val="00544773"/>
    <w:rsid w:val="005600E7"/>
    <w:rsid w:val="00560CD9"/>
    <w:rsid w:val="00570C1B"/>
    <w:rsid w:val="00572FD8"/>
    <w:rsid w:val="005748A8"/>
    <w:rsid w:val="005824BD"/>
    <w:rsid w:val="0058588C"/>
    <w:rsid w:val="00586424"/>
    <w:rsid w:val="005A2246"/>
    <w:rsid w:val="005A3A4D"/>
    <w:rsid w:val="005A3B33"/>
    <w:rsid w:val="005A617F"/>
    <w:rsid w:val="005B35F3"/>
    <w:rsid w:val="005B67B3"/>
    <w:rsid w:val="005C00FE"/>
    <w:rsid w:val="005C08B0"/>
    <w:rsid w:val="005C51D9"/>
    <w:rsid w:val="005C6245"/>
    <w:rsid w:val="005D00FB"/>
    <w:rsid w:val="005D27F8"/>
    <w:rsid w:val="005D2979"/>
    <w:rsid w:val="005D3C96"/>
    <w:rsid w:val="005D4126"/>
    <w:rsid w:val="005D72F5"/>
    <w:rsid w:val="005D7F3E"/>
    <w:rsid w:val="005E0D21"/>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6879"/>
    <w:rsid w:val="00647318"/>
    <w:rsid w:val="0064747F"/>
    <w:rsid w:val="00647792"/>
    <w:rsid w:val="00650BB3"/>
    <w:rsid w:val="006549E3"/>
    <w:rsid w:val="00655938"/>
    <w:rsid w:val="00655B95"/>
    <w:rsid w:val="00657B23"/>
    <w:rsid w:val="0067008D"/>
    <w:rsid w:val="0067066F"/>
    <w:rsid w:val="006761BB"/>
    <w:rsid w:val="0067693E"/>
    <w:rsid w:val="00680AE4"/>
    <w:rsid w:val="00680E36"/>
    <w:rsid w:val="00681022"/>
    <w:rsid w:val="006813D8"/>
    <w:rsid w:val="00681AD9"/>
    <w:rsid w:val="00693FB8"/>
    <w:rsid w:val="00694B4D"/>
    <w:rsid w:val="00694F52"/>
    <w:rsid w:val="00695471"/>
    <w:rsid w:val="006A201E"/>
    <w:rsid w:val="006A308B"/>
    <w:rsid w:val="006B0633"/>
    <w:rsid w:val="006C122C"/>
    <w:rsid w:val="006C1ABC"/>
    <w:rsid w:val="006C3EE6"/>
    <w:rsid w:val="006C49A7"/>
    <w:rsid w:val="006D02FD"/>
    <w:rsid w:val="006D1DD6"/>
    <w:rsid w:val="006D32A0"/>
    <w:rsid w:val="006E07BA"/>
    <w:rsid w:val="006E09D6"/>
    <w:rsid w:val="006F0FC6"/>
    <w:rsid w:val="006F1912"/>
    <w:rsid w:val="006F2CD8"/>
    <w:rsid w:val="006F49E7"/>
    <w:rsid w:val="006F5E82"/>
    <w:rsid w:val="006F615A"/>
    <w:rsid w:val="007011B6"/>
    <w:rsid w:val="007014CD"/>
    <w:rsid w:val="0070188F"/>
    <w:rsid w:val="00707FBD"/>
    <w:rsid w:val="00711A8A"/>
    <w:rsid w:val="007135FC"/>
    <w:rsid w:val="00715A66"/>
    <w:rsid w:val="007201BD"/>
    <w:rsid w:val="00720250"/>
    <w:rsid w:val="007224AF"/>
    <w:rsid w:val="00724E7C"/>
    <w:rsid w:val="00731521"/>
    <w:rsid w:val="0074205B"/>
    <w:rsid w:val="0075142F"/>
    <w:rsid w:val="00751F72"/>
    <w:rsid w:val="00761711"/>
    <w:rsid w:val="0076407C"/>
    <w:rsid w:val="00765445"/>
    <w:rsid w:val="0077111C"/>
    <w:rsid w:val="007715F2"/>
    <w:rsid w:val="0077267F"/>
    <w:rsid w:val="00773A17"/>
    <w:rsid w:val="00773D8B"/>
    <w:rsid w:val="00775CAF"/>
    <w:rsid w:val="00776789"/>
    <w:rsid w:val="00777AEF"/>
    <w:rsid w:val="00783CD4"/>
    <w:rsid w:val="0079216E"/>
    <w:rsid w:val="00792837"/>
    <w:rsid w:val="00792F4E"/>
    <w:rsid w:val="00797437"/>
    <w:rsid w:val="007A0DBE"/>
    <w:rsid w:val="007A1767"/>
    <w:rsid w:val="007A5FB1"/>
    <w:rsid w:val="007B1D6E"/>
    <w:rsid w:val="007B3FC0"/>
    <w:rsid w:val="007B5A28"/>
    <w:rsid w:val="007B70AD"/>
    <w:rsid w:val="007C1995"/>
    <w:rsid w:val="007C462A"/>
    <w:rsid w:val="007D4168"/>
    <w:rsid w:val="007D4953"/>
    <w:rsid w:val="007F13F2"/>
    <w:rsid w:val="007F39BB"/>
    <w:rsid w:val="007F3B7C"/>
    <w:rsid w:val="007F3C9B"/>
    <w:rsid w:val="008063E6"/>
    <w:rsid w:val="00806989"/>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05DA"/>
    <w:rsid w:val="008549A0"/>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949E0"/>
    <w:rsid w:val="008A3BD9"/>
    <w:rsid w:val="008B0385"/>
    <w:rsid w:val="008B29F8"/>
    <w:rsid w:val="008B6FC3"/>
    <w:rsid w:val="008C51CA"/>
    <w:rsid w:val="008C56F9"/>
    <w:rsid w:val="008C70C5"/>
    <w:rsid w:val="008C73E6"/>
    <w:rsid w:val="008D7AA2"/>
    <w:rsid w:val="008E4870"/>
    <w:rsid w:val="008F1741"/>
    <w:rsid w:val="008F2BCD"/>
    <w:rsid w:val="00912A8A"/>
    <w:rsid w:val="00914D26"/>
    <w:rsid w:val="00916142"/>
    <w:rsid w:val="0091617E"/>
    <w:rsid w:val="00916533"/>
    <w:rsid w:val="00916C78"/>
    <w:rsid w:val="00917330"/>
    <w:rsid w:val="009204AA"/>
    <w:rsid w:val="00920DA2"/>
    <w:rsid w:val="0092349F"/>
    <w:rsid w:val="009247BA"/>
    <w:rsid w:val="00924CD9"/>
    <w:rsid w:val="00927D28"/>
    <w:rsid w:val="00935D6E"/>
    <w:rsid w:val="00936595"/>
    <w:rsid w:val="009400E0"/>
    <w:rsid w:val="00940150"/>
    <w:rsid w:val="00940DA9"/>
    <w:rsid w:val="0094295F"/>
    <w:rsid w:val="00944ED5"/>
    <w:rsid w:val="009455F2"/>
    <w:rsid w:val="00945950"/>
    <w:rsid w:val="0095529F"/>
    <w:rsid w:val="0095536D"/>
    <w:rsid w:val="00955DC8"/>
    <w:rsid w:val="00955E90"/>
    <w:rsid w:val="00957FE5"/>
    <w:rsid w:val="00961F5B"/>
    <w:rsid w:val="00963B04"/>
    <w:rsid w:val="009663D6"/>
    <w:rsid w:val="00967571"/>
    <w:rsid w:val="0097116F"/>
    <w:rsid w:val="00982B22"/>
    <w:rsid w:val="0098310A"/>
    <w:rsid w:val="00983612"/>
    <w:rsid w:val="0098616F"/>
    <w:rsid w:val="00990E34"/>
    <w:rsid w:val="00996151"/>
    <w:rsid w:val="00996EBD"/>
    <w:rsid w:val="00997694"/>
    <w:rsid w:val="00997713"/>
    <w:rsid w:val="00997C54"/>
    <w:rsid w:val="009A3D0F"/>
    <w:rsid w:val="009A71AF"/>
    <w:rsid w:val="009B1546"/>
    <w:rsid w:val="009B16AD"/>
    <w:rsid w:val="009B2E56"/>
    <w:rsid w:val="009B3197"/>
    <w:rsid w:val="009B385A"/>
    <w:rsid w:val="009B651F"/>
    <w:rsid w:val="009C40EF"/>
    <w:rsid w:val="009C4B9E"/>
    <w:rsid w:val="009C66C3"/>
    <w:rsid w:val="009D62AC"/>
    <w:rsid w:val="009D71BF"/>
    <w:rsid w:val="009E0348"/>
    <w:rsid w:val="009E25DA"/>
    <w:rsid w:val="009E4A1F"/>
    <w:rsid w:val="009E5241"/>
    <w:rsid w:val="009E68C6"/>
    <w:rsid w:val="009F23C4"/>
    <w:rsid w:val="009F2483"/>
    <w:rsid w:val="009F42CC"/>
    <w:rsid w:val="009F603E"/>
    <w:rsid w:val="00A0130D"/>
    <w:rsid w:val="00A03316"/>
    <w:rsid w:val="00A0483D"/>
    <w:rsid w:val="00A04EFA"/>
    <w:rsid w:val="00A06A3E"/>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94E9C"/>
    <w:rsid w:val="00AA1706"/>
    <w:rsid w:val="00AA678E"/>
    <w:rsid w:val="00AB1006"/>
    <w:rsid w:val="00AB36F7"/>
    <w:rsid w:val="00AC2B3D"/>
    <w:rsid w:val="00AC59ED"/>
    <w:rsid w:val="00AD01B6"/>
    <w:rsid w:val="00AD7ADC"/>
    <w:rsid w:val="00AE59EE"/>
    <w:rsid w:val="00AF2318"/>
    <w:rsid w:val="00AF3D11"/>
    <w:rsid w:val="00B01508"/>
    <w:rsid w:val="00B01533"/>
    <w:rsid w:val="00B02076"/>
    <w:rsid w:val="00B02D74"/>
    <w:rsid w:val="00B119E3"/>
    <w:rsid w:val="00B17241"/>
    <w:rsid w:val="00B17B6A"/>
    <w:rsid w:val="00B24D13"/>
    <w:rsid w:val="00B25D14"/>
    <w:rsid w:val="00B27C9F"/>
    <w:rsid w:val="00B31727"/>
    <w:rsid w:val="00B31FC9"/>
    <w:rsid w:val="00B34132"/>
    <w:rsid w:val="00B35FDB"/>
    <w:rsid w:val="00B366B7"/>
    <w:rsid w:val="00B36BFA"/>
    <w:rsid w:val="00B45DFF"/>
    <w:rsid w:val="00B4685F"/>
    <w:rsid w:val="00B56D03"/>
    <w:rsid w:val="00B606FC"/>
    <w:rsid w:val="00B62037"/>
    <w:rsid w:val="00B703DE"/>
    <w:rsid w:val="00B76782"/>
    <w:rsid w:val="00B82B92"/>
    <w:rsid w:val="00B9319A"/>
    <w:rsid w:val="00B95E66"/>
    <w:rsid w:val="00BA3C62"/>
    <w:rsid w:val="00BA5FF0"/>
    <w:rsid w:val="00BA7E44"/>
    <w:rsid w:val="00BB05D5"/>
    <w:rsid w:val="00BB0912"/>
    <w:rsid w:val="00BB27EB"/>
    <w:rsid w:val="00BB3448"/>
    <w:rsid w:val="00BB3FE6"/>
    <w:rsid w:val="00BB5725"/>
    <w:rsid w:val="00BC1EF8"/>
    <w:rsid w:val="00BC42E1"/>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167CC"/>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D2C46"/>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8482B"/>
    <w:rsid w:val="00D90931"/>
    <w:rsid w:val="00D92A1A"/>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C2C8D"/>
    <w:rsid w:val="00DC2DF9"/>
    <w:rsid w:val="00DD1374"/>
    <w:rsid w:val="00DD2D75"/>
    <w:rsid w:val="00DD4D85"/>
    <w:rsid w:val="00DE57B8"/>
    <w:rsid w:val="00DF08BD"/>
    <w:rsid w:val="00DF1057"/>
    <w:rsid w:val="00DF44DE"/>
    <w:rsid w:val="00E04EFE"/>
    <w:rsid w:val="00E05DE7"/>
    <w:rsid w:val="00E0602A"/>
    <w:rsid w:val="00E109EA"/>
    <w:rsid w:val="00E122C5"/>
    <w:rsid w:val="00E17CED"/>
    <w:rsid w:val="00E21E9E"/>
    <w:rsid w:val="00E2254F"/>
    <w:rsid w:val="00E22DFD"/>
    <w:rsid w:val="00E23E54"/>
    <w:rsid w:val="00E24D8F"/>
    <w:rsid w:val="00E25A25"/>
    <w:rsid w:val="00E265D5"/>
    <w:rsid w:val="00E27199"/>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272A"/>
    <w:rsid w:val="00E750CC"/>
    <w:rsid w:val="00E77CAA"/>
    <w:rsid w:val="00E82940"/>
    <w:rsid w:val="00E83A84"/>
    <w:rsid w:val="00E85F3F"/>
    <w:rsid w:val="00EA0452"/>
    <w:rsid w:val="00EA0ED2"/>
    <w:rsid w:val="00EA7527"/>
    <w:rsid w:val="00EB2C83"/>
    <w:rsid w:val="00EB3A96"/>
    <w:rsid w:val="00EB476F"/>
    <w:rsid w:val="00EB52B3"/>
    <w:rsid w:val="00EC136E"/>
    <w:rsid w:val="00EC2814"/>
    <w:rsid w:val="00EC37CB"/>
    <w:rsid w:val="00ED0762"/>
    <w:rsid w:val="00ED266F"/>
    <w:rsid w:val="00ED5E21"/>
    <w:rsid w:val="00ED7C53"/>
    <w:rsid w:val="00EE0633"/>
    <w:rsid w:val="00EE150B"/>
    <w:rsid w:val="00EE1BE5"/>
    <w:rsid w:val="00EE4795"/>
    <w:rsid w:val="00EF09A7"/>
    <w:rsid w:val="00EF1E78"/>
    <w:rsid w:val="00EF29EC"/>
    <w:rsid w:val="00F0076E"/>
    <w:rsid w:val="00F00FB7"/>
    <w:rsid w:val="00F0425A"/>
    <w:rsid w:val="00F0654E"/>
    <w:rsid w:val="00F118B1"/>
    <w:rsid w:val="00F11E6D"/>
    <w:rsid w:val="00F136EE"/>
    <w:rsid w:val="00F22A71"/>
    <w:rsid w:val="00F259FE"/>
    <w:rsid w:val="00F27D86"/>
    <w:rsid w:val="00F30329"/>
    <w:rsid w:val="00F31726"/>
    <w:rsid w:val="00F31E52"/>
    <w:rsid w:val="00F33EED"/>
    <w:rsid w:val="00F36F06"/>
    <w:rsid w:val="00F41E19"/>
    <w:rsid w:val="00F441A2"/>
    <w:rsid w:val="00F44E44"/>
    <w:rsid w:val="00F46A54"/>
    <w:rsid w:val="00F50705"/>
    <w:rsid w:val="00F5130C"/>
    <w:rsid w:val="00F5534B"/>
    <w:rsid w:val="00F65C09"/>
    <w:rsid w:val="00F676BF"/>
    <w:rsid w:val="00F67B66"/>
    <w:rsid w:val="00F70EC7"/>
    <w:rsid w:val="00F72AAB"/>
    <w:rsid w:val="00F80F23"/>
    <w:rsid w:val="00F823F7"/>
    <w:rsid w:val="00F87405"/>
    <w:rsid w:val="00F9160B"/>
    <w:rsid w:val="00F94070"/>
    <w:rsid w:val="00F94113"/>
    <w:rsid w:val="00F9530C"/>
    <w:rsid w:val="00FA1A2D"/>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BAHCE\Dropbox%20(Personal)\betam\betam_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BAHCE\Dropbox%20(Personal)\betam\betam_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BAHCE\Dropbox%20(Personal)\betam\betam_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26B5-4D17-95BB-B133398AD9E7}"/>
              </c:ext>
            </c:extLst>
          </c:dPt>
          <c:dPt>
            <c:idx val="2"/>
            <c:invertIfNegative val="0"/>
            <c:bubble3D val="0"/>
            <c:spPr>
              <a:solidFill>
                <a:srgbClr val="FF0000"/>
              </a:solidFill>
              <a:ln>
                <a:noFill/>
              </a:ln>
              <a:effectLst/>
            </c:spPr>
            <c:extLst>
              <c:ext xmlns:c16="http://schemas.microsoft.com/office/drawing/2014/chart" uri="{C3380CC4-5D6E-409C-BE32-E72D297353CC}">
                <c16:uniqueId val="{00000003-26B5-4D17-95BB-B133398AD9E7}"/>
              </c:ext>
            </c:extLst>
          </c:dPt>
          <c:dPt>
            <c:idx val="3"/>
            <c:invertIfNegative val="0"/>
            <c:bubble3D val="0"/>
            <c:spPr>
              <a:solidFill>
                <a:srgbClr val="0070C0"/>
              </a:solidFill>
              <a:ln>
                <a:noFill/>
              </a:ln>
              <a:effectLst/>
            </c:spPr>
            <c:extLst>
              <c:ext xmlns:c16="http://schemas.microsoft.com/office/drawing/2014/chart" uri="{C3380CC4-5D6E-409C-BE32-E72D297353CC}">
                <c16:uniqueId val="{00000005-26B5-4D17-95BB-B133398AD9E7}"/>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26B5-4D17-95BB-B133398AD9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('2021Q4'!$B$4:$B$6,'2021Q4'!$B$8:$B$10)</c:f>
              <c:strCache>
                <c:ptCount val="6"/>
                <c:pt idx="0">
                  <c:v>Özel Tüketim</c:v>
                </c:pt>
                <c:pt idx="1">
                  <c:v>Kamu Tüketimi</c:v>
                </c:pt>
                <c:pt idx="2">
                  <c:v>Yatırım</c:v>
                </c:pt>
                <c:pt idx="3">
                  <c:v>İhracat</c:v>
                </c:pt>
                <c:pt idx="4">
                  <c:v>İthalat</c:v>
                </c:pt>
                <c:pt idx="5">
                  <c:v>GSYH</c:v>
                </c:pt>
              </c:strCache>
            </c:strRef>
          </c:cat>
          <c:val>
            <c:numRef>
              <c:f>('2021Q4'!$E$4:$E$6,'2021Q4'!$E$8:$E$10)</c:f>
              <c:numCache>
                <c:formatCode>0.0</c:formatCode>
                <c:ptCount val="6"/>
                <c:pt idx="0">
                  <c:v>21.370394395173275</c:v>
                </c:pt>
                <c:pt idx="1">
                  <c:v>-1.8689654075876749</c:v>
                </c:pt>
                <c:pt idx="2">
                  <c:v>-0.80730963620914142</c:v>
                </c:pt>
                <c:pt idx="3">
                  <c:v>20.693217919488482</c:v>
                </c:pt>
                <c:pt idx="4">
                  <c:v>2.6081513148626723</c:v>
                </c:pt>
                <c:pt idx="5">
                  <c:v>9.1367918868312756</c:v>
                </c:pt>
              </c:numCache>
            </c:numRef>
          </c:val>
          <c:extLst>
            <c:ext xmlns:c16="http://schemas.microsoft.com/office/drawing/2014/chart" uri="{C3380CC4-5D6E-409C-BE32-E72D297353CC}">
              <c16:uniqueId val="{00000008-26B5-4D17-95BB-B133398AD9E7}"/>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0686-487C-A357-1C27889C4D52}"/>
              </c:ext>
            </c:extLst>
          </c:dPt>
          <c:dPt>
            <c:idx val="1"/>
            <c:invertIfNegative val="0"/>
            <c:bubble3D val="0"/>
            <c:spPr>
              <a:solidFill>
                <a:srgbClr val="FF0000"/>
              </a:solidFill>
              <a:ln>
                <a:noFill/>
              </a:ln>
              <a:effectLst/>
            </c:spPr>
            <c:extLst>
              <c:ext xmlns:c16="http://schemas.microsoft.com/office/drawing/2014/chart" uri="{C3380CC4-5D6E-409C-BE32-E72D297353CC}">
                <c16:uniqueId val="{00000003-0686-487C-A357-1C27889C4D52}"/>
              </c:ext>
            </c:extLst>
          </c:dPt>
          <c:dPt>
            <c:idx val="2"/>
            <c:invertIfNegative val="0"/>
            <c:bubble3D val="0"/>
            <c:spPr>
              <a:solidFill>
                <a:srgbClr val="FF0000"/>
              </a:solidFill>
              <a:ln>
                <a:noFill/>
              </a:ln>
              <a:effectLst/>
            </c:spPr>
            <c:extLst>
              <c:ext xmlns:c16="http://schemas.microsoft.com/office/drawing/2014/chart" uri="{C3380CC4-5D6E-409C-BE32-E72D297353CC}">
                <c16:uniqueId val="{00000005-0686-487C-A357-1C27889C4D52}"/>
              </c:ext>
            </c:extLst>
          </c:dPt>
          <c:dPt>
            <c:idx val="3"/>
            <c:invertIfNegative val="0"/>
            <c:bubble3D val="0"/>
            <c:spPr>
              <a:solidFill>
                <a:srgbClr val="FF0000"/>
              </a:solidFill>
              <a:ln>
                <a:noFill/>
              </a:ln>
              <a:effectLst/>
            </c:spPr>
            <c:extLst>
              <c:ext xmlns:c16="http://schemas.microsoft.com/office/drawing/2014/chart" uri="{C3380CC4-5D6E-409C-BE32-E72D297353CC}">
                <c16:uniqueId val="{00000007-0686-487C-A357-1C27889C4D52}"/>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0686-487C-A357-1C27889C4D52}"/>
              </c:ext>
            </c:extLst>
          </c:dPt>
          <c:dPt>
            <c:idx val="5"/>
            <c:invertIfNegative val="0"/>
            <c:bubble3D val="0"/>
            <c:spPr>
              <a:solidFill>
                <a:srgbClr val="FF0000"/>
              </a:solidFill>
              <a:ln>
                <a:noFill/>
              </a:ln>
              <a:effectLst/>
            </c:spPr>
            <c:extLst>
              <c:ext xmlns:c16="http://schemas.microsoft.com/office/drawing/2014/chart" uri="{C3380CC4-5D6E-409C-BE32-E72D297353CC}">
                <c16:uniqueId val="{0000000B-0686-487C-A357-1C27889C4D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'2021Q4'!$B$4:$B$9</c:f>
              <c:strCache>
                <c:ptCount val="6"/>
                <c:pt idx="0">
                  <c:v>Özel Tüketim</c:v>
                </c:pt>
                <c:pt idx="1">
                  <c:v>Kamu Tüketimi</c:v>
                </c:pt>
                <c:pt idx="2">
                  <c:v>Yatırım</c:v>
                </c:pt>
                <c:pt idx="3">
                  <c:v>Stok Değişimi</c:v>
                </c:pt>
                <c:pt idx="4">
                  <c:v>İhracat</c:v>
                </c:pt>
                <c:pt idx="5">
                  <c:v>İthalat</c:v>
                </c:pt>
              </c:strCache>
            </c:strRef>
          </c:cat>
          <c:val>
            <c:numRef>
              <c:f>'2021Q4'!$F$4:$F$9</c:f>
              <c:numCache>
                <c:formatCode>0.0</c:formatCode>
                <c:ptCount val="6"/>
                <c:pt idx="0">
                  <c:v>11.882279297569299</c:v>
                </c:pt>
                <c:pt idx="1">
                  <c:v>-0.30994209220692931</c:v>
                </c:pt>
                <c:pt idx="2">
                  <c:v>-0.22250878683017969</c:v>
                </c:pt>
                <c:pt idx="3">
                  <c:v>-7.787593904887423</c:v>
                </c:pt>
                <c:pt idx="4">
                  <c:v>6.5592752706684738</c:v>
                </c:pt>
                <c:pt idx="5">
                  <c:v>-0.98471789748195893</c:v>
                </c:pt>
              </c:numCache>
            </c:numRef>
          </c:val>
          <c:extLst>
            <c:ext xmlns:c16="http://schemas.microsoft.com/office/drawing/2014/chart" uri="{C3380CC4-5D6E-409C-BE32-E72D297353CC}">
              <c16:uniqueId val="{0000000C-0686-487C-A357-1C27889C4D52}"/>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'2021Q4'!$E$29</c:f>
              <c:strCache>
                <c:ptCount val="1"/>
                <c:pt idx="0">
                  <c:v>Yıllık değişim</c:v>
                </c:pt>
              </c:strCache>
            </c:strRef>
          </c:tx>
          <c:spPr>
            <a:solidFill>
              <a:schemeClr val="accent1"/>
            </a:solidFill>
            <a:ln>
              <a:noFill/>
            </a:ln>
            <a:effectLst/>
          </c:spPr>
          <c:invertIfNegative val="0"/>
          <c:cat>
            <c:strRef>
              <c:f>'2021Q4'!$A$46:$A$69</c:f>
              <c:strCache>
                <c:ptCount val="24"/>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strCache>
            </c:strRef>
          </c:cat>
          <c:val>
            <c:numRef>
              <c:f>'2021Q4'!$E$46:$E$69</c:f>
              <c:numCache>
                <c:formatCode>0.0</c:formatCode>
                <c:ptCount val="24"/>
                <c:pt idx="0">
                  <c:v>4.9433773000792769</c:v>
                </c:pt>
                <c:pt idx="1">
                  <c:v>5.0029753619351913</c:v>
                </c:pt>
                <c:pt idx="2">
                  <c:v>-0.66916264538373627</c:v>
                </c:pt>
                <c:pt idx="3">
                  <c:v>4.4311945807482322</c:v>
                </c:pt>
                <c:pt idx="4">
                  <c:v>5.2908425432556472</c:v>
                </c:pt>
                <c:pt idx="5">
                  <c:v>5.3018811864605109</c:v>
                </c:pt>
                <c:pt idx="6">
                  <c:v>11.790057801663067</c:v>
                </c:pt>
                <c:pt idx="7">
                  <c:v>7.268453394698593</c:v>
                </c:pt>
                <c:pt idx="8">
                  <c:v>7.4790849570820495</c:v>
                </c:pt>
                <c:pt idx="9">
                  <c:v>5.8373529623979348</c:v>
                </c:pt>
                <c:pt idx="10">
                  <c:v>2.4970675554269572</c:v>
                </c:pt>
                <c:pt idx="11">
                  <c:v>-2.6385699021583275</c:v>
                </c:pt>
                <c:pt idx="12">
                  <c:v>-2.4614408736860049</c:v>
                </c:pt>
                <c:pt idx="13">
                  <c:v>-1.5675408224043341</c:v>
                </c:pt>
                <c:pt idx="14">
                  <c:v>1.0169684352881569</c:v>
                </c:pt>
                <c:pt idx="15">
                  <c:v>6.0479310481225568</c:v>
                </c:pt>
                <c:pt idx="16">
                  <c:v>4.3526826239118854</c:v>
                </c:pt>
                <c:pt idx="17">
                  <c:v>-10.404267872147443</c:v>
                </c:pt>
                <c:pt idx="18">
                  <c:v>6.3336040005007144</c:v>
                </c:pt>
                <c:pt idx="19">
                  <c:v>6.1618906188610767</c:v>
                </c:pt>
                <c:pt idx="20">
                  <c:v>7.250613747682344</c:v>
                </c:pt>
                <c:pt idx="21">
                  <c:v>21.8933443057449</c:v>
                </c:pt>
                <c:pt idx="22">
                  <c:v>7.5188155523878697</c:v>
                </c:pt>
                <c:pt idx="23">
                  <c:v>9.1367918868312756</c:v>
                </c:pt>
              </c:numCache>
            </c:numRef>
          </c:val>
          <c:extLst>
            <c:ext xmlns:c16="http://schemas.microsoft.com/office/drawing/2014/chart" uri="{C3380CC4-5D6E-409C-BE32-E72D297353CC}">
              <c16:uniqueId val="{00000000-DF1F-4A25-8D5C-D6D0FF22C2DA}"/>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'2021Q4'!$F$29</c:f>
              <c:strCache>
                <c:ptCount val="1"/>
                <c:pt idx="0">
                  <c:v>Çeyreklik değişim</c:v>
                </c:pt>
              </c:strCache>
            </c:strRef>
          </c:tx>
          <c:spPr>
            <a:ln w="25400" cap="rnd">
              <a:solidFill>
                <a:schemeClr val="tx1"/>
              </a:solidFill>
              <a:round/>
            </a:ln>
            <a:effectLst/>
          </c:spPr>
          <c:marker>
            <c:symbol val="none"/>
          </c:marker>
          <c:cat>
            <c:strRef>
              <c:f>'2021Q4'!$A$46:$A$69</c:f>
              <c:strCache>
                <c:ptCount val="24"/>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strCache>
            </c:strRef>
          </c:cat>
          <c:val>
            <c:numRef>
              <c:f>'2021Q4'!$F$46:$F$69</c:f>
              <c:numCache>
                <c:formatCode>0.0</c:formatCode>
                <c:ptCount val="24"/>
                <c:pt idx="0">
                  <c:v>0.361537998800876</c:v>
                </c:pt>
                <c:pt idx="1">
                  <c:v>1.4308864145411659</c:v>
                </c:pt>
                <c:pt idx="2">
                  <c:v>-2.8676734614659694</c:v>
                </c:pt>
                <c:pt idx="3">
                  <c:v>5.5096116443495324</c:v>
                </c:pt>
                <c:pt idx="4">
                  <c:v>1.368865259222618</c:v>
                </c:pt>
                <c:pt idx="5">
                  <c:v>2.2803188216812265</c:v>
                </c:pt>
                <c:pt idx="6">
                  <c:v>1.515918557513718</c:v>
                </c:pt>
                <c:pt idx="7">
                  <c:v>1.8827611322633553</c:v>
                </c:pt>
                <c:pt idx="8">
                  <c:v>1.4687431302132792</c:v>
                </c:pt>
                <c:pt idx="9">
                  <c:v>0.65752178788840432</c:v>
                </c:pt>
                <c:pt idx="10">
                  <c:v>-1.6279355144123486</c:v>
                </c:pt>
                <c:pt idx="11">
                  <c:v>-3.1841153368222574</c:v>
                </c:pt>
                <c:pt idx="12">
                  <c:v>1.9010266536273912</c:v>
                </c:pt>
                <c:pt idx="13">
                  <c:v>2.3799511316839439</c:v>
                </c:pt>
                <c:pt idx="14">
                  <c:v>5.0625443587937191E-2</c:v>
                </c:pt>
                <c:pt idx="15">
                  <c:v>1.3646299664258121</c:v>
                </c:pt>
                <c:pt idx="16">
                  <c:v>0.44624293775687995</c:v>
                </c:pt>
                <c:pt idx="17">
                  <c:v>-10.769850738045239</c:v>
                </c:pt>
                <c:pt idx="18">
                  <c:v>16.400501825253055</c:v>
                </c:pt>
                <c:pt idx="19">
                  <c:v>1.2025247567780228</c:v>
                </c:pt>
                <c:pt idx="20">
                  <c:v>2.20411894446082</c:v>
                </c:pt>
                <c:pt idx="21">
                  <c:v>1.6880766485128484</c:v>
                </c:pt>
                <c:pt idx="22">
                  <c:v>2.7739530826206504</c:v>
                </c:pt>
                <c:pt idx="23">
                  <c:v>1.5109707124161043</c:v>
                </c:pt>
              </c:numCache>
            </c:numRef>
          </c:val>
          <c:smooth val="0"/>
          <c:extLst>
            <c:ext xmlns:c16="http://schemas.microsoft.com/office/drawing/2014/chart" uri="{C3380CC4-5D6E-409C-BE32-E72D297353CC}">
              <c16:uniqueId val="{00000001-DF1F-4A25-8D5C-D6D0FF22C2DA}"/>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996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8978-D501-47C1-943C-00FAA120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732</Words>
  <Characters>4178</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Ugurcan ACAR</cp:lastModifiedBy>
  <cp:revision>24</cp:revision>
  <cp:lastPrinted>2019-12-05T12:09:00Z</cp:lastPrinted>
  <dcterms:created xsi:type="dcterms:W3CDTF">2021-12-07T05:33:00Z</dcterms:created>
  <dcterms:modified xsi:type="dcterms:W3CDTF">2022-03-07T07:12:00Z</dcterms:modified>
</cp:coreProperties>
</file>