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9B" w:rsidRDefault="009A139B">
      <w:pPr>
        <w:spacing w:line="240" w:lineRule="auto"/>
        <w:jc w:val="right"/>
      </w:pPr>
    </w:p>
    <w:p w:rsidR="009A139B" w:rsidRDefault="004D4DCE">
      <w:pPr>
        <w:spacing w:line="240" w:lineRule="auto"/>
        <w:jc w:val="right"/>
        <w:rPr>
          <w:color w:val="000000"/>
        </w:rPr>
      </w:pPr>
      <w:r>
        <w:t>1</w:t>
      </w:r>
      <w:r w:rsidR="00B949D4">
        <w:t>7</w:t>
      </w:r>
      <w:r>
        <w:t xml:space="preserve"> Mart 2022</w:t>
      </w:r>
    </w:p>
    <w:p w:rsidR="009A139B" w:rsidRDefault="009A139B">
      <w:pPr>
        <w:pBdr>
          <w:top w:val="nil"/>
          <w:left w:val="nil"/>
          <w:bottom w:val="nil"/>
          <w:right w:val="nil"/>
          <w:between w:val="nil"/>
        </w:pBdr>
        <w:spacing w:after="0" w:line="276" w:lineRule="auto"/>
        <w:jc w:val="both"/>
        <w:rPr>
          <w:color w:val="000000"/>
          <w:sz w:val="32"/>
          <w:szCs w:val="32"/>
        </w:rPr>
      </w:pPr>
    </w:p>
    <w:p w:rsidR="009A139B" w:rsidRDefault="004D4DCE">
      <w:pPr>
        <w:spacing w:after="0" w:line="276" w:lineRule="auto"/>
        <w:jc w:val="center"/>
      </w:pPr>
      <w:proofErr w:type="spellStart"/>
      <w:r>
        <w:t>sahibindex</w:t>
      </w:r>
      <w:proofErr w:type="spellEnd"/>
      <w:r>
        <w:t xml:space="preserve"> Kiralık Konut Piyasası Görünümü raporuna göre;</w:t>
      </w:r>
    </w:p>
    <w:p w:rsidR="009A139B" w:rsidRDefault="004D4DCE">
      <w:pPr>
        <w:spacing w:after="0" w:line="276" w:lineRule="auto"/>
        <w:jc w:val="center"/>
        <w:rPr>
          <w:b/>
          <w:sz w:val="48"/>
          <w:szCs w:val="48"/>
        </w:rPr>
      </w:pPr>
      <w:r>
        <w:rPr>
          <w:b/>
          <w:sz w:val="48"/>
          <w:szCs w:val="48"/>
        </w:rPr>
        <w:t>Kira artışında İstanbul yine birinci sırada</w:t>
      </w:r>
    </w:p>
    <w:p w:rsidR="009A139B" w:rsidRDefault="009A139B">
      <w:pPr>
        <w:spacing w:after="0" w:line="276" w:lineRule="auto"/>
        <w:jc w:val="center"/>
        <w:rPr>
          <w:b/>
        </w:rPr>
      </w:pPr>
    </w:p>
    <w:p w:rsidR="009A139B" w:rsidRDefault="004D4DCE">
      <w:pPr>
        <w:pBdr>
          <w:top w:val="nil"/>
          <w:left w:val="nil"/>
          <w:bottom w:val="nil"/>
          <w:right w:val="nil"/>
          <w:between w:val="nil"/>
        </w:pBdr>
        <w:spacing w:after="0" w:line="276" w:lineRule="auto"/>
        <w:jc w:val="center"/>
        <w:rPr>
          <w:b/>
          <w:color w:val="000000"/>
        </w:rPr>
      </w:pPr>
      <w:proofErr w:type="gramStart"/>
      <w:r>
        <w:rPr>
          <w:b/>
        </w:rPr>
        <w:t>sahibinden</w:t>
      </w:r>
      <w:proofErr w:type="gramEnd"/>
      <w:r>
        <w:rPr>
          <w:b/>
        </w:rPr>
        <w:t xml:space="preserve">.com ve </w:t>
      </w:r>
      <w:proofErr w:type="spellStart"/>
      <w:r>
        <w:rPr>
          <w:b/>
        </w:rPr>
        <w:t>Bahçeşehir</w:t>
      </w:r>
      <w:proofErr w:type="spellEnd"/>
      <w:r>
        <w:rPr>
          <w:b/>
        </w:rPr>
        <w:t xml:space="preserve"> Üniversitesi Ekonomik ve Toplumsal Araştırmalar Merkezi (BETAM)’</w:t>
      </w:r>
      <w:proofErr w:type="spellStart"/>
      <w:r>
        <w:rPr>
          <w:b/>
        </w:rPr>
        <w:t>ın</w:t>
      </w:r>
      <w:proofErr w:type="spellEnd"/>
      <w:r>
        <w:rPr>
          <w:b/>
        </w:rPr>
        <w:t xml:space="preserve"> hazırladığı “</w:t>
      </w:r>
      <w:proofErr w:type="spellStart"/>
      <w:r>
        <w:rPr>
          <w:b/>
        </w:rPr>
        <w:t>sahibindex</w:t>
      </w:r>
      <w:proofErr w:type="spellEnd"/>
      <w:r>
        <w:rPr>
          <w:b/>
        </w:rPr>
        <w:t xml:space="preserve"> Kiralık Konut Piyasası Görünümü” raporuna göre, Türkiye genelinde ortalama kiralık konut ilan m2 fiyatındaki yıllık artış oranı Şubat’ta %84,2 olurken, ortalama kiralık konut ilan m2 fiyatı 30 TL'ye yükseldiği görüldü.</w:t>
      </w:r>
    </w:p>
    <w:p w:rsidR="009A139B" w:rsidRDefault="009A139B">
      <w:pPr>
        <w:pBdr>
          <w:top w:val="nil"/>
          <w:left w:val="nil"/>
          <w:bottom w:val="nil"/>
          <w:right w:val="nil"/>
          <w:between w:val="nil"/>
        </w:pBdr>
        <w:spacing w:after="0" w:line="276" w:lineRule="auto"/>
        <w:jc w:val="center"/>
        <w:rPr>
          <w:b/>
          <w:color w:val="000000"/>
        </w:rPr>
      </w:pPr>
    </w:p>
    <w:p w:rsidR="009A139B" w:rsidRDefault="004D4DCE">
      <w:pPr>
        <w:pBdr>
          <w:top w:val="nil"/>
          <w:left w:val="nil"/>
          <w:bottom w:val="nil"/>
          <w:right w:val="nil"/>
          <w:between w:val="nil"/>
        </w:pBdr>
        <w:spacing w:line="276" w:lineRule="auto"/>
        <w:rPr>
          <w:color w:val="000000"/>
        </w:rPr>
      </w:pPr>
      <w:proofErr w:type="spellStart"/>
      <w:r>
        <w:rPr>
          <w:color w:val="000000"/>
        </w:rPr>
        <w:t>Bahçeşehir</w:t>
      </w:r>
      <w:proofErr w:type="spellEnd"/>
      <w:r>
        <w:rPr>
          <w:color w:val="000000"/>
        </w:rPr>
        <w:t xml:space="preserve"> Üniversitesi Ekonomik ve Toplumsal Araştırmalar Merkezi (BETAM) tarafından </w:t>
      </w:r>
      <w:proofErr w:type="spellStart"/>
      <w:proofErr w:type="gramStart"/>
      <w:r>
        <w:rPr>
          <w:color w:val="000000"/>
        </w:rPr>
        <w:t>sahibinden.com’un</w:t>
      </w:r>
      <w:proofErr w:type="spellEnd"/>
      <w:proofErr w:type="gramEnd"/>
      <w:r>
        <w:rPr>
          <w:color w:val="000000"/>
        </w:rPr>
        <w:t xml:space="preserve"> ilan verileriyle hazırlanan “</w:t>
      </w:r>
      <w:proofErr w:type="spellStart"/>
      <w:r>
        <w:rPr>
          <w:color w:val="000000"/>
        </w:rPr>
        <w:t>sahibindex</w:t>
      </w:r>
      <w:proofErr w:type="spellEnd"/>
      <w:r>
        <w:rPr>
          <w:color w:val="000000"/>
        </w:rPr>
        <w:t xml:space="preserve"> Kiralık Konut Piyasası Görünümü” 2022 Mart ayı raporu yayınlandı. Rapora göre; Türkiye genelinde ortalama kiralık konut ilan m</w:t>
      </w:r>
      <w:r>
        <w:rPr>
          <w:color w:val="000000"/>
          <w:vertAlign w:val="superscript"/>
        </w:rPr>
        <w:t>2</w:t>
      </w:r>
      <w:r>
        <w:rPr>
          <w:color w:val="000000"/>
        </w:rPr>
        <w:t xml:space="preserve"> fiyatındaki yıllık artış oranı Şubat’ta %84,2 olurken, ortalama kiralık konut ilan m</w:t>
      </w:r>
      <w:r>
        <w:rPr>
          <w:color w:val="000000"/>
          <w:vertAlign w:val="superscript"/>
        </w:rPr>
        <w:t>2</w:t>
      </w:r>
      <w:r>
        <w:rPr>
          <w:color w:val="000000"/>
        </w:rPr>
        <w:t xml:space="preserve"> fiyatı 30 TL'ye yükseldi. Yıllık kira artış oranı İstanbul'da %112,3, Ankara'da %106,7, İzmir'de ise %74 oldu. Bu gelişmeler sonucunda ortalama kiralık konut ilan m</w:t>
      </w:r>
      <w:r>
        <w:rPr>
          <w:color w:val="000000"/>
          <w:vertAlign w:val="superscript"/>
        </w:rPr>
        <w:t>2</w:t>
      </w:r>
      <w:r>
        <w:rPr>
          <w:color w:val="000000"/>
        </w:rPr>
        <w:t xml:space="preserve"> fiyatları İstanbul’da 49 TL’ye, Ankara’da 24 TL’ye, İzmir'de ise 30 TL’ye yükseldi. Enflasyondan arındırılmış (reel) kira fiyatları hem ülke genelinde hem de üç büyük ilde arttı. Kiralık konut piyasasında bir canlılık göstergesi olarak kullanılan kiralanan konut sayısının toplam kiralık ilan sayısına oranı geçtiğimiz aya göre ülke genelinde ve İstanbul’da artarken, Ankara’da ve İzmir’de düşüş gösterdi. </w:t>
      </w:r>
    </w:p>
    <w:p w:rsidR="009A139B" w:rsidRDefault="004D4DCE">
      <w:pPr>
        <w:spacing w:after="0" w:line="240" w:lineRule="auto"/>
        <w:rPr>
          <w:rFonts w:ascii="Times New Roman" w:eastAsia="Times New Roman" w:hAnsi="Times New Roman" w:cs="Times New Roman"/>
          <w:sz w:val="24"/>
          <w:szCs w:val="24"/>
        </w:rPr>
      </w:pPr>
      <w:bookmarkStart w:id="0" w:name="_gjdgxs" w:colFirst="0" w:colLast="0"/>
      <w:bookmarkEnd w:id="0"/>
      <w:r>
        <w:rPr>
          <w:b/>
          <w:color w:val="000000"/>
        </w:rPr>
        <w:t>Kira fiyatlarında m2 bazında yükseliş dikkat çekiyor…</w:t>
      </w:r>
      <w:r>
        <w:rPr>
          <w:rFonts w:ascii="Times New Roman" w:eastAsia="Times New Roman" w:hAnsi="Times New Roman" w:cs="Times New Roman"/>
          <w:sz w:val="24"/>
          <w:szCs w:val="24"/>
        </w:rPr>
        <w:br/>
      </w:r>
      <w:r>
        <w:rPr>
          <w:color w:val="000000"/>
        </w:rPr>
        <w:t>Ülke genelindeki ortalama kira fiyatlarının yıllık artış oranı Şubat ayında da yükselmeye devam etti. Kira fiyatlarındaki yıllık artış oranı geçen aya göre 6,4 puan yükselerek 84,2 ol</w:t>
      </w:r>
      <w:r>
        <w:t xml:space="preserve">du. </w:t>
      </w:r>
      <w:r>
        <w:rPr>
          <w:color w:val="000000"/>
        </w:rPr>
        <w:t xml:space="preserve"> Böylece, geçen yılın aynı döneminde 16,3 TL olan Türkiye geneli ortalama m</w:t>
      </w:r>
      <w:r>
        <w:rPr>
          <w:color w:val="000000"/>
          <w:sz w:val="13"/>
          <w:szCs w:val="13"/>
          <w:vertAlign w:val="superscript"/>
        </w:rPr>
        <w:t>2</w:t>
      </w:r>
      <w:r>
        <w:rPr>
          <w:color w:val="000000"/>
        </w:rPr>
        <w:t xml:space="preserve"> kira fiyatı 30 TL'ye </w:t>
      </w:r>
      <w:r>
        <w:t>yükseldi.</w:t>
      </w:r>
    </w:p>
    <w:p w:rsidR="009A139B" w:rsidRDefault="009A139B">
      <w:pPr>
        <w:spacing w:after="0" w:line="240" w:lineRule="auto"/>
        <w:rPr>
          <w:rFonts w:ascii="Times New Roman" w:eastAsia="Times New Roman" w:hAnsi="Times New Roman" w:cs="Times New Roman"/>
          <w:sz w:val="24"/>
          <w:szCs w:val="24"/>
        </w:rPr>
      </w:pPr>
    </w:p>
    <w:p w:rsidR="009A139B" w:rsidRDefault="004D4DCE">
      <w:pPr>
        <w:pBdr>
          <w:top w:val="nil"/>
          <w:left w:val="nil"/>
          <w:bottom w:val="nil"/>
          <w:right w:val="nil"/>
          <w:between w:val="nil"/>
        </w:pBdr>
        <w:spacing w:line="276" w:lineRule="auto"/>
        <w:rPr>
          <w:color w:val="000000"/>
        </w:rPr>
      </w:pPr>
      <w:r>
        <w:rPr>
          <w:b/>
          <w:color w:val="000000"/>
        </w:rPr>
        <w:t>Şekil 1: Türkiye ve üç büyük ilde bir önceki yılın aynı ayına göre cari kira fiyatı değişimi (%)</w:t>
      </w:r>
    </w:p>
    <w:p w:rsidR="009A139B" w:rsidRDefault="004D4DCE">
      <w:pPr>
        <w:pBdr>
          <w:top w:val="nil"/>
          <w:left w:val="nil"/>
          <w:bottom w:val="nil"/>
          <w:right w:val="nil"/>
          <w:between w:val="nil"/>
        </w:pBdr>
        <w:spacing w:after="0" w:line="276" w:lineRule="auto"/>
        <w:jc w:val="center"/>
        <w:rPr>
          <w:color w:val="000000"/>
        </w:rPr>
      </w:pPr>
      <w:r>
        <w:rPr>
          <w:b/>
          <w:noProof/>
          <w:color w:val="000000"/>
        </w:rPr>
        <w:drawing>
          <wp:inline distT="0" distB="0" distL="0" distR="0">
            <wp:extent cx="3582800" cy="2012258"/>
            <wp:effectExtent l="0" t="0" r="0" b="7620"/>
            <wp:docPr id="2" name="image2.png" descr="https://lh5.googleusercontent.com/r2fV1ssSFlkmsJjms8M8M9lPqpxr9CD9yONCfwx3na_CCwlwK8hx-T-wNFvieEfqzSepW9fybh-R8b7lwhon9xaunP4zc5R3DEgZLUIdKM-VEGEZBxksPITg6_HPyPxGMTC_rT5g"/>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r2fV1ssSFlkmsJjms8M8M9lPqpxr9CD9yONCfwx3na_CCwlwK8hx-T-wNFvieEfqzSepW9fybh-R8b7lwhon9xaunP4zc5R3DEgZLUIdKM-VEGEZBxksPITg6_HPyPxGMTC_rT5g"/>
                    <pic:cNvPicPr preferRelativeResize="0"/>
                  </pic:nvPicPr>
                  <pic:blipFill>
                    <a:blip r:embed="rId6">
                      <a:clrChange>
                        <a:clrFrom>
                          <a:srgbClr val="FFFFFF"/>
                        </a:clrFrom>
                        <a:clrTo>
                          <a:srgbClr val="FFFFFF">
                            <a:alpha val="0"/>
                          </a:srgbClr>
                        </a:clrTo>
                      </a:clrChange>
                    </a:blip>
                    <a:srcRect/>
                    <a:stretch>
                      <a:fillRect/>
                    </a:stretch>
                  </pic:blipFill>
                  <pic:spPr>
                    <a:xfrm>
                      <a:off x="0" y="0"/>
                      <a:ext cx="3582800" cy="2012258"/>
                    </a:xfrm>
                    <a:prstGeom prst="rect">
                      <a:avLst/>
                    </a:prstGeom>
                    <a:ln/>
                  </pic:spPr>
                </pic:pic>
              </a:graphicData>
            </a:graphic>
          </wp:inline>
        </w:drawing>
      </w:r>
    </w:p>
    <w:p w:rsidR="009A139B" w:rsidRDefault="009A139B">
      <w:pPr>
        <w:pBdr>
          <w:top w:val="nil"/>
          <w:left w:val="nil"/>
          <w:bottom w:val="nil"/>
          <w:right w:val="nil"/>
          <w:between w:val="nil"/>
        </w:pBdr>
        <w:spacing w:after="0" w:line="276" w:lineRule="auto"/>
        <w:jc w:val="both"/>
        <w:rPr>
          <w:color w:val="000000"/>
        </w:rPr>
      </w:pPr>
    </w:p>
    <w:p w:rsidR="009A139B" w:rsidRDefault="009A139B">
      <w:pPr>
        <w:pBdr>
          <w:top w:val="nil"/>
          <w:left w:val="nil"/>
          <w:bottom w:val="nil"/>
          <w:right w:val="nil"/>
          <w:between w:val="nil"/>
        </w:pBdr>
        <w:spacing w:after="0" w:line="276" w:lineRule="auto"/>
        <w:jc w:val="both"/>
        <w:rPr>
          <w:b/>
        </w:rPr>
      </w:pPr>
    </w:p>
    <w:p w:rsidR="009A139B" w:rsidRDefault="009A139B">
      <w:pPr>
        <w:pBdr>
          <w:top w:val="nil"/>
          <w:left w:val="nil"/>
          <w:bottom w:val="nil"/>
          <w:right w:val="nil"/>
          <w:between w:val="nil"/>
        </w:pBdr>
        <w:spacing w:after="0" w:line="276" w:lineRule="auto"/>
        <w:jc w:val="both"/>
        <w:rPr>
          <w:b/>
        </w:rPr>
      </w:pPr>
    </w:p>
    <w:p w:rsidR="009A139B" w:rsidRDefault="004D4DCE">
      <w:pPr>
        <w:pBdr>
          <w:top w:val="nil"/>
          <w:left w:val="nil"/>
          <w:bottom w:val="nil"/>
          <w:right w:val="nil"/>
          <w:between w:val="nil"/>
        </w:pBdr>
        <w:spacing w:after="0" w:line="276" w:lineRule="auto"/>
        <w:jc w:val="both"/>
        <w:rPr>
          <w:color w:val="000000"/>
        </w:rPr>
      </w:pPr>
      <w:r>
        <w:rPr>
          <w:b/>
          <w:color w:val="000000"/>
        </w:rPr>
        <w:t>Üç büyük ilde kira fiyatlarının artış hızı yükseliyor</w:t>
      </w:r>
    </w:p>
    <w:p w:rsidR="009A139B" w:rsidRDefault="004D4DCE">
      <w:pPr>
        <w:pBdr>
          <w:top w:val="nil"/>
          <w:left w:val="nil"/>
          <w:bottom w:val="nil"/>
          <w:right w:val="nil"/>
          <w:between w:val="nil"/>
        </w:pBdr>
        <w:spacing w:after="0" w:line="276" w:lineRule="auto"/>
        <w:rPr>
          <w:color w:val="000000"/>
        </w:rPr>
      </w:pPr>
      <w:r>
        <w:rPr>
          <w:color w:val="000000"/>
        </w:rPr>
        <w:t>Şubat ayında üç büyük ildeki kiralık ilan m</w:t>
      </w:r>
      <w:r>
        <w:rPr>
          <w:color w:val="000000"/>
          <w:vertAlign w:val="superscript"/>
        </w:rPr>
        <w:t xml:space="preserve">2 </w:t>
      </w:r>
      <w:r>
        <w:rPr>
          <w:color w:val="000000"/>
        </w:rPr>
        <w:t>fiyatlarındaki yıllık artış oranları da yükseldi. Cari kira fiyatlarındaki yıllık artış oranı geçen aya göre İstanbul’da 14,6 puan, Ankara’da 24,7 puan, İzmir’de ise 12 puan arttı. Yıllık kira artış oranı İstanbul’da %112,3, Ankara’da %106,7, İzmir’de ise %74 oldu. Böylece, ortalama kiralık konut ilan m</w:t>
      </w:r>
      <w:r>
        <w:rPr>
          <w:color w:val="000000"/>
          <w:vertAlign w:val="superscript"/>
        </w:rPr>
        <w:t>2</w:t>
      </w:r>
      <w:r>
        <w:rPr>
          <w:color w:val="000000"/>
        </w:rPr>
        <w:t xml:space="preserve"> fiyatları İstanbul’da 49 TL’ye, Ankara’da 24 TL’ye, İzmir’de ise 30 TL’ye yükseldi.</w:t>
      </w:r>
    </w:p>
    <w:p w:rsidR="009A139B" w:rsidRDefault="009A139B">
      <w:pPr>
        <w:pBdr>
          <w:top w:val="nil"/>
          <w:left w:val="nil"/>
          <w:bottom w:val="nil"/>
          <w:right w:val="nil"/>
          <w:between w:val="nil"/>
        </w:pBdr>
        <w:spacing w:after="0" w:line="276" w:lineRule="auto"/>
        <w:jc w:val="both"/>
        <w:rPr>
          <w:color w:val="000000"/>
        </w:rPr>
      </w:pPr>
    </w:p>
    <w:p w:rsidR="009A139B" w:rsidRDefault="004D4DCE">
      <w:pPr>
        <w:pBdr>
          <w:top w:val="nil"/>
          <w:left w:val="nil"/>
          <w:bottom w:val="nil"/>
          <w:right w:val="nil"/>
          <w:between w:val="nil"/>
        </w:pBdr>
        <w:spacing w:after="0" w:line="276" w:lineRule="auto"/>
        <w:jc w:val="both"/>
        <w:rPr>
          <w:color w:val="000000"/>
        </w:rPr>
      </w:pPr>
      <w:r>
        <w:rPr>
          <w:b/>
          <w:color w:val="000000"/>
        </w:rPr>
        <w:t>Büyükşehirlerde yıllık kira artışlarında farklılaşma göze çarpı</w:t>
      </w:r>
      <w:r>
        <w:rPr>
          <w:b/>
        </w:rPr>
        <w:t>yor</w:t>
      </w:r>
    </w:p>
    <w:p w:rsidR="009A139B" w:rsidRDefault="004D4DCE">
      <w:pPr>
        <w:pBdr>
          <w:top w:val="nil"/>
          <w:left w:val="nil"/>
          <w:bottom w:val="nil"/>
          <w:right w:val="nil"/>
          <w:between w:val="nil"/>
        </w:pBdr>
        <w:spacing w:after="0" w:line="276" w:lineRule="auto"/>
        <w:jc w:val="both"/>
        <w:rPr>
          <w:color w:val="000000"/>
        </w:rPr>
      </w:pPr>
      <w:r>
        <w:rPr>
          <w:color w:val="000000"/>
        </w:rPr>
        <w:t xml:space="preserve">Şubat ayında yıllık ortalama kira artışı ülke genelinde %84,2 olurken, büyükşehirlerdeki cari kira artış hızları farklılık gösterdi. En yüksek yıllık kira artışının görüldüğü iller Antalya %122, İstanbul %112,3, Ankara %106,7, Mersin %98,2 ve Kocaeli %88,1 olarak ölçüldü.  En düşük kira artışının görüldüğü iller ise Denizli %35,8, Trabzon %34,5, Van %33,6, Mardin %31,6 ve Kahramanmaraş %20 oldu. </w:t>
      </w:r>
    </w:p>
    <w:p w:rsidR="009A139B" w:rsidRDefault="009A139B">
      <w:pPr>
        <w:pBdr>
          <w:top w:val="nil"/>
          <w:left w:val="nil"/>
          <w:bottom w:val="nil"/>
          <w:right w:val="nil"/>
          <w:between w:val="nil"/>
        </w:pBdr>
        <w:spacing w:after="0" w:line="276" w:lineRule="auto"/>
        <w:jc w:val="both"/>
        <w:rPr>
          <w:color w:val="000000"/>
        </w:rPr>
      </w:pPr>
    </w:p>
    <w:p w:rsidR="009A139B" w:rsidRDefault="004D4DCE">
      <w:pPr>
        <w:pBdr>
          <w:top w:val="nil"/>
          <w:left w:val="nil"/>
          <w:bottom w:val="nil"/>
          <w:right w:val="nil"/>
          <w:between w:val="nil"/>
        </w:pBdr>
        <w:spacing w:after="0" w:line="276" w:lineRule="auto"/>
        <w:jc w:val="both"/>
        <w:rPr>
          <w:color w:val="000000"/>
        </w:rPr>
      </w:pPr>
      <w:r>
        <w:rPr>
          <w:color w:val="000000"/>
        </w:rPr>
        <w:t xml:space="preserve">Şubat ayında TÜFE yıllık artış oranı %54,4 olarak gerçekleşti. En düşük kira artış oranları hesaplanan beş büyükşehirdeki yıllık kira artış oranının yıllık enflasyon oranından düşük olması dikkat çekti. Dolayısıyla, bu illerdeki konutların ortalama kira getirileri reel anlamda değer kaybettiği gözlemlendi. </w:t>
      </w:r>
    </w:p>
    <w:p w:rsidR="009A139B" w:rsidRDefault="009A139B">
      <w:pPr>
        <w:pBdr>
          <w:top w:val="nil"/>
          <w:left w:val="nil"/>
          <w:bottom w:val="nil"/>
          <w:right w:val="nil"/>
          <w:between w:val="nil"/>
        </w:pBdr>
        <w:spacing w:after="0" w:line="276" w:lineRule="auto"/>
        <w:jc w:val="both"/>
        <w:rPr>
          <w:color w:val="000000"/>
        </w:rPr>
      </w:pPr>
    </w:p>
    <w:p w:rsidR="009A139B" w:rsidRDefault="004D4DCE">
      <w:pPr>
        <w:spacing w:after="0" w:line="240" w:lineRule="auto"/>
        <w:rPr>
          <w:rFonts w:ascii="Times New Roman" w:eastAsia="Times New Roman" w:hAnsi="Times New Roman" w:cs="Times New Roman"/>
          <w:sz w:val="24"/>
          <w:szCs w:val="24"/>
        </w:rPr>
      </w:pPr>
      <w:r>
        <w:rPr>
          <w:b/>
          <w:color w:val="000000"/>
        </w:rPr>
        <w:t>Tablo 1: Yıllık kira artışlarının en yüksek ve en düşük olduğu iller – 2022 Şubat</w:t>
      </w:r>
      <w:r>
        <w:rPr>
          <w:b/>
          <w:color w:val="000000"/>
        </w:rPr>
        <w:br/>
      </w:r>
    </w:p>
    <w:tbl>
      <w:tblPr>
        <w:tblStyle w:val="a"/>
        <w:tblW w:w="8656" w:type="dxa"/>
        <w:tblInd w:w="0" w:type="dxa"/>
        <w:tblLayout w:type="fixed"/>
        <w:tblLook w:val="0400" w:firstRow="0" w:lastRow="0" w:firstColumn="0" w:lastColumn="0" w:noHBand="0" w:noVBand="1"/>
      </w:tblPr>
      <w:tblGrid>
        <w:gridCol w:w="1914"/>
        <w:gridCol w:w="2068"/>
        <w:gridCol w:w="2068"/>
        <w:gridCol w:w="2606"/>
      </w:tblGrid>
      <w:tr w:rsidR="009A139B">
        <w:trPr>
          <w:trHeight w:val="615"/>
        </w:trPr>
        <w:tc>
          <w:tcPr>
            <w:tcW w:w="1914"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b/>
                <w:color w:val="000000"/>
              </w:rPr>
              <w:t>İller</w:t>
            </w:r>
          </w:p>
        </w:tc>
        <w:tc>
          <w:tcPr>
            <w:tcW w:w="206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b/>
                <w:color w:val="000000"/>
              </w:rPr>
              <w:t>Şubat 2021 m</w:t>
            </w:r>
            <w:r>
              <w:rPr>
                <w:b/>
                <w:color w:val="000000"/>
                <w:sz w:val="13"/>
                <w:szCs w:val="13"/>
                <w:vertAlign w:val="superscript"/>
              </w:rPr>
              <w:t>2</w:t>
            </w:r>
            <w:r>
              <w:rPr>
                <w:b/>
                <w:color w:val="000000"/>
              </w:rPr>
              <w:t xml:space="preserve"> Fiyatı</w:t>
            </w:r>
          </w:p>
        </w:tc>
        <w:tc>
          <w:tcPr>
            <w:tcW w:w="206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b/>
                <w:color w:val="000000"/>
              </w:rPr>
              <w:t>Şubat 2022 m</w:t>
            </w:r>
            <w:r>
              <w:rPr>
                <w:b/>
                <w:color w:val="000000"/>
                <w:sz w:val="13"/>
                <w:szCs w:val="13"/>
                <w:vertAlign w:val="superscript"/>
              </w:rPr>
              <w:t>2</w:t>
            </w:r>
            <w:r>
              <w:rPr>
                <w:b/>
                <w:color w:val="000000"/>
              </w:rPr>
              <w:t xml:space="preserve"> Fiyatı</w:t>
            </w:r>
          </w:p>
        </w:tc>
        <w:tc>
          <w:tcPr>
            <w:tcW w:w="2606"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b/>
                <w:color w:val="000000"/>
              </w:rPr>
              <w:t>Yıllık Cari Kira Artışları (%)</w:t>
            </w:r>
          </w:p>
        </w:tc>
      </w:tr>
      <w:tr w:rsidR="009A139B">
        <w:trPr>
          <w:trHeight w:val="300"/>
        </w:trPr>
        <w:tc>
          <w:tcPr>
            <w:tcW w:w="1914"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FF0000"/>
              </w:rPr>
              <w:t>Türkiye Ortalaması</w:t>
            </w:r>
          </w:p>
        </w:tc>
        <w:tc>
          <w:tcPr>
            <w:tcW w:w="2068"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FF0000"/>
              </w:rPr>
              <w:t>16,3</w:t>
            </w:r>
          </w:p>
        </w:tc>
        <w:tc>
          <w:tcPr>
            <w:tcW w:w="2068"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FF0000"/>
              </w:rPr>
              <w:t>30,0</w:t>
            </w:r>
          </w:p>
        </w:tc>
        <w:tc>
          <w:tcPr>
            <w:tcW w:w="2606"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FF0000"/>
              </w:rPr>
              <w:t>84,0</w:t>
            </w:r>
          </w:p>
        </w:tc>
      </w:tr>
      <w:tr w:rsidR="009A139B">
        <w:trPr>
          <w:trHeight w:val="300"/>
        </w:trPr>
        <w:tc>
          <w:tcPr>
            <w:tcW w:w="1914"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Antalya</w:t>
            </w:r>
          </w:p>
        </w:tc>
        <w:tc>
          <w:tcPr>
            <w:tcW w:w="206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16,7</w:t>
            </w:r>
          </w:p>
        </w:tc>
        <w:tc>
          <w:tcPr>
            <w:tcW w:w="206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37,0</w:t>
            </w:r>
          </w:p>
        </w:tc>
        <w:tc>
          <w:tcPr>
            <w:tcW w:w="2606" w:type="dxa"/>
            <w:tcBorders>
              <w:top w:val="single" w:sz="8"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122,0</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İstanbul</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23,1</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49,0</w:t>
            </w:r>
          </w:p>
        </w:tc>
        <w:tc>
          <w:tcPr>
            <w:tcW w:w="2606"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112,3</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Ankara</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11,6</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24,0</w:t>
            </w:r>
          </w:p>
        </w:tc>
        <w:tc>
          <w:tcPr>
            <w:tcW w:w="2606"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106,7</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Mersin</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12,1</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24,0</w:t>
            </w:r>
          </w:p>
        </w:tc>
        <w:tc>
          <w:tcPr>
            <w:tcW w:w="2606"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98,2</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Kocaeli</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10,1</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19,0</w:t>
            </w:r>
          </w:p>
        </w:tc>
        <w:tc>
          <w:tcPr>
            <w:tcW w:w="2606" w:type="dxa"/>
            <w:tcBorders>
              <w:top w:val="single" w:sz="4" w:space="0" w:color="000000"/>
              <w:left w:val="single" w:sz="4" w:space="0" w:color="000000"/>
              <w:bottom w:val="single" w:sz="4" w:space="0" w:color="000000"/>
              <w:right w:val="single" w:sz="8" w:space="0" w:color="000000"/>
            </w:tcBorders>
            <w:shd w:val="clear" w:color="auto" w:fill="00B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88,1</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Denizli</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11,8</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16,0</w:t>
            </w:r>
          </w:p>
        </w:tc>
        <w:tc>
          <w:tcPr>
            <w:tcW w:w="2606"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35,8</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Trabzon</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8,2</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11,0</w:t>
            </w:r>
          </w:p>
        </w:tc>
        <w:tc>
          <w:tcPr>
            <w:tcW w:w="2606"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34,5</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Van</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10,5</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14,0</w:t>
            </w:r>
          </w:p>
        </w:tc>
        <w:tc>
          <w:tcPr>
            <w:tcW w:w="2606"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33,6</w:t>
            </w:r>
          </w:p>
        </w:tc>
      </w:tr>
      <w:tr w:rsidR="009A139B">
        <w:trPr>
          <w:trHeight w:val="300"/>
        </w:trPr>
        <w:tc>
          <w:tcPr>
            <w:tcW w:w="1914"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Mardin</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7,6</w:t>
            </w:r>
          </w:p>
        </w:tc>
        <w:tc>
          <w:tcPr>
            <w:tcW w:w="2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10,0</w:t>
            </w:r>
          </w:p>
        </w:tc>
        <w:tc>
          <w:tcPr>
            <w:tcW w:w="2606" w:type="dxa"/>
            <w:tcBorders>
              <w:top w:val="single" w:sz="4" w:space="0" w:color="000000"/>
              <w:left w:val="single" w:sz="4" w:space="0" w:color="000000"/>
              <w:bottom w:val="single" w:sz="4" w:space="0" w:color="000000"/>
              <w:right w:val="single" w:sz="8" w:space="0" w:color="000000"/>
            </w:tcBorders>
            <w:shd w:val="clear" w:color="auto" w:fill="92D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31,6</w:t>
            </w:r>
          </w:p>
        </w:tc>
      </w:tr>
      <w:tr w:rsidR="009A139B">
        <w:trPr>
          <w:trHeight w:val="315"/>
        </w:trPr>
        <w:tc>
          <w:tcPr>
            <w:tcW w:w="1914"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tcPr>
          <w:p w:rsidR="009A139B" w:rsidRDefault="004D4DCE">
            <w:pPr>
              <w:spacing w:after="0" w:line="240" w:lineRule="auto"/>
              <w:jc w:val="center"/>
              <w:rPr>
                <w:rFonts w:ascii="Times New Roman" w:eastAsia="Times New Roman" w:hAnsi="Times New Roman" w:cs="Times New Roman"/>
                <w:sz w:val="24"/>
                <w:szCs w:val="24"/>
              </w:rPr>
            </w:pPr>
            <w:r>
              <w:rPr>
                <w:color w:val="000000"/>
              </w:rPr>
              <w:t>Kahramanmaraş</w:t>
            </w:r>
          </w:p>
        </w:tc>
        <w:tc>
          <w:tcPr>
            <w:tcW w:w="2068"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11,7</w:t>
            </w:r>
          </w:p>
        </w:tc>
        <w:tc>
          <w:tcPr>
            <w:tcW w:w="2068"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14,0</w:t>
            </w:r>
          </w:p>
        </w:tc>
        <w:tc>
          <w:tcPr>
            <w:tcW w:w="2606" w:type="dxa"/>
            <w:tcBorders>
              <w:top w:val="single" w:sz="4" w:space="0" w:color="000000"/>
              <w:left w:val="single" w:sz="4" w:space="0" w:color="000000"/>
              <w:bottom w:val="single" w:sz="8" w:space="0" w:color="000000"/>
              <w:right w:val="single" w:sz="8" w:space="0" w:color="000000"/>
            </w:tcBorders>
            <w:shd w:val="clear" w:color="auto" w:fill="92D050"/>
            <w:tcMar>
              <w:top w:w="0" w:type="dxa"/>
              <w:left w:w="115" w:type="dxa"/>
              <w:bottom w:w="0" w:type="dxa"/>
              <w:right w:w="115" w:type="dxa"/>
            </w:tcMar>
            <w:vAlign w:val="center"/>
          </w:tcPr>
          <w:p w:rsidR="009A139B" w:rsidRDefault="004D4DCE">
            <w:pPr>
              <w:spacing w:after="0" w:line="240" w:lineRule="auto"/>
              <w:jc w:val="center"/>
              <w:rPr>
                <w:rFonts w:ascii="Times New Roman" w:eastAsia="Times New Roman" w:hAnsi="Times New Roman" w:cs="Times New Roman"/>
                <w:sz w:val="24"/>
                <w:szCs w:val="24"/>
              </w:rPr>
            </w:pPr>
            <w:r>
              <w:rPr>
                <w:color w:val="000000"/>
              </w:rPr>
              <w:t>20,0</w:t>
            </w:r>
          </w:p>
        </w:tc>
      </w:tr>
    </w:tbl>
    <w:p w:rsidR="009A139B" w:rsidRDefault="009A139B">
      <w:pPr>
        <w:spacing w:before="120" w:after="0" w:line="240" w:lineRule="auto"/>
        <w:jc w:val="both"/>
        <w:rPr>
          <w:color w:val="000000"/>
        </w:rPr>
      </w:pPr>
    </w:p>
    <w:p w:rsidR="009A139B" w:rsidRDefault="004D4DCE">
      <w:pPr>
        <w:widowControl w:val="0"/>
        <w:spacing w:after="0" w:line="276" w:lineRule="auto"/>
        <w:jc w:val="both"/>
        <w:rPr>
          <w:b/>
          <w:strike/>
        </w:rPr>
      </w:pPr>
      <w:r>
        <w:rPr>
          <w:b/>
        </w:rPr>
        <w:t>İlçe düzeyindeki kira fiyatı artış hızlarında büyük farklılık</w:t>
      </w:r>
    </w:p>
    <w:p w:rsidR="009A139B" w:rsidRDefault="004D4DCE">
      <w:pPr>
        <w:widowControl w:val="0"/>
        <w:spacing w:after="0" w:line="276" w:lineRule="auto"/>
        <w:rPr>
          <w:color w:val="000000"/>
        </w:rPr>
      </w:pPr>
      <w:r>
        <w:t xml:space="preserve">Kiralık konut piyasası Şubat ayı raporuna özgün konusu İzmir’in ilçelerinde son bir yılda gözlemlenen kira fiyatlarındaki gelişmeler oldu.  Geçen ay yayınlanan raporda İzmir’in ilçelerindeki satılık konut fiyatlarını incelemiş ve büyük farklılıklar olduğunu görüldü. Bu ilimizin ilçelerindeki kira fiyatlarında da son bir yılda büyük farklılıklar gözlemlendi. Bu farklılıkları ele almadan önce İzmir’deki kira fiyatı artışlarının seyri incelendi.  Buna göre, kira fiyatlarındaki yıllık artış oranı 2018 Eylül-2019 Eylül arasında sürekli düşmüş, takip eden dönemde ise neredeyse sürekli arttı. İzmir’deki ortalama kira artış hızı 2021-Nisan’dan itibaren daha belirgin hale geldi. Şubat verilerine göre İzmir’de yıllık </w:t>
      </w:r>
      <w:r>
        <w:lastRenderedPageBreak/>
        <w:t xml:space="preserve">ortalama kira artış oranı %74 oldu. </w:t>
      </w:r>
    </w:p>
    <w:p w:rsidR="009A139B" w:rsidRDefault="009A139B">
      <w:pPr>
        <w:widowControl w:val="0"/>
        <w:spacing w:after="0" w:line="276" w:lineRule="auto"/>
        <w:rPr>
          <w:b/>
        </w:rPr>
      </w:pPr>
    </w:p>
    <w:p w:rsidR="009A139B" w:rsidRDefault="004D4DCE">
      <w:pPr>
        <w:widowControl w:val="0"/>
        <w:spacing w:after="0" w:line="276" w:lineRule="auto"/>
        <w:rPr>
          <w:b/>
        </w:rPr>
      </w:pPr>
      <w:r>
        <w:rPr>
          <w:b/>
        </w:rPr>
        <w:t>Şekil 10: İzmir’de yıllık fiyatı artış oranı (%)</w:t>
      </w:r>
    </w:p>
    <w:p w:rsidR="009A139B" w:rsidRDefault="004D4DCE">
      <w:pPr>
        <w:widowControl w:val="0"/>
        <w:spacing w:after="0" w:line="276" w:lineRule="auto"/>
        <w:jc w:val="both"/>
      </w:pPr>
      <w:r>
        <w:rPr>
          <w:noProof/>
        </w:rPr>
        <w:drawing>
          <wp:inline distT="0" distB="0" distL="0" distR="0">
            <wp:extent cx="4500000" cy="2526175"/>
            <wp:effectExtent l="0" t="0" r="0" b="762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clrChange>
                        <a:clrFrom>
                          <a:srgbClr val="FFFFFF"/>
                        </a:clrFrom>
                        <a:clrTo>
                          <a:srgbClr val="FFFFFF">
                            <a:alpha val="0"/>
                          </a:srgbClr>
                        </a:clrTo>
                      </a:clrChange>
                    </a:blip>
                    <a:srcRect/>
                    <a:stretch>
                      <a:fillRect/>
                    </a:stretch>
                  </pic:blipFill>
                  <pic:spPr>
                    <a:xfrm>
                      <a:off x="0" y="0"/>
                      <a:ext cx="4500000" cy="2526175"/>
                    </a:xfrm>
                    <a:prstGeom prst="rect">
                      <a:avLst/>
                    </a:prstGeom>
                    <a:ln/>
                  </pic:spPr>
                </pic:pic>
              </a:graphicData>
            </a:graphic>
          </wp:inline>
        </w:drawing>
      </w:r>
    </w:p>
    <w:p w:rsidR="009A139B" w:rsidRDefault="004D4DCE">
      <w:pPr>
        <w:widowControl w:val="0"/>
        <w:spacing w:after="0" w:line="276" w:lineRule="auto"/>
        <w:jc w:val="both"/>
      </w:pPr>
      <w:r>
        <w:t>Kaynak: sahibinden.com, Betam</w:t>
      </w:r>
    </w:p>
    <w:p w:rsidR="009A139B" w:rsidRDefault="009A139B">
      <w:pPr>
        <w:spacing w:before="120" w:after="0" w:line="240" w:lineRule="auto"/>
        <w:jc w:val="both"/>
      </w:pPr>
    </w:p>
    <w:p w:rsidR="009A139B" w:rsidRDefault="004D4DCE">
      <w:pPr>
        <w:widowControl w:val="0"/>
        <w:spacing w:after="0" w:line="276" w:lineRule="auto"/>
        <w:jc w:val="both"/>
      </w:pPr>
      <w:r>
        <w:t xml:space="preserve">İzmir genelinde kiralık konut fiyatlarındaki yıllık artış yüksek bir orana ulaşırken, kira fiyat artışları ilçe düzeyinde önemli ölçüde farklılık gösterdi. Son bir yılda en yüksek artışın gerçekleştiği ilçe Urla %110) olurken, Urla’yı, sırasıyla, Selçuk %107,7, Aliağa %100, Bergama %98 ve Narlıdere %94,3 takip etti. Öte yandan, en düşük kira fiyatı artışı Ödemiş’te %32,1 görüldü, sırasıyla, Foça %45,6, Bayraklı %49,5, Çiğli % 51,9 ve Tire %55,8 en düşük kira fiyat artışlarının gerçekleştiği ilçeler oldu. </w:t>
      </w:r>
    </w:p>
    <w:p w:rsidR="009A139B" w:rsidRDefault="009A139B">
      <w:pPr>
        <w:spacing w:before="120" w:after="0" w:line="240" w:lineRule="auto"/>
        <w:jc w:val="both"/>
      </w:pPr>
    </w:p>
    <w:p w:rsidR="009A139B" w:rsidRDefault="004D4DCE">
      <w:pPr>
        <w:widowControl w:val="0"/>
        <w:spacing w:after="0" w:line="276" w:lineRule="auto"/>
      </w:pPr>
      <w:r>
        <w:t xml:space="preserve">Son bir yılda ülke genelindeki enflasyon oranının yaklaşık %54 olduğu dikkate alındığında enflasyondan arındırılmış reel kira fiyatlarının Çiğli, Bayraklı, Foça ve Ödemiş’te düştüğü, diğer ilçelerde ise yükseldiği görüldü. </w:t>
      </w:r>
    </w:p>
    <w:p w:rsidR="009A139B" w:rsidRDefault="009A139B">
      <w:pPr>
        <w:widowControl w:val="0"/>
        <w:spacing w:after="0" w:line="276" w:lineRule="auto"/>
        <w:jc w:val="both"/>
      </w:pPr>
    </w:p>
    <w:p w:rsidR="009A139B" w:rsidRDefault="004D4DCE">
      <w:pPr>
        <w:widowControl w:val="0"/>
        <w:spacing w:after="0" w:line="276" w:lineRule="auto"/>
        <w:jc w:val="both"/>
      </w:pPr>
      <w:r>
        <w:t>İzmir’de 2022 Şubat itibariyle ortalama kiralık m</w:t>
      </w:r>
      <w:r>
        <w:rPr>
          <w:vertAlign w:val="superscript"/>
        </w:rPr>
        <w:t>2</w:t>
      </w:r>
      <w:r>
        <w:t xml:space="preserve"> fiyatının en yüksek olduğu üç ilçe sırasıyla Urla 60 TL, Güzelbahçe 53 TL ve Narlıdere 46 TL oldu. En düşük kiralık m</w:t>
      </w:r>
      <w:r>
        <w:rPr>
          <w:vertAlign w:val="superscript"/>
        </w:rPr>
        <w:t>2</w:t>
      </w:r>
      <w:r>
        <w:t xml:space="preserve"> fiyatı ise Ödemiş 11 TL, Tire (15 TL), Kemalpaşa, Torbalı ve Bergama 18 </w:t>
      </w:r>
      <w:r w:rsidR="00B949D4">
        <w:t>TL ilçelerinde</w:t>
      </w:r>
      <w:r>
        <w:t xml:space="preserve"> gözlemlendi. </w:t>
      </w:r>
    </w:p>
    <w:p w:rsidR="009A139B" w:rsidRDefault="009A139B">
      <w:pPr>
        <w:widowControl w:val="0"/>
        <w:spacing w:after="0" w:line="276" w:lineRule="auto"/>
        <w:jc w:val="both"/>
      </w:pPr>
    </w:p>
    <w:p w:rsidR="009A139B" w:rsidRDefault="004D4DCE">
      <w:pPr>
        <w:widowControl w:val="0"/>
        <w:spacing w:after="0" w:line="240" w:lineRule="auto"/>
        <w:rPr>
          <w:b/>
        </w:rPr>
      </w:pPr>
      <w:r>
        <w:rPr>
          <w:b/>
        </w:rPr>
        <w:t>Tablo 3: İlçe düzeyinde bir önceki yılın aynı aya göre kira fiyatı artış oranları – 2022 Şubat</w:t>
      </w:r>
    </w:p>
    <w:p w:rsidR="009A139B" w:rsidRDefault="009A139B">
      <w:pPr>
        <w:widowControl w:val="0"/>
        <w:spacing w:after="0" w:line="240" w:lineRule="auto"/>
        <w:rPr>
          <w:b/>
        </w:rPr>
      </w:pPr>
    </w:p>
    <w:tbl>
      <w:tblPr>
        <w:tblStyle w:val="a0"/>
        <w:tblW w:w="92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323"/>
        <w:gridCol w:w="2323"/>
        <w:gridCol w:w="2323"/>
      </w:tblGrid>
      <w:tr w:rsidR="009A139B">
        <w:trPr>
          <w:trHeight w:val="1450"/>
        </w:trPr>
        <w:tc>
          <w:tcPr>
            <w:tcW w:w="2323" w:type="dxa"/>
            <w:shd w:val="clear" w:color="auto" w:fill="D9D9D9"/>
            <w:vAlign w:val="center"/>
          </w:tcPr>
          <w:p w:rsidR="009A139B" w:rsidRDefault="004D4DCE">
            <w:pPr>
              <w:spacing w:after="0" w:line="240" w:lineRule="auto"/>
              <w:jc w:val="center"/>
              <w:rPr>
                <w:b/>
              </w:rPr>
            </w:pPr>
            <w:r>
              <w:rPr>
                <w:b/>
              </w:rPr>
              <w:t>İlçe</w:t>
            </w:r>
          </w:p>
        </w:tc>
        <w:tc>
          <w:tcPr>
            <w:tcW w:w="2323" w:type="dxa"/>
            <w:shd w:val="clear" w:color="auto" w:fill="D9D9D9"/>
            <w:vAlign w:val="center"/>
          </w:tcPr>
          <w:p w:rsidR="009A139B" w:rsidRDefault="004D4DCE">
            <w:pPr>
              <w:spacing w:after="0" w:line="240" w:lineRule="auto"/>
              <w:jc w:val="center"/>
              <w:rPr>
                <w:b/>
              </w:rPr>
            </w:pPr>
            <w:r>
              <w:rPr>
                <w:b/>
              </w:rPr>
              <w:t>2021 Şubat kiralık m</w:t>
            </w:r>
            <w:r>
              <w:rPr>
                <w:b/>
                <w:vertAlign w:val="superscript"/>
              </w:rPr>
              <w:t>2</w:t>
            </w:r>
            <w:r>
              <w:rPr>
                <w:b/>
              </w:rPr>
              <w:t xml:space="preserve"> fiyat</w:t>
            </w:r>
          </w:p>
        </w:tc>
        <w:tc>
          <w:tcPr>
            <w:tcW w:w="2323" w:type="dxa"/>
            <w:shd w:val="clear" w:color="auto" w:fill="D9D9D9"/>
            <w:vAlign w:val="center"/>
          </w:tcPr>
          <w:p w:rsidR="009A139B" w:rsidRDefault="004D4DCE">
            <w:pPr>
              <w:spacing w:after="0" w:line="240" w:lineRule="auto"/>
              <w:jc w:val="center"/>
              <w:rPr>
                <w:b/>
              </w:rPr>
            </w:pPr>
            <w:r>
              <w:rPr>
                <w:b/>
              </w:rPr>
              <w:t>2022 Şubat kiralık m</w:t>
            </w:r>
            <w:r>
              <w:rPr>
                <w:b/>
                <w:vertAlign w:val="superscript"/>
              </w:rPr>
              <w:t>2</w:t>
            </w:r>
            <w:r>
              <w:rPr>
                <w:b/>
              </w:rPr>
              <w:t xml:space="preserve"> fiyat</w:t>
            </w:r>
          </w:p>
        </w:tc>
        <w:tc>
          <w:tcPr>
            <w:tcW w:w="2323" w:type="dxa"/>
            <w:shd w:val="clear" w:color="auto" w:fill="D9D9D9"/>
            <w:vAlign w:val="center"/>
          </w:tcPr>
          <w:p w:rsidR="009A139B" w:rsidRDefault="004D4DCE">
            <w:pPr>
              <w:spacing w:after="0" w:line="240" w:lineRule="auto"/>
              <w:jc w:val="center"/>
              <w:rPr>
                <w:b/>
              </w:rPr>
            </w:pPr>
            <w:r>
              <w:rPr>
                <w:b/>
              </w:rPr>
              <w:t>Yıllık kira fiyatı değişim oranı (%)</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Urla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28,6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60,0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110,0</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Güzelbahçe</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30,8</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53,0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71,9</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Narlıdere</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23,7</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46,0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94,3</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Balçova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19,2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36,0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87,2</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lastRenderedPageBreak/>
              <w:t>Foça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24,7</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36,0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45,6</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Karşıyaka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20,6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33,0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60,3</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Çiğli</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21,7</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33,0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51,9</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Seferihisar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18,0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31,0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72,2</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Bornova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18,9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31,0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64,1</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Konak</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19,2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31,0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61,2</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Buca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16,7</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30,0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80,0</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Gaziemir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17,8</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28,0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57,5</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Menderes</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16,8</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27,0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60,3</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Aliağa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12,5</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25,0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100,0</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Menemen</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13,6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25,0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83,8</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Bayraklı</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15,4</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23,0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49,5</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Selçuk</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10,6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22,0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107,7</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Karabağlar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13,2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22,0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67,3</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Bergama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9,1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18,0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98,0</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Torbalı</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10,0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18,0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80,0</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Kemalpaşa</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11,4</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18,0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57,5</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Tire</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9,6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15,0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55,8</w:t>
            </w:r>
          </w:p>
        </w:tc>
      </w:tr>
      <w:tr w:rsidR="009A139B">
        <w:trPr>
          <w:trHeight w:val="290"/>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pPr>
            <w:r>
              <w:t>Ödemiş</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8,3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11,0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39B" w:rsidRDefault="004D4DCE">
            <w:pPr>
              <w:spacing w:after="0" w:line="240" w:lineRule="auto"/>
              <w:jc w:val="center"/>
            </w:pPr>
            <w:r>
              <w:t>32,1</w:t>
            </w:r>
          </w:p>
        </w:tc>
      </w:tr>
    </w:tbl>
    <w:p w:rsidR="009A139B" w:rsidRDefault="004D4DCE">
      <w:pPr>
        <w:widowControl w:val="0"/>
        <w:spacing w:before="120" w:after="0" w:line="276" w:lineRule="auto"/>
        <w:jc w:val="both"/>
        <w:rPr>
          <w:rFonts w:ascii="Times New Roman" w:eastAsia="Times New Roman" w:hAnsi="Times New Roman" w:cs="Times New Roman"/>
          <w:sz w:val="24"/>
          <w:szCs w:val="24"/>
        </w:rPr>
      </w:pPr>
      <w:r>
        <w:t>Kaynak: sahibinden.com, Betam</w:t>
      </w:r>
    </w:p>
    <w:p w:rsidR="009A139B" w:rsidRDefault="009A139B">
      <w:pPr>
        <w:pBdr>
          <w:top w:val="nil"/>
          <w:left w:val="nil"/>
          <w:bottom w:val="nil"/>
          <w:right w:val="nil"/>
          <w:between w:val="nil"/>
        </w:pBdr>
        <w:spacing w:after="0" w:line="276" w:lineRule="auto"/>
        <w:jc w:val="both"/>
        <w:rPr>
          <w:color w:val="000000"/>
        </w:rPr>
      </w:pPr>
    </w:p>
    <w:p w:rsidR="009A139B" w:rsidRDefault="004D4DCE">
      <w:pPr>
        <w:pBdr>
          <w:top w:val="nil"/>
          <w:left w:val="nil"/>
          <w:bottom w:val="nil"/>
          <w:right w:val="nil"/>
          <w:between w:val="nil"/>
        </w:pBdr>
        <w:spacing w:after="0" w:line="276" w:lineRule="auto"/>
        <w:jc w:val="both"/>
        <w:rPr>
          <w:color w:val="000000"/>
        </w:rPr>
      </w:pPr>
      <w:r>
        <w:rPr>
          <w:color w:val="000000"/>
        </w:rPr>
        <w:t xml:space="preserve">Raporun tamamına </w:t>
      </w:r>
      <w:hyperlink r:id="rId8" w:history="1">
        <w:r w:rsidRPr="00A81F5C">
          <w:rPr>
            <w:rStyle w:val="Kpr"/>
            <w:b/>
          </w:rPr>
          <w:t>buradan</w:t>
        </w:r>
      </w:hyperlink>
      <w:bookmarkStart w:id="1" w:name="_GoBack"/>
      <w:bookmarkEnd w:id="1"/>
      <w:r>
        <w:rPr>
          <w:color w:val="000000"/>
        </w:rPr>
        <w:t xml:space="preserve"> ulaşabilirsiniz. </w:t>
      </w:r>
    </w:p>
    <w:p w:rsidR="009A139B" w:rsidRDefault="009A139B">
      <w:pPr>
        <w:pBdr>
          <w:top w:val="nil"/>
          <w:left w:val="nil"/>
          <w:bottom w:val="nil"/>
          <w:right w:val="nil"/>
          <w:between w:val="nil"/>
        </w:pBdr>
        <w:spacing w:after="0" w:line="276" w:lineRule="auto"/>
        <w:jc w:val="both"/>
        <w:rPr>
          <w:b/>
          <w:color w:val="000000"/>
        </w:rPr>
      </w:pPr>
    </w:p>
    <w:p w:rsidR="009A139B" w:rsidRDefault="004D4DCE">
      <w:pPr>
        <w:pBdr>
          <w:top w:val="nil"/>
          <w:left w:val="nil"/>
          <w:bottom w:val="nil"/>
          <w:right w:val="nil"/>
          <w:between w:val="nil"/>
        </w:pBdr>
        <w:spacing w:after="0" w:line="276" w:lineRule="auto"/>
        <w:jc w:val="both"/>
        <w:rPr>
          <w:b/>
          <w:color w:val="000000"/>
        </w:rPr>
      </w:pPr>
      <w:proofErr w:type="gramStart"/>
      <w:r>
        <w:rPr>
          <w:b/>
          <w:color w:val="000000"/>
        </w:rPr>
        <w:t>sahibinden</w:t>
      </w:r>
      <w:proofErr w:type="gramEnd"/>
      <w:r>
        <w:rPr>
          <w:b/>
          <w:color w:val="000000"/>
        </w:rPr>
        <w:t>.com hakkında</w:t>
      </w:r>
    </w:p>
    <w:p w:rsidR="009A139B" w:rsidRDefault="004D4DCE">
      <w:pPr>
        <w:pBdr>
          <w:top w:val="nil"/>
          <w:left w:val="nil"/>
          <w:bottom w:val="nil"/>
          <w:right w:val="nil"/>
          <w:between w:val="nil"/>
        </w:pBdr>
        <w:spacing w:after="0" w:line="276" w:lineRule="auto"/>
        <w:jc w:val="both"/>
      </w:pPr>
      <w:r>
        <w:t xml:space="preserve">Aksoy </w:t>
      </w:r>
      <w:proofErr w:type="spellStart"/>
      <w:r>
        <w:t>Group</w:t>
      </w:r>
      <w:proofErr w:type="spellEnd"/>
      <w:r>
        <w:t xml:space="preserve">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çalışanı, 5 milyondan fazla aktif ilan ve yüz binlerce ürün çeşidiyle Türkiye’nin en büyük elektronik ticaret ve ilan platformlarından birisi olma özelliğini taşıyor.</w:t>
      </w:r>
    </w:p>
    <w:p w:rsidR="009A139B" w:rsidRDefault="009A139B">
      <w:pPr>
        <w:pBdr>
          <w:top w:val="nil"/>
          <w:left w:val="nil"/>
          <w:bottom w:val="nil"/>
          <w:right w:val="nil"/>
          <w:between w:val="nil"/>
        </w:pBdr>
        <w:spacing w:after="0" w:line="276" w:lineRule="auto"/>
        <w:jc w:val="both"/>
      </w:pPr>
    </w:p>
    <w:p w:rsidR="009A139B" w:rsidRDefault="004D4DCE">
      <w:pPr>
        <w:pBdr>
          <w:top w:val="nil"/>
          <w:left w:val="nil"/>
          <w:bottom w:val="nil"/>
          <w:right w:val="nil"/>
          <w:between w:val="nil"/>
        </w:pBdr>
        <w:spacing w:after="0" w:line="276" w:lineRule="auto"/>
        <w:jc w:val="both"/>
      </w:pPr>
      <w:proofErr w:type="gramStart"/>
      <w:r>
        <w:t>sahibinden</w:t>
      </w:r>
      <w:proofErr w:type="gramEnd"/>
      <w:r>
        <w:t xml:space="preserve">.com güçlü teknolojik altyapısı ve çağın şartlarına uygun olarak geliştirdiği iş modeli sayesinde ikinci el ürünlerin satış yoluyla tekrar kullanıma kazandırılmasına aracılık ederek çevresel sürdürülebilirliğe katkı sağlıyor. </w:t>
      </w:r>
      <w:proofErr w:type="gramStart"/>
      <w:r>
        <w:t>sahibinden</w:t>
      </w:r>
      <w:proofErr w:type="gramEnd"/>
      <w:r>
        <w:t>.com,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w:t>
      </w:r>
      <w:proofErr w:type="gramStart"/>
      <w:r>
        <w:t>nötr</w:t>
      </w:r>
      <w:proofErr w:type="gramEnd"/>
      <w:r>
        <w:t xml:space="preserve"> hale getirmeyi hedefleyen LFCA (</w:t>
      </w:r>
      <w:proofErr w:type="spellStart"/>
      <w:r>
        <w:t>Leaders</w:t>
      </w:r>
      <w:proofErr w:type="spellEnd"/>
      <w:r>
        <w:t xml:space="preserve"> </w:t>
      </w:r>
      <w:proofErr w:type="spellStart"/>
      <w:r>
        <w:t>for</w:t>
      </w:r>
      <w:proofErr w:type="spellEnd"/>
      <w:r>
        <w:t xml:space="preserve"> </w:t>
      </w:r>
      <w:proofErr w:type="spellStart"/>
      <w:r>
        <w:t>Climate</w:t>
      </w:r>
      <w:proofErr w:type="spellEnd"/>
      <w:r>
        <w:t xml:space="preserve"> Action) üyeliği bulunan şirketin çalışanları da birer sürdürülebilirlik elçisi olarak çalışmalarına aralıksız devam ediyor.</w:t>
      </w:r>
    </w:p>
    <w:p w:rsidR="009A139B" w:rsidRDefault="009A139B">
      <w:pPr>
        <w:pBdr>
          <w:top w:val="nil"/>
          <w:left w:val="nil"/>
          <w:bottom w:val="nil"/>
          <w:right w:val="nil"/>
          <w:between w:val="nil"/>
        </w:pBdr>
        <w:spacing w:after="0" w:line="276" w:lineRule="auto"/>
        <w:jc w:val="both"/>
        <w:rPr>
          <w:color w:val="000000"/>
        </w:rPr>
      </w:pPr>
    </w:p>
    <w:p w:rsidR="009A139B" w:rsidRDefault="009A139B">
      <w:pPr>
        <w:pBdr>
          <w:top w:val="nil"/>
          <w:left w:val="nil"/>
          <w:bottom w:val="nil"/>
          <w:right w:val="nil"/>
          <w:between w:val="nil"/>
        </w:pBdr>
        <w:spacing w:after="0" w:line="276" w:lineRule="auto"/>
        <w:jc w:val="both"/>
        <w:rPr>
          <w:color w:val="000000"/>
        </w:rPr>
      </w:pPr>
    </w:p>
    <w:p w:rsidR="009A139B" w:rsidRDefault="009A139B">
      <w:pPr>
        <w:pBdr>
          <w:top w:val="nil"/>
          <w:left w:val="nil"/>
          <w:bottom w:val="nil"/>
          <w:right w:val="nil"/>
          <w:between w:val="nil"/>
        </w:pBdr>
        <w:spacing w:after="0" w:line="276" w:lineRule="auto"/>
        <w:jc w:val="both"/>
        <w:rPr>
          <w:color w:val="000000"/>
        </w:rPr>
      </w:pPr>
    </w:p>
    <w:p w:rsidR="009A139B" w:rsidRDefault="009A139B">
      <w:pPr>
        <w:rPr>
          <w:b/>
          <w:color w:val="000000"/>
        </w:rPr>
      </w:pPr>
      <w:bookmarkStart w:id="2" w:name="_30j0zll" w:colFirst="0" w:colLast="0"/>
      <w:bookmarkEnd w:id="2"/>
    </w:p>
    <w:sectPr w:rsidR="009A139B">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6A" w:rsidRDefault="007A666A">
      <w:pPr>
        <w:spacing w:after="0" w:line="240" w:lineRule="auto"/>
      </w:pPr>
      <w:r>
        <w:separator/>
      </w:r>
    </w:p>
  </w:endnote>
  <w:endnote w:type="continuationSeparator" w:id="0">
    <w:p w:rsidR="007A666A" w:rsidRDefault="007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6A" w:rsidRDefault="007A666A">
      <w:pPr>
        <w:spacing w:after="0" w:line="240" w:lineRule="auto"/>
      </w:pPr>
      <w:r>
        <w:separator/>
      </w:r>
    </w:p>
  </w:footnote>
  <w:footnote w:type="continuationSeparator" w:id="0">
    <w:p w:rsidR="007A666A" w:rsidRDefault="007A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9B" w:rsidRDefault="004D4DCE">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2836401" cy="60532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36401" cy="605329"/>
                  </a:xfrm>
                  <a:prstGeom prst="rect">
                    <a:avLst/>
                  </a:prstGeom>
                  <a:ln/>
                </pic:spPr>
              </pic:pic>
            </a:graphicData>
          </a:graphic>
        </wp:inline>
      </w:drawing>
    </w:r>
  </w:p>
  <w:p w:rsidR="009A139B" w:rsidRDefault="009A13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9B"/>
    <w:rsid w:val="004D4DCE"/>
    <w:rsid w:val="007A666A"/>
    <w:rsid w:val="009A139B"/>
    <w:rsid w:val="00A81F5C"/>
    <w:rsid w:val="00B94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F268B-C08E-4C60-84D1-F276FFB7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character" w:styleId="Kpr">
    <w:name w:val="Hyperlink"/>
    <w:basedOn w:val="VarsaylanParagrafYazTipi"/>
    <w:uiPriority w:val="99"/>
    <w:unhideWhenUsed/>
    <w:rsid w:val="00A81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hibinden.com/kurumsal/raporlar/sahibindex-kiralik-konut-piyasasi-gorunumu-----subat-2022"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Sahibinden Bilgi Teknolojileri</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Deniz Sabuncu</cp:lastModifiedBy>
  <cp:revision>3</cp:revision>
  <dcterms:created xsi:type="dcterms:W3CDTF">2022-03-17T07:55:00Z</dcterms:created>
  <dcterms:modified xsi:type="dcterms:W3CDTF">2022-03-17T11:06:00Z</dcterms:modified>
</cp:coreProperties>
</file>