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569" w:rsidRDefault="005D4569">
      <w:pPr>
        <w:spacing w:line="240" w:lineRule="auto"/>
        <w:jc w:val="right"/>
      </w:pPr>
    </w:p>
    <w:p w:rsidR="005D4569" w:rsidRDefault="00AE0D30">
      <w:pPr>
        <w:spacing w:line="240" w:lineRule="auto"/>
        <w:jc w:val="right"/>
      </w:pPr>
      <w:r>
        <w:rPr>
          <w:highlight w:val="yellow"/>
        </w:rPr>
        <w:t>XX</w:t>
      </w:r>
      <w:r>
        <w:t xml:space="preserve"> Mart 2022</w:t>
      </w:r>
    </w:p>
    <w:p w:rsidR="005D4569" w:rsidRDefault="00AE0D30">
      <w:pPr>
        <w:spacing w:after="0" w:line="240" w:lineRule="auto"/>
        <w:jc w:val="center"/>
        <w:rPr>
          <w:b/>
          <w:sz w:val="24"/>
          <w:szCs w:val="24"/>
        </w:rPr>
      </w:pPr>
      <w:r>
        <w:rPr>
          <w:b/>
          <w:sz w:val="24"/>
          <w:szCs w:val="24"/>
        </w:rPr>
        <w:t>Satılık konut m2 fiyatlarında en hızlı artışın görüldüğü il Mersin oldu</w:t>
      </w:r>
    </w:p>
    <w:p w:rsidR="005D4569" w:rsidRDefault="00AE0D30" w:rsidP="00897A31">
      <w:pPr>
        <w:spacing w:after="0" w:line="240" w:lineRule="auto"/>
        <w:jc w:val="center"/>
        <w:rPr>
          <w:b/>
          <w:sz w:val="36"/>
          <w:szCs w:val="36"/>
        </w:rPr>
      </w:pPr>
      <w:r>
        <w:rPr>
          <w:b/>
          <w:sz w:val="36"/>
          <w:szCs w:val="36"/>
        </w:rPr>
        <w:t xml:space="preserve">Satılık konut fiyatları </w:t>
      </w:r>
      <w:bookmarkStart w:id="0" w:name="_GoBack"/>
      <w:bookmarkEnd w:id="0"/>
      <w:r w:rsidR="00897A31">
        <w:rPr>
          <w:b/>
          <w:sz w:val="36"/>
          <w:szCs w:val="36"/>
        </w:rPr>
        <w:t>en yüksek seviyesinde</w:t>
      </w:r>
    </w:p>
    <w:p w:rsidR="00897A31" w:rsidRDefault="00897A31" w:rsidP="00897A31">
      <w:pPr>
        <w:spacing w:after="0" w:line="240" w:lineRule="auto"/>
        <w:jc w:val="center"/>
        <w:rPr>
          <w:b/>
        </w:rPr>
      </w:pPr>
    </w:p>
    <w:p w:rsidR="005D4569" w:rsidRDefault="00AE0D30">
      <w:pPr>
        <w:spacing w:after="0" w:line="276" w:lineRule="auto"/>
        <w:ind w:left="-141" w:right="-264"/>
        <w:jc w:val="center"/>
        <w:rPr>
          <w:b/>
        </w:rPr>
      </w:pPr>
      <w:proofErr w:type="gramStart"/>
      <w:r>
        <w:rPr>
          <w:b/>
        </w:rPr>
        <w:t>sahibinden</w:t>
      </w:r>
      <w:proofErr w:type="gramEnd"/>
      <w:r>
        <w:rPr>
          <w:b/>
        </w:rPr>
        <w:t xml:space="preserve">.com ve </w:t>
      </w:r>
      <w:proofErr w:type="spellStart"/>
      <w:r>
        <w:rPr>
          <w:b/>
        </w:rPr>
        <w:t>Bahçeşehir</w:t>
      </w:r>
      <w:proofErr w:type="spellEnd"/>
      <w:r>
        <w:rPr>
          <w:b/>
        </w:rPr>
        <w:t xml:space="preserve"> Üniversitesi Ekonomik ve Toplumsal Araştırmalar Merkezi (BETAM)’</w:t>
      </w:r>
      <w:proofErr w:type="spellStart"/>
      <w:r>
        <w:rPr>
          <w:b/>
        </w:rPr>
        <w:t>ın</w:t>
      </w:r>
      <w:proofErr w:type="spellEnd"/>
      <w:r>
        <w:rPr>
          <w:b/>
        </w:rPr>
        <w:t xml:space="preserve"> hazırladığı “</w:t>
      </w:r>
      <w:proofErr w:type="spellStart"/>
      <w:r>
        <w:rPr>
          <w:b/>
        </w:rPr>
        <w:t>sahibindex</w:t>
      </w:r>
      <w:proofErr w:type="spellEnd"/>
      <w:r>
        <w:rPr>
          <w:b/>
        </w:rPr>
        <w:t xml:space="preserve"> Satılık Konut Piyasası Görünümü” raporuna göre, satış fiyatlarındaki artış bir miktar yavaşlasa da raporlarda incelenen dönemdeki en yüksek seviyesine ulaştı. Satılık konutların m2 fiyatları geçen yılın aynı dönemini ikiye katladı.</w:t>
      </w:r>
    </w:p>
    <w:p w:rsidR="005D4569" w:rsidRDefault="005D4569">
      <w:pPr>
        <w:spacing w:after="0" w:line="276" w:lineRule="auto"/>
      </w:pPr>
    </w:p>
    <w:p w:rsidR="005D4569" w:rsidRDefault="00AE0D30">
      <w:pPr>
        <w:spacing w:after="0" w:line="276" w:lineRule="auto"/>
        <w:jc w:val="both"/>
      </w:pPr>
      <w:proofErr w:type="spellStart"/>
      <w:r>
        <w:t>Bahçeşehir</w:t>
      </w:r>
      <w:proofErr w:type="spellEnd"/>
      <w:r>
        <w:t xml:space="preserve"> Üniversitesi Ekonomik ve Toplumsal Araştırmalar Merkezi (BETAM) tarafından </w:t>
      </w:r>
      <w:proofErr w:type="spellStart"/>
      <w:proofErr w:type="gramStart"/>
      <w:r>
        <w:t>sahibinden.com’un</w:t>
      </w:r>
      <w:proofErr w:type="spellEnd"/>
      <w:proofErr w:type="gramEnd"/>
      <w:r>
        <w:t xml:space="preserve"> ilan verileriyle hazırlanan “</w:t>
      </w:r>
      <w:proofErr w:type="spellStart"/>
      <w:r>
        <w:t>sahibindex</w:t>
      </w:r>
      <w:proofErr w:type="spellEnd"/>
      <w:r>
        <w:t xml:space="preserve"> Satılık Konut Piyasası Görünümü” 2022 Mart ayı raporu yayınlandı. Rapora göre geçen yılın Mart ayı ile kıyaslandığında Türkiye genelinde ortalama satılık konut ilan m</w:t>
      </w:r>
      <w:r>
        <w:rPr>
          <w:vertAlign w:val="superscript"/>
        </w:rPr>
        <w:t>2</w:t>
      </w:r>
      <w:r>
        <w:t xml:space="preserve"> cari fiyatı yüzde 119,3 artarak 7.965 TL oldu. Satılık konut ilan m</w:t>
      </w:r>
      <w:r>
        <w:rPr>
          <w:vertAlign w:val="superscript"/>
        </w:rPr>
        <w:t>2</w:t>
      </w:r>
      <w:r>
        <w:t xml:space="preserve"> cari fiyatları aynı dönemde İstanbul’da yüzde 137,9, Ankara’da yüzde 105,5 ve İzmir’de yüzde 104,5 arttı. Böylece, ortalama satılık konut m</w:t>
      </w:r>
      <w:r>
        <w:rPr>
          <w:vertAlign w:val="superscript"/>
        </w:rPr>
        <w:t>2</w:t>
      </w:r>
      <w:r>
        <w:t xml:space="preserve"> fiyatları İstanbul’da 11.578 TL, Ankara’da 5.137 TL, İzmir’de ise 8.947 TL oldu.</w:t>
      </w:r>
    </w:p>
    <w:p w:rsidR="005D4569" w:rsidRDefault="005D4569">
      <w:pPr>
        <w:spacing w:after="0" w:line="276" w:lineRule="auto"/>
      </w:pPr>
    </w:p>
    <w:p w:rsidR="005D4569" w:rsidRDefault="00AE0D30">
      <w:pPr>
        <w:spacing w:after="0" w:line="276" w:lineRule="auto"/>
        <w:jc w:val="both"/>
        <w:rPr>
          <w:b/>
        </w:rPr>
      </w:pPr>
      <w:r>
        <w:rPr>
          <w:b/>
        </w:rPr>
        <w:t>Satılık konut metrekare fiyatları geçen yılın aynı dönemine göre iki kat artarak 7.965 TL oldu</w:t>
      </w:r>
    </w:p>
    <w:p w:rsidR="005D4569" w:rsidRDefault="00AE0D30">
      <w:pPr>
        <w:spacing w:after="0" w:line="276" w:lineRule="auto"/>
        <w:jc w:val="both"/>
      </w:pPr>
      <w:r>
        <w:t>Satılık konut cari fiyatlarındaki yıllık artış oranı Ocak ayındaki yıllık artışa göre ivme kaybetti. Ocak’ta 18 puan yükselen yıllık artış hızı Şubat’ta 10,2 puan yükseldi. Bu yavaşlamaya rağmen satılık konut fiyatları geçen yılın aynı ayına kıyasla yüzde 119,3 arttı ve raporlarda incelenen dönemdeki yeni en yüksek seviyesine ulaştı. Buna bağlı olarak geçen yılın aynı ayında 3.632 TL olan Türkiye geneli ortalama satılık konut ilan m</w:t>
      </w:r>
      <w:r>
        <w:rPr>
          <w:vertAlign w:val="superscript"/>
        </w:rPr>
        <w:t>2</w:t>
      </w:r>
      <w:r>
        <w:t xml:space="preserve"> fiyatı 7.965 TL'ye yükseldi.</w:t>
      </w:r>
    </w:p>
    <w:p w:rsidR="005D4569" w:rsidRDefault="005D4569">
      <w:pPr>
        <w:spacing w:after="0" w:line="276" w:lineRule="auto"/>
        <w:rPr>
          <w:b/>
        </w:rPr>
      </w:pPr>
    </w:p>
    <w:p w:rsidR="005D4569" w:rsidRDefault="00AE0D30">
      <w:pPr>
        <w:spacing w:after="0" w:line="276" w:lineRule="auto"/>
        <w:rPr>
          <w:b/>
        </w:rPr>
      </w:pPr>
      <w:r>
        <w:rPr>
          <w:b/>
        </w:rPr>
        <w:t>Türkiye ve üç büyük ilde satılık konut ilan fiyatlarının yıllık değişimi (%)</w:t>
      </w:r>
    </w:p>
    <w:p w:rsidR="005D4569" w:rsidRDefault="00AE0D30">
      <w:pPr>
        <w:spacing w:after="0" w:line="276" w:lineRule="auto"/>
        <w:rPr>
          <w:b/>
        </w:rPr>
      </w:pPr>
      <w:r>
        <w:rPr>
          <w:noProof/>
        </w:rPr>
        <w:drawing>
          <wp:inline distT="0" distB="0" distL="0" distR="0">
            <wp:extent cx="4195478" cy="2394000"/>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195478" cy="2394000"/>
                    </a:xfrm>
                    <a:prstGeom prst="rect">
                      <a:avLst/>
                    </a:prstGeom>
                    <a:ln/>
                  </pic:spPr>
                </pic:pic>
              </a:graphicData>
            </a:graphic>
          </wp:inline>
        </w:drawing>
      </w:r>
    </w:p>
    <w:p w:rsidR="005D4569" w:rsidRDefault="00AE0D30">
      <w:pPr>
        <w:spacing w:after="0" w:line="276" w:lineRule="auto"/>
        <w:jc w:val="both"/>
      </w:pPr>
      <w:r>
        <w:rPr>
          <w:b/>
        </w:rPr>
        <w:t>Kaynak:</w:t>
      </w:r>
      <w:r>
        <w:t xml:space="preserve"> sahibinden.com, Betam</w:t>
      </w:r>
    </w:p>
    <w:p w:rsidR="005D4569" w:rsidRDefault="005D4569">
      <w:pPr>
        <w:spacing w:after="0" w:line="276" w:lineRule="auto"/>
        <w:rPr>
          <w:b/>
        </w:rPr>
      </w:pPr>
    </w:p>
    <w:p w:rsidR="005D4569" w:rsidRDefault="005D4569">
      <w:pPr>
        <w:spacing w:after="0" w:line="276" w:lineRule="auto"/>
        <w:rPr>
          <w:b/>
        </w:rPr>
      </w:pPr>
    </w:p>
    <w:p w:rsidR="006877BB" w:rsidRDefault="006877BB">
      <w:pPr>
        <w:rPr>
          <w:b/>
        </w:rPr>
      </w:pPr>
      <w:r>
        <w:rPr>
          <w:b/>
        </w:rPr>
        <w:br w:type="page"/>
      </w:r>
    </w:p>
    <w:p w:rsidR="005D4569" w:rsidRDefault="00AE0D30">
      <w:pPr>
        <w:pBdr>
          <w:top w:val="nil"/>
          <w:left w:val="nil"/>
          <w:bottom w:val="nil"/>
          <w:right w:val="nil"/>
          <w:between w:val="nil"/>
        </w:pBdr>
        <w:spacing w:after="0" w:line="276" w:lineRule="auto"/>
        <w:jc w:val="both"/>
        <w:rPr>
          <w:b/>
        </w:rPr>
      </w:pPr>
      <w:r>
        <w:rPr>
          <w:b/>
        </w:rPr>
        <w:lastRenderedPageBreak/>
        <w:t>Üç büyük ilde satış fiyatı artış hızı yükselmeye devam ediyor</w:t>
      </w:r>
    </w:p>
    <w:p w:rsidR="005D4569" w:rsidRDefault="00AE0D30">
      <w:pPr>
        <w:spacing w:after="0" w:line="276" w:lineRule="auto"/>
        <w:jc w:val="both"/>
      </w:pPr>
      <w:r>
        <w:t>Satılık konut cari fiyatlarındaki yıllık artış oranı Türkiye genelinde olduğu gibi üç büyük ilde geçen aya göre bir miktar yavaşlasa da yükselmeye devam etti. Satılık konut fiyatlarının artış hızı geçen aya göre İstanbul'da 10,4, Ankara'da 8,4, İzmir'de 10,5 puan yükseldi. Böylece, satılık konut cari fiyatındaki yıllık artış oranı İstanbul’da yüzde 137,9, Ankara’da yüzde 105,5 ve İzmir’de yüzde 104,5 oldu. Satılık konut m</w:t>
      </w:r>
      <w:r>
        <w:rPr>
          <w:vertAlign w:val="superscript"/>
        </w:rPr>
        <w:t>2</w:t>
      </w:r>
      <w:r>
        <w:t xml:space="preserve"> ortalama fiyatları İstanbul'da 11.578 TL’ye, Ankara'da 5.137 TL’ye ve İzmir'de 8.947 TL’ye yükseldi. Türkiye genelindeki reel satış fiyatları, 2020 Mayıs’tan itibaren artarken reel konut fiyat endeksi Şubat ayında bir miktar yükselerek 132,2’ye ulaştı. Şubat verilerine göre satılık konut reel fiyat endeksi 2017 Eylül dönemindeki değerini yüzde 32,2 aştı.</w:t>
      </w:r>
    </w:p>
    <w:p w:rsidR="005D4569" w:rsidRDefault="005D4569">
      <w:pPr>
        <w:spacing w:after="0" w:line="276" w:lineRule="auto"/>
        <w:jc w:val="both"/>
        <w:rPr>
          <w:b/>
        </w:rPr>
      </w:pPr>
    </w:p>
    <w:p w:rsidR="005D4569" w:rsidRDefault="00AE0D30">
      <w:pPr>
        <w:spacing w:after="0" w:line="276" w:lineRule="auto"/>
        <w:jc w:val="both"/>
        <w:rPr>
          <w:b/>
        </w:rPr>
      </w:pPr>
      <w:r>
        <w:rPr>
          <w:b/>
        </w:rPr>
        <w:t>Büyükşehirlerde konut satış fiyatları artışlarında farklılık</w:t>
      </w:r>
    </w:p>
    <w:p w:rsidR="005D4569" w:rsidRDefault="00AE0D30">
      <w:pPr>
        <w:spacing w:after="0" w:line="276" w:lineRule="auto"/>
        <w:jc w:val="both"/>
      </w:pPr>
      <w:r>
        <w:t>Konut satış fiyatları Şubat ayında da geçen yılın aynı ayına göre bütün büyükşehirlerde arttı. Satılık konut m</w:t>
      </w:r>
      <w:r>
        <w:rPr>
          <w:vertAlign w:val="superscript"/>
        </w:rPr>
        <w:t>2</w:t>
      </w:r>
      <w:r>
        <w:t xml:space="preserve"> fiyatlarında en hızlı artışın görüldüğü iller: Mersin %154,2, İstanbul %137</w:t>
      </w:r>
      <w:r w:rsidR="006877BB">
        <w:t>,9, Antalya %129,7, Aydın %129</w:t>
      </w:r>
      <w:r>
        <w:t xml:space="preserve"> ve Diyarbakır’dır %128,2. En düşük artış oranının gerç</w:t>
      </w:r>
      <w:r w:rsidR="006877BB">
        <w:t>ekleştiği iller ise Manisa %87, Eskişehir %85</w:t>
      </w:r>
      <w:r>
        <w:t xml:space="preserve">, Malatya %82,7, Erzurum %80,1 ve Van %79,1 oldu. </w:t>
      </w:r>
    </w:p>
    <w:p w:rsidR="005D4569" w:rsidRDefault="005D4569">
      <w:pPr>
        <w:pBdr>
          <w:top w:val="nil"/>
          <w:left w:val="nil"/>
          <w:bottom w:val="nil"/>
          <w:right w:val="nil"/>
          <w:between w:val="nil"/>
        </w:pBdr>
        <w:spacing w:after="0" w:line="276" w:lineRule="auto"/>
        <w:jc w:val="both"/>
        <w:rPr>
          <w:b/>
        </w:rPr>
      </w:pPr>
    </w:p>
    <w:p w:rsidR="005D4569" w:rsidRDefault="00AE0D30">
      <w:pPr>
        <w:pBdr>
          <w:top w:val="nil"/>
          <w:left w:val="nil"/>
          <w:bottom w:val="nil"/>
          <w:right w:val="nil"/>
          <w:between w:val="nil"/>
        </w:pBdr>
        <w:spacing w:after="120" w:line="276" w:lineRule="auto"/>
        <w:jc w:val="both"/>
        <w:rPr>
          <w:b/>
          <w:color w:val="000000"/>
        </w:rPr>
      </w:pPr>
      <w:r>
        <w:rPr>
          <w:b/>
          <w:color w:val="000000"/>
        </w:rPr>
        <w:t>En yüksek ve en düşük yıllık satılık ilan fiyatı değişimlerinin yaşandığı iller- 2022 Şubat</w:t>
      </w:r>
    </w:p>
    <w:tbl>
      <w:tblPr>
        <w:tblStyle w:val="a"/>
        <w:tblW w:w="9174" w:type="dxa"/>
        <w:tblInd w:w="0" w:type="dxa"/>
        <w:tblLayout w:type="fixed"/>
        <w:tblLook w:val="0400" w:firstRow="0" w:lastRow="0" w:firstColumn="0" w:lastColumn="0" w:noHBand="0" w:noVBand="1"/>
      </w:tblPr>
      <w:tblGrid>
        <w:gridCol w:w="2010"/>
        <w:gridCol w:w="2436"/>
        <w:gridCol w:w="2436"/>
        <w:gridCol w:w="2292"/>
      </w:tblGrid>
      <w:tr w:rsidR="005D4569">
        <w:trPr>
          <w:trHeight w:val="780"/>
        </w:trPr>
        <w:tc>
          <w:tcPr>
            <w:tcW w:w="20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5D4569" w:rsidRDefault="00AE0D30">
            <w:pPr>
              <w:pBdr>
                <w:top w:val="nil"/>
                <w:left w:val="nil"/>
                <w:bottom w:val="nil"/>
                <w:right w:val="nil"/>
                <w:between w:val="nil"/>
              </w:pBdr>
              <w:spacing w:before="120" w:after="120" w:line="276" w:lineRule="auto"/>
              <w:jc w:val="both"/>
              <w:rPr>
                <w:b/>
                <w:color w:val="000000"/>
              </w:rPr>
            </w:pPr>
            <w:r>
              <w:rPr>
                <w:b/>
                <w:color w:val="000000"/>
              </w:rPr>
              <w:t>İller</w:t>
            </w:r>
          </w:p>
        </w:tc>
        <w:tc>
          <w:tcPr>
            <w:tcW w:w="2436" w:type="dxa"/>
            <w:tcBorders>
              <w:top w:val="single" w:sz="8" w:space="0" w:color="000000"/>
              <w:left w:val="single" w:sz="4" w:space="0" w:color="000000"/>
              <w:bottom w:val="single" w:sz="8" w:space="0" w:color="000000"/>
              <w:right w:val="single" w:sz="4" w:space="0" w:color="000000"/>
            </w:tcBorders>
            <w:shd w:val="clear" w:color="auto" w:fill="auto"/>
            <w:vAlign w:val="center"/>
          </w:tcPr>
          <w:p w:rsidR="005D4569" w:rsidRDefault="00AE0D30">
            <w:pPr>
              <w:pBdr>
                <w:top w:val="nil"/>
                <w:left w:val="nil"/>
                <w:bottom w:val="nil"/>
                <w:right w:val="nil"/>
                <w:between w:val="nil"/>
              </w:pBdr>
              <w:spacing w:before="120" w:after="120" w:line="276" w:lineRule="auto"/>
              <w:jc w:val="both"/>
              <w:rPr>
                <w:b/>
                <w:color w:val="000000"/>
              </w:rPr>
            </w:pPr>
            <w:r>
              <w:rPr>
                <w:b/>
                <w:color w:val="000000"/>
              </w:rPr>
              <w:t>Şubat 2021 m</w:t>
            </w:r>
            <w:r>
              <w:rPr>
                <w:b/>
                <w:color w:val="000000"/>
                <w:vertAlign w:val="superscript"/>
              </w:rPr>
              <w:t>2</w:t>
            </w:r>
            <w:r>
              <w:rPr>
                <w:b/>
                <w:color w:val="000000"/>
              </w:rPr>
              <w:t xml:space="preserve"> Fiyatı</w:t>
            </w:r>
          </w:p>
        </w:tc>
        <w:tc>
          <w:tcPr>
            <w:tcW w:w="2436" w:type="dxa"/>
            <w:tcBorders>
              <w:top w:val="single" w:sz="8" w:space="0" w:color="000000"/>
              <w:left w:val="nil"/>
              <w:bottom w:val="single" w:sz="8" w:space="0" w:color="000000"/>
              <w:right w:val="single" w:sz="4" w:space="0" w:color="000000"/>
            </w:tcBorders>
            <w:shd w:val="clear" w:color="auto" w:fill="auto"/>
            <w:vAlign w:val="center"/>
          </w:tcPr>
          <w:p w:rsidR="005D4569" w:rsidRDefault="00AE0D30">
            <w:pPr>
              <w:pBdr>
                <w:top w:val="nil"/>
                <w:left w:val="nil"/>
                <w:bottom w:val="nil"/>
                <w:right w:val="nil"/>
                <w:between w:val="nil"/>
              </w:pBdr>
              <w:spacing w:before="120" w:after="120" w:line="276" w:lineRule="auto"/>
              <w:jc w:val="both"/>
              <w:rPr>
                <w:b/>
                <w:color w:val="000000"/>
              </w:rPr>
            </w:pPr>
            <w:r>
              <w:rPr>
                <w:b/>
                <w:color w:val="000000"/>
              </w:rPr>
              <w:t>Şubat 2022 m</w:t>
            </w:r>
            <w:r>
              <w:rPr>
                <w:b/>
                <w:color w:val="000000"/>
                <w:vertAlign w:val="superscript"/>
              </w:rPr>
              <w:t>2</w:t>
            </w:r>
            <w:r>
              <w:rPr>
                <w:b/>
                <w:color w:val="000000"/>
              </w:rPr>
              <w:t xml:space="preserve"> Fiyatı</w:t>
            </w:r>
          </w:p>
        </w:tc>
        <w:tc>
          <w:tcPr>
            <w:tcW w:w="2292" w:type="dxa"/>
            <w:tcBorders>
              <w:top w:val="single" w:sz="8" w:space="0" w:color="000000"/>
              <w:left w:val="nil"/>
              <w:bottom w:val="single" w:sz="8" w:space="0" w:color="000000"/>
              <w:right w:val="single" w:sz="8" w:space="0" w:color="000000"/>
            </w:tcBorders>
            <w:shd w:val="clear" w:color="auto" w:fill="auto"/>
            <w:vAlign w:val="center"/>
          </w:tcPr>
          <w:p w:rsidR="005D4569" w:rsidRDefault="00AE0D30">
            <w:pPr>
              <w:pBdr>
                <w:top w:val="nil"/>
                <w:left w:val="nil"/>
                <w:bottom w:val="nil"/>
                <w:right w:val="nil"/>
                <w:between w:val="nil"/>
              </w:pBdr>
              <w:spacing w:before="120" w:after="120" w:line="276" w:lineRule="auto"/>
              <w:jc w:val="both"/>
              <w:rPr>
                <w:b/>
                <w:color w:val="000000"/>
              </w:rPr>
            </w:pPr>
            <w:r>
              <w:rPr>
                <w:b/>
                <w:color w:val="000000"/>
              </w:rPr>
              <w:t>Satılık Fiyat Değişimi (%)</w:t>
            </w:r>
          </w:p>
        </w:tc>
      </w:tr>
      <w:tr w:rsidR="005D4569">
        <w:trPr>
          <w:trHeight w:val="300"/>
        </w:trPr>
        <w:tc>
          <w:tcPr>
            <w:tcW w:w="20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5D4569" w:rsidRDefault="00AE0D30">
            <w:pPr>
              <w:pBdr>
                <w:top w:val="nil"/>
                <w:left w:val="nil"/>
                <w:bottom w:val="nil"/>
                <w:right w:val="nil"/>
                <w:between w:val="nil"/>
              </w:pBdr>
              <w:spacing w:before="120" w:after="120" w:line="276" w:lineRule="auto"/>
              <w:jc w:val="both"/>
              <w:rPr>
                <w:color w:val="FF0000"/>
              </w:rPr>
            </w:pPr>
            <w:r>
              <w:rPr>
                <w:color w:val="FF0000"/>
              </w:rPr>
              <w:t>Türkiye Ortalaması</w:t>
            </w:r>
          </w:p>
        </w:tc>
        <w:tc>
          <w:tcPr>
            <w:tcW w:w="2436" w:type="dxa"/>
            <w:tcBorders>
              <w:top w:val="single" w:sz="8" w:space="0" w:color="000000"/>
              <w:left w:val="nil"/>
              <w:bottom w:val="single" w:sz="8" w:space="0" w:color="000000"/>
              <w:right w:val="single" w:sz="4" w:space="0" w:color="000000"/>
            </w:tcBorders>
            <w:shd w:val="clear" w:color="auto" w:fill="auto"/>
            <w:vAlign w:val="bottom"/>
          </w:tcPr>
          <w:p w:rsidR="005D4569" w:rsidRDefault="00AE0D30">
            <w:pPr>
              <w:pBdr>
                <w:top w:val="nil"/>
                <w:left w:val="nil"/>
                <w:bottom w:val="nil"/>
                <w:right w:val="nil"/>
                <w:between w:val="nil"/>
              </w:pBdr>
              <w:spacing w:before="120" w:after="120" w:line="276" w:lineRule="auto"/>
              <w:jc w:val="both"/>
              <w:rPr>
                <w:color w:val="FF0000"/>
              </w:rPr>
            </w:pPr>
            <w:r>
              <w:rPr>
                <w:color w:val="FF0000"/>
              </w:rPr>
              <w:t>3632</w:t>
            </w:r>
          </w:p>
        </w:tc>
        <w:tc>
          <w:tcPr>
            <w:tcW w:w="2436" w:type="dxa"/>
            <w:tcBorders>
              <w:top w:val="single" w:sz="8" w:space="0" w:color="000000"/>
              <w:left w:val="nil"/>
              <w:bottom w:val="single" w:sz="8" w:space="0" w:color="000000"/>
              <w:right w:val="single" w:sz="4" w:space="0" w:color="000000"/>
            </w:tcBorders>
            <w:shd w:val="clear" w:color="auto" w:fill="auto"/>
            <w:vAlign w:val="bottom"/>
          </w:tcPr>
          <w:p w:rsidR="005D4569" w:rsidRDefault="00AE0D30">
            <w:pPr>
              <w:pBdr>
                <w:top w:val="nil"/>
                <w:left w:val="nil"/>
                <w:bottom w:val="nil"/>
                <w:right w:val="nil"/>
                <w:between w:val="nil"/>
              </w:pBdr>
              <w:spacing w:before="120" w:after="120" w:line="276" w:lineRule="auto"/>
              <w:jc w:val="both"/>
              <w:rPr>
                <w:color w:val="FF0000"/>
              </w:rPr>
            </w:pPr>
            <w:r>
              <w:rPr>
                <w:color w:val="FF0000"/>
              </w:rPr>
              <w:t>7965</w:t>
            </w:r>
          </w:p>
        </w:tc>
        <w:tc>
          <w:tcPr>
            <w:tcW w:w="2292" w:type="dxa"/>
            <w:tcBorders>
              <w:top w:val="single" w:sz="8" w:space="0" w:color="000000"/>
              <w:left w:val="nil"/>
              <w:bottom w:val="single" w:sz="8" w:space="0" w:color="000000"/>
              <w:right w:val="single" w:sz="8" w:space="0" w:color="000000"/>
            </w:tcBorders>
            <w:shd w:val="clear" w:color="auto" w:fill="auto"/>
            <w:vAlign w:val="center"/>
          </w:tcPr>
          <w:p w:rsidR="005D4569" w:rsidRDefault="00AE0D30">
            <w:pPr>
              <w:pBdr>
                <w:top w:val="nil"/>
                <w:left w:val="nil"/>
                <w:bottom w:val="nil"/>
                <w:right w:val="nil"/>
                <w:between w:val="nil"/>
              </w:pBdr>
              <w:spacing w:before="120" w:after="120" w:line="276" w:lineRule="auto"/>
              <w:jc w:val="both"/>
              <w:rPr>
                <w:color w:val="FF0000"/>
              </w:rPr>
            </w:pPr>
            <w:r>
              <w:rPr>
                <w:color w:val="FF0000"/>
              </w:rPr>
              <w:t>119,3</w:t>
            </w:r>
          </w:p>
        </w:tc>
      </w:tr>
      <w:tr w:rsidR="005D4569">
        <w:trPr>
          <w:trHeight w:val="300"/>
        </w:trPr>
        <w:tc>
          <w:tcPr>
            <w:tcW w:w="2010" w:type="dxa"/>
            <w:tcBorders>
              <w:top w:val="single" w:sz="8" w:space="0" w:color="000000"/>
              <w:left w:val="single" w:sz="8" w:space="0" w:color="000000"/>
              <w:bottom w:val="single" w:sz="4" w:space="0" w:color="000000"/>
              <w:right w:val="single" w:sz="4" w:space="0" w:color="000000"/>
            </w:tcBorders>
            <w:shd w:val="clear" w:color="auto" w:fill="auto"/>
            <w:vAlign w:val="bottom"/>
          </w:tcPr>
          <w:p w:rsidR="005D4569" w:rsidRDefault="00AE0D30">
            <w:pPr>
              <w:pBdr>
                <w:top w:val="nil"/>
                <w:left w:val="nil"/>
                <w:bottom w:val="nil"/>
                <w:right w:val="nil"/>
                <w:between w:val="nil"/>
              </w:pBdr>
              <w:spacing w:before="120" w:after="120" w:line="276" w:lineRule="auto"/>
              <w:jc w:val="both"/>
              <w:rPr>
                <w:color w:val="000000"/>
              </w:rPr>
            </w:pPr>
            <w:r>
              <w:rPr>
                <w:color w:val="000000"/>
              </w:rPr>
              <w:t>Mersin</w:t>
            </w:r>
          </w:p>
        </w:tc>
        <w:tc>
          <w:tcPr>
            <w:tcW w:w="2436" w:type="dxa"/>
            <w:tcBorders>
              <w:top w:val="single" w:sz="8" w:space="0" w:color="000000"/>
              <w:left w:val="nil"/>
              <w:bottom w:val="single" w:sz="4" w:space="0" w:color="000000"/>
              <w:right w:val="single" w:sz="4" w:space="0" w:color="000000"/>
            </w:tcBorders>
            <w:shd w:val="clear" w:color="auto" w:fill="auto"/>
            <w:vAlign w:val="center"/>
          </w:tcPr>
          <w:p w:rsidR="005D4569" w:rsidRDefault="00AE0D30">
            <w:pPr>
              <w:pBdr>
                <w:top w:val="nil"/>
                <w:left w:val="nil"/>
                <w:bottom w:val="nil"/>
                <w:right w:val="nil"/>
                <w:between w:val="nil"/>
              </w:pBdr>
              <w:spacing w:before="120" w:after="120" w:line="276" w:lineRule="auto"/>
              <w:jc w:val="both"/>
              <w:rPr>
                <w:color w:val="000000"/>
              </w:rPr>
            </w:pPr>
            <w:r>
              <w:rPr>
                <w:color w:val="000000"/>
              </w:rPr>
              <w:t>2450</w:t>
            </w:r>
          </w:p>
        </w:tc>
        <w:tc>
          <w:tcPr>
            <w:tcW w:w="2436" w:type="dxa"/>
            <w:tcBorders>
              <w:top w:val="single" w:sz="8" w:space="0" w:color="000000"/>
              <w:left w:val="nil"/>
              <w:bottom w:val="single" w:sz="4" w:space="0" w:color="000000"/>
              <w:right w:val="single" w:sz="4" w:space="0" w:color="000000"/>
            </w:tcBorders>
            <w:shd w:val="clear" w:color="auto" w:fill="auto"/>
            <w:vAlign w:val="center"/>
          </w:tcPr>
          <w:p w:rsidR="005D4569" w:rsidRDefault="00AE0D30">
            <w:pPr>
              <w:pBdr>
                <w:top w:val="nil"/>
                <w:left w:val="nil"/>
                <w:bottom w:val="nil"/>
                <w:right w:val="nil"/>
                <w:between w:val="nil"/>
              </w:pBdr>
              <w:spacing w:before="120" w:after="120" w:line="276" w:lineRule="auto"/>
              <w:jc w:val="both"/>
              <w:rPr>
                <w:color w:val="000000"/>
              </w:rPr>
            </w:pPr>
            <w:r>
              <w:rPr>
                <w:color w:val="000000"/>
              </w:rPr>
              <w:t>6227</w:t>
            </w:r>
          </w:p>
        </w:tc>
        <w:tc>
          <w:tcPr>
            <w:tcW w:w="2292" w:type="dxa"/>
            <w:tcBorders>
              <w:top w:val="single" w:sz="8" w:space="0" w:color="000000"/>
              <w:left w:val="single" w:sz="4" w:space="0" w:color="000000"/>
              <w:bottom w:val="single" w:sz="4" w:space="0" w:color="000000"/>
              <w:right w:val="single" w:sz="8" w:space="0" w:color="000000"/>
            </w:tcBorders>
            <w:shd w:val="clear" w:color="auto" w:fill="00B050"/>
            <w:vAlign w:val="center"/>
          </w:tcPr>
          <w:p w:rsidR="005D4569" w:rsidRDefault="00AE0D30">
            <w:pPr>
              <w:pBdr>
                <w:top w:val="nil"/>
                <w:left w:val="nil"/>
                <w:bottom w:val="nil"/>
                <w:right w:val="nil"/>
                <w:between w:val="nil"/>
              </w:pBdr>
              <w:spacing w:before="120" w:after="120" w:line="276" w:lineRule="auto"/>
              <w:jc w:val="both"/>
              <w:rPr>
                <w:color w:val="000000"/>
              </w:rPr>
            </w:pPr>
            <w:r>
              <w:rPr>
                <w:color w:val="000000"/>
              </w:rPr>
              <w:t>154,2</w:t>
            </w:r>
          </w:p>
        </w:tc>
      </w:tr>
      <w:tr w:rsidR="005D4569">
        <w:trPr>
          <w:trHeight w:val="300"/>
        </w:trPr>
        <w:tc>
          <w:tcPr>
            <w:tcW w:w="2010" w:type="dxa"/>
            <w:tcBorders>
              <w:top w:val="nil"/>
              <w:left w:val="single" w:sz="8" w:space="0" w:color="000000"/>
              <w:bottom w:val="single" w:sz="4" w:space="0" w:color="000000"/>
              <w:right w:val="single" w:sz="4" w:space="0" w:color="000000"/>
            </w:tcBorders>
            <w:shd w:val="clear" w:color="auto" w:fill="auto"/>
            <w:vAlign w:val="bottom"/>
          </w:tcPr>
          <w:p w:rsidR="005D4569" w:rsidRDefault="00AE0D30">
            <w:pPr>
              <w:pBdr>
                <w:top w:val="nil"/>
                <w:left w:val="nil"/>
                <w:bottom w:val="nil"/>
                <w:right w:val="nil"/>
                <w:between w:val="nil"/>
              </w:pBdr>
              <w:spacing w:before="120" w:after="120" w:line="276" w:lineRule="auto"/>
              <w:jc w:val="both"/>
              <w:rPr>
                <w:color w:val="000000"/>
              </w:rPr>
            </w:pPr>
            <w:r>
              <w:rPr>
                <w:color w:val="000000"/>
              </w:rPr>
              <w:t>İstanbul</w:t>
            </w:r>
          </w:p>
        </w:tc>
        <w:tc>
          <w:tcPr>
            <w:tcW w:w="2436" w:type="dxa"/>
            <w:tcBorders>
              <w:top w:val="nil"/>
              <w:left w:val="nil"/>
              <w:bottom w:val="single" w:sz="4" w:space="0" w:color="000000"/>
              <w:right w:val="single" w:sz="4" w:space="0" w:color="000000"/>
            </w:tcBorders>
            <w:shd w:val="clear" w:color="auto" w:fill="auto"/>
            <w:vAlign w:val="center"/>
          </w:tcPr>
          <w:p w:rsidR="005D4569" w:rsidRDefault="00AE0D30">
            <w:pPr>
              <w:pBdr>
                <w:top w:val="nil"/>
                <w:left w:val="nil"/>
                <w:bottom w:val="nil"/>
                <w:right w:val="nil"/>
                <w:between w:val="nil"/>
              </w:pBdr>
              <w:spacing w:before="120" w:after="120" w:line="276" w:lineRule="auto"/>
              <w:jc w:val="both"/>
              <w:rPr>
                <w:color w:val="000000"/>
              </w:rPr>
            </w:pPr>
            <w:r>
              <w:rPr>
                <w:color w:val="000000"/>
              </w:rPr>
              <w:t>4867</w:t>
            </w:r>
          </w:p>
        </w:tc>
        <w:tc>
          <w:tcPr>
            <w:tcW w:w="2436" w:type="dxa"/>
            <w:tcBorders>
              <w:top w:val="nil"/>
              <w:left w:val="nil"/>
              <w:bottom w:val="single" w:sz="4" w:space="0" w:color="000000"/>
              <w:right w:val="single" w:sz="4" w:space="0" w:color="000000"/>
            </w:tcBorders>
            <w:shd w:val="clear" w:color="auto" w:fill="auto"/>
            <w:vAlign w:val="center"/>
          </w:tcPr>
          <w:p w:rsidR="005D4569" w:rsidRDefault="00AE0D30">
            <w:pPr>
              <w:pBdr>
                <w:top w:val="nil"/>
                <w:left w:val="nil"/>
                <w:bottom w:val="nil"/>
                <w:right w:val="nil"/>
                <w:between w:val="nil"/>
              </w:pBdr>
              <w:spacing w:before="120" w:after="120" w:line="276" w:lineRule="auto"/>
              <w:jc w:val="both"/>
              <w:rPr>
                <w:color w:val="000000"/>
              </w:rPr>
            </w:pPr>
            <w:r>
              <w:rPr>
                <w:color w:val="000000"/>
              </w:rPr>
              <w:t>11578</w:t>
            </w:r>
          </w:p>
        </w:tc>
        <w:tc>
          <w:tcPr>
            <w:tcW w:w="2292" w:type="dxa"/>
            <w:tcBorders>
              <w:top w:val="single" w:sz="4" w:space="0" w:color="000000"/>
              <w:left w:val="single" w:sz="4" w:space="0" w:color="000000"/>
              <w:bottom w:val="single" w:sz="4" w:space="0" w:color="000000"/>
              <w:right w:val="single" w:sz="8" w:space="0" w:color="000000"/>
            </w:tcBorders>
            <w:shd w:val="clear" w:color="auto" w:fill="00B050"/>
            <w:vAlign w:val="center"/>
          </w:tcPr>
          <w:p w:rsidR="005D4569" w:rsidRDefault="00AE0D30">
            <w:pPr>
              <w:pBdr>
                <w:top w:val="nil"/>
                <w:left w:val="nil"/>
                <w:bottom w:val="nil"/>
                <w:right w:val="nil"/>
                <w:between w:val="nil"/>
              </w:pBdr>
              <w:spacing w:before="120" w:after="120" w:line="276" w:lineRule="auto"/>
              <w:jc w:val="both"/>
              <w:rPr>
                <w:color w:val="000000"/>
              </w:rPr>
            </w:pPr>
            <w:r>
              <w:rPr>
                <w:color w:val="000000"/>
              </w:rPr>
              <w:t>137,9</w:t>
            </w:r>
          </w:p>
        </w:tc>
      </w:tr>
      <w:tr w:rsidR="005D4569">
        <w:trPr>
          <w:trHeight w:val="300"/>
        </w:trPr>
        <w:tc>
          <w:tcPr>
            <w:tcW w:w="2010" w:type="dxa"/>
            <w:tcBorders>
              <w:top w:val="nil"/>
              <w:left w:val="single" w:sz="8" w:space="0" w:color="000000"/>
              <w:bottom w:val="single" w:sz="4" w:space="0" w:color="000000"/>
              <w:right w:val="single" w:sz="4" w:space="0" w:color="000000"/>
            </w:tcBorders>
            <w:shd w:val="clear" w:color="auto" w:fill="auto"/>
            <w:vAlign w:val="bottom"/>
          </w:tcPr>
          <w:p w:rsidR="005D4569" w:rsidRDefault="00AE0D30">
            <w:pPr>
              <w:pBdr>
                <w:top w:val="nil"/>
                <w:left w:val="nil"/>
                <w:bottom w:val="nil"/>
                <w:right w:val="nil"/>
                <w:between w:val="nil"/>
              </w:pBdr>
              <w:spacing w:before="120" w:after="120" w:line="276" w:lineRule="auto"/>
              <w:jc w:val="both"/>
              <w:rPr>
                <w:color w:val="000000"/>
              </w:rPr>
            </w:pPr>
            <w:r>
              <w:rPr>
                <w:color w:val="000000"/>
              </w:rPr>
              <w:t>Antalya</w:t>
            </w:r>
          </w:p>
        </w:tc>
        <w:tc>
          <w:tcPr>
            <w:tcW w:w="2436" w:type="dxa"/>
            <w:tcBorders>
              <w:top w:val="nil"/>
              <w:left w:val="nil"/>
              <w:bottom w:val="single" w:sz="4" w:space="0" w:color="000000"/>
              <w:right w:val="single" w:sz="4" w:space="0" w:color="000000"/>
            </w:tcBorders>
            <w:shd w:val="clear" w:color="auto" w:fill="auto"/>
            <w:vAlign w:val="center"/>
          </w:tcPr>
          <w:p w:rsidR="005D4569" w:rsidRDefault="00AE0D30">
            <w:pPr>
              <w:pBdr>
                <w:top w:val="nil"/>
                <w:left w:val="nil"/>
                <w:bottom w:val="nil"/>
                <w:right w:val="nil"/>
                <w:between w:val="nil"/>
              </w:pBdr>
              <w:spacing w:before="120" w:after="120" w:line="276" w:lineRule="auto"/>
              <w:jc w:val="both"/>
              <w:rPr>
                <w:color w:val="000000"/>
              </w:rPr>
            </w:pPr>
            <w:r>
              <w:rPr>
                <w:color w:val="000000"/>
              </w:rPr>
              <w:t>4053</w:t>
            </w:r>
          </w:p>
        </w:tc>
        <w:tc>
          <w:tcPr>
            <w:tcW w:w="2436" w:type="dxa"/>
            <w:tcBorders>
              <w:top w:val="nil"/>
              <w:left w:val="nil"/>
              <w:bottom w:val="single" w:sz="4" w:space="0" w:color="000000"/>
              <w:right w:val="single" w:sz="4" w:space="0" w:color="000000"/>
            </w:tcBorders>
            <w:shd w:val="clear" w:color="auto" w:fill="auto"/>
            <w:vAlign w:val="center"/>
          </w:tcPr>
          <w:p w:rsidR="005D4569" w:rsidRDefault="00AE0D30">
            <w:pPr>
              <w:pBdr>
                <w:top w:val="nil"/>
                <w:left w:val="nil"/>
                <w:bottom w:val="nil"/>
                <w:right w:val="nil"/>
                <w:between w:val="nil"/>
              </w:pBdr>
              <w:spacing w:before="120" w:after="120" w:line="276" w:lineRule="auto"/>
              <w:jc w:val="both"/>
              <w:rPr>
                <w:color w:val="000000"/>
              </w:rPr>
            </w:pPr>
            <w:r>
              <w:rPr>
                <w:color w:val="000000"/>
              </w:rPr>
              <w:t>9308</w:t>
            </w:r>
          </w:p>
        </w:tc>
        <w:tc>
          <w:tcPr>
            <w:tcW w:w="2292" w:type="dxa"/>
            <w:tcBorders>
              <w:top w:val="single" w:sz="4" w:space="0" w:color="000000"/>
              <w:left w:val="single" w:sz="4" w:space="0" w:color="000000"/>
              <w:bottom w:val="single" w:sz="4" w:space="0" w:color="000000"/>
              <w:right w:val="single" w:sz="8" w:space="0" w:color="000000"/>
            </w:tcBorders>
            <w:shd w:val="clear" w:color="auto" w:fill="00B050"/>
            <w:vAlign w:val="center"/>
          </w:tcPr>
          <w:p w:rsidR="005D4569" w:rsidRDefault="00AE0D30">
            <w:pPr>
              <w:pBdr>
                <w:top w:val="nil"/>
                <w:left w:val="nil"/>
                <w:bottom w:val="nil"/>
                <w:right w:val="nil"/>
                <w:between w:val="nil"/>
              </w:pBdr>
              <w:spacing w:before="120" w:after="120" w:line="276" w:lineRule="auto"/>
              <w:jc w:val="both"/>
              <w:rPr>
                <w:color w:val="000000"/>
              </w:rPr>
            </w:pPr>
            <w:r>
              <w:rPr>
                <w:color w:val="000000"/>
              </w:rPr>
              <w:t>129,7</w:t>
            </w:r>
          </w:p>
        </w:tc>
      </w:tr>
      <w:tr w:rsidR="005D4569">
        <w:trPr>
          <w:trHeight w:val="300"/>
        </w:trPr>
        <w:tc>
          <w:tcPr>
            <w:tcW w:w="2010" w:type="dxa"/>
            <w:tcBorders>
              <w:top w:val="nil"/>
              <w:left w:val="single" w:sz="8" w:space="0" w:color="000000"/>
              <w:bottom w:val="single" w:sz="4" w:space="0" w:color="000000"/>
              <w:right w:val="single" w:sz="4" w:space="0" w:color="000000"/>
            </w:tcBorders>
            <w:shd w:val="clear" w:color="auto" w:fill="auto"/>
            <w:vAlign w:val="bottom"/>
          </w:tcPr>
          <w:p w:rsidR="005D4569" w:rsidRDefault="00AE0D30">
            <w:pPr>
              <w:pBdr>
                <w:top w:val="nil"/>
                <w:left w:val="nil"/>
                <w:bottom w:val="nil"/>
                <w:right w:val="nil"/>
                <w:between w:val="nil"/>
              </w:pBdr>
              <w:spacing w:before="120" w:after="120" w:line="276" w:lineRule="auto"/>
              <w:jc w:val="both"/>
              <w:rPr>
                <w:color w:val="000000"/>
              </w:rPr>
            </w:pPr>
            <w:r>
              <w:rPr>
                <w:color w:val="000000"/>
              </w:rPr>
              <w:t>Aydın</w:t>
            </w:r>
          </w:p>
        </w:tc>
        <w:tc>
          <w:tcPr>
            <w:tcW w:w="2436" w:type="dxa"/>
            <w:tcBorders>
              <w:top w:val="nil"/>
              <w:left w:val="nil"/>
              <w:bottom w:val="single" w:sz="4" w:space="0" w:color="000000"/>
              <w:right w:val="single" w:sz="4" w:space="0" w:color="000000"/>
            </w:tcBorders>
            <w:shd w:val="clear" w:color="auto" w:fill="auto"/>
            <w:vAlign w:val="center"/>
          </w:tcPr>
          <w:p w:rsidR="005D4569" w:rsidRDefault="00AE0D30">
            <w:pPr>
              <w:pBdr>
                <w:top w:val="nil"/>
                <w:left w:val="nil"/>
                <w:bottom w:val="nil"/>
                <w:right w:val="nil"/>
                <w:between w:val="nil"/>
              </w:pBdr>
              <w:spacing w:before="120" w:after="120" w:line="276" w:lineRule="auto"/>
              <w:jc w:val="both"/>
              <w:rPr>
                <w:color w:val="000000"/>
              </w:rPr>
            </w:pPr>
            <w:r>
              <w:rPr>
                <w:color w:val="000000"/>
              </w:rPr>
              <w:t>4258</w:t>
            </w:r>
          </w:p>
        </w:tc>
        <w:tc>
          <w:tcPr>
            <w:tcW w:w="2436" w:type="dxa"/>
            <w:tcBorders>
              <w:top w:val="nil"/>
              <w:left w:val="nil"/>
              <w:bottom w:val="single" w:sz="4" w:space="0" w:color="000000"/>
              <w:right w:val="single" w:sz="4" w:space="0" w:color="000000"/>
            </w:tcBorders>
            <w:shd w:val="clear" w:color="auto" w:fill="auto"/>
            <w:vAlign w:val="center"/>
          </w:tcPr>
          <w:p w:rsidR="005D4569" w:rsidRDefault="00AE0D30">
            <w:pPr>
              <w:pBdr>
                <w:top w:val="nil"/>
                <w:left w:val="nil"/>
                <w:bottom w:val="nil"/>
                <w:right w:val="nil"/>
                <w:between w:val="nil"/>
              </w:pBdr>
              <w:spacing w:before="120" w:after="120" w:line="276" w:lineRule="auto"/>
              <w:jc w:val="both"/>
              <w:rPr>
                <w:color w:val="000000"/>
              </w:rPr>
            </w:pPr>
            <w:r>
              <w:rPr>
                <w:color w:val="000000"/>
              </w:rPr>
              <w:t>9750</w:t>
            </w:r>
          </w:p>
        </w:tc>
        <w:tc>
          <w:tcPr>
            <w:tcW w:w="2292" w:type="dxa"/>
            <w:tcBorders>
              <w:top w:val="single" w:sz="4" w:space="0" w:color="000000"/>
              <w:left w:val="single" w:sz="4" w:space="0" w:color="000000"/>
              <w:bottom w:val="single" w:sz="4" w:space="0" w:color="000000"/>
              <w:right w:val="single" w:sz="8" w:space="0" w:color="000000"/>
            </w:tcBorders>
            <w:shd w:val="clear" w:color="auto" w:fill="00B050"/>
            <w:vAlign w:val="center"/>
          </w:tcPr>
          <w:p w:rsidR="005D4569" w:rsidRDefault="00AE0D30">
            <w:pPr>
              <w:pBdr>
                <w:top w:val="nil"/>
                <w:left w:val="nil"/>
                <w:bottom w:val="nil"/>
                <w:right w:val="nil"/>
                <w:between w:val="nil"/>
              </w:pBdr>
              <w:spacing w:before="120" w:after="120" w:line="276" w:lineRule="auto"/>
              <w:jc w:val="both"/>
              <w:rPr>
                <w:color w:val="000000"/>
              </w:rPr>
            </w:pPr>
            <w:r>
              <w:rPr>
                <w:color w:val="000000"/>
              </w:rPr>
              <w:t>129,0</w:t>
            </w:r>
          </w:p>
        </w:tc>
      </w:tr>
      <w:tr w:rsidR="005D4569">
        <w:trPr>
          <w:trHeight w:val="300"/>
        </w:trPr>
        <w:tc>
          <w:tcPr>
            <w:tcW w:w="2010" w:type="dxa"/>
            <w:tcBorders>
              <w:top w:val="nil"/>
              <w:left w:val="single" w:sz="8" w:space="0" w:color="000000"/>
              <w:bottom w:val="single" w:sz="4" w:space="0" w:color="000000"/>
              <w:right w:val="single" w:sz="4" w:space="0" w:color="000000"/>
            </w:tcBorders>
            <w:shd w:val="clear" w:color="auto" w:fill="auto"/>
            <w:vAlign w:val="bottom"/>
          </w:tcPr>
          <w:p w:rsidR="005D4569" w:rsidRDefault="00AE0D30">
            <w:pPr>
              <w:pBdr>
                <w:top w:val="nil"/>
                <w:left w:val="nil"/>
                <w:bottom w:val="nil"/>
                <w:right w:val="nil"/>
                <w:between w:val="nil"/>
              </w:pBdr>
              <w:spacing w:before="120" w:after="120" w:line="276" w:lineRule="auto"/>
              <w:jc w:val="both"/>
              <w:rPr>
                <w:color w:val="000000"/>
              </w:rPr>
            </w:pPr>
            <w:r>
              <w:rPr>
                <w:color w:val="000000"/>
              </w:rPr>
              <w:t>Diyarbakır</w:t>
            </w:r>
          </w:p>
        </w:tc>
        <w:tc>
          <w:tcPr>
            <w:tcW w:w="2436" w:type="dxa"/>
            <w:tcBorders>
              <w:top w:val="nil"/>
              <w:left w:val="nil"/>
              <w:bottom w:val="single" w:sz="4" w:space="0" w:color="000000"/>
              <w:right w:val="single" w:sz="4" w:space="0" w:color="000000"/>
            </w:tcBorders>
            <w:shd w:val="clear" w:color="auto" w:fill="auto"/>
            <w:vAlign w:val="center"/>
          </w:tcPr>
          <w:p w:rsidR="005D4569" w:rsidRDefault="00AE0D30">
            <w:pPr>
              <w:pBdr>
                <w:top w:val="nil"/>
                <w:left w:val="nil"/>
                <w:bottom w:val="nil"/>
                <w:right w:val="nil"/>
                <w:between w:val="nil"/>
              </w:pBdr>
              <w:spacing w:before="120" w:after="120" w:line="276" w:lineRule="auto"/>
              <w:jc w:val="both"/>
              <w:rPr>
                <w:color w:val="000000"/>
              </w:rPr>
            </w:pPr>
            <w:r>
              <w:rPr>
                <w:color w:val="000000"/>
              </w:rPr>
              <w:t>2301</w:t>
            </w:r>
          </w:p>
        </w:tc>
        <w:tc>
          <w:tcPr>
            <w:tcW w:w="2436" w:type="dxa"/>
            <w:tcBorders>
              <w:top w:val="nil"/>
              <w:left w:val="nil"/>
              <w:bottom w:val="single" w:sz="4" w:space="0" w:color="000000"/>
              <w:right w:val="single" w:sz="4" w:space="0" w:color="000000"/>
            </w:tcBorders>
            <w:shd w:val="clear" w:color="auto" w:fill="auto"/>
            <w:vAlign w:val="center"/>
          </w:tcPr>
          <w:p w:rsidR="005D4569" w:rsidRDefault="00AE0D30">
            <w:pPr>
              <w:pBdr>
                <w:top w:val="nil"/>
                <w:left w:val="nil"/>
                <w:bottom w:val="nil"/>
                <w:right w:val="nil"/>
                <w:between w:val="nil"/>
              </w:pBdr>
              <w:spacing w:before="120" w:after="120" w:line="276" w:lineRule="auto"/>
              <w:jc w:val="both"/>
              <w:rPr>
                <w:color w:val="000000"/>
              </w:rPr>
            </w:pPr>
            <w:r>
              <w:rPr>
                <w:color w:val="000000"/>
              </w:rPr>
              <w:t>5250</w:t>
            </w:r>
          </w:p>
        </w:tc>
        <w:tc>
          <w:tcPr>
            <w:tcW w:w="2292" w:type="dxa"/>
            <w:tcBorders>
              <w:top w:val="single" w:sz="4" w:space="0" w:color="000000"/>
              <w:left w:val="single" w:sz="4" w:space="0" w:color="000000"/>
              <w:bottom w:val="single" w:sz="4" w:space="0" w:color="000000"/>
              <w:right w:val="single" w:sz="8" w:space="0" w:color="000000"/>
            </w:tcBorders>
            <w:shd w:val="clear" w:color="auto" w:fill="00B050"/>
            <w:vAlign w:val="center"/>
          </w:tcPr>
          <w:p w:rsidR="005D4569" w:rsidRDefault="00AE0D30">
            <w:pPr>
              <w:pBdr>
                <w:top w:val="nil"/>
                <w:left w:val="nil"/>
                <w:bottom w:val="nil"/>
                <w:right w:val="nil"/>
                <w:between w:val="nil"/>
              </w:pBdr>
              <w:spacing w:before="120" w:after="120" w:line="276" w:lineRule="auto"/>
              <w:jc w:val="both"/>
              <w:rPr>
                <w:color w:val="000000"/>
              </w:rPr>
            </w:pPr>
            <w:r>
              <w:rPr>
                <w:color w:val="000000"/>
              </w:rPr>
              <w:t>128,2</w:t>
            </w:r>
          </w:p>
        </w:tc>
      </w:tr>
      <w:tr w:rsidR="005D4569">
        <w:trPr>
          <w:trHeight w:val="300"/>
        </w:trPr>
        <w:tc>
          <w:tcPr>
            <w:tcW w:w="2010" w:type="dxa"/>
            <w:tcBorders>
              <w:top w:val="single" w:sz="4" w:space="0" w:color="000000"/>
              <w:left w:val="single" w:sz="8" w:space="0" w:color="000000"/>
              <w:bottom w:val="single" w:sz="4" w:space="0" w:color="000000"/>
              <w:right w:val="single" w:sz="4" w:space="0" w:color="000000"/>
            </w:tcBorders>
            <w:shd w:val="clear" w:color="auto" w:fill="auto"/>
            <w:vAlign w:val="bottom"/>
          </w:tcPr>
          <w:p w:rsidR="005D4569" w:rsidRDefault="00AE0D30">
            <w:pPr>
              <w:pBdr>
                <w:top w:val="nil"/>
                <w:left w:val="nil"/>
                <w:bottom w:val="nil"/>
                <w:right w:val="nil"/>
                <w:between w:val="nil"/>
              </w:pBdr>
              <w:spacing w:before="120" w:after="120" w:line="276" w:lineRule="auto"/>
              <w:jc w:val="both"/>
              <w:rPr>
                <w:color w:val="000000"/>
              </w:rPr>
            </w:pPr>
            <w:r>
              <w:rPr>
                <w:color w:val="000000"/>
              </w:rPr>
              <w:t>Manisa</w:t>
            </w:r>
          </w:p>
        </w:tc>
        <w:tc>
          <w:tcPr>
            <w:tcW w:w="2436" w:type="dxa"/>
            <w:tcBorders>
              <w:top w:val="single" w:sz="4" w:space="0" w:color="000000"/>
              <w:left w:val="nil"/>
              <w:bottom w:val="single" w:sz="4" w:space="0" w:color="000000"/>
              <w:right w:val="single" w:sz="4" w:space="0" w:color="000000"/>
            </w:tcBorders>
            <w:shd w:val="clear" w:color="auto" w:fill="auto"/>
            <w:vAlign w:val="center"/>
          </w:tcPr>
          <w:p w:rsidR="005D4569" w:rsidRDefault="00AE0D30">
            <w:pPr>
              <w:pBdr>
                <w:top w:val="nil"/>
                <w:left w:val="nil"/>
                <w:bottom w:val="nil"/>
                <w:right w:val="nil"/>
                <w:between w:val="nil"/>
              </w:pBdr>
              <w:spacing w:before="120" w:after="120" w:line="276" w:lineRule="auto"/>
              <w:jc w:val="both"/>
              <w:rPr>
                <w:color w:val="000000"/>
              </w:rPr>
            </w:pPr>
            <w:r>
              <w:rPr>
                <w:color w:val="000000"/>
              </w:rPr>
              <w:t>2789</w:t>
            </w:r>
          </w:p>
        </w:tc>
        <w:tc>
          <w:tcPr>
            <w:tcW w:w="2436" w:type="dxa"/>
            <w:tcBorders>
              <w:top w:val="single" w:sz="4" w:space="0" w:color="000000"/>
              <w:left w:val="nil"/>
              <w:bottom w:val="single" w:sz="4" w:space="0" w:color="000000"/>
              <w:right w:val="single" w:sz="4" w:space="0" w:color="000000"/>
            </w:tcBorders>
            <w:shd w:val="clear" w:color="auto" w:fill="auto"/>
            <w:vAlign w:val="center"/>
          </w:tcPr>
          <w:p w:rsidR="005D4569" w:rsidRDefault="00AE0D30">
            <w:pPr>
              <w:pBdr>
                <w:top w:val="nil"/>
                <w:left w:val="nil"/>
                <w:bottom w:val="nil"/>
                <w:right w:val="nil"/>
                <w:between w:val="nil"/>
              </w:pBdr>
              <w:spacing w:before="120" w:after="120" w:line="276" w:lineRule="auto"/>
              <w:jc w:val="both"/>
              <w:rPr>
                <w:color w:val="000000"/>
              </w:rPr>
            </w:pPr>
            <w:r>
              <w:rPr>
                <w:color w:val="000000"/>
              </w:rPr>
              <w:t>5215</w:t>
            </w:r>
          </w:p>
        </w:tc>
        <w:tc>
          <w:tcPr>
            <w:tcW w:w="2292" w:type="dxa"/>
            <w:tcBorders>
              <w:top w:val="single" w:sz="4" w:space="0" w:color="000000"/>
              <w:left w:val="single" w:sz="4" w:space="0" w:color="000000"/>
              <w:bottom w:val="single" w:sz="4" w:space="0" w:color="000000"/>
              <w:right w:val="single" w:sz="8" w:space="0" w:color="000000"/>
            </w:tcBorders>
            <w:shd w:val="clear" w:color="auto" w:fill="92D050"/>
            <w:vAlign w:val="center"/>
          </w:tcPr>
          <w:p w:rsidR="005D4569" w:rsidRDefault="00AE0D30">
            <w:pPr>
              <w:pBdr>
                <w:top w:val="nil"/>
                <w:left w:val="nil"/>
                <w:bottom w:val="nil"/>
                <w:right w:val="nil"/>
                <w:between w:val="nil"/>
              </w:pBdr>
              <w:spacing w:before="120" w:after="120" w:line="276" w:lineRule="auto"/>
              <w:jc w:val="both"/>
              <w:rPr>
                <w:color w:val="000000"/>
              </w:rPr>
            </w:pPr>
            <w:r>
              <w:rPr>
                <w:color w:val="000000"/>
              </w:rPr>
              <w:t>87,0</w:t>
            </w:r>
          </w:p>
        </w:tc>
      </w:tr>
      <w:tr w:rsidR="005D4569">
        <w:trPr>
          <w:trHeight w:val="300"/>
        </w:trPr>
        <w:tc>
          <w:tcPr>
            <w:tcW w:w="2010" w:type="dxa"/>
            <w:tcBorders>
              <w:top w:val="nil"/>
              <w:left w:val="single" w:sz="8" w:space="0" w:color="000000"/>
              <w:bottom w:val="single" w:sz="4" w:space="0" w:color="000000"/>
              <w:right w:val="single" w:sz="4" w:space="0" w:color="000000"/>
            </w:tcBorders>
            <w:shd w:val="clear" w:color="auto" w:fill="auto"/>
            <w:vAlign w:val="bottom"/>
          </w:tcPr>
          <w:p w:rsidR="005D4569" w:rsidRDefault="00AE0D30">
            <w:pPr>
              <w:pBdr>
                <w:top w:val="nil"/>
                <w:left w:val="nil"/>
                <w:bottom w:val="nil"/>
                <w:right w:val="nil"/>
                <w:between w:val="nil"/>
              </w:pBdr>
              <w:spacing w:before="120" w:after="120" w:line="276" w:lineRule="auto"/>
              <w:jc w:val="both"/>
              <w:rPr>
                <w:color w:val="000000"/>
              </w:rPr>
            </w:pPr>
            <w:r>
              <w:rPr>
                <w:color w:val="000000"/>
              </w:rPr>
              <w:t>Eskişehir</w:t>
            </w:r>
          </w:p>
        </w:tc>
        <w:tc>
          <w:tcPr>
            <w:tcW w:w="2436" w:type="dxa"/>
            <w:tcBorders>
              <w:top w:val="nil"/>
              <w:left w:val="nil"/>
              <w:bottom w:val="single" w:sz="4" w:space="0" w:color="000000"/>
              <w:right w:val="single" w:sz="4" w:space="0" w:color="000000"/>
            </w:tcBorders>
            <w:shd w:val="clear" w:color="auto" w:fill="auto"/>
            <w:vAlign w:val="center"/>
          </w:tcPr>
          <w:p w:rsidR="005D4569" w:rsidRDefault="00AE0D30">
            <w:pPr>
              <w:pBdr>
                <w:top w:val="nil"/>
                <w:left w:val="nil"/>
                <w:bottom w:val="nil"/>
                <w:right w:val="nil"/>
                <w:between w:val="nil"/>
              </w:pBdr>
              <w:spacing w:before="120" w:after="120" w:line="276" w:lineRule="auto"/>
              <w:jc w:val="both"/>
              <w:rPr>
                <w:color w:val="000000"/>
              </w:rPr>
            </w:pPr>
            <w:r>
              <w:rPr>
                <w:color w:val="000000"/>
              </w:rPr>
              <w:t>2862</w:t>
            </w:r>
          </w:p>
        </w:tc>
        <w:tc>
          <w:tcPr>
            <w:tcW w:w="2436" w:type="dxa"/>
            <w:tcBorders>
              <w:top w:val="nil"/>
              <w:left w:val="nil"/>
              <w:bottom w:val="single" w:sz="4" w:space="0" w:color="000000"/>
              <w:right w:val="single" w:sz="4" w:space="0" w:color="000000"/>
            </w:tcBorders>
            <w:shd w:val="clear" w:color="auto" w:fill="auto"/>
            <w:vAlign w:val="center"/>
          </w:tcPr>
          <w:p w:rsidR="005D4569" w:rsidRDefault="00AE0D30">
            <w:pPr>
              <w:pBdr>
                <w:top w:val="nil"/>
                <w:left w:val="nil"/>
                <w:bottom w:val="nil"/>
                <w:right w:val="nil"/>
                <w:between w:val="nil"/>
              </w:pBdr>
              <w:spacing w:before="120" w:after="120" w:line="276" w:lineRule="auto"/>
              <w:jc w:val="both"/>
              <w:rPr>
                <w:color w:val="000000"/>
              </w:rPr>
            </w:pPr>
            <w:r>
              <w:rPr>
                <w:color w:val="000000"/>
              </w:rPr>
              <w:t>5294</w:t>
            </w:r>
          </w:p>
        </w:tc>
        <w:tc>
          <w:tcPr>
            <w:tcW w:w="2292" w:type="dxa"/>
            <w:tcBorders>
              <w:top w:val="single" w:sz="4" w:space="0" w:color="000000"/>
              <w:left w:val="single" w:sz="4" w:space="0" w:color="000000"/>
              <w:bottom w:val="single" w:sz="4" w:space="0" w:color="000000"/>
              <w:right w:val="single" w:sz="8" w:space="0" w:color="000000"/>
            </w:tcBorders>
            <w:shd w:val="clear" w:color="auto" w:fill="92D050"/>
            <w:vAlign w:val="center"/>
          </w:tcPr>
          <w:p w:rsidR="005D4569" w:rsidRDefault="00AE0D30">
            <w:pPr>
              <w:pBdr>
                <w:top w:val="nil"/>
                <w:left w:val="nil"/>
                <w:bottom w:val="nil"/>
                <w:right w:val="nil"/>
                <w:between w:val="nil"/>
              </w:pBdr>
              <w:spacing w:before="120" w:after="120" w:line="276" w:lineRule="auto"/>
              <w:jc w:val="both"/>
              <w:rPr>
                <w:color w:val="000000"/>
              </w:rPr>
            </w:pPr>
            <w:r>
              <w:rPr>
                <w:color w:val="000000"/>
              </w:rPr>
              <w:t>85,0</w:t>
            </w:r>
          </w:p>
        </w:tc>
      </w:tr>
      <w:tr w:rsidR="005D4569">
        <w:trPr>
          <w:trHeight w:val="300"/>
        </w:trPr>
        <w:tc>
          <w:tcPr>
            <w:tcW w:w="2010" w:type="dxa"/>
            <w:tcBorders>
              <w:top w:val="nil"/>
              <w:left w:val="single" w:sz="8" w:space="0" w:color="000000"/>
              <w:bottom w:val="single" w:sz="4" w:space="0" w:color="000000"/>
              <w:right w:val="single" w:sz="4" w:space="0" w:color="000000"/>
            </w:tcBorders>
            <w:shd w:val="clear" w:color="auto" w:fill="auto"/>
            <w:vAlign w:val="bottom"/>
          </w:tcPr>
          <w:p w:rsidR="005D4569" w:rsidRDefault="00AE0D30">
            <w:pPr>
              <w:pBdr>
                <w:top w:val="nil"/>
                <w:left w:val="nil"/>
                <w:bottom w:val="nil"/>
                <w:right w:val="nil"/>
                <w:between w:val="nil"/>
              </w:pBdr>
              <w:spacing w:before="120" w:after="120" w:line="276" w:lineRule="auto"/>
              <w:jc w:val="both"/>
              <w:rPr>
                <w:color w:val="000000"/>
              </w:rPr>
            </w:pPr>
            <w:r>
              <w:rPr>
                <w:color w:val="000000"/>
              </w:rPr>
              <w:t>Malatya</w:t>
            </w:r>
          </w:p>
        </w:tc>
        <w:tc>
          <w:tcPr>
            <w:tcW w:w="2436" w:type="dxa"/>
            <w:tcBorders>
              <w:top w:val="nil"/>
              <w:left w:val="nil"/>
              <w:bottom w:val="single" w:sz="4" w:space="0" w:color="000000"/>
              <w:right w:val="single" w:sz="4" w:space="0" w:color="000000"/>
            </w:tcBorders>
            <w:shd w:val="clear" w:color="auto" w:fill="auto"/>
            <w:vAlign w:val="center"/>
          </w:tcPr>
          <w:p w:rsidR="005D4569" w:rsidRDefault="00AE0D30">
            <w:pPr>
              <w:pBdr>
                <w:top w:val="nil"/>
                <w:left w:val="nil"/>
                <w:bottom w:val="nil"/>
                <w:right w:val="nil"/>
                <w:between w:val="nil"/>
              </w:pBdr>
              <w:spacing w:before="120" w:after="120" w:line="276" w:lineRule="auto"/>
              <w:jc w:val="both"/>
              <w:rPr>
                <w:color w:val="000000"/>
              </w:rPr>
            </w:pPr>
            <w:r>
              <w:rPr>
                <w:color w:val="000000"/>
              </w:rPr>
              <w:t>2216</w:t>
            </w:r>
          </w:p>
        </w:tc>
        <w:tc>
          <w:tcPr>
            <w:tcW w:w="2436" w:type="dxa"/>
            <w:tcBorders>
              <w:top w:val="nil"/>
              <w:left w:val="nil"/>
              <w:bottom w:val="single" w:sz="4" w:space="0" w:color="000000"/>
              <w:right w:val="single" w:sz="4" w:space="0" w:color="000000"/>
            </w:tcBorders>
            <w:shd w:val="clear" w:color="auto" w:fill="auto"/>
            <w:vAlign w:val="center"/>
          </w:tcPr>
          <w:p w:rsidR="005D4569" w:rsidRDefault="00AE0D30">
            <w:pPr>
              <w:pBdr>
                <w:top w:val="nil"/>
                <w:left w:val="nil"/>
                <w:bottom w:val="nil"/>
                <w:right w:val="nil"/>
                <w:between w:val="nil"/>
              </w:pBdr>
              <w:spacing w:before="120" w:after="120" w:line="276" w:lineRule="auto"/>
              <w:jc w:val="both"/>
              <w:rPr>
                <w:color w:val="000000"/>
              </w:rPr>
            </w:pPr>
            <w:r>
              <w:rPr>
                <w:color w:val="000000"/>
              </w:rPr>
              <w:t>4048</w:t>
            </w:r>
          </w:p>
        </w:tc>
        <w:tc>
          <w:tcPr>
            <w:tcW w:w="2292" w:type="dxa"/>
            <w:tcBorders>
              <w:top w:val="single" w:sz="4" w:space="0" w:color="000000"/>
              <w:left w:val="single" w:sz="4" w:space="0" w:color="000000"/>
              <w:bottom w:val="single" w:sz="4" w:space="0" w:color="000000"/>
              <w:right w:val="single" w:sz="8" w:space="0" w:color="000000"/>
            </w:tcBorders>
            <w:shd w:val="clear" w:color="auto" w:fill="92D050"/>
            <w:vAlign w:val="center"/>
          </w:tcPr>
          <w:p w:rsidR="005D4569" w:rsidRDefault="00AE0D30">
            <w:pPr>
              <w:pBdr>
                <w:top w:val="nil"/>
                <w:left w:val="nil"/>
                <w:bottom w:val="nil"/>
                <w:right w:val="nil"/>
                <w:between w:val="nil"/>
              </w:pBdr>
              <w:spacing w:before="120" w:after="120" w:line="276" w:lineRule="auto"/>
              <w:jc w:val="both"/>
              <w:rPr>
                <w:color w:val="000000"/>
              </w:rPr>
            </w:pPr>
            <w:r>
              <w:rPr>
                <w:color w:val="000000"/>
              </w:rPr>
              <w:t>82,7</w:t>
            </w:r>
          </w:p>
        </w:tc>
      </w:tr>
      <w:tr w:rsidR="005D4569">
        <w:trPr>
          <w:trHeight w:val="300"/>
        </w:trPr>
        <w:tc>
          <w:tcPr>
            <w:tcW w:w="2010" w:type="dxa"/>
            <w:tcBorders>
              <w:top w:val="nil"/>
              <w:left w:val="single" w:sz="8" w:space="0" w:color="000000"/>
              <w:bottom w:val="single" w:sz="4" w:space="0" w:color="000000"/>
              <w:right w:val="single" w:sz="4" w:space="0" w:color="000000"/>
            </w:tcBorders>
            <w:shd w:val="clear" w:color="auto" w:fill="auto"/>
            <w:vAlign w:val="bottom"/>
          </w:tcPr>
          <w:p w:rsidR="005D4569" w:rsidRDefault="00AE0D30">
            <w:pPr>
              <w:pBdr>
                <w:top w:val="nil"/>
                <w:left w:val="nil"/>
                <w:bottom w:val="nil"/>
                <w:right w:val="nil"/>
                <w:between w:val="nil"/>
              </w:pBdr>
              <w:spacing w:before="120" w:after="120" w:line="276" w:lineRule="auto"/>
              <w:jc w:val="both"/>
              <w:rPr>
                <w:color w:val="000000"/>
              </w:rPr>
            </w:pPr>
            <w:r>
              <w:rPr>
                <w:color w:val="000000"/>
              </w:rPr>
              <w:t>Erzurum</w:t>
            </w:r>
          </w:p>
        </w:tc>
        <w:tc>
          <w:tcPr>
            <w:tcW w:w="2436" w:type="dxa"/>
            <w:tcBorders>
              <w:top w:val="nil"/>
              <w:left w:val="nil"/>
              <w:bottom w:val="single" w:sz="4" w:space="0" w:color="000000"/>
              <w:right w:val="single" w:sz="4" w:space="0" w:color="000000"/>
            </w:tcBorders>
            <w:shd w:val="clear" w:color="auto" w:fill="auto"/>
            <w:vAlign w:val="center"/>
          </w:tcPr>
          <w:p w:rsidR="005D4569" w:rsidRDefault="00AE0D30">
            <w:pPr>
              <w:pBdr>
                <w:top w:val="nil"/>
                <w:left w:val="nil"/>
                <w:bottom w:val="nil"/>
                <w:right w:val="nil"/>
                <w:between w:val="nil"/>
              </w:pBdr>
              <w:spacing w:before="120" w:after="120" w:line="276" w:lineRule="auto"/>
              <w:jc w:val="both"/>
              <w:rPr>
                <w:color w:val="000000"/>
              </w:rPr>
            </w:pPr>
            <w:r>
              <w:rPr>
                <w:color w:val="000000"/>
              </w:rPr>
              <w:t>1735</w:t>
            </w:r>
          </w:p>
        </w:tc>
        <w:tc>
          <w:tcPr>
            <w:tcW w:w="2436" w:type="dxa"/>
            <w:tcBorders>
              <w:top w:val="nil"/>
              <w:left w:val="nil"/>
              <w:bottom w:val="single" w:sz="4" w:space="0" w:color="000000"/>
              <w:right w:val="single" w:sz="4" w:space="0" w:color="000000"/>
            </w:tcBorders>
            <w:shd w:val="clear" w:color="auto" w:fill="auto"/>
            <w:vAlign w:val="center"/>
          </w:tcPr>
          <w:p w:rsidR="005D4569" w:rsidRDefault="00AE0D30">
            <w:pPr>
              <w:pBdr>
                <w:top w:val="nil"/>
                <w:left w:val="nil"/>
                <w:bottom w:val="nil"/>
                <w:right w:val="nil"/>
                <w:between w:val="nil"/>
              </w:pBdr>
              <w:spacing w:before="120" w:after="120" w:line="276" w:lineRule="auto"/>
              <w:jc w:val="both"/>
              <w:rPr>
                <w:color w:val="000000"/>
              </w:rPr>
            </w:pPr>
            <w:r>
              <w:rPr>
                <w:color w:val="000000"/>
              </w:rPr>
              <w:t>3125</w:t>
            </w:r>
          </w:p>
        </w:tc>
        <w:tc>
          <w:tcPr>
            <w:tcW w:w="2292" w:type="dxa"/>
            <w:tcBorders>
              <w:top w:val="single" w:sz="4" w:space="0" w:color="000000"/>
              <w:left w:val="single" w:sz="4" w:space="0" w:color="000000"/>
              <w:bottom w:val="single" w:sz="4" w:space="0" w:color="000000"/>
              <w:right w:val="single" w:sz="8" w:space="0" w:color="000000"/>
            </w:tcBorders>
            <w:shd w:val="clear" w:color="auto" w:fill="92D050"/>
            <w:vAlign w:val="center"/>
          </w:tcPr>
          <w:p w:rsidR="005D4569" w:rsidRDefault="00AE0D30">
            <w:pPr>
              <w:pBdr>
                <w:top w:val="nil"/>
                <w:left w:val="nil"/>
                <w:bottom w:val="nil"/>
                <w:right w:val="nil"/>
                <w:between w:val="nil"/>
              </w:pBdr>
              <w:spacing w:before="120" w:after="120" w:line="276" w:lineRule="auto"/>
              <w:jc w:val="both"/>
              <w:rPr>
                <w:color w:val="000000"/>
              </w:rPr>
            </w:pPr>
            <w:r>
              <w:rPr>
                <w:color w:val="000000"/>
              </w:rPr>
              <w:t>80,1</w:t>
            </w:r>
          </w:p>
        </w:tc>
      </w:tr>
      <w:tr w:rsidR="005D4569">
        <w:trPr>
          <w:trHeight w:val="315"/>
        </w:trPr>
        <w:tc>
          <w:tcPr>
            <w:tcW w:w="2010" w:type="dxa"/>
            <w:tcBorders>
              <w:top w:val="nil"/>
              <w:left w:val="single" w:sz="8" w:space="0" w:color="000000"/>
              <w:bottom w:val="single" w:sz="8" w:space="0" w:color="000000"/>
              <w:right w:val="single" w:sz="4" w:space="0" w:color="000000"/>
            </w:tcBorders>
            <w:shd w:val="clear" w:color="auto" w:fill="auto"/>
            <w:vAlign w:val="bottom"/>
          </w:tcPr>
          <w:p w:rsidR="005D4569" w:rsidRDefault="00AE0D30">
            <w:pPr>
              <w:pBdr>
                <w:top w:val="nil"/>
                <w:left w:val="nil"/>
                <w:bottom w:val="nil"/>
                <w:right w:val="nil"/>
                <w:between w:val="nil"/>
              </w:pBdr>
              <w:spacing w:before="120" w:after="120" w:line="276" w:lineRule="auto"/>
              <w:jc w:val="both"/>
              <w:rPr>
                <w:color w:val="000000"/>
              </w:rPr>
            </w:pPr>
            <w:r>
              <w:rPr>
                <w:color w:val="000000"/>
              </w:rPr>
              <w:t>Van</w:t>
            </w:r>
          </w:p>
        </w:tc>
        <w:tc>
          <w:tcPr>
            <w:tcW w:w="2436" w:type="dxa"/>
            <w:tcBorders>
              <w:top w:val="nil"/>
              <w:left w:val="nil"/>
              <w:bottom w:val="single" w:sz="8" w:space="0" w:color="000000"/>
              <w:right w:val="single" w:sz="4" w:space="0" w:color="000000"/>
            </w:tcBorders>
            <w:shd w:val="clear" w:color="auto" w:fill="auto"/>
            <w:vAlign w:val="center"/>
          </w:tcPr>
          <w:p w:rsidR="005D4569" w:rsidRDefault="00AE0D30">
            <w:pPr>
              <w:pBdr>
                <w:top w:val="nil"/>
                <w:left w:val="nil"/>
                <w:bottom w:val="nil"/>
                <w:right w:val="nil"/>
                <w:between w:val="nil"/>
              </w:pBdr>
              <w:spacing w:before="120" w:after="120" w:line="276" w:lineRule="auto"/>
              <w:jc w:val="both"/>
              <w:rPr>
                <w:color w:val="000000"/>
              </w:rPr>
            </w:pPr>
            <w:r>
              <w:rPr>
                <w:color w:val="000000"/>
              </w:rPr>
              <w:t>2258</w:t>
            </w:r>
          </w:p>
        </w:tc>
        <w:tc>
          <w:tcPr>
            <w:tcW w:w="2436" w:type="dxa"/>
            <w:tcBorders>
              <w:top w:val="nil"/>
              <w:left w:val="nil"/>
              <w:bottom w:val="single" w:sz="8" w:space="0" w:color="000000"/>
              <w:right w:val="single" w:sz="4" w:space="0" w:color="000000"/>
            </w:tcBorders>
            <w:shd w:val="clear" w:color="auto" w:fill="auto"/>
            <w:vAlign w:val="center"/>
          </w:tcPr>
          <w:p w:rsidR="005D4569" w:rsidRDefault="00AE0D30">
            <w:pPr>
              <w:pBdr>
                <w:top w:val="nil"/>
                <w:left w:val="nil"/>
                <w:bottom w:val="nil"/>
                <w:right w:val="nil"/>
                <w:between w:val="nil"/>
              </w:pBdr>
              <w:spacing w:before="120" w:after="120" w:line="276" w:lineRule="auto"/>
              <w:jc w:val="both"/>
              <w:rPr>
                <w:color w:val="000000"/>
              </w:rPr>
            </w:pPr>
            <w:r>
              <w:rPr>
                <w:color w:val="000000"/>
              </w:rPr>
              <w:t>4044</w:t>
            </w:r>
          </w:p>
        </w:tc>
        <w:tc>
          <w:tcPr>
            <w:tcW w:w="2292" w:type="dxa"/>
            <w:tcBorders>
              <w:top w:val="single" w:sz="4" w:space="0" w:color="000000"/>
              <w:left w:val="single" w:sz="4" w:space="0" w:color="000000"/>
              <w:bottom w:val="single" w:sz="4" w:space="0" w:color="000000"/>
              <w:right w:val="single" w:sz="8" w:space="0" w:color="000000"/>
            </w:tcBorders>
            <w:shd w:val="clear" w:color="auto" w:fill="92D050"/>
            <w:vAlign w:val="center"/>
          </w:tcPr>
          <w:p w:rsidR="005D4569" w:rsidRDefault="00AE0D30">
            <w:pPr>
              <w:pBdr>
                <w:top w:val="nil"/>
                <w:left w:val="nil"/>
                <w:bottom w:val="nil"/>
                <w:right w:val="nil"/>
                <w:between w:val="nil"/>
              </w:pBdr>
              <w:spacing w:before="120" w:after="120" w:line="276" w:lineRule="auto"/>
              <w:jc w:val="both"/>
              <w:rPr>
                <w:color w:val="000000"/>
              </w:rPr>
            </w:pPr>
            <w:r>
              <w:rPr>
                <w:color w:val="000000"/>
              </w:rPr>
              <w:t>79,1</w:t>
            </w:r>
          </w:p>
        </w:tc>
      </w:tr>
    </w:tbl>
    <w:p w:rsidR="005D4569" w:rsidRDefault="00AE0D30">
      <w:pPr>
        <w:pBdr>
          <w:top w:val="nil"/>
          <w:left w:val="nil"/>
          <w:bottom w:val="nil"/>
          <w:right w:val="nil"/>
          <w:between w:val="nil"/>
        </w:pBdr>
        <w:spacing w:before="120" w:after="0" w:line="276" w:lineRule="auto"/>
        <w:jc w:val="both"/>
        <w:rPr>
          <w:color w:val="000000"/>
        </w:rPr>
      </w:pPr>
      <w:r>
        <w:rPr>
          <w:b/>
          <w:color w:val="000000"/>
        </w:rPr>
        <w:t>Kaynak:</w:t>
      </w:r>
      <w:r>
        <w:rPr>
          <w:color w:val="000000"/>
        </w:rPr>
        <w:t xml:space="preserve"> sahibinden.com, Betam</w:t>
      </w:r>
    </w:p>
    <w:p w:rsidR="005D4569" w:rsidRDefault="005D4569">
      <w:pPr>
        <w:pBdr>
          <w:top w:val="nil"/>
          <w:left w:val="nil"/>
          <w:bottom w:val="nil"/>
          <w:right w:val="nil"/>
          <w:between w:val="nil"/>
        </w:pBdr>
        <w:spacing w:after="0" w:line="276" w:lineRule="auto"/>
        <w:jc w:val="both"/>
        <w:rPr>
          <w:b/>
          <w:color w:val="000000"/>
        </w:rPr>
      </w:pPr>
    </w:p>
    <w:p w:rsidR="005D4569" w:rsidRDefault="00AE0D30">
      <w:pPr>
        <w:pBdr>
          <w:top w:val="nil"/>
          <w:left w:val="nil"/>
          <w:bottom w:val="nil"/>
          <w:right w:val="nil"/>
          <w:between w:val="nil"/>
        </w:pBdr>
        <w:spacing w:after="0" w:line="276" w:lineRule="auto"/>
        <w:jc w:val="both"/>
        <w:rPr>
          <w:b/>
          <w:color w:val="000000"/>
        </w:rPr>
      </w:pPr>
      <w:r>
        <w:rPr>
          <w:b/>
          <w:color w:val="000000"/>
        </w:rPr>
        <w:lastRenderedPageBreak/>
        <w:t>Satılık konut arzı ve talebi yükseliyor</w:t>
      </w:r>
    </w:p>
    <w:p w:rsidR="005D4569" w:rsidRDefault="00AE0D30">
      <w:pPr>
        <w:pBdr>
          <w:top w:val="nil"/>
          <w:left w:val="nil"/>
          <w:bottom w:val="nil"/>
          <w:right w:val="nil"/>
          <w:between w:val="nil"/>
        </w:pBdr>
        <w:spacing w:after="0" w:line="276" w:lineRule="auto"/>
        <w:jc w:val="both"/>
        <w:rPr>
          <w:color w:val="000000"/>
        </w:rPr>
      </w:pPr>
      <w:r>
        <w:rPr>
          <w:color w:val="000000"/>
        </w:rPr>
        <w:t xml:space="preserve">Satılık ilan sayısı ile ölçülen satılık konut arzı, geçen aya kıyasla ülke genelinde %7,1 (629 binden 674 bine), İstanbul'da %9,7 (168 binden 184 bine), Ankara'da %7,4 (59 binden 64 bine), İzmir'de ise %6,5 (51 binden 54 bine) yükseldi. Geçen aya kıyasla ülke genelinde konut arzı yüzde 7,1, konut talebi ise yüzde 3,3 yükseldi. </w:t>
      </w:r>
      <w:r>
        <w:t>G</w:t>
      </w:r>
      <w:r>
        <w:rPr>
          <w:color w:val="000000"/>
        </w:rPr>
        <w:t>eçen aya göre satılan konut sayısı yüzde 15,1, konut fiyatları ise yüzde 6,3 arttı. Öte yandan, konut talebi ve satılan konut sayısı artmasına rağmen kapatılan ilan yaşı yükseldi.</w:t>
      </w:r>
      <w:r>
        <w:t xml:space="preserve"> </w:t>
      </w:r>
      <w:r>
        <w:rPr>
          <w:color w:val="000000"/>
        </w:rPr>
        <w:t>Üç büyük ildeki konut arzı ve talebi incelendiğinde satılan konut sayısının toplam satılık ilan sayısına oranı ülke genelinde olduğu gibi bu illerde de geçen aya kıyasla arttı. Satılık ilan sayısı İstanbul'da yüzde 9,7 (168 binden 184 bine), Ankara'da yüzde 7,4 (59 binden 64 bine), İzmir'de ise yüzde 6,5 (51 binden 54 bine) arttı. Satılan konut sayısı ise bir önceki aya göre İstanbul'da yüzde 23,9 (10.125’ten 12.547’ye), Ankara'da yüzde 12,2 (3.738’den 4.193’e), İzmir'de ise yüzde 9,9 (3.092’den 3.397’ye) yükseldi.</w:t>
      </w:r>
    </w:p>
    <w:p w:rsidR="005D4569" w:rsidRDefault="005D4569">
      <w:pPr>
        <w:pBdr>
          <w:top w:val="nil"/>
          <w:left w:val="nil"/>
          <w:bottom w:val="nil"/>
          <w:right w:val="nil"/>
          <w:between w:val="nil"/>
        </w:pBdr>
        <w:spacing w:after="0" w:line="276" w:lineRule="auto"/>
        <w:jc w:val="both"/>
        <w:rPr>
          <w:b/>
          <w:color w:val="000000"/>
        </w:rPr>
      </w:pPr>
    </w:p>
    <w:p w:rsidR="005D4569" w:rsidRDefault="00AE0D30">
      <w:pPr>
        <w:pBdr>
          <w:top w:val="nil"/>
          <w:left w:val="nil"/>
          <w:bottom w:val="nil"/>
          <w:right w:val="nil"/>
          <w:between w:val="nil"/>
        </w:pBdr>
        <w:spacing w:after="0" w:line="276" w:lineRule="auto"/>
        <w:jc w:val="both"/>
        <w:rPr>
          <w:b/>
          <w:color w:val="000000"/>
          <w:u w:val="single"/>
        </w:rPr>
      </w:pPr>
      <w:r>
        <w:rPr>
          <w:b/>
          <w:color w:val="000000"/>
        </w:rPr>
        <w:t>Üç büyük ilde satılan konut sayısının satılık konut ilan sayısına oranı (%)</w:t>
      </w:r>
    </w:p>
    <w:p w:rsidR="005D4569" w:rsidRDefault="00AE0D30">
      <w:pPr>
        <w:pBdr>
          <w:top w:val="nil"/>
          <w:left w:val="nil"/>
          <w:bottom w:val="nil"/>
          <w:right w:val="nil"/>
          <w:between w:val="nil"/>
        </w:pBdr>
        <w:spacing w:after="0" w:line="276" w:lineRule="auto"/>
        <w:jc w:val="both"/>
        <w:rPr>
          <w:color w:val="000000"/>
        </w:rPr>
      </w:pPr>
      <w:r>
        <w:rPr>
          <w:noProof/>
          <w:color w:val="000000"/>
        </w:rPr>
        <w:drawing>
          <wp:inline distT="0" distB="0" distL="0" distR="0">
            <wp:extent cx="4340860" cy="2194560"/>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340860" cy="2194560"/>
                    </a:xfrm>
                    <a:prstGeom prst="rect">
                      <a:avLst/>
                    </a:prstGeom>
                    <a:ln/>
                  </pic:spPr>
                </pic:pic>
              </a:graphicData>
            </a:graphic>
          </wp:inline>
        </w:drawing>
      </w:r>
    </w:p>
    <w:p w:rsidR="005D4569" w:rsidRDefault="00AE0D30">
      <w:pPr>
        <w:pBdr>
          <w:top w:val="nil"/>
          <w:left w:val="nil"/>
          <w:bottom w:val="nil"/>
          <w:right w:val="nil"/>
          <w:between w:val="nil"/>
        </w:pBdr>
        <w:spacing w:after="0" w:line="276" w:lineRule="auto"/>
        <w:jc w:val="both"/>
        <w:rPr>
          <w:color w:val="000000"/>
        </w:rPr>
      </w:pPr>
      <w:r>
        <w:rPr>
          <w:b/>
          <w:color w:val="000000"/>
        </w:rPr>
        <w:t>Kaynak:</w:t>
      </w:r>
      <w:r>
        <w:rPr>
          <w:color w:val="000000"/>
        </w:rPr>
        <w:t xml:space="preserve"> sahibinden.com, Betam</w:t>
      </w:r>
    </w:p>
    <w:p w:rsidR="005D4569" w:rsidRDefault="005D4569">
      <w:pPr>
        <w:pBdr>
          <w:top w:val="nil"/>
          <w:left w:val="nil"/>
          <w:bottom w:val="nil"/>
          <w:right w:val="nil"/>
          <w:between w:val="nil"/>
        </w:pBdr>
        <w:spacing w:after="0" w:line="276" w:lineRule="auto"/>
        <w:jc w:val="both"/>
        <w:rPr>
          <w:color w:val="000000"/>
        </w:rPr>
      </w:pPr>
    </w:p>
    <w:p w:rsidR="005D4569" w:rsidRDefault="00AE0D30">
      <w:pPr>
        <w:pBdr>
          <w:top w:val="nil"/>
          <w:left w:val="nil"/>
          <w:bottom w:val="nil"/>
          <w:right w:val="nil"/>
          <w:between w:val="nil"/>
        </w:pBdr>
        <w:spacing w:after="0" w:line="276" w:lineRule="auto"/>
        <w:jc w:val="both"/>
        <w:rPr>
          <w:b/>
          <w:color w:val="000000"/>
        </w:rPr>
      </w:pPr>
      <w:r>
        <w:rPr>
          <w:b/>
          <w:color w:val="000000"/>
        </w:rPr>
        <w:t>Satılık konutların kapatılan ilan yaşı yükseldi</w:t>
      </w:r>
    </w:p>
    <w:p w:rsidR="005D4569" w:rsidRDefault="00AE0D30">
      <w:pPr>
        <w:pBdr>
          <w:top w:val="nil"/>
          <w:left w:val="nil"/>
          <w:bottom w:val="nil"/>
          <w:right w:val="nil"/>
          <w:between w:val="nil"/>
        </w:pBdr>
        <w:spacing w:after="0" w:line="276" w:lineRule="auto"/>
        <w:jc w:val="both"/>
        <w:rPr>
          <w:color w:val="000000"/>
        </w:rPr>
      </w:pPr>
      <w:r>
        <w:rPr>
          <w:color w:val="000000"/>
        </w:rPr>
        <w:t>Kapatılan ilan yaşı hem Türkiye genelinde hem de üç büyük ilde yükseldi. Önceki aya kıyasla kapatılan ilan yaşı Türkiye genelinde 2,8, İstanbul’da 4,3, Ankara’da 4,5, İzmir’de ise 1 gün uzadı. Son verilere göre kapatılan ilan yaşı ülke genelinde 38,4, İstanbul’da 36,2, Ankara’da 29,6 ve İzmir’de 45,7 gün oldu.</w:t>
      </w:r>
      <w:r>
        <w:t xml:space="preserve"> </w:t>
      </w:r>
      <w:r>
        <w:rPr>
          <w:color w:val="000000"/>
        </w:rPr>
        <w:t>Kapatılan ilan yaşı sadece dört büyükşehirde düştü. Kapatılan ilan yaşının düştüğü iller: Aydın (3,9 gün), Balıkesir (1,4 gün), Hatay (1,3 gün) ve Ordu (0,9 gün). Öte yandan, İzmir (1 gün) kapatılan ilan yaşının en az arttığı il ol</w:t>
      </w:r>
      <w:r>
        <w:t xml:space="preserve">du. </w:t>
      </w:r>
      <w:r>
        <w:rPr>
          <w:color w:val="000000"/>
        </w:rPr>
        <w:t>Kapatılan ilan yaşının en çok yükseldiği iller Diyarbakır (4,9 gün), Eskişehir (6,7 gün), Muğla (6,9 gün), Malatya (8 gün) ve Van</w:t>
      </w:r>
      <w:r>
        <w:t xml:space="preserve"> </w:t>
      </w:r>
      <w:r>
        <w:rPr>
          <w:color w:val="000000"/>
        </w:rPr>
        <w:t>(8,1 gün) oldu.</w:t>
      </w:r>
    </w:p>
    <w:p w:rsidR="005D4569" w:rsidRDefault="005D4569">
      <w:pPr>
        <w:pBdr>
          <w:top w:val="nil"/>
          <w:left w:val="nil"/>
          <w:bottom w:val="nil"/>
          <w:right w:val="nil"/>
          <w:between w:val="nil"/>
        </w:pBdr>
        <w:spacing w:after="0" w:line="276" w:lineRule="auto"/>
        <w:jc w:val="both"/>
        <w:rPr>
          <w:color w:val="000000"/>
        </w:rPr>
      </w:pPr>
    </w:p>
    <w:p w:rsidR="005D4569" w:rsidRDefault="00AE0D30">
      <w:pPr>
        <w:pBdr>
          <w:top w:val="nil"/>
          <w:left w:val="nil"/>
          <w:bottom w:val="nil"/>
          <w:right w:val="nil"/>
          <w:between w:val="nil"/>
        </w:pBdr>
        <w:spacing w:after="120" w:line="276" w:lineRule="auto"/>
        <w:jc w:val="both"/>
        <w:rPr>
          <w:b/>
          <w:color w:val="000000"/>
        </w:rPr>
      </w:pPr>
      <w:r>
        <w:rPr>
          <w:b/>
          <w:color w:val="000000"/>
        </w:rPr>
        <w:t>Bir önceki aya göre satılık konut kapatılan ilan yaşının en hızlı arttığı ve azaldığı iller – Şubat 2022</w:t>
      </w:r>
    </w:p>
    <w:tbl>
      <w:tblPr>
        <w:tblStyle w:val="a0"/>
        <w:tblW w:w="9173" w:type="dxa"/>
        <w:tblInd w:w="0" w:type="dxa"/>
        <w:tblLayout w:type="fixed"/>
        <w:tblLook w:val="0400" w:firstRow="0" w:lastRow="0" w:firstColumn="0" w:lastColumn="0" w:noHBand="0" w:noVBand="1"/>
      </w:tblPr>
      <w:tblGrid>
        <w:gridCol w:w="2010"/>
        <w:gridCol w:w="2602"/>
        <w:gridCol w:w="2602"/>
        <w:gridCol w:w="1959"/>
      </w:tblGrid>
      <w:tr w:rsidR="005D4569">
        <w:trPr>
          <w:trHeight w:val="900"/>
        </w:trPr>
        <w:tc>
          <w:tcPr>
            <w:tcW w:w="20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5D4569" w:rsidRDefault="00AE0D30">
            <w:pPr>
              <w:spacing w:after="0" w:line="240" w:lineRule="auto"/>
              <w:jc w:val="center"/>
              <w:rPr>
                <w:b/>
                <w:color w:val="000000"/>
              </w:rPr>
            </w:pPr>
            <w:r>
              <w:rPr>
                <w:b/>
                <w:color w:val="000000"/>
              </w:rPr>
              <w:t>İller</w:t>
            </w:r>
          </w:p>
        </w:tc>
        <w:tc>
          <w:tcPr>
            <w:tcW w:w="2602" w:type="dxa"/>
            <w:tcBorders>
              <w:top w:val="single" w:sz="8" w:space="0" w:color="000000"/>
              <w:left w:val="nil"/>
              <w:bottom w:val="single" w:sz="8" w:space="0" w:color="000000"/>
              <w:right w:val="single" w:sz="4" w:space="0" w:color="000000"/>
            </w:tcBorders>
            <w:shd w:val="clear" w:color="auto" w:fill="auto"/>
            <w:vAlign w:val="center"/>
          </w:tcPr>
          <w:p w:rsidR="005D4569" w:rsidRDefault="00AE0D30">
            <w:pPr>
              <w:spacing w:after="0" w:line="240" w:lineRule="auto"/>
              <w:jc w:val="center"/>
              <w:rPr>
                <w:b/>
                <w:color w:val="000000"/>
              </w:rPr>
            </w:pPr>
            <w:r>
              <w:rPr>
                <w:b/>
                <w:color w:val="000000"/>
              </w:rPr>
              <w:t>Satılık Konut Kapanan İlan Yaşı, Ocak 2022</w:t>
            </w:r>
          </w:p>
        </w:tc>
        <w:tc>
          <w:tcPr>
            <w:tcW w:w="2602" w:type="dxa"/>
            <w:tcBorders>
              <w:top w:val="single" w:sz="8" w:space="0" w:color="000000"/>
              <w:left w:val="nil"/>
              <w:bottom w:val="single" w:sz="8" w:space="0" w:color="000000"/>
              <w:right w:val="single" w:sz="4" w:space="0" w:color="000000"/>
            </w:tcBorders>
            <w:shd w:val="clear" w:color="auto" w:fill="auto"/>
            <w:vAlign w:val="center"/>
          </w:tcPr>
          <w:p w:rsidR="005D4569" w:rsidRDefault="00AE0D30">
            <w:pPr>
              <w:spacing w:after="0" w:line="240" w:lineRule="auto"/>
              <w:jc w:val="center"/>
              <w:rPr>
                <w:b/>
                <w:color w:val="000000"/>
              </w:rPr>
            </w:pPr>
            <w:r>
              <w:rPr>
                <w:b/>
                <w:color w:val="000000"/>
              </w:rPr>
              <w:t>Satılık Konut Kapanan İlan Yaşı, Şubat 2022</w:t>
            </w:r>
          </w:p>
        </w:tc>
        <w:tc>
          <w:tcPr>
            <w:tcW w:w="1959" w:type="dxa"/>
            <w:tcBorders>
              <w:top w:val="single" w:sz="8" w:space="0" w:color="000000"/>
              <w:left w:val="nil"/>
              <w:bottom w:val="single" w:sz="8" w:space="0" w:color="000000"/>
              <w:right w:val="single" w:sz="8" w:space="0" w:color="000000"/>
            </w:tcBorders>
            <w:shd w:val="clear" w:color="auto" w:fill="auto"/>
            <w:vAlign w:val="center"/>
          </w:tcPr>
          <w:p w:rsidR="005D4569" w:rsidRDefault="00AE0D30">
            <w:pPr>
              <w:spacing w:after="0" w:line="240" w:lineRule="auto"/>
              <w:jc w:val="center"/>
              <w:rPr>
                <w:b/>
                <w:color w:val="000000"/>
              </w:rPr>
            </w:pPr>
            <w:r>
              <w:rPr>
                <w:b/>
                <w:color w:val="000000"/>
              </w:rPr>
              <w:t>Aylık Değişim (Gün)</w:t>
            </w:r>
          </w:p>
        </w:tc>
      </w:tr>
      <w:tr w:rsidR="005D4569">
        <w:trPr>
          <w:trHeight w:val="300"/>
        </w:trPr>
        <w:tc>
          <w:tcPr>
            <w:tcW w:w="2010" w:type="dxa"/>
            <w:tcBorders>
              <w:top w:val="single" w:sz="8" w:space="0" w:color="000000"/>
              <w:left w:val="single" w:sz="8" w:space="0" w:color="000000"/>
              <w:bottom w:val="single" w:sz="8" w:space="0" w:color="000000"/>
              <w:right w:val="single" w:sz="4" w:space="0" w:color="000000"/>
            </w:tcBorders>
            <w:shd w:val="clear" w:color="auto" w:fill="auto"/>
            <w:vAlign w:val="bottom"/>
          </w:tcPr>
          <w:p w:rsidR="005D4569" w:rsidRDefault="00AE0D30">
            <w:pPr>
              <w:spacing w:after="0" w:line="240" w:lineRule="auto"/>
              <w:jc w:val="center"/>
              <w:rPr>
                <w:color w:val="FF0000"/>
              </w:rPr>
            </w:pPr>
            <w:r>
              <w:rPr>
                <w:color w:val="FF0000"/>
              </w:rPr>
              <w:t>Türkiye Ortalaması</w:t>
            </w:r>
          </w:p>
        </w:tc>
        <w:tc>
          <w:tcPr>
            <w:tcW w:w="2602" w:type="dxa"/>
            <w:tcBorders>
              <w:top w:val="single" w:sz="8" w:space="0" w:color="000000"/>
              <w:left w:val="nil"/>
              <w:bottom w:val="single" w:sz="8" w:space="0" w:color="000000"/>
              <w:right w:val="single" w:sz="4" w:space="0" w:color="000000"/>
            </w:tcBorders>
            <w:shd w:val="clear" w:color="auto" w:fill="auto"/>
            <w:vAlign w:val="bottom"/>
          </w:tcPr>
          <w:p w:rsidR="005D4569" w:rsidRDefault="00AE0D30">
            <w:pPr>
              <w:spacing w:after="0" w:line="240" w:lineRule="auto"/>
              <w:jc w:val="center"/>
              <w:rPr>
                <w:color w:val="FF0000"/>
              </w:rPr>
            </w:pPr>
            <w:r>
              <w:rPr>
                <w:color w:val="FF0000"/>
              </w:rPr>
              <w:t>35,6</w:t>
            </w:r>
          </w:p>
        </w:tc>
        <w:tc>
          <w:tcPr>
            <w:tcW w:w="2602" w:type="dxa"/>
            <w:tcBorders>
              <w:top w:val="single" w:sz="8" w:space="0" w:color="000000"/>
              <w:left w:val="nil"/>
              <w:bottom w:val="single" w:sz="8" w:space="0" w:color="000000"/>
              <w:right w:val="single" w:sz="4" w:space="0" w:color="000000"/>
            </w:tcBorders>
            <w:shd w:val="clear" w:color="auto" w:fill="auto"/>
            <w:vAlign w:val="bottom"/>
          </w:tcPr>
          <w:p w:rsidR="005D4569" w:rsidRDefault="00AE0D30">
            <w:pPr>
              <w:spacing w:after="0" w:line="240" w:lineRule="auto"/>
              <w:jc w:val="center"/>
              <w:rPr>
                <w:color w:val="FF0000"/>
              </w:rPr>
            </w:pPr>
            <w:r>
              <w:rPr>
                <w:color w:val="FF0000"/>
              </w:rPr>
              <w:t>38,4</w:t>
            </w:r>
          </w:p>
        </w:tc>
        <w:tc>
          <w:tcPr>
            <w:tcW w:w="1959" w:type="dxa"/>
            <w:tcBorders>
              <w:top w:val="single" w:sz="8" w:space="0" w:color="000000"/>
              <w:left w:val="nil"/>
              <w:bottom w:val="single" w:sz="8" w:space="0" w:color="000000"/>
              <w:right w:val="single" w:sz="8" w:space="0" w:color="000000"/>
            </w:tcBorders>
            <w:shd w:val="clear" w:color="auto" w:fill="auto"/>
            <w:vAlign w:val="bottom"/>
          </w:tcPr>
          <w:p w:rsidR="005D4569" w:rsidRDefault="00AE0D30">
            <w:pPr>
              <w:spacing w:after="0" w:line="240" w:lineRule="auto"/>
              <w:jc w:val="center"/>
              <w:rPr>
                <w:color w:val="FF0000"/>
              </w:rPr>
            </w:pPr>
            <w:r>
              <w:rPr>
                <w:color w:val="FF0000"/>
              </w:rPr>
              <w:t>2,8</w:t>
            </w:r>
          </w:p>
        </w:tc>
      </w:tr>
      <w:tr w:rsidR="005D4569">
        <w:trPr>
          <w:trHeight w:val="300"/>
        </w:trPr>
        <w:tc>
          <w:tcPr>
            <w:tcW w:w="2010" w:type="dxa"/>
            <w:tcBorders>
              <w:top w:val="single" w:sz="8" w:space="0" w:color="000000"/>
              <w:left w:val="single" w:sz="8" w:space="0" w:color="000000"/>
              <w:bottom w:val="single" w:sz="4" w:space="0" w:color="000000"/>
              <w:right w:val="single" w:sz="4" w:space="0" w:color="000000"/>
            </w:tcBorders>
            <w:shd w:val="clear" w:color="auto" w:fill="auto"/>
            <w:vAlign w:val="bottom"/>
          </w:tcPr>
          <w:p w:rsidR="005D4569" w:rsidRDefault="00AE0D30">
            <w:pPr>
              <w:spacing w:after="0" w:line="240" w:lineRule="auto"/>
              <w:jc w:val="center"/>
              <w:rPr>
                <w:color w:val="000000"/>
              </w:rPr>
            </w:pPr>
            <w:r>
              <w:rPr>
                <w:color w:val="000000"/>
              </w:rPr>
              <w:t>Aydın</w:t>
            </w:r>
          </w:p>
        </w:tc>
        <w:tc>
          <w:tcPr>
            <w:tcW w:w="2602" w:type="dxa"/>
            <w:tcBorders>
              <w:top w:val="single" w:sz="8" w:space="0" w:color="000000"/>
              <w:left w:val="nil"/>
              <w:bottom w:val="single" w:sz="4" w:space="0" w:color="000000"/>
              <w:right w:val="single" w:sz="4" w:space="0" w:color="000000"/>
            </w:tcBorders>
            <w:shd w:val="clear" w:color="auto" w:fill="auto"/>
            <w:vAlign w:val="bottom"/>
          </w:tcPr>
          <w:p w:rsidR="005D4569" w:rsidRDefault="00AE0D30">
            <w:pPr>
              <w:spacing w:after="0" w:line="240" w:lineRule="auto"/>
              <w:jc w:val="center"/>
              <w:rPr>
                <w:color w:val="000000"/>
              </w:rPr>
            </w:pPr>
            <w:r>
              <w:rPr>
                <w:color w:val="000000"/>
              </w:rPr>
              <w:t>44,6</w:t>
            </w:r>
          </w:p>
        </w:tc>
        <w:tc>
          <w:tcPr>
            <w:tcW w:w="2602" w:type="dxa"/>
            <w:tcBorders>
              <w:top w:val="single" w:sz="8" w:space="0" w:color="000000"/>
              <w:left w:val="nil"/>
              <w:bottom w:val="single" w:sz="4" w:space="0" w:color="000000"/>
              <w:right w:val="single" w:sz="4" w:space="0" w:color="000000"/>
            </w:tcBorders>
            <w:shd w:val="clear" w:color="auto" w:fill="auto"/>
            <w:vAlign w:val="bottom"/>
          </w:tcPr>
          <w:p w:rsidR="005D4569" w:rsidRDefault="00AE0D30">
            <w:pPr>
              <w:spacing w:after="0" w:line="240" w:lineRule="auto"/>
              <w:jc w:val="center"/>
              <w:rPr>
                <w:color w:val="000000"/>
              </w:rPr>
            </w:pPr>
            <w:r>
              <w:rPr>
                <w:color w:val="000000"/>
              </w:rPr>
              <w:t>40,7</w:t>
            </w:r>
          </w:p>
        </w:tc>
        <w:tc>
          <w:tcPr>
            <w:tcW w:w="1959" w:type="dxa"/>
            <w:tcBorders>
              <w:top w:val="single" w:sz="8" w:space="0" w:color="000000"/>
              <w:left w:val="single" w:sz="4" w:space="0" w:color="000000"/>
              <w:bottom w:val="single" w:sz="4" w:space="0" w:color="000000"/>
              <w:right w:val="single" w:sz="8" w:space="0" w:color="000000"/>
            </w:tcBorders>
            <w:shd w:val="clear" w:color="auto" w:fill="63BE7B"/>
            <w:vAlign w:val="bottom"/>
          </w:tcPr>
          <w:p w:rsidR="005D4569" w:rsidRDefault="00AE0D30">
            <w:pPr>
              <w:spacing w:after="0" w:line="240" w:lineRule="auto"/>
              <w:jc w:val="center"/>
              <w:rPr>
                <w:color w:val="000000"/>
              </w:rPr>
            </w:pPr>
            <w:r>
              <w:rPr>
                <w:color w:val="000000"/>
              </w:rPr>
              <w:t>-3,9</w:t>
            </w:r>
          </w:p>
        </w:tc>
      </w:tr>
      <w:tr w:rsidR="005D4569">
        <w:trPr>
          <w:trHeight w:val="300"/>
        </w:trPr>
        <w:tc>
          <w:tcPr>
            <w:tcW w:w="2010" w:type="dxa"/>
            <w:tcBorders>
              <w:top w:val="nil"/>
              <w:left w:val="single" w:sz="8" w:space="0" w:color="000000"/>
              <w:bottom w:val="single" w:sz="4" w:space="0" w:color="000000"/>
              <w:right w:val="single" w:sz="4" w:space="0" w:color="000000"/>
            </w:tcBorders>
            <w:shd w:val="clear" w:color="auto" w:fill="auto"/>
            <w:vAlign w:val="bottom"/>
          </w:tcPr>
          <w:p w:rsidR="005D4569" w:rsidRDefault="00AE0D30">
            <w:pPr>
              <w:spacing w:after="0" w:line="240" w:lineRule="auto"/>
              <w:jc w:val="center"/>
              <w:rPr>
                <w:color w:val="000000"/>
              </w:rPr>
            </w:pPr>
            <w:r>
              <w:rPr>
                <w:color w:val="000000"/>
              </w:rPr>
              <w:t>Balıkesir</w:t>
            </w:r>
          </w:p>
        </w:tc>
        <w:tc>
          <w:tcPr>
            <w:tcW w:w="2602" w:type="dxa"/>
            <w:tcBorders>
              <w:top w:val="nil"/>
              <w:left w:val="nil"/>
              <w:bottom w:val="single" w:sz="4" w:space="0" w:color="000000"/>
              <w:right w:val="single" w:sz="4" w:space="0" w:color="000000"/>
            </w:tcBorders>
            <w:shd w:val="clear" w:color="auto" w:fill="auto"/>
            <w:vAlign w:val="bottom"/>
          </w:tcPr>
          <w:p w:rsidR="005D4569" w:rsidRDefault="00AE0D30">
            <w:pPr>
              <w:spacing w:after="0" w:line="240" w:lineRule="auto"/>
              <w:jc w:val="center"/>
              <w:rPr>
                <w:color w:val="000000"/>
              </w:rPr>
            </w:pPr>
            <w:r>
              <w:rPr>
                <w:color w:val="000000"/>
              </w:rPr>
              <w:t>50,5</w:t>
            </w:r>
          </w:p>
        </w:tc>
        <w:tc>
          <w:tcPr>
            <w:tcW w:w="2602" w:type="dxa"/>
            <w:tcBorders>
              <w:top w:val="nil"/>
              <w:left w:val="nil"/>
              <w:bottom w:val="single" w:sz="4" w:space="0" w:color="000000"/>
              <w:right w:val="single" w:sz="4" w:space="0" w:color="000000"/>
            </w:tcBorders>
            <w:shd w:val="clear" w:color="auto" w:fill="auto"/>
            <w:vAlign w:val="bottom"/>
          </w:tcPr>
          <w:p w:rsidR="005D4569" w:rsidRDefault="00AE0D30">
            <w:pPr>
              <w:spacing w:after="0" w:line="240" w:lineRule="auto"/>
              <w:jc w:val="center"/>
              <w:rPr>
                <w:color w:val="000000"/>
              </w:rPr>
            </w:pPr>
            <w:r>
              <w:rPr>
                <w:color w:val="000000"/>
              </w:rPr>
              <w:t>49,1</w:t>
            </w:r>
          </w:p>
        </w:tc>
        <w:tc>
          <w:tcPr>
            <w:tcW w:w="1959" w:type="dxa"/>
            <w:tcBorders>
              <w:top w:val="single" w:sz="4" w:space="0" w:color="000000"/>
              <w:left w:val="single" w:sz="4" w:space="0" w:color="000000"/>
              <w:bottom w:val="single" w:sz="4" w:space="0" w:color="000000"/>
              <w:right w:val="single" w:sz="8" w:space="0" w:color="000000"/>
            </w:tcBorders>
            <w:shd w:val="clear" w:color="auto" w:fill="90D0A2"/>
            <w:vAlign w:val="bottom"/>
          </w:tcPr>
          <w:p w:rsidR="005D4569" w:rsidRDefault="00AE0D30">
            <w:pPr>
              <w:spacing w:after="0" w:line="240" w:lineRule="auto"/>
              <w:jc w:val="center"/>
              <w:rPr>
                <w:color w:val="000000"/>
              </w:rPr>
            </w:pPr>
            <w:r>
              <w:rPr>
                <w:color w:val="000000"/>
              </w:rPr>
              <w:t>-1,4</w:t>
            </w:r>
          </w:p>
        </w:tc>
      </w:tr>
      <w:tr w:rsidR="005D4569">
        <w:trPr>
          <w:trHeight w:val="300"/>
        </w:trPr>
        <w:tc>
          <w:tcPr>
            <w:tcW w:w="2010" w:type="dxa"/>
            <w:tcBorders>
              <w:top w:val="nil"/>
              <w:left w:val="single" w:sz="8" w:space="0" w:color="000000"/>
              <w:bottom w:val="single" w:sz="4" w:space="0" w:color="000000"/>
              <w:right w:val="single" w:sz="4" w:space="0" w:color="000000"/>
            </w:tcBorders>
            <w:shd w:val="clear" w:color="auto" w:fill="auto"/>
            <w:vAlign w:val="bottom"/>
          </w:tcPr>
          <w:p w:rsidR="005D4569" w:rsidRDefault="00AE0D30">
            <w:pPr>
              <w:spacing w:after="0" w:line="240" w:lineRule="auto"/>
              <w:jc w:val="center"/>
              <w:rPr>
                <w:color w:val="000000"/>
              </w:rPr>
            </w:pPr>
            <w:r>
              <w:rPr>
                <w:color w:val="000000"/>
              </w:rPr>
              <w:lastRenderedPageBreak/>
              <w:t>Hatay</w:t>
            </w:r>
          </w:p>
        </w:tc>
        <w:tc>
          <w:tcPr>
            <w:tcW w:w="2602" w:type="dxa"/>
            <w:tcBorders>
              <w:top w:val="nil"/>
              <w:left w:val="nil"/>
              <w:bottom w:val="single" w:sz="4" w:space="0" w:color="000000"/>
              <w:right w:val="single" w:sz="4" w:space="0" w:color="000000"/>
            </w:tcBorders>
            <w:shd w:val="clear" w:color="auto" w:fill="auto"/>
            <w:vAlign w:val="bottom"/>
          </w:tcPr>
          <w:p w:rsidR="005D4569" w:rsidRDefault="00AE0D30">
            <w:pPr>
              <w:spacing w:after="0" w:line="240" w:lineRule="auto"/>
              <w:jc w:val="center"/>
              <w:rPr>
                <w:color w:val="000000"/>
              </w:rPr>
            </w:pPr>
            <w:r>
              <w:rPr>
                <w:color w:val="000000"/>
              </w:rPr>
              <w:t>38,1</w:t>
            </w:r>
          </w:p>
        </w:tc>
        <w:tc>
          <w:tcPr>
            <w:tcW w:w="2602" w:type="dxa"/>
            <w:tcBorders>
              <w:top w:val="nil"/>
              <w:left w:val="nil"/>
              <w:bottom w:val="single" w:sz="4" w:space="0" w:color="000000"/>
              <w:right w:val="single" w:sz="4" w:space="0" w:color="000000"/>
            </w:tcBorders>
            <w:shd w:val="clear" w:color="auto" w:fill="auto"/>
            <w:vAlign w:val="bottom"/>
          </w:tcPr>
          <w:p w:rsidR="005D4569" w:rsidRDefault="00AE0D30">
            <w:pPr>
              <w:spacing w:after="0" w:line="240" w:lineRule="auto"/>
              <w:jc w:val="center"/>
              <w:rPr>
                <w:color w:val="000000"/>
              </w:rPr>
            </w:pPr>
            <w:r>
              <w:rPr>
                <w:color w:val="000000"/>
              </w:rPr>
              <w:t>36,8</w:t>
            </w:r>
          </w:p>
        </w:tc>
        <w:tc>
          <w:tcPr>
            <w:tcW w:w="1959" w:type="dxa"/>
            <w:tcBorders>
              <w:top w:val="single" w:sz="4" w:space="0" w:color="000000"/>
              <w:left w:val="single" w:sz="4" w:space="0" w:color="000000"/>
              <w:bottom w:val="single" w:sz="4" w:space="0" w:color="000000"/>
              <w:right w:val="single" w:sz="8" w:space="0" w:color="000000"/>
            </w:tcBorders>
            <w:shd w:val="clear" w:color="auto" w:fill="A7D9B6"/>
            <w:vAlign w:val="bottom"/>
          </w:tcPr>
          <w:p w:rsidR="005D4569" w:rsidRDefault="00AE0D30">
            <w:pPr>
              <w:spacing w:after="0" w:line="240" w:lineRule="auto"/>
              <w:jc w:val="center"/>
              <w:rPr>
                <w:color w:val="000000"/>
              </w:rPr>
            </w:pPr>
            <w:r>
              <w:rPr>
                <w:color w:val="000000"/>
              </w:rPr>
              <w:t>-1,3</w:t>
            </w:r>
          </w:p>
        </w:tc>
      </w:tr>
      <w:tr w:rsidR="005D4569">
        <w:trPr>
          <w:trHeight w:val="300"/>
        </w:trPr>
        <w:tc>
          <w:tcPr>
            <w:tcW w:w="2010" w:type="dxa"/>
            <w:tcBorders>
              <w:top w:val="nil"/>
              <w:left w:val="single" w:sz="8" w:space="0" w:color="000000"/>
              <w:bottom w:val="single" w:sz="4" w:space="0" w:color="000000"/>
              <w:right w:val="single" w:sz="4" w:space="0" w:color="000000"/>
            </w:tcBorders>
            <w:shd w:val="clear" w:color="auto" w:fill="auto"/>
            <w:vAlign w:val="bottom"/>
          </w:tcPr>
          <w:p w:rsidR="005D4569" w:rsidRDefault="00AE0D30">
            <w:pPr>
              <w:spacing w:after="0" w:line="240" w:lineRule="auto"/>
              <w:jc w:val="center"/>
              <w:rPr>
                <w:color w:val="000000"/>
              </w:rPr>
            </w:pPr>
            <w:r>
              <w:rPr>
                <w:color w:val="000000"/>
              </w:rPr>
              <w:t>Ordu</w:t>
            </w:r>
          </w:p>
        </w:tc>
        <w:tc>
          <w:tcPr>
            <w:tcW w:w="2602" w:type="dxa"/>
            <w:tcBorders>
              <w:top w:val="nil"/>
              <w:left w:val="nil"/>
              <w:bottom w:val="single" w:sz="4" w:space="0" w:color="000000"/>
              <w:right w:val="single" w:sz="4" w:space="0" w:color="000000"/>
            </w:tcBorders>
            <w:shd w:val="clear" w:color="auto" w:fill="auto"/>
            <w:vAlign w:val="bottom"/>
          </w:tcPr>
          <w:p w:rsidR="005D4569" w:rsidRDefault="00AE0D30">
            <w:pPr>
              <w:spacing w:after="0" w:line="240" w:lineRule="auto"/>
              <w:jc w:val="center"/>
              <w:rPr>
                <w:color w:val="000000"/>
              </w:rPr>
            </w:pPr>
            <w:r>
              <w:rPr>
                <w:color w:val="000000"/>
              </w:rPr>
              <w:t>41,2</w:t>
            </w:r>
          </w:p>
        </w:tc>
        <w:tc>
          <w:tcPr>
            <w:tcW w:w="2602" w:type="dxa"/>
            <w:tcBorders>
              <w:top w:val="nil"/>
              <w:left w:val="nil"/>
              <w:bottom w:val="single" w:sz="4" w:space="0" w:color="000000"/>
              <w:right w:val="single" w:sz="4" w:space="0" w:color="000000"/>
            </w:tcBorders>
            <w:shd w:val="clear" w:color="auto" w:fill="auto"/>
            <w:vAlign w:val="bottom"/>
          </w:tcPr>
          <w:p w:rsidR="005D4569" w:rsidRDefault="00AE0D30">
            <w:pPr>
              <w:spacing w:after="0" w:line="240" w:lineRule="auto"/>
              <w:jc w:val="center"/>
              <w:rPr>
                <w:color w:val="000000"/>
              </w:rPr>
            </w:pPr>
            <w:r>
              <w:rPr>
                <w:color w:val="000000"/>
              </w:rPr>
              <w:t>40,3</w:t>
            </w:r>
          </w:p>
        </w:tc>
        <w:tc>
          <w:tcPr>
            <w:tcW w:w="1959" w:type="dxa"/>
            <w:tcBorders>
              <w:top w:val="single" w:sz="4" w:space="0" w:color="000000"/>
              <w:left w:val="single" w:sz="4" w:space="0" w:color="000000"/>
              <w:bottom w:val="single" w:sz="4" w:space="0" w:color="000000"/>
              <w:right w:val="single" w:sz="8" w:space="0" w:color="000000"/>
            </w:tcBorders>
            <w:shd w:val="clear" w:color="auto" w:fill="B0DDBD"/>
            <w:vAlign w:val="bottom"/>
          </w:tcPr>
          <w:p w:rsidR="005D4569" w:rsidRDefault="00AE0D30">
            <w:pPr>
              <w:spacing w:after="0" w:line="240" w:lineRule="auto"/>
              <w:jc w:val="center"/>
              <w:rPr>
                <w:color w:val="000000"/>
              </w:rPr>
            </w:pPr>
            <w:r>
              <w:rPr>
                <w:color w:val="000000"/>
              </w:rPr>
              <w:t>-0,9</w:t>
            </w:r>
          </w:p>
        </w:tc>
      </w:tr>
      <w:tr w:rsidR="005D4569">
        <w:trPr>
          <w:trHeight w:val="300"/>
        </w:trPr>
        <w:tc>
          <w:tcPr>
            <w:tcW w:w="2010" w:type="dxa"/>
            <w:tcBorders>
              <w:top w:val="nil"/>
              <w:left w:val="single" w:sz="8" w:space="0" w:color="000000"/>
              <w:bottom w:val="single" w:sz="4" w:space="0" w:color="000000"/>
              <w:right w:val="single" w:sz="4" w:space="0" w:color="000000"/>
            </w:tcBorders>
            <w:shd w:val="clear" w:color="auto" w:fill="auto"/>
            <w:vAlign w:val="bottom"/>
          </w:tcPr>
          <w:p w:rsidR="005D4569" w:rsidRDefault="00AE0D30">
            <w:pPr>
              <w:spacing w:after="0" w:line="240" w:lineRule="auto"/>
              <w:jc w:val="center"/>
              <w:rPr>
                <w:color w:val="000000"/>
              </w:rPr>
            </w:pPr>
            <w:r>
              <w:rPr>
                <w:color w:val="000000"/>
              </w:rPr>
              <w:t>İzmir</w:t>
            </w:r>
          </w:p>
        </w:tc>
        <w:tc>
          <w:tcPr>
            <w:tcW w:w="2602" w:type="dxa"/>
            <w:tcBorders>
              <w:top w:val="nil"/>
              <w:left w:val="nil"/>
              <w:bottom w:val="single" w:sz="4" w:space="0" w:color="000000"/>
              <w:right w:val="single" w:sz="4" w:space="0" w:color="000000"/>
            </w:tcBorders>
            <w:shd w:val="clear" w:color="auto" w:fill="auto"/>
            <w:vAlign w:val="bottom"/>
          </w:tcPr>
          <w:p w:rsidR="005D4569" w:rsidRDefault="00AE0D30">
            <w:pPr>
              <w:spacing w:after="0" w:line="240" w:lineRule="auto"/>
              <w:jc w:val="center"/>
              <w:rPr>
                <w:color w:val="000000"/>
              </w:rPr>
            </w:pPr>
            <w:r>
              <w:rPr>
                <w:color w:val="000000"/>
              </w:rPr>
              <w:t>44,7</w:t>
            </w:r>
          </w:p>
        </w:tc>
        <w:tc>
          <w:tcPr>
            <w:tcW w:w="2602" w:type="dxa"/>
            <w:tcBorders>
              <w:top w:val="nil"/>
              <w:left w:val="nil"/>
              <w:bottom w:val="single" w:sz="4" w:space="0" w:color="000000"/>
              <w:right w:val="single" w:sz="4" w:space="0" w:color="000000"/>
            </w:tcBorders>
            <w:shd w:val="clear" w:color="auto" w:fill="auto"/>
            <w:vAlign w:val="bottom"/>
          </w:tcPr>
          <w:p w:rsidR="005D4569" w:rsidRDefault="00AE0D30">
            <w:pPr>
              <w:spacing w:after="0" w:line="240" w:lineRule="auto"/>
              <w:jc w:val="center"/>
              <w:rPr>
                <w:color w:val="000000"/>
              </w:rPr>
            </w:pPr>
            <w:r>
              <w:rPr>
                <w:color w:val="000000"/>
              </w:rPr>
              <w:t>45,7</w:t>
            </w:r>
          </w:p>
        </w:tc>
        <w:tc>
          <w:tcPr>
            <w:tcW w:w="1959" w:type="dxa"/>
            <w:tcBorders>
              <w:top w:val="single" w:sz="4" w:space="0" w:color="000000"/>
              <w:left w:val="single" w:sz="4" w:space="0" w:color="000000"/>
              <w:bottom w:val="single" w:sz="4" w:space="0" w:color="000000"/>
              <w:right w:val="single" w:sz="8" w:space="0" w:color="000000"/>
            </w:tcBorders>
            <w:shd w:val="clear" w:color="auto" w:fill="BAE1C6"/>
            <w:vAlign w:val="bottom"/>
          </w:tcPr>
          <w:p w:rsidR="005D4569" w:rsidRDefault="00AE0D30">
            <w:pPr>
              <w:spacing w:after="0" w:line="240" w:lineRule="auto"/>
              <w:jc w:val="center"/>
              <w:rPr>
                <w:color w:val="000000"/>
              </w:rPr>
            </w:pPr>
            <w:r>
              <w:rPr>
                <w:color w:val="000000"/>
              </w:rPr>
              <w:t>1,0</w:t>
            </w:r>
          </w:p>
        </w:tc>
      </w:tr>
      <w:tr w:rsidR="005D4569">
        <w:trPr>
          <w:trHeight w:val="300"/>
        </w:trPr>
        <w:tc>
          <w:tcPr>
            <w:tcW w:w="2010" w:type="dxa"/>
            <w:tcBorders>
              <w:top w:val="single" w:sz="4" w:space="0" w:color="000000"/>
              <w:left w:val="single" w:sz="8" w:space="0" w:color="000000"/>
              <w:bottom w:val="single" w:sz="4" w:space="0" w:color="000000"/>
              <w:right w:val="single" w:sz="4" w:space="0" w:color="000000"/>
            </w:tcBorders>
            <w:shd w:val="clear" w:color="auto" w:fill="auto"/>
            <w:vAlign w:val="bottom"/>
          </w:tcPr>
          <w:p w:rsidR="005D4569" w:rsidRDefault="00AE0D30">
            <w:pPr>
              <w:spacing w:after="0" w:line="240" w:lineRule="auto"/>
              <w:jc w:val="center"/>
              <w:rPr>
                <w:color w:val="000000"/>
              </w:rPr>
            </w:pPr>
            <w:r>
              <w:rPr>
                <w:color w:val="000000"/>
              </w:rPr>
              <w:t>Diyarbakır</w:t>
            </w:r>
          </w:p>
        </w:tc>
        <w:tc>
          <w:tcPr>
            <w:tcW w:w="2602" w:type="dxa"/>
            <w:tcBorders>
              <w:top w:val="single" w:sz="4" w:space="0" w:color="000000"/>
              <w:left w:val="nil"/>
              <w:bottom w:val="single" w:sz="4" w:space="0" w:color="000000"/>
              <w:right w:val="single" w:sz="4" w:space="0" w:color="000000"/>
            </w:tcBorders>
            <w:shd w:val="clear" w:color="auto" w:fill="auto"/>
            <w:vAlign w:val="bottom"/>
          </w:tcPr>
          <w:p w:rsidR="005D4569" w:rsidRDefault="00AE0D30">
            <w:pPr>
              <w:spacing w:after="0" w:line="240" w:lineRule="auto"/>
              <w:jc w:val="center"/>
              <w:rPr>
                <w:color w:val="000000"/>
              </w:rPr>
            </w:pPr>
            <w:r>
              <w:rPr>
                <w:color w:val="000000"/>
              </w:rPr>
              <w:t>19,1</w:t>
            </w:r>
          </w:p>
        </w:tc>
        <w:tc>
          <w:tcPr>
            <w:tcW w:w="2602" w:type="dxa"/>
            <w:tcBorders>
              <w:top w:val="single" w:sz="4" w:space="0" w:color="000000"/>
              <w:left w:val="nil"/>
              <w:bottom w:val="single" w:sz="4" w:space="0" w:color="000000"/>
              <w:right w:val="single" w:sz="4" w:space="0" w:color="000000"/>
            </w:tcBorders>
            <w:shd w:val="clear" w:color="auto" w:fill="auto"/>
            <w:vAlign w:val="bottom"/>
          </w:tcPr>
          <w:p w:rsidR="005D4569" w:rsidRDefault="00AE0D30">
            <w:pPr>
              <w:spacing w:after="0" w:line="240" w:lineRule="auto"/>
              <w:jc w:val="center"/>
              <w:rPr>
                <w:color w:val="000000"/>
              </w:rPr>
            </w:pPr>
            <w:r>
              <w:rPr>
                <w:color w:val="000000"/>
              </w:rPr>
              <w:t>23,9</w:t>
            </w:r>
          </w:p>
        </w:tc>
        <w:tc>
          <w:tcPr>
            <w:tcW w:w="1959" w:type="dxa"/>
            <w:tcBorders>
              <w:top w:val="single" w:sz="4" w:space="0" w:color="000000"/>
              <w:left w:val="single" w:sz="4" w:space="0" w:color="000000"/>
              <w:bottom w:val="single" w:sz="4" w:space="0" w:color="000000"/>
              <w:right w:val="single" w:sz="8" w:space="0" w:color="000000"/>
            </w:tcBorders>
            <w:shd w:val="clear" w:color="auto" w:fill="FBD3D6"/>
            <w:vAlign w:val="bottom"/>
          </w:tcPr>
          <w:p w:rsidR="005D4569" w:rsidRDefault="00AE0D30">
            <w:pPr>
              <w:spacing w:after="0" w:line="240" w:lineRule="auto"/>
              <w:jc w:val="center"/>
              <w:rPr>
                <w:color w:val="000000"/>
              </w:rPr>
            </w:pPr>
            <w:r>
              <w:rPr>
                <w:color w:val="000000"/>
              </w:rPr>
              <w:t>4,9</w:t>
            </w:r>
          </w:p>
        </w:tc>
      </w:tr>
      <w:tr w:rsidR="005D4569">
        <w:trPr>
          <w:trHeight w:val="300"/>
        </w:trPr>
        <w:tc>
          <w:tcPr>
            <w:tcW w:w="2010" w:type="dxa"/>
            <w:tcBorders>
              <w:top w:val="nil"/>
              <w:left w:val="single" w:sz="8" w:space="0" w:color="000000"/>
              <w:bottom w:val="single" w:sz="4" w:space="0" w:color="000000"/>
              <w:right w:val="single" w:sz="4" w:space="0" w:color="000000"/>
            </w:tcBorders>
            <w:shd w:val="clear" w:color="auto" w:fill="auto"/>
            <w:vAlign w:val="bottom"/>
          </w:tcPr>
          <w:p w:rsidR="005D4569" w:rsidRDefault="00AE0D30">
            <w:pPr>
              <w:spacing w:after="0" w:line="240" w:lineRule="auto"/>
              <w:jc w:val="center"/>
              <w:rPr>
                <w:color w:val="000000"/>
              </w:rPr>
            </w:pPr>
            <w:r>
              <w:rPr>
                <w:color w:val="000000"/>
              </w:rPr>
              <w:t>Eskişehir</w:t>
            </w:r>
          </w:p>
        </w:tc>
        <w:tc>
          <w:tcPr>
            <w:tcW w:w="2602" w:type="dxa"/>
            <w:tcBorders>
              <w:top w:val="nil"/>
              <w:left w:val="nil"/>
              <w:bottom w:val="single" w:sz="4" w:space="0" w:color="000000"/>
              <w:right w:val="single" w:sz="4" w:space="0" w:color="000000"/>
            </w:tcBorders>
            <w:shd w:val="clear" w:color="auto" w:fill="auto"/>
            <w:vAlign w:val="bottom"/>
          </w:tcPr>
          <w:p w:rsidR="005D4569" w:rsidRDefault="00AE0D30">
            <w:pPr>
              <w:spacing w:after="0" w:line="240" w:lineRule="auto"/>
              <w:jc w:val="center"/>
              <w:rPr>
                <w:color w:val="000000"/>
              </w:rPr>
            </w:pPr>
            <w:r>
              <w:rPr>
                <w:color w:val="000000"/>
              </w:rPr>
              <w:t>39,9</w:t>
            </w:r>
          </w:p>
        </w:tc>
        <w:tc>
          <w:tcPr>
            <w:tcW w:w="2602" w:type="dxa"/>
            <w:tcBorders>
              <w:top w:val="nil"/>
              <w:left w:val="nil"/>
              <w:bottom w:val="single" w:sz="4" w:space="0" w:color="000000"/>
              <w:right w:val="single" w:sz="4" w:space="0" w:color="000000"/>
            </w:tcBorders>
            <w:shd w:val="clear" w:color="auto" w:fill="auto"/>
            <w:vAlign w:val="bottom"/>
          </w:tcPr>
          <w:p w:rsidR="005D4569" w:rsidRDefault="00AE0D30">
            <w:pPr>
              <w:spacing w:after="0" w:line="240" w:lineRule="auto"/>
              <w:jc w:val="center"/>
              <w:rPr>
                <w:color w:val="000000"/>
              </w:rPr>
            </w:pPr>
            <w:r>
              <w:rPr>
                <w:color w:val="000000"/>
              </w:rPr>
              <w:t>46,6</w:t>
            </w:r>
          </w:p>
        </w:tc>
        <w:tc>
          <w:tcPr>
            <w:tcW w:w="1959" w:type="dxa"/>
            <w:tcBorders>
              <w:top w:val="single" w:sz="4" w:space="0" w:color="000000"/>
              <w:left w:val="single" w:sz="4" w:space="0" w:color="000000"/>
              <w:bottom w:val="single" w:sz="4" w:space="0" w:color="000000"/>
              <w:right w:val="single" w:sz="8" w:space="0" w:color="000000"/>
            </w:tcBorders>
            <w:shd w:val="clear" w:color="auto" w:fill="FBCCCE"/>
            <w:vAlign w:val="bottom"/>
          </w:tcPr>
          <w:p w:rsidR="005D4569" w:rsidRDefault="00AE0D30">
            <w:pPr>
              <w:spacing w:after="0" w:line="240" w:lineRule="auto"/>
              <w:jc w:val="center"/>
              <w:rPr>
                <w:color w:val="000000"/>
              </w:rPr>
            </w:pPr>
            <w:r>
              <w:rPr>
                <w:color w:val="000000"/>
              </w:rPr>
              <w:t>6,7</w:t>
            </w:r>
          </w:p>
        </w:tc>
      </w:tr>
      <w:tr w:rsidR="005D4569">
        <w:trPr>
          <w:trHeight w:val="300"/>
        </w:trPr>
        <w:tc>
          <w:tcPr>
            <w:tcW w:w="2010" w:type="dxa"/>
            <w:tcBorders>
              <w:top w:val="nil"/>
              <w:left w:val="single" w:sz="8" w:space="0" w:color="000000"/>
              <w:bottom w:val="single" w:sz="4" w:space="0" w:color="000000"/>
              <w:right w:val="single" w:sz="4" w:space="0" w:color="000000"/>
            </w:tcBorders>
            <w:shd w:val="clear" w:color="auto" w:fill="auto"/>
            <w:vAlign w:val="bottom"/>
          </w:tcPr>
          <w:p w:rsidR="005D4569" w:rsidRDefault="00AE0D30">
            <w:pPr>
              <w:spacing w:after="0" w:line="240" w:lineRule="auto"/>
              <w:jc w:val="center"/>
              <w:rPr>
                <w:color w:val="000000"/>
              </w:rPr>
            </w:pPr>
            <w:r>
              <w:rPr>
                <w:color w:val="000000"/>
              </w:rPr>
              <w:t>Muğla</w:t>
            </w:r>
          </w:p>
        </w:tc>
        <w:tc>
          <w:tcPr>
            <w:tcW w:w="2602" w:type="dxa"/>
            <w:tcBorders>
              <w:top w:val="nil"/>
              <w:left w:val="nil"/>
              <w:bottom w:val="single" w:sz="4" w:space="0" w:color="000000"/>
              <w:right w:val="single" w:sz="4" w:space="0" w:color="000000"/>
            </w:tcBorders>
            <w:shd w:val="clear" w:color="auto" w:fill="auto"/>
            <w:vAlign w:val="bottom"/>
          </w:tcPr>
          <w:p w:rsidR="005D4569" w:rsidRDefault="00AE0D30">
            <w:pPr>
              <w:spacing w:after="0" w:line="240" w:lineRule="auto"/>
              <w:jc w:val="center"/>
              <w:rPr>
                <w:color w:val="000000"/>
              </w:rPr>
            </w:pPr>
            <w:r>
              <w:rPr>
                <w:color w:val="000000"/>
              </w:rPr>
              <w:t>61,2</w:t>
            </w:r>
          </w:p>
        </w:tc>
        <w:tc>
          <w:tcPr>
            <w:tcW w:w="2602" w:type="dxa"/>
            <w:tcBorders>
              <w:top w:val="nil"/>
              <w:left w:val="nil"/>
              <w:bottom w:val="single" w:sz="4" w:space="0" w:color="000000"/>
              <w:right w:val="single" w:sz="4" w:space="0" w:color="000000"/>
            </w:tcBorders>
            <w:shd w:val="clear" w:color="auto" w:fill="auto"/>
            <w:vAlign w:val="bottom"/>
          </w:tcPr>
          <w:p w:rsidR="005D4569" w:rsidRDefault="00AE0D30">
            <w:pPr>
              <w:spacing w:after="0" w:line="240" w:lineRule="auto"/>
              <w:jc w:val="center"/>
              <w:rPr>
                <w:color w:val="000000"/>
              </w:rPr>
            </w:pPr>
            <w:r>
              <w:rPr>
                <w:color w:val="000000"/>
              </w:rPr>
              <w:t>68,1</w:t>
            </w:r>
          </w:p>
        </w:tc>
        <w:tc>
          <w:tcPr>
            <w:tcW w:w="1959" w:type="dxa"/>
            <w:tcBorders>
              <w:top w:val="single" w:sz="4" w:space="0" w:color="000000"/>
              <w:left w:val="single" w:sz="4" w:space="0" w:color="000000"/>
              <w:bottom w:val="single" w:sz="4" w:space="0" w:color="000000"/>
              <w:right w:val="single" w:sz="8" w:space="0" w:color="000000"/>
            </w:tcBorders>
            <w:shd w:val="clear" w:color="auto" w:fill="FBCBCE"/>
            <w:vAlign w:val="bottom"/>
          </w:tcPr>
          <w:p w:rsidR="005D4569" w:rsidRDefault="00AE0D30">
            <w:pPr>
              <w:spacing w:after="0" w:line="240" w:lineRule="auto"/>
              <w:jc w:val="center"/>
              <w:rPr>
                <w:color w:val="000000"/>
              </w:rPr>
            </w:pPr>
            <w:r>
              <w:rPr>
                <w:color w:val="000000"/>
              </w:rPr>
              <w:t>6,9</w:t>
            </w:r>
          </w:p>
        </w:tc>
      </w:tr>
      <w:tr w:rsidR="005D4569">
        <w:trPr>
          <w:trHeight w:val="300"/>
        </w:trPr>
        <w:tc>
          <w:tcPr>
            <w:tcW w:w="2010" w:type="dxa"/>
            <w:tcBorders>
              <w:top w:val="nil"/>
              <w:left w:val="single" w:sz="8" w:space="0" w:color="000000"/>
              <w:bottom w:val="single" w:sz="4" w:space="0" w:color="000000"/>
              <w:right w:val="single" w:sz="4" w:space="0" w:color="000000"/>
            </w:tcBorders>
            <w:shd w:val="clear" w:color="auto" w:fill="auto"/>
            <w:vAlign w:val="bottom"/>
          </w:tcPr>
          <w:p w:rsidR="005D4569" w:rsidRDefault="00AE0D30">
            <w:pPr>
              <w:spacing w:after="0" w:line="240" w:lineRule="auto"/>
              <w:jc w:val="center"/>
              <w:rPr>
                <w:color w:val="000000"/>
              </w:rPr>
            </w:pPr>
            <w:r>
              <w:rPr>
                <w:color w:val="000000"/>
              </w:rPr>
              <w:t>Malatya</w:t>
            </w:r>
          </w:p>
        </w:tc>
        <w:tc>
          <w:tcPr>
            <w:tcW w:w="2602" w:type="dxa"/>
            <w:tcBorders>
              <w:top w:val="nil"/>
              <w:left w:val="nil"/>
              <w:bottom w:val="single" w:sz="4" w:space="0" w:color="000000"/>
              <w:right w:val="single" w:sz="4" w:space="0" w:color="000000"/>
            </w:tcBorders>
            <w:shd w:val="clear" w:color="auto" w:fill="auto"/>
            <w:vAlign w:val="bottom"/>
          </w:tcPr>
          <w:p w:rsidR="005D4569" w:rsidRDefault="00AE0D30">
            <w:pPr>
              <w:spacing w:after="0" w:line="240" w:lineRule="auto"/>
              <w:jc w:val="center"/>
              <w:rPr>
                <w:color w:val="000000"/>
              </w:rPr>
            </w:pPr>
            <w:r>
              <w:rPr>
                <w:color w:val="000000"/>
              </w:rPr>
              <w:t>26,4</w:t>
            </w:r>
          </w:p>
        </w:tc>
        <w:tc>
          <w:tcPr>
            <w:tcW w:w="2602" w:type="dxa"/>
            <w:tcBorders>
              <w:top w:val="nil"/>
              <w:left w:val="nil"/>
              <w:bottom w:val="single" w:sz="4" w:space="0" w:color="000000"/>
              <w:right w:val="single" w:sz="4" w:space="0" w:color="000000"/>
            </w:tcBorders>
            <w:shd w:val="clear" w:color="auto" w:fill="auto"/>
            <w:vAlign w:val="bottom"/>
          </w:tcPr>
          <w:p w:rsidR="005D4569" w:rsidRDefault="00AE0D30">
            <w:pPr>
              <w:spacing w:after="0" w:line="240" w:lineRule="auto"/>
              <w:jc w:val="center"/>
              <w:rPr>
                <w:color w:val="000000"/>
              </w:rPr>
            </w:pPr>
            <w:r>
              <w:rPr>
                <w:color w:val="000000"/>
              </w:rPr>
              <w:t>34,4</w:t>
            </w:r>
          </w:p>
        </w:tc>
        <w:tc>
          <w:tcPr>
            <w:tcW w:w="1959" w:type="dxa"/>
            <w:tcBorders>
              <w:top w:val="single" w:sz="4" w:space="0" w:color="000000"/>
              <w:left w:val="single" w:sz="4" w:space="0" w:color="000000"/>
              <w:bottom w:val="single" w:sz="4" w:space="0" w:color="000000"/>
              <w:right w:val="single" w:sz="8" w:space="0" w:color="000000"/>
            </w:tcBorders>
            <w:shd w:val="clear" w:color="auto" w:fill="FBBABC"/>
            <w:vAlign w:val="bottom"/>
          </w:tcPr>
          <w:p w:rsidR="005D4569" w:rsidRDefault="00AE0D30">
            <w:pPr>
              <w:spacing w:after="0" w:line="240" w:lineRule="auto"/>
              <w:jc w:val="center"/>
              <w:rPr>
                <w:color w:val="000000"/>
              </w:rPr>
            </w:pPr>
            <w:r>
              <w:rPr>
                <w:color w:val="000000"/>
              </w:rPr>
              <w:t>8,0</w:t>
            </w:r>
          </w:p>
        </w:tc>
      </w:tr>
      <w:tr w:rsidR="005D4569">
        <w:trPr>
          <w:trHeight w:val="315"/>
        </w:trPr>
        <w:tc>
          <w:tcPr>
            <w:tcW w:w="2010" w:type="dxa"/>
            <w:tcBorders>
              <w:top w:val="nil"/>
              <w:left w:val="single" w:sz="8" w:space="0" w:color="000000"/>
              <w:bottom w:val="single" w:sz="8" w:space="0" w:color="000000"/>
              <w:right w:val="single" w:sz="4" w:space="0" w:color="000000"/>
            </w:tcBorders>
            <w:shd w:val="clear" w:color="auto" w:fill="auto"/>
            <w:vAlign w:val="bottom"/>
          </w:tcPr>
          <w:p w:rsidR="005D4569" w:rsidRDefault="00AE0D30">
            <w:pPr>
              <w:spacing w:after="0" w:line="240" w:lineRule="auto"/>
              <w:jc w:val="center"/>
              <w:rPr>
                <w:color w:val="000000"/>
              </w:rPr>
            </w:pPr>
            <w:r>
              <w:rPr>
                <w:color w:val="000000"/>
              </w:rPr>
              <w:t>Van</w:t>
            </w:r>
          </w:p>
        </w:tc>
        <w:tc>
          <w:tcPr>
            <w:tcW w:w="2602" w:type="dxa"/>
            <w:tcBorders>
              <w:top w:val="nil"/>
              <w:left w:val="nil"/>
              <w:bottom w:val="single" w:sz="8" w:space="0" w:color="000000"/>
              <w:right w:val="single" w:sz="4" w:space="0" w:color="000000"/>
            </w:tcBorders>
            <w:shd w:val="clear" w:color="auto" w:fill="auto"/>
            <w:vAlign w:val="bottom"/>
          </w:tcPr>
          <w:p w:rsidR="005D4569" w:rsidRDefault="00AE0D30">
            <w:pPr>
              <w:spacing w:after="0" w:line="240" w:lineRule="auto"/>
              <w:jc w:val="center"/>
              <w:rPr>
                <w:color w:val="000000"/>
              </w:rPr>
            </w:pPr>
            <w:r>
              <w:rPr>
                <w:color w:val="000000"/>
              </w:rPr>
              <w:t>22,5</w:t>
            </w:r>
          </w:p>
        </w:tc>
        <w:tc>
          <w:tcPr>
            <w:tcW w:w="2602" w:type="dxa"/>
            <w:tcBorders>
              <w:top w:val="nil"/>
              <w:left w:val="nil"/>
              <w:bottom w:val="single" w:sz="8" w:space="0" w:color="000000"/>
              <w:right w:val="single" w:sz="4" w:space="0" w:color="000000"/>
            </w:tcBorders>
            <w:shd w:val="clear" w:color="auto" w:fill="auto"/>
            <w:vAlign w:val="bottom"/>
          </w:tcPr>
          <w:p w:rsidR="005D4569" w:rsidRDefault="00AE0D30">
            <w:pPr>
              <w:spacing w:after="0" w:line="240" w:lineRule="auto"/>
              <w:jc w:val="center"/>
              <w:rPr>
                <w:color w:val="000000"/>
              </w:rPr>
            </w:pPr>
            <w:r>
              <w:rPr>
                <w:color w:val="000000"/>
              </w:rPr>
              <w:t>30,6</w:t>
            </w:r>
          </w:p>
        </w:tc>
        <w:tc>
          <w:tcPr>
            <w:tcW w:w="1959" w:type="dxa"/>
            <w:tcBorders>
              <w:top w:val="single" w:sz="4" w:space="0" w:color="000000"/>
              <w:left w:val="single" w:sz="4" w:space="0" w:color="000000"/>
              <w:bottom w:val="single" w:sz="8" w:space="0" w:color="000000"/>
              <w:right w:val="single" w:sz="8" w:space="0" w:color="000000"/>
            </w:tcBorders>
            <w:shd w:val="clear" w:color="auto" w:fill="F8696B"/>
            <w:vAlign w:val="bottom"/>
          </w:tcPr>
          <w:p w:rsidR="005D4569" w:rsidRDefault="00AE0D30">
            <w:pPr>
              <w:spacing w:after="0" w:line="240" w:lineRule="auto"/>
              <w:jc w:val="center"/>
              <w:rPr>
                <w:color w:val="000000"/>
              </w:rPr>
            </w:pPr>
            <w:r>
              <w:rPr>
                <w:color w:val="000000"/>
              </w:rPr>
              <w:t>8,1</w:t>
            </w:r>
          </w:p>
        </w:tc>
      </w:tr>
    </w:tbl>
    <w:p w:rsidR="005D4569" w:rsidRDefault="00AE0D30">
      <w:pPr>
        <w:pBdr>
          <w:top w:val="nil"/>
          <w:left w:val="nil"/>
          <w:bottom w:val="nil"/>
          <w:right w:val="nil"/>
          <w:between w:val="nil"/>
        </w:pBdr>
        <w:spacing w:before="120" w:after="0" w:line="276" w:lineRule="auto"/>
        <w:jc w:val="both"/>
        <w:rPr>
          <w:color w:val="000000"/>
        </w:rPr>
      </w:pPr>
      <w:r>
        <w:rPr>
          <w:b/>
          <w:color w:val="000000"/>
        </w:rPr>
        <w:t>Kaynak:</w:t>
      </w:r>
      <w:r>
        <w:rPr>
          <w:color w:val="000000"/>
        </w:rPr>
        <w:t xml:space="preserve"> sahibinden.com, Betam</w:t>
      </w:r>
    </w:p>
    <w:p w:rsidR="005D4569" w:rsidRDefault="005D4569">
      <w:pPr>
        <w:pBdr>
          <w:top w:val="nil"/>
          <w:left w:val="nil"/>
          <w:bottom w:val="nil"/>
          <w:right w:val="nil"/>
          <w:between w:val="nil"/>
        </w:pBdr>
        <w:spacing w:after="0" w:line="276" w:lineRule="auto"/>
        <w:jc w:val="both"/>
        <w:rPr>
          <w:color w:val="000000"/>
        </w:rPr>
      </w:pPr>
    </w:p>
    <w:p w:rsidR="005D4569" w:rsidRDefault="00AE0D30">
      <w:pPr>
        <w:pBdr>
          <w:top w:val="nil"/>
          <w:left w:val="nil"/>
          <w:bottom w:val="nil"/>
          <w:right w:val="nil"/>
          <w:between w:val="nil"/>
        </w:pBdr>
        <w:spacing w:after="0" w:line="276" w:lineRule="auto"/>
        <w:jc w:val="both"/>
        <w:rPr>
          <w:color w:val="000000"/>
        </w:rPr>
      </w:pPr>
      <w:r>
        <w:rPr>
          <w:color w:val="000000"/>
        </w:rPr>
        <w:t xml:space="preserve">Raporun tamamına </w:t>
      </w:r>
      <w:r>
        <w:rPr>
          <w:b/>
          <w:color w:val="000000"/>
        </w:rPr>
        <w:t>buradan</w:t>
      </w:r>
      <w:r>
        <w:rPr>
          <w:color w:val="000000"/>
        </w:rPr>
        <w:t xml:space="preserve"> ulaşabilirsiniz. </w:t>
      </w:r>
    </w:p>
    <w:p w:rsidR="005D4569" w:rsidRDefault="005D4569">
      <w:pPr>
        <w:pBdr>
          <w:top w:val="nil"/>
          <w:left w:val="nil"/>
          <w:bottom w:val="nil"/>
          <w:right w:val="nil"/>
          <w:between w:val="nil"/>
        </w:pBdr>
        <w:spacing w:after="0" w:line="276" w:lineRule="auto"/>
        <w:jc w:val="both"/>
        <w:rPr>
          <w:b/>
          <w:color w:val="000000"/>
        </w:rPr>
      </w:pPr>
    </w:p>
    <w:p w:rsidR="005D4569" w:rsidRDefault="00AE0D30">
      <w:pPr>
        <w:pBdr>
          <w:top w:val="nil"/>
          <w:left w:val="nil"/>
          <w:bottom w:val="nil"/>
          <w:right w:val="nil"/>
          <w:between w:val="nil"/>
        </w:pBdr>
        <w:spacing w:after="0" w:line="276" w:lineRule="auto"/>
        <w:jc w:val="both"/>
        <w:rPr>
          <w:b/>
          <w:color w:val="000000"/>
        </w:rPr>
      </w:pPr>
      <w:proofErr w:type="gramStart"/>
      <w:r>
        <w:rPr>
          <w:b/>
          <w:color w:val="000000"/>
        </w:rPr>
        <w:t>sahibinden</w:t>
      </w:r>
      <w:proofErr w:type="gramEnd"/>
      <w:r>
        <w:rPr>
          <w:b/>
          <w:color w:val="000000"/>
        </w:rPr>
        <w:t>.com hakkında</w:t>
      </w:r>
    </w:p>
    <w:p w:rsidR="005D4569" w:rsidRDefault="00AE0D30">
      <w:pPr>
        <w:pBdr>
          <w:top w:val="nil"/>
          <w:left w:val="nil"/>
          <w:bottom w:val="nil"/>
          <w:right w:val="nil"/>
          <w:between w:val="nil"/>
        </w:pBdr>
        <w:spacing w:after="0" w:line="276" w:lineRule="auto"/>
        <w:jc w:val="both"/>
      </w:pPr>
      <w:r>
        <w:t xml:space="preserve">Aksoy </w:t>
      </w:r>
      <w:proofErr w:type="spellStart"/>
      <w:r>
        <w:t>Group</w:t>
      </w:r>
      <w:proofErr w:type="spellEnd"/>
      <w:r>
        <w:t xml:space="preserve"> bünyesinde 2000 yılında kurulan sahibinden.com, AR-GE merkezinde geliştirdiği yenilikçi ürün ve hizmetlerle Türkiye’nin lider teknoloji şirketlerinden biri olmaya devam ediyor. Aralık 2021’de ayda 58,1 milyon kullanıcının 463,4 milyon kez ziyaret ederek, 12,7 milyar sayfa görüntülediği sahibinden.com; 900’den fazla çalışanı, 5 milyondan fazla aktif ilan ve yüz binlerce ürün çeşidiyle Türkiye’nin en büyük elektronik ticaret ve ilan platformlarından birisi olma özelliğini taşıyor.</w:t>
      </w:r>
    </w:p>
    <w:p w:rsidR="005D4569" w:rsidRDefault="005D4569">
      <w:pPr>
        <w:pBdr>
          <w:top w:val="nil"/>
          <w:left w:val="nil"/>
          <w:bottom w:val="nil"/>
          <w:right w:val="nil"/>
          <w:between w:val="nil"/>
        </w:pBdr>
        <w:spacing w:after="0" w:line="276" w:lineRule="auto"/>
        <w:jc w:val="both"/>
      </w:pPr>
    </w:p>
    <w:p w:rsidR="005D4569" w:rsidRDefault="00AE0D30">
      <w:pPr>
        <w:pBdr>
          <w:top w:val="nil"/>
          <w:left w:val="nil"/>
          <w:bottom w:val="nil"/>
          <w:right w:val="nil"/>
          <w:between w:val="nil"/>
        </w:pBdr>
        <w:spacing w:after="0" w:line="276" w:lineRule="auto"/>
        <w:jc w:val="both"/>
      </w:pPr>
      <w:proofErr w:type="gramStart"/>
      <w:r>
        <w:t>sahibinden</w:t>
      </w:r>
      <w:proofErr w:type="gramEnd"/>
      <w:r>
        <w:t xml:space="preserve">.com güçlü teknolojik altyapısı ve çağın şartlarına uygun olarak geliştirdiği iş modeli sayesinde ikinci el ürünlerin satış yoluyla tekrar kullanıma kazandırılmasına aracılık ederek çevresel sürdürülebilirliğe katkı sağlıyor. </w:t>
      </w:r>
      <w:proofErr w:type="gramStart"/>
      <w:r>
        <w:t>sahibinden</w:t>
      </w:r>
      <w:proofErr w:type="gramEnd"/>
      <w:r>
        <w:t>.com, 2021 yılında açıkladığı İkinci Elin Sürdürülebilirliğe Katkısı raporunda kullanıcıların ikinci el ürünleri tercih ederek 1 yılda 1,9 milyon ton karbondioksit üretiminden tasarruf ettiğini ortaya koydu. Yeşil Ofis Sertifikası almaya hak kazanan ilk e-ticaret şirketi olan sahibinden.com; uzun yıllardır enerji tasarrufu, yenilenebilir kaynaklar ve doğal kaynakların bilinçli kullanımı konusunda kurum içi çalışmalar gerçekleştiriyor. Teknoloji endüstrisini karbon-</w:t>
      </w:r>
      <w:proofErr w:type="gramStart"/>
      <w:r>
        <w:t>nötr</w:t>
      </w:r>
      <w:proofErr w:type="gramEnd"/>
      <w:r>
        <w:t xml:space="preserve"> hale getirmeyi hedefleyen LFCA (</w:t>
      </w:r>
      <w:proofErr w:type="spellStart"/>
      <w:r>
        <w:t>Leaders</w:t>
      </w:r>
      <w:proofErr w:type="spellEnd"/>
      <w:r>
        <w:t xml:space="preserve"> </w:t>
      </w:r>
      <w:proofErr w:type="spellStart"/>
      <w:r>
        <w:t>for</w:t>
      </w:r>
      <w:proofErr w:type="spellEnd"/>
      <w:r>
        <w:t xml:space="preserve"> </w:t>
      </w:r>
      <w:proofErr w:type="spellStart"/>
      <w:r>
        <w:t>Climate</w:t>
      </w:r>
      <w:proofErr w:type="spellEnd"/>
      <w:r>
        <w:t xml:space="preserve"> Action) üyeliği bulunan şirketin çalışanları da birer sürdürülebilirlik elçisi olarak çalışmalarına aralıksız devam ediyor.</w:t>
      </w:r>
    </w:p>
    <w:p w:rsidR="005D4569" w:rsidRDefault="005D4569">
      <w:pPr>
        <w:pBdr>
          <w:top w:val="nil"/>
          <w:left w:val="nil"/>
          <w:bottom w:val="nil"/>
          <w:right w:val="nil"/>
          <w:between w:val="nil"/>
        </w:pBdr>
        <w:spacing w:after="0" w:line="276" w:lineRule="auto"/>
        <w:jc w:val="both"/>
        <w:rPr>
          <w:color w:val="000000"/>
        </w:rPr>
      </w:pPr>
    </w:p>
    <w:p w:rsidR="005D4569" w:rsidRDefault="005D4569">
      <w:pPr>
        <w:pBdr>
          <w:top w:val="nil"/>
          <w:left w:val="nil"/>
          <w:bottom w:val="nil"/>
          <w:right w:val="nil"/>
          <w:between w:val="nil"/>
        </w:pBdr>
        <w:spacing w:after="0" w:line="276" w:lineRule="auto"/>
        <w:jc w:val="both"/>
        <w:rPr>
          <w:color w:val="000000"/>
        </w:rPr>
      </w:pPr>
    </w:p>
    <w:p w:rsidR="005D4569" w:rsidRDefault="005D4569">
      <w:pPr>
        <w:pBdr>
          <w:top w:val="nil"/>
          <w:left w:val="nil"/>
          <w:bottom w:val="nil"/>
          <w:right w:val="nil"/>
          <w:between w:val="nil"/>
        </w:pBdr>
        <w:spacing w:after="0" w:line="276" w:lineRule="auto"/>
        <w:jc w:val="both"/>
        <w:rPr>
          <w:color w:val="000000"/>
        </w:rPr>
      </w:pPr>
    </w:p>
    <w:p w:rsidR="005D4569" w:rsidRDefault="005D4569">
      <w:pPr>
        <w:rPr>
          <w:b/>
          <w:color w:val="000000"/>
        </w:rPr>
      </w:pPr>
      <w:bookmarkStart w:id="1" w:name="_heading=h.gjdgxs" w:colFirst="0" w:colLast="0"/>
      <w:bookmarkEnd w:id="1"/>
    </w:p>
    <w:sectPr w:rsidR="005D4569">
      <w:head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FE2" w:rsidRDefault="00AE1FE2">
      <w:pPr>
        <w:spacing w:after="0" w:line="240" w:lineRule="auto"/>
      </w:pPr>
      <w:r>
        <w:separator/>
      </w:r>
    </w:p>
  </w:endnote>
  <w:endnote w:type="continuationSeparator" w:id="0">
    <w:p w:rsidR="00AE1FE2" w:rsidRDefault="00AE1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FE2" w:rsidRDefault="00AE1FE2">
      <w:pPr>
        <w:spacing w:after="0" w:line="240" w:lineRule="auto"/>
      </w:pPr>
      <w:r>
        <w:separator/>
      </w:r>
    </w:p>
  </w:footnote>
  <w:footnote w:type="continuationSeparator" w:id="0">
    <w:p w:rsidR="00AE1FE2" w:rsidRDefault="00AE1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569" w:rsidRDefault="00AE0D30">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extent cx="2836401" cy="605329"/>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836401" cy="605329"/>
                  </a:xfrm>
                  <a:prstGeom prst="rect">
                    <a:avLst/>
                  </a:prstGeom>
                  <a:ln/>
                </pic:spPr>
              </pic:pic>
            </a:graphicData>
          </a:graphic>
        </wp:inline>
      </w:drawing>
    </w:r>
  </w:p>
  <w:p w:rsidR="005D4569" w:rsidRDefault="005D456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69"/>
    <w:rsid w:val="005D4569"/>
    <w:rsid w:val="006877BB"/>
    <w:rsid w:val="00897A31"/>
    <w:rsid w:val="00AE0D30"/>
    <w:rsid w:val="00AE1FE2"/>
    <w:rsid w:val="00C17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18BA6"/>
  <w15:docId w15:val="{0C877878-8BDC-488A-8C81-B7C425C0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stBilgi">
    <w:name w:val="header"/>
    <w:basedOn w:val="Normal"/>
    <w:link w:val="stBilgiChar"/>
    <w:uiPriority w:val="99"/>
    <w:unhideWhenUsed/>
    <w:rsid w:val="00F45F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45FA8"/>
    <w:rPr>
      <w:rFonts w:ascii="Calibri" w:eastAsia="Calibri" w:hAnsi="Calibri" w:cs="Calibri"/>
      <w:lang w:eastAsia="tr-TR"/>
    </w:rPr>
  </w:style>
  <w:style w:type="paragraph" w:styleId="AltBilgi">
    <w:name w:val="footer"/>
    <w:basedOn w:val="Normal"/>
    <w:link w:val="AltBilgiChar"/>
    <w:uiPriority w:val="99"/>
    <w:unhideWhenUsed/>
    <w:rsid w:val="004D1F2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D1F2E"/>
  </w:style>
  <w:style w:type="character" w:styleId="Kpr">
    <w:name w:val="Hyperlink"/>
    <w:basedOn w:val="VarsaylanParagrafYazTipi"/>
    <w:uiPriority w:val="99"/>
    <w:unhideWhenUsed/>
    <w:rsid w:val="00D313AC"/>
    <w:rPr>
      <w:color w:val="0563C1" w:themeColor="hyperlink"/>
      <w:u w:val="singl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zYSWeS7frYBJ8kJ4cLKgHxazvg==">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C174DB-3295-4183-A723-858F8E1DA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1107</Words>
  <Characters>6313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Sahibinden Bilgi Teknolojileri</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hesabı</dc:creator>
  <cp:lastModifiedBy>Deniz Sabuncu</cp:lastModifiedBy>
  <cp:revision>6</cp:revision>
  <dcterms:created xsi:type="dcterms:W3CDTF">2022-03-08T12:53:00Z</dcterms:created>
  <dcterms:modified xsi:type="dcterms:W3CDTF">2022-03-11T08:24:00Z</dcterms:modified>
</cp:coreProperties>
</file>