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1B7D" w14:textId="4D64173F" w:rsidR="00917330" w:rsidRPr="006679E6" w:rsidRDefault="00917330">
      <w:pPr>
        <w:rPr>
          <w:rFonts w:ascii="Palatino Linotype" w:hAnsi="Palatino Linotype" w:cstheme="minorHAnsi"/>
          <w:lang w:val="en-US"/>
        </w:rPr>
      </w:pPr>
    </w:p>
    <w:p w14:paraId="4E745BEF" w14:textId="6DA5E1DA" w:rsidR="00D07713" w:rsidRPr="006679E6" w:rsidRDefault="00062A8A">
      <w:pPr>
        <w:rPr>
          <w:rFonts w:ascii="Palatino Linotype" w:hAnsi="Palatino Linotype" w:cstheme="minorHAnsi"/>
          <w:lang w:val="en-US"/>
        </w:rPr>
      </w:pPr>
      <w:r w:rsidRPr="006679E6">
        <w:rPr>
          <w:rFonts w:ascii="Palatino Linotype" w:hAnsi="Palatino Linotype" w:cstheme="minorHAnsi"/>
          <w:noProof/>
        </w:rPr>
        <mc:AlternateContent>
          <mc:Choice Requires="wps">
            <w:drawing>
              <wp:anchor distT="0" distB="0" distL="114935" distR="114935" simplePos="0" relativeHeight="251659264" behindDoc="0" locked="0" layoutInCell="1" allowOverlap="1" wp14:anchorId="3C0B86FB" wp14:editId="5F6FCC95">
                <wp:simplePos x="0" y="0"/>
                <wp:positionH relativeFrom="column">
                  <wp:posOffset>5086335</wp:posOffset>
                </wp:positionH>
                <wp:positionV relativeFrom="paragraph">
                  <wp:posOffset>53414</wp:posOffset>
                </wp:positionV>
                <wp:extent cx="1525713"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713"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CFDC6" w14:textId="715CD5F8" w:rsidR="00D07713" w:rsidRPr="006679E6" w:rsidRDefault="00703D6B"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val="en-US" w:eastAsia="ar-SA"/>
                              </w:rPr>
                            </w:pPr>
                            <w:r>
                              <w:rPr>
                                <w:rFonts w:ascii="Arial" w:eastAsia="Times New Roman" w:hAnsi="Arial" w:cs="Arial"/>
                                <w:b/>
                                <w:bCs/>
                                <w:color w:val="FFFFFF"/>
                                <w:sz w:val="22"/>
                                <w:szCs w:val="22"/>
                                <w:lang w:val="en-US" w:eastAsia="ar-SA"/>
                              </w:rPr>
                              <w:t>27</w:t>
                            </w:r>
                            <w:r w:rsidR="006F0FC6" w:rsidRPr="006679E6">
                              <w:rPr>
                                <w:rFonts w:ascii="Arial" w:eastAsia="Times New Roman" w:hAnsi="Arial" w:cs="Arial"/>
                                <w:b/>
                                <w:bCs/>
                                <w:color w:val="FFFFFF"/>
                                <w:sz w:val="22"/>
                                <w:szCs w:val="22"/>
                                <w:lang w:val="en-US" w:eastAsia="ar-SA"/>
                              </w:rPr>
                              <w:t xml:space="preserve"> </w:t>
                            </w:r>
                            <w:r>
                              <w:rPr>
                                <w:rFonts w:ascii="Arial" w:eastAsia="Times New Roman" w:hAnsi="Arial" w:cs="Arial"/>
                                <w:b/>
                                <w:bCs/>
                                <w:color w:val="FFFFFF"/>
                                <w:sz w:val="22"/>
                                <w:szCs w:val="22"/>
                                <w:lang w:val="en-US" w:eastAsia="ar-SA"/>
                              </w:rPr>
                              <w:t>September</w:t>
                            </w:r>
                            <w:r w:rsidR="00E37C95" w:rsidRPr="006679E6">
                              <w:rPr>
                                <w:rFonts w:ascii="Arial" w:eastAsia="Times New Roman" w:hAnsi="Arial" w:cs="Arial"/>
                                <w:b/>
                                <w:bCs/>
                                <w:color w:val="FFFFFF"/>
                                <w:sz w:val="22"/>
                                <w:szCs w:val="22"/>
                                <w:lang w:val="en-US" w:eastAsia="ar-SA"/>
                              </w:rPr>
                              <w:t xml:space="preserve"> 202</w:t>
                            </w:r>
                            <w:r w:rsidR="00E265D5" w:rsidRPr="006679E6">
                              <w:rPr>
                                <w:rFonts w:ascii="Arial" w:eastAsia="Times New Roman" w:hAnsi="Arial" w:cs="Arial"/>
                                <w:b/>
                                <w:bCs/>
                                <w:color w:val="FFFFFF"/>
                                <w:sz w:val="22"/>
                                <w:szCs w:val="22"/>
                                <w:lang w:val="en-US" w:eastAsia="ar-SA"/>
                              </w:rPr>
                              <w:t>1</w:t>
                            </w:r>
                          </w:p>
                          <w:p w14:paraId="1C706E2C"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B86FB" id="_x0000_t202" coordsize="21600,21600" o:spt="202" path="m,l,21600r21600,l21600,xe">
                <v:stroke joinstyle="miter"/>
                <v:path gradientshapeok="t" o:connecttype="rect"/>
              </v:shapetype>
              <v:shape id="Text Box 3" o:spid="_x0000_s1026" type="#_x0000_t202" style="position:absolute;margin-left:400.5pt;margin-top:4.2pt;width:120.15pt;height:3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" stroked="f">
                <v:fill opacity="0"/>
                <v:textbox inset="0,0,0,0">
                  <w:txbxContent>
                    <w:p w14:paraId="5B0CFDC6" w14:textId="715CD5F8" w:rsidR="00D07713" w:rsidRPr="006679E6" w:rsidRDefault="00703D6B"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val="en-US" w:eastAsia="ar-SA"/>
                        </w:rPr>
                      </w:pPr>
                      <w:r>
                        <w:rPr>
                          <w:rFonts w:ascii="Arial" w:eastAsia="Times New Roman" w:hAnsi="Arial" w:cs="Arial"/>
                          <w:b/>
                          <w:bCs/>
                          <w:color w:val="FFFFFF"/>
                          <w:sz w:val="22"/>
                          <w:szCs w:val="22"/>
                          <w:lang w:val="en-US" w:eastAsia="ar-SA"/>
                        </w:rPr>
                        <w:t>27</w:t>
                      </w:r>
                      <w:r w:rsidR="006F0FC6" w:rsidRPr="006679E6">
                        <w:rPr>
                          <w:rFonts w:ascii="Arial" w:eastAsia="Times New Roman" w:hAnsi="Arial" w:cs="Arial"/>
                          <w:b/>
                          <w:bCs/>
                          <w:color w:val="FFFFFF"/>
                          <w:sz w:val="22"/>
                          <w:szCs w:val="22"/>
                          <w:lang w:val="en-US" w:eastAsia="ar-SA"/>
                        </w:rPr>
                        <w:t xml:space="preserve"> </w:t>
                      </w:r>
                      <w:r>
                        <w:rPr>
                          <w:rFonts w:ascii="Arial" w:eastAsia="Times New Roman" w:hAnsi="Arial" w:cs="Arial"/>
                          <w:b/>
                          <w:bCs/>
                          <w:color w:val="FFFFFF"/>
                          <w:sz w:val="22"/>
                          <w:szCs w:val="22"/>
                          <w:lang w:val="en-US" w:eastAsia="ar-SA"/>
                        </w:rPr>
                        <w:t>September</w:t>
                      </w:r>
                      <w:r w:rsidR="00E37C95" w:rsidRPr="006679E6">
                        <w:rPr>
                          <w:rFonts w:ascii="Arial" w:eastAsia="Times New Roman" w:hAnsi="Arial" w:cs="Arial"/>
                          <w:b/>
                          <w:bCs/>
                          <w:color w:val="FFFFFF"/>
                          <w:sz w:val="22"/>
                          <w:szCs w:val="22"/>
                          <w:lang w:val="en-US" w:eastAsia="ar-SA"/>
                        </w:rPr>
                        <w:t xml:space="preserve"> 202</w:t>
                      </w:r>
                      <w:r w:rsidR="00E265D5" w:rsidRPr="006679E6">
                        <w:rPr>
                          <w:rFonts w:ascii="Arial" w:eastAsia="Times New Roman" w:hAnsi="Arial" w:cs="Arial"/>
                          <w:b/>
                          <w:bCs/>
                          <w:color w:val="FFFFFF"/>
                          <w:sz w:val="22"/>
                          <w:szCs w:val="22"/>
                          <w:lang w:val="en-US" w:eastAsia="ar-SA"/>
                        </w:rPr>
                        <w:t>1</w:t>
                      </w:r>
                    </w:p>
                    <w:p w14:paraId="1C706E2C" w14:textId="77777777" w:rsidR="00D07713" w:rsidRPr="00187FA0" w:rsidRDefault="00D07713" w:rsidP="00D07713"/>
                  </w:txbxContent>
                </v:textbox>
              </v:shape>
            </w:pict>
          </mc:Fallback>
        </mc:AlternateContent>
      </w:r>
      <w:r w:rsidR="007F39BB" w:rsidRPr="006679E6">
        <w:rPr>
          <w:rFonts w:ascii="Palatino Linotype" w:hAnsi="Palatino Linotype" w:cstheme="minorHAnsi"/>
          <w:noProof/>
        </w:rPr>
        <mc:AlternateContent>
          <mc:Choice Requires="wps">
            <w:drawing>
              <wp:anchor distT="0" distB="0" distL="114935" distR="114935" simplePos="0" relativeHeight="251657216" behindDoc="0" locked="0" layoutInCell="1" allowOverlap="1" wp14:anchorId="1A71AF94" wp14:editId="16698A46">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AA76D" w14:textId="2C77852A" w:rsidR="00D07713" w:rsidRPr="006679E6" w:rsidRDefault="006679E6" w:rsidP="00D07713">
                            <w:pPr>
                              <w:pStyle w:val="Heading1"/>
                              <w:rPr>
                                <w:rFonts w:ascii="Times New Roman" w:hAnsi="Times New Roman" w:cs="Times New Roman"/>
                                <w:sz w:val="40"/>
                                <w:szCs w:val="40"/>
                                <w:lang w:val="en-US"/>
                              </w:rPr>
                            </w:pPr>
                            <w:r w:rsidRPr="006679E6">
                              <w:rPr>
                                <w:rFonts w:ascii="Times New Roman" w:hAnsi="Times New Roman" w:cs="Times New Roman"/>
                                <w:sz w:val="40"/>
                                <w:szCs w:val="40"/>
                                <w:lang w:val="en-US"/>
                              </w:rPr>
                              <w:t>Growth Evaluation</w:t>
                            </w:r>
                            <w:r w:rsidR="00125770" w:rsidRPr="006679E6">
                              <w:rPr>
                                <w:rFonts w:ascii="Times New Roman" w:hAnsi="Times New Roman" w:cs="Times New Roman"/>
                                <w:sz w:val="40"/>
                                <w:szCs w:val="40"/>
                                <w:lang w:val="en-US"/>
                              </w:rPr>
                              <w:t>:</w:t>
                            </w:r>
                          </w:p>
                          <w:p w14:paraId="28E5CBD4" w14:textId="4AF68494" w:rsidR="00D07713" w:rsidRPr="006679E6" w:rsidRDefault="001537D8" w:rsidP="00D07713">
                            <w:pPr>
                              <w:pStyle w:val="Heading1"/>
                              <w:rPr>
                                <w:b w:val="0"/>
                                <w:bCs w:val="0"/>
                                <w:i/>
                                <w:iCs/>
                                <w:lang w:val="en-US"/>
                              </w:rPr>
                            </w:pPr>
                            <w:r w:rsidRPr="006679E6">
                              <w:rPr>
                                <w:rFonts w:ascii="Times New Roman" w:hAnsi="Times New Roman" w:cs="Times New Roman"/>
                                <w:sz w:val="40"/>
                                <w:szCs w:val="40"/>
                                <w:lang w:val="en-US"/>
                              </w:rPr>
                              <w:t>20</w:t>
                            </w:r>
                            <w:r w:rsidR="00BB0912" w:rsidRPr="006679E6">
                              <w:rPr>
                                <w:rFonts w:ascii="Times New Roman" w:hAnsi="Times New Roman" w:cs="Times New Roman"/>
                                <w:sz w:val="40"/>
                                <w:szCs w:val="40"/>
                                <w:lang w:val="en-US"/>
                              </w:rPr>
                              <w:t>2</w:t>
                            </w:r>
                            <w:r w:rsidR="008949E0" w:rsidRPr="006679E6">
                              <w:rPr>
                                <w:rFonts w:ascii="Times New Roman" w:hAnsi="Times New Roman" w:cs="Times New Roman"/>
                                <w:sz w:val="40"/>
                                <w:szCs w:val="40"/>
                                <w:lang w:val="en-US"/>
                              </w:rPr>
                              <w:t>1</w:t>
                            </w:r>
                            <w:r w:rsidRPr="006679E6">
                              <w:rPr>
                                <w:rFonts w:ascii="Times New Roman" w:hAnsi="Times New Roman" w:cs="Times New Roman"/>
                                <w:sz w:val="40"/>
                                <w:szCs w:val="40"/>
                                <w:lang w:val="en-US"/>
                              </w:rPr>
                              <w:t xml:space="preserve"> </w:t>
                            </w:r>
                            <w:r w:rsidR="005412B2">
                              <w:rPr>
                                <w:rFonts w:ascii="Times New Roman" w:hAnsi="Times New Roman" w:cs="Times New Roman"/>
                                <w:sz w:val="40"/>
                                <w:szCs w:val="40"/>
                                <w:lang w:val="en-US"/>
                              </w:rPr>
                              <w:t>2</w:t>
                            </w:r>
                            <w:r w:rsidR="005412B2">
                              <w:rPr>
                                <w:rFonts w:ascii="Times New Roman" w:hAnsi="Times New Roman" w:cs="Times New Roman"/>
                                <w:sz w:val="40"/>
                                <w:szCs w:val="40"/>
                                <w:vertAlign w:val="superscript"/>
                                <w:lang w:val="en-US"/>
                              </w:rPr>
                              <w:t>nd</w:t>
                            </w:r>
                            <w:r w:rsidR="006679E6">
                              <w:rPr>
                                <w:rFonts w:ascii="Times New Roman" w:hAnsi="Times New Roman" w:cs="Times New Roman"/>
                                <w:sz w:val="40"/>
                                <w:szCs w:val="40"/>
                                <w:lang w:val="en-US"/>
                              </w:rPr>
                              <w:t xml:space="preserve"> Quarter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1AF94" id="_x0000_t202" coordsize="21600,21600" o:spt="202" path="m,l,21600r21600,l21600,xe">
                <v:stroke joinstyle="miter"/>
                <v:path gradientshapeok="t" o:connecttype="rect"/>
              </v:shapetype>
              <v:shape id="Text Box 2" o:spid="_x0000_s1027" type="#_x0000_t202" style="position:absolute;margin-left:107.65pt;margin-top:-55.85pt;width:300.75pt;height:5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" stroked="f">
                <v:fill opacity="0"/>
                <v:textbox inset="0,0,0,0">
                  <w:txbxContent>
                    <w:p w14:paraId="37AAA76D" w14:textId="2C77852A" w:rsidR="00D07713" w:rsidRPr="006679E6" w:rsidRDefault="006679E6" w:rsidP="00D07713">
                      <w:pPr>
                        <w:pStyle w:val="Heading1"/>
                        <w:rPr>
                          <w:rFonts w:ascii="Times New Roman" w:hAnsi="Times New Roman" w:cs="Times New Roman"/>
                          <w:sz w:val="40"/>
                          <w:szCs w:val="40"/>
                          <w:lang w:val="en-US"/>
                        </w:rPr>
                      </w:pPr>
                      <w:r w:rsidRPr="006679E6">
                        <w:rPr>
                          <w:rFonts w:ascii="Times New Roman" w:hAnsi="Times New Roman" w:cs="Times New Roman"/>
                          <w:sz w:val="40"/>
                          <w:szCs w:val="40"/>
                          <w:lang w:val="en-US"/>
                        </w:rPr>
                        <w:t>Growth Evaluation</w:t>
                      </w:r>
                      <w:r w:rsidR="00125770" w:rsidRPr="006679E6">
                        <w:rPr>
                          <w:rFonts w:ascii="Times New Roman" w:hAnsi="Times New Roman" w:cs="Times New Roman"/>
                          <w:sz w:val="40"/>
                          <w:szCs w:val="40"/>
                          <w:lang w:val="en-US"/>
                        </w:rPr>
                        <w:t>:</w:t>
                      </w:r>
                    </w:p>
                    <w:p w14:paraId="28E5CBD4" w14:textId="4AF68494" w:rsidR="00D07713" w:rsidRPr="006679E6" w:rsidRDefault="001537D8" w:rsidP="00D07713">
                      <w:pPr>
                        <w:pStyle w:val="Heading1"/>
                        <w:rPr>
                          <w:b w:val="0"/>
                          <w:bCs w:val="0"/>
                          <w:i/>
                          <w:iCs/>
                          <w:lang w:val="en-US"/>
                        </w:rPr>
                      </w:pPr>
                      <w:r w:rsidRPr="006679E6">
                        <w:rPr>
                          <w:rFonts w:ascii="Times New Roman" w:hAnsi="Times New Roman" w:cs="Times New Roman"/>
                          <w:sz w:val="40"/>
                          <w:szCs w:val="40"/>
                          <w:lang w:val="en-US"/>
                        </w:rPr>
                        <w:t>20</w:t>
                      </w:r>
                      <w:r w:rsidR="00BB0912" w:rsidRPr="006679E6">
                        <w:rPr>
                          <w:rFonts w:ascii="Times New Roman" w:hAnsi="Times New Roman" w:cs="Times New Roman"/>
                          <w:sz w:val="40"/>
                          <w:szCs w:val="40"/>
                          <w:lang w:val="en-US"/>
                        </w:rPr>
                        <w:t>2</w:t>
                      </w:r>
                      <w:r w:rsidR="008949E0" w:rsidRPr="006679E6">
                        <w:rPr>
                          <w:rFonts w:ascii="Times New Roman" w:hAnsi="Times New Roman" w:cs="Times New Roman"/>
                          <w:sz w:val="40"/>
                          <w:szCs w:val="40"/>
                          <w:lang w:val="en-US"/>
                        </w:rPr>
                        <w:t>1</w:t>
                      </w:r>
                      <w:r w:rsidRPr="006679E6">
                        <w:rPr>
                          <w:rFonts w:ascii="Times New Roman" w:hAnsi="Times New Roman" w:cs="Times New Roman"/>
                          <w:sz w:val="40"/>
                          <w:szCs w:val="40"/>
                          <w:lang w:val="en-US"/>
                        </w:rPr>
                        <w:t xml:space="preserve"> </w:t>
                      </w:r>
                      <w:r w:rsidR="005412B2">
                        <w:rPr>
                          <w:rFonts w:ascii="Times New Roman" w:hAnsi="Times New Roman" w:cs="Times New Roman"/>
                          <w:sz w:val="40"/>
                          <w:szCs w:val="40"/>
                          <w:lang w:val="en-US"/>
                        </w:rPr>
                        <w:t>2</w:t>
                      </w:r>
                      <w:r w:rsidR="005412B2">
                        <w:rPr>
                          <w:rFonts w:ascii="Times New Roman" w:hAnsi="Times New Roman" w:cs="Times New Roman"/>
                          <w:sz w:val="40"/>
                          <w:szCs w:val="40"/>
                          <w:vertAlign w:val="superscript"/>
                          <w:lang w:val="en-US"/>
                        </w:rPr>
                        <w:t>nd</w:t>
                      </w:r>
                      <w:r w:rsidR="006679E6">
                        <w:rPr>
                          <w:rFonts w:ascii="Times New Roman" w:hAnsi="Times New Roman" w:cs="Times New Roman"/>
                          <w:sz w:val="40"/>
                          <w:szCs w:val="40"/>
                          <w:lang w:val="en-US"/>
                        </w:rPr>
                        <w:t xml:space="preserve"> Quarter</w:t>
                      </w:r>
                    </w:p>
                  </w:txbxContent>
                </v:textbox>
              </v:shape>
            </w:pict>
          </mc:Fallback>
        </mc:AlternateContent>
      </w:r>
      <w:r w:rsidR="00D07713" w:rsidRPr="006679E6">
        <w:rPr>
          <w:rFonts w:ascii="Palatino Linotype" w:hAnsi="Palatino Linotype" w:cstheme="minorHAnsi"/>
          <w:noProof/>
        </w:rPr>
        <w:drawing>
          <wp:anchor distT="0" distB="0" distL="114300" distR="114300" simplePos="0" relativeHeight="251656192" behindDoc="1" locked="0" layoutInCell="1" allowOverlap="1" wp14:anchorId="69EA5A2C" wp14:editId="5E923368">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14:paraId="60F7B6BD" w14:textId="77777777" w:rsidR="00D07713" w:rsidRPr="006679E6" w:rsidRDefault="00D07713">
      <w:pPr>
        <w:rPr>
          <w:rFonts w:ascii="Palatino Linotype" w:hAnsi="Palatino Linotype" w:cstheme="minorHAnsi"/>
          <w:lang w:val="en-US"/>
        </w:rPr>
      </w:pPr>
    </w:p>
    <w:p w14:paraId="1A2A657A" w14:textId="77777777" w:rsidR="00D07713" w:rsidRPr="006679E6" w:rsidRDefault="00D07713" w:rsidP="00D07713">
      <w:pPr>
        <w:spacing w:line="288" w:lineRule="auto"/>
        <w:ind w:right="-319"/>
        <w:jc w:val="center"/>
        <w:outlineLvl w:val="0"/>
        <w:rPr>
          <w:rFonts w:ascii="Palatino Linotype" w:hAnsi="Palatino Linotype" w:cstheme="minorHAnsi"/>
          <w:b/>
          <w:bCs/>
          <w:sz w:val="28"/>
          <w:szCs w:val="28"/>
          <w:lang w:val="en-US"/>
        </w:rPr>
      </w:pPr>
    </w:p>
    <w:p w14:paraId="6783B39D" w14:textId="26282890" w:rsidR="00D34702" w:rsidRPr="006679E6" w:rsidRDefault="00703D6B" w:rsidP="00D34702">
      <w:pPr>
        <w:spacing w:line="288" w:lineRule="auto"/>
        <w:ind w:right="-319"/>
        <w:jc w:val="center"/>
        <w:outlineLvl w:val="0"/>
        <w:rPr>
          <w:rFonts w:ascii="Palatino Linotype" w:hAnsi="Palatino Linotype" w:cstheme="minorHAnsi"/>
          <w:b/>
          <w:bCs/>
          <w:sz w:val="28"/>
          <w:szCs w:val="28"/>
          <w:lang w:val="en-US"/>
        </w:rPr>
      </w:pPr>
      <w:r>
        <w:rPr>
          <w:rFonts w:ascii="Palatino Linotype" w:hAnsi="Palatino Linotype" w:cstheme="minorHAnsi"/>
          <w:b/>
          <w:bCs/>
          <w:sz w:val="28"/>
          <w:szCs w:val="28"/>
          <w:lang w:val="en-US"/>
        </w:rPr>
        <w:t xml:space="preserve">EXPORTS ARE </w:t>
      </w:r>
      <w:r w:rsidR="006679E6">
        <w:rPr>
          <w:rFonts w:ascii="Palatino Linotype" w:hAnsi="Palatino Linotype" w:cstheme="minorHAnsi"/>
          <w:b/>
          <w:bCs/>
          <w:sz w:val="28"/>
          <w:szCs w:val="28"/>
          <w:lang w:val="en-US"/>
        </w:rPr>
        <w:t>THE MAIN D</w:t>
      </w:r>
      <w:r>
        <w:rPr>
          <w:rFonts w:ascii="Palatino Linotype" w:hAnsi="Palatino Linotype" w:cstheme="minorHAnsi"/>
          <w:b/>
          <w:bCs/>
          <w:sz w:val="28"/>
          <w:szCs w:val="28"/>
          <w:lang w:val="en-US"/>
        </w:rPr>
        <w:t xml:space="preserve">RIVER OF </w:t>
      </w:r>
      <w:r w:rsidR="006679E6">
        <w:rPr>
          <w:rFonts w:ascii="Palatino Linotype" w:hAnsi="Palatino Linotype" w:cstheme="minorHAnsi"/>
          <w:b/>
          <w:bCs/>
          <w:sz w:val="28"/>
          <w:szCs w:val="28"/>
          <w:lang w:val="en-US"/>
        </w:rPr>
        <w:t>GROWTH</w:t>
      </w:r>
    </w:p>
    <w:p w14:paraId="428E7403" w14:textId="6C9388C4" w:rsidR="00D07713" w:rsidRPr="006679E6" w:rsidRDefault="00D07713" w:rsidP="004623F2">
      <w:pPr>
        <w:spacing w:line="288" w:lineRule="auto"/>
        <w:ind w:right="-319"/>
        <w:jc w:val="center"/>
        <w:outlineLvl w:val="0"/>
        <w:rPr>
          <w:rFonts w:ascii="Palatino Linotype" w:hAnsi="Palatino Linotype" w:cstheme="minorHAnsi"/>
          <w:lang w:val="en-US"/>
        </w:rPr>
      </w:pPr>
      <w:r w:rsidRPr="006679E6">
        <w:rPr>
          <w:rFonts w:ascii="Palatino Linotype" w:hAnsi="Palatino Linotype" w:cstheme="minorHAnsi"/>
          <w:b/>
          <w:bCs/>
          <w:sz w:val="22"/>
          <w:szCs w:val="22"/>
          <w:lang w:val="en-US"/>
        </w:rPr>
        <w:t xml:space="preserve">Ozan </w:t>
      </w:r>
      <w:proofErr w:type="spellStart"/>
      <w:r w:rsidRPr="006679E6">
        <w:rPr>
          <w:rFonts w:ascii="Palatino Linotype" w:hAnsi="Palatino Linotype" w:cstheme="minorHAnsi"/>
          <w:b/>
          <w:bCs/>
          <w:sz w:val="22"/>
          <w:szCs w:val="22"/>
          <w:lang w:val="en-US"/>
        </w:rPr>
        <w:t>Bakış</w:t>
      </w:r>
      <w:proofErr w:type="spellEnd"/>
      <w:r w:rsidR="00C32789" w:rsidRPr="006679E6">
        <w:rPr>
          <w:rStyle w:val="FootnoteReference"/>
          <w:rFonts w:ascii="Palatino Linotype" w:hAnsi="Palatino Linotype" w:cstheme="minorHAnsi"/>
          <w:b/>
          <w:bCs/>
          <w:sz w:val="22"/>
          <w:szCs w:val="22"/>
          <w:lang w:val="en-US"/>
        </w:rPr>
        <w:footnoteReference w:id="1"/>
      </w:r>
      <w:r w:rsidR="001537D8" w:rsidRPr="006679E6">
        <w:rPr>
          <w:rFonts w:ascii="Palatino Linotype" w:hAnsi="Palatino Linotype" w:cstheme="minorHAnsi"/>
          <w:b/>
          <w:bCs/>
          <w:sz w:val="22"/>
          <w:szCs w:val="22"/>
          <w:lang w:val="en-US"/>
        </w:rPr>
        <w:t xml:space="preserve"> </w:t>
      </w:r>
      <w:proofErr w:type="spellStart"/>
      <w:r w:rsidR="001537D8" w:rsidRPr="006679E6">
        <w:rPr>
          <w:rFonts w:ascii="Palatino Linotype" w:hAnsi="Palatino Linotype" w:cstheme="minorHAnsi"/>
          <w:b/>
          <w:bCs/>
          <w:sz w:val="22"/>
          <w:szCs w:val="22"/>
          <w:lang w:val="en-US"/>
        </w:rPr>
        <w:t>ve</w:t>
      </w:r>
      <w:proofErr w:type="spellEnd"/>
      <w:r w:rsidR="001537D8" w:rsidRPr="006679E6">
        <w:rPr>
          <w:rFonts w:ascii="Palatino Linotype" w:hAnsi="Palatino Linotype" w:cstheme="minorHAnsi"/>
          <w:b/>
          <w:bCs/>
          <w:sz w:val="22"/>
          <w:szCs w:val="22"/>
          <w:lang w:val="en-US"/>
        </w:rPr>
        <w:t xml:space="preserve"> </w:t>
      </w:r>
      <w:proofErr w:type="spellStart"/>
      <w:r w:rsidR="008B0385" w:rsidRPr="006679E6">
        <w:rPr>
          <w:rFonts w:ascii="Palatino Linotype" w:hAnsi="Palatino Linotype" w:cstheme="minorHAnsi"/>
          <w:b/>
          <w:bCs/>
          <w:sz w:val="22"/>
          <w:szCs w:val="22"/>
          <w:lang w:val="en-US"/>
        </w:rPr>
        <w:t>Gökhan</w:t>
      </w:r>
      <w:proofErr w:type="spellEnd"/>
      <w:r w:rsidR="008B0385" w:rsidRPr="006679E6">
        <w:rPr>
          <w:rFonts w:ascii="Palatino Linotype" w:hAnsi="Palatino Linotype" w:cstheme="minorHAnsi"/>
          <w:b/>
          <w:bCs/>
          <w:sz w:val="22"/>
          <w:szCs w:val="22"/>
          <w:lang w:val="en-US"/>
        </w:rPr>
        <w:t xml:space="preserve"> </w:t>
      </w:r>
      <w:proofErr w:type="spellStart"/>
      <w:r w:rsidR="008B0385" w:rsidRPr="006679E6">
        <w:rPr>
          <w:rFonts w:ascii="Palatino Linotype" w:hAnsi="Palatino Linotype" w:cstheme="minorHAnsi"/>
          <w:b/>
          <w:bCs/>
          <w:sz w:val="22"/>
          <w:szCs w:val="22"/>
          <w:lang w:val="en-US"/>
        </w:rPr>
        <w:t>Dilek</w:t>
      </w:r>
      <w:proofErr w:type="spellEnd"/>
      <w:r w:rsidR="001537D8" w:rsidRPr="006679E6">
        <w:rPr>
          <w:rStyle w:val="FootnoteReference"/>
          <w:rFonts w:ascii="Palatino Linotype" w:hAnsi="Palatino Linotype" w:cstheme="minorHAnsi"/>
          <w:b/>
          <w:bCs/>
          <w:sz w:val="22"/>
          <w:szCs w:val="22"/>
          <w:lang w:val="en-US"/>
        </w:rPr>
        <w:footnoteReference w:id="2"/>
      </w:r>
    </w:p>
    <w:p w14:paraId="6E057918" w14:textId="77777777" w:rsidR="00405BD8" w:rsidRPr="006679E6" w:rsidRDefault="00405BD8" w:rsidP="00751F72">
      <w:pPr>
        <w:jc w:val="center"/>
        <w:rPr>
          <w:rFonts w:ascii="Palatino Linotype" w:hAnsi="Palatino Linotype" w:cstheme="minorHAnsi"/>
          <w:b/>
          <w:sz w:val="22"/>
          <w:szCs w:val="22"/>
          <w:lang w:val="en-US"/>
        </w:rPr>
      </w:pPr>
    </w:p>
    <w:p w14:paraId="180703E7" w14:textId="757D1554" w:rsidR="00111CED" w:rsidRPr="006679E6" w:rsidRDefault="006679E6" w:rsidP="00405BD8">
      <w:pPr>
        <w:spacing w:line="360" w:lineRule="auto"/>
        <w:jc w:val="center"/>
        <w:rPr>
          <w:rFonts w:ascii="Palatino Linotype" w:hAnsi="Palatino Linotype" w:cstheme="minorHAnsi"/>
          <w:b/>
          <w:sz w:val="22"/>
          <w:szCs w:val="22"/>
          <w:lang w:val="en-US"/>
        </w:rPr>
      </w:pPr>
      <w:r>
        <w:rPr>
          <w:rFonts w:ascii="Palatino Linotype" w:hAnsi="Palatino Linotype" w:cstheme="minorHAnsi"/>
          <w:b/>
          <w:sz w:val="22"/>
          <w:szCs w:val="22"/>
          <w:lang w:val="en-US"/>
        </w:rPr>
        <w:t>Executive Summary</w:t>
      </w:r>
    </w:p>
    <w:p w14:paraId="755C1EDE" w14:textId="32482E29" w:rsidR="00DA618C" w:rsidRPr="006679E6" w:rsidRDefault="006679E6" w:rsidP="00AC59ED">
      <w:pPr>
        <w:spacing w:line="300" w:lineRule="auto"/>
        <w:ind w:left="567" w:right="567"/>
        <w:jc w:val="both"/>
        <w:rPr>
          <w:rFonts w:ascii="Palatino Linotype" w:hAnsi="Palatino Linotype" w:cstheme="minorHAnsi"/>
          <w:sz w:val="22"/>
          <w:szCs w:val="22"/>
          <w:lang w:val="en-US"/>
        </w:rPr>
      </w:pPr>
      <w:bookmarkStart w:id="0" w:name="OLE_LINK5"/>
      <w:bookmarkStart w:id="1" w:name="OLE_LINK6"/>
      <w:r>
        <w:rPr>
          <w:rFonts w:ascii="Palatino Linotype" w:hAnsi="Palatino Linotype" w:cstheme="minorHAnsi"/>
          <w:sz w:val="22"/>
          <w:szCs w:val="22"/>
          <w:lang w:val="en-US"/>
        </w:rPr>
        <w:t>In t</w:t>
      </w:r>
      <w:r w:rsidRPr="006679E6">
        <w:rPr>
          <w:rFonts w:ascii="Palatino Linotype" w:hAnsi="Palatino Linotype" w:cstheme="minorHAnsi"/>
          <w:sz w:val="22"/>
          <w:szCs w:val="22"/>
          <w:lang w:val="en-US"/>
        </w:rPr>
        <w:t xml:space="preserve">he </w:t>
      </w:r>
      <w:r w:rsidR="002A57DB">
        <w:rPr>
          <w:rFonts w:ascii="Palatino Linotype" w:hAnsi="Palatino Linotype" w:cstheme="minorHAnsi"/>
          <w:sz w:val="22"/>
          <w:szCs w:val="22"/>
          <w:lang w:val="en-US"/>
        </w:rPr>
        <w:t>second</w:t>
      </w:r>
      <w:r w:rsidRPr="006679E6">
        <w:rPr>
          <w:rFonts w:ascii="Palatino Linotype" w:hAnsi="Palatino Linotype" w:cstheme="minorHAnsi"/>
          <w:sz w:val="22"/>
          <w:szCs w:val="22"/>
          <w:lang w:val="en-US"/>
        </w:rPr>
        <w:t xml:space="preserve"> quarter of 2021</w:t>
      </w:r>
      <w:r>
        <w:rPr>
          <w:rFonts w:ascii="Palatino Linotype" w:hAnsi="Palatino Linotype" w:cstheme="minorHAnsi"/>
          <w:sz w:val="22"/>
          <w:szCs w:val="22"/>
          <w:lang w:val="en-US"/>
        </w:rPr>
        <w:t>,</w:t>
      </w:r>
      <w:r w:rsidRPr="006679E6">
        <w:rPr>
          <w:rFonts w:ascii="Palatino Linotype" w:hAnsi="Palatino Linotype" w:cstheme="minorHAnsi"/>
          <w:sz w:val="22"/>
          <w:szCs w:val="22"/>
          <w:lang w:val="en-US"/>
        </w:rPr>
        <w:t xml:space="preserve"> the </w:t>
      </w:r>
      <w:r w:rsidR="002A57DB">
        <w:rPr>
          <w:rFonts w:ascii="Palatino Linotype" w:hAnsi="Palatino Linotype" w:cstheme="minorHAnsi"/>
          <w:sz w:val="22"/>
          <w:szCs w:val="22"/>
          <w:lang w:val="en-US"/>
        </w:rPr>
        <w:t>growth rate of the Turkish economy on an annual basis come out at the record-breaking level, thanks in large part to the base effect</w:t>
      </w:r>
      <w:r w:rsidRPr="006679E6">
        <w:rPr>
          <w:rFonts w:ascii="Palatino Linotype" w:hAnsi="Palatino Linotype" w:cstheme="minorHAnsi"/>
          <w:sz w:val="22"/>
          <w:szCs w:val="22"/>
          <w:lang w:val="en-US"/>
        </w:rPr>
        <w:t xml:space="preserve">. GDP </w:t>
      </w:r>
      <w:r w:rsidRPr="00ED431D">
        <w:rPr>
          <w:rFonts w:ascii="Palatino Linotype" w:hAnsi="Palatino Linotype" w:cstheme="minorHAnsi"/>
          <w:sz w:val="22"/>
          <w:szCs w:val="22"/>
          <w:lang w:val="en-US"/>
        </w:rPr>
        <w:t>grows by</w:t>
      </w:r>
      <w:r w:rsidRPr="006679E6">
        <w:rPr>
          <w:rFonts w:ascii="Palatino Linotype" w:hAnsi="Palatino Linotype" w:cstheme="minorHAnsi"/>
          <w:sz w:val="22"/>
          <w:szCs w:val="22"/>
          <w:lang w:val="en-US"/>
        </w:rPr>
        <w:t xml:space="preserve"> </w:t>
      </w:r>
      <w:r w:rsidR="002A57DB">
        <w:rPr>
          <w:rFonts w:ascii="Palatino Linotype" w:hAnsi="Palatino Linotype" w:cstheme="minorHAnsi"/>
          <w:sz w:val="22"/>
          <w:szCs w:val="22"/>
          <w:lang w:val="en-US"/>
        </w:rPr>
        <w:t>21.</w:t>
      </w:r>
      <w:r w:rsidRPr="006679E6">
        <w:rPr>
          <w:rFonts w:ascii="Palatino Linotype" w:hAnsi="Palatino Linotype" w:cstheme="minorHAnsi"/>
          <w:sz w:val="22"/>
          <w:szCs w:val="22"/>
          <w:lang w:val="en-US"/>
        </w:rPr>
        <w:t xml:space="preserve">7 percent compared to the same quarter of the previous year, with the biggest contribution </w:t>
      </w:r>
      <w:r>
        <w:rPr>
          <w:rFonts w:ascii="Palatino Linotype" w:hAnsi="Palatino Linotype" w:cstheme="minorHAnsi"/>
          <w:sz w:val="22"/>
          <w:szCs w:val="22"/>
          <w:lang w:val="en-US"/>
        </w:rPr>
        <w:t xml:space="preserve">coming </w:t>
      </w:r>
      <w:r w:rsidRPr="006679E6">
        <w:rPr>
          <w:rFonts w:ascii="Palatino Linotype" w:hAnsi="Palatino Linotype" w:cstheme="minorHAnsi"/>
          <w:sz w:val="22"/>
          <w:szCs w:val="22"/>
          <w:lang w:val="en-US"/>
        </w:rPr>
        <w:t xml:space="preserve">from </w:t>
      </w:r>
      <w:r w:rsidR="008057C2">
        <w:rPr>
          <w:rFonts w:ascii="Palatino Linotype" w:hAnsi="Palatino Linotype" w:cstheme="minorHAnsi"/>
          <w:sz w:val="22"/>
          <w:szCs w:val="22"/>
          <w:lang w:val="en-US"/>
        </w:rPr>
        <w:t>exports</w:t>
      </w:r>
      <w:r w:rsidRPr="006679E6">
        <w:rPr>
          <w:rFonts w:ascii="Palatino Linotype" w:hAnsi="Palatino Linotype" w:cstheme="minorHAnsi"/>
          <w:sz w:val="22"/>
          <w:szCs w:val="22"/>
          <w:lang w:val="en-US"/>
        </w:rPr>
        <w:t xml:space="preserve"> and private consumption expenditures. When we look at the seasonally and calendar adjusted </w:t>
      </w:r>
      <w:r>
        <w:rPr>
          <w:rFonts w:ascii="Palatino Linotype" w:hAnsi="Palatino Linotype" w:cstheme="minorHAnsi"/>
          <w:sz w:val="22"/>
          <w:szCs w:val="22"/>
          <w:lang w:val="en-US"/>
        </w:rPr>
        <w:t>data</w:t>
      </w:r>
      <w:r w:rsidRPr="006679E6">
        <w:rPr>
          <w:rFonts w:ascii="Palatino Linotype" w:hAnsi="Palatino Linotype" w:cstheme="minorHAnsi"/>
          <w:sz w:val="22"/>
          <w:szCs w:val="22"/>
          <w:lang w:val="en-US"/>
        </w:rPr>
        <w:t>, we see that the GDP gr</w:t>
      </w:r>
      <w:r>
        <w:rPr>
          <w:rFonts w:ascii="Palatino Linotype" w:hAnsi="Palatino Linotype" w:cstheme="minorHAnsi"/>
          <w:sz w:val="22"/>
          <w:szCs w:val="22"/>
          <w:lang w:val="en-US"/>
        </w:rPr>
        <w:t>o</w:t>
      </w:r>
      <w:r w:rsidRPr="006679E6">
        <w:rPr>
          <w:rFonts w:ascii="Palatino Linotype" w:hAnsi="Palatino Linotype" w:cstheme="minorHAnsi"/>
          <w:sz w:val="22"/>
          <w:szCs w:val="22"/>
          <w:lang w:val="en-US"/>
        </w:rPr>
        <w:t>w</w:t>
      </w:r>
      <w:r>
        <w:rPr>
          <w:rFonts w:ascii="Palatino Linotype" w:hAnsi="Palatino Linotype" w:cstheme="minorHAnsi"/>
          <w:sz w:val="22"/>
          <w:szCs w:val="22"/>
          <w:lang w:val="en-US"/>
        </w:rPr>
        <w:t>s</w:t>
      </w:r>
      <w:r w:rsidRPr="006679E6">
        <w:rPr>
          <w:rFonts w:ascii="Palatino Linotype" w:hAnsi="Palatino Linotype" w:cstheme="minorHAnsi"/>
          <w:sz w:val="22"/>
          <w:szCs w:val="22"/>
          <w:lang w:val="en-US"/>
        </w:rPr>
        <w:t xml:space="preserve"> by </w:t>
      </w:r>
      <w:r w:rsidR="008057C2">
        <w:rPr>
          <w:rFonts w:ascii="Palatino Linotype" w:hAnsi="Palatino Linotype" w:cstheme="minorHAnsi"/>
          <w:sz w:val="22"/>
          <w:szCs w:val="22"/>
          <w:lang w:val="en-US"/>
        </w:rPr>
        <w:t>0.9</w:t>
      </w:r>
      <w:r w:rsidRPr="006679E6">
        <w:rPr>
          <w:rFonts w:ascii="Palatino Linotype" w:hAnsi="Palatino Linotype" w:cstheme="minorHAnsi"/>
          <w:sz w:val="22"/>
          <w:szCs w:val="22"/>
          <w:lang w:val="en-US"/>
        </w:rPr>
        <w:t xml:space="preserve"> percent compared to the previous quarter</w:t>
      </w:r>
      <w:r w:rsidR="00176914">
        <w:rPr>
          <w:rFonts w:ascii="Palatino Linotype" w:hAnsi="Palatino Linotype" w:cstheme="minorHAnsi"/>
          <w:sz w:val="22"/>
          <w:szCs w:val="22"/>
          <w:lang w:val="en-US"/>
        </w:rPr>
        <w:t>,</w:t>
      </w:r>
      <w:r w:rsidRPr="006679E6">
        <w:rPr>
          <w:rFonts w:ascii="Palatino Linotype" w:hAnsi="Palatino Linotype" w:cstheme="minorHAnsi"/>
          <w:sz w:val="22"/>
          <w:szCs w:val="22"/>
          <w:lang w:val="en-US"/>
        </w:rPr>
        <w:t xml:space="preserve"> and </w:t>
      </w:r>
      <w:r w:rsidR="00176914">
        <w:rPr>
          <w:rFonts w:ascii="Palatino Linotype" w:hAnsi="Palatino Linotype" w:cstheme="minorHAnsi"/>
          <w:sz w:val="22"/>
          <w:szCs w:val="22"/>
          <w:lang w:val="en-US"/>
        </w:rPr>
        <w:t xml:space="preserve">except for </w:t>
      </w:r>
      <w:r w:rsidR="00BB1741" w:rsidRPr="00DC2EE6">
        <w:rPr>
          <w:rFonts w:ascii="Palatino Linotype" w:hAnsi="Palatino Linotype" w:cstheme="minorHAnsi"/>
          <w:color w:val="000000" w:themeColor="text1"/>
          <w:sz w:val="22"/>
          <w:szCs w:val="22"/>
          <w:lang w:val="en-US"/>
        </w:rPr>
        <w:t>change in inventories</w:t>
      </w:r>
      <w:r w:rsidR="00176914">
        <w:rPr>
          <w:rFonts w:ascii="Palatino Linotype" w:hAnsi="Palatino Linotype" w:cstheme="minorHAnsi"/>
          <w:sz w:val="22"/>
          <w:szCs w:val="22"/>
          <w:lang w:val="en-US"/>
        </w:rPr>
        <w:t>, all factors make</w:t>
      </w:r>
      <w:r w:rsidR="008057C2">
        <w:rPr>
          <w:rFonts w:ascii="Palatino Linotype" w:hAnsi="Palatino Linotype" w:cstheme="minorHAnsi"/>
          <w:sz w:val="22"/>
          <w:szCs w:val="22"/>
          <w:lang w:val="en-US"/>
        </w:rPr>
        <w:t xml:space="preserve"> positive contributions to the growth. </w:t>
      </w:r>
      <w:r w:rsidRPr="006679E6">
        <w:rPr>
          <w:rFonts w:ascii="Palatino Linotype" w:hAnsi="Palatino Linotype" w:cstheme="minorHAnsi"/>
          <w:sz w:val="22"/>
          <w:szCs w:val="22"/>
          <w:lang w:val="en-US"/>
        </w:rPr>
        <w:t xml:space="preserve">Both </w:t>
      </w:r>
      <w:r w:rsidRPr="00ED431D">
        <w:rPr>
          <w:rFonts w:ascii="Palatino Linotype" w:hAnsi="Palatino Linotype" w:cstheme="minorHAnsi"/>
          <w:sz w:val="22"/>
          <w:szCs w:val="22"/>
          <w:lang w:val="en-US"/>
        </w:rPr>
        <w:t>annual and quarterly growth</w:t>
      </w:r>
      <w:r w:rsidRPr="006679E6">
        <w:rPr>
          <w:rFonts w:ascii="Palatino Linotype" w:hAnsi="Palatino Linotype" w:cstheme="minorHAnsi"/>
          <w:sz w:val="22"/>
          <w:szCs w:val="22"/>
          <w:lang w:val="en-US"/>
        </w:rPr>
        <w:t xml:space="preserve"> figures show that the </w:t>
      </w:r>
      <w:r w:rsidR="008057C2">
        <w:rPr>
          <w:rFonts w:ascii="Palatino Linotype" w:hAnsi="Palatino Linotype" w:cstheme="minorHAnsi"/>
          <w:sz w:val="22"/>
          <w:szCs w:val="22"/>
          <w:lang w:val="en-US"/>
        </w:rPr>
        <w:t xml:space="preserve">recovery of the Turkish economy from the epidemic still continues </w:t>
      </w:r>
      <w:r w:rsidR="00B5190A">
        <w:rPr>
          <w:rFonts w:ascii="Palatino Linotype" w:hAnsi="Palatino Linotype" w:cstheme="minorHAnsi"/>
          <w:sz w:val="22"/>
          <w:szCs w:val="22"/>
          <w:lang w:val="en-US"/>
        </w:rPr>
        <w:t>despite the lockdown measures implemented in the second quarter</w:t>
      </w:r>
      <w:r w:rsidRPr="006679E6">
        <w:rPr>
          <w:rFonts w:ascii="Palatino Linotype" w:hAnsi="Palatino Linotype" w:cstheme="minorHAnsi"/>
          <w:sz w:val="22"/>
          <w:szCs w:val="22"/>
          <w:lang w:val="en-US"/>
        </w:rPr>
        <w:t xml:space="preserve">. </w:t>
      </w:r>
      <w:r w:rsidR="00B5190A">
        <w:rPr>
          <w:rFonts w:ascii="Palatino Linotype" w:hAnsi="Palatino Linotype" w:cstheme="minorHAnsi"/>
          <w:sz w:val="22"/>
          <w:szCs w:val="22"/>
          <w:lang w:val="en-US"/>
        </w:rPr>
        <w:t>The faster pace of vaccination is likely to be a factor maintaining the recovery process.</w:t>
      </w:r>
      <w:r w:rsidRPr="006679E6">
        <w:rPr>
          <w:rFonts w:ascii="Palatino Linotype" w:hAnsi="Palatino Linotype" w:cstheme="minorHAnsi"/>
          <w:sz w:val="22"/>
          <w:szCs w:val="22"/>
          <w:lang w:val="en-US"/>
        </w:rPr>
        <w:t xml:space="preserve"> </w:t>
      </w:r>
    </w:p>
    <w:bookmarkEnd w:id="0"/>
    <w:bookmarkEnd w:id="1"/>
    <w:p w14:paraId="565A4D04" w14:textId="3F6FFCD0" w:rsidR="006679E6" w:rsidRDefault="006679E6">
      <w:pPr>
        <w:spacing w:after="160" w:line="259" w:lineRule="auto"/>
        <w:rPr>
          <w:rFonts w:ascii="Palatino Linotype" w:hAnsi="Palatino Linotype" w:cstheme="minorHAnsi"/>
          <w:b/>
          <w:bCs/>
          <w:sz w:val="22"/>
          <w:szCs w:val="22"/>
          <w:lang w:val="en-US"/>
        </w:rPr>
      </w:pPr>
    </w:p>
    <w:p w14:paraId="148B56DF" w14:textId="482D46D3" w:rsidR="006679E6" w:rsidRDefault="006318CD" w:rsidP="006679E6">
      <w:pPr>
        <w:keepNext/>
        <w:rPr>
          <w:rFonts w:ascii="Palatino Linotype" w:hAnsi="Palatino Linotype" w:cstheme="minorHAnsi"/>
          <w:b/>
          <w:bCs/>
          <w:sz w:val="22"/>
          <w:szCs w:val="22"/>
          <w:lang w:val="en-US"/>
        </w:rPr>
      </w:pPr>
      <w:r>
        <w:rPr>
          <w:rFonts w:ascii="Palatino Linotype" w:hAnsi="Palatino Linotype" w:cstheme="minorHAnsi"/>
          <w:noProof/>
        </w:rPr>
        <w:drawing>
          <wp:anchor distT="0" distB="0" distL="114300" distR="114300" simplePos="0" relativeHeight="251662336" behindDoc="1" locked="0" layoutInCell="1" allowOverlap="1" wp14:anchorId="48E7A27E" wp14:editId="121A2DF5">
            <wp:simplePos x="0" y="0"/>
            <wp:positionH relativeFrom="column">
              <wp:posOffset>-366395</wp:posOffset>
            </wp:positionH>
            <wp:positionV relativeFrom="paragraph">
              <wp:posOffset>454025</wp:posOffset>
            </wp:positionV>
            <wp:extent cx="3484245" cy="2343150"/>
            <wp:effectExtent l="0" t="0" r="1905" b="0"/>
            <wp:wrapTight wrapText="bothSides">
              <wp:wrapPolygon edited="0">
                <wp:start x="0" y="0"/>
                <wp:lineTo x="0" y="21424"/>
                <wp:lineTo x="21494" y="21424"/>
                <wp:lineTo x="21494" y="0"/>
                <wp:lineTo x="0" y="0"/>
              </wp:wrapPolygon>
            </wp:wrapTight>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4245" cy="2343150"/>
                    </a:xfrm>
                    <a:prstGeom prst="rect">
                      <a:avLst/>
                    </a:prstGeom>
                    <a:noFill/>
                  </pic:spPr>
                </pic:pic>
              </a:graphicData>
            </a:graphic>
            <wp14:sizeRelH relativeFrom="margin">
              <wp14:pctWidth>0</wp14:pctWidth>
            </wp14:sizeRelH>
            <wp14:sizeRelV relativeFrom="margin">
              <wp14:pctHeight>0</wp14:pctHeight>
            </wp14:sizeRelV>
          </wp:anchor>
        </w:drawing>
      </w:r>
      <w:r>
        <w:rPr>
          <w:rFonts w:ascii="Palatino Linotype" w:hAnsi="Palatino Linotype" w:cstheme="minorHAnsi"/>
          <w:noProof/>
          <w:sz w:val="18"/>
          <w:szCs w:val="18"/>
        </w:rPr>
        <w:drawing>
          <wp:anchor distT="0" distB="0" distL="114300" distR="114300" simplePos="0" relativeHeight="251663360" behindDoc="1" locked="0" layoutInCell="1" allowOverlap="1" wp14:anchorId="31F28FA4" wp14:editId="609D6AE1">
            <wp:simplePos x="0" y="0"/>
            <wp:positionH relativeFrom="column">
              <wp:posOffset>3176905</wp:posOffset>
            </wp:positionH>
            <wp:positionV relativeFrom="paragraph">
              <wp:posOffset>451485</wp:posOffset>
            </wp:positionV>
            <wp:extent cx="3319145" cy="2346960"/>
            <wp:effectExtent l="0" t="0" r="0" b="0"/>
            <wp:wrapTight wrapText="bothSides">
              <wp:wrapPolygon edited="0">
                <wp:start x="0" y="0"/>
                <wp:lineTo x="0" y="21390"/>
                <wp:lineTo x="21447" y="21390"/>
                <wp:lineTo x="21447"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9145" cy="2346960"/>
                    </a:xfrm>
                    <a:prstGeom prst="rect">
                      <a:avLst/>
                    </a:prstGeom>
                    <a:noFill/>
                  </pic:spPr>
                </pic:pic>
              </a:graphicData>
            </a:graphic>
            <wp14:sizeRelH relativeFrom="margin">
              <wp14:pctWidth>0</wp14:pctWidth>
            </wp14:sizeRelH>
            <wp14:sizeRelV relativeFrom="margin">
              <wp14:pctHeight>0</wp14:pctHeight>
            </wp14:sizeRelV>
          </wp:anchor>
        </w:drawing>
      </w:r>
      <w:r w:rsidR="006679E6" w:rsidRPr="00155A64">
        <w:rPr>
          <w:rFonts w:ascii="Palatino Linotype" w:hAnsi="Palatino Linotype" w:cstheme="minorHAnsi"/>
          <w:b/>
          <w:bCs/>
          <w:sz w:val="22"/>
          <w:szCs w:val="22"/>
          <w:lang w:val="en-US"/>
        </w:rPr>
        <w:t>Figure 1: Contributions to growth (left) and year-on-year growth rates (right) of GDP components in 202</w:t>
      </w:r>
      <w:r w:rsidR="006679E6">
        <w:rPr>
          <w:rFonts w:ascii="Palatino Linotype" w:hAnsi="Palatino Linotype" w:cstheme="minorHAnsi"/>
          <w:b/>
          <w:bCs/>
          <w:sz w:val="22"/>
          <w:szCs w:val="22"/>
          <w:lang w:val="en-US"/>
        </w:rPr>
        <w:t>1</w:t>
      </w:r>
      <w:r w:rsidR="006679E6" w:rsidRPr="00155A64">
        <w:rPr>
          <w:rFonts w:ascii="Palatino Linotype" w:hAnsi="Palatino Linotype" w:cstheme="minorHAnsi"/>
          <w:b/>
          <w:bCs/>
          <w:sz w:val="22"/>
          <w:szCs w:val="22"/>
          <w:lang w:val="en-US"/>
        </w:rPr>
        <w:t xml:space="preserve"> Q</w:t>
      </w:r>
      <w:r w:rsidR="00325894">
        <w:rPr>
          <w:rFonts w:ascii="Palatino Linotype" w:hAnsi="Palatino Linotype" w:cstheme="minorHAnsi"/>
          <w:b/>
          <w:bCs/>
          <w:sz w:val="22"/>
          <w:szCs w:val="22"/>
          <w:lang w:val="en-US"/>
        </w:rPr>
        <w:t>2</w:t>
      </w:r>
    </w:p>
    <w:p w14:paraId="7D2CB0C7" w14:textId="28BE2E0C" w:rsidR="00325894" w:rsidRPr="00155A64" w:rsidRDefault="00325894" w:rsidP="006679E6">
      <w:pPr>
        <w:keepNext/>
        <w:rPr>
          <w:rFonts w:ascii="Palatino Linotype" w:hAnsi="Palatino Linotype" w:cstheme="minorHAnsi"/>
          <w:lang w:val="en-US"/>
        </w:rPr>
      </w:pPr>
    </w:p>
    <w:p w14:paraId="07FB53CB" w14:textId="40D0DDBF" w:rsidR="006679E6" w:rsidRPr="00155A64" w:rsidRDefault="006679E6" w:rsidP="006679E6">
      <w:pPr>
        <w:keepNext/>
        <w:ind w:right="-567"/>
        <w:rPr>
          <w:rFonts w:ascii="Palatino Linotype" w:hAnsi="Palatino Linotype" w:cstheme="minorHAnsi"/>
          <w:lang w:val="en-US"/>
        </w:rPr>
      </w:pPr>
      <w:r w:rsidRPr="00155A64">
        <w:rPr>
          <w:rFonts w:ascii="Palatino Linotype" w:hAnsi="Palatino Linotype" w:cstheme="minorHAnsi"/>
          <w:sz w:val="18"/>
          <w:szCs w:val="18"/>
          <w:lang w:val="en-US"/>
        </w:rPr>
        <w:t xml:space="preserve">Source: </w:t>
      </w:r>
      <w:proofErr w:type="spellStart"/>
      <w:r w:rsidRPr="00155A64">
        <w:rPr>
          <w:rFonts w:ascii="Palatino Linotype" w:hAnsi="Palatino Linotype" w:cstheme="minorHAnsi"/>
          <w:sz w:val="18"/>
          <w:szCs w:val="18"/>
          <w:lang w:val="en-US"/>
        </w:rPr>
        <w:t>TurkStat</w:t>
      </w:r>
      <w:proofErr w:type="spellEnd"/>
      <w:r w:rsidRPr="00155A64">
        <w:rPr>
          <w:rFonts w:ascii="Palatino Linotype" w:hAnsi="Palatino Linotype" w:cstheme="minorHAnsi"/>
          <w:sz w:val="18"/>
          <w:szCs w:val="18"/>
          <w:lang w:val="en-US"/>
        </w:rPr>
        <w:t xml:space="preserve">, </w:t>
      </w:r>
      <w:proofErr w:type="spellStart"/>
      <w:r w:rsidRPr="00155A64">
        <w:rPr>
          <w:rFonts w:ascii="Palatino Linotype" w:hAnsi="Palatino Linotype" w:cstheme="minorHAnsi"/>
          <w:sz w:val="18"/>
          <w:szCs w:val="18"/>
          <w:lang w:val="en-US"/>
        </w:rPr>
        <w:t>Betam</w:t>
      </w:r>
      <w:proofErr w:type="spellEnd"/>
      <w:r w:rsidRPr="00155A64">
        <w:rPr>
          <w:rFonts w:ascii="Palatino Linotype" w:hAnsi="Palatino Linotype" w:cstheme="minorHAnsi"/>
          <w:sz w:val="16"/>
          <w:szCs w:val="16"/>
          <w:lang w:val="en-US"/>
        </w:rPr>
        <w:t xml:space="preserve"> </w:t>
      </w:r>
    </w:p>
    <w:p w14:paraId="24C6C2F1" w14:textId="18CBD2A8" w:rsidR="0033649B" w:rsidRPr="006679E6" w:rsidRDefault="0033649B" w:rsidP="006C3EE6">
      <w:pPr>
        <w:pStyle w:val="NormalWeb"/>
        <w:spacing w:before="0" w:beforeAutospacing="0" w:after="0" w:afterAutospacing="0" w:line="360" w:lineRule="auto"/>
        <w:ind w:right="77"/>
        <w:rPr>
          <w:rFonts w:ascii="Palatino Linotype" w:hAnsi="Palatino Linotype" w:cstheme="minorHAnsi"/>
          <w:b/>
          <w:bCs/>
          <w:sz w:val="22"/>
          <w:szCs w:val="22"/>
          <w:lang w:val="en-US"/>
        </w:rPr>
      </w:pPr>
    </w:p>
    <w:p w14:paraId="526998E8" w14:textId="7965318B" w:rsidR="00006890" w:rsidRPr="00155A64" w:rsidRDefault="00006890" w:rsidP="00006890">
      <w:pPr>
        <w:pStyle w:val="NormalWeb"/>
        <w:spacing w:before="0" w:beforeAutospacing="0" w:after="0" w:afterAutospacing="0" w:line="360" w:lineRule="auto"/>
        <w:ind w:right="77"/>
        <w:rPr>
          <w:rFonts w:ascii="Palatino Linotype" w:hAnsi="Palatino Linotype" w:cstheme="minorHAnsi"/>
          <w:b/>
          <w:bCs/>
          <w:color w:val="FF0000"/>
          <w:sz w:val="22"/>
          <w:szCs w:val="22"/>
          <w:lang w:val="en-US"/>
        </w:rPr>
      </w:pPr>
      <w:r>
        <w:rPr>
          <w:rFonts w:ascii="Palatino Linotype" w:hAnsi="Palatino Linotype" w:cstheme="minorHAnsi"/>
          <w:b/>
          <w:bCs/>
          <w:sz w:val="22"/>
          <w:szCs w:val="22"/>
          <w:lang w:val="en-US"/>
        </w:rPr>
        <w:lastRenderedPageBreak/>
        <w:t xml:space="preserve">Increase in </w:t>
      </w:r>
      <w:r w:rsidRPr="00ED431D">
        <w:rPr>
          <w:rFonts w:ascii="Palatino Linotype" w:hAnsi="Palatino Linotype" w:cstheme="minorHAnsi"/>
          <w:b/>
          <w:bCs/>
          <w:sz w:val="22"/>
          <w:szCs w:val="22"/>
          <w:lang w:val="en-US"/>
        </w:rPr>
        <w:t>private consumption</w:t>
      </w:r>
    </w:p>
    <w:p w14:paraId="73AB161F" w14:textId="43C3585D" w:rsidR="00006890" w:rsidRDefault="00B5190A" w:rsidP="00916C78">
      <w:pPr>
        <w:pStyle w:val="NormalWeb"/>
        <w:spacing w:before="0" w:beforeAutospacing="0" w:after="0" w:afterAutospacing="0" w:line="360" w:lineRule="auto"/>
        <w:ind w:right="77"/>
        <w:jc w:val="both"/>
        <w:rPr>
          <w:rFonts w:ascii="Palatino Linotype" w:hAnsi="Palatino Linotype" w:cstheme="minorHAnsi"/>
          <w:sz w:val="22"/>
          <w:szCs w:val="22"/>
          <w:lang w:val="en-US"/>
        </w:rPr>
      </w:pPr>
      <w:r>
        <w:rPr>
          <w:rFonts w:ascii="Palatino Linotype" w:hAnsi="Palatino Linotype" w:cstheme="minorHAnsi"/>
          <w:sz w:val="22"/>
          <w:szCs w:val="22"/>
          <w:lang w:val="en-US"/>
        </w:rPr>
        <w:t>In the second quarter of 2021, the growth rate of private consumption by the households</w:t>
      </w:r>
      <w:r w:rsidR="00006890" w:rsidRPr="00006890">
        <w:rPr>
          <w:rFonts w:ascii="Palatino Linotype" w:hAnsi="Palatino Linotype" w:cstheme="minorHAnsi"/>
          <w:sz w:val="22"/>
          <w:szCs w:val="22"/>
          <w:lang w:val="en-US"/>
        </w:rPr>
        <w:t xml:space="preserve"> </w:t>
      </w:r>
      <w:r w:rsidR="00006890" w:rsidRPr="00ED431D">
        <w:rPr>
          <w:rFonts w:ascii="Palatino Linotype" w:hAnsi="Palatino Linotype" w:cstheme="minorHAnsi"/>
          <w:sz w:val="22"/>
          <w:szCs w:val="22"/>
          <w:lang w:val="en-US"/>
        </w:rPr>
        <w:t>on an annual basis</w:t>
      </w:r>
      <w:r w:rsidR="00006890" w:rsidRPr="00006890">
        <w:rPr>
          <w:rFonts w:ascii="Palatino Linotype" w:hAnsi="Palatino Linotype" w:cstheme="minorHAnsi"/>
          <w:sz w:val="22"/>
          <w:szCs w:val="22"/>
          <w:lang w:val="en-US"/>
        </w:rPr>
        <w:t xml:space="preserve"> </w:t>
      </w:r>
      <w:r>
        <w:rPr>
          <w:rFonts w:ascii="Palatino Linotype" w:hAnsi="Palatino Linotype" w:cstheme="minorHAnsi"/>
          <w:sz w:val="22"/>
          <w:szCs w:val="22"/>
          <w:lang w:val="en-US"/>
        </w:rPr>
        <w:t xml:space="preserve">is </w:t>
      </w:r>
      <w:r w:rsidR="00176914">
        <w:rPr>
          <w:rFonts w:ascii="Palatino Linotype" w:hAnsi="Palatino Linotype" w:cstheme="minorHAnsi"/>
          <w:sz w:val="22"/>
          <w:szCs w:val="22"/>
          <w:lang w:val="en-US"/>
        </w:rPr>
        <w:t>mostly</w:t>
      </w:r>
      <w:r w:rsidR="00EB2543">
        <w:rPr>
          <w:rFonts w:ascii="Palatino Linotype" w:hAnsi="Palatino Linotype" w:cstheme="minorHAnsi"/>
          <w:sz w:val="22"/>
          <w:szCs w:val="22"/>
          <w:lang w:val="en-US"/>
        </w:rPr>
        <w:t xml:space="preserve"> affected by the base effect</w:t>
      </w:r>
      <w:r w:rsidR="00006890" w:rsidRPr="00006890">
        <w:rPr>
          <w:rFonts w:ascii="Palatino Linotype" w:hAnsi="Palatino Linotype" w:cstheme="minorHAnsi"/>
          <w:sz w:val="22"/>
          <w:szCs w:val="22"/>
          <w:lang w:val="en-US"/>
        </w:rPr>
        <w:t xml:space="preserve">. </w:t>
      </w:r>
      <w:r w:rsidR="00EB2543">
        <w:rPr>
          <w:rFonts w:ascii="Palatino Linotype" w:hAnsi="Palatino Linotype" w:cstheme="minorHAnsi"/>
          <w:sz w:val="22"/>
          <w:szCs w:val="22"/>
          <w:lang w:val="en-US"/>
        </w:rPr>
        <w:t>In this quarter, p</w:t>
      </w:r>
      <w:r w:rsidR="00006890" w:rsidRPr="00006890">
        <w:rPr>
          <w:rFonts w:ascii="Palatino Linotype" w:hAnsi="Palatino Linotype" w:cstheme="minorHAnsi"/>
          <w:sz w:val="22"/>
          <w:szCs w:val="22"/>
          <w:lang w:val="en-US"/>
        </w:rPr>
        <w:t xml:space="preserve">rivate consumption </w:t>
      </w:r>
      <w:r w:rsidR="00EB2543">
        <w:rPr>
          <w:rFonts w:ascii="Palatino Linotype" w:hAnsi="Palatino Linotype" w:cstheme="minorHAnsi"/>
          <w:sz w:val="22"/>
          <w:szCs w:val="22"/>
          <w:lang w:val="en-US"/>
        </w:rPr>
        <w:t xml:space="preserve">grows at the annual rate of 22.9 percent and </w:t>
      </w:r>
      <w:r w:rsidR="00006890" w:rsidRPr="00006890">
        <w:rPr>
          <w:rFonts w:ascii="Palatino Linotype" w:hAnsi="Palatino Linotype" w:cstheme="minorHAnsi"/>
          <w:sz w:val="22"/>
          <w:szCs w:val="22"/>
          <w:lang w:val="en-US"/>
        </w:rPr>
        <w:t>support</w:t>
      </w:r>
      <w:r w:rsidR="00006890">
        <w:rPr>
          <w:rFonts w:ascii="Palatino Linotype" w:hAnsi="Palatino Linotype" w:cstheme="minorHAnsi"/>
          <w:sz w:val="22"/>
          <w:szCs w:val="22"/>
          <w:lang w:val="en-US"/>
        </w:rPr>
        <w:t>s the yearly GDP</w:t>
      </w:r>
      <w:r w:rsidR="00006890" w:rsidRPr="00006890">
        <w:rPr>
          <w:rFonts w:ascii="Palatino Linotype" w:hAnsi="Palatino Linotype" w:cstheme="minorHAnsi"/>
          <w:sz w:val="22"/>
          <w:szCs w:val="22"/>
          <w:lang w:val="en-US"/>
        </w:rPr>
        <w:t xml:space="preserve"> growth by </w:t>
      </w:r>
      <w:r w:rsidR="00EB2543">
        <w:rPr>
          <w:rFonts w:ascii="Palatino Linotype" w:hAnsi="Palatino Linotype" w:cstheme="minorHAnsi"/>
          <w:sz w:val="22"/>
          <w:szCs w:val="22"/>
          <w:lang w:val="en-US"/>
        </w:rPr>
        <w:t>13.1</w:t>
      </w:r>
      <w:r w:rsidR="00006890" w:rsidRPr="00006890">
        <w:rPr>
          <w:rFonts w:ascii="Palatino Linotype" w:hAnsi="Palatino Linotype" w:cstheme="minorHAnsi"/>
          <w:sz w:val="22"/>
          <w:szCs w:val="22"/>
          <w:lang w:val="en-US"/>
        </w:rPr>
        <w:t xml:space="preserve"> percentage points in the first quarter of 2021 (Table 1). When we look at the seasonally and calendar adjusted</w:t>
      </w:r>
      <w:r w:rsidR="00006890">
        <w:rPr>
          <w:rFonts w:ascii="Palatino Linotype" w:hAnsi="Palatino Linotype" w:cstheme="minorHAnsi"/>
          <w:sz w:val="22"/>
          <w:szCs w:val="22"/>
          <w:lang w:val="en-US"/>
        </w:rPr>
        <w:t xml:space="preserve"> data</w:t>
      </w:r>
      <w:r w:rsidR="00006890" w:rsidRPr="00006890">
        <w:rPr>
          <w:rFonts w:ascii="Palatino Linotype" w:hAnsi="Palatino Linotype" w:cstheme="minorHAnsi"/>
          <w:sz w:val="22"/>
          <w:szCs w:val="22"/>
          <w:lang w:val="en-US"/>
        </w:rPr>
        <w:t xml:space="preserve">, we see that private consumption </w:t>
      </w:r>
      <w:r w:rsidR="00EB2543">
        <w:rPr>
          <w:rFonts w:ascii="Palatino Linotype" w:hAnsi="Palatino Linotype" w:cstheme="minorHAnsi"/>
          <w:sz w:val="22"/>
          <w:szCs w:val="22"/>
          <w:lang w:val="en-US"/>
        </w:rPr>
        <w:t>increases by 1.6</w:t>
      </w:r>
      <w:r w:rsidR="00006890" w:rsidRPr="00006890">
        <w:rPr>
          <w:rFonts w:ascii="Palatino Linotype" w:hAnsi="Palatino Linotype" w:cstheme="minorHAnsi"/>
          <w:sz w:val="22"/>
          <w:szCs w:val="22"/>
          <w:lang w:val="en-US"/>
        </w:rPr>
        <w:t xml:space="preserve"> percent and </w:t>
      </w:r>
      <w:r w:rsidR="00EB2543">
        <w:rPr>
          <w:rFonts w:ascii="Palatino Linotype" w:hAnsi="Palatino Linotype" w:cstheme="minorHAnsi"/>
          <w:sz w:val="22"/>
          <w:szCs w:val="22"/>
          <w:lang w:val="en-US"/>
        </w:rPr>
        <w:t>contributes positively</w:t>
      </w:r>
      <w:r w:rsidR="00006890">
        <w:rPr>
          <w:rFonts w:ascii="Palatino Linotype" w:hAnsi="Palatino Linotype" w:cstheme="minorHAnsi"/>
          <w:sz w:val="22"/>
          <w:szCs w:val="22"/>
          <w:lang w:val="en-US"/>
        </w:rPr>
        <w:t xml:space="preserve"> the quarterly GDP</w:t>
      </w:r>
      <w:r w:rsidR="00006890" w:rsidRPr="00006890">
        <w:rPr>
          <w:rFonts w:ascii="Palatino Linotype" w:hAnsi="Palatino Linotype" w:cstheme="minorHAnsi"/>
          <w:sz w:val="22"/>
          <w:szCs w:val="22"/>
          <w:lang w:val="en-US"/>
        </w:rPr>
        <w:t xml:space="preserve"> growth by </w:t>
      </w:r>
      <w:r w:rsidR="00EB2543">
        <w:rPr>
          <w:rFonts w:ascii="Palatino Linotype" w:hAnsi="Palatino Linotype" w:cstheme="minorHAnsi"/>
          <w:sz w:val="22"/>
          <w:szCs w:val="22"/>
          <w:lang w:val="en-US"/>
        </w:rPr>
        <w:t>0.9</w:t>
      </w:r>
      <w:r w:rsidR="00006890" w:rsidRPr="00006890">
        <w:rPr>
          <w:rFonts w:ascii="Palatino Linotype" w:hAnsi="Palatino Linotype" w:cstheme="minorHAnsi"/>
          <w:sz w:val="22"/>
          <w:szCs w:val="22"/>
          <w:lang w:val="en-US"/>
        </w:rPr>
        <w:t xml:space="preserve"> percentage points (Table 2). </w:t>
      </w:r>
      <w:r w:rsidR="00EB2543">
        <w:rPr>
          <w:rFonts w:ascii="Palatino Linotype" w:hAnsi="Palatino Linotype" w:cstheme="minorHAnsi"/>
          <w:sz w:val="22"/>
          <w:szCs w:val="22"/>
          <w:lang w:val="en-US"/>
        </w:rPr>
        <w:t xml:space="preserve">The contraction in imports and expansion of private consumption expenditures </w:t>
      </w:r>
      <w:r w:rsidR="00902A07" w:rsidRPr="00293D43">
        <w:rPr>
          <w:rFonts w:ascii="Palatino Linotype" w:hAnsi="Palatino Linotype" w:cstheme="minorHAnsi"/>
          <w:sz w:val="22"/>
          <w:szCs w:val="22"/>
          <w:lang w:val="en-US"/>
        </w:rPr>
        <w:t>are the main drivers of the GDP growth.</w:t>
      </w:r>
      <w:r w:rsidR="00EB2543" w:rsidRPr="00293D43">
        <w:rPr>
          <w:rFonts w:ascii="Palatino Linotype" w:hAnsi="Palatino Linotype" w:cstheme="minorHAnsi"/>
          <w:sz w:val="22"/>
          <w:szCs w:val="22"/>
          <w:lang w:val="en-US"/>
        </w:rPr>
        <w:t xml:space="preserve"> </w:t>
      </w:r>
    </w:p>
    <w:p w14:paraId="376793DA" w14:textId="77777777" w:rsidR="0000013E" w:rsidRPr="006679E6" w:rsidRDefault="0000013E" w:rsidP="00916C78">
      <w:pPr>
        <w:pStyle w:val="NormalWeb"/>
        <w:spacing w:before="0" w:beforeAutospacing="0" w:after="0" w:afterAutospacing="0" w:line="360" w:lineRule="auto"/>
        <w:ind w:right="77"/>
        <w:jc w:val="both"/>
        <w:rPr>
          <w:rFonts w:ascii="Palatino Linotype" w:hAnsi="Palatino Linotype" w:cstheme="minorHAnsi"/>
          <w:sz w:val="22"/>
          <w:szCs w:val="22"/>
          <w:lang w:val="en-US"/>
        </w:rPr>
      </w:pPr>
    </w:p>
    <w:p w14:paraId="47596A1C" w14:textId="179AC280" w:rsidR="00006890" w:rsidRDefault="00006890" w:rsidP="00006890">
      <w:pPr>
        <w:keepNext/>
        <w:ind w:right="79"/>
        <w:jc w:val="both"/>
        <w:rPr>
          <w:rFonts w:ascii="Palatino Linotype" w:hAnsi="Palatino Linotype" w:cstheme="minorHAnsi"/>
          <w:b/>
          <w:bCs/>
          <w:sz w:val="22"/>
          <w:szCs w:val="22"/>
          <w:lang w:val="en-US"/>
        </w:rPr>
      </w:pPr>
      <w:r w:rsidRPr="00155A64">
        <w:rPr>
          <w:rFonts w:ascii="Palatino Linotype" w:hAnsi="Palatino Linotype" w:cstheme="minorHAnsi"/>
          <w:b/>
          <w:bCs/>
          <w:sz w:val="22"/>
          <w:szCs w:val="22"/>
          <w:lang w:val="en-US"/>
        </w:rPr>
        <w:t xml:space="preserve">Table 1: Growth rates and contributions to the </w:t>
      </w:r>
      <w:r w:rsidR="00325894">
        <w:rPr>
          <w:rFonts w:ascii="Palatino Linotype" w:hAnsi="Palatino Linotype" w:cstheme="minorHAnsi"/>
          <w:b/>
          <w:bCs/>
          <w:sz w:val="22"/>
          <w:szCs w:val="22"/>
          <w:lang w:val="en-US"/>
        </w:rPr>
        <w:t>growth of GDP components in 2021</w:t>
      </w:r>
      <w:r w:rsidRPr="00155A64">
        <w:rPr>
          <w:rFonts w:ascii="Palatino Linotype" w:hAnsi="Palatino Linotype" w:cstheme="minorHAnsi"/>
          <w:b/>
          <w:bCs/>
          <w:sz w:val="22"/>
          <w:szCs w:val="22"/>
          <w:lang w:val="en-US"/>
        </w:rPr>
        <w:t xml:space="preserve"> Q</w:t>
      </w:r>
      <w:r w:rsidR="00325894">
        <w:rPr>
          <w:rFonts w:ascii="Palatino Linotype" w:hAnsi="Palatino Linotype" w:cstheme="minorHAnsi"/>
          <w:b/>
          <w:bCs/>
          <w:sz w:val="22"/>
          <w:szCs w:val="22"/>
          <w:lang w:val="en-US"/>
        </w:rPr>
        <w:t>1</w:t>
      </w:r>
      <w:r w:rsidRPr="00155A64">
        <w:rPr>
          <w:rFonts w:ascii="Palatino Linotype" w:hAnsi="Palatino Linotype" w:cstheme="minorHAnsi"/>
          <w:b/>
          <w:bCs/>
          <w:sz w:val="22"/>
          <w:szCs w:val="22"/>
          <w:lang w:val="en-US"/>
        </w:rPr>
        <w:t xml:space="preserve"> and 202</w:t>
      </w:r>
      <w:r>
        <w:rPr>
          <w:rFonts w:ascii="Palatino Linotype" w:hAnsi="Palatino Linotype" w:cstheme="minorHAnsi"/>
          <w:b/>
          <w:bCs/>
          <w:sz w:val="22"/>
          <w:szCs w:val="22"/>
          <w:lang w:val="en-US"/>
        </w:rPr>
        <w:t>1</w:t>
      </w:r>
      <w:r w:rsidRPr="00155A64">
        <w:rPr>
          <w:rFonts w:ascii="Palatino Linotype" w:hAnsi="Palatino Linotype" w:cstheme="minorHAnsi"/>
          <w:b/>
          <w:bCs/>
          <w:sz w:val="22"/>
          <w:szCs w:val="22"/>
          <w:lang w:val="en-US"/>
        </w:rPr>
        <w:t xml:space="preserve"> Q</w:t>
      </w:r>
      <w:r w:rsidR="00325894">
        <w:rPr>
          <w:rFonts w:ascii="Palatino Linotype" w:hAnsi="Palatino Linotype" w:cstheme="minorHAnsi"/>
          <w:b/>
          <w:bCs/>
          <w:sz w:val="22"/>
          <w:szCs w:val="22"/>
          <w:lang w:val="en-US"/>
        </w:rPr>
        <w:t>2</w:t>
      </w:r>
      <w:r w:rsidRPr="00155A64">
        <w:rPr>
          <w:rFonts w:ascii="Palatino Linotype" w:hAnsi="Palatino Linotype" w:cstheme="minorHAnsi"/>
          <w:b/>
          <w:bCs/>
          <w:sz w:val="22"/>
          <w:szCs w:val="22"/>
          <w:lang w:val="en-US"/>
        </w:rPr>
        <w:t xml:space="preserve"> compared to the same quarter of the previous year</w:t>
      </w:r>
    </w:p>
    <w:tbl>
      <w:tblPr>
        <w:tblW w:w="8261" w:type="dxa"/>
        <w:tblCellMar>
          <w:left w:w="70" w:type="dxa"/>
          <w:right w:w="70" w:type="dxa"/>
        </w:tblCellMar>
        <w:tblLook w:val="04A0" w:firstRow="1" w:lastRow="0" w:firstColumn="1" w:lastColumn="0" w:noHBand="0" w:noVBand="1"/>
      </w:tblPr>
      <w:tblGrid>
        <w:gridCol w:w="2268"/>
        <w:gridCol w:w="1105"/>
        <w:gridCol w:w="1828"/>
        <w:gridCol w:w="1243"/>
        <w:gridCol w:w="1817"/>
      </w:tblGrid>
      <w:tr w:rsidR="00325894" w:rsidRPr="00325894" w14:paraId="76C077FC" w14:textId="77777777" w:rsidTr="00325894">
        <w:trPr>
          <w:trHeight w:val="282"/>
        </w:trPr>
        <w:tc>
          <w:tcPr>
            <w:tcW w:w="2268" w:type="dxa"/>
            <w:tcBorders>
              <w:top w:val="nil"/>
              <w:left w:val="nil"/>
              <w:bottom w:val="nil"/>
              <w:right w:val="nil"/>
            </w:tcBorders>
            <w:shd w:val="clear" w:color="000000" w:fill="FFFFFF"/>
            <w:noWrap/>
            <w:vAlign w:val="bottom"/>
            <w:hideMark/>
          </w:tcPr>
          <w:p w14:paraId="7BF59C47" w14:textId="77777777" w:rsidR="00325894" w:rsidRPr="00325894" w:rsidRDefault="00325894" w:rsidP="00325894">
            <w:pPr>
              <w:rPr>
                <w:rFonts w:ascii="Calibri" w:hAnsi="Calibri"/>
                <w:b/>
                <w:bCs/>
                <w:color w:val="000000"/>
                <w:sz w:val="20"/>
                <w:szCs w:val="20"/>
              </w:rPr>
            </w:pPr>
            <w:r w:rsidRPr="00325894">
              <w:rPr>
                <w:rFonts w:ascii="Calibri" w:hAnsi="Calibri"/>
                <w:b/>
                <w:bCs/>
                <w:color w:val="000000"/>
                <w:sz w:val="20"/>
                <w:szCs w:val="20"/>
              </w:rPr>
              <w:t> </w:t>
            </w:r>
          </w:p>
        </w:tc>
        <w:tc>
          <w:tcPr>
            <w:tcW w:w="2933"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8794C8D" w14:textId="77777777" w:rsidR="00325894" w:rsidRPr="00325894" w:rsidRDefault="00325894" w:rsidP="00325894">
            <w:pPr>
              <w:jc w:val="center"/>
              <w:rPr>
                <w:rFonts w:ascii="Calibri" w:hAnsi="Calibri"/>
                <w:b/>
                <w:bCs/>
                <w:color w:val="000000"/>
                <w:sz w:val="20"/>
                <w:szCs w:val="20"/>
              </w:rPr>
            </w:pPr>
            <w:r w:rsidRPr="00325894">
              <w:rPr>
                <w:rFonts w:ascii="Calibri" w:hAnsi="Calibri"/>
                <w:b/>
                <w:bCs/>
                <w:color w:val="000000"/>
                <w:sz w:val="20"/>
                <w:szCs w:val="20"/>
              </w:rPr>
              <w:t>2021Q1</w:t>
            </w:r>
          </w:p>
        </w:tc>
        <w:tc>
          <w:tcPr>
            <w:tcW w:w="306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07A8156" w14:textId="77777777" w:rsidR="00325894" w:rsidRPr="00325894" w:rsidRDefault="00325894" w:rsidP="00325894">
            <w:pPr>
              <w:jc w:val="center"/>
              <w:rPr>
                <w:rFonts w:ascii="Calibri" w:hAnsi="Calibri"/>
                <w:b/>
                <w:bCs/>
                <w:color w:val="000000"/>
                <w:sz w:val="20"/>
                <w:szCs w:val="20"/>
              </w:rPr>
            </w:pPr>
            <w:r w:rsidRPr="00325894">
              <w:rPr>
                <w:rFonts w:ascii="Calibri" w:hAnsi="Calibri"/>
                <w:b/>
                <w:bCs/>
                <w:color w:val="000000"/>
                <w:sz w:val="20"/>
                <w:szCs w:val="20"/>
              </w:rPr>
              <w:t>2021Q2</w:t>
            </w:r>
          </w:p>
        </w:tc>
      </w:tr>
      <w:tr w:rsidR="00325894" w:rsidRPr="00325894" w14:paraId="4C3D0436" w14:textId="77777777" w:rsidTr="00325894">
        <w:trPr>
          <w:trHeight w:val="282"/>
        </w:trPr>
        <w:tc>
          <w:tcPr>
            <w:tcW w:w="2268" w:type="dxa"/>
            <w:tcBorders>
              <w:top w:val="nil"/>
              <w:left w:val="nil"/>
              <w:bottom w:val="nil"/>
              <w:right w:val="nil"/>
            </w:tcBorders>
            <w:shd w:val="clear" w:color="000000" w:fill="FFFFFF"/>
            <w:noWrap/>
            <w:vAlign w:val="bottom"/>
            <w:hideMark/>
          </w:tcPr>
          <w:p w14:paraId="50C80425" w14:textId="77777777" w:rsidR="00325894" w:rsidRPr="00325894" w:rsidRDefault="00325894" w:rsidP="00325894">
            <w:pPr>
              <w:rPr>
                <w:rFonts w:ascii="Calibri" w:hAnsi="Calibri"/>
                <w:b/>
                <w:bCs/>
                <w:color w:val="000000"/>
                <w:sz w:val="20"/>
                <w:szCs w:val="20"/>
              </w:rPr>
            </w:pPr>
            <w:r w:rsidRPr="00325894">
              <w:rPr>
                <w:rFonts w:ascii="Calibri" w:hAnsi="Calibri"/>
                <w:b/>
                <w:bCs/>
                <w:color w:val="000000"/>
                <w:sz w:val="20"/>
                <w:szCs w:val="20"/>
              </w:rPr>
              <w:t> </w:t>
            </w:r>
          </w:p>
        </w:tc>
        <w:tc>
          <w:tcPr>
            <w:tcW w:w="1105" w:type="dxa"/>
            <w:tcBorders>
              <w:top w:val="nil"/>
              <w:left w:val="single" w:sz="4" w:space="0" w:color="auto"/>
              <w:bottom w:val="single" w:sz="4" w:space="0" w:color="auto"/>
              <w:right w:val="nil"/>
            </w:tcBorders>
            <w:shd w:val="clear" w:color="000000" w:fill="FFFFFF"/>
            <w:noWrap/>
            <w:vAlign w:val="bottom"/>
            <w:hideMark/>
          </w:tcPr>
          <w:p w14:paraId="2453DFBA" w14:textId="77777777" w:rsidR="00325894" w:rsidRPr="00325894" w:rsidRDefault="00325894" w:rsidP="00325894">
            <w:pPr>
              <w:jc w:val="center"/>
              <w:rPr>
                <w:rFonts w:ascii="Calibri" w:hAnsi="Calibri"/>
                <w:b/>
                <w:bCs/>
                <w:color w:val="000000"/>
                <w:sz w:val="20"/>
                <w:szCs w:val="20"/>
              </w:rPr>
            </w:pPr>
            <w:r w:rsidRPr="00325894">
              <w:rPr>
                <w:rFonts w:ascii="Calibri" w:hAnsi="Calibri"/>
                <w:b/>
                <w:bCs/>
                <w:color w:val="000000"/>
                <w:sz w:val="20"/>
                <w:szCs w:val="20"/>
              </w:rPr>
              <w:t>Change (%)</w:t>
            </w:r>
          </w:p>
        </w:tc>
        <w:tc>
          <w:tcPr>
            <w:tcW w:w="1828" w:type="dxa"/>
            <w:tcBorders>
              <w:top w:val="nil"/>
              <w:left w:val="nil"/>
              <w:bottom w:val="nil"/>
              <w:right w:val="single" w:sz="4" w:space="0" w:color="auto"/>
            </w:tcBorders>
            <w:shd w:val="clear" w:color="000000" w:fill="FFFFFF"/>
            <w:noWrap/>
            <w:vAlign w:val="bottom"/>
            <w:hideMark/>
          </w:tcPr>
          <w:p w14:paraId="40BAA5B5" w14:textId="77777777" w:rsidR="00325894" w:rsidRPr="00325894" w:rsidRDefault="00325894" w:rsidP="00325894">
            <w:pPr>
              <w:jc w:val="center"/>
              <w:rPr>
                <w:rFonts w:ascii="Calibri" w:hAnsi="Calibri"/>
                <w:b/>
                <w:bCs/>
                <w:color w:val="000000"/>
                <w:sz w:val="20"/>
                <w:szCs w:val="20"/>
              </w:rPr>
            </w:pPr>
            <w:r w:rsidRPr="00325894">
              <w:rPr>
                <w:rFonts w:ascii="Calibri" w:hAnsi="Calibri"/>
                <w:b/>
                <w:bCs/>
                <w:color w:val="000000"/>
                <w:sz w:val="20"/>
                <w:szCs w:val="20"/>
              </w:rPr>
              <w:t>Contribution (%)</w:t>
            </w:r>
          </w:p>
        </w:tc>
        <w:tc>
          <w:tcPr>
            <w:tcW w:w="1243" w:type="dxa"/>
            <w:tcBorders>
              <w:top w:val="nil"/>
              <w:left w:val="nil"/>
              <w:bottom w:val="nil"/>
              <w:right w:val="nil"/>
            </w:tcBorders>
            <w:shd w:val="clear" w:color="000000" w:fill="FFFFFF"/>
            <w:noWrap/>
            <w:vAlign w:val="bottom"/>
            <w:hideMark/>
          </w:tcPr>
          <w:p w14:paraId="5373E100" w14:textId="77777777" w:rsidR="00325894" w:rsidRPr="00325894" w:rsidRDefault="00325894" w:rsidP="00325894">
            <w:pPr>
              <w:jc w:val="center"/>
              <w:rPr>
                <w:rFonts w:ascii="Calibri" w:hAnsi="Calibri"/>
                <w:b/>
                <w:bCs/>
                <w:color w:val="000000"/>
                <w:sz w:val="20"/>
                <w:szCs w:val="20"/>
              </w:rPr>
            </w:pPr>
            <w:r w:rsidRPr="00325894">
              <w:rPr>
                <w:rFonts w:ascii="Calibri" w:hAnsi="Calibri"/>
                <w:b/>
                <w:bCs/>
                <w:color w:val="000000"/>
                <w:sz w:val="20"/>
                <w:szCs w:val="20"/>
              </w:rPr>
              <w:t>Change (%)</w:t>
            </w:r>
          </w:p>
        </w:tc>
        <w:tc>
          <w:tcPr>
            <w:tcW w:w="1817" w:type="dxa"/>
            <w:tcBorders>
              <w:top w:val="nil"/>
              <w:left w:val="nil"/>
              <w:bottom w:val="nil"/>
              <w:right w:val="single" w:sz="4" w:space="0" w:color="auto"/>
            </w:tcBorders>
            <w:shd w:val="clear" w:color="000000" w:fill="FFFFFF"/>
            <w:noWrap/>
            <w:vAlign w:val="bottom"/>
            <w:hideMark/>
          </w:tcPr>
          <w:p w14:paraId="1F8BAB72" w14:textId="77777777" w:rsidR="00325894" w:rsidRPr="00325894" w:rsidRDefault="00325894" w:rsidP="00325894">
            <w:pPr>
              <w:jc w:val="center"/>
              <w:rPr>
                <w:rFonts w:ascii="Calibri" w:hAnsi="Calibri"/>
                <w:b/>
                <w:bCs/>
                <w:color w:val="000000"/>
                <w:sz w:val="20"/>
                <w:szCs w:val="20"/>
              </w:rPr>
            </w:pPr>
            <w:r w:rsidRPr="00325894">
              <w:rPr>
                <w:rFonts w:ascii="Calibri" w:hAnsi="Calibri"/>
                <w:b/>
                <w:bCs/>
                <w:color w:val="000000"/>
                <w:sz w:val="20"/>
                <w:szCs w:val="20"/>
              </w:rPr>
              <w:t>Contribution (%)</w:t>
            </w:r>
          </w:p>
        </w:tc>
      </w:tr>
      <w:tr w:rsidR="00325894" w:rsidRPr="00325894" w14:paraId="5CD37BD3" w14:textId="77777777" w:rsidTr="00325894">
        <w:trPr>
          <w:trHeight w:val="282"/>
        </w:trPr>
        <w:tc>
          <w:tcPr>
            <w:tcW w:w="2268" w:type="dxa"/>
            <w:tcBorders>
              <w:top w:val="single" w:sz="4" w:space="0" w:color="auto"/>
              <w:left w:val="nil"/>
              <w:bottom w:val="nil"/>
              <w:right w:val="nil"/>
            </w:tcBorders>
            <w:shd w:val="clear" w:color="000000" w:fill="FFFFFF"/>
            <w:noWrap/>
            <w:vAlign w:val="bottom"/>
            <w:hideMark/>
          </w:tcPr>
          <w:p w14:paraId="5BD7769D" w14:textId="77777777" w:rsidR="00325894" w:rsidRPr="00325894" w:rsidRDefault="00325894" w:rsidP="00325894">
            <w:pPr>
              <w:rPr>
                <w:rFonts w:ascii="Calibri" w:hAnsi="Calibri"/>
                <w:b/>
                <w:bCs/>
                <w:color w:val="000000"/>
                <w:sz w:val="20"/>
                <w:szCs w:val="20"/>
              </w:rPr>
            </w:pPr>
            <w:r w:rsidRPr="00325894">
              <w:rPr>
                <w:rFonts w:ascii="Calibri" w:hAnsi="Calibri"/>
                <w:b/>
                <w:bCs/>
                <w:color w:val="000000"/>
                <w:sz w:val="20"/>
                <w:szCs w:val="20"/>
              </w:rPr>
              <w:t>Consumption</w:t>
            </w:r>
          </w:p>
        </w:tc>
        <w:tc>
          <w:tcPr>
            <w:tcW w:w="1105" w:type="dxa"/>
            <w:tcBorders>
              <w:top w:val="nil"/>
              <w:left w:val="single" w:sz="4" w:space="0" w:color="auto"/>
              <w:bottom w:val="nil"/>
              <w:right w:val="nil"/>
            </w:tcBorders>
            <w:shd w:val="clear" w:color="000000" w:fill="FFFFFF"/>
            <w:noWrap/>
            <w:vAlign w:val="bottom"/>
            <w:hideMark/>
          </w:tcPr>
          <w:p w14:paraId="73EE4D8F" w14:textId="77777777" w:rsidR="00325894" w:rsidRPr="00325894" w:rsidRDefault="00325894" w:rsidP="00325894">
            <w:pPr>
              <w:jc w:val="center"/>
              <w:rPr>
                <w:rFonts w:ascii="Calibri" w:hAnsi="Calibri"/>
                <w:color w:val="000000"/>
                <w:sz w:val="20"/>
                <w:szCs w:val="20"/>
              </w:rPr>
            </w:pPr>
            <w:r w:rsidRPr="00325894">
              <w:rPr>
                <w:rFonts w:ascii="Calibri" w:hAnsi="Calibri"/>
                <w:color w:val="000000"/>
                <w:sz w:val="20"/>
                <w:szCs w:val="20"/>
              </w:rPr>
              <w:t>7,0</w:t>
            </w:r>
          </w:p>
        </w:tc>
        <w:tc>
          <w:tcPr>
            <w:tcW w:w="1828" w:type="dxa"/>
            <w:tcBorders>
              <w:top w:val="single" w:sz="4" w:space="0" w:color="auto"/>
              <w:left w:val="nil"/>
              <w:bottom w:val="nil"/>
              <w:right w:val="single" w:sz="4" w:space="0" w:color="auto"/>
            </w:tcBorders>
            <w:shd w:val="clear" w:color="000000" w:fill="FFFFFF"/>
            <w:noWrap/>
            <w:vAlign w:val="bottom"/>
            <w:hideMark/>
          </w:tcPr>
          <w:p w14:paraId="18224FB4" w14:textId="77777777" w:rsidR="00325894" w:rsidRPr="00325894" w:rsidRDefault="00325894" w:rsidP="00325894">
            <w:pPr>
              <w:jc w:val="center"/>
              <w:rPr>
                <w:rFonts w:ascii="Calibri" w:hAnsi="Calibri"/>
                <w:color w:val="000000"/>
                <w:sz w:val="20"/>
                <w:szCs w:val="20"/>
              </w:rPr>
            </w:pPr>
            <w:r w:rsidRPr="00325894">
              <w:rPr>
                <w:rFonts w:ascii="Calibri" w:hAnsi="Calibri"/>
                <w:color w:val="000000"/>
                <w:sz w:val="20"/>
                <w:szCs w:val="20"/>
              </w:rPr>
              <w:t>4,0</w:t>
            </w:r>
          </w:p>
        </w:tc>
        <w:tc>
          <w:tcPr>
            <w:tcW w:w="1243" w:type="dxa"/>
            <w:tcBorders>
              <w:top w:val="single" w:sz="4" w:space="0" w:color="auto"/>
              <w:left w:val="nil"/>
              <w:bottom w:val="nil"/>
              <w:right w:val="nil"/>
            </w:tcBorders>
            <w:shd w:val="clear" w:color="000000" w:fill="FFFFFF"/>
            <w:noWrap/>
            <w:vAlign w:val="bottom"/>
            <w:hideMark/>
          </w:tcPr>
          <w:p w14:paraId="77585D77" w14:textId="77777777" w:rsidR="00325894" w:rsidRPr="00325894" w:rsidRDefault="00325894" w:rsidP="00325894">
            <w:pPr>
              <w:jc w:val="center"/>
              <w:rPr>
                <w:rFonts w:ascii="Calibri" w:hAnsi="Calibri"/>
                <w:color w:val="000000"/>
                <w:sz w:val="20"/>
                <w:szCs w:val="20"/>
              </w:rPr>
            </w:pPr>
            <w:r w:rsidRPr="00325894">
              <w:rPr>
                <w:rFonts w:ascii="Calibri" w:hAnsi="Calibri"/>
                <w:color w:val="000000"/>
                <w:sz w:val="20"/>
                <w:szCs w:val="20"/>
              </w:rPr>
              <w:t>22,9</w:t>
            </w:r>
          </w:p>
        </w:tc>
        <w:tc>
          <w:tcPr>
            <w:tcW w:w="1817" w:type="dxa"/>
            <w:tcBorders>
              <w:top w:val="single" w:sz="4" w:space="0" w:color="auto"/>
              <w:left w:val="nil"/>
              <w:bottom w:val="nil"/>
              <w:right w:val="single" w:sz="4" w:space="0" w:color="auto"/>
            </w:tcBorders>
            <w:shd w:val="clear" w:color="000000" w:fill="FFFFFF"/>
            <w:noWrap/>
            <w:vAlign w:val="bottom"/>
            <w:hideMark/>
          </w:tcPr>
          <w:p w14:paraId="14069D76" w14:textId="77777777" w:rsidR="00325894" w:rsidRPr="00325894" w:rsidRDefault="00325894" w:rsidP="00325894">
            <w:pPr>
              <w:jc w:val="center"/>
              <w:rPr>
                <w:rFonts w:ascii="Calibri" w:hAnsi="Calibri"/>
                <w:color w:val="000000"/>
                <w:sz w:val="20"/>
                <w:szCs w:val="20"/>
              </w:rPr>
            </w:pPr>
            <w:r w:rsidRPr="00325894">
              <w:rPr>
                <w:rFonts w:ascii="Calibri" w:hAnsi="Calibri"/>
                <w:color w:val="000000"/>
                <w:sz w:val="20"/>
                <w:szCs w:val="20"/>
              </w:rPr>
              <w:t>13,1</w:t>
            </w:r>
          </w:p>
        </w:tc>
      </w:tr>
      <w:tr w:rsidR="00325894" w:rsidRPr="00325894" w14:paraId="2E3D25D3" w14:textId="77777777" w:rsidTr="00325894">
        <w:trPr>
          <w:trHeight w:val="282"/>
        </w:trPr>
        <w:tc>
          <w:tcPr>
            <w:tcW w:w="2268" w:type="dxa"/>
            <w:tcBorders>
              <w:top w:val="nil"/>
              <w:left w:val="nil"/>
              <w:bottom w:val="nil"/>
              <w:right w:val="nil"/>
            </w:tcBorders>
            <w:shd w:val="clear" w:color="000000" w:fill="FFFFFF"/>
            <w:noWrap/>
            <w:vAlign w:val="bottom"/>
            <w:hideMark/>
          </w:tcPr>
          <w:p w14:paraId="38424431" w14:textId="77777777" w:rsidR="00325894" w:rsidRPr="00325894" w:rsidRDefault="00325894" w:rsidP="00325894">
            <w:pPr>
              <w:rPr>
                <w:rFonts w:ascii="Calibri" w:hAnsi="Calibri"/>
                <w:b/>
                <w:bCs/>
                <w:color w:val="000000"/>
                <w:sz w:val="20"/>
                <w:szCs w:val="20"/>
              </w:rPr>
            </w:pPr>
            <w:r w:rsidRPr="00325894">
              <w:rPr>
                <w:rFonts w:ascii="Calibri" w:hAnsi="Calibri"/>
                <w:b/>
                <w:bCs/>
                <w:color w:val="000000"/>
                <w:sz w:val="20"/>
                <w:szCs w:val="20"/>
              </w:rPr>
              <w:t>Government Spending</w:t>
            </w:r>
          </w:p>
        </w:tc>
        <w:tc>
          <w:tcPr>
            <w:tcW w:w="1105" w:type="dxa"/>
            <w:tcBorders>
              <w:top w:val="nil"/>
              <w:left w:val="single" w:sz="4" w:space="0" w:color="auto"/>
              <w:bottom w:val="nil"/>
              <w:right w:val="nil"/>
            </w:tcBorders>
            <w:shd w:val="clear" w:color="000000" w:fill="FFFFFF"/>
            <w:noWrap/>
            <w:vAlign w:val="bottom"/>
            <w:hideMark/>
          </w:tcPr>
          <w:p w14:paraId="613ECCE9" w14:textId="77777777" w:rsidR="00325894" w:rsidRPr="00325894" w:rsidRDefault="00325894" w:rsidP="00325894">
            <w:pPr>
              <w:jc w:val="center"/>
              <w:rPr>
                <w:rFonts w:ascii="Calibri" w:hAnsi="Calibri"/>
                <w:color w:val="000000"/>
                <w:sz w:val="20"/>
                <w:szCs w:val="20"/>
              </w:rPr>
            </w:pPr>
            <w:r w:rsidRPr="00325894">
              <w:rPr>
                <w:rFonts w:ascii="Calibri" w:hAnsi="Calibri"/>
                <w:color w:val="000000"/>
                <w:sz w:val="20"/>
                <w:szCs w:val="20"/>
              </w:rPr>
              <w:t>0,7</w:t>
            </w:r>
          </w:p>
        </w:tc>
        <w:tc>
          <w:tcPr>
            <w:tcW w:w="1828" w:type="dxa"/>
            <w:tcBorders>
              <w:top w:val="nil"/>
              <w:left w:val="nil"/>
              <w:bottom w:val="nil"/>
              <w:right w:val="single" w:sz="4" w:space="0" w:color="auto"/>
            </w:tcBorders>
            <w:shd w:val="clear" w:color="000000" w:fill="FFFFFF"/>
            <w:noWrap/>
            <w:vAlign w:val="bottom"/>
            <w:hideMark/>
          </w:tcPr>
          <w:p w14:paraId="414800EE" w14:textId="77777777" w:rsidR="00325894" w:rsidRPr="00325894" w:rsidRDefault="00325894" w:rsidP="00325894">
            <w:pPr>
              <w:jc w:val="center"/>
              <w:rPr>
                <w:rFonts w:ascii="Calibri" w:hAnsi="Calibri"/>
                <w:color w:val="000000"/>
                <w:sz w:val="20"/>
                <w:szCs w:val="20"/>
              </w:rPr>
            </w:pPr>
            <w:r w:rsidRPr="00325894">
              <w:rPr>
                <w:rFonts w:ascii="Calibri" w:hAnsi="Calibri"/>
                <w:color w:val="000000"/>
                <w:sz w:val="20"/>
                <w:szCs w:val="20"/>
              </w:rPr>
              <w:t>0,1</w:t>
            </w:r>
          </w:p>
        </w:tc>
        <w:tc>
          <w:tcPr>
            <w:tcW w:w="1243" w:type="dxa"/>
            <w:tcBorders>
              <w:top w:val="nil"/>
              <w:left w:val="nil"/>
              <w:bottom w:val="nil"/>
              <w:right w:val="nil"/>
            </w:tcBorders>
            <w:shd w:val="clear" w:color="000000" w:fill="FFFFFF"/>
            <w:noWrap/>
            <w:vAlign w:val="bottom"/>
            <w:hideMark/>
          </w:tcPr>
          <w:p w14:paraId="02586EBA" w14:textId="77777777" w:rsidR="00325894" w:rsidRPr="00325894" w:rsidRDefault="00325894" w:rsidP="00325894">
            <w:pPr>
              <w:jc w:val="center"/>
              <w:rPr>
                <w:rFonts w:ascii="Calibri" w:hAnsi="Calibri"/>
                <w:color w:val="000000"/>
                <w:sz w:val="20"/>
                <w:szCs w:val="20"/>
              </w:rPr>
            </w:pPr>
            <w:r w:rsidRPr="00325894">
              <w:rPr>
                <w:rFonts w:ascii="Calibri" w:hAnsi="Calibri"/>
                <w:color w:val="000000"/>
                <w:sz w:val="20"/>
                <w:szCs w:val="20"/>
              </w:rPr>
              <w:t>4,2</w:t>
            </w:r>
          </w:p>
        </w:tc>
        <w:tc>
          <w:tcPr>
            <w:tcW w:w="1817" w:type="dxa"/>
            <w:tcBorders>
              <w:top w:val="nil"/>
              <w:left w:val="nil"/>
              <w:bottom w:val="nil"/>
              <w:right w:val="single" w:sz="4" w:space="0" w:color="auto"/>
            </w:tcBorders>
            <w:shd w:val="clear" w:color="000000" w:fill="FFFFFF"/>
            <w:noWrap/>
            <w:vAlign w:val="bottom"/>
            <w:hideMark/>
          </w:tcPr>
          <w:p w14:paraId="159C74E5" w14:textId="77777777" w:rsidR="00325894" w:rsidRPr="00325894" w:rsidRDefault="00325894" w:rsidP="00325894">
            <w:pPr>
              <w:jc w:val="center"/>
              <w:rPr>
                <w:rFonts w:ascii="Calibri" w:hAnsi="Calibri"/>
                <w:color w:val="000000"/>
                <w:sz w:val="20"/>
                <w:szCs w:val="20"/>
              </w:rPr>
            </w:pPr>
            <w:r w:rsidRPr="00325894">
              <w:rPr>
                <w:rFonts w:ascii="Calibri" w:hAnsi="Calibri"/>
                <w:color w:val="000000"/>
                <w:sz w:val="20"/>
                <w:szCs w:val="20"/>
              </w:rPr>
              <w:t>0,7</w:t>
            </w:r>
          </w:p>
        </w:tc>
      </w:tr>
      <w:tr w:rsidR="00325894" w:rsidRPr="00325894" w14:paraId="59D447C2" w14:textId="77777777" w:rsidTr="00325894">
        <w:trPr>
          <w:trHeight w:val="282"/>
        </w:trPr>
        <w:tc>
          <w:tcPr>
            <w:tcW w:w="2268" w:type="dxa"/>
            <w:tcBorders>
              <w:top w:val="nil"/>
              <w:left w:val="nil"/>
              <w:bottom w:val="nil"/>
              <w:right w:val="nil"/>
            </w:tcBorders>
            <w:shd w:val="clear" w:color="000000" w:fill="FFFFFF"/>
            <w:noWrap/>
            <w:vAlign w:val="bottom"/>
            <w:hideMark/>
          </w:tcPr>
          <w:p w14:paraId="7AE0D5B5" w14:textId="77777777" w:rsidR="00325894" w:rsidRPr="00325894" w:rsidRDefault="00325894" w:rsidP="00325894">
            <w:pPr>
              <w:rPr>
                <w:rFonts w:ascii="Calibri" w:hAnsi="Calibri"/>
                <w:b/>
                <w:bCs/>
                <w:color w:val="000000"/>
                <w:sz w:val="20"/>
                <w:szCs w:val="20"/>
              </w:rPr>
            </w:pPr>
            <w:r w:rsidRPr="00325894">
              <w:rPr>
                <w:rFonts w:ascii="Calibri" w:hAnsi="Calibri"/>
                <w:b/>
                <w:bCs/>
                <w:color w:val="000000"/>
                <w:sz w:val="20"/>
                <w:szCs w:val="20"/>
              </w:rPr>
              <w:t>Investment</w:t>
            </w:r>
          </w:p>
        </w:tc>
        <w:tc>
          <w:tcPr>
            <w:tcW w:w="1105" w:type="dxa"/>
            <w:tcBorders>
              <w:top w:val="nil"/>
              <w:left w:val="single" w:sz="4" w:space="0" w:color="auto"/>
              <w:bottom w:val="nil"/>
              <w:right w:val="nil"/>
            </w:tcBorders>
            <w:shd w:val="clear" w:color="000000" w:fill="FFFFFF"/>
            <w:noWrap/>
            <w:vAlign w:val="bottom"/>
            <w:hideMark/>
          </w:tcPr>
          <w:p w14:paraId="1E737A97" w14:textId="77777777" w:rsidR="00325894" w:rsidRPr="00325894" w:rsidRDefault="00325894" w:rsidP="00325894">
            <w:pPr>
              <w:jc w:val="center"/>
              <w:rPr>
                <w:rFonts w:ascii="Calibri" w:hAnsi="Calibri"/>
                <w:color w:val="000000"/>
                <w:sz w:val="20"/>
                <w:szCs w:val="20"/>
              </w:rPr>
            </w:pPr>
            <w:r w:rsidRPr="00325894">
              <w:rPr>
                <w:rFonts w:ascii="Calibri" w:hAnsi="Calibri"/>
                <w:color w:val="000000"/>
                <w:sz w:val="20"/>
                <w:szCs w:val="20"/>
              </w:rPr>
              <w:t>12,4</w:t>
            </w:r>
          </w:p>
        </w:tc>
        <w:tc>
          <w:tcPr>
            <w:tcW w:w="1828" w:type="dxa"/>
            <w:tcBorders>
              <w:top w:val="nil"/>
              <w:left w:val="nil"/>
              <w:bottom w:val="nil"/>
              <w:right w:val="single" w:sz="4" w:space="0" w:color="auto"/>
            </w:tcBorders>
            <w:shd w:val="clear" w:color="000000" w:fill="FFFFFF"/>
            <w:noWrap/>
            <w:vAlign w:val="bottom"/>
            <w:hideMark/>
          </w:tcPr>
          <w:p w14:paraId="4F32B3D1" w14:textId="77777777" w:rsidR="00325894" w:rsidRPr="00325894" w:rsidRDefault="00325894" w:rsidP="00325894">
            <w:pPr>
              <w:jc w:val="center"/>
              <w:rPr>
                <w:rFonts w:ascii="Calibri" w:hAnsi="Calibri"/>
                <w:color w:val="000000"/>
                <w:sz w:val="20"/>
                <w:szCs w:val="20"/>
              </w:rPr>
            </w:pPr>
            <w:r w:rsidRPr="00325894">
              <w:rPr>
                <w:rFonts w:ascii="Calibri" w:hAnsi="Calibri"/>
                <w:color w:val="000000"/>
                <w:sz w:val="20"/>
                <w:szCs w:val="20"/>
              </w:rPr>
              <w:t>3,2</w:t>
            </w:r>
          </w:p>
        </w:tc>
        <w:tc>
          <w:tcPr>
            <w:tcW w:w="1243" w:type="dxa"/>
            <w:tcBorders>
              <w:top w:val="nil"/>
              <w:left w:val="nil"/>
              <w:bottom w:val="nil"/>
              <w:right w:val="nil"/>
            </w:tcBorders>
            <w:shd w:val="clear" w:color="000000" w:fill="FFFFFF"/>
            <w:noWrap/>
            <w:vAlign w:val="bottom"/>
            <w:hideMark/>
          </w:tcPr>
          <w:p w14:paraId="67294545" w14:textId="77777777" w:rsidR="00325894" w:rsidRPr="00325894" w:rsidRDefault="00325894" w:rsidP="00325894">
            <w:pPr>
              <w:jc w:val="center"/>
              <w:rPr>
                <w:rFonts w:ascii="Calibri" w:hAnsi="Calibri"/>
                <w:color w:val="000000"/>
                <w:sz w:val="20"/>
                <w:szCs w:val="20"/>
              </w:rPr>
            </w:pPr>
            <w:r w:rsidRPr="00325894">
              <w:rPr>
                <w:rFonts w:ascii="Calibri" w:hAnsi="Calibri"/>
                <w:color w:val="000000"/>
                <w:sz w:val="20"/>
                <w:szCs w:val="20"/>
              </w:rPr>
              <w:t>20,3</w:t>
            </w:r>
          </w:p>
        </w:tc>
        <w:tc>
          <w:tcPr>
            <w:tcW w:w="1817" w:type="dxa"/>
            <w:tcBorders>
              <w:top w:val="nil"/>
              <w:left w:val="nil"/>
              <w:bottom w:val="nil"/>
              <w:right w:val="single" w:sz="4" w:space="0" w:color="auto"/>
            </w:tcBorders>
            <w:shd w:val="clear" w:color="000000" w:fill="FFFFFF"/>
            <w:noWrap/>
            <w:vAlign w:val="bottom"/>
            <w:hideMark/>
          </w:tcPr>
          <w:p w14:paraId="35535AEF" w14:textId="77777777" w:rsidR="00325894" w:rsidRPr="00325894" w:rsidRDefault="00325894" w:rsidP="00325894">
            <w:pPr>
              <w:jc w:val="center"/>
              <w:rPr>
                <w:rFonts w:ascii="Calibri" w:hAnsi="Calibri"/>
                <w:color w:val="000000"/>
                <w:sz w:val="20"/>
                <w:szCs w:val="20"/>
              </w:rPr>
            </w:pPr>
            <w:r w:rsidRPr="00325894">
              <w:rPr>
                <w:rFonts w:ascii="Calibri" w:hAnsi="Calibri"/>
                <w:color w:val="000000"/>
                <w:sz w:val="20"/>
                <w:szCs w:val="20"/>
              </w:rPr>
              <w:t>5,6</w:t>
            </w:r>
          </w:p>
        </w:tc>
      </w:tr>
      <w:tr w:rsidR="00325894" w:rsidRPr="00325894" w14:paraId="63D533A4" w14:textId="77777777" w:rsidTr="00325894">
        <w:trPr>
          <w:trHeight w:val="282"/>
        </w:trPr>
        <w:tc>
          <w:tcPr>
            <w:tcW w:w="2268" w:type="dxa"/>
            <w:tcBorders>
              <w:top w:val="nil"/>
              <w:left w:val="nil"/>
              <w:bottom w:val="nil"/>
              <w:right w:val="nil"/>
            </w:tcBorders>
            <w:shd w:val="clear" w:color="000000" w:fill="FFFFFF"/>
            <w:noWrap/>
            <w:vAlign w:val="bottom"/>
            <w:hideMark/>
          </w:tcPr>
          <w:p w14:paraId="3FD1BB83" w14:textId="77777777" w:rsidR="00325894" w:rsidRPr="00325894" w:rsidRDefault="00325894" w:rsidP="00325894">
            <w:pPr>
              <w:rPr>
                <w:rFonts w:ascii="Calibri" w:hAnsi="Calibri"/>
                <w:b/>
                <w:bCs/>
                <w:color w:val="000000"/>
                <w:sz w:val="20"/>
                <w:szCs w:val="20"/>
              </w:rPr>
            </w:pPr>
            <w:r w:rsidRPr="00325894">
              <w:rPr>
                <w:rFonts w:ascii="Calibri" w:hAnsi="Calibri"/>
                <w:b/>
                <w:bCs/>
                <w:color w:val="000000"/>
                <w:sz w:val="20"/>
                <w:szCs w:val="20"/>
              </w:rPr>
              <w:t>Change in Inventories</w:t>
            </w:r>
          </w:p>
        </w:tc>
        <w:tc>
          <w:tcPr>
            <w:tcW w:w="1105" w:type="dxa"/>
            <w:tcBorders>
              <w:top w:val="nil"/>
              <w:left w:val="single" w:sz="4" w:space="0" w:color="auto"/>
              <w:bottom w:val="nil"/>
              <w:right w:val="nil"/>
            </w:tcBorders>
            <w:shd w:val="clear" w:color="000000" w:fill="FFFFFF"/>
            <w:noWrap/>
            <w:vAlign w:val="bottom"/>
            <w:hideMark/>
          </w:tcPr>
          <w:p w14:paraId="6C1368DA" w14:textId="77777777" w:rsidR="00325894" w:rsidRPr="00325894" w:rsidRDefault="00325894" w:rsidP="00325894">
            <w:pPr>
              <w:jc w:val="center"/>
              <w:rPr>
                <w:rFonts w:ascii="Calibri" w:hAnsi="Calibri"/>
                <w:color w:val="000000"/>
                <w:sz w:val="20"/>
                <w:szCs w:val="20"/>
              </w:rPr>
            </w:pPr>
            <w:r w:rsidRPr="00325894">
              <w:rPr>
                <w:rFonts w:ascii="Calibri" w:hAnsi="Calibri"/>
                <w:color w:val="000000"/>
                <w:sz w:val="20"/>
                <w:szCs w:val="20"/>
              </w:rPr>
              <w:t> </w:t>
            </w:r>
          </w:p>
        </w:tc>
        <w:tc>
          <w:tcPr>
            <w:tcW w:w="1828" w:type="dxa"/>
            <w:tcBorders>
              <w:top w:val="nil"/>
              <w:left w:val="nil"/>
              <w:bottom w:val="nil"/>
              <w:right w:val="single" w:sz="4" w:space="0" w:color="auto"/>
            </w:tcBorders>
            <w:shd w:val="clear" w:color="000000" w:fill="FFFFFF"/>
            <w:noWrap/>
            <w:vAlign w:val="bottom"/>
            <w:hideMark/>
          </w:tcPr>
          <w:p w14:paraId="3FAA7259" w14:textId="77777777" w:rsidR="00325894" w:rsidRPr="00325894" w:rsidRDefault="00325894" w:rsidP="00325894">
            <w:pPr>
              <w:jc w:val="center"/>
              <w:rPr>
                <w:rFonts w:ascii="Calibri" w:hAnsi="Calibri"/>
                <w:color w:val="000000"/>
                <w:sz w:val="20"/>
                <w:szCs w:val="20"/>
              </w:rPr>
            </w:pPr>
            <w:r w:rsidRPr="00325894">
              <w:rPr>
                <w:rFonts w:ascii="Calibri" w:hAnsi="Calibri"/>
                <w:color w:val="000000"/>
                <w:sz w:val="20"/>
                <w:szCs w:val="20"/>
              </w:rPr>
              <w:t>-1,8</w:t>
            </w:r>
          </w:p>
        </w:tc>
        <w:tc>
          <w:tcPr>
            <w:tcW w:w="1243" w:type="dxa"/>
            <w:tcBorders>
              <w:top w:val="nil"/>
              <w:left w:val="nil"/>
              <w:bottom w:val="nil"/>
              <w:right w:val="nil"/>
            </w:tcBorders>
            <w:shd w:val="clear" w:color="000000" w:fill="FFFFFF"/>
            <w:noWrap/>
            <w:vAlign w:val="bottom"/>
            <w:hideMark/>
          </w:tcPr>
          <w:p w14:paraId="08F1A39E" w14:textId="77777777" w:rsidR="00325894" w:rsidRPr="00325894" w:rsidRDefault="00325894" w:rsidP="00325894">
            <w:pPr>
              <w:jc w:val="center"/>
              <w:rPr>
                <w:rFonts w:ascii="Calibri" w:hAnsi="Calibri"/>
                <w:color w:val="000000"/>
                <w:sz w:val="20"/>
                <w:szCs w:val="20"/>
              </w:rPr>
            </w:pPr>
            <w:r w:rsidRPr="00325894">
              <w:rPr>
                <w:rFonts w:ascii="Calibri" w:hAnsi="Calibri"/>
                <w:color w:val="000000"/>
                <w:sz w:val="20"/>
                <w:szCs w:val="20"/>
              </w:rPr>
              <w:t> </w:t>
            </w:r>
          </w:p>
        </w:tc>
        <w:tc>
          <w:tcPr>
            <w:tcW w:w="1817" w:type="dxa"/>
            <w:tcBorders>
              <w:top w:val="nil"/>
              <w:left w:val="nil"/>
              <w:bottom w:val="nil"/>
              <w:right w:val="single" w:sz="4" w:space="0" w:color="auto"/>
            </w:tcBorders>
            <w:shd w:val="clear" w:color="000000" w:fill="FFFFFF"/>
            <w:noWrap/>
            <w:vAlign w:val="bottom"/>
            <w:hideMark/>
          </w:tcPr>
          <w:p w14:paraId="391E8B5D" w14:textId="77777777" w:rsidR="00325894" w:rsidRPr="00325894" w:rsidRDefault="00325894" w:rsidP="00325894">
            <w:pPr>
              <w:jc w:val="center"/>
              <w:rPr>
                <w:rFonts w:ascii="Calibri" w:hAnsi="Calibri"/>
                <w:color w:val="000000"/>
                <w:sz w:val="20"/>
                <w:szCs w:val="20"/>
              </w:rPr>
            </w:pPr>
            <w:r w:rsidRPr="00325894">
              <w:rPr>
                <w:rFonts w:ascii="Calibri" w:hAnsi="Calibri"/>
                <w:color w:val="000000"/>
                <w:sz w:val="20"/>
                <w:szCs w:val="20"/>
              </w:rPr>
              <w:t>-6,3</w:t>
            </w:r>
          </w:p>
        </w:tc>
      </w:tr>
      <w:tr w:rsidR="00325894" w:rsidRPr="00325894" w14:paraId="5316F49F" w14:textId="77777777" w:rsidTr="00325894">
        <w:trPr>
          <w:trHeight w:val="282"/>
        </w:trPr>
        <w:tc>
          <w:tcPr>
            <w:tcW w:w="2268" w:type="dxa"/>
            <w:tcBorders>
              <w:top w:val="nil"/>
              <w:left w:val="nil"/>
              <w:bottom w:val="nil"/>
              <w:right w:val="nil"/>
            </w:tcBorders>
            <w:shd w:val="clear" w:color="000000" w:fill="FFFFFF"/>
            <w:noWrap/>
            <w:vAlign w:val="bottom"/>
            <w:hideMark/>
          </w:tcPr>
          <w:p w14:paraId="052B1803" w14:textId="77777777" w:rsidR="00325894" w:rsidRPr="00325894" w:rsidRDefault="00325894" w:rsidP="00325894">
            <w:pPr>
              <w:rPr>
                <w:rFonts w:ascii="Calibri" w:hAnsi="Calibri"/>
                <w:b/>
                <w:bCs/>
                <w:color w:val="000000"/>
                <w:sz w:val="20"/>
                <w:szCs w:val="20"/>
              </w:rPr>
            </w:pPr>
            <w:r w:rsidRPr="00325894">
              <w:rPr>
                <w:rFonts w:ascii="Calibri" w:hAnsi="Calibri"/>
                <w:b/>
                <w:bCs/>
                <w:color w:val="000000"/>
                <w:sz w:val="20"/>
                <w:szCs w:val="20"/>
              </w:rPr>
              <w:t>Export</w:t>
            </w:r>
          </w:p>
        </w:tc>
        <w:tc>
          <w:tcPr>
            <w:tcW w:w="1105" w:type="dxa"/>
            <w:tcBorders>
              <w:top w:val="nil"/>
              <w:left w:val="single" w:sz="4" w:space="0" w:color="auto"/>
              <w:bottom w:val="nil"/>
              <w:right w:val="nil"/>
            </w:tcBorders>
            <w:shd w:val="clear" w:color="000000" w:fill="FFFFFF"/>
            <w:noWrap/>
            <w:vAlign w:val="bottom"/>
            <w:hideMark/>
          </w:tcPr>
          <w:p w14:paraId="6144E11D" w14:textId="77777777" w:rsidR="00325894" w:rsidRPr="00325894" w:rsidRDefault="00325894" w:rsidP="00325894">
            <w:pPr>
              <w:jc w:val="center"/>
              <w:rPr>
                <w:rFonts w:ascii="Calibri" w:hAnsi="Calibri"/>
                <w:color w:val="000000"/>
                <w:sz w:val="20"/>
                <w:szCs w:val="20"/>
              </w:rPr>
            </w:pPr>
            <w:r w:rsidRPr="00325894">
              <w:rPr>
                <w:rFonts w:ascii="Calibri" w:hAnsi="Calibri"/>
                <w:color w:val="000000"/>
                <w:sz w:val="20"/>
                <w:szCs w:val="20"/>
              </w:rPr>
              <w:t>3,0</w:t>
            </w:r>
          </w:p>
        </w:tc>
        <w:tc>
          <w:tcPr>
            <w:tcW w:w="1828" w:type="dxa"/>
            <w:tcBorders>
              <w:top w:val="nil"/>
              <w:left w:val="nil"/>
              <w:bottom w:val="nil"/>
              <w:right w:val="single" w:sz="4" w:space="0" w:color="auto"/>
            </w:tcBorders>
            <w:shd w:val="clear" w:color="000000" w:fill="FFFFFF"/>
            <w:noWrap/>
            <w:vAlign w:val="bottom"/>
            <w:hideMark/>
          </w:tcPr>
          <w:p w14:paraId="2A7CEDF4" w14:textId="77777777" w:rsidR="00325894" w:rsidRPr="00325894" w:rsidRDefault="00325894" w:rsidP="00325894">
            <w:pPr>
              <w:jc w:val="center"/>
              <w:rPr>
                <w:rFonts w:ascii="Calibri" w:hAnsi="Calibri"/>
                <w:color w:val="000000"/>
                <w:sz w:val="20"/>
                <w:szCs w:val="20"/>
              </w:rPr>
            </w:pPr>
            <w:r w:rsidRPr="00325894">
              <w:rPr>
                <w:rFonts w:ascii="Calibri" w:hAnsi="Calibri"/>
                <w:color w:val="000000"/>
                <w:sz w:val="20"/>
                <w:szCs w:val="20"/>
              </w:rPr>
              <w:t>1,2</w:t>
            </w:r>
          </w:p>
        </w:tc>
        <w:tc>
          <w:tcPr>
            <w:tcW w:w="1243" w:type="dxa"/>
            <w:tcBorders>
              <w:top w:val="nil"/>
              <w:left w:val="nil"/>
              <w:bottom w:val="nil"/>
              <w:right w:val="nil"/>
            </w:tcBorders>
            <w:shd w:val="clear" w:color="000000" w:fill="FFFFFF"/>
            <w:noWrap/>
            <w:vAlign w:val="bottom"/>
            <w:hideMark/>
          </w:tcPr>
          <w:p w14:paraId="15C16A02" w14:textId="77777777" w:rsidR="00325894" w:rsidRPr="00325894" w:rsidRDefault="00325894" w:rsidP="00325894">
            <w:pPr>
              <w:jc w:val="center"/>
              <w:rPr>
                <w:rFonts w:ascii="Calibri" w:hAnsi="Calibri"/>
                <w:color w:val="000000"/>
                <w:sz w:val="20"/>
                <w:szCs w:val="20"/>
              </w:rPr>
            </w:pPr>
            <w:r w:rsidRPr="00325894">
              <w:rPr>
                <w:rFonts w:ascii="Calibri" w:hAnsi="Calibri"/>
                <w:color w:val="000000"/>
                <w:sz w:val="20"/>
                <w:szCs w:val="20"/>
              </w:rPr>
              <w:t>59,9</w:t>
            </w:r>
          </w:p>
        </w:tc>
        <w:tc>
          <w:tcPr>
            <w:tcW w:w="1817" w:type="dxa"/>
            <w:tcBorders>
              <w:top w:val="nil"/>
              <w:left w:val="nil"/>
              <w:bottom w:val="nil"/>
              <w:right w:val="single" w:sz="4" w:space="0" w:color="auto"/>
            </w:tcBorders>
            <w:shd w:val="clear" w:color="000000" w:fill="FFFFFF"/>
            <w:noWrap/>
            <w:vAlign w:val="bottom"/>
            <w:hideMark/>
          </w:tcPr>
          <w:p w14:paraId="380C8354" w14:textId="77777777" w:rsidR="00325894" w:rsidRPr="00325894" w:rsidRDefault="00325894" w:rsidP="00325894">
            <w:pPr>
              <w:jc w:val="center"/>
              <w:rPr>
                <w:rFonts w:ascii="Calibri" w:hAnsi="Calibri"/>
                <w:color w:val="000000"/>
                <w:sz w:val="20"/>
                <w:szCs w:val="20"/>
              </w:rPr>
            </w:pPr>
            <w:r w:rsidRPr="00325894">
              <w:rPr>
                <w:rFonts w:ascii="Calibri" w:hAnsi="Calibri"/>
                <w:color w:val="000000"/>
                <w:sz w:val="20"/>
                <w:szCs w:val="20"/>
              </w:rPr>
              <w:t>14,3</w:t>
            </w:r>
          </w:p>
        </w:tc>
      </w:tr>
      <w:tr w:rsidR="00325894" w:rsidRPr="00325894" w14:paraId="23100985" w14:textId="77777777" w:rsidTr="00325894">
        <w:trPr>
          <w:trHeight w:val="282"/>
        </w:trPr>
        <w:tc>
          <w:tcPr>
            <w:tcW w:w="2268" w:type="dxa"/>
            <w:tcBorders>
              <w:top w:val="nil"/>
              <w:left w:val="nil"/>
              <w:bottom w:val="nil"/>
              <w:right w:val="nil"/>
            </w:tcBorders>
            <w:shd w:val="clear" w:color="000000" w:fill="FFFFFF"/>
            <w:noWrap/>
            <w:vAlign w:val="bottom"/>
            <w:hideMark/>
          </w:tcPr>
          <w:p w14:paraId="32B36010" w14:textId="77777777" w:rsidR="00325894" w:rsidRPr="00325894" w:rsidRDefault="00325894" w:rsidP="00325894">
            <w:pPr>
              <w:rPr>
                <w:rFonts w:ascii="Calibri" w:hAnsi="Calibri"/>
                <w:b/>
                <w:bCs/>
                <w:color w:val="000000"/>
                <w:sz w:val="20"/>
                <w:szCs w:val="20"/>
              </w:rPr>
            </w:pPr>
            <w:r w:rsidRPr="00325894">
              <w:rPr>
                <w:rFonts w:ascii="Calibri" w:hAnsi="Calibri"/>
                <w:b/>
                <w:bCs/>
                <w:color w:val="000000"/>
                <w:sz w:val="20"/>
                <w:szCs w:val="20"/>
              </w:rPr>
              <w:t>Import</w:t>
            </w:r>
          </w:p>
        </w:tc>
        <w:tc>
          <w:tcPr>
            <w:tcW w:w="1105" w:type="dxa"/>
            <w:tcBorders>
              <w:top w:val="nil"/>
              <w:left w:val="single" w:sz="4" w:space="0" w:color="auto"/>
              <w:bottom w:val="nil"/>
              <w:right w:val="nil"/>
            </w:tcBorders>
            <w:shd w:val="clear" w:color="000000" w:fill="FFFFFF"/>
            <w:noWrap/>
            <w:vAlign w:val="bottom"/>
            <w:hideMark/>
          </w:tcPr>
          <w:p w14:paraId="267919A9" w14:textId="77777777" w:rsidR="00325894" w:rsidRPr="00325894" w:rsidRDefault="00325894" w:rsidP="00325894">
            <w:pPr>
              <w:jc w:val="center"/>
              <w:rPr>
                <w:rFonts w:ascii="Calibri" w:hAnsi="Calibri"/>
                <w:color w:val="000000"/>
                <w:sz w:val="20"/>
                <w:szCs w:val="20"/>
              </w:rPr>
            </w:pPr>
            <w:r w:rsidRPr="00325894">
              <w:rPr>
                <w:rFonts w:ascii="Calibri" w:hAnsi="Calibri"/>
                <w:color w:val="000000"/>
                <w:sz w:val="20"/>
                <w:szCs w:val="20"/>
              </w:rPr>
              <w:t>-1,8</w:t>
            </w:r>
          </w:p>
        </w:tc>
        <w:tc>
          <w:tcPr>
            <w:tcW w:w="1828" w:type="dxa"/>
            <w:tcBorders>
              <w:top w:val="nil"/>
              <w:left w:val="nil"/>
              <w:bottom w:val="nil"/>
              <w:right w:val="single" w:sz="4" w:space="0" w:color="auto"/>
            </w:tcBorders>
            <w:shd w:val="clear" w:color="000000" w:fill="FFFFFF"/>
            <w:noWrap/>
            <w:vAlign w:val="bottom"/>
            <w:hideMark/>
          </w:tcPr>
          <w:p w14:paraId="0EDA25B0" w14:textId="77777777" w:rsidR="00325894" w:rsidRPr="00325894" w:rsidRDefault="00325894" w:rsidP="00325894">
            <w:pPr>
              <w:jc w:val="center"/>
              <w:rPr>
                <w:rFonts w:ascii="Calibri" w:hAnsi="Calibri"/>
                <w:color w:val="000000"/>
                <w:sz w:val="20"/>
                <w:szCs w:val="20"/>
              </w:rPr>
            </w:pPr>
            <w:r w:rsidRPr="00325894">
              <w:rPr>
                <w:rFonts w:ascii="Calibri" w:hAnsi="Calibri"/>
                <w:color w:val="000000"/>
                <w:sz w:val="20"/>
                <w:szCs w:val="20"/>
              </w:rPr>
              <w:t>0,6</w:t>
            </w:r>
          </w:p>
        </w:tc>
        <w:tc>
          <w:tcPr>
            <w:tcW w:w="1243" w:type="dxa"/>
            <w:tcBorders>
              <w:top w:val="nil"/>
              <w:left w:val="nil"/>
              <w:bottom w:val="nil"/>
              <w:right w:val="nil"/>
            </w:tcBorders>
            <w:shd w:val="clear" w:color="000000" w:fill="FFFFFF"/>
            <w:noWrap/>
            <w:vAlign w:val="bottom"/>
            <w:hideMark/>
          </w:tcPr>
          <w:p w14:paraId="61E49ABD" w14:textId="77777777" w:rsidR="00325894" w:rsidRPr="00325894" w:rsidRDefault="00325894" w:rsidP="00325894">
            <w:pPr>
              <w:jc w:val="center"/>
              <w:rPr>
                <w:rFonts w:ascii="Calibri" w:hAnsi="Calibri"/>
                <w:color w:val="000000"/>
                <w:sz w:val="20"/>
                <w:szCs w:val="20"/>
              </w:rPr>
            </w:pPr>
            <w:r w:rsidRPr="00325894">
              <w:rPr>
                <w:rFonts w:ascii="Calibri" w:hAnsi="Calibri"/>
                <w:color w:val="000000"/>
                <w:sz w:val="20"/>
                <w:szCs w:val="20"/>
              </w:rPr>
              <w:t>19,2</w:t>
            </w:r>
          </w:p>
        </w:tc>
        <w:tc>
          <w:tcPr>
            <w:tcW w:w="1817" w:type="dxa"/>
            <w:tcBorders>
              <w:top w:val="nil"/>
              <w:left w:val="nil"/>
              <w:bottom w:val="nil"/>
              <w:right w:val="single" w:sz="4" w:space="0" w:color="auto"/>
            </w:tcBorders>
            <w:shd w:val="clear" w:color="000000" w:fill="FFFFFF"/>
            <w:noWrap/>
            <w:vAlign w:val="bottom"/>
            <w:hideMark/>
          </w:tcPr>
          <w:p w14:paraId="1A1141A5" w14:textId="77777777" w:rsidR="00325894" w:rsidRPr="00325894" w:rsidRDefault="00325894" w:rsidP="00325894">
            <w:pPr>
              <w:jc w:val="center"/>
              <w:rPr>
                <w:rFonts w:ascii="Calibri" w:hAnsi="Calibri"/>
                <w:color w:val="000000"/>
                <w:sz w:val="20"/>
                <w:szCs w:val="20"/>
              </w:rPr>
            </w:pPr>
            <w:r w:rsidRPr="00325894">
              <w:rPr>
                <w:rFonts w:ascii="Calibri" w:hAnsi="Calibri"/>
                <w:color w:val="000000"/>
                <w:sz w:val="20"/>
                <w:szCs w:val="20"/>
              </w:rPr>
              <w:t>-5,6</w:t>
            </w:r>
          </w:p>
        </w:tc>
      </w:tr>
      <w:tr w:rsidR="00325894" w:rsidRPr="00325894" w14:paraId="0979093B" w14:textId="77777777" w:rsidTr="00325894">
        <w:trPr>
          <w:trHeight w:val="315"/>
        </w:trPr>
        <w:tc>
          <w:tcPr>
            <w:tcW w:w="2268" w:type="dxa"/>
            <w:tcBorders>
              <w:top w:val="nil"/>
              <w:left w:val="nil"/>
              <w:bottom w:val="double" w:sz="6" w:space="0" w:color="auto"/>
              <w:right w:val="nil"/>
            </w:tcBorders>
            <w:shd w:val="clear" w:color="000000" w:fill="FFFFFF"/>
            <w:noWrap/>
            <w:vAlign w:val="bottom"/>
            <w:hideMark/>
          </w:tcPr>
          <w:p w14:paraId="3949FE18" w14:textId="77777777" w:rsidR="00325894" w:rsidRPr="00325894" w:rsidRDefault="00325894" w:rsidP="00325894">
            <w:pPr>
              <w:rPr>
                <w:rFonts w:ascii="Calibri" w:hAnsi="Calibri"/>
                <w:b/>
                <w:bCs/>
                <w:color w:val="000000"/>
                <w:sz w:val="20"/>
                <w:szCs w:val="20"/>
              </w:rPr>
            </w:pPr>
            <w:r w:rsidRPr="00325894">
              <w:rPr>
                <w:rFonts w:ascii="Calibri" w:hAnsi="Calibri"/>
                <w:b/>
                <w:bCs/>
                <w:color w:val="000000"/>
                <w:sz w:val="20"/>
                <w:szCs w:val="20"/>
              </w:rPr>
              <w:t>GDP</w:t>
            </w:r>
          </w:p>
        </w:tc>
        <w:tc>
          <w:tcPr>
            <w:tcW w:w="1105" w:type="dxa"/>
            <w:tcBorders>
              <w:top w:val="nil"/>
              <w:left w:val="single" w:sz="4" w:space="0" w:color="auto"/>
              <w:bottom w:val="double" w:sz="6" w:space="0" w:color="auto"/>
              <w:right w:val="nil"/>
            </w:tcBorders>
            <w:shd w:val="clear" w:color="000000" w:fill="FFFFFF"/>
            <w:noWrap/>
            <w:vAlign w:val="bottom"/>
            <w:hideMark/>
          </w:tcPr>
          <w:p w14:paraId="66A5C332" w14:textId="77777777" w:rsidR="00325894" w:rsidRPr="00325894" w:rsidRDefault="00325894" w:rsidP="00325894">
            <w:pPr>
              <w:jc w:val="center"/>
              <w:rPr>
                <w:rFonts w:ascii="Calibri" w:hAnsi="Calibri"/>
                <w:color w:val="000000"/>
                <w:sz w:val="20"/>
                <w:szCs w:val="20"/>
              </w:rPr>
            </w:pPr>
            <w:r w:rsidRPr="00325894">
              <w:rPr>
                <w:rFonts w:ascii="Calibri" w:hAnsi="Calibri"/>
                <w:color w:val="000000"/>
                <w:sz w:val="20"/>
                <w:szCs w:val="20"/>
              </w:rPr>
              <w:t>7,2</w:t>
            </w:r>
          </w:p>
        </w:tc>
        <w:tc>
          <w:tcPr>
            <w:tcW w:w="1828" w:type="dxa"/>
            <w:tcBorders>
              <w:top w:val="nil"/>
              <w:left w:val="nil"/>
              <w:bottom w:val="double" w:sz="6" w:space="0" w:color="auto"/>
              <w:right w:val="single" w:sz="4" w:space="0" w:color="auto"/>
            </w:tcBorders>
            <w:shd w:val="clear" w:color="000000" w:fill="FFFFFF"/>
            <w:noWrap/>
            <w:vAlign w:val="bottom"/>
            <w:hideMark/>
          </w:tcPr>
          <w:p w14:paraId="003E4543" w14:textId="77777777" w:rsidR="00325894" w:rsidRPr="00325894" w:rsidRDefault="00325894" w:rsidP="00325894">
            <w:pPr>
              <w:jc w:val="center"/>
              <w:rPr>
                <w:rFonts w:ascii="Calibri" w:hAnsi="Calibri"/>
                <w:color w:val="000000"/>
                <w:sz w:val="20"/>
                <w:szCs w:val="20"/>
              </w:rPr>
            </w:pPr>
            <w:r w:rsidRPr="00325894">
              <w:rPr>
                <w:rFonts w:ascii="Calibri" w:hAnsi="Calibri"/>
                <w:color w:val="000000"/>
                <w:sz w:val="20"/>
                <w:szCs w:val="20"/>
              </w:rPr>
              <w:t> </w:t>
            </w:r>
          </w:p>
        </w:tc>
        <w:tc>
          <w:tcPr>
            <w:tcW w:w="1243" w:type="dxa"/>
            <w:tcBorders>
              <w:top w:val="nil"/>
              <w:left w:val="nil"/>
              <w:bottom w:val="double" w:sz="6" w:space="0" w:color="auto"/>
              <w:right w:val="nil"/>
            </w:tcBorders>
            <w:shd w:val="clear" w:color="000000" w:fill="FFFFFF"/>
            <w:noWrap/>
            <w:vAlign w:val="bottom"/>
            <w:hideMark/>
          </w:tcPr>
          <w:p w14:paraId="6FF3C49F" w14:textId="77777777" w:rsidR="00325894" w:rsidRPr="00325894" w:rsidRDefault="00325894" w:rsidP="00325894">
            <w:pPr>
              <w:jc w:val="center"/>
              <w:rPr>
                <w:rFonts w:ascii="Calibri" w:hAnsi="Calibri"/>
                <w:color w:val="000000"/>
                <w:sz w:val="20"/>
                <w:szCs w:val="20"/>
              </w:rPr>
            </w:pPr>
            <w:r w:rsidRPr="00325894">
              <w:rPr>
                <w:rFonts w:ascii="Calibri" w:hAnsi="Calibri"/>
                <w:color w:val="000000"/>
                <w:sz w:val="20"/>
                <w:szCs w:val="20"/>
              </w:rPr>
              <w:t>21,7</w:t>
            </w:r>
          </w:p>
        </w:tc>
        <w:tc>
          <w:tcPr>
            <w:tcW w:w="1817" w:type="dxa"/>
            <w:tcBorders>
              <w:top w:val="nil"/>
              <w:left w:val="nil"/>
              <w:bottom w:val="double" w:sz="6" w:space="0" w:color="auto"/>
              <w:right w:val="single" w:sz="4" w:space="0" w:color="auto"/>
            </w:tcBorders>
            <w:shd w:val="clear" w:color="000000" w:fill="FFFFFF"/>
            <w:noWrap/>
            <w:vAlign w:val="bottom"/>
            <w:hideMark/>
          </w:tcPr>
          <w:p w14:paraId="75CB0B2F" w14:textId="77777777" w:rsidR="00325894" w:rsidRPr="00325894" w:rsidRDefault="00325894" w:rsidP="00325894">
            <w:pPr>
              <w:jc w:val="center"/>
              <w:rPr>
                <w:rFonts w:ascii="Calibri" w:hAnsi="Calibri"/>
                <w:color w:val="000000"/>
                <w:sz w:val="20"/>
                <w:szCs w:val="20"/>
              </w:rPr>
            </w:pPr>
            <w:r w:rsidRPr="00325894">
              <w:rPr>
                <w:rFonts w:ascii="Calibri" w:hAnsi="Calibri"/>
                <w:color w:val="000000"/>
                <w:sz w:val="20"/>
                <w:szCs w:val="20"/>
              </w:rPr>
              <w:t> </w:t>
            </w:r>
          </w:p>
        </w:tc>
      </w:tr>
    </w:tbl>
    <w:p w14:paraId="292724DA" w14:textId="77777777" w:rsidR="00325894" w:rsidRPr="00155A64" w:rsidRDefault="00325894" w:rsidP="00006890">
      <w:pPr>
        <w:keepNext/>
        <w:ind w:right="79"/>
        <w:jc w:val="both"/>
        <w:rPr>
          <w:rFonts w:ascii="Palatino Linotype" w:hAnsi="Palatino Linotype" w:cstheme="minorHAnsi"/>
          <w:b/>
          <w:bCs/>
          <w:sz w:val="22"/>
          <w:szCs w:val="22"/>
          <w:lang w:val="en-US"/>
        </w:rPr>
      </w:pPr>
    </w:p>
    <w:p w14:paraId="06E46BDB" w14:textId="405DAA2D" w:rsidR="00311EFF" w:rsidRDefault="00006890" w:rsidP="00405BD8">
      <w:pPr>
        <w:keepLines/>
        <w:widowControl w:val="0"/>
        <w:rPr>
          <w:rFonts w:ascii="Palatino Linotype" w:hAnsi="Palatino Linotype" w:cstheme="minorHAnsi"/>
          <w:sz w:val="18"/>
          <w:szCs w:val="18"/>
          <w:lang w:val="en-US"/>
        </w:rPr>
      </w:pPr>
      <w:r w:rsidRPr="00155A64">
        <w:rPr>
          <w:rFonts w:ascii="Palatino Linotype" w:hAnsi="Palatino Linotype" w:cstheme="minorHAnsi"/>
          <w:sz w:val="18"/>
          <w:szCs w:val="18"/>
          <w:lang w:val="en-US"/>
        </w:rPr>
        <w:t xml:space="preserve">Source: </w:t>
      </w:r>
      <w:proofErr w:type="spellStart"/>
      <w:r w:rsidRPr="00155A64">
        <w:rPr>
          <w:rFonts w:ascii="Palatino Linotype" w:hAnsi="Palatino Linotype" w:cstheme="minorHAnsi"/>
          <w:sz w:val="18"/>
          <w:szCs w:val="18"/>
          <w:lang w:val="en-US"/>
        </w:rPr>
        <w:t>TurkStat</w:t>
      </w:r>
      <w:proofErr w:type="spellEnd"/>
      <w:r w:rsidRPr="00155A64">
        <w:rPr>
          <w:rFonts w:ascii="Palatino Linotype" w:hAnsi="Palatino Linotype" w:cstheme="minorHAnsi"/>
          <w:sz w:val="18"/>
          <w:szCs w:val="18"/>
          <w:lang w:val="en-US"/>
        </w:rPr>
        <w:t xml:space="preserve">, </w:t>
      </w:r>
      <w:proofErr w:type="spellStart"/>
      <w:r w:rsidRPr="00155A64">
        <w:rPr>
          <w:rFonts w:ascii="Palatino Linotype" w:hAnsi="Palatino Linotype" w:cstheme="minorHAnsi"/>
          <w:sz w:val="18"/>
          <w:szCs w:val="18"/>
          <w:lang w:val="en-US"/>
        </w:rPr>
        <w:t>Betam</w:t>
      </w:r>
      <w:proofErr w:type="spellEnd"/>
    </w:p>
    <w:p w14:paraId="64566559" w14:textId="77777777" w:rsidR="00EB2543" w:rsidRPr="006679E6" w:rsidRDefault="00EB2543" w:rsidP="00405BD8">
      <w:pPr>
        <w:keepLines/>
        <w:widowControl w:val="0"/>
        <w:rPr>
          <w:rFonts w:ascii="Palatino Linotype" w:hAnsi="Palatino Linotype" w:cstheme="minorHAnsi"/>
          <w:sz w:val="18"/>
          <w:szCs w:val="18"/>
          <w:lang w:val="en-US"/>
        </w:rPr>
      </w:pPr>
    </w:p>
    <w:p w14:paraId="3CBA6B9B" w14:textId="115DC905" w:rsidR="00006890" w:rsidRPr="00155A64" w:rsidRDefault="00006890" w:rsidP="00006890">
      <w:pPr>
        <w:ind w:right="77"/>
        <w:jc w:val="both"/>
        <w:rPr>
          <w:rFonts w:ascii="Palatino Linotype" w:hAnsi="Palatino Linotype" w:cstheme="minorHAnsi"/>
          <w:b/>
          <w:bCs/>
          <w:sz w:val="22"/>
          <w:szCs w:val="22"/>
          <w:lang w:val="en-US"/>
        </w:rPr>
      </w:pPr>
      <w:r w:rsidRPr="00155A64">
        <w:rPr>
          <w:rFonts w:ascii="Palatino Linotype" w:hAnsi="Palatino Linotype" w:cstheme="minorHAnsi"/>
          <w:b/>
          <w:bCs/>
          <w:sz w:val="22"/>
          <w:szCs w:val="22"/>
          <w:lang w:val="en-US"/>
        </w:rPr>
        <w:t xml:space="preserve">Table 2: Growth rates and contributions to the </w:t>
      </w:r>
      <w:r w:rsidR="00114BBE">
        <w:rPr>
          <w:rFonts w:ascii="Palatino Linotype" w:hAnsi="Palatino Linotype" w:cstheme="minorHAnsi"/>
          <w:b/>
          <w:bCs/>
          <w:sz w:val="22"/>
          <w:szCs w:val="22"/>
          <w:lang w:val="en-US"/>
        </w:rPr>
        <w:t>growth of GDP components in 2021</w:t>
      </w:r>
      <w:r w:rsidRPr="00155A64">
        <w:rPr>
          <w:rFonts w:ascii="Palatino Linotype" w:hAnsi="Palatino Linotype" w:cstheme="minorHAnsi"/>
          <w:b/>
          <w:bCs/>
          <w:sz w:val="22"/>
          <w:szCs w:val="22"/>
          <w:lang w:val="en-US"/>
        </w:rPr>
        <w:t xml:space="preserve"> Q</w:t>
      </w:r>
      <w:r w:rsidR="00114BBE">
        <w:rPr>
          <w:rFonts w:ascii="Palatino Linotype" w:hAnsi="Palatino Linotype" w:cstheme="minorHAnsi"/>
          <w:b/>
          <w:bCs/>
          <w:sz w:val="22"/>
          <w:szCs w:val="22"/>
          <w:lang w:val="en-US"/>
        </w:rPr>
        <w:t>1</w:t>
      </w:r>
      <w:r w:rsidRPr="00155A64">
        <w:rPr>
          <w:rFonts w:ascii="Palatino Linotype" w:hAnsi="Palatino Linotype" w:cstheme="minorHAnsi"/>
          <w:b/>
          <w:bCs/>
          <w:sz w:val="22"/>
          <w:szCs w:val="22"/>
          <w:lang w:val="en-US"/>
        </w:rPr>
        <w:t xml:space="preserve"> and 202</w:t>
      </w:r>
      <w:r>
        <w:rPr>
          <w:rFonts w:ascii="Palatino Linotype" w:hAnsi="Palatino Linotype" w:cstheme="minorHAnsi"/>
          <w:b/>
          <w:bCs/>
          <w:sz w:val="22"/>
          <w:szCs w:val="22"/>
          <w:lang w:val="en-US"/>
        </w:rPr>
        <w:t>1</w:t>
      </w:r>
      <w:r w:rsidRPr="00155A64">
        <w:rPr>
          <w:rFonts w:ascii="Palatino Linotype" w:hAnsi="Palatino Linotype" w:cstheme="minorHAnsi"/>
          <w:b/>
          <w:bCs/>
          <w:sz w:val="22"/>
          <w:szCs w:val="22"/>
          <w:lang w:val="en-US"/>
        </w:rPr>
        <w:t xml:space="preserve"> Q</w:t>
      </w:r>
      <w:r w:rsidR="00114BBE">
        <w:rPr>
          <w:rFonts w:ascii="Palatino Linotype" w:hAnsi="Palatino Linotype" w:cstheme="minorHAnsi"/>
          <w:b/>
          <w:bCs/>
          <w:sz w:val="22"/>
          <w:szCs w:val="22"/>
          <w:lang w:val="en-US"/>
        </w:rPr>
        <w:t>2</w:t>
      </w:r>
      <w:r w:rsidRPr="00155A64">
        <w:rPr>
          <w:rFonts w:ascii="Palatino Linotype" w:hAnsi="Palatino Linotype" w:cstheme="minorHAnsi"/>
          <w:b/>
          <w:bCs/>
          <w:sz w:val="22"/>
          <w:szCs w:val="22"/>
          <w:lang w:val="en-US"/>
        </w:rPr>
        <w:t xml:space="preserve"> compared to the previous quarter</w:t>
      </w:r>
    </w:p>
    <w:tbl>
      <w:tblPr>
        <w:tblW w:w="8408" w:type="dxa"/>
        <w:tblCellMar>
          <w:left w:w="70" w:type="dxa"/>
          <w:right w:w="70" w:type="dxa"/>
        </w:tblCellMar>
        <w:tblLook w:val="04A0" w:firstRow="1" w:lastRow="0" w:firstColumn="1" w:lastColumn="0" w:noHBand="0" w:noVBand="1"/>
      </w:tblPr>
      <w:tblGrid>
        <w:gridCol w:w="2268"/>
        <w:gridCol w:w="1252"/>
        <w:gridCol w:w="1828"/>
        <w:gridCol w:w="1243"/>
        <w:gridCol w:w="1817"/>
      </w:tblGrid>
      <w:tr w:rsidR="00114BBE" w:rsidRPr="00114BBE" w14:paraId="07EF041F" w14:textId="77777777" w:rsidTr="00114BBE">
        <w:trPr>
          <w:trHeight w:val="282"/>
        </w:trPr>
        <w:tc>
          <w:tcPr>
            <w:tcW w:w="2268" w:type="dxa"/>
            <w:tcBorders>
              <w:top w:val="nil"/>
              <w:left w:val="nil"/>
              <w:bottom w:val="nil"/>
              <w:right w:val="nil"/>
            </w:tcBorders>
            <w:shd w:val="clear" w:color="000000" w:fill="FFFFFF"/>
            <w:noWrap/>
            <w:vAlign w:val="bottom"/>
            <w:hideMark/>
          </w:tcPr>
          <w:p w14:paraId="3D2D7F85" w14:textId="77777777" w:rsidR="00114BBE" w:rsidRPr="00114BBE" w:rsidRDefault="00114BBE" w:rsidP="00114BBE">
            <w:pPr>
              <w:rPr>
                <w:rFonts w:ascii="Calibri" w:hAnsi="Calibri"/>
                <w:b/>
                <w:bCs/>
                <w:color w:val="000000"/>
                <w:sz w:val="20"/>
                <w:szCs w:val="20"/>
              </w:rPr>
            </w:pPr>
            <w:r w:rsidRPr="00114BBE">
              <w:rPr>
                <w:rFonts w:ascii="Calibri" w:hAnsi="Calibri"/>
                <w:b/>
                <w:bCs/>
                <w:color w:val="000000"/>
                <w:sz w:val="20"/>
                <w:szCs w:val="20"/>
              </w:rPr>
              <w:t> </w:t>
            </w:r>
          </w:p>
        </w:tc>
        <w:tc>
          <w:tcPr>
            <w:tcW w:w="308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581DF9F" w14:textId="77777777" w:rsidR="00114BBE" w:rsidRPr="00114BBE" w:rsidRDefault="00114BBE" w:rsidP="00114BBE">
            <w:pPr>
              <w:jc w:val="center"/>
              <w:rPr>
                <w:rFonts w:ascii="Calibri" w:hAnsi="Calibri"/>
                <w:b/>
                <w:bCs/>
                <w:color w:val="000000"/>
                <w:sz w:val="20"/>
                <w:szCs w:val="20"/>
              </w:rPr>
            </w:pPr>
            <w:r w:rsidRPr="00114BBE">
              <w:rPr>
                <w:rFonts w:ascii="Calibri" w:hAnsi="Calibri"/>
                <w:b/>
                <w:bCs/>
                <w:color w:val="000000"/>
                <w:sz w:val="20"/>
                <w:szCs w:val="20"/>
              </w:rPr>
              <w:t>2021Q1</w:t>
            </w:r>
          </w:p>
        </w:tc>
        <w:tc>
          <w:tcPr>
            <w:tcW w:w="306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26C831F" w14:textId="77777777" w:rsidR="00114BBE" w:rsidRPr="00114BBE" w:rsidRDefault="00114BBE" w:rsidP="00114BBE">
            <w:pPr>
              <w:jc w:val="center"/>
              <w:rPr>
                <w:rFonts w:ascii="Calibri" w:hAnsi="Calibri"/>
                <w:b/>
                <w:bCs/>
                <w:color w:val="000000"/>
                <w:sz w:val="20"/>
                <w:szCs w:val="20"/>
              </w:rPr>
            </w:pPr>
            <w:r w:rsidRPr="00114BBE">
              <w:rPr>
                <w:rFonts w:ascii="Calibri" w:hAnsi="Calibri"/>
                <w:b/>
                <w:bCs/>
                <w:color w:val="000000"/>
                <w:sz w:val="20"/>
                <w:szCs w:val="20"/>
              </w:rPr>
              <w:t>2021Q2</w:t>
            </w:r>
          </w:p>
        </w:tc>
      </w:tr>
      <w:tr w:rsidR="00114BBE" w:rsidRPr="00114BBE" w14:paraId="077B7BEC" w14:textId="77777777" w:rsidTr="00114BBE">
        <w:trPr>
          <w:trHeight w:val="282"/>
        </w:trPr>
        <w:tc>
          <w:tcPr>
            <w:tcW w:w="2268" w:type="dxa"/>
            <w:tcBorders>
              <w:top w:val="nil"/>
              <w:left w:val="nil"/>
              <w:bottom w:val="nil"/>
              <w:right w:val="nil"/>
            </w:tcBorders>
            <w:shd w:val="clear" w:color="000000" w:fill="FFFFFF"/>
            <w:noWrap/>
            <w:vAlign w:val="bottom"/>
            <w:hideMark/>
          </w:tcPr>
          <w:p w14:paraId="777DD427" w14:textId="77777777" w:rsidR="00114BBE" w:rsidRPr="00114BBE" w:rsidRDefault="00114BBE" w:rsidP="00114BBE">
            <w:pPr>
              <w:rPr>
                <w:rFonts w:ascii="Calibri" w:hAnsi="Calibri"/>
                <w:b/>
                <w:bCs/>
                <w:color w:val="000000"/>
                <w:sz w:val="20"/>
                <w:szCs w:val="20"/>
              </w:rPr>
            </w:pPr>
            <w:r w:rsidRPr="00114BBE">
              <w:rPr>
                <w:rFonts w:ascii="Calibri" w:hAnsi="Calibri"/>
                <w:b/>
                <w:bCs/>
                <w:color w:val="000000"/>
                <w:sz w:val="20"/>
                <w:szCs w:val="20"/>
              </w:rPr>
              <w:t> </w:t>
            </w:r>
          </w:p>
        </w:tc>
        <w:tc>
          <w:tcPr>
            <w:tcW w:w="1252" w:type="dxa"/>
            <w:tcBorders>
              <w:top w:val="nil"/>
              <w:left w:val="single" w:sz="4" w:space="0" w:color="auto"/>
              <w:bottom w:val="single" w:sz="4" w:space="0" w:color="auto"/>
              <w:right w:val="nil"/>
            </w:tcBorders>
            <w:shd w:val="clear" w:color="000000" w:fill="FFFFFF"/>
            <w:noWrap/>
            <w:vAlign w:val="bottom"/>
            <w:hideMark/>
          </w:tcPr>
          <w:p w14:paraId="3140D388" w14:textId="77777777" w:rsidR="00114BBE" w:rsidRPr="00114BBE" w:rsidRDefault="00114BBE" w:rsidP="00114BBE">
            <w:pPr>
              <w:jc w:val="center"/>
              <w:rPr>
                <w:rFonts w:ascii="Calibri" w:hAnsi="Calibri"/>
                <w:b/>
                <w:bCs/>
                <w:color w:val="000000"/>
                <w:sz w:val="20"/>
                <w:szCs w:val="20"/>
              </w:rPr>
            </w:pPr>
            <w:r w:rsidRPr="00114BBE">
              <w:rPr>
                <w:rFonts w:ascii="Calibri" w:hAnsi="Calibri"/>
                <w:b/>
                <w:bCs/>
                <w:color w:val="000000"/>
                <w:sz w:val="20"/>
                <w:szCs w:val="20"/>
              </w:rPr>
              <w:t>Change (%)</w:t>
            </w:r>
          </w:p>
        </w:tc>
        <w:tc>
          <w:tcPr>
            <w:tcW w:w="1828" w:type="dxa"/>
            <w:tcBorders>
              <w:top w:val="nil"/>
              <w:left w:val="nil"/>
              <w:bottom w:val="nil"/>
              <w:right w:val="single" w:sz="4" w:space="0" w:color="auto"/>
            </w:tcBorders>
            <w:shd w:val="clear" w:color="000000" w:fill="FFFFFF"/>
            <w:noWrap/>
            <w:vAlign w:val="bottom"/>
            <w:hideMark/>
          </w:tcPr>
          <w:p w14:paraId="1EFFC985" w14:textId="77777777" w:rsidR="00114BBE" w:rsidRPr="00114BBE" w:rsidRDefault="00114BBE" w:rsidP="00114BBE">
            <w:pPr>
              <w:jc w:val="center"/>
              <w:rPr>
                <w:rFonts w:ascii="Calibri" w:hAnsi="Calibri"/>
                <w:b/>
                <w:bCs/>
                <w:color w:val="000000"/>
                <w:sz w:val="20"/>
                <w:szCs w:val="20"/>
              </w:rPr>
            </w:pPr>
            <w:r w:rsidRPr="00114BBE">
              <w:rPr>
                <w:rFonts w:ascii="Calibri" w:hAnsi="Calibri"/>
                <w:b/>
                <w:bCs/>
                <w:color w:val="000000"/>
                <w:sz w:val="20"/>
                <w:szCs w:val="20"/>
              </w:rPr>
              <w:t>Contribution (%)</w:t>
            </w:r>
          </w:p>
        </w:tc>
        <w:tc>
          <w:tcPr>
            <w:tcW w:w="1243" w:type="dxa"/>
            <w:tcBorders>
              <w:top w:val="nil"/>
              <w:left w:val="nil"/>
              <w:bottom w:val="nil"/>
              <w:right w:val="nil"/>
            </w:tcBorders>
            <w:shd w:val="clear" w:color="000000" w:fill="FFFFFF"/>
            <w:noWrap/>
            <w:vAlign w:val="bottom"/>
            <w:hideMark/>
          </w:tcPr>
          <w:p w14:paraId="55E2C73C" w14:textId="77777777" w:rsidR="00114BBE" w:rsidRPr="00114BBE" w:rsidRDefault="00114BBE" w:rsidP="00114BBE">
            <w:pPr>
              <w:jc w:val="center"/>
              <w:rPr>
                <w:rFonts w:ascii="Calibri" w:hAnsi="Calibri"/>
                <w:b/>
                <w:bCs/>
                <w:color w:val="000000"/>
                <w:sz w:val="20"/>
                <w:szCs w:val="20"/>
              </w:rPr>
            </w:pPr>
            <w:r w:rsidRPr="00114BBE">
              <w:rPr>
                <w:rFonts w:ascii="Calibri" w:hAnsi="Calibri"/>
                <w:b/>
                <w:bCs/>
                <w:color w:val="000000"/>
                <w:sz w:val="20"/>
                <w:szCs w:val="20"/>
              </w:rPr>
              <w:t>Change (%)</w:t>
            </w:r>
          </w:p>
        </w:tc>
        <w:tc>
          <w:tcPr>
            <w:tcW w:w="1817" w:type="dxa"/>
            <w:tcBorders>
              <w:top w:val="nil"/>
              <w:left w:val="nil"/>
              <w:bottom w:val="nil"/>
              <w:right w:val="single" w:sz="4" w:space="0" w:color="auto"/>
            </w:tcBorders>
            <w:shd w:val="clear" w:color="000000" w:fill="FFFFFF"/>
            <w:noWrap/>
            <w:vAlign w:val="bottom"/>
            <w:hideMark/>
          </w:tcPr>
          <w:p w14:paraId="7802336B" w14:textId="77777777" w:rsidR="00114BBE" w:rsidRPr="00114BBE" w:rsidRDefault="00114BBE" w:rsidP="00114BBE">
            <w:pPr>
              <w:jc w:val="center"/>
              <w:rPr>
                <w:rFonts w:ascii="Calibri" w:hAnsi="Calibri"/>
                <w:b/>
                <w:bCs/>
                <w:color w:val="000000"/>
                <w:sz w:val="20"/>
                <w:szCs w:val="20"/>
              </w:rPr>
            </w:pPr>
            <w:r w:rsidRPr="00114BBE">
              <w:rPr>
                <w:rFonts w:ascii="Calibri" w:hAnsi="Calibri"/>
                <w:b/>
                <w:bCs/>
                <w:color w:val="000000"/>
                <w:sz w:val="20"/>
                <w:szCs w:val="20"/>
              </w:rPr>
              <w:t>Contribution (%)</w:t>
            </w:r>
          </w:p>
        </w:tc>
      </w:tr>
      <w:tr w:rsidR="00114BBE" w:rsidRPr="00114BBE" w14:paraId="74179041" w14:textId="77777777" w:rsidTr="00114BBE">
        <w:trPr>
          <w:trHeight w:val="282"/>
        </w:trPr>
        <w:tc>
          <w:tcPr>
            <w:tcW w:w="2268" w:type="dxa"/>
            <w:tcBorders>
              <w:top w:val="single" w:sz="4" w:space="0" w:color="auto"/>
              <w:left w:val="nil"/>
              <w:bottom w:val="nil"/>
              <w:right w:val="nil"/>
            </w:tcBorders>
            <w:shd w:val="clear" w:color="000000" w:fill="FFFFFF"/>
            <w:noWrap/>
            <w:vAlign w:val="bottom"/>
            <w:hideMark/>
          </w:tcPr>
          <w:p w14:paraId="274DBD84" w14:textId="77777777" w:rsidR="00114BBE" w:rsidRPr="00114BBE" w:rsidRDefault="00114BBE" w:rsidP="00114BBE">
            <w:pPr>
              <w:rPr>
                <w:rFonts w:ascii="Calibri" w:hAnsi="Calibri"/>
                <w:b/>
                <w:bCs/>
                <w:color w:val="000000"/>
                <w:sz w:val="20"/>
                <w:szCs w:val="20"/>
              </w:rPr>
            </w:pPr>
            <w:r w:rsidRPr="00114BBE">
              <w:rPr>
                <w:rFonts w:ascii="Calibri" w:hAnsi="Calibri"/>
                <w:b/>
                <w:bCs/>
                <w:color w:val="000000"/>
                <w:sz w:val="20"/>
                <w:szCs w:val="20"/>
              </w:rPr>
              <w:t>Consumption</w:t>
            </w:r>
          </w:p>
        </w:tc>
        <w:tc>
          <w:tcPr>
            <w:tcW w:w="1252" w:type="dxa"/>
            <w:tcBorders>
              <w:top w:val="nil"/>
              <w:left w:val="single" w:sz="4" w:space="0" w:color="auto"/>
              <w:bottom w:val="nil"/>
              <w:right w:val="nil"/>
            </w:tcBorders>
            <w:shd w:val="clear" w:color="000000" w:fill="FFFFFF"/>
            <w:noWrap/>
            <w:vAlign w:val="bottom"/>
            <w:hideMark/>
          </w:tcPr>
          <w:p w14:paraId="6C6C2DF1" w14:textId="77777777" w:rsidR="00114BBE" w:rsidRPr="00114BBE" w:rsidRDefault="00114BBE" w:rsidP="00114BBE">
            <w:pPr>
              <w:jc w:val="center"/>
              <w:rPr>
                <w:rFonts w:ascii="Calibri" w:hAnsi="Calibri"/>
                <w:color w:val="000000"/>
                <w:sz w:val="20"/>
                <w:szCs w:val="20"/>
              </w:rPr>
            </w:pPr>
            <w:r w:rsidRPr="00114BBE">
              <w:rPr>
                <w:rFonts w:ascii="Calibri" w:hAnsi="Calibri"/>
                <w:color w:val="000000"/>
                <w:sz w:val="20"/>
                <w:szCs w:val="20"/>
              </w:rPr>
              <w:t>-0,7</w:t>
            </w:r>
          </w:p>
        </w:tc>
        <w:tc>
          <w:tcPr>
            <w:tcW w:w="1828" w:type="dxa"/>
            <w:tcBorders>
              <w:top w:val="single" w:sz="4" w:space="0" w:color="auto"/>
              <w:left w:val="nil"/>
              <w:bottom w:val="nil"/>
              <w:right w:val="single" w:sz="4" w:space="0" w:color="auto"/>
            </w:tcBorders>
            <w:shd w:val="clear" w:color="000000" w:fill="FFFFFF"/>
            <w:noWrap/>
            <w:vAlign w:val="bottom"/>
            <w:hideMark/>
          </w:tcPr>
          <w:p w14:paraId="0D2B7136" w14:textId="77777777" w:rsidR="00114BBE" w:rsidRPr="00114BBE" w:rsidRDefault="00114BBE" w:rsidP="00114BBE">
            <w:pPr>
              <w:jc w:val="center"/>
              <w:rPr>
                <w:rFonts w:ascii="Calibri" w:hAnsi="Calibri"/>
                <w:color w:val="000000"/>
                <w:sz w:val="20"/>
                <w:szCs w:val="20"/>
              </w:rPr>
            </w:pPr>
            <w:r w:rsidRPr="00114BBE">
              <w:rPr>
                <w:rFonts w:ascii="Calibri" w:hAnsi="Calibri"/>
                <w:color w:val="000000"/>
                <w:sz w:val="20"/>
                <w:szCs w:val="20"/>
              </w:rPr>
              <w:t>-0,4</w:t>
            </w:r>
          </w:p>
        </w:tc>
        <w:tc>
          <w:tcPr>
            <w:tcW w:w="1243" w:type="dxa"/>
            <w:tcBorders>
              <w:top w:val="single" w:sz="4" w:space="0" w:color="auto"/>
              <w:left w:val="nil"/>
              <w:bottom w:val="nil"/>
              <w:right w:val="nil"/>
            </w:tcBorders>
            <w:shd w:val="clear" w:color="000000" w:fill="FFFFFF"/>
            <w:noWrap/>
            <w:vAlign w:val="bottom"/>
            <w:hideMark/>
          </w:tcPr>
          <w:p w14:paraId="56A2E56E" w14:textId="77777777" w:rsidR="00114BBE" w:rsidRPr="00114BBE" w:rsidRDefault="00114BBE" w:rsidP="00114BBE">
            <w:pPr>
              <w:jc w:val="center"/>
              <w:rPr>
                <w:rFonts w:ascii="Calibri" w:hAnsi="Calibri"/>
                <w:color w:val="000000"/>
                <w:sz w:val="20"/>
                <w:szCs w:val="20"/>
              </w:rPr>
            </w:pPr>
            <w:r w:rsidRPr="00114BBE">
              <w:rPr>
                <w:rFonts w:ascii="Calibri" w:hAnsi="Calibri"/>
                <w:color w:val="000000"/>
                <w:sz w:val="20"/>
                <w:szCs w:val="20"/>
              </w:rPr>
              <w:t>1,6</w:t>
            </w:r>
          </w:p>
        </w:tc>
        <w:tc>
          <w:tcPr>
            <w:tcW w:w="1817" w:type="dxa"/>
            <w:tcBorders>
              <w:top w:val="single" w:sz="4" w:space="0" w:color="auto"/>
              <w:left w:val="nil"/>
              <w:bottom w:val="nil"/>
              <w:right w:val="single" w:sz="4" w:space="0" w:color="auto"/>
            </w:tcBorders>
            <w:shd w:val="clear" w:color="000000" w:fill="FFFFFF"/>
            <w:noWrap/>
            <w:vAlign w:val="bottom"/>
            <w:hideMark/>
          </w:tcPr>
          <w:p w14:paraId="42488B5F" w14:textId="77777777" w:rsidR="00114BBE" w:rsidRPr="00114BBE" w:rsidRDefault="00114BBE" w:rsidP="00114BBE">
            <w:pPr>
              <w:jc w:val="center"/>
              <w:rPr>
                <w:rFonts w:ascii="Calibri" w:hAnsi="Calibri"/>
                <w:color w:val="000000"/>
                <w:sz w:val="20"/>
                <w:szCs w:val="20"/>
              </w:rPr>
            </w:pPr>
            <w:r w:rsidRPr="00114BBE">
              <w:rPr>
                <w:rFonts w:ascii="Calibri" w:hAnsi="Calibri"/>
                <w:color w:val="000000"/>
                <w:sz w:val="20"/>
                <w:szCs w:val="20"/>
              </w:rPr>
              <w:t>0,9</w:t>
            </w:r>
          </w:p>
        </w:tc>
      </w:tr>
      <w:tr w:rsidR="00114BBE" w:rsidRPr="00114BBE" w14:paraId="56FD4224" w14:textId="77777777" w:rsidTr="00114BBE">
        <w:trPr>
          <w:trHeight w:val="282"/>
        </w:trPr>
        <w:tc>
          <w:tcPr>
            <w:tcW w:w="2268" w:type="dxa"/>
            <w:tcBorders>
              <w:top w:val="nil"/>
              <w:left w:val="nil"/>
              <w:bottom w:val="nil"/>
              <w:right w:val="nil"/>
            </w:tcBorders>
            <w:shd w:val="clear" w:color="000000" w:fill="FFFFFF"/>
            <w:noWrap/>
            <w:vAlign w:val="bottom"/>
            <w:hideMark/>
          </w:tcPr>
          <w:p w14:paraId="4705F829" w14:textId="77777777" w:rsidR="00114BBE" w:rsidRPr="00114BBE" w:rsidRDefault="00114BBE" w:rsidP="00114BBE">
            <w:pPr>
              <w:rPr>
                <w:rFonts w:ascii="Calibri" w:hAnsi="Calibri"/>
                <w:b/>
                <w:bCs/>
                <w:color w:val="000000"/>
                <w:sz w:val="20"/>
                <w:szCs w:val="20"/>
              </w:rPr>
            </w:pPr>
            <w:r w:rsidRPr="00114BBE">
              <w:rPr>
                <w:rFonts w:ascii="Calibri" w:hAnsi="Calibri"/>
                <w:b/>
                <w:bCs/>
                <w:color w:val="000000"/>
                <w:sz w:val="20"/>
                <w:szCs w:val="20"/>
              </w:rPr>
              <w:t>Government Spending</w:t>
            </w:r>
          </w:p>
        </w:tc>
        <w:tc>
          <w:tcPr>
            <w:tcW w:w="1252" w:type="dxa"/>
            <w:tcBorders>
              <w:top w:val="nil"/>
              <w:left w:val="single" w:sz="4" w:space="0" w:color="auto"/>
              <w:bottom w:val="nil"/>
              <w:right w:val="nil"/>
            </w:tcBorders>
            <w:shd w:val="clear" w:color="000000" w:fill="FFFFFF"/>
            <w:noWrap/>
            <w:vAlign w:val="bottom"/>
            <w:hideMark/>
          </w:tcPr>
          <w:p w14:paraId="4B0E221F" w14:textId="77777777" w:rsidR="00114BBE" w:rsidRPr="00114BBE" w:rsidRDefault="00114BBE" w:rsidP="00114BBE">
            <w:pPr>
              <w:jc w:val="center"/>
              <w:rPr>
                <w:rFonts w:ascii="Calibri" w:hAnsi="Calibri"/>
                <w:color w:val="000000"/>
                <w:sz w:val="20"/>
                <w:szCs w:val="20"/>
              </w:rPr>
            </w:pPr>
            <w:r w:rsidRPr="00114BBE">
              <w:rPr>
                <w:rFonts w:ascii="Calibri" w:hAnsi="Calibri"/>
                <w:color w:val="000000"/>
                <w:sz w:val="20"/>
                <w:szCs w:val="20"/>
              </w:rPr>
              <w:t>-0,8</w:t>
            </w:r>
          </w:p>
        </w:tc>
        <w:tc>
          <w:tcPr>
            <w:tcW w:w="1828" w:type="dxa"/>
            <w:tcBorders>
              <w:top w:val="nil"/>
              <w:left w:val="nil"/>
              <w:bottom w:val="nil"/>
              <w:right w:val="single" w:sz="4" w:space="0" w:color="auto"/>
            </w:tcBorders>
            <w:shd w:val="clear" w:color="000000" w:fill="FFFFFF"/>
            <w:noWrap/>
            <w:vAlign w:val="bottom"/>
            <w:hideMark/>
          </w:tcPr>
          <w:p w14:paraId="783FE84F" w14:textId="77777777" w:rsidR="00114BBE" w:rsidRPr="00114BBE" w:rsidRDefault="00114BBE" w:rsidP="00114BBE">
            <w:pPr>
              <w:jc w:val="center"/>
              <w:rPr>
                <w:rFonts w:ascii="Calibri" w:hAnsi="Calibri"/>
                <w:color w:val="000000"/>
                <w:sz w:val="20"/>
                <w:szCs w:val="20"/>
              </w:rPr>
            </w:pPr>
            <w:r w:rsidRPr="00114BBE">
              <w:rPr>
                <w:rFonts w:ascii="Calibri" w:hAnsi="Calibri"/>
                <w:color w:val="000000"/>
                <w:sz w:val="20"/>
                <w:szCs w:val="20"/>
              </w:rPr>
              <w:t>-0,1</w:t>
            </w:r>
          </w:p>
        </w:tc>
        <w:tc>
          <w:tcPr>
            <w:tcW w:w="1243" w:type="dxa"/>
            <w:tcBorders>
              <w:top w:val="nil"/>
              <w:left w:val="nil"/>
              <w:bottom w:val="nil"/>
              <w:right w:val="nil"/>
            </w:tcBorders>
            <w:shd w:val="clear" w:color="000000" w:fill="FFFFFF"/>
            <w:noWrap/>
            <w:vAlign w:val="bottom"/>
            <w:hideMark/>
          </w:tcPr>
          <w:p w14:paraId="46C011DD" w14:textId="77777777" w:rsidR="00114BBE" w:rsidRPr="00114BBE" w:rsidRDefault="00114BBE" w:rsidP="00114BBE">
            <w:pPr>
              <w:jc w:val="center"/>
              <w:rPr>
                <w:rFonts w:ascii="Calibri" w:hAnsi="Calibri"/>
                <w:color w:val="000000"/>
                <w:sz w:val="20"/>
                <w:szCs w:val="20"/>
              </w:rPr>
            </w:pPr>
            <w:r w:rsidRPr="00114BBE">
              <w:rPr>
                <w:rFonts w:ascii="Calibri" w:hAnsi="Calibri"/>
                <w:color w:val="000000"/>
                <w:sz w:val="20"/>
                <w:szCs w:val="20"/>
              </w:rPr>
              <w:t>0,7</w:t>
            </w:r>
          </w:p>
        </w:tc>
        <w:tc>
          <w:tcPr>
            <w:tcW w:w="1817" w:type="dxa"/>
            <w:tcBorders>
              <w:top w:val="nil"/>
              <w:left w:val="nil"/>
              <w:bottom w:val="nil"/>
              <w:right w:val="single" w:sz="4" w:space="0" w:color="auto"/>
            </w:tcBorders>
            <w:shd w:val="clear" w:color="000000" w:fill="FFFFFF"/>
            <w:noWrap/>
            <w:vAlign w:val="bottom"/>
            <w:hideMark/>
          </w:tcPr>
          <w:p w14:paraId="517A2C2B" w14:textId="77777777" w:rsidR="00114BBE" w:rsidRPr="00114BBE" w:rsidRDefault="00114BBE" w:rsidP="00114BBE">
            <w:pPr>
              <w:jc w:val="center"/>
              <w:rPr>
                <w:rFonts w:ascii="Calibri" w:hAnsi="Calibri"/>
                <w:color w:val="000000"/>
                <w:sz w:val="20"/>
                <w:szCs w:val="20"/>
              </w:rPr>
            </w:pPr>
            <w:r w:rsidRPr="00114BBE">
              <w:rPr>
                <w:rFonts w:ascii="Calibri" w:hAnsi="Calibri"/>
                <w:color w:val="000000"/>
                <w:sz w:val="20"/>
                <w:szCs w:val="20"/>
              </w:rPr>
              <w:t>0,1</w:t>
            </w:r>
          </w:p>
        </w:tc>
      </w:tr>
      <w:tr w:rsidR="00114BBE" w:rsidRPr="00114BBE" w14:paraId="7A2B97E0" w14:textId="77777777" w:rsidTr="00114BBE">
        <w:trPr>
          <w:trHeight w:val="282"/>
        </w:trPr>
        <w:tc>
          <w:tcPr>
            <w:tcW w:w="2268" w:type="dxa"/>
            <w:tcBorders>
              <w:top w:val="nil"/>
              <w:left w:val="nil"/>
              <w:bottom w:val="nil"/>
              <w:right w:val="nil"/>
            </w:tcBorders>
            <w:shd w:val="clear" w:color="000000" w:fill="FFFFFF"/>
            <w:noWrap/>
            <w:vAlign w:val="bottom"/>
            <w:hideMark/>
          </w:tcPr>
          <w:p w14:paraId="4CDF34B9" w14:textId="77777777" w:rsidR="00114BBE" w:rsidRPr="00114BBE" w:rsidRDefault="00114BBE" w:rsidP="00114BBE">
            <w:pPr>
              <w:rPr>
                <w:rFonts w:ascii="Calibri" w:hAnsi="Calibri"/>
                <w:b/>
                <w:bCs/>
                <w:color w:val="000000"/>
                <w:sz w:val="20"/>
                <w:szCs w:val="20"/>
              </w:rPr>
            </w:pPr>
            <w:r w:rsidRPr="00114BBE">
              <w:rPr>
                <w:rFonts w:ascii="Calibri" w:hAnsi="Calibri"/>
                <w:b/>
                <w:bCs/>
                <w:color w:val="000000"/>
                <w:sz w:val="20"/>
                <w:szCs w:val="20"/>
              </w:rPr>
              <w:t>Investment</w:t>
            </w:r>
          </w:p>
        </w:tc>
        <w:tc>
          <w:tcPr>
            <w:tcW w:w="1252" w:type="dxa"/>
            <w:tcBorders>
              <w:top w:val="nil"/>
              <w:left w:val="single" w:sz="4" w:space="0" w:color="auto"/>
              <w:bottom w:val="nil"/>
              <w:right w:val="nil"/>
            </w:tcBorders>
            <w:shd w:val="clear" w:color="000000" w:fill="FFFFFF"/>
            <w:noWrap/>
            <w:vAlign w:val="bottom"/>
            <w:hideMark/>
          </w:tcPr>
          <w:p w14:paraId="29F66849" w14:textId="77777777" w:rsidR="00114BBE" w:rsidRPr="00114BBE" w:rsidRDefault="00114BBE" w:rsidP="00114BBE">
            <w:pPr>
              <w:jc w:val="center"/>
              <w:rPr>
                <w:rFonts w:ascii="Calibri" w:hAnsi="Calibri"/>
                <w:color w:val="000000"/>
                <w:sz w:val="20"/>
                <w:szCs w:val="20"/>
              </w:rPr>
            </w:pPr>
            <w:r w:rsidRPr="00114BBE">
              <w:rPr>
                <w:rFonts w:ascii="Calibri" w:hAnsi="Calibri"/>
                <w:color w:val="000000"/>
                <w:sz w:val="20"/>
                <w:szCs w:val="20"/>
              </w:rPr>
              <w:t>1,4</w:t>
            </w:r>
          </w:p>
        </w:tc>
        <w:tc>
          <w:tcPr>
            <w:tcW w:w="1828" w:type="dxa"/>
            <w:tcBorders>
              <w:top w:val="nil"/>
              <w:left w:val="nil"/>
              <w:bottom w:val="nil"/>
              <w:right w:val="single" w:sz="4" w:space="0" w:color="auto"/>
            </w:tcBorders>
            <w:shd w:val="clear" w:color="000000" w:fill="FFFFFF"/>
            <w:noWrap/>
            <w:vAlign w:val="bottom"/>
            <w:hideMark/>
          </w:tcPr>
          <w:p w14:paraId="6D0B9282" w14:textId="77777777" w:rsidR="00114BBE" w:rsidRPr="00114BBE" w:rsidRDefault="00114BBE" w:rsidP="00114BBE">
            <w:pPr>
              <w:jc w:val="center"/>
              <w:rPr>
                <w:rFonts w:ascii="Calibri" w:hAnsi="Calibri"/>
                <w:color w:val="000000"/>
                <w:sz w:val="20"/>
                <w:szCs w:val="20"/>
              </w:rPr>
            </w:pPr>
            <w:r w:rsidRPr="00114BBE">
              <w:rPr>
                <w:rFonts w:ascii="Calibri" w:hAnsi="Calibri"/>
                <w:color w:val="000000"/>
                <w:sz w:val="20"/>
                <w:szCs w:val="20"/>
              </w:rPr>
              <w:t>0,4</w:t>
            </w:r>
          </w:p>
        </w:tc>
        <w:tc>
          <w:tcPr>
            <w:tcW w:w="1243" w:type="dxa"/>
            <w:tcBorders>
              <w:top w:val="nil"/>
              <w:left w:val="nil"/>
              <w:bottom w:val="nil"/>
              <w:right w:val="nil"/>
            </w:tcBorders>
            <w:shd w:val="clear" w:color="000000" w:fill="FFFFFF"/>
            <w:noWrap/>
            <w:vAlign w:val="bottom"/>
            <w:hideMark/>
          </w:tcPr>
          <w:p w14:paraId="700064D5" w14:textId="77777777" w:rsidR="00114BBE" w:rsidRPr="00114BBE" w:rsidRDefault="00114BBE" w:rsidP="00114BBE">
            <w:pPr>
              <w:jc w:val="center"/>
              <w:rPr>
                <w:rFonts w:ascii="Calibri" w:hAnsi="Calibri"/>
                <w:color w:val="000000"/>
                <w:sz w:val="20"/>
                <w:szCs w:val="20"/>
              </w:rPr>
            </w:pPr>
            <w:r w:rsidRPr="00114BBE">
              <w:rPr>
                <w:rFonts w:ascii="Calibri" w:hAnsi="Calibri"/>
                <w:color w:val="000000"/>
                <w:sz w:val="20"/>
                <w:szCs w:val="20"/>
              </w:rPr>
              <w:t>0,7</w:t>
            </w:r>
          </w:p>
        </w:tc>
        <w:tc>
          <w:tcPr>
            <w:tcW w:w="1817" w:type="dxa"/>
            <w:tcBorders>
              <w:top w:val="nil"/>
              <w:left w:val="nil"/>
              <w:bottom w:val="nil"/>
              <w:right w:val="single" w:sz="4" w:space="0" w:color="auto"/>
            </w:tcBorders>
            <w:shd w:val="clear" w:color="000000" w:fill="FFFFFF"/>
            <w:noWrap/>
            <w:vAlign w:val="bottom"/>
            <w:hideMark/>
          </w:tcPr>
          <w:p w14:paraId="5A2936E3" w14:textId="77777777" w:rsidR="00114BBE" w:rsidRPr="00114BBE" w:rsidRDefault="00114BBE" w:rsidP="00114BBE">
            <w:pPr>
              <w:jc w:val="center"/>
              <w:rPr>
                <w:rFonts w:ascii="Calibri" w:hAnsi="Calibri"/>
                <w:color w:val="000000"/>
                <w:sz w:val="20"/>
                <w:szCs w:val="20"/>
              </w:rPr>
            </w:pPr>
            <w:r w:rsidRPr="00114BBE">
              <w:rPr>
                <w:rFonts w:ascii="Calibri" w:hAnsi="Calibri"/>
                <w:color w:val="000000"/>
                <w:sz w:val="20"/>
                <w:szCs w:val="20"/>
              </w:rPr>
              <w:t>0,2</w:t>
            </w:r>
          </w:p>
        </w:tc>
      </w:tr>
      <w:tr w:rsidR="00114BBE" w:rsidRPr="00114BBE" w14:paraId="29F9C3A5" w14:textId="77777777" w:rsidTr="00114BBE">
        <w:trPr>
          <w:trHeight w:val="282"/>
        </w:trPr>
        <w:tc>
          <w:tcPr>
            <w:tcW w:w="2268" w:type="dxa"/>
            <w:tcBorders>
              <w:top w:val="nil"/>
              <w:left w:val="nil"/>
              <w:bottom w:val="nil"/>
              <w:right w:val="nil"/>
            </w:tcBorders>
            <w:shd w:val="clear" w:color="000000" w:fill="FFFFFF"/>
            <w:noWrap/>
            <w:vAlign w:val="bottom"/>
            <w:hideMark/>
          </w:tcPr>
          <w:p w14:paraId="756E5E6A" w14:textId="77777777" w:rsidR="00114BBE" w:rsidRPr="00114BBE" w:rsidRDefault="00114BBE" w:rsidP="00114BBE">
            <w:pPr>
              <w:rPr>
                <w:rFonts w:ascii="Calibri" w:hAnsi="Calibri"/>
                <w:b/>
                <w:bCs/>
                <w:color w:val="000000"/>
                <w:sz w:val="20"/>
                <w:szCs w:val="20"/>
              </w:rPr>
            </w:pPr>
            <w:r w:rsidRPr="00114BBE">
              <w:rPr>
                <w:rFonts w:ascii="Calibri" w:hAnsi="Calibri"/>
                <w:b/>
                <w:bCs/>
                <w:color w:val="000000"/>
                <w:sz w:val="20"/>
                <w:szCs w:val="20"/>
              </w:rPr>
              <w:t>Change in Inventories</w:t>
            </w:r>
          </w:p>
        </w:tc>
        <w:tc>
          <w:tcPr>
            <w:tcW w:w="1252" w:type="dxa"/>
            <w:tcBorders>
              <w:top w:val="nil"/>
              <w:left w:val="single" w:sz="4" w:space="0" w:color="auto"/>
              <w:bottom w:val="nil"/>
              <w:right w:val="nil"/>
            </w:tcBorders>
            <w:shd w:val="clear" w:color="000000" w:fill="FFFFFF"/>
            <w:noWrap/>
            <w:vAlign w:val="bottom"/>
            <w:hideMark/>
          </w:tcPr>
          <w:p w14:paraId="2628F408" w14:textId="77777777" w:rsidR="00114BBE" w:rsidRPr="00114BBE" w:rsidRDefault="00114BBE" w:rsidP="00114BBE">
            <w:pPr>
              <w:jc w:val="center"/>
              <w:rPr>
                <w:rFonts w:ascii="Calibri" w:hAnsi="Calibri"/>
                <w:color w:val="000000"/>
                <w:sz w:val="20"/>
                <w:szCs w:val="20"/>
              </w:rPr>
            </w:pPr>
            <w:r w:rsidRPr="00114BBE">
              <w:rPr>
                <w:rFonts w:ascii="Calibri" w:hAnsi="Calibri"/>
                <w:color w:val="000000"/>
                <w:sz w:val="20"/>
                <w:szCs w:val="20"/>
              </w:rPr>
              <w:t> </w:t>
            </w:r>
          </w:p>
        </w:tc>
        <w:tc>
          <w:tcPr>
            <w:tcW w:w="1828" w:type="dxa"/>
            <w:tcBorders>
              <w:top w:val="nil"/>
              <w:left w:val="nil"/>
              <w:bottom w:val="nil"/>
              <w:right w:val="single" w:sz="4" w:space="0" w:color="auto"/>
            </w:tcBorders>
            <w:shd w:val="clear" w:color="000000" w:fill="FFFFFF"/>
            <w:noWrap/>
            <w:vAlign w:val="bottom"/>
            <w:hideMark/>
          </w:tcPr>
          <w:p w14:paraId="0C26A390" w14:textId="77777777" w:rsidR="00114BBE" w:rsidRPr="00114BBE" w:rsidRDefault="00114BBE" w:rsidP="00114BBE">
            <w:pPr>
              <w:jc w:val="center"/>
              <w:rPr>
                <w:rFonts w:ascii="Calibri" w:hAnsi="Calibri"/>
                <w:color w:val="000000"/>
                <w:sz w:val="20"/>
                <w:szCs w:val="20"/>
              </w:rPr>
            </w:pPr>
            <w:r w:rsidRPr="00114BBE">
              <w:rPr>
                <w:rFonts w:ascii="Calibri" w:hAnsi="Calibri"/>
                <w:color w:val="000000"/>
                <w:sz w:val="20"/>
                <w:szCs w:val="20"/>
              </w:rPr>
              <w:t>-0,2</w:t>
            </w:r>
          </w:p>
        </w:tc>
        <w:tc>
          <w:tcPr>
            <w:tcW w:w="1243" w:type="dxa"/>
            <w:tcBorders>
              <w:top w:val="nil"/>
              <w:left w:val="nil"/>
              <w:bottom w:val="nil"/>
              <w:right w:val="nil"/>
            </w:tcBorders>
            <w:shd w:val="clear" w:color="000000" w:fill="FFFFFF"/>
            <w:noWrap/>
            <w:vAlign w:val="bottom"/>
            <w:hideMark/>
          </w:tcPr>
          <w:p w14:paraId="415D77D2" w14:textId="77777777" w:rsidR="00114BBE" w:rsidRPr="00114BBE" w:rsidRDefault="00114BBE" w:rsidP="00114BBE">
            <w:pPr>
              <w:jc w:val="center"/>
              <w:rPr>
                <w:rFonts w:ascii="Calibri" w:hAnsi="Calibri"/>
                <w:color w:val="000000"/>
                <w:sz w:val="20"/>
                <w:szCs w:val="20"/>
              </w:rPr>
            </w:pPr>
            <w:r w:rsidRPr="00114BBE">
              <w:rPr>
                <w:rFonts w:ascii="Calibri" w:hAnsi="Calibri"/>
                <w:color w:val="000000"/>
                <w:sz w:val="20"/>
                <w:szCs w:val="20"/>
              </w:rPr>
              <w:t> </w:t>
            </w:r>
          </w:p>
        </w:tc>
        <w:tc>
          <w:tcPr>
            <w:tcW w:w="1817" w:type="dxa"/>
            <w:tcBorders>
              <w:top w:val="nil"/>
              <w:left w:val="nil"/>
              <w:bottom w:val="nil"/>
              <w:right w:val="single" w:sz="4" w:space="0" w:color="auto"/>
            </w:tcBorders>
            <w:shd w:val="clear" w:color="000000" w:fill="FFFFFF"/>
            <w:noWrap/>
            <w:vAlign w:val="bottom"/>
            <w:hideMark/>
          </w:tcPr>
          <w:p w14:paraId="39CA8915" w14:textId="77777777" w:rsidR="00114BBE" w:rsidRPr="00114BBE" w:rsidRDefault="00114BBE" w:rsidP="00114BBE">
            <w:pPr>
              <w:jc w:val="center"/>
              <w:rPr>
                <w:rFonts w:ascii="Calibri" w:hAnsi="Calibri"/>
                <w:color w:val="000000"/>
                <w:sz w:val="20"/>
                <w:szCs w:val="20"/>
              </w:rPr>
            </w:pPr>
            <w:r w:rsidRPr="00114BBE">
              <w:rPr>
                <w:rFonts w:ascii="Calibri" w:hAnsi="Calibri"/>
                <w:color w:val="000000"/>
                <w:sz w:val="20"/>
                <w:szCs w:val="20"/>
              </w:rPr>
              <w:t>-1,9</w:t>
            </w:r>
          </w:p>
        </w:tc>
      </w:tr>
      <w:tr w:rsidR="00114BBE" w:rsidRPr="00114BBE" w14:paraId="23E516AC" w14:textId="77777777" w:rsidTr="00114BBE">
        <w:trPr>
          <w:trHeight w:val="282"/>
        </w:trPr>
        <w:tc>
          <w:tcPr>
            <w:tcW w:w="2268" w:type="dxa"/>
            <w:tcBorders>
              <w:top w:val="nil"/>
              <w:left w:val="nil"/>
              <w:bottom w:val="nil"/>
              <w:right w:val="nil"/>
            </w:tcBorders>
            <w:shd w:val="clear" w:color="000000" w:fill="FFFFFF"/>
            <w:noWrap/>
            <w:vAlign w:val="bottom"/>
            <w:hideMark/>
          </w:tcPr>
          <w:p w14:paraId="6DD362B0" w14:textId="77777777" w:rsidR="00114BBE" w:rsidRPr="00114BBE" w:rsidRDefault="00114BBE" w:rsidP="00114BBE">
            <w:pPr>
              <w:rPr>
                <w:rFonts w:ascii="Calibri" w:hAnsi="Calibri"/>
                <w:b/>
                <w:bCs/>
                <w:color w:val="000000"/>
                <w:sz w:val="20"/>
                <w:szCs w:val="20"/>
              </w:rPr>
            </w:pPr>
            <w:r w:rsidRPr="00114BBE">
              <w:rPr>
                <w:rFonts w:ascii="Calibri" w:hAnsi="Calibri"/>
                <w:b/>
                <w:bCs/>
                <w:color w:val="000000"/>
                <w:sz w:val="20"/>
                <w:szCs w:val="20"/>
              </w:rPr>
              <w:t>Export</w:t>
            </w:r>
          </w:p>
        </w:tc>
        <w:tc>
          <w:tcPr>
            <w:tcW w:w="1252" w:type="dxa"/>
            <w:tcBorders>
              <w:top w:val="nil"/>
              <w:left w:val="single" w:sz="4" w:space="0" w:color="auto"/>
              <w:bottom w:val="nil"/>
              <w:right w:val="nil"/>
            </w:tcBorders>
            <w:shd w:val="clear" w:color="000000" w:fill="FFFFFF"/>
            <w:noWrap/>
            <w:vAlign w:val="bottom"/>
            <w:hideMark/>
          </w:tcPr>
          <w:p w14:paraId="617DDA4B" w14:textId="77777777" w:rsidR="00114BBE" w:rsidRPr="00114BBE" w:rsidRDefault="00114BBE" w:rsidP="00114BBE">
            <w:pPr>
              <w:jc w:val="center"/>
              <w:rPr>
                <w:rFonts w:ascii="Calibri" w:hAnsi="Calibri"/>
                <w:color w:val="000000"/>
                <w:sz w:val="20"/>
                <w:szCs w:val="20"/>
              </w:rPr>
            </w:pPr>
            <w:r w:rsidRPr="00114BBE">
              <w:rPr>
                <w:rFonts w:ascii="Calibri" w:hAnsi="Calibri"/>
                <w:color w:val="000000"/>
                <w:sz w:val="20"/>
                <w:szCs w:val="20"/>
              </w:rPr>
              <w:t>-2,8</w:t>
            </w:r>
          </w:p>
        </w:tc>
        <w:tc>
          <w:tcPr>
            <w:tcW w:w="1828" w:type="dxa"/>
            <w:tcBorders>
              <w:top w:val="nil"/>
              <w:left w:val="nil"/>
              <w:bottom w:val="nil"/>
              <w:right w:val="single" w:sz="4" w:space="0" w:color="auto"/>
            </w:tcBorders>
            <w:shd w:val="clear" w:color="000000" w:fill="FFFFFF"/>
            <w:noWrap/>
            <w:vAlign w:val="bottom"/>
            <w:hideMark/>
          </w:tcPr>
          <w:p w14:paraId="342C5FDD" w14:textId="77777777" w:rsidR="00114BBE" w:rsidRPr="00114BBE" w:rsidRDefault="00114BBE" w:rsidP="00114BBE">
            <w:pPr>
              <w:jc w:val="center"/>
              <w:rPr>
                <w:rFonts w:ascii="Calibri" w:hAnsi="Calibri"/>
                <w:color w:val="000000"/>
                <w:sz w:val="20"/>
                <w:szCs w:val="20"/>
              </w:rPr>
            </w:pPr>
            <w:r w:rsidRPr="00114BBE">
              <w:rPr>
                <w:rFonts w:ascii="Calibri" w:hAnsi="Calibri"/>
                <w:color w:val="000000"/>
                <w:sz w:val="20"/>
                <w:szCs w:val="20"/>
              </w:rPr>
              <w:t>-0,7</w:t>
            </w:r>
          </w:p>
        </w:tc>
        <w:tc>
          <w:tcPr>
            <w:tcW w:w="1243" w:type="dxa"/>
            <w:tcBorders>
              <w:top w:val="nil"/>
              <w:left w:val="nil"/>
              <w:bottom w:val="nil"/>
              <w:right w:val="nil"/>
            </w:tcBorders>
            <w:shd w:val="clear" w:color="000000" w:fill="FFFFFF"/>
            <w:noWrap/>
            <w:vAlign w:val="bottom"/>
            <w:hideMark/>
          </w:tcPr>
          <w:p w14:paraId="25667B5A" w14:textId="77777777" w:rsidR="00114BBE" w:rsidRPr="00114BBE" w:rsidRDefault="00114BBE" w:rsidP="00114BBE">
            <w:pPr>
              <w:jc w:val="center"/>
              <w:rPr>
                <w:rFonts w:ascii="Calibri" w:hAnsi="Calibri"/>
                <w:color w:val="000000"/>
                <w:sz w:val="20"/>
                <w:szCs w:val="20"/>
              </w:rPr>
            </w:pPr>
            <w:r w:rsidRPr="00114BBE">
              <w:rPr>
                <w:rFonts w:ascii="Calibri" w:hAnsi="Calibri"/>
                <w:color w:val="000000"/>
                <w:sz w:val="20"/>
                <w:szCs w:val="20"/>
              </w:rPr>
              <w:t>2,2</w:t>
            </w:r>
          </w:p>
        </w:tc>
        <w:tc>
          <w:tcPr>
            <w:tcW w:w="1817" w:type="dxa"/>
            <w:tcBorders>
              <w:top w:val="nil"/>
              <w:left w:val="nil"/>
              <w:bottom w:val="nil"/>
              <w:right w:val="single" w:sz="4" w:space="0" w:color="auto"/>
            </w:tcBorders>
            <w:shd w:val="clear" w:color="000000" w:fill="FFFFFF"/>
            <w:noWrap/>
            <w:vAlign w:val="bottom"/>
            <w:hideMark/>
          </w:tcPr>
          <w:p w14:paraId="6796EBE8" w14:textId="77777777" w:rsidR="00114BBE" w:rsidRPr="00114BBE" w:rsidRDefault="00114BBE" w:rsidP="00114BBE">
            <w:pPr>
              <w:jc w:val="center"/>
              <w:rPr>
                <w:rFonts w:ascii="Calibri" w:hAnsi="Calibri"/>
                <w:color w:val="000000"/>
                <w:sz w:val="20"/>
                <w:szCs w:val="20"/>
              </w:rPr>
            </w:pPr>
            <w:r w:rsidRPr="00114BBE">
              <w:rPr>
                <w:rFonts w:ascii="Calibri" w:hAnsi="Calibri"/>
                <w:color w:val="000000"/>
                <w:sz w:val="20"/>
                <w:szCs w:val="20"/>
              </w:rPr>
              <w:t>0,7</w:t>
            </w:r>
          </w:p>
        </w:tc>
      </w:tr>
      <w:tr w:rsidR="00114BBE" w:rsidRPr="00114BBE" w14:paraId="50DE4ED5" w14:textId="77777777" w:rsidTr="00114BBE">
        <w:trPr>
          <w:trHeight w:val="282"/>
        </w:trPr>
        <w:tc>
          <w:tcPr>
            <w:tcW w:w="2268" w:type="dxa"/>
            <w:tcBorders>
              <w:top w:val="nil"/>
              <w:left w:val="nil"/>
              <w:bottom w:val="nil"/>
              <w:right w:val="nil"/>
            </w:tcBorders>
            <w:shd w:val="clear" w:color="000000" w:fill="FFFFFF"/>
            <w:noWrap/>
            <w:vAlign w:val="bottom"/>
            <w:hideMark/>
          </w:tcPr>
          <w:p w14:paraId="26A393D6" w14:textId="77777777" w:rsidR="00114BBE" w:rsidRPr="00114BBE" w:rsidRDefault="00114BBE" w:rsidP="00114BBE">
            <w:pPr>
              <w:rPr>
                <w:rFonts w:ascii="Calibri" w:hAnsi="Calibri"/>
                <w:b/>
                <w:bCs/>
                <w:color w:val="000000"/>
                <w:sz w:val="20"/>
                <w:szCs w:val="20"/>
              </w:rPr>
            </w:pPr>
            <w:r w:rsidRPr="00114BBE">
              <w:rPr>
                <w:rFonts w:ascii="Calibri" w:hAnsi="Calibri"/>
                <w:b/>
                <w:bCs/>
                <w:color w:val="000000"/>
                <w:sz w:val="20"/>
                <w:szCs w:val="20"/>
              </w:rPr>
              <w:t>Import</w:t>
            </w:r>
          </w:p>
        </w:tc>
        <w:tc>
          <w:tcPr>
            <w:tcW w:w="1252" w:type="dxa"/>
            <w:tcBorders>
              <w:top w:val="nil"/>
              <w:left w:val="single" w:sz="4" w:space="0" w:color="auto"/>
              <w:bottom w:val="nil"/>
              <w:right w:val="nil"/>
            </w:tcBorders>
            <w:shd w:val="clear" w:color="000000" w:fill="FFFFFF"/>
            <w:noWrap/>
            <w:vAlign w:val="bottom"/>
            <w:hideMark/>
          </w:tcPr>
          <w:p w14:paraId="6C6B39ED" w14:textId="77777777" w:rsidR="00114BBE" w:rsidRPr="00114BBE" w:rsidRDefault="00114BBE" w:rsidP="00114BBE">
            <w:pPr>
              <w:jc w:val="center"/>
              <w:rPr>
                <w:rFonts w:ascii="Calibri" w:hAnsi="Calibri"/>
                <w:color w:val="000000"/>
                <w:sz w:val="20"/>
                <w:szCs w:val="20"/>
              </w:rPr>
            </w:pPr>
            <w:r w:rsidRPr="00114BBE">
              <w:rPr>
                <w:rFonts w:ascii="Calibri" w:hAnsi="Calibri"/>
                <w:color w:val="000000"/>
                <w:sz w:val="20"/>
                <w:szCs w:val="20"/>
              </w:rPr>
              <w:t>-9,7</w:t>
            </w:r>
          </w:p>
        </w:tc>
        <w:tc>
          <w:tcPr>
            <w:tcW w:w="1828" w:type="dxa"/>
            <w:tcBorders>
              <w:top w:val="nil"/>
              <w:left w:val="nil"/>
              <w:bottom w:val="nil"/>
              <w:right w:val="single" w:sz="4" w:space="0" w:color="auto"/>
            </w:tcBorders>
            <w:shd w:val="clear" w:color="000000" w:fill="FFFFFF"/>
            <w:noWrap/>
            <w:vAlign w:val="bottom"/>
            <w:hideMark/>
          </w:tcPr>
          <w:p w14:paraId="689A3A59" w14:textId="77777777" w:rsidR="00114BBE" w:rsidRPr="00114BBE" w:rsidRDefault="00114BBE" w:rsidP="00114BBE">
            <w:pPr>
              <w:jc w:val="center"/>
              <w:rPr>
                <w:rFonts w:ascii="Calibri" w:hAnsi="Calibri"/>
                <w:color w:val="000000"/>
                <w:sz w:val="20"/>
                <w:szCs w:val="20"/>
              </w:rPr>
            </w:pPr>
            <w:r w:rsidRPr="00114BBE">
              <w:rPr>
                <w:rFonts w:ascii="Calibri" w:hAnsi="Calibri"/>
                <w:color w:val="000000"/>
                <w:sz w:val="20"/>
                <w:szCs w:val="20"/>
              </w:rPr>
              <w:t>3,2</w:t>
            </w:r>
          </w:p>
        </w:tc>
        <w:tc>
          <w:tcPr>
            <w:tcW w:w="1243" w:type="dxa"/>
            <w:tcBorders>
              <w:top w:val="nil"/>
              <w:left w:val="nil"/>
              <w:bottom w:val="nil"/>
              <w:right w:val="nil"/>
            </w:tcBorders>
            <w:shd w:val="clear" w:color="000000" w:fill="FFFFFF"/>
            <w:noWrap/>
            <w:vAlign w:val="bottom"/>
            <w:hideMark/>
          </w:tcPr>
          <w:p w14:paraId="7FBD4EE8" w14:textId="77777777" w:rsidR="00114BBE" w:rsidRPr="00114BBE" w:rsidRDefault="00114BBE" w:rsidP="00114BBE">
            <w:pPr>
              <w:jc w:val="center"/>
              <w:rPr>
                <w:rFonts w:ascii="Calibri" w:hAnsi="Calibri"/>
                <w:color w:val="000000"/>
                <w:sz w:val="20"/>
                <w:szCs w:val="20"/>
              </w:rPr>
            </w:pPr>
            <w:r w:rsidRPr="00114BBE">
              <w:rPr>
                <w:rFonts w:ascii="Calibri" w:hAnsi="Calibri"/>
                <w:color w:val="000000"/>
                <w:sz w:val="20"/>
                <w:szCs w:val="20"/>
              </w:rPr>
              <w:t>-3,3</w:t>
            </w:r>
          </w:p>
        </w:tc>
        <w:tc>
          <w:tcPr>
            <w:tcW w:w="1817" w:type="dxa"/>
            <w:tcBorders>
              <w:top w:val="nil"/>
              <w:left w:val="nil"/>
              <w:bottom w:val="nil"/>
              <w:right w:val="single" w:sz="4" w:space="0" w:color="auto"/>
            </w:tcBorders>
            <w:shd w:val="clear" w:color="000000" w:fill="FFFFFF"/>
            <w:noWrap/>
            <w:vAlign w:val="bottom"/>
            <w:hideMark/>
          </w:tcPr>
          <w:p w14:paraId="1C890DAC" w14:textId="77777777" w:rsidR="00114BBE" w:rsidRPr="00114BBE" w:rsidRDefault="00114BBE" w:rsidP="00114BBE">
            <w:pPr>
              <w:jc w:val="center"/>
              <w:rPr>
                <w:rFonts w:ascii="Calibri" w:hAnsi="Calibri"/>
                <w:color w:val="000000"/>
                <w:sz w:val="20"/>
                <w:szCs w:val="20"/>
              </w:rPr>
            </w:pPr>
            <w:r w:rsidRPr="00114BBE">
              <w:rPr>
                <w:rFonts w:ascii="Calibri" w:hAnsi="Calibri"/>
                <w:color w:val="000000"/>
                <w:sz w:val="20"/>
                <w:szCs w:val="20"/>
              </w:rPr>
              <w:t>1,0</w:t>
            </w:r>
          </w:p>
        </w:tc>
      </w:tr>
      <w:tr w:rsidR="00114BBE" w:rsidRPr="00114BBE" w14:paraId="6875D5D1" w14:textId="77777777" w:rsidTr="00114BBE">
        <w:trPr>
          <w:trHeight w:val="315"/>
        </w:trPr>
        <w:tc>
          <w:tcPr>
            <w:tcW w:w="2268" w:type="dxa"/>
            <w:tcBorders>
              <w:top w:val="nil"/>
              <w:left w:val="nil"/>
              <w:bottom w:val="double" w:sz="6" w:space="0" w:color="auto"/>
              <w:right w:val="nil"/>
            </w:tcBorders>
            <w:shd w:val="clear" w:color="000000" w:fill="FFFFFF"/>
            <w:noWrap/>
            <w:vAlign w:val="bottom"/>
            <w:hideMark/>
          </w:tcPr>
          <w:p w14:paraId="7B8328ED" w14:textId="77777777" w:rsidR="00114BBE" w:rsidRPr="00114BBE" w:rsidRDefault="00114BBE" w:rsidP="00114BBE">
            <w:pPr>
              <w:rPr>
                <w:rFonts w:ascii="Calibri" w:hAnsi="Calibri"/>
                <w:b/>
                <w:bCs/>
                <w:color w:val="000000"/>
                <w:sz w:val="20"/>
                <w:szCs w:val="20"/>
              </w:rPr>
            </w:pPr>
            <w:r w:rsidRPr="00114BBE">
              <w:rPr>
                <w:rFonts w:ascii="Calibri" w:hAnsi="Calibri"/>
                <w:b/>
                <w:bCs/>
                <w:color w:val="000000"/>
                <w:sz w:val="20"/>
                <w:szCs w:val="20"/>
              </w:rPr>
              <w:t>GDP</w:t>
            </w:r>
          </w:p>
        </w:tc>
        <w:tc>
          <w:tcPr>
            <w:tcW w:w="1252" w:type="dxa"/>
            <w:tcBorders>
              <w:top w:val="nil"/>
              <w:left w:val="single" w:sz="4" w:space="0" w:color="auto"/>
              <w:bottom w:val="double" w:sz="6" w:space="0" w:color="auto"/>
              <w:right w:val="nil"/>
            </w:tcBorders>
            <w:shd w:val="clear" w:color="000000" w:fill="FFFFFF"/>
            <w:noWrap/>
            <w:vAlign w:val="bottom"/>
            <w:hideMark/>
          </w:tcPr>
          <w:p w14:paraId="71C60D59" w14:textId="77777777" w:rsidR="00114BBE" w:rsidRPr="00114BBE" w:rsidRDefault="00114BBE" w:rsidP="00114BBE">
            <w:pPr>
              <w:jc w:val="center"/>
              <w:rPr>
                <w:rFonts w:ascii="Calibri" w:hAnsi="Calibri"/>
                <w:color w:val="000000"/>
                <w:sz w:val="20"/>
                <w:szCs w:val="20"/>
              </w:rPr>
            </w:pPr>
            <w:r w:rsidRPr="00114BBE">
              <w:rPr>
                <w:rFonts w:ascii="Calibri" w:hAnsi="Calibri"/>
                <w:color w:val="000000"/>
                <w:sz w:val="20"/>
                <w:szCs w:val="20"/>
              </w:rPr>
              <w:t>2,2</w:t>
            </w:r>
          </w:p>
        </w:tc>
        <w:tc>
          <w:tcPr>
            <w:tcW w:w="1828" w:type="dxa"/>
            <w:tcBorders>
              <w:top w:val="nil"/>
              <w:left w:val="nil"/>
              <w:bottom w:val="double" w:sz="6" w:space="0" w:color="auto"/>
              <w:right w:val="single" w:sz="4" w:space="0" w:color="auto"/>
            </w:tcBorders>
            <w:shd w:val="clear" w:color="000000" w:fill="FFFFFF"/>
            <w:noWrap/>
            <w:vAlign w:val="bottom"/>
            <w:hideMark/>
          </w:tcPr>
          <w:p w14:paraId="55FAF5E8" w14:textId="77777777" w:rsidR="00114BBE" w:rsidRPr="00114BBE" w:rsidRDefault="00114BBE" w:rsidP="00114BBE">
            <w:pPr>
              <w:jc w:val="center"/>
              <w:rPr>
                <w:rFonts w:ascii="Calibri" w:hAnsi="Calibri"/>
                <w:color w:val="000000"/>
                <w:sz w:val="20"/>
                <w:szCs w:val="20"/>
              </w:rPr>
            </w:pPr>
            <w:r w:rsidRPr="00114BBE">
              <w:rPr>
                <w:rFonts w:ascii="Calibri" w:hAnsi="Calibri"/>
                <w:color w:val="000000"/>
                <w:sz w:val="20"/>
                <w:szCs w:val="20"/>
              </w:rPr>
              <w:t> </w:t>
            </w:r>
          </w:p>
        </w:tc>
        <w:tc>
          <w:tcPr>
            <w:tcW w:w="1243" w:type="dxa"/>
            <w:tcBorders>
              <w:top w:val="nil"/>
              <w:left w:val="nil"/>
              <w:bottom w:val="double" w:sz="6" w:space="0" w:color="auto"/>
              <w:right w:val="nil"/>
            </w:tcBorders>
            <w:shd w:val="clear" w:color="000000" w:fill="FFFFFF"/>
            <w:noWrap/>
            <w:vAlign w:val="bottom"/>
            <w:hideMark/>
          </w:tcPr>
          <w:p w14:paraId="17B8B8C0" w14:textId="77777777" w:rsidR="00114BBE" w:rsidRPr="00114BBE" w:rsidRDefault="00114BBE" w:rsidP="00114BBE">
            <w:pPr>
              <w:jc w:val="center"/>
              <w:rPr>
                <w:rFonts w:ascii="Calibri" w:hAnsi="Calibri"/>
                <w:color w:val="000000"/>
                <w:sz w:val="20"/>
                <w:szCs w:val="20"/>
              </w:rPr>
            </w:pPr>
            <w:r w:rsidRPr="00114BBE">
              <w:rPr>
                <w:rFonts w:ascii="Calibri" w:hAnsi="Calibri"/>
                <w:color w:val="000000"/>
                <w:sz w:val="20"/>
                <w:szCs w:val="20"/>
              </w:rPr>
              <w:t>0,9</w:t>
            </w:r>
          </w:p>
        </w:tc>
        <w:tc>
          <w:tcPr>
            <w:tcW w:w="1817" w:type="dxa"/>
            <w:tcBorders>
              <w:top w:val="nil"/>
              <w:left w:val="nil"/>
              <w:bottom w:val="double" w:sz="6" w:space="0" w:color="auto"/>
              <w:right w:val="single" w:sz="4" w:space="0" w:color="auto"/>
            </w:tcBorders>
            <w:shd w:val="clear" w:color="000000" w:fill="FFFFFF"/>
            <w:noWrap/>
            <w:vAlign w:val="bottom"/>
            <w:hideMark/>
          </w:tcPr>
          <w:p w14:paraId="24944DB5" w14:textId="77777777" w:rsidR="00114BBE" w:rsidRPr="00114BBE" w:rsidRDefault="00114BBE" w:rsidP="00114BBE">
            <w:pPr>
              <w:jc w:val="center"/>
              <w:rPr>
                <w:rFonts w:ascii="Calibri" w:hAnsi="Calibri"/>
                <w:color w:val="000000"/>
                <w:sz w:val="20"/>
                <w:szCs w:val="20"/>
              </w:rPr>
            </w:pPr>
            <w:r w:rsidRPr="00114BBE">
              <w:rPr>
                <w:rFonts w:ascii="Calibri" w:hAnsi="Calibri"/>
                <w:color w:val="000000"/>
                <w:sz w:val="20"/>
                <w:szCs w:val="20"/>
              </w:rPr>
              <w:t> </w:t>
            </w:r>
          </w:p>
        </w:tc>
      </w:tr>
    </w:tbl>
    <w:p w14:paraId="046656A3" w14:textId="77777777" w:rsidR="00006890" w:rsidRPr="00155A64" w:rsidRDefault="00006890" w:rsidP="00006890">
      <w:pPr>
        <w:keepNext/>
        <w:rPr>
          <w:rFonts w:ascii="Palatino Linotype" w:hAnsi="Palatino Linotype" w:cstheme="minorHAnsi"/>
          <w:sz w:val="18"/>
          <w:szCs w:val="18"/>
          <w:lang w:val="en-US"/>
        </w:rPr>
      </w:pPr>
      <w:r w:rsidRPr="00155A64">
        <w:rPr>
          <w:rFonts w:ascii="Palatino Linotype" w:hAnsi="Palatino Linotype" w:cstheme="minorHAnsi"/>
          <w:sz w:val="18"/>
          <w:szCs w:val="18"/>
          <w:lang w:val="en-US"/>
        </w:rPr>
        <w:t xml:space="preserve">Source: </w:t>
      </w:r>
      <w:proofErr w:type="spellStart"/>
      <w:r w:rsidRPr="00155A64">
        <w:rPr>
          <w:rFonts w:ascii="Palatino Linotype" w:hAnsi="Palatino Linotype" w:cstheme="minorHAnsi"/>
          <w:sz w:val="18"/>
          <w:szCs w:val="18"/>
          <w:lang w:val="en-US"/>
        </w:rPr>
        <w:t>TurkStat</w:t>
      </w:r>
      <w:proofErr w:type="spellEnd"/>
      <w:r w:rsidRPr="00155A64">
        <w:rPr>
          <w:rFonts w:ascii="Palatino Linotype" w:hAnsi="Palatino Linotype" w:cstheme="minorHAnsi"/>
          <w:sz w:val="18"/>
          <w:szCs w:val="18"/>
          <w:lang w:val="en-US"/>
        </w:rPr>
        <w:t xml:space="preserve">, </w:t>
      </w:r>
      <w:proofErr w:type="spellStart"/>
      <w:r w:rsidRPr="00155A64">
        <w:rPr>
          <w:rFonts w:ascii="Palatino Linotype" w:hAnsi="Palatino Linotype" w:cstheme="minorHAnsi"/>
          <w:sz w:val="18"/>
          <w:szCs w:val="18"/>
          <w:lang w:val="en-US"/>
        </w:rPr>
        <w:t>Betam</w:t>
      </w:r>
      <w:proofErr w:type="spellEnd"/>
    </w:p>
    <w:p w14:paraId="67F1EC21" w14:textId="77777777" w:rsidR="006C3EE6" w:rsidRPr="006679E6" w:rsidRDefault="006C3EE6" w:rsidP="004931A5">
      <w:pPr>
        <w:pStyle w:val="NormalWeb"/>
        <w:spacing w:before="0" w:beforeAutospacing="0" w:after="0" w:afterAutospacing="0" w:line="360" w:lineRule="auto"/>
        <w:ind w:right="77"/>
        <w:rPr>
          <w:rFonts w:ascii="Palatino Linotype" w:hAnsi="Palatino Linotype" w:cstheme="minorHAnsi"/>
          <w:b/>
          <w:sz w:val="20"/>
          <w:szCs w:val="20"/>
          <w:lang w:val="en-US"/>
        </w:rPr>
      </w:pPr>
    </w:p>
    <w:p w14:paraId="46FC8EB8" w14:textId="7CEBBBC6" w:rsidR="006C3EE6" w:rsidRPr="006679E6" w:rsidRDefault="00566223" w:rsidP="004931A5">
      <w:pPr>
        <w:pStyle w:val="NormalWeb"/>
        <w:spacing w:before="0" w:beforeAutospacing="0" w:after="0" w:afterAutospacing="0" w:line="360" w:lineRule="auto"/>
        <w:ind w:right="77"/>
        <w:rPr>
          <w:rFonts w:ascii="Palatino Linotype" w:hAnsi="Palatino Linotype" w:cstheme="minorHAnsi"/>
          <w:b/>
          <w:sz w:val="22"/>
          <w:szCs w:val="22"/>
          <w:lang w:val="en-US"/>
        </w:rPr>
      </w:pPr>
      <w:r>
        <w:rPr>
          <w:rFonts w:ascii="Palatino Linotype" w:hAnsi="Palatino Linotype" w:cstheme="minorHAnsi"/>
          <w:b/>
          <w:sz w:val="22"/>
          <w:szCs w:val="22"/>
          <w:lang w:val="en-US"/>
        </w:rPr>
        <w:t>Investments continue to grow</w:t>
      </w:r>
    </w:p>
    <w:p w14:paraId="526B7713" w14:textId="19763B5B" w:rsidR="00450CEA" w:rsidRDefault="00566223" w:rsidP="002A037D">
      <w:pPr>
        <w:pStyle w:val="NormalWeb"/>
        <w:spacing w:before="0" w:beforeAutospacing="0" w:after="0" w:afterAutospacing="0" w:line="360" w:lineRule="auto"/>
        <w:ind w:right="77"/>
        <w:jc w:val="both"/>
        <w:rPr>
          <w:rFonts w:ascii="Palatino Linotype" w:hAnsi="Palatino Linotype" w:cstheme="minorHAnsi"/>
          <w:sz w:val="22"/>
          <w:szCs w:val="22"/>
          <w:lang w:val="en-US"/>
        </w:rPr>
      </w:pPr>
      <w:r w:rsidRPr="00566223">
        <w:rPr>
          <w:rFonts w:ascii="Palatino Linotype" w:hAnsi="Palatino Linotype" w:cstheme="minorHAnsi"/>
          <w:sz w:val="22"/>
          <w:szCs w:val="22"/>
          <w:lang w:val="en-US"/>
        </w:rPr>
        <w:t xml:space="preserve">Investment expenditures, which </w:t>
      </w:r>
      <w:r w:rsidR="00EB2543">
        <w:rPr>
          <w:rFonts w:ascii="Palatino Linotype" w:hAnsi="Palatino Linotype" w:cstheme="minorHAnsi"/>
          <w:sz w:val="22"/>
          <w:szCs w:val="22"/>
          <w:lang w:val="en-US"/>
        </w:rPr>
        <w:t xml:space="preserve">have been increasing since the third quarter of 2020, continue to grow in the second quarter of 2021 at an annual rate </w:t>
      </w:r>
      <w:r w:rsidR="004A4910">
        <w:rPr>
          <w:rFonts w:ascii="Palatino Linotype" w:hAnsi="Palatino Linotype" w:cstheme="minorHAnsi"/>
          <w:sz w:val="22"/>
          <w:szCs w:val="22"/>
          <w:lang w:val="en-US"/>
        </w:rPr>
        <w:t>of 20.3 percent, and contribute</w:t>
      </w:r>
      <w:r w:rsidR="00EB2543">
        <w:rPr>
          <w:rFonts w:ascii="Palatino Linotype" w:hAnsi="Palatino Linotype" w:cstheme="minorHAnsi"/>
          <w:sz w:val="22"/>
          <w:szCs w:val="22"/>
          <w:lang w:val="en-US"/>
        </w:rPr>
        <w:t xml:space="preserve"> the output g</w:t>
      </w:r>
      <w:r w:rsidR="004A4910">
        <w:rPr>
          <w:rFonts w:ascii="Palatino Linotype" w:hAnsi="Palatino Linotype" w:cstheme="minorHAnsi"/>
          <w:sz w:val="22"/>
          <w:szCs w:val="22"/>
          <w:lang w:val="en-US"/>
        </w:rPr>
        <w:t xml:space="preserve">rowth by 5.6 percentage points </w:t>
      </w:r>
      <w:r w:rsidRPr="00566223">
        <w:rPr>
          <w:rFonts w:ascii="Palatino Linotype" w:hAnsi="Palatino Linotype" w:cstheme="minorHAnsi"/>
          <w:sz w:val="22"/>
          <w:szCs w:val="22"/>
          <w:lang w:val="en-US"/>
        </w:rPr>
        <w:t xml:space="preserve">(Table 1). </w:t>
      </w:r>
      <w:r w:rsidR="00902A07" w:rsidRPr="006D160C">
        <w:rPr>
          <w:rFonts w:ascii="Palatino Linotype" w:hAnsi="Palatino Linotype" w:cstheme="minorHAnsi"/>
          <w:sz w:val="22"/>
          <w:szCs w:val="22"/>
          <w:lang w:val="en-US"/>
        </w:rPr>
        <w:t xml:space="preserve">According to the seasonally and calendar </w:t>
      </w:r>
      <w:r w:rsidR="00902A07" w:rsidRPr="006D160C">
        <w:rPr>
          <w:rFonts w:ascii="Palatino Linotype" w:hAnsi="Palatino Linotype" w:cstheme="minorHAnsi"/>
          <w:sz w:val="22"/>
          <w:szCs w:val="22"/>
          <w:lang w:val="en-US"/>
        </w:rPr>
        <w:lastRenderedPageBreak/>
        <w:t>adjusted data</w:t>
      </w:r>
      <w:r w:rsidR="006D160C" w:rsidRPr="006D160C">
        <w:rPr>
          <w:rFonts w:ascii="Palatino Linotype" w:hAnsi="Palatino Linotype" w:cstheme="minorHAnsi"/>
          <w:sz w:val="22"/>
          <w:szCs w:val="22"/>
          <w:lang w:val="en-US"/>
        </w:rPr>
        <w:t>,</w:t>
      </w:r>
      <w:r w:rsidR="002676CD">
        <w:rPr>
          <w:rFonts w:ascii="Palatino Linotype" w:hAnsi="Palatino Linotype" w:cstheme="minorHAnsi"/>
          <w:sz w:val="22"/>
          <w:szCs w:val="22"/>
          <w:lang w:val="en-US"/>
        </w:rPr>
        <w:t xml:space="preserve"> </w:t>
      </w:r>
      <w:r w:rsidRPr="00566223">
        <w:rPr>
          <w:rFonts w:ascii="Palatino Linotype" w:hAnsi="Palatino Linotype" w:cstheme="minorHAnsi"/>
          <w:sz w:val="22"/>
          <w:szCs w:val="22"/>
          <w:lang w:val="en-US"/>
        </w:rPr>
        <w:t xml:space="preserve">investment expenditures </w:t>
      </w:r>
      <w:r w:rsidR="00176914">
        <w:rPr>
          <w:rFonts w:ascii="Palatino Linotype" w:hAnsi="Palatino Linotype" w:cstheme="minorHAnsi"/>
          <w:sz w:val="22"/>
          <w:szCs w:val="22"/>
          <w:lang w:val="en-US"/>
        </w:rPr>
        <w:t>gro</w:t>
      </w:r>
      <w:r w:rsidRPr="00566223">
        <w:rPr>
          <w:rFonts w:ascii="Palatino Linotype" w:hAnsi="Palatino Linotype" w:cstheme="minorHAnsi"/>
          <w:sz w:val="22"/>
          <w:szCs w:val="22"/>
          <w:lang w:val="en-US"/>
        </w:rPr>
        <w:t xml:space="preserve">w by </w:t>
      </w:r>
      <w:r w:rsidR="004A4910">
        <w:rPr>
          <w:rFonts w:ascii="Palatino Linotype" w:hAnsi="Palatino Linotype" w:cstheme="minorHAnsi"/>
          <w:sz w:val="22"/>
          <w:szCs w:val="22"/>
          <w:lang w:val="en-US"/>
        </w:rPr>
        <w:t>0.7</w:t>
      </w:r>
      <w:r w:rsidRPr="00566223">
        <w:rPr>
          <w:rFonts w:ascii="Palatino Linotype" w:hAnsi="Palatino Linotype" w:cstheme="minorHAnsi"/>
          <w:sz w:val="22"/>
          <w:szCs w:val="22"/>
          <w:lang w:val="en-US"/>
        </w:rPr>
        <w:t xml:space="preserve"> percent compared to the previous quarter. Thus, i</w:t>
      </w:r>
      <w:r w:rsidR="00176914">
        <w:rPr>
          <w:rFonts w:ascii="Palatino Linotype" w:hAnsi="Palatino Linotype" w:cstheme="minorHAnsi"/>
          <w:sz w:val="22"/>
          <w:szCs w:val="22"/>
          <w:lang w:val="en-US"/>
        </w:rPr>
        <w:t>nvestment expenditures support</w:t>
      </w:r>
      <w:r w:rsidRPr="00566223">
        <w:rPr>
          <w:rFonts w:ascii="Palatino Linotype" w:hAnsi="Palatino Linotype" w:cstheme="minorHAnsi"/>
          <w:sz w:val="22"/>
          <w:szCs w:val="22"/>
          <w:lang w:val="en-US"/>
        </w:rPr>
        <w:t xml:space="preserve"> </w:t>
      </w:r>
      <w:r w:rsidRPr="00ED431D">
        <w:rPr>
          <w:rFonts w:ascii="Palatino Linotype" w:hAnsi="Palatino Linotype" w:cstheme="minorHAnsi"/>
          <w:sz w:val="22"/>
          <w:szCs w:val="22"/>
          <w:lang w:val="en-US"/>
        </w:rPr>
        <w:t>quarterly</w:t>
      </w:r>
      <w:r w:rsidR="004A4910">
        <w:rPr>
          <w:rFonts w:ascii="Palatino Linotype" w:hAnsi="Palatino Linotype" w:cstheme="minorHAnsi"/>
          <w:sz w:val="22"/>
          <w:szCs w:val="22"/>
          <w:lang w:val="en-US"/>
        </w:rPr>
        <w:t xml:space="preserve"> growth by 0.2</w:t>
      </w:r>
      <w:r w:rsidRPr="00566223">
        <w:rPr>
          <w:rFonts w:ascii="Palatino Linotype" w:hAnsi="Palatino Linotype" w:cstheme="minorHAnsi"/>
          <w:sz w:val="22"/>
          <w:szCs w:val="22"/>
          <w:lang w:val="en-US"/>
        </w:rPr>
        <w:t xml:space="preserve"> percentage points in th</w:t>
      </w:r>
      <w:r>
        <w:rPr>
          <w:rFonts w:ascii="Palatino Linotype" w:hAnsi="Palatino Linotype" w:cstheme="minorHAnsi"/>
          <w:sz w:val="22"/>
          <w:szCs w:val="22"/>
          <w:lang w:val="en-US"/>
        </w:rPr>
        <w:t xml:space="preserve">is </w:t>
      </w:r>
      <w:r w:rsidRPr="00566223">
        <w:rPr>
          <w:rFonts w:ascii="Palatino Linotype" w:hAnsi="Palatino Linotype" w:cstheme="minorHAnsi"/>
          <w:sz w:val="22"/>
          <w:szCs w:val="22"/>
          <w:lang w:val="en-US"/>
        </w:rPr>
        <w:t>quarter (Table 2).</w:t>
      </w:r>
    </w:p>
    <w:p w14:paraId="67CFDB7C" w14:textId="77777777" w:rsidR="00DE5907" w:rsidRPr="006679E6" w:rsidRDefault="00DE5907" w:rsidP="002A037D">
      <w:pPr>
        <w:pStyle w:val="NormalWeb"/>
        <w:spacing w:before="0" w:beforeAutospacing="0" w:after="0" w:afterAutospacing="0" w:line="360" w:lineRule="auto"/>
        <w:ind w:right="77"/>
        <w:jc w:val="both"/>
        <w:rPr>
          <w:rFonts w:ascii="Palatino Linotype" w:hAnsi="Palatino Linotype" w:cstheme="minorHAnsi"/>
          <w:sz w:val="22"/>
          <w:szCs w:val="22"/>
          <w:lang w:val="en-US"/>
        </w:rPr>
      </w:pPr>
    </w:p>
    <w:p w14:paraId="16625566" w14:textId="38641BCD" w:rsidR="00681AD9" w:rsidRPr="006679E6" w:rsidRDefault="004A4910" w:rsidP="00681022">
      <w:pPr>
        <w:pStyle w:val="NormalWeb"/>
        <w:spacing w:before="0" w:beforeAutospacing="0" w:after="0" w:afterAutospacing="0" w:line="360" w:lineRule="auto"/>
        <w:ind w:right="77"/>
        <w:rPr>
          <w:rFonts w:ascii="Palatino Linotype" w:hAnsi="Palatino Linotype" w:cstheme="minorHAnsi"/>
          <w:b/>
          <w:sz w:val="22"/>
          <w:szCs w:val="22"/>
          <w:lang w:val="en-US"/>
        </w:rPr>
      </w:pPr>
      <w:r>
        <w:rPr>
          <w:rFonts w:ascii="Palatino Linotype" w:hAnsi="Palatino Linotype" w:cstheme="minorHAnsi"/>
          <w:b/>
          <w:sz w:val="22"/>
          <w:szCs w:val="22"/>
          <w:lang w:val="en-US"/>
        </w:rPr>
        <w:t>Decreases in inventory suppress growth</w:t>
      </w:r>
      <w:r w:rsidR="00494926" w:rsidRPr="006679E6">
        <w:rPr>
          <w:rStyle w:val="FootnoteReference"/>
          <w:rFonts w:ascii="Palatino Linotype" w:hAnsi="Palatino Linotype" w:cstheme="minorHAnsi"/>
          <w:b/>
          <w:sz w:val="22"/>
          <w:szCs w:val="22"/>
          <w:lang w:val="en-US"/>
        </w:rPr>
        <w:footnoteReference w:id="3"/>
      </w:r>
    </w:p>
    <w:p w14:paraId="2F77854E" w14:textId="7FDCC842" w:rsidR="00450CEA" w:rsidRPr="006679E6" w:rsidRDefault="00566223" w:rsidP="002A037D">
      <w:pPr>
        <w:pStyle w:val="NormalWeb"/>
        <w:spacing w:before="0" w:beforeAutospacing="0" w:after="120" w:afterAutospacing="0" w:line="360" w:lineRule="auto"/>
        <w:ind w:right="79"/>
        <w:jc w:val="both"/>
        <w:rPr>
          <w:rFonts w:ascii="Palatino Linotype" w:hAnsi="Palatino Linotype" w:cstheme="minorHAnsi"/>
          <w:sz w:val="22"/>
          <w:szCs w:val="22"/>
          <w:lang w:val="en-US"/>
        </w:rPr>
      </w:pPr>
      <w:bookmarkStart w:id="2" w:name="OLE_LINK7"/>
      <w:bookmarkStart w:id="3" w:name="OLE_LINK8"/>
      <w:r w:rsidRPr="00566223">
        <w:rPr>
          <w:rFonts w:ascii="Palatino Linotype" w:hAnsi="Palatino Linotype" w:cstheme="minorHAnsi"/>
          <w:sz w:val="22"/>
          <w:szCs w:val="22"/>
          <w:lang w:val="en-US"/>
        </w:rPr>
        <w:t xml:space="preserve">In the </w:t>
      </w:r>
      <w:r w:rsidR="004A4910">
        <w:rPr>
          <w:rFonts w:ascii="Palatino Linotype" w:hAnsi="Palatino Linotype" w:cstheme="minorHAnsi"/>
          <w:sz w:val="22"/>
          <w:szCs w:val="22"/>
          <w:lang w:val="en-US"/>
        </w:rPr>
        <w:t>second</w:t>
      </w:r>
      <w:r w:rsidRPr="00566223">
        <w:rPr>
          <w:rFonts w:ascii="Palatino Linotype" w:hAnsi="Palatino Linotype" w:cstheme="minorHAnsi"/>
          <w:sz w:val="22"/>
          <w:szCs w:val="22"/>
          <w:lang w:val="en-US"/>
        </w:rPr>
        <w:t xml:space="preserve"> quarter of 2021, </w:t>
      </w:r>
      <w:r>
        <w:rPr>
          <w:rFonts w:ascii="Palatino Linotype" w:hAnsi="Palatino Linotype" w:cstheme="minorHAnsi"/>
          <w:sz w:val="22"/>
          <w:szCs w:val="22"/>
          <w:lang w:val="en-US"/>
        </w:rPr>
        <w:t xml:space="preserve">change in inventories </w:t>
      </w:r>
      <w:r w:rsidR="00902A07" w:rsidRPr="006D160C">
        <w:rPr>
          <w:rFonts w:ascii="Palatino Linotype" w:hAnsi="Palatino Linotype" w:cstheme="minorHAnsi"/>
          <w:sz w:val="22"/>
          <w:szCs w:val="22"/>
          <w:lang w:val="en-US"/>
        </w:rPr>
        <w:t>weighs down</w:t>
      </w:r>
      <w:r w:rsidR="006D160C">
        <w:rPr>
          <w:rFonts w:ascii="Palatino Linotype" w:hAnsi="Palatino Linotype" w:cstheme="minorHAnsi"/>
          <w:color w:val="FF0000"/>
          <w:sz w:val="22"/>
          <w:szCs w:val="22"/>
          <w:lang w:val="en-US"/>
        </w:rPr>
        <w:t xml:space="preserve"> </w:t>
      </w:r>
      <w:r w:rsidRPr="00ED431D">
        <w:rPr>
          <w:rFonts w:ascii="Palatino Linotype" w:hAnsi="Palatino Linotype" w:cstheme="minorHAnsi"/>
          <w:sz w:val="22"/>
          <w:szCs w:val="22"/>
          <w:lang w:val="en-US"/>
        </w:rPr>
        <w:t>annual GDP growth</w:t>
      </w:r>
      <w:r w:rsidRPr="00566223">
        <w:rPr>
          <w:rFonts w:ascii="Palatino Linotype" w:hAnsi="Palatino Linotype" w:cstheme="minorHAnsi"/>
          <w:sz w:val="22"/>
          <w:szCs w:val="22"/>
          <w:lang w:val="en-US"/>
        </w:rPr>
        <w:t xml:space="preserve"> by minus </w:t>
      </w:r>
      <w:r w:rsidR="004A4910">
        <w:rPr>
          <w:rFonts w:ascii="Palatino Linotype" w:hAnsi="Palatino Linotype" w:cstheme="minorHAnsi"/>
          <w:sz w:val="22"/>
          <w:szCs w:val="22"/>
          <w:lang w:val="en-US"/>
        </w:rPr>
        <w:t>6.3</w:t>
      </w:r>
      <w:r w:rsidR="00902A07">
        <w:rPr>
          <w:rFonts w:ascii="Palatino Linotype" w:hAnsi="Palatino Linotype" w:cstheme="minorHAnsi"/>
          <w:sz w:val="22"/>
          <w:szCs w:val="22"/>
          <w:lang w:val="en-US"/>
        </w:rPr>
        <w:t xml:space="preserve"> percentage points (Table 1)</w:t>
      </w:r>
      <w:r w:rsidR="006D160C">
        <w:rPr>
          <w:rFonts w:ascii="Palatino Linotype" w:hAnsi="Palatino Linotype" w:cstheme="minorHAnsi"/>
          <w:sz w:val="22"/>
          <w:szCs w:val="22"/>
          <w:lang w:val="en-US"/>
        </w:rPr>
        <w:t>;</w:t>
      </w:r>
      <w:r w:rsidRPr="00566223">
        <w:rPr>
          <w:rFonts w:ascii="Palatino Linotype" w:hAnsi="Palatino Linotype" w:cstheme="minorHAnsi"/>
          <w:sz w:val="22"/>
          <w:szCs w:val="22"/>
          <w:lang w:val="en-US"/>
        </w:rPr>
        <w:t xml:space="preserve"> according to </w:t>
      </w:r>
      <w:r w:rsidR="00176914">
        <w:rPr>
          <w:rFonts w:ascii="Palatino Linotype" w:hAnsi="Palatino Linotype" w:cstheme="minorHAnsi"/>
          <w:sz w:val="22"/>
          <w:szCs w:val="22"/>
          <w:lang w:val="en-US"/>
        </w:rPr>
        <w:t xml:space="preserve">the </w:t>
      </w:r>
      <w:r w:rsidRPr="00566223">
        <w:rPr>
          <w:rFonts w:ascii="Palatino Linotype" w:hAnsi="Palatino Linotype" w:cstheme="minorHAnsi"/>
          <w:sz w:val="22"/>
          <w:szCs w:val="22"/>
          <w:lang w:val="en-US"/>
        </w:rPr>
        <w:t xml:space="preserve">seasonal and calendar adjusted data, </w:t>
      </w:r>
      <w:r w:rsidR="00902A07" w:rsidRPr="006D160C">
        <w:rPr>
          <w:rFonts w:ascii="Palatino Linotype" w:hAnsi="Palatino Linotype" w:cstheme="minorHAnsi"/>
          <w:color w:val="000000" w:themeColor="text1"/>
          <w:sz w:val="22"/>
          <w:szCs w:val="22"/>
          <w:lang w:val="en-US"/>
        </w:rPr>
        <w:t>change in inventories contributes to the GDP growth by minus 1.9 percentage points</w:t>
      </w:r>
      <w:r w:rsidR="002676CD" w:rsidRPr="006D160C">
        <w:rPr>
          <w:rFonts w:ascii="Palatino Linotype" w:hAnsi="Palatino Linotype" w:cstheme="minorHAnsi"/>
          <w:color w:val="FF0000"/>
          <w:sz w:val="22"/>
          <w:szCs w:val="22"/>
          <w:lang w:val="en-US"/>
        </w:rPr>
        <w:t xml:space="preserve"> </w:t>
      </w:r>
      <w:r w:rsidRPr="00566223">
        <w:rPr>
          <w:rFonts w:ascii="Palatino Linotype" w:hAnsi="Palatino Linotype" w:cstheme="minorHAnsi"/>
          <w:sz w:val="22"/>
          <w:szCs w:val="22"/>
          <w:lang w:val="en-US"/>
        </w:rPr>
        <w:t>(Table 2).</w:t>
      </w:r>
      <w:bookmarkEnd w:id="2"/>
      <w:bookmarkEnd w:id="3"/>
      <w:r w:rsidR="004A4910">
        <w:rPr>
          <w:rFonts w:ascii="Palatino Linotype" w:hAnsi="Palatino Linotype" w:cstheme="minorHAnsi"/>
          <w:sz w:val="22"/>
          <w:szCs w:val="22"/>
          <w:lang w:val="en-US"/>
        </w:rPr>
        <w:t xml:space="preserve"> </w:t>
      </w:r>
      <w:r w:rsidR="00114BBE" w:rsidRPr="006D160C">
        <w:rPr>
          <w:rFonts w:ascii="Palatino Linotype" w:hAnsi="Palatino Linotype" w:cstheme="minorHAnsi"/>
          <w:sz w:val="22"/>
          <w:szCs w:val="22"/>
          <w:lang w:val="en-US"/>
        </w:rPr>
        <w:t>The negative</w:t>
      </w:r>
      <w:r w:rsidR="00902A07" w:rsidRPr="006D160C">
        <w:rPr>
          <w:rFonts w:ascii="Palatino Linotype" w:hAnsi="Palatino Linotype" w:cstheme="minorHAnsi"/>
          <w:sz w:val="22"/>
          <w:szCs w:val="22"/>
          <w:lang w:val="en-US"/>
        </w:rPr>
        <w:t xml:space="preserve"> effect of change in inventories to the GDP is also a result of the base effect,</w:t>
      </w:r>
      <w:r w:rsidR="00114BBE" w:rsidRPr="006D160C">
        <w:rPr>
          <w:rFonts w:ascii="Palatino Linotype" w:hAnsi="Palatino Linotype" w:cstheme="minorHAnsi"/>
          <w:sz w:val="22"/>
          <w:szCs w:val="22"/>
          <w:lang w:val="en-US"/>
        </w:rPr>
        <w:t xml:space="preserve"> as the shutdown in the economic activity caused </w:t>
      </w:r>
      <w:r w:rsidR="00773D69" w:rsidRPr="006D160C">
        <w:rPr>
          <w:rFonts w:ascii="Palatino Linotype" w:hAnsi="Palatino Linotype" w:cstheme="minorHAnsi"/>
          <w:sz w:val="22"/>
          <w:szCs w:val="22"/>
          <w:lang w:val="en-US"/>
        </w:rPr>
        <w:t xml:space="preserve">firms </w:t>
      </w:r>
      <w:r w:rsidR="00114BBE" w:rsidRPr="006D160C">
        <w:rPr>
          <w:rFonts w:ascii="Palatino Linotype" w:hAnsi="Palatino Linotype" w:cstheme="minorHAnsi"/>
          <w:sz w:val="22"/>
          <w:szCs w:val="22"/>
          <w:lang w:val="en-US"/>
        </w:rPr>
        <w:t>to pile up</w:t>
      </w:r>
      <w:r w:rsidR="00773D69" w:rsidRPr="006D160C">
        <w:rPr>
          <w:rFonts w:ascii="Palatino Linotype" w:hAnsi="Palatino Linotype" w:cstheme="minorHAnsi"/>
          <w:sz w:val="22"/>
          <w:szCs w:val="22"/>
          <w:lang w:val="en-US"/>
        </w:rPr>
        <w:t xml:space="preserve"> inventories</w:t>
      </w:r>
      <w:r w:rsidR="00114BBE" w:rsidRPr="006D160C">
        <w:rPr>
          <w:rFonts w:ascii="Palatino Linotype" w:hAnsi="Palatino Linotype" w:cstheme="minorHAnsi"/>
          <w:sz w:val="22"/>
          <w:szCs w:val="22"/>
          <w:lang w:val="en-US"/>
        </w:rPr>
        <w:t xml:space="preserve"> in the second quarter of 2020.</w:t>
      </w:r>
      <w:r w:rsidR="00114BBE">
        <w:rPr>
          <w:rFonts w:ascii="Palatino Linotype" w:hAnsi="Palatino Linotype" w:cstheme="minorHAnsi"/>
          <w:sz w:val="22"/>
          <w:szCs w:val="22"/>
          <w:lang w:val="en-US"/>
        </w:rPr>
        <w:t xml:space="preserve"> </w:t>
      </w:r>
    </w:p>
    <w:p w14:paraId="5D2531A9" w14:textId="77777777" w:rsidR="00DE5907" w:rsidRDefault="00DE5907" w:rsidP="00F30329">
      <w:pPr>
        <w:pStyle w:val="NormalWeb"/>
        <w:spacing w:before="0" w:beforeAutospacing="0" w:after="120" w:afterAutospacing="0" w:line="360" w:lineRule="auto"/>
        <w:ind w:right="79"/>
        <w:rPr>
          <w:rFonts w:ascii="Palatino Linotype" w:hAnsi="Palatino Linotype" w:cstheme="minorHAnsi"/>
          <w:b/>
          <w:sz w:val="22"/>
          <w:szCs w:val="22"/>
          <w:lang w:val="en-US"/>
        </w:rPr>
      </w:pPr>
    </w:p>
    <w:p w14:paraId="7233E2B8" w14:textId="31D1EAB0" w:rsidR="00F46A54" w:rsidRPr="006679E6" w:rsidRDefault="003162CB" w:rsidP="00F30329">
      <w:pPr>
        <w:pStyle w:val="NormalWeb"/>
        <w:spacing w:before="0" w:beforeAutospacing="0" w:after="120" w:afterAutospacing="0" w:line="360" w:lineRule="auto"/>
        <w:ind w:right="79"/>
        <w:rPr>
          <w:rFonts w:ascii="Palatino Linotype" w:hAnsi="Palatino Linotype" w:cstheme="minorHAnsi"/>
          <w:b/>
          <w:sz w:val="22"/>
          <w:szCs w:val="22"/>
          <w:lang w:val="en-US"/>
        </w:rPr>
      </w:pPr>
      <w:r>
        <w:rPr>
          <w:rFonts w:ascii="Palatino Linotype" w:hAnsi="Palatino Linotype" w:cstheme="minorHAnsi"/>
          <w:b/>
          <w:sz w:val="22"/>
          <w:szCs w:val="22"/>
          <w:lang w:val="en-US"/>
        </w:rPr>
        <w:t>Imports increase yearly, decrease quarterly</w:t>
      </w:r>
    </w:p>
    <w:p w14:paraId="28ABDE10" w14:textId="2B955598" w:rsidR="00566223" w:rsidRDefault="00566223" w:rsidP="002A037D">
      <w:pPr>
        <w:pStyle w:val="NormalWeb"/>
        <w:spacing w:before="0" w:beforeAutospacing="0" w:after="0" w:afterAutospacing="0" w:line="360" w:lineRule="auto"/>
        <w:ind w:right="77"/>
        <w:jc w:val="both"/>
        <w:rPr>
          <w:rFonts w:ascii="Palatino Linotype" w:hAnsi="Palatino Linotype" w:cstheme="minorHAnsi"/>
          <w:sz w:val="22"/>
          <w:szCs w:val="22"/>
          <w:lang w:val="en-US"/>
        </w:rPr>
      </w:pPr>
      <w:r w:rsidRPr="00566223">
        <w:rPr>
          <w:rFonts w:ascii="Palatino Linotype" w:hAnsi="Palatino Linotype" w:cstheme="minorHAnsi"/>
          <w:sz w:val="22"/>
          <w:szCs w:val="22"/>
          <w:lang w:val="en-US"/>
        </w:rPr>
        <w:t xml:space="preserve">In the </w:t>
      </w:r>
      <w:r w:rsidR="00ED431D">
        <w:rPr>
          <w:rFonts w:ascii="Palatino Linotype" w:hAnsi="Palatino Linotype" w:cstheme="minorHAnsi"/>
          <w:sz w:val="22"/>
          <w:szCs w:val="22"/>
          <w:lang w:val="en-US"/>
        </w:rPr>
        <w:t>second</w:t>
      </w:r>
      <w:r w:rsidRPr="00566223">
        <w:rPr>
          <w:rFonts w:ascii="Palatino Linotype" w:hAnsi="Palatino Linotype" w:cstheme="minorHAnsi"/>
          <w:sz w:val="22"/>
          <w:szCs w:val="22"/>
          <w:lang w:val="en-US"/>
        </w:rPr>
        <w:t xml:space="preserve"> quarter of 2021, exports </w:t>
      </w:r>
      <w:r w:rsidR="003162CB">
        <w:rPr>
          <w:rFonts w:ascii="Palatino Linotype" w:hAnsi="Palatino Linotype" w:cstheme="minorHAnsi"/>
          <w:sz w:val="22"/>
          <w:szCs w:val="22"/>
          <w:lang w:val="en-US"/>
        </w:rPr>
        <w:t xml:space="preserve">record a </w:t>
      </w:r>
      <w:r w:rsidR="005C4436" w:rsidRPr="006D160C">
        <w:rPr>
          <w:rFonts w:ascii="Palatino Linotype" w:hAnsi="Palatino Linotype" w:cstheme="minorHAnsi"/>
          <w:sz w:val="22"/>
          <w:szCs w:val="22"/>
          <w:lang w:val="en-US"/>
        </w:rPr>
        <w:t>steep</w:t>
      </w:r>
      <w:r w:rsidR="003162CB">
        <w:rPr>
          <w:rFonts w:ascii="Palatino Linotype" w:hAnsi="Palatino Linotype" w:cstheme="minorHAnsi"/>
          <w:sz w:val="22"/>
          <w:szCs w:val="22"/>
          <w:lang w:val="en-US"/>
        </w:rPr>
        <w:t xml:space="preserve"> increase of </w:t>
      </w:r>
      <w:r w:rsidR="00891C6B">
        <w:rPr>
          <w:rFonts w:ascii="Palatino Linotype" w:hAnsi="Palatino Linotype" w:cstheme="minorHAnsi"/>
          <w:sz w:val="22"/>
          <w:szCs w:val="22"/>
          <w:lang w:val="en-US"/>
        </w:rPr>
        <w:t>59.9 percent</w:t>
      </w:r>
      <w:r w:rsidRPr="00566223">
        <w:rPr>
          <w:rFonts w:ascii="Palatino Linotype" w:hAnsi="Palatino Linotype" w:cstheme="minorHAnsi"/>
          <w:sz w:val="22"/>
          <w:szCs w:val="22"/>
          <w:lang w:val="en-US"/>
        </w:rPr>
        <w:t xml:space="preserve"> </w:t>
      </w:r>
      <w:r w:rsidR="003162CB">
        <w:rPr>
          <w:rFonts w:ascii="Palatino Linotype" w:hAnsi="Palatino Linotype" w:cstheme="minorHAnsi"/>
          <w:sz w:val="22"/>
          <w:szCs w:val="22"/>
          <w:lang w:val="en-US"/>
        </w:rPr>
        <w:t>year-on-year</w:t>
      </w:r>
      <w:r w:rsidRPr="00566223">
        <w:rPr>
          <w:rFonts w:ascii="Palatino Linotype" w:hAnsi="Palatino Linotype" w:cstheme="minorHAnsi"/>
          <w:sz w:val="22"/>
          <w:szCs w:val="22"/>
          <w:lang w:val="en-US"/>
        </w:rPr>
        <w:t>,</w:t>
      </w:r>
      <w:r w:rsidR="00891C6B">
        <w:rPr>
          <w:rFonts w:ascii="Palatino Linotype" w:hAnsi="Palatino Linotype" w:cstheme="minorHAnsi"/>
          <w:sz w:val="22"/>
          <w:szCs w:val="22"/>
          <w:lang w:val="en-US"/>
        </w:rPr>
        <w:t xml:space="preserve"> and contribute the GDP growth by 14.3 percentage points.</w:t>
      </w:r>
      <w:r w:rsidRPr="00566223">
        <w:rPr>
          <w:rFonts w:ascii="Palatino Linotype" w:hAnsi="Palatino Linotype" w:cstheme="minorHAnsi"/>
          <w:sz w:val="22"/>
          <w:szCs w:val="22"/>
          <w:lang w:val="en-US"/>
        </w:rPr>
        <w:t xml:space="preserve"> </w:t>
      </w:r>
      <w:r w:rsidR="00891C6B">
        <w:rPr>
          <w:rFonts w:ascii="Palatino Linotype" w:hAnsi="Palatino Linotype" w:cstheme="minorHAnsi"/>
          <w:sz w:val="22"/>
          <w:szCs w:val="22"/>
          <w:lang w:val="en-US"/>
        </w:rPr>
        <w:t>On the other hand, the yearly increase in imports by 19.2 percen</w:t>
      </w:r>
      <w:r w:rsidR="005C4436">
        <w:rPr>
          <w:rFonts w:ascii="Palatino Linotype" w:hAnsi="Palatino Linotype" w:cstheme="minorHAnsi"/>
          <w:sz w:val="22"/>
          <w:szCs w:val="22"/>
          <w:lang w:val="en-US"/>
        </w:rPr>
        <w:t xml:space="preserve">tage points </w:t>
      </w:r>
      <w:r w:rsidR="005C4436" w:rsidRPr="006D160C">
        <w:rPr>
          <w:rFonts w:ascii="Palatino Linotype" w:hAnsi="Palatino Linotype" w:cstheme="minorHAnsi"/>
          <w:sz w:val="22"/>
          <w:szCs w:val="22"/>
          <w:lang w:val="en-US"/>
        </w:rPr>
        <w:t>depresses</w:t>
      </w:r>
      <w:r w:rsidR="00EA52B3" w:rsidRPr="006D160C">
        <w:rPr>
          <w:rFonts w:ascii="Palatino Linotype" w:hAnsi="Palatino Linotype" w:cstheme="minorHAnsi"/>
          <w:sz w:val="22"/>
          <w:szCs w:val="22"/>
          <w:lang w:val="en-US"/>
        </w:rPr>
        <w:t xml:space="preserve"> </w:t>
      </w:r>
      <w:r w:rsidR="00891C6B">
        <w:rPr>
          <w:rFonts w:ascii="Palatino Linotype" w:hAnsi="Palatino Linotype" w:cstheme="minorHAnsi"/>
          <w:sz w:val="22"/>
          <w:szCs w:val="22"/>
          <w:lang w:val="en-US"/>
        </w:rPr>
        <w:t xml:space="preserve">the growth by 5.6 percentage points. (Table 1). </w:t>
      </w:r>
      <w:r w:rsidR="005C4436" w:rsidRPr="006D160C">
        <w:rPr>
          <w:rFonts w:ascii="Palatino Linotype" w:hAnsi="Palatino Linotype" w:cstheme="minorHAnsi"/>
          <w:sz w:val="22"/>
          <w:szCs w:val="22"/>
          <w:lang w:val="en-US"/>
        </w:rPr>
        <w:t>Both changes in imports and exports contributed the quarterly GDP growth</w:t>
      </w:r>
      <w:r w:rsidR="006D160C">
        <w:rPr>
          <w:rFonts w:ascii="Palatino Linotype" w:hAnsi="Palatino Linotype" w:cstheme="minorHAnsi"/>
          <w:sz w:val="22"/>
          <w:szCs w:val="22"/>
          <w:lang w:val="en-US"/>
        </w:rPr>
        <w:t>,</w:t>
      </w:r>
      <w:r w:rsidR="005C4436" w:rsidRPr="006D160C">
        <w:rPr>
          <w:rFonts w:ascii="Palatino Linotype" w:hAnsi="Palatino Linotype" w:cstheme="minorHAnsi"/>
          <w:sz w:val="22"/>
          <w:szCs w:val="22"/>
          <w:lang w:val="en-US"/>
        </w:rPr>
        <w:t xml:space="preserve"> </w:t>
      </w:r>
      <w:r w:rsidR="00891C6B">
        <w:rPr>
          <w:rFonts w:ascii="Palatino Linotype" w:hAnsi="Palatino Linotype" w:cstheme="minorHAnsi"/>
          <w:sz w:val="22"/>
          <w:szCs w:val="22"/>
          <w:lang w:val="en-US"/>
        </w:rPr>
        <w:t xml:space="preserve">as </w:t>
      </w:r>
      <w:r w:rsidRPr="00566223">
        <w:rPr>
          <w:rFonts w:ascii="Palatino Linotype" w:hAnsi="Palatino Linotype" w:cstheme="minorHAnsi"/>
          <w:sz w:val="22"/>
          <w:szCs w:val="22"/>
          <w:lang w:val="en-US"/>
        </w:rPr>
        <w:t>the contraction</w:t>
      </w:r>
      <w:r w:rsidR="00891C6B">
        <w:rPr>
          <w:rFonts w:ascii="Palatino Linotype" w:hAnsi="Palatino Linotype" w:cstheme="minorHAnsi"/>
          <w:sz w:val="22"/>
          <w:szCs w:val="22"/>
          <w:lang w:val="en-US"/>
        </w:rPr>
        <w:t xml:space="preserve"> in imports by 3.3 percentage points contributed the growth by 1.0 percentage points (Table 2).</w:t>
      </w:r>
      <w:r w:rsidRPr="00566223">
        <w:rPr>
          <w:rFonts w:ascii="Palatino Linotype" w:hAnsi="Palatino Linotype" w:cstheme="minorHAnsi"/>
          <w:sz w:val="22"/>
          <w:szCs w:val="22"/>
          <w:lang w:val="en-US"/>
        </w:rPr>
        <w:t xml:space="preserve"> </w:t>
      </w:r>
    </w:p>
    <w:p w14:paraId="4C42CC11" w14:textId="77777777" w:rsidR="00DE5907" w:rsidRDefault="00DE5907" w:rsidP="008F1741">
      <w:pPr>
        <w:pStyle w:val="NormalWeb"/>
        <w:spacing w:before="0" w:beforeAutospacing="0" w:after="0" w:afterAutospacing="0" w:line="360" w:lineRule="auto"/>
        <w:ind w:right="77"/>
        <w:rPr>
          <w:rFonts w:ascii="Palatino Linotype" w:hAnsi="Palatino Linotype" w:cstheme="minorHAnsi"/>
          <w:b/>
          <w:bCs/>
          <w:sz w:val="22"/>
          <w:szCs w:val="22"/>
          <w:lang w:val="en-US"/>
        </w:rPr>
      </w:pPr>
    </w:p>
    <w:p w14:paraId="777C1939" w14:textId="76EF0FEC" w:rsidR="006C3EE6" w:rsidRPr="00EA52B3" w:rsidRDefault="005C4436" w:rsidP="008F1741">
      <w:pPr>
        <w:pStyle w:val="NormalWeb"/>
        <w:spacing w:before="0" w:beforeAutospacing="0" w:after="0" w:afterAutospacing="0" w:line="360" w:lineRule="auto"/>
        <w:ind w:right="77"/>
        <w:rPr>
          <w:rFonts w:ascii="Palatino Linotype" w:hAnsi="Palatino Linotype" w:cstheme="minorHAnsi"/>
          <w:b/>
          <w:bCs/>
          <w:color w:val="FF0000"/>
          <w:sz w:val="22"/>
          <w:szCs w:val="22"/>
          <w:lang w:val="en-US"/>
        </w:rPr>
      </w:pPr>
      <w:r>
        <w:rPr>
          <w:rFonts w:ascii="Palatino Linotype" w:hAnsi="Palatino Linotype" w:cstheme="minorHAnsi"/>
          <w:b/>
          <w:bCs/>
          <w:sz w:val="22"/>
          <w:szCs w:val="22"/>
          <w:lang w:val="en-US"/>
        </w:rPr>
        <w:t>Public spending is in its “normal” course</w:t>
      </w:r>
      <w:r w:rsidR="00EA52B3">
        <w:rPr>
          <w:rFonts w:ascii="Palatino Linotype" w:hAnsi="Palatino Linotype" w:cstheme="minorHAnsi"/>
          <w:b/>
          <w:bCs/>
          <w:sz w:val="22"/>
          <w:szCs w:val="22"/>
          <w:lang w:val="en-US"/>
        </w:rPr>
        <w:t xml:space="preserve"> </w:t>
      </w:r>
    </w:p>
    <w:p w14:paraId="68C17921" w14:textId="5CE13F5C" w:rsidR="00981D42" w:rsidRDefault="003464FE" w:rsidP="00981D42">
      <w:pPr>
        <w:pStyle w:val="NormalWeb"/>
        <w:spacing w:before="0" w:beforeAutospacing="0" w:after="0" w:afterAutospacing="0" w:line="360" w:lineRule="auto"/>
        <w:ind w:right="77"/>
        <w:jc w:val="both"/>
        <w:rPr>
          <w:rFonts w:ascii="Palatino Linotype" w:hAnsi="Palatino Linotype" w:cstheme="minorHAnsi"/>
          <w:sz w:val="22"/>
          <w:szCs w:val="22"/>
          <w:lang w:val="en-US"/>
        </w:rPr>
      </w:pPr>
      <w:r>
        <w:rPr>
          <w:rFonts w:ascii="Palatino Linotype" w:hAnsi="Palatino Linotype" w:cstheme="minorHAnsi"/>
          <w:sz w:val="22"/>
          <w:szCs w:val="22"/>
          <w:lang w:val="en-US"/>
        </w:rPr>
        <w:t xml:space="preserve">After </w:t>
      </w:r>
      <w:r w:rsidR="009928D9">
        <w:rPr>
          <w:rFonts w:ascii="Palatino Linotype" w:hAnsi="Palatino Linotype" w:cstheme="minorHAnsi"/>
          <w:sz w:val="22"/>
          <w:szCs w:val="22"/>
          <w:lang w:val="en-US"/>
        </w:rPr>
        <w:t xml:space="preserve">remaining unchanged in the second quarter of the previous year, the public expenditures increase mildly at an annual rate of 4.2 percent and contributed to the </w:t>
      </w:r>
      <w:r w:rsidR="00EA52B3">
        <w:rPr>
          <w:rFonts w:ascii="Palatino Linotype" w:hAnsi="Palatino Linotype" w:cstheme="minorHAnsi"/>
          <w:sz w:val="22"/>
          <w:szCs w:val="22"/>
          <w:lang w:val="en-US"/>
        </w:rPr>
        <w:t>growth by 0.7 percentage points</w:t>
      </w:r>
      <w:r w:rsidR="009928D9">
        <w:rPr>
          <w:rFonts w:ascii="Palatino Linotype" w:hAnsi="Palatino Linotype" w:cstheme="minorHAnsi"/>
          <w:sz w:val="22"/>
          <w:szCs w:val="22"/>
          <w:lang w:val="en-US"/>
        </w:rPr>
        <w:t xml:space="preserve"> in the second quarter of 2021 </w:t>
      </w:r>
      <w:r w:rsidR="00981D42" w:rsidRPr="00981D42">
        <w:rPr>
          <w:rFonts w:ascii="Palatino Linotype" w:hAnsi="Palatino Linotype" w:cstheme="minorHAnsi"/>
          <w:sz w:val="22"/>
          <w:szCs w:val="22"/>
          <w:lang w:val="en-US"/>
        </w:rPr>
        <w:t xml:space="preserve">(Table 1). According to the seasonally and calendar adjusted </w:t>
      </w:r>
      <w:r w:rsidR="00981D42">
        <w:rPr>
          <w:rFonts w:ascii="Palatino Linotype" w:hAnsi="Palatino Linotype" w:cstheme="minorHAnsi"/>
          <w:sz w:val="22"/>
          <w:szCs w:val="22"/>
          <w:lang w:val="en-US"/>
        </w:rPr>
        <w:t>data</w:t>
      </w:r>
      <w:r w:rsidR="00981D42" w:rsidRPr="00981D42">
        <w:rPr>
          <w:rFonts w:ascii="Palatino Linotype" w:hAnsi="Palatino Linotype" w:cstheme="minorHAnsi"/>
          <w:sz w:val="22"/>
          <w:szCs w:val="22"/>
          <w:lang w:val="en-US"/>
        </w:rPr>
        <w:t xml:space="preserve">, public expenditures </w:t>
      </w:r>
      <w:r w:rsidR="009928D9">
        <w:rPr>
          <w:rFonts w:ascii="Palatino Linotype" w:hAnsi="Palatino Linotype" w:cstheme="minorHAnsi"/>
          <w:sz w:val="22"/>
          <w:szCs w:val="22"/>
          <w:lang w:val="en-US"/>
        </w:rPr>
        <w:t>increase</w:t>
      </w:r>
      <w:r w:rsidR="00981D42" w:rsidRPr="00981D42">
        <w:rPr>
          <w:rFonts w:ascii="Palatino Linotype" w:hAnsi="Palatino Linotype" w:cstheme="minorHAnsi"/>
          <w:sz w:val="22"/>
          <w:szCs w:val="22"/>
          <w:lang w:val="en-US"/>
        </w:rPr>
        <w:t xml:space="preserve"> by </w:t>
      </w:r>
      <w:r w:rsidR="009928D9">
        <w:rPr>
          <w:rFonts w:ascii="Palatino Linotype" w:hAnsi="Palatino Linotype" w:cstheme="minorHAnsi"/>
          <w:sz w:val="22"/>
          <w:szCs w:val="22"/>
          <w:lang w:val="en-US"/>
        </w:rPr>
        <w:t>0.7</w:t>
      </w:r>
      <w:r w:rsidR="00981D42" w:rsidRPr="00981D42">
        <w:rPr>
          <w:rFonts w:ascii="Palatino Linotype" w:hAnsi="Palatino Linotype" w:cstheme="minorHAnsi"/>
          <w:sz w:val="22"/>
          <w:szCs w:val="22"/>
          <w:lang w:val="en-US"/>
        </w:rPr>
        <w:t xml:space="preserve"> percent in this quarter compared to the </w:t>
      </w:r>
      <w:r w:rsidR="009928D9">
        <w:rPr>
          <w:rFonts w:ascii="Palatino Linotype" w:hAnsi="Palatino Linotype" w:cstheme="minorHAnsi"/>
          <w:sz w:val="22"/>
          <w:szCs w:val="22"/>
          <w:lang w:val="en-US"/>
        </w:rPr>
        <w:t>previous quarter</w:t>
      </w:r>
      <w:r w:rsidR="00981D42" w:rsidRPr="00981D42">
        <w:rPr>
          <w:rFonts w:ascii="Palatino Linotype" w:hAnsi="Palatino Linotype" w:cstheme="minorHAnsi"/>
          <w:sz w:val="22"/>
          <w:szCs w:val="22"/>
          <w:lang w:val="en-US"/>
        </w:rPr>
        <w:t xml:space="preserve">. Its contribution to growth </w:t>
      </w:r>
      <w:r w:rsidR="00981D42">
        <w:rPr>
          <w:rFonts w:ascii="Palatino Linotype" w:hAnsi="Palatino Linotype" w:cstheme="minorHAnsi"/>
          <w:sz w:val="22"/>
          <w:szCs w:val="22"/>
          <w:lang w:val="en-US"/>
        </w:rPr>
        <w:t>i</w:t>
      </w:r>
      <w:r w:rsidR="00981D42" w:rsidRPr="00981D42">
        <w:rPr>
          <w:rFonts w:ascii="Palatino Linotype" w:hAnsi="Palatino Linotype" w:cstheme="minorHAnsi"/>
          <w:sz w:val="22"/>
          <w:szCs w:val="22"/>
          <w:lang w:val="en-US"/>
        </w:rPr>
        <w:t xml:space="preserve">s </w:t>
      </w:r>
      <w:r w:rsidR="009928D9">
        <w:rPr>
          <w:rFonts w:ascii="Palatino Linotype" w:hAnsi="Palatino Linotype" w:cstheme="minorHAnsi"/>
          <w:sz w:val="22"/>
          <w:szCs w:val="22"/>
          <w:lang w:val="en-US"/>
        </w:rPr>
        <w:t>0.1</w:t>
      </w:r>
      <w:r w:rsidR="00981D42" w:rsidRPr="00981D42">
        <w:rPr>
          <w:rFonts w:ascii="Palatino Linotype" w:hAnsi="Palatino Linotype" w:cstheme="minorHAnsi"/>
          <w:sz w:val="22"/>
          <w:szCs w:val="22"/>
          <w:lang w:val="en-US"/>
        </w:rPr>
        <w:t xml:space="preserve"> percentage points (Table 2).</w:t>
      </w:r>
    </w:p>
    <w:p w14:paraId="4C5F10E3" w14:textId="75C7E3F0" w:rsidR="00955E90" w:rsidRPr="006679E6" w:rsidRDefault="00981D42" w:rsidP="00B366B7">
      <w:pPr>
        <w:pStyle w:val="NormalWeb"/>
        <w:spacing w:before="0" w:beforeAutospacing="0" w:after="0" w:afterAutospacing="0" w:line="360" w:lineRule="auto"/>
        <w:ind w:right="77"/>
        <w:rPr>
          <w:rFonts w:ascii="Palatino Linotype" w:hAnsi="Palatino Linotype" w:cstheme="minorHAnsi"/>
          <w:b/>
          <w:bCs/>
          <w:sz w:val="22"/>
          <w:szCs w:val="22"/>
          <w:lang w:val="en-US"/>
        </w:rPr>
      </w:pPr>
      <w:r>
        <w:rPr>
          <w:rFonts w:ascii="Palatino Linotype" w:hAnsi="Palatino Linotype" w:cstheme="minorHAnsi"/>
          <w:b/>
          <w:bCs/>
          <w:sz w:val="22"/>
          <w:szCs w:val="22"/>
          <w:lang w:val="en-US"/>
        </w:rPr>
        <w:lastRenderedPageBreak/>
        <w:t>The future of growth</w:t>
      </w:r>
    </w:p>
    <w:p w14:paraId="417CF693" w14:textId="66ED96E9" w:rsidR="00981D42" w:rsidRDefault="00A12631" w:rsidP="00513359">
      <w:pPr>
        <w:pStyle w:val="NormalWeb"/>
        <w:spacing w:before="0" w:beforeAutospacing="0" w:after="0" w:afterAutospacing="0" w:line="360" w:lineRule="auto"/>
        <w:ind w:right="77"/>
        <w:jc w:val="both"/>
        <w:rPr>
          <w:rFonts w:ascii="Palatino Linotype" w:hAnsi="Palatino Linotype" w:cstheme="minorHAnsi"/>
          <w:bCs/>
          <w:sz w:val="22"/>
          <w:szCs w:val="22"/>
          <w:lang w:val="en-US"/>
        </w:rPr>
      </w:pPr>
      <w:r>
        <w:rPr>
          <w:rFonts w:ascii="Palatino Linotype" w:hAnsi="Palatino Linotype" w:cstheme="minorHAnsi"/>
          <w:bCs/>
          <w:sz w:val="22"/>
          <w:szCs w:val="22"/>
          <w:lang w:val="en-US"/>
        </w:rPr>
        <w:t xml:space="preserve">Year-on-year GDP comparisons of 2021 </w:t>
      </w:r>
      <w:r w:rsidRPr="00981D42">
        <w:rPr>
          <w:rFonts w:ascii="Palatino Linotype" w:hAnsi="Palatino Linotype" w:cstheme="minorHAnsi"/>
          <w:bCs/>
          <w:sz w:val="22"/>
          <w:szCs w:val="22"/>
          <w:lang w:val="en-US"/>
        </w:rPr>
        <w:t xml:space="preserve">will yield unhealthy results </w:t>
      </w:r>
      <w:r>
        <w:rPr>
          <w:rFonts w:ascii="Palatino Linotype" w:hAnsi="Palatino Linotype" w:cstheme="minorHAnsi"/>
          <w:bCs/>
          <w:sz w:val="22"/>
          <w:szCs w:val="22"/>
          <w:lang w:val="en-US"/>
        </w:rPr>
        <w:t xml:space="preserve">because </w:t>
      </w:r>
      <w:r w:rsidR="00981D42" w:rsidRPr="00981D42">
        <w:rPr>
          <w:rFonts w:ascii="Palatino Linotype" w:hAnsi="Palatino Linotype" w:cstheme="minorHAnsi"/>
          <w:bCs/>
          <w:sz w:val="22"/>
          <w:szCs w:val="22"/>
          <w:lang w:val="en-US"/>
        </w:rPr>
        <w:t xml:space="preserve">the GDP decreased by more than 10 percent on </w:t>
      </w:r>
      <w:r w:rsidR="005C4436" w:rsidRPr="007559DB">
        <w:rPr>
          <w:rFonts w:ascii="Palatino Linotype" w:hAnsi="Palatino Linotype" w:cstheme="minorHAnsi"/>
          <w:bCs/>
          <w:sz w:val="22"/>
          <w:szCs w:val="22"/>
          <w:lang w:val="en-US"/>
        </w:rPr>
        <w:t>the same quarter of the last year</w:t>
      </w:r>
      <w:r w:rsidR="007559DB" w:rsidRPr="007559DB">
        <w:rPr>
          <w:rFonts w:ascii="Palatino Linotype" w:hAnsi="Palatino Linotype" w:cstheme="minorHAnsi"/>
          <w:bCs/>
          <w:color w:val="000000" w:themeColor="text1"/>
          <w:sz w:val="22"/>
          <w:szCs w:val="22"/>
          <w:lang w:val="en-US"/>
        </w:rPr>
        <w:t>.</w:t>
      </w:r>
      <w:r w:rsidR="007559DB">
        <w:rPr>
          <w:rFonts w:ascii="Palatino Linotype" w:hAnsi="Palatino Linotype" w:cstheme="minorHAnsi"/>
          <w:bCs/>
          <w:color w:val="FF0000"/>
          <w:sz w:val="22"/>
          <w:szCs w:val="22"/>
          <w:lang w:val="en-US"/>
        </w:rPr>
        <w:t xml:space="preserve"> </w:t>
      </w:r>
      <w:r w:rsidR="00981D42" w:rsidRPr="00981D42">
        <w:rPr>
          <w:rFonts w:ascii="Palatino Linotype" w:hAnsi="Palatino Linotype" w:cstheme="minorHAnsi"/>
          <w:bCs/>
          <w:sz w:val="22"/>
          <w:szCs w:val="22"/>
          <w:lang w:val="en-US"/>
        </w:rPr>
        <w:t xml:space="preserve">For this reason, it would be appropriate to focus on the seasonal and calendar adjusted </w:t>
      </w:r>
      <w:r>
        <w:rPr>
          <w:rFonts w:ascii="Palatino Linotype" w:hAnsi="Palatino Linotype" w:cstheme="minorHAnsi"/>
          <w:bCs/>
          <w:sz w:val="22"/>
          <w:szCs w:val="22"/>
          <w:lang w:val="en-US"/>
        </w:rPr>
        <w:t>data</w:t>
      </w:r>
      <w:r w:rsidR="00981D42" w:rsidRPr="00981D42">
        <w:rPr>
          <w:rFonts w:ascii="Palatino Linotype" w:hAnsi="Palatino Linotype" w:cstheme="minorHAnsi"/>
          <w:bCs/>
          <w:sz w:val="22"/>
          <w:szCs w:val="22"/>
          <w:lang w:val="en-US"/>
        </w:rPr>
        <w:t xml:space="preserve"> that do not include the base effect. </w:t>
      </w:r>
      <w:r w:rsidR="009928D9" w:rsidRPr="007559DB">
        <w:rPr>
          <w:rFonts w:ascii="Palatino Linotype" w:hAnsi="Palatino Linotype" w:cstheme="minorHAnsi"/>
          <w:bCs/>
          <w:sz w:val="22"/>
          <w:szCs w:val="22"/>
          <w:lang w:val="en-US"/>
        </w:rPr>
        <w:t xml:space="preserve">This approach is proven to be </w:t>
      </w:r>
      <w:r w:rsidR="005C4436" w:rsidRPr="007559DB">
        <w:rPr>
          <w:rFonts w:ascii="Palatino Linotype" w:hAnsi="Palatino Linotype" w:cstheme="minorHAnsi"/>
          <w:bCs/>
          <w:sz w:val="22"/>
          <w:szCs w:val="22"/>
          <w:lang w:val="en-US"/>
        </w:rPr>
        <w:t>more grounded</w:t>
      </w:r>
      <w:r w:rsidR="009928D9" w:rsidRPr="007559DB">
        <w:rPr>
          <w:rFonts w:ascii="Palatino Linotype" w:hAnsi="Palatino Linotype" w:cstheme="minorHAnsi"/>
          <w:bCs/>
          <w:sz w:val="22"/>
          <w:szCs w:val="22"/>
          <w:lang w:val="en-US"/>
        </w:rPr>
        <w:t xml:space="preserve"> as the quarterly GDP growth </w:t>
      </w:r>
      <w:r w:rsidR="005C4436" w:rsidRPr="007559DB">
        <w:rPr>
          <w:rFonts w:ascii="Palatino Linotype" w:hAnsi="Palatino Linotype" w:cstheme="minorHAnsi"/>
          <w:bCs/>
          <w:sz w:val="22"/>
          <w:szCs w:val="22"/>
          <w:lang w:val="en-US"/>
        </w:rPr>
        <w:t xml:space="preserve">is moderate with a rate of 0.9 percent. </w:t>
      </w:r>
      <w:r w:rsidR="00981D42" w:rsidRPr="00981D42">
        <w:rPr>
          <w:rFonts w:ascii="Palatino Linotype" w:hAnsi="Palatino Linotype" w:cstheme="minorHAnsi"/>
          <w:bCs/>
          <w:sz w:val="22"/>
          <w:szCs w:val="22"/>
          <w:lang w:val="en-US"/>
        </w:rPr>
        <w:t>We do not expect the quarterly growth figure to be very high</w:t>
      </w:r>
      <w:r>
        <w:rPr>
          <w:rFonts w:ascii="Palatino Linotype" w:hAnsi="Palatino Linotype" w:cstheme="minorHAnsi"/>
          <w:bCs/>
          <w:sz w:val="22"/>
          <w:szCs w:val="22"/>
          <w:lang w:val="en-US"/>
        </w:rPr>
        <w:t xml:space="preserve"> for the coming quarter because of</w:t>
      </w:r>
      <w:r w:rsidR="00981D42" w:rsidRPr="00981D42">
        <w:rPr>
          <w:rFonts w:ascii="Palatino Linotype" w:hAnsi="Palatino Linotype" w:cstheme="minorHAnsi"/>
          <w:bCs/>
          <w:sz w:val="22"/>
          <w:szCs w:val="22"/>
          <w:lang w:val="en-US"/>
        </w:rPr>
        <w:t xml:space="preserve"> two </w:t>
      </w:r>
      <w:r>
        <w:rPr>
          <w:rFonts w:ascii="Palatino Linotype" w:hAnsi="Palatino Linotype" w:cstheme="minorHAnsi"/>
          <w:bCs/>
          <w:sz w:val="22"/>
          <w:szCs w:val="22"/>
          <w:lang w:val="en-US"/>
        </w:rPr>
        <w:t>reasons</w:t>
      </w:r>
      <w:r w:rsidR="009928D9" w:rsidRPr="00293D43">
        <w:rPr>
          <w:rFonts w:ascii="Palatino Linotype" w:hAnsi="Palatino Linotype" w:cstheme="minorHAnsi"/>
          <w:bCs/>
          <w:sz w:val="22"/>
          <w:szCs w:val="22"/>
          <w:lang w:val="en-US"/>
        </w:rPr>
        <w:t>. The first</w:t>
      </w:r>
      <w:r w:rsidR="005C4436" w:rsidRPr="00293D43">
        <w:rPr>
          <w:rFonts w:ascii="Palatino Linotype" w:hAnsi="Palatino Linotype" w:cstheme="minorHAnsi"/>
          <w:bCs/>
          <w:sz w:val="22"/>
          <w:szCs w:val="22"/>
          <w:lang w:val="en-US"/>
        </w:rPr>
        <w:t xml:space="preserve"> one is</w:t>
      </w:r>
      <w:r w:rsidR="009928D9" w:rsidRPr="00293D43">
        <w:rPr>
          <w:rFonts w:ascii="Palatino Linotype" w:hAnsi="Palatino Linotype" w:cstheme="minorHAnsi"/>
          <w:bCs/>
          <w:sz w:val="22"/>
          <w:szCs w:val="22"/>
          <w:lang w:val="en-US"/>
        </w:rPr>
        <w:t xml:space="preserve"> </w:t>
      </w:r>
      <w:r w:rsidR="00A33E71" w:rsidRPr="00293D43">
        <w:rPr>
          <w:rFonts w:ascii="Palatino Linotype" w:hAnsi="Palatino Linotype" w:cstheme="minorHAnsi"/>
          <w:bCs/>
          <w:sz w:val="22"/>
          <w:szCs w:val="22"/>
          <w:lang w:val="en-US"/>
        </w:rPr>
        <w:t>the uncertainty</w:t>
      </w:r>
      <w:r w:rsidR="009928D9" w:rsidRPr="00293D43">
        <w:rPr>
          <w:rFonts w:ascii="Palatino Linotype" w:hAnsi="Palatino Linotype" w:cstheme="minorHAnsi"/>
          <w:bCs/>
          <w:sz w:val="22"/>
          <w:szCs w:val="22"/>
          <w:lang w:val="en-US"/>
        </w:rPr>
        <w:t xml:space="preserve"> </w:t>
      </w:r>
      <w:r w:rsidR="00773D69" w:rsidRPr="00293D43">
        <w:rPr>
          <w:rFonts w:ascii="Palatino Linotype" w:hAnsi="Palatino Linotype" w:cstheme="minorHAnsi"/>
          <w:bCs/>
          <w:sz w:val="22"/>
          <w:szCs w:val="22"/>
          <w:lang w:val="en-US"/>
        </w:rPr>
        <w:t>surrounding</w:t>
      </w:r>
      <w:r w:rsidR="009928D9" w:rsidRPr="00293D43">
        <w:rPr>
          <w:rFonts w:ascii="Palatino Linotype" w:hAnsi="Palatino Linotype" w:cstheme="minorHAnsi"/>
          <w:bCs/>
          <w:sz w:val="22"/>
          <w:szCs w:val="22"/>
          <w:lang w:val="en-US"/>
        </w:rPr>
        <w:t xml:space="preserve"> the </w:t>
      </w:r>
      <w:r w:rsidR="00A33E71" w:rsidRPr="00293D43">
        <w:rPr>
          <w:rFonts w:ascii="Palatino Linotype" w:hAnsi="Palatino Linotype" w:cstheme="minorHAnsi"/>
          <w:bCs/>
          <w:sz w:val="22"/>
          <w:szCs w:val="22"/>
          <w:lang w:val="en-US"/>
        </w:rPr>
        <w:t>monetary policy implemented by the Central Bank of Turkey</w:t>
      </w:r>
      <w:r w:rsidR="00981D42" w:rsidRPr="00293D43">
        <w:rPr>
          <w:rFonts w:ascii="Palatino Linotype" w:hAnsi="Palatino Linotype" w:cstheme="minorHAnsi"/>
          <w:bCs/>
          <w:sz w:val="22"/>
          <w:szCs w:val="22"/>
          <w:lang w:val="en-US"/>
        </w:rPr>
        <w:t>. The second</w:t>
      </w:r>
      <w:r w:rsidR="005C4436">
        <w:rPr>
          <w:rFonts w:ascii="Palatino Linotype" w:hAnsi="Palatino Linotype" w:cstheme="minorHAnsi"/>
          <w:bCs/>
          <w:sz w:val="22"/>
          <w:szCs w:val="22"/>
          <w:lang w:val="en-US"/>
        </w:rPr>
        <w:t xml:space="preserve"> </w:t>
      </w:r>
      <w:r w:rsidR="005C4436" w:rsidRPr="00293D43">
        <w:rPr>
          <w:rFonts w:ascii="Palatino Linotype" w:hAnsi="Palatino Linotype" w:cstheme="minorHAnsi"/>
          <w:bCs/>
          <w:sz w:val="22"/>
          <w:szCs w:val="22"/>
          <w:lang w:val="en-US"/>
        </w:rPr>
        <w:t>one is the uncertainty around the pandemic</w:t>
      </w:r>
      <w:r w:rsidR="00293D43">
        <w:rPr>
          <w:rFonts w:ascii="Palatino Linotype" w:hAnsi="Palatino Linotype" w:cstheme="minorHAnsi"/>
          <w:bCs/>
          <w:sz w:val="22"/>
          <w:szCs w:val="22"/>
          <w:lang w:val="en-US"/>
        </w:rPr>
        <w:t xml:space="preserve">. </w:t>
      </w:r>
      <w:r w:rsidR="00A33E71">
        <w:rPr>
          <w:rFonts w:ascii="Palatino Linotype" w:hAnsi="Palatino Linotype" w:cstheme="minorHAnsi"/>
          <w:bCs/>
          <w:sz w:val="22"/>
          <w:szCs w:val="22"/>
          <w:lang w:val="en-US"/>
        </w:rPr>
        <w:t xml:space="preserve">These two factors may induce the private investors to limit or defer their investments. </w:t>
      </w:r>
    </w:p>
    <w:p w14:paraId="12200A18" w14:textId="09D5FB7F" w:rsidR="00A12631" w:rsidRDefault="00A12631">
      <w:pPr>
        <w:spacing w:after="160" w:line="259" w:lineRule="auto"/>
        <w:rPr>
          <w:rFonts w:ascii="Palatino Linotype" w:hAnsi="Palatino Linotype" w:cstheme="minorHAnsi"/>
          <w:bCs/>
          <w:sz w:val="22"/>
          <w:szCs w:val="22"/>
          <w:lang w:val="en-US"/>
        </w:rPr>
      </w:pPr>
    </w:p>
    <w:p w14:paraId="61C8E3D1" w14:textId="77777777" w:rsidR="00A12631" w:rsidRPr="00155A64" w:rsidRDefault="00A12631" w:rsidP="00A12631">
      <w:pPr>
        <w:pStyle w:val="NormalWeb"/>
        <w:spacing w:before="0" w:beforeAutospacing="0" w:after="0" w:afterAutospacing="0" w:line="360" w:lineRule="auto"/>
        <w:ind w:right="77"/>
        <w:rPr>
          <w:rFonts w:ascii="Palatino Linotype" w:hAnsi="Palatino Linotype" w:cstheme="minorHAnsi"/>
          <w:b/>
          <w:bCs/>
          <w:sz w:val="21"/>
          <w:szCs w:val="21"/>
          <w:lang w:val="en-US"/>
        </w:rPr>
      </w:pPr>
      <w:r w:rsidRPr="00155A64">
        <w:rPr>
          <w:rFonts w:ascii="Palatino Linotype" w:hAnsi="Palatino Linotype" w:cstheme="minorHAnsi"/>
          <w:b/>
          <w:bCs/>
          <w:sz w:val="21"/>
          <w:szCs w:val="21"/>
          <w:lang w:val="en-US"/>
        </w:rPr>
        <w:t>Figure 2: GDP growth rates compared to the previous quarter and same quarter of last year</w:t>
      </w:r>
      <w:r w:rsidRPr="00155A64">
        <w:rPr>
          <w:noProof/>
          <w:sz w:val="21"/>
          <w:szCs w:val="21"/>
          <w:lang w:val="en-US" w:eastAsia="en-GB"/>
        </w:rPr>
        <w:t xml:space="preserve"> </w:t>
      </w:r>
      <w:r w:rsidRPr="00155A64">
        <w:rPr>
          <w:noProof/>
          <w:lang w:val="en-US"/>
        </w:rPr>
        <w:t xml:space="preserve"> </w:t>
      </w:r>
    </w:p>
    <w:p w14:paraId="61CBC934" w14:textId="2261E260" w:rsidR="00A12631" w:rsidRDefault="003464FE" w:rsidP="00A12631">
      <w:pPr>
        <w:pStyle w:val="NormalWeb"/>
        <w:spacing w:before="0" w:beforeAutospacing="0" w:after="0" w:afterAutospacing="0" w:line="360" w:lineRule="auto"/>
        <w:ind w:right="77"/>
        <w:jc w:val="both"/>
        <w:rPr>
          <w:rFonts w:ascii="Palatino Linotype" w:hAnsi="Palatino Linotype" w:cstheme="minorHAnsi"/>
          <w:noProof/>
          <w:sz w:val="18"/>
          <w:szCs w:val="18"/>
          <w:lang w:val="en-US"/>
        </w:rPr>
      </w:pPr>
      <w:r>
        <w:rPr>
          <w:rFonts w:ascii="Palatino Linotype" w:hAnsi="Palatino Linotype" w:cstheme="minorHAnsi"/>
          <w:noProof/>
          <w:sz w:val="18"/>
          <w:szCs w:val="18"/>
        </w:rPr>
        <w:drawing>
          <wp:inline distT="0" distB="0" distL="0" distR="0" wp14:anchorId="33A26353" wp14:editId="5F92EB83">
            <wp:extent cx="5779770" cy="36398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9770" cy="3639820"/>
                    </a:xfrm>
                    <a:prstGeom prst="rect">
                      <a:avLst/>
                    </a:prstGeom>
                    <a:noFill/>
                  </pic:spPr>
                </pic:pic>
              </a:graphicData>
            </a:graphic>
          </wp:inline>
        </w:drawing>
      </w:r>
    </w:p>
    <w:p w14:paraId="79047BBA" w14:textId="61F2BFD5" w:rsidR="001A080D" w:rsidRPr="006679E6" w:rsidRDefault="00A12631" w:rsidP="00A12631">
      <w:pPr>
        <w:pStyle w:val="NormalWeb"/>
        <w:spacing w:before="0" w:beforeAutospacing="0" w:after="0" w:afterAutospacing="0" w:line="360" w:lineRule="auto"/>
        <w:ind w:right="77"/>
        <w:jc w:val="both"/>
        <w:rPr>
          <w:rFonts w:ascii="Palatino Linotype" w:hAnsi="Palatino Linotype" w:cstheme="minorHAnsi"/>
          <w:bCs/>
          <w:sz w:val="22"/>
          <w:szCs w:val="22"/>
          <w:lang w:val="en-US"/>
        </w:rPr>
      </w:pPr>
      <w:r w:rsidRPr="00155A64">
        <w:rPr>
          <w:rFonts w:ascii="Palatino Linotype" w:hAnsi="Palatino Linotype" w:cstheme="minorHAnsi"/>
          <w:sz w:val="18"/>
          <w:szCs w:val="18"/>
          <w:lang w:val="en-US"/>
        </w:rPr>
        <w:t xml:space="preserve">Source: </w:t>
      </w:r>
      <w:proofErr w:type="spellStart"/>
      <w:r w:rsidRPr="00155A64">
        <w:rPr>
          <w:rFonts w:ascii="Palatino Linotype" w:hAnsi="Palatino Linotype" w:cstheme="minorHAnsi"/>
          <w:sz w:val="18"/>
          <w:szCs w:val="18"/>
          <w:lang w:val="en-US"/>
        </w:rPr>
        <w:t>TurkStat</w:t>
      </w:r>
      <w:proofErr w:type="spellEnd"/>
      <w:r w:rsidRPr="00155A64">
        <w:rPr>
          <w:rFonts w:ascii="Palatino Linotype" w:hAnsi="Palatino Linotype" w:cstheme="minorHAnsi"/>
          <w:sz w:val="18"/>
          <w:szCs w:val="18"/>
          <w:lang w:val="en-US"/>
        </w:rPr>
        <w:t xml:space="preserve">, </w:t>
      </w:r>
      <w:proofErr w:type="spellStart"/>
      <w:r w:rsidRPr="00155A64">
        <w:rPr>
          <w:rFonts w:ascii="Palatino Linotype" w:hAnsi="Palatino Linotype" w:cstheme="minorHAnsi"/>
          <w:sz w:val="18"/>
          <w:szCs w:val="18"/>
          <w:lang w:val="en-US"/>
        </w:rPr>
        <w:t>Betam</w:t>
      </w:r>
      <w:proofErr w:type="spellEnd"/>
    </w:p>
    <w:sectPr w:rsidR="001A080D" w:rsidRPr="006679E6"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915DD" w14:textId="77777777" w:rsidR="003C795F" w:rsidRDefault="003C795F" w:rsidP="00DA0C5D">
      <w:r>
        <w:separator/>
      </w:r>
    </w:p>
  </w:endnote>
  <w:endnote w:type="continuationSeparator" w:id="0">
    <w:p w14:paraId="565D7EF8" w14:textId="77777777" w:rsidR="003C795F" w:rsidRDefault="003C795F"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87957" w14:textId="77777777" w:rsidR="003C795F" w:rsidRDefault="003C795F" w:rsidP="00DA0C5D">
      <w:r>
        <w:separator/>
      </w:r>
    </w:p>
  </w:footnote>
  <w:footnote w:type="continuationSeparator" w:id="0">
    <w:p w14:paraId="633A7AE8" w14:textId="77777777" w:rsidR="003C795F" w:rsidRDefault="003C795F" w:rsidP="00DA0C5D">
      <w:r>
        <w:continuationSeparator/>
      </w:r>
    </w:p>
  </w:footnote>
  <w:footnote w:id="1">
    <w:p w14:paraId="6D61CC27" w14:textId="77777777" w:rsidR="00C32789" w:rsidRDefault="00C32789">
      <w:pPr>
        <w:pStyle w:val="FootnoteText"/>
      </w:pPr>
      <w:r>
        <w:rPr>
          <w:rStyle w:val="FootnoteReference"/>
        </w:rPr>
        <w:footnoteRef/>
      </w:r>
      <w:r w:rsidR="001866FC">
        <w:t xml:space="preserve"> </w:t>
      </w:r>
      <w:r w:rsidRPr="001866FC">
        <w:rPr>
          <w:rFonts w:ascii="Palatino Linotype" w:hAnsi="Palatino Linotype"/>
          <w:sz w:val="18"/>
          <w:szCs w:val="18"/>
        </w:rPr>
        <w:t>Betam, ozan.bakis@eas.bau.edu.tr</w:t>
      </w:r>
    </w:p>
  </w:footnote>
  <w:footnote w:id="2">
    <w:p w14:paraId="5BE1DCEB" w14:textId="183F5C82" w:rsidR="001537D8" w:rsidRDefault="001537D8" w:rsidP="001537D8">
      <w:pPr>
        <w:pStyle w:val="FootnoteText"/>
      </w:pPr>
      <w:r>
        <w:rPr>
          <w:rStyle w:val="FootnoteReference"/>
        </w:rPr>
        <w:footnoteRef/>
      </w:r>
      <w:r w:rsidR="001866FC">
        <w:t xml:space="preserve"> </w:t>
      </w:r>
      <w:r w:rsidRPr="001866FC">
        <w:rPr>
          <w:rFonts w:ascii="Palatino Linotype" w:hAnsi="Palatino Linotype"/>
          <w:sz w:val="18"/>
          <w:szCs w:val="18"/>
        </w:rPr>
        <w:t>Betam,</w:t>
      </w:r>
      <w:r w:rsidR="00302EDD">
        <w:rPr>
          <w:rFonts w:ascii="Palatino Linotype" w:hAnsi="Palatino Linotype"/>
          <w:sz w:val="18"/>
          <w:szCs w:val="18"/>
        </w:rPr>
        <w:t xml:space="preserve"> </w:t>
      </w:r>
      <w:r w:rsidR="008B0385">
        <w:rPr>
          <w:rFonts w:ascii="Palatino Linotype" w:hAnsi="Palatino Linotype"/>
          <w:sz w:val="18"/>
          <w:szCs w:val="18"/>
        </w:rPr>
        <w:t>gokhan.dilek</w:t>
      </w:r>
      <w:r w:rsidRPr="001866FC">
        <w:rPr>
          <w:rFonts w:ascii="Palatino Linotype" w:hAnsi="Palatino Linotype"/>
          <w:sz w:val="18"/>
          <w:szCs w:val="18"/>
        </w:rPr>
        <w:t>@eas.bau.edu.tr</w:t>
      </w:r>
      <w:r>
        <w:t xml:space="preserve"> </w:t>
      </w:r>
    </w:p>
  </w:footnote>
  <w:footnote w:id="3">
    <w:p w14:paraId="02E4FAD1" w14:textId="1EDCF60B" w:rsidR="00494926" w:rsidRPr="008273F1" w:rsidRDefault="00494926">
      <w:pPr>
        <w:pStyle w:val="FootnoteText"/>
        <w:rPr>
          <w:lang w:val="en-US"/>
        </w:rPr>
      </w:pPr>
      <w:r w:rsidRPr="008273F1">
        <w:rPr>
          <w:rStyle w:val="FootnoteReference"/>
          <w:lang w:val="en-US"/>
        </w:rPr>
        <w:footnoteRef/>
      </w:r>
      <w:r w:rsidRPr="008273F1">
        <w:rPr>
          <w:lang w:val="en-US"/>
        </w:rPr>
        <w:t xml:space="preserve"> </w:t>
      </w:r>
      <w:proofErr w:type="spellStart"/>
      <w:r w:rsidR="008273F1" w:rsidRPr="008273F1">
        <w:rPr>
          <w:lang w:val="en-US"/>
        </w:rPr>
        <w:t>TurkStat</w:t>
      </w:r>
      <w:proofErr w:type="spellEnd"/>
      <w:r w:rsidR="008273F1" w:rsidRPr="008273F1">
        <w:rPr>
          <w:lang w:val="en-US"/>
        </w:rPr>
        <w:t xml:space="preserve"> uses the chained volume index method when calculating new national income series. The contribution to growth of the inventory change cannot be easily calculated because there is an additivity problem in the chain method and a chain index cannot be derived for the "changes in inventories". We discussed in detail in the research note that we recently published how to account for the contribution of inventory change to growth in the chain-volume index approach (see </w:t>
      </w:r>
      <w:proofErr w:type="spellStart"/>
      <w:r w:rsidR="008273F1" w:rsidRPr="008273F1">
        <w:rPr>
          <w:lang w:val="en-US"/>
        </w:rPr>
        <w:t>Betam</w:t>
      </w:r>
      <w:proofErr w:type="spellEnd"/>
      <w:r w:rsidR="008273F1" w:rsidRPr="008273F1">
        <w:rPr>
          <w:lang w:val="en-US"/>
        </w:rPr>
        <w:t xml:space="preserve"> Research Note 17/217).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MzQ1MzcytDQzNrBU0lEKTi0uzszPAykwqgUAhAyGoiwAAAA="/>
  </w:docVars>
  <w:rsids>
    <w:rsidRoot w:val="00D07713"/>
    <w:rsid w:val="0000013E"/>
    <w:rsid w:val="0000228F"/>
    <w:rsid w:val="00006890"/>
    <w:rsid w:val="00007C3F"/>
    <w:rsid w:val="0001392F"/>
    <w:rsid w:val="000141C7"/>
    <w:rsid w:val="00017B51"/>
    <w:rsid w:val="00030A2C"/>
    <w:rsid w:val="00036770"/>
    <w:rsid w:val="000404B3"/>
    <w:rsid w:val="00041FB7"/>
    <w:rsid w:val="0004390D"/>
    <w:rsid w:val="00044AF3"/>
    <w:rsid w:val="00044D9E"/>
    <w:rsid w:val="0004588B"/>
    <w:rsid w:val="0005290F"/>
    <w:rsid w:val="00052B86"/>
    <w:rsid w:val="00054943"/>
    <w:rsid w:val="00055EA1"/>
    <w:rsid w:val="000561F7"/>
    <w:rsid w:val="00057F8E"/>
    <w:rsid w:val="00062A8A"/>
    <w:rsid w:val="000652B6"/>
    <w:rsid w:val="00070018"/>
    <w:rsid w:val="000725DB"/>
    <w:rsid w:val="00073415"/>
    <w:rsid w:val="000753CE"/>
    <w:rsid w:val="000769CF"/>
    <w:rsid w:val="00080211"/>
    <w:rsid w:val="00080336"/>
    <w:rsid w:val="00085271"/>
    <w:rsid w:val="00087011"/>
    <w:rsid w:val="000905E5"/>
    <w:rsid w:val="00091F3E"/>
    <w:rsid w:val="00096CDA"/>
    <w:rsid w:val="00097794"/>
    <w:rsid w:val="000978C8"/>
    <w:rsid w:val="000A05ED"/>
    <w:rsid w:val="000A3019"/>
    <w:rsid w:val="000A612E"/>
    <w:rsid w:val="000B0D12"/>
    <w:rsid w:val="000B0FC1"/>
    <w:rsid w:val="000B45D6"/>
    <w:rsid w:val="000C1672"/>
    <w:rsid w:val="000C5C80"/>
    <w:rsid w:val="000C634D"/>
    <w:rsid w:val="000D5FD3"/>
    <w:rsid w:val="000D6E6C"/>
    <w:rsid w:val="000D70D1"/>
    <w:rsid w:val="000E2388"/>
    <w:rsid w:val="000E445D"/>
    <w:rsid w:val="000F0B6B"/>
    <w:rsid w:val="000F2C7A"/>
    <w:rsid w:val="000F378E"/>
    <w:rsid w:val="000F6529"/>
    <w:rsid w:val="001004FF"/>
    <w:rsid w:val="0010209C"/>
    <w:rsid w:val="00111CED"/>
    <w:rsid w:val="00114BBE"/>
    <w:rsid w:val="0011613D"/>
    <w:rsid w:val="001239FD"/>
    <w:rsid w:val="0012527F"/>
    <w:rsid w:val="00125770"/>
    <w:rsid w:val="00126200"/>
    <w:rsid w:val="00130D73"/>
    <w:rsid w:val="00132910"/>
    <w:rsid w:val="00140468"/>
    <w:rsid w:val="00143F17"/>
    <w:rsid w:val="0014542A"/>
    <w:rsid w:val="00150FFB"/>
    <w:rsid w:val="001527FA"/>
    <w:rsid w:val="001537D8"/>
    <w:rsid w:val="001540B7"/>
    <w:rsid w:val="0016084A"/>
    <w:rsid w:val="00160880"/>
    <w:rsid w:val="001648AB"/>
    <w:rsid w:val="00173CB3"/>
    <w:rsid w:val="001744CD"/>
    <w:rsid w:val="00176914"/>
    <w:rsid w:val="00177002"/>
    <w:rsid w:val="001777A4"/>
    <w:rsid w:val="00184174"/>
    <w:rsid w:val="00184B02"/>
    <w:rsid w:val="001851FE"/>
    <w:rsid w:val="001855BC"/>
    <w:rsid w:val="001866FC"/>
    <w:rsid w:val="00190944"/>
    <w:rsid w:val="00194FF2"/>
    <w:rsid w:val="001978A0"/>
    <w:rsid w:val="001A080D"/>
    <w:rsid w:val="001A42FF"/>
    <w:rsid w:val="001A5699"/>
    <w:rsid w:val="001B371C"/>
    <w:rsid w:val="001B3A44"/>
    <w:rsid w:val="001C2763"/>
    <w:rsid w:val="001C2C68"/>
    <w:rsid w:val="001C65BF"/>
    <w:rsid w:val="001C7370"/>
    <w:rsid w:val="001D0150"/>
    <w:rsid w:val="001D2107"/>
    <w:rsid w:val="001D36E7"/>
    <w:rsid w:val="001D420E"/>
    <w:rsid w:val="001D5B02"/>
    <w:rsid w:val="001D6465"/>
    <w:rsid w:val="001D7073"/>
    <w:rsid w:val="001D7513"/>
    <w:rsid w:val="001E181B"/>
    <w:rsid w:val="001E2E49"/>
    <w:rsid w:val="001E495B"/>
    <w:rsid w:val="001E514D"/>
    <w:rsid w:val="001E72E4"/>
    <w:rsid w:val="001F12E3"/>
    <w:rsid w:val="001F1554"/>
    <w:rsid w:val="001F2DE9"/>
    <w:rsid w:val="001F5841"/>
    <w:rsid w:val="001F7B1D"/>
    <w:rsid w:val="001F7BC7"/>
    <w:rsid w:val="00201E79"/>
    <w:rsid w:val="00202302"/>
    <w:rsid w:val="00205844"/>
    <w:rsid w:val="00206F72"/>
    <w:rsid w:val="002106DF"/>
    <w:rsid w:val="00211E95"/>
    <w:rsid w:val="00212579"/>
    <w:rsid w:val="00212782"/>
    <w:rsid w:val="00214914"/>
    <w:rsid w:val="00214B5E"/>
    <w:rsid w:val="0022637C"/>
    <w:rsid w:val="0022673E"/>
    <w:rsid w:val="00232635"/>
    <w:rsid w:val="002343A8"/>
    <w:rsid w:val="00235DBE"/>
    <w:rsid w:val="00242C10"/>
    <w:rsid w:val="00247A3C"/>
    <w:rsid w:val="0025111C"/>
    <w:rsid w:val="00253E19"/>
    <w:rsid w:val="00265553"/>
    <w:rsid w:val="002663FD"/>
    <w:rsid w:val="002676CD"/>
    <w:rsid w:val="00267F48"/>
    <w:rsid w:val="00270A75"/>
    <w:rsid w:val="002714F9"/>
    <w:rsid w:val="00272912"/>
    <w:rsid w:val="002729B4"/>
    <w:rsid w:val="002755D9"/>
    <w:rsid w:val="00275745"/>
    <w:rsid w:val="002804E5"/>
    <w:rsid w:val="00282242"/>
    <w:rsid w:val="002829BC"/>
    <w:rsid w:val="002847DE"/>
    <w:rsid w:val="0028498B"/>
    <w:rsid w:val="0029215C"/>
    <w:rsid w:val="00293D43"/>
    <w:rsid w:val="00295E9A"/>
    <w:rsid w:val="0029623C"/>
    <w:rsid w:val="0029624E"/>
    <w:rsid w:val="002A037D"/>
    <w:rsid w:val="002A07A9"/>
    <w:rsid w:val="002A16BA"/>
    <w:rsid w:val="002A57DB"/>
    <w:rsid w:val="002A7C37"/>
    <w:rsid w:val="002B2172"/>
    <w:rsid w:val="002B2A1B"/>
    <w:rsid w:val="002B3C10"/>
    <w:rsid w:val="002B4A1A"/>
    <w:rsid w:val="002C00A1"/>
    <w:rsid w:val="002C4CC7"/>
    <w:rsid w:val="002C4E2F"/>
    <w:rsid w:val="002C5C24"/>
    <w:rsid w:val="002C64BB"/>
    <w:rsid w:val="002D1797"/>
    <w:rsid w:val="002D4D2D"/>
    <w:rsid w:val="002F2245"/>
    <w:rsid w:val="002F26B4"/>
    <w:rsid w:val="002F2D70"/>
    <w:rsid w:val="002F3163"/>
    <w:rsid w:val="002F63B2"/>
    <w:rsid w:val="00302EDD"/>
    <w:rsid w:val="003061DC"/>
    <w:rsid w:val="003079ED"/>
    <w:rsid w:val="00310C5C"/>
    <w:rsid w:val="00311EFF"/>
    <w:rsid w:val="003162CB"/>
    <w:rsid w:val="003172DB"/>
    <w:rsid w:val="0032176F"/>
    <w:rsid w:val="00321D78"/>
    <w:rsid w:val="0032280F"/>
    <w:rsid w:val="0032324A"/>
    <w:rsid w:val="00324C51"/>
    <w:rsid w:val="00325894"/>
    <w:rsid w:val="00326195"/>
    <w:rsid w:val="00326678"/>
    <w:rsid w:val="00327CFB"/>
    <w:rsid w:val="00334E27"/>
    <w:rsid w:val="0033649B"/>
    <w:rsid w:val="00344A74"/>
    <w:rsid w:val="003464FE"/>
    <w:rsid w:val="00351F12"/>
    <w:rsid w:val="00362359"/>
    <w:rsid w:val="00364AAB"/>
    <w:rsid w:val="00370A07"/>
    <w:rsid w:val="00370FEE"/>
    <w:rsid w:val="00375EB0"/>
    <w:rsid w:val="003771C7"/>
    <w:rsid w:val="003777B5"/>
    <w:rsid w:val="00385A29"/>
    <w:rsid w:val="00385C7B"/>
    <w:rsid w:val="003967B5"/>
    <w:rsid w:val="003A488B"/>
    <w:rsid w:val="003A4C32"/>
    <w:rsid w:val="003A7596"/>
    <w:rsid w:val="003B2008"/>
    <w:rsid w:val="003B2D0B"/>
    <w:rsid w:val="003C267D"/>
    <w:rsid w:val="003C2891"/>
    <w:rsid w:val="003C65A1"/>
    <w:rsid w:val="003C795F"/>
    <w:rsid w:val="003D4202"/>
    <w:rsid w:val="003D44CE"/>
    <w:rsid w:val="003D4627"/>
    <w:rsid w:val="003E1EED"/>
    <w:rsid w:val="003E3299"/>
    <w:rsid w:val="003E5C0F"/>
    <w:rsid w:val="003F00A9"/>
    <w:rsid w:val="003F4E89"/>
    <w:rsid w:val="004017B2"/>
    <w:rsid w:val="00401813"/>
    <w:rsid w:val="0040374C"/>
    <w:rsid w:val="004040C3"/>
    <w:rsid w:val="00405BD8"/>
    <w:rsid w:val="00407C84"/>
    <w:rsid w:val="00416A4B"/>
    <w:rsid w:val="00417F6E"/>
    <w:rsid w:val="00424382"/>
    <w:rsid w:val="00431236"/>
    <w:rsid w:val="00431C38"/>
    <w:rsid w:val="00433A75"/>
    <w:rsid w:val="004426B4"/>
    <w:rsid w:val="004435E3"/>
    <w:rsid w:val="00443C08"/>
    <w:rsid w:val="00447743"/>
    <w:rsid w:val="00450CEA"/>
    <w:rsid w:val="00451A8A"/>
    <w:rsid w:val="004623F2"/>
    <w:rsid w:val="004647F0"/>
    <w:rsid w:val="00476131"/>
    <w:rsid w:val="00476E22"/>
    <w:rsid w:val="00477AED"/>
    <w:rsid w:val="00480684"/>
    <w:rsid w:val="00483EC5"/>
    <w:rsid w:val="0048774D"/>
    <w:rsid w:val="00490AAE"/>
    <w:rsid w:val="00492020"/>
    <w:rsid w:val="004931A5"/>
    <w:rsid w:val="00494926"/>
    <w:rsid w:val="004A4910"/>
    <w:rsid w:val="004B0D97"/>
    <w:rsid w:val="004B130D"/>
    <w:rsid w:val="004B6E05"/>
    <w:rsid w:val="004B7166"/>
    <w:rsid w:val="004C548E"/>
    <w:rsid w:val="004D1FAD"/>
    <w:rsid w:val="004D626D"/>
    <w:rsid w:val="004D6586"/>
    <w:rsid w:val="004E0098"/>
    <w:rsid w:val="004E5018"/>
    <w:rsid w:val="004F0543"/>
    <w:rsid w:val="004F10AB"/>
    <w:rsid w:val="004F4BDC"/>
    <w:rsid w:val="0050008F"/>
    <w:rsid w:val="005020BC"/>
    <w:rsid w:val="005033DB"/>
    <w:rsid w:val="00505041"/>
    <w:rsid w:val="00506253"/>
    <w:rsid w:val="00507586"/>
    <w:rsid w:val="00510883"/>
    <w:rsid w:val="00513359"/>
    <w:rsid w:val="005150C1"/>
    <w:rsid w:val="00521326"/>
    <w:rsid w:val="005225E0"/>
    <w:rsid w:val="00530B9F"/>
    <w:rsid w:val="0053582F"/>
    <w:rsid w:val="0053586E"/>
    <w:rsid w:val="005412B2"/>
    <w:rsid w:val="0054145E"/>
    <w:rsid w:val="00542345"/>
    <w:rsid w:val="005438B0"/>
    <w:rsid w:val="00544773"/>
    <w:rsid w:val="005600E7"/>
    <w:rsid w:val="00566223"/>
    <w:rsid w:val="00570C1B"/>
    <w:rsid w:val="00572FD8"/>
    <w:rsid w:val="005748A8"/>
    <w:rsid w:val="005824BD"/>
    <w:rsid w:val="0058588C"/>
    <w:rsid w:val="00586424"/>
    <w:rsid w:val="005A2246"/>
    <w:rsid w:val="005A3B33"/>
    <w:rsid w:val="005A617F"/>
    <w:rsid w:val="005B35F3"/>
    <w:rsid w:val="005B67B3"/>
    <w:rsid w:val="005C00FE"/>
    <w:rsid w:val="005C08B0"/>
    <w:rsid w:val="005C4436"/>
    <w:rsid w:val="005C51D9"/>
    <w:rsid w:val="005C6245"/>
    <w:rsid w:val="005D00FB"/>
    <w:rsid w:val="005D27F8"/>
    <w:rsid w:val="005D2979"/>
    <w:rsid w:val="005D3C96"/>
    <w:rsid w:val="005D4126"/>
    <w:rsid w:val="005D72F5"/>
    <w:rsid w:val="005D7F3E"/>
    <w:rsid w:val="005E2717"/>
    <w:rsid w:val="005E458B"/>
    <w:rsid w:val="005E49F0"/>
    <w:rsid w:val="005F0C29"/>
    <w:rsid w:val="005F0FF9"/>
    <w:rsid w:val="005F26AF"/>
    <w:rsid w:val="005F63C3"/>
    <w:rsid w:val="005F69B2"/>
    <w:rsid w:val="005F7787"/>
    <w:rsid w:val="00602C2B"/>
    <w:rsid w:val="0060593A"/>
    <w:rsid w:val="00610889"/>
    <w:rsid w:val="0061333E"/>
    <w:rsid w:val="006138F0"/>
    <w:rsid w:val="00613D1F"/>
    <w:rsid w:val="0061410A"/>
    <w:rsid w:val="00625B95"/>
    <w:rsid w:val="006268DA"/>
    <w:rsid w:val="006318CD"/>
    <w:rsid w:val="00631D5B"/>
    <w:rsid w:val="00632221"/>
    <w:rsid w:val="006324E3"/>
    <w:rsid w:val="00632CF6"/>
    <w:rsid w:val="0064012D"/>
    <w:rsid w:val="00643113"/>
    <w:rsid w:val="006432C9"/>
    <w:rsid w:val="006439C5"/>
    <w:rsid w:val="00643F5D"/>
    <w:rsid w:val="0064483B"/>
    <w:rsid w:val="00645147"/>
    <w:rsid w:val="00647318"/>
    <w:rsid w:val="0064747F"/>
    <w:rsid w:val="00647792"/>
    <w:rsid w:val="00650BB3"/>
    <w:rsid w:val="006549E3"/>
    <w:rsid w:val="00655938"/>
    <w:rsid w:val="00655B95"/>
    <w:rsid w:val="00657B23"/>
    <w:rsid w:val="006679E6"/>
    <w:rsid w:val="0067008D"/>
    <w:rsid w:val="0067066F"/>
    <w:rsid w:val="006761BB"/>
    <w:rsid w:val="0067693E"/>
    <w:rsid w:val="00680AE4"/>
    <w:rsid w:val="00680E36"/>
    <w:rsid w:val="00681022"/>
    <w:rsid w:val="006813D8"/>
    <w:rsid w:val="00681AD9"/>
    <w:rsid w:val="00694B4D"/>
    <w:rsid w:val="00694F52"/>
    <w:rsid w:val="00695471"/>
    <w:rsid w:val="006A201E"/>
    <w:rsid w:val="006A308B"/>
    <w:rsid w:val="006B0633"/>
    <w:rsid w:val="006C122C"/>
    <w:rsid w:val="006C3EE6"/>
    <w:rsid w:val="006C49A7"/>
    <w:rsid w:val="006D02FD"/>
    <w:rsid w:val="006D160C"/>
    <w:rsid w:val="006D1DD6"/>
    <w:rsid w:val="006D32A0"/>
    <w:rsid w:val="006E07BA"/>
    <w:rsid w:val="006F0FC6"/>
    <w:rsid w:val="006F1912"/>
    <w:rsid w:val="006F2CD8"/>
    <w:rsid w:val="006F49E7"/>
    <w:rsid w:val="006F5E82"/>
    <w:rsid w:val="006F615A"/>
    <w:rsid w:val="007011B6"/>
    <w:rsid w:val="0070188F"/>
    <w:rsid w:val="00703D6B"/>
    <w:rsid w:val="00707FBD"/>
    <w:rsid w:val="00711A8A"/>
    <w:rsid w:val="007135FC"/>
    <w:rsid w:val="007201BD"/>
    <w:rsid w:val="00720250"/>
    <w:rsid w:val="007224AF"/>
    <w:rsid w:val="00724E7C"/>
    <w:rsid w:val="00731521"/>
    <w:rsid w:val="007362AC"/>
    <w:rsid w:val="0074205B"/>
    <w:rsid w:val="0075142F"/>
    <w:rsid w:val="00751F72"/>
    <w:rsid w:val="007559DB"/>
    <w:rsid w:val="00761711"/>
    <w:rsid w:val="00765445"/>
    <w:rsid w:val="0077111C"/>
    <w:rsid w:val="007715F2"/>
    <w:rsid w:val="00773A17"/>
    <w:rsid w:val="00773D69"/>
    <w:rsid w:val="00773D8B"/>
    <w:rsid w:val="00776789"/>
    <w:rsid w:val="00777AEF"/>
    <w:rsid w:val="00783CD4"/>
    <w:rsid w:val="0079216E"/>
    <w:rsid w:val="00792F4E"/>
    <w:rsid w:val="00797437"/>
    <w:rsid w:val="007A0DBE"/>
    <w:rsid w:val="007A1767"/>
    <w:rsid w:val="007A5FB1"/>
    <w:rsid w:val="007B5A28"/>
    <w:rsid w:val="007B70AD"/>
    <w:rsid w:val="007C1995"/>
    <w:rsid w:val="007C462A"/>
    <w:rsid w:val="007D4953"/>
    <w:rsid w:val="007F13F2"/>
    <w:rsid w:val="007F39BB"/>
    <w:rsid w:val="007F3B7C"/>
    <w:rsid w:val="007F3C9B"/>
    <w:rsid w:val="008057C2"/>
    <w:rsid w:val="008063E6"/>
    <w:rsid w:val="0081114C"/>
    <w:rsid w:val="008151D2"/>
    <w:rsid w:val="0081589C"/>
    <w:rsid w:val="00817A10"/>
    <w:rsid w:val="008273F1"/>
    <w:rsid w:val="008275A8"/>
    <w:rsid w:val="00830B62"/>
    <w:rsid w:val="008312F9"/>
    <w:rsid w:val="00832402"/>
    <w:rsid w:val="00835D87"/>
    <w:rsid w:val="0083655C"/>
    <w:rsid w:val="00837B95"/>
    <w:rsid w:val="00841E4C"/>
    <w:rsid w:val="00844C00"/>
    <w:rsid w:val="00844C47"/>
    <w:rsid w:val="0084500C"/>
    <w:rsid w:val="00845815"/>
    <w:rsid w:val="00845A54"/>
    <w:rsid w:val="0084623F"/>
    <w:rsid w:val="008469D3"/>
    <w:rsid w:val="00856B55"/>
    <w:rsid w:val="0086495E"/>
    <w:rsid w:val="00865CE6"/>
    <w:rsid w:val="00867DEE"/>
    <w:rsid w:val="0087023B"/>
    <w:rsid w:val="00870A3F"/>
    <w:rsid w:val="008753B3"/>
    <w:rsid w:val="0088079F"/>
    <w:rsid w:val="00881E18"/>
    <w:rsid w:val="0088270D"/>
    <w:rsid w:val="00884819"/>
    <w:rsid w:val="0089048A"/>
    <w:rsid w:val="008914E6"/>
    <w:rsid w:val="0089158B"/>
    <w:rsid w:val="00891C6B"/>
    <w:rsid w:val="00893320"/>
    <w:rsid w:val="008945AE"/>
    <w:rsid w:val="008949E0"/>
    <w:rsid w:val="008A3BD9"/>
    <w:rsid w:val="008B0385"/>
    <w:rsid w:val="008B29F8"/>
    <w:rsid w:val="008B6FC3"/>
    <w:rsid w:val="008C51CA"/>
    <w:rsid w:val="008C56F9"/>
    <w:rsid w:val="008C70C5"/>
    <w:rsid w:val="008C73E6"/>
    <w:rsid w:val="008D7AA2"/>
    <w:rsid w:val="008F1741"/>
    <w:rsid w:val="008F2BCD"/>
    <w:rsid w:val="00902A07"/>
    <w:rsid w:val="00912A8A"/>
    <w:rsid w:val="00914D26"/>
    <w:rsid w:val="0091617E"/>
    <w:rsid w:val="00916533"/>
    <w:rsid w:val="00916C78"/>
    <w:rsid w:val="00917330"/>
    <w:rsid w:val="009204AA"/>
    <w:rsid w:val="00920878"/>
    <w:rsid w:val="00920DA2"/>
    <w:rsid w:val="0092349F"/>
    <w:rsid w:val="009247BA"/>
    <w:rsid w:val="00924CD9"/>
    <w:rsid w:val="00927D28"/>
    <w:rsid w:val="00935D6E"/>
    <w:rsid w:val="00936595"/>
    <w:rsid w:val="009400E0"/>
    <w:rsid w:val="00940150"/>
    <w:rsid w:val="00940DA9"/>
    <w:rsid w:val="0094295F"/>
    <w:rsid w:val="009455F2"/>
    <w:rsid w:val="00945950"/>
    <w:rsid w:val="00955DC8"/>
    <w:rsid w:val="00955E90"/>
    <w:rsid w:val="00957FE5"/>
    <w:rsid w:val="00961F5B"/>
    <w:rsid w:val="00963B04"/>
    <w:rsid w:val="009663D6"/>
    <w:rsid w:val="00981D42"/>
    <w:rsid w:val="00982B22"/>
    <w:rsid w:val="0098310A"/>
    <w:rsid w:val="00983612"/>
    <w:rsid w:val="0098616F"/>
    <w:rsid w:val="00990E34"/>
    <w:rsid w:val="009928D9"/>
    <w:rsid w:val="00996151"/>
    <w:rsid w:val="00996EBD"/>
    <w:rsid w:val="00997694"/>
    <w:rsid w:val="00997713"/>
    <w:rsid w:val="00997C54"/>
    <w:rsid w:val="009A71AF"/>
    <w:rsid w:val="009B1546"/>
    <w:rsid w:val="009B16AD"/>
    <w:rsid w:val="009B2E56"/>
    <w:rsid w:val="009B3197"/>
    <w:rsid w:val="009B385A"/>
    <w:rsid w:val="009B651F"/>
    <w:rsid w:val="009C40EF"/>
    <w:rsid w:val="009C66C3"/>
    <w:rsid w:val="009D62AC"/>
    <w:rsid w:val="009D71BF"/>
    <w:rsid w:val="009E0348"/>
    <w:rsid w:val="009E25DA"/>
    <w:rsid w:val="009E2AA5"/>
    <w:rsid w:val="009E5241"/>
    <w:rsid w:val="009E68C6"/>
    <w:rsid w:val="009F23C4"/>
    <w:rsid w:val="009F2483"/>
    <w:rsid w:val="009F42CC"/>
    <w:rsid w:val="009F603E"/>
    <w:rsid w:val="00A0130D"/>
    <w:rsid w:val="00A03316"/>
    <w:rsid w:val="00A0483D"/>
    <w:rsid w:val="00A04EFA"/>
    <w:rsid w:val="00A06A3E"/>
    <w:rsid w:val="00A10891"/>
    <w:rsid w:val="00A109C3"/>
    <w:rsid w:val="00A12631"/>
    <w:rsid w:val="00A15DC3"/>
    <w:rsid w:val="00A2147D"/>
    <w:rsid w:val="00A251CD"/>
    <w:rsid w:val="00A25823"/>
    <w:rsid w:val="00A2601A"/>
    <w:rsid w:val="00A303D5"/>
    <w:rsid w:val="00A3095F"/>
    <w:rsid w:val="00A310EA"/>
    <w:rsid w:val="00A322AA"/>
    <w:rsid w:val="00A327F6"/>
    <w:rsid w:val="00A33E71"/>
    <w:rsid w:val="00A34DB9"/>
    <w:rsid w:val="00A40E31"/>
    <w:rsid w:val="00A444F9"/>
    <w:rsid w:val="00A46C4A"/>
    <w:rsid w:val="00A50FB7"/>
    <w:rsid w:val="00A6009C"/>
    <w:rsid w:val="00A603BC"/>
    <w:rsid w:val="00A6165E"/>
    <w:rsid w:val="00A648DB"/>
    <w:rsid w:val="00A675D3"/>
    <w:rsid w:val="00A719DB"/>
    <w:rsid w:val="00A73EA9"/>
    <w:rsid w:val="00A7662B"/>
    <w:rsid w:val="00A842EA"/>
    <w:rsid w:val="00A8572B"/>
    <w:rsid w:val="00A86808"/>
    <w:rsid w:val="00A874DA"/>
    <w:rsid w:val="00A90B4F"/>
    <w:rsid w:val="00A90F77"/>
    <w:rsid w:val="00A92286"/>
    <w:rsid w:val="00A9270B"/>
    <w:rsid w:val="00AA1706"/>
    <w:rsid w:val="00AA678E"/>
    <w:rsid w:val="00AB1006"/>
    <w:rsid w:val="00AB36F7"/>
    <w:rsid w:val="00AC2B3D"/>
    <w:rsid w:val="00AC59ED"/>
    <w:rsid w:val="00AD01B6"/>
    <w:rsid w:val="00AD7ADC"/>
    <w:rsid w:val="00AE59EE"/>
    <w:rsid w:val="00AF3D11"/>
    <w:rsid w:val="00B01508"/>
    <w:rsid w:val="00B01533"/>
    <w:rsid w:val="00B02076"/>
    <w:rsid w:val="00B02D74"/>
    <w:rsid w:val="00B119E3"/>
    <w:rsid w:val="00B17241"/>
    <w:rsid w:val="00B17B6A"/>
    <w:rsid w:val="00B215AC"/>
    <w:rsid w:val="00B24D13"/>
    <w:rsid w:val="00B27C9F"/>
    <w:rsid w:val="00B31FC9"/>
    <w:rsid w:val="00B34132"/>
    <w:rsid w:val="00B35FDB"/>
    <w:rsid w:val="00B366B7"/>
    <w:rsid w:val="00B36BFA"/>
    <w:rsid w:val="00B45DFF"/>
    <w:rsid w:val="00B4685F"/>
    <w:rsid w:val="00B5190A"/>
    <w:rsid w:val="00B56D03"/>
    <w:rsid w:val="00B62037"/>
    <w:rsid w:val="00B703DE"/>
    <w:rsid w:val="00B76782"/>
    <w:rsid w:val="00B82B92"/>
    <w:rsid w:val="00B9319A"/>
    <w:rsid w:val="00B95E66"/>
    <w:rsid w:val="00BA3C62"/>
    <w:rsid w:val="00BA5FF0"/>
    <w:rsid w:val="00BA7E44"/>
    <w:rsid w:val="00BB0912"/>
    <w:rsid w:val="00BB1741"/>
    <w:rsid w:val="00BB3448"/>
    <w:rsid w:val="00BB3FE6"/>
    <w:rsid w:val="00BB5725"/>
    <w:rsid w:val="00BC1EF8"/>
    <w:rsid w:val="00BD00B2"/>
    <w:rsid w:val="00BD51DF"/>
    <w:rsid w:val="00BD6621"/>
    <w:rsid w:val="00BD6EC8"/>
    <w:rsid w:val="00BD7F4E"/>
    <w:rsid w:val="00BE06CE"/>
    <w:rsid w:val="00BE1622"/>
    <w:rsid w:val="00BE280E"/>
    <w:rsid w:val="00BE6CCA"/>
    <w:rsid w:val="00BE7C49"/>
    <w:rsid w:val="00BF1EC4"/>
    <w:rsid w:val="00BF59B3"/>
    <w:rsid w:val="00C066D2"/>
    <w:rsid w:val="00C11B5A"/>
    <w:rsid w:val="00C126FC"/>
    <w:rsid w:val="00C1422A"/>
    <w:rsid w:val="00C14C86"/>
    <w:rsid w:val="00C167CC"/>
    <w:rsid w:val="00C21E02"/>
    <w:rsid w:val="00C26ED1"/>
    <w:rsid w:val="00C271FA"/>
    <w:rsid w:val="00C32789"/>
    <w:rsid w:val="00C34C5C"/>
    <w:rsid w:val="00C35660"/>
    <w:rsid w:val="00C43EBE"/>
    <w:rsid w:val="00C5056E"/>
    <w:rsid w:val="00C50FD5"/>
    <w:rsid w:val="00C53444"/>
    <w:rsid w:val="00C56C6E"/>
    <w:rsid w:val="00C57749"/>
    <w:rsid w:val="00C60221"/>
    <w:rsid w:val="00C6130D"/>
    <w:rsid w:val="00C7220A"/>
    <w:rsid w:val="00C73CC1"/>
    <w:rsid w:val="00C742C7"/>
    <w:rsid w:val="00C754E1"/>
    <w:rsid w:val="00C7698F"/>
    <w:rsid w:val="00C807B2"/>
    <w:rsid w:val="00C813E4"/>
    <w:rsid w:val="00C82B14"/>
    <w:rsid w:val="00C850EC"/>
    <w:rsid w:val="00C86475"/>
    <w:rsid w:val="00C87C00"/>
    <w:rsid w:val="00C9003F"/>
    <w:rsid w:val="00C900F9"/>
    <w:rsid w:val="00C9036E"/>
    <w:rsid w:val="00C97FD1"/>
    <w:rsid w:val="00CA234B"/>
    <w:rsid w:val="00CA77D7"/>
    <w:rsid w:val="00CB0E7B"/>
    <w:rsid w:val="00CB1AD7"/>
    <w:rsid w:val="00CB3462"/>
    <w:rsid w:val="00CB4102"/>
    <w:rsid w:val="00CB41BA"/>
    <w:rsid w:val="00CB72D1"/>
    <w:rsid w:val="00CB767C"/>
    <w:rsid w:val="00CB76B6"/>
    <w:rsid w:val="00CC0355"/>
    <w:rsid w:val="00CC3EAD"/>
    <w:rsid w:val="00CC44D3"/>
    <w:rsid w:val="00CC5784"/>
    <w:rsid w:val="00CC79C0"/>
    <w:rsid w:val="00CC7C34"/>
    <w:rsid w:val="00CD6778"/>
    <w:rsid w:val="00CE6E39"/>
    <w:rsid w:val="00CF365B"/>
    <w:rsid w:val="00CF5053"/>
    <w:rsid w:val="00CF506B"/>
    <w:rsid w:val="00CF7798"/>
    <w:rsid w:val="00D0155A"/>
    <w:rsid w:val="00D01A3E"/>
    <w:rsid w:val="00D07713"/>
    <w:rsid w:val="00D10C44"/>
    <w:rsid w:val="00D1282D"/>
    <w:rsid w:val="00D136A7"/>
    <w:rsid w:val="00D147ED"/>
    <w:rsid w:val="00D1686E"/>
    <w:rsid w:val="00D24254"/>
    <w:rsid w:val="00D257C1"/>
    <w:rsid w:val="00D32C5D"/>
    <w:rsid w:val="00D34702"/>
    <w:rsid w:val="00D4418E"/>
    <w:rsid w:val="00D44562"/>
    <w:rsid w:val="00D45167"/>
    <w:rsid w:val="00D4574F"/>
    <w:rsid w:val="00D463B7"/>
    <w:rsid w:val="00D4719D"/>
    <w:rsid w:val="00D50220"/>
    <w:rsid w:val="00D53424"/>
    <w:rsid w:val="00D54395"/>
    <w:rsid w:val="00D60AAF"/>
    <w:rsid w:val="00D63430"/>
    <w:rsid w:val="00D64700"/>
    <w:rsid w:val="00D65AAD"/>
    <w:rsid w:val="00D67F66"/>
    <w:rsid w:val="00D732A9"/>
    <w:rsid w:val="00D76361"/>
    <w:rsid w:val="00D803A1"/>
    <w:rsid w:val="00D90931"/>
    <w:rsid w:val="00D92A1A"/>
    <w:rsid w:val="00D942BE"/>
    <w:rsid w:val="00D94A3B"/>
    <w:rsid w:val="00D95EA2"/>
    <w:rsid w:val="00D9649B"/>
    <w:rsid w:val="00D976E9"/>
    <w:rsid w:val="00DA0C5D"/>
    <w:rsid w:val="00DA5524"/>
    <w:rsid w:val="00DA618C"/>
    <w:rsid w:val="00DA6E52"/>
    <w:rsid w:val="00DB4A16"/>
    <w:rsid w:val="00DB5024"/>
    <w:rsid w:val="00DB5518"/>
    <w:rsid w:val="00DB5EFB"/>
    <w:rsid w:val="00DB6C1E"/>
    <w:rsid w:val="00DC0B1C"/>
    <w:rsid w:val="00DC2AAD"/>
    <w:rsid w:val="00DC2EE6"/>
    <w:rsid w:val="00DD2D75"/>
    <w:rsid w:val="00DD4D85"/>
    <w:rsid w:val="00DE57B8"/>
    <w:rsid w:val="00DE5907"/>
    <w:rsid w:val="00DF08BD"/>
    <w:rsid w:val="00DF1057"/>
    <w:rsid w:val="00DF44DE"/>
    <w:rsid w:val="00E04EFE"/>
    <w:rsid w:val="00E05DE7"/>
    <w:rsid w:val="00E0602A"/>
    <w:rsid w:val="00E109EA"/>
    <w:rsid w:val="00E122C5"/>
    <w:rsid w:val="00E21E9E"/>
    <w:rsid w:val="00E23E54"/>
    <w:rsid w:val="00E25A25"/>
    <w:rsid w:val="00E265D5"/>
    <w:rsid w:val="00E271BB"/>
    <w:rsid w:val="00E306CB"/>
    <w:rsid w:val="00E3778C"/>
    <w:rsid w:val="00E37C95"/>
    <w:rsid w:val="00E40BEF"/>
    <w:rsid w:val="00E40CBC"/>
    <w:rsid w:val="00E40DD5"/>
    <w:rsid w:val="00E41840"/>
    <w:rsid w:val="00E4681E"/>
    <w:rsid w:val="00E540BC"/>
    <w:rsid w:val="00E565C5"/>
    <w:rsid w:val="00E57043"/>
    <w:rsid w:val="00E5723B"/>
    <w:rsid w:val="00E631F0"/>
    <w:rsid w:val="00E632EE"/>
    <w:rsid w:val="00E634D2"/>
    <w:rsid w:val="00E667CB"/>
    <w:rsid w:val="00E67DCD"/>
    <w:rsid w:val="00E750CC"/>
    <w:rsid w:val="00E77CAA"/>
    <w:rsid w:val="00E82940"/>
    <w:rsid w:val="00E83A84"/>
    <w:rsid w:val="00E85F3F"/>
    <w:rsid w:val="00EA0ED2"/>
    <w:rsid w:val="00EA52B3"/>
    <w:rsid w:val="00EA7527"/>
    <w:rsid w:val="00EB2543"/>
    <w:rsid w:val="00EB2C83"/>
    <w:rsid w:val="00EB3A96"/>
    <w:rsid w:val="00EB476F"/>
    <w:rsid w:val="00EB52B3"/>
    <w:rsid w:val="00EC136E"/>
    <w:rsid w:val="00EC1852"/>
    <w:rsid w:val="00EC2814"/>
    <w:rsid w:val="00EC37CB"/>
    <w:rsid w:val="00ED0762"/>
    <w:rsid w:val="00ED266F"/>
    <w:rsid w:val="00ED431D"/>
    <w:rsid w:val="00ED5E21"/>
    <w:rsid w:val="00ED7C53"/>
    <w:rsid w:val="00EE0633"/>
    <w:rsid w:val="00EE150B"/>
    <w:rsid w:val="00EE1BE5"/>
    <w:rsid w:val="00EE4795"/>
    <w:rsid w:val="00EF09A7"/>
    <w:rsid w:val="00EF29EC"/>
    <w:rsid w:val="00F0076E"/>
    <w:rsid w:val="00F00FB7"/>
    <w:rsid w:val="00F0654E"/>
    <w:rsid w:val="00F118B1"/>
    <w:rsid w:val="00F1313C"/>
    <w:rsid w:val="00F136EE"/>
    <w:rsid w:val="00F22A71"/>
    <w:rsid w:val="00F259FE"/>
    <w:rsid w:val="00F27D86"/>
    <w:rsid w:val="00F30329"/>
    <w:rsid w:val="00F31726"/>
    <w:rsid w:val="00F31E52"/>
    <w:rsid w:val="00F33EED"/>
    <w:rsid w:val="00F41E19"/>
    <w:rsid w:val="00F441A2"/>
    <w:rsid w:val="00F44E44"/>
    <w:rsid w:val="00F46A54"/>
    <w:rsid w:val="00F50705"/>
    <w:rsid w:val="00F5130C"/>
    <w:rsid w:val="00F5534B"/>
    <w:rsid w:val="00F65C09"/>
    <w:rsid w:val="00F676BF"/>
    <w:rsid w:val="00F67B66"/>
    <w:rsid w:val="00F70EC7"/>
    <w:rsid w:val="00F72AAB"/>
    <w:rsid w:val="00F80F23"/>
    <w:rsid w:val="00F823F7"/>
    <w:rsid w:val="00F87405"/>
    <w:rsid w:val="00F9160B"/>
    <w:rsid w:val="00F94113"/>
    <w:rsid w:val="00F9530C"/>
    <w:rsid w:val="00FA206C"/>
    <w:rsid w:val="00FA63BA"/>
    <w:rsid w:val="00FB3FBF"/>
    <w:rsid w:val="00FB5611"/>
    <w:rsid w:val="00FB701E"/>
    <w:rsid w:val="00FC0F20"/>
    <w:rsid w:val="00FC5B54"/>
    <w:rsid w:val="00FD2267"/>
    <w:rsid w:val="00FD35CE"/>
    <w:rsid w:val="00FD7B4A"/>
    <w:rsid w:val="00FE385C"/>
    <w:rsid w:val="00FF0884"/>
    <w:rsid w:val="00FF13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77F0"/>
  <w15:docId w15:val="{9CA1EF39-B796-443B-AC8D-F92DAEA6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492020"/>
    <w:rPr>
      <w:sz w:val="16"/>
      <w:szCs w:val="16"/>
    </w:rPr>
  </w:style>
  <w:style w:type="paragraph" w:styleId="CommentText">
    <w:name w:val="annotation text"/>
    <w:basedOn w:val="Normal"/>
    <w:link w:val="CommentTextChar"/>
    <w:uiPriority w:val="99"/>
    <w:semiHidden/>
    <w:unhideWhenUsed/>
    <w:rsid w:val="00492020"/>
    <w:rPr>
      <w:sz w:val="20"/>
      <w:szCs w:val="20"/>
    </w:rPr>
  </w:style>
  <w:style w:type="character" w:customStyle="1" w:styleId="CommentTextChar">
    <w:name w:val="Comment Text Char"/>
    <w:basedOn w:val="DefaultParagraphFont"/>
    <w:link w:val="CommentText"/>
    <w:uiPriority w:val="99"/>
    <w:semiHidden/>
    <w:rsid w:val="00492020"/>
    <w:rPr>
      <w:rFonts w:ascii="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492020"/>
    <w:rPr>
      <w:b/>
      <w:bCs/>
    </w:rPr>
  </w:style>
  <w:style w:type="character" w:customStyle="1" w:styleId="CommentSubjectChar">
    <w:name w:val="Comment Subject Char"/>
    <w:basedOn w:val="CommentTextChar"/>
    <w:link w:val="CommentSubject"/>
    <w:uiPriority w:val="99"/>
    <w:semiHidden/>
    <w:rsid w:val="00492020"/>
    <w:rPr>
      <w:rFonts w:ascii="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704">
      <w:bodyDiv w:val="1"/>
      <w:marLeft w:val="0"/>
      <w:marRight w:val="0"/>
      <w:marTop w:val="0"/>
      <w:marBottom w:val="0"/>
      <w:divBdr>
        <w:top w:val="none" w:sz="0" w:space="0" w:color="auto"/>
        <w:left w:val="none" w:sz="0" w:space="0" w:color="auto"/>
        <w:bottom w:val="none" w:sz="0" w:space="0" w:color="auto"/>
        <w:right w:val="none" w:sz="0" w:space="0" w:color="auto"/>
      </w:divBdr>
    </w:div>
    <w:div w:id="46809400">
      <w:bodyDiv w:val="1"/>
      <w:marLeft w:val="0"/>
      <w:marRight w:val="0"/>
      <w:marTop w:val="0"/>
      <w:marBottom w:val="0"/>
      <w:divBdr>
        <w:top w:val="none" w:sz="0" w:space="0" w:color="auto"/>
        <w:left w:val="none" w:sz="0" w:space="0" w:color="auto"/>
        <w:bottom w:val="none" w:sz="0" w:space="0" w:color="auto"/>
        <w:right w:val="none" w:sz="0" w:space="0" w:color="auto"/>
      </w:divBdr>
    </w:div>
    <w:div w:id="197817056">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249626825">
      <w:bodyDiv w:val="1"/>
      <w:marLeft w:val="0"/>
      <w:marRight w:val="0"/>
      <w:marTop w:val="0"/>
      <w:marBottom w:val="0"/>
      <w:divBdr>
        <w:top w:val="none" w:sz="0" w:space="0" w:color="auto"/>
        <w:left w:val="none" w:sz="0" w:space="0" w:color="auto"/>
        <w:bottom w:val="none" w:sz="0" w:space="0" w:color="auto"/>
        <w:right w:val="none" w:sz="0" w:space="0" w:color="auto"/>
      </w:divBdr>
    </w:div>
    <w:div w:id="440687899">
      <w:bodyDiv w:val="1"/>
      <w:marLeft w:val="0"/>
      <w:marRight w:val="0"/>
      <w:marTop w:val="0"/>
      <w:marBottom w:val="0"/>
      <w:divBdr>
        <w:top w:val="none" w:sz="0" w:space="0" w:color="auto"/>
        <w:left w:val="none" w:sz="0" w:space="0" w:color="auto"/>
        <w:bottom w:val="none" w:sz="0" w:space="0" w:color="auto"/>
        <w:right w:val="none" w:sz="0" w:space="0" w:color="auto"/>
      </w:divBdr>
    </w:div>
    <w:div w:id="504173187">
      <w:bodyDiv w:val="1"/>
      <w:marLeft w:val="0"/>
      <w:marRight w:val="0"/>
      <w:marTop w:val="0"/>
      <w:marBottom w:val="0"/>
      <w:divBdr>
        <w:top w:val="none" w:sz="0" w:space="0" w:color="auto"/>
        <w:left w:val="none" w:sz="0" w:space="0" w:color="auto"/>
        <w:bottom w:val="none" w:sz="0" w:space="0" w:color="auto"/>
        <w:right w:val="none" w:sz="0" w:space="0" w:color="auto"/>
      </w:divBdr>
    </w:div>
    <w:div w:id="556550228">
      <w:bodyDiv w:val="1"/>
      <w:marLeft w:val="0"/>
      <w:marRight w:val="0"/>
      <w:marTop w:val="0"/>
      <w:marBottom w:val="0"/>
      <w:divBdr>
        <w:top w:val="none" w:sz="0" w:space="0" w:color="auto"/>
        <w:left w:val="none" w:sz="0" w:space="0" w:color="auto"/>
        <w:bottom w:val="none" w:sz="0" w:space="0" w:color="auto"/>
        <w:right w:val="none" w:sz="0" w:space="0" w:color="auto"/>
      </w:divBdr>
    </w:div>
    <w:div w:id="584613792">
      <w:bodyDiv w:val="1"/>
      <w:marLeft w:val="0"/>
      <w:marRight w:val="0"/>
      <w:marTop w:val="0"/>
      <w:marBottom w:val="0"/>
      <w:divBdr>
        <w:top w:val="none" w:sz="0" w:space="0" w:color="auto"/>
        <w:left w:val="none" w:sz="0" w:space="0" w:color="auto"/>
        <w:bottom w:val="none" w:sz="0" w:space="0" w:color="auto"/>
        <w:right w:val="none" w:sz="0" w:space="0" w:color="auto"/>
      </w:divBdr>
    </w:div>
    <w:div w:id="684596504">
      <w:bodyDiv w:val="1"/>
      <w:marLeft w:val="0"/>
      <w:marRight w:val="0"/>
      <w:marTop w:val="0"/>
      <w:marBottom w:val="0"/>
      <w:divBdr>
        <w:top w:val="none" w:sz="0" w:space="0" w:color="auto"/>
        <w:left w:val="none" w:sz="0" w:space="0" w:color="auto"/>
        <w:bottom w:val="none" w:sz="0" w:space="0" w:color="auto"/>
        <w:right w:val="none" w:sz="0" w:space="0" w:color="auto"/>
      </w:divBdr>
    </w:div>
    <w:div w:id="773672531">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07037378">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3171385">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003507363">
      <w:bodyDiv w:val="1"/>
      <w:marLeft w:val="0"/>
      <w:marRight w:val="0"/>
      <w:marTop w:val="0"/>
      <w:marBottom w:val="0"/>
      <w:divBdr>
        <w:top w:val="none" w:sz="0" w:space="0" w:color="auto"/>
        <w:left w:val="none" w:sz="0" w:space="0" w:color="auto"/>
        <w:bottom w:val="none" w:sz="0" w:space="0" w:color="auto"/>
        <w:right w:val="none" w:sz="0" w:space="0" w:color="auto"/>
      </w:divBdr>
    </w:div>
    <w:div w:id="1039205501">
      <w:bodyDiv w:val="1"/>
      <w:marLeft w:val="0"/>
      <w:marRight w:val="0"/>
      <w:marTop w:val="0"/>
      <w:marBottom w:val="0"/>
      <w:divBdr>
        <w:top w:val="none" w:sz="0" w:space="0" w:color="auto"/>
        <w:left w:val="none" w:sz="0" w:space="0" w:color="auto"/>
        <w:bottom w:val="none" w:sz="0" w:space="0" w:color="auto"/>
        <w:right w:val="none" w:sz="0" w:space="0" w:color="auto"/>
      </w:divBdr>
    </w:div>
    <w:div w:id="1076124176">
      <w:bodyDiv w:val="1"/>
      <w:marLeft w:val="0"/>
      <w:marRight w:val="0"/>
      <w:marTop w:val="0"/>
      <w:marBottom w:val="0"/>
      <w:divBdr>
        <w:top w:val="none" w:sz="0" w:space="0" w:color="auto"/>
        <w:left w:val="none" w:sz="0" w:space="0" w:color="auto"/>
        <w:bottom w:val="none" w:sz="0" w:space="0" w:color="auto"/>
        <w:right w:val="none" w:sz="0" w:space="0" w:color="auto"/>
      </w:divBdr>
    </w:div>
    <w:div w:id="1112165418">
      <w:bodyDiv w:val="1"/>
      <w:marLeft w:val="0"/>
      <w:marRight w:val="0"/>
      <w:marTop w:val="0"/>
      <w:marBottom w:val="0"/>
      <w:divBdr>
        <w:top w:val="none" w:sz="0" w:space="0" w:color="auto"/>
        <w:left w:val="none" w:sz="0" w:space="0" w:color="auto"/>
        <w:bottom w:val="none" w:sz="0" w:space="0" w:color="auto"/>
        <w:right w:val="none" w:sz="0" w:space="0" w:color="auto"/>
      </w:divBdr>
    </w:div>
    <w:div w:id="1157305739">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595549677">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 w:id="1790081860">
      <w:bodyDiv w:val="1"/>
      <w:marLeft w:val="0"/>
      <w:marRight w:val="0"/>
      <w:marTop w:val="0"/>
      <w:marBottom w:val="0"/>
      <w:divBdr>
        <w:top w:val="none" w:sz="0" w:space="0" w:color="auto"/>
        <w:left w:val="none" w:sz="0" w:space="0" w:color="auto"/>
        <w:bottom w:val="none" w:sz="0" w:space="0" w:color="auto"/>
        <w:right w:val="none" w:sz="0" w:space="0" w:color="auto"/>
      </w:divBdr>
    </w:div>
    <w:div w:id="1831364171">
      <w:bodyDiv w:val="1"/>
      <w:marLeft w:val="0"/>
      <w:marRight w:val="0"/>
      <w:marTop w:val="0"/>
      <w:marBottom w:val="0"/>
      <w:divBdr>
        <w:top w:val="none" w:sz="0" w:space="0" w:color="auto"/>
        <w:left w:val="none" w:sz="0" w:space="0" w:color="auto"/>
        <w:bottom w:val="none" w:sz="0" w:space="0" w:color="auto"/>
        <w:right w:val="none" w:sz="0" w:space="0" w:color="auto"/>
      </w:divBdr>
    </w:div>
    <w:div w:id="1879394879">
      <w:bodyDiv w:val="1"/>
      <w:marLeft w:val="0"/>
      <w:marRight w:val="0"/>
      <w:marTop w:val="0"/>
      <w:marBottom w:val="0"/>
      <w:divBdr>
        <w:top w:val="none" w:sz="0" w:space="0" w:color="auto"/>
        <w:left w:val="none" w:sz="0" w:space="0" w:color="auto"/>
        <w:bottom w:val="none" w:sz="0" w:space="0" w:color="auto"/>
        <w:right w:val="none" w:sz="0" w:space="0" w:color="auto"/>
      </w:divBdr>
    </w:div>
    <w:div w:id="1900938190">
      <w:bodyDiv w:val="1"/>
      <w:marLeft w:val="0"/>
      <w:marRight w:val="0"/>
      <w:marTop w:val="0"/>
      <w:marBottom w:val="0"/>
      <w:divBdr>
        <w:top w:val="none" w:sz="0" w:space="0" w:color="auto"/>
        <w:left w:val="none" w:sz="0" w:space="0" w:color="auto"/>
        <w:bottom w:val="none" w:sz="0" w:space="0" w:color="auto"/>
        <w:right w:val="none" w:sz="0" w:space="0" w:color="auto"/>
      </w:divBdr>
    </w:div>
    <w:div w:id="1922791543">
      <w:bodyDiv w:val="1"/>
      <w:marLeft w:val="0"/>
      <w:marRight w:val="0"/>
      <w:marTop w:val="0"/>
      <w:marBottom w:val="0"/>
      <w:divBdr>
        <w:top w:val="none" w:sz="0" w:space="0" w:color="auto"/>
        <w:left w:val="none" w:sz="0" w:space="0" w:color="auto"/>
        <w:bottom w:val="none" w:sz="0" w:space="0" w:color="auto"/>
        <w:right w:val="none" w:sz="0" w:space="0" w:color="auto"/>
      </w:divBdr>
    </w:div>
    <w:div w:id="1931503990">
      <w:bodyDiv w:val="1"/>
      <w:marLeft w:val="0"/>
      <w:marRight w:val="0"/>
      <w:marTop w:val="0"/>
      <w:marBottom w:val="0"/>
      <w:divBdr>
        <w:top w:val="none" w:sz="0" w:space="0" w:color="auto"/>
        <w:left w:val="none" w:sz="0" w:space="0" w:color="auto"/>
        <w:bottom w:val="none" w:sz="0" w:space="0" w:color="auto"/>
        <w:right w:val="none" w:sz="0" w:space="0" w:color="auto"/>
      </w:divBdr>
    </w:div>
    <w:div w:id="1958877341">
      <w:bodyDiv w:val="1"/>
      <w:marLeft w:val="0"/>
      <w:marRight w:val="0"/>
      <w:marTop w:val="0"/>
      <w:marBottom w:val="0"/>
      <w:divBdr>
        <w:top w:val="none" w:sz="0" w:space="0" w:color="auto"/>
        <w:left w:val="none" w:sz="0" w:space="0" w:color="auto"/>
        <w:bottom w:val="none" w:sz="0" w:space="0" w:color="auto"/>
        <w:right w:val="none" w:sz="0" w:space="0" w:color="auto"/>
      </w:divBdr>
    </w:div>
    <w:div w:id="1984043899">
      <w:bodyDiv w:val="1"/>
      <w:marLeft w:val="0"/>
      <w:marRight w:val="0"/>
      <w:marTop w:val="0"/>
      <w:marBottom w:val="0"/>
      <w:divBdr>
        <w:top w:val="none" w:sz="0" w:space="0" w:color="auto"/>
        <w:left w:val="none" w:sz="0" w:space="0" w:color="auto"/>
        <w:bottom w:val="none" w:sz="0" w:space="0" w:color="auto"/>
        <w:right w:val="none" w:sz="0" w:space="0" w:color="auto"/>
      </w:divBdr>
    </w:div>
    <w:div w:id="1990090732">
      <w:bodyDiv w:val="1"/>
      <w:marLeft w:val="0"/>
      <w:marRight w:val="0"/>
      <w:marTop w:val="0"/>
      <w:marBottom w:val="0"/>
      <w:divBdr>
        <w:top w:val="none" w:sz="0" w:space="0" w:color="auto"/>
        <w:left w:val="none" w:sz="0" w:space="0" w:color="auto"/>
        <w:bottom w:val="none" w:sz="0" w:space="0" w:color="auto"/>
        <w:right w:val="none" w:sz="0" w:space="0" w:color="auto"/>
      </w:divBdr>
    </w:div>
    <w:div w:id="2070761801">
      <w:bodyDiv w:val="1"/>
      <w:marLeft w:val="0"/>
      <w:marRight w:val="0"/>
      <w:marTop w:val="0"/>
      <w:marBottom w:val="0"/>
      <w:divBdr>
        <w:top w:val="none" w:sz="0" w:space="0" w:color="auto"/>
        <w:left w:val="none" w:sz="0" w:space="0" w:color="auto"/>
        <w:bottom w:val="none" w:sz="0" w:space="0" w:color="auto"/>
        <w:right w:val="none" w:sz="0" w:space="0" w:color="auto"/>
      </w:divBdr>
    </w:div>
    <w:div w:id="21309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CFCAF-CD57-4BEB-9664-A2C22563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830</Words>
  <Characters>4737</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BAKIS</dc:creator>
  <cp:lastModifiedBy>Ozan BAKIS</cp:lastModifiedBy>
  <cp:revision>10</cp:revision>
  <cp:lastPrinted>2019-12-05T12:09:00Z</cp:lastPrinted>
  <dcterms:created xsi:type="dcterms:W3CDTF">2021-09-28T13:00:00Z</dcterms:created>
  <dcterms:modified xsi:type="dcterms:W3CDTF">2021-11-04T22:59:00Z</dcterms:modified>
</cp:coreProperties>
</file>