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8175" w14:textId="77777777" w:rsidR="00315C56" w:rsidRPr="00C00E83" w:rsidRDefault="0049546A" w:rsidP="00DF118E">
      <w:pPr>
        <w:spacing w:after="0"/>
        <w:contextualSpacing/>
        <w:mirrorIndents/>
        <w:rPr>
          <w:lang w:val="en-US"/>
        </w:rPr>
      </w:pPr>
      <w:r w:rsidRPr="00C00E83">
        <w:rPr>
          <w:noProof/>
          <w:lang w:val="en-GB" w:eastAsia="en-GB"/>
        </w:rPr>
        <mc:AlternateContent>
          <mc:Choice Requires="wps">
            <w:drawing>
              <wp:anchor distT="0" distB="0" distL="114300" distR="114300" simplePos="0" relativeHeight="251661312" behindDoc="0" locked="0" layoutInCell="1" allowOverlap="1" wp14:anchorId="3286977E" wp14:editId="32D3A398">
                <wp:simplePos x="0" y="0"/>
                <wp:positionH relativeFrom="column">
                  <wp:posOffset>1861185</wp:posOffset>
                </wp:positionH>
                <wp:positionV relativeFrom="paragraph">
                  <wp:posOffset>-572770</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771B2" w14:textId="5FDE682F" w:rsidR="00156D1F" w:rsidRPr="00196536" w:rsidRDefault="00156D1F" w:rsidP="00315C56">
                            <w:pPr>
                              <w:rPr>
                                <w:rFonts w:ascii="Cambria" w:hAnsi="Cambria"/>
                                <w:b/>
                                <w:sz w:val="44"/>
                                <w:szCs w:val="44"/>
                              </w:rPr>
                            </w:pPr>
                            <w:r w:rsidRPr="00AD1AB6">
                              <w:rPr>
                                <w:rFonts w:ascii="Cambria" w:hAnsi="Cambria"/>
                                <w:b/>
                                <w:sz w:val="44"/>
                                <w:szCs w:val="44"/>
                                <w:lang w:val="en-US"/>
                              </w:rPr>
                              <w:t>Research Note</w:t>
                            </w:r>
                            <w:r>
                              <w:rPr>
                                <w:rFonts w:ascii="Cambria" w:hAnsi="Cambria"/>
                                <w:b/>
                                <w:sz w:val="44"/>
                                <w:szCs w:val="44"/>
                              </w:rPr>
                              <w:t xml:space="preserve"> 21</w:t>
                            </w:r>
                            <w:r w:rsidRPr="008E0812">
                              <w:rPr>
                                <w:rFonts w:ascii="Cambria" w:hAnsi="Cambria"/>
                                <w:b/>
                                <w:sz w:val="44"/>
                                <w:szCs w:val="44"/>
                              </w:rPr>
                              <w:t>/2</w:t>
                            </w:r>
                            <w:r>
                              <w:rPr>
                                <w:rFonts w:ascii="Cambria" w:hAnsi="Cambria"/>
                                <w:b/>
                                <w:sz w:val="44"/>
                                <w:szCs w:val="44"/>
                              </w:rPr>
                              <w:t>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977E" id="_x0000_t202" coordsize="21600,21600" o:spt="202" path="m,l,21600r21600,l21600,xe">
                <v:stroke joinstyle="miter"/>
                <v:path gradientshapeok="t" o:connecttype="rect"/>
              </v:shapetype>
              <v:shape id="Text Box 3" o:spid="_x0000_s1026" type="#_x0000_t202" style="position:absolute;margin-left:146.55pt;margin-top:-45.1pt;width:27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737QEAAMcDAAAOAAAAZHJzL2Uyb0RvYy54bWysU9uO0zAQfUfiHyy/07TdFpWo6WrZ1SKk&#10;hUXa5QOmjpNYJB4zdpuUr2fsdEuAN8SL5bn4zJkz4+310LXiqMkbtIVczOZSaKuwNLYu5Nfn+zcb&#10;KXwAW0KLVhfypL283r1+te1drpfYYFtqEgxifd67QjYhuDzLvGp0B36GTlsOVkgdBDapzkqCntG7&#10;NlvO52+zHql0hEp7z967MSh3Cb+qtAqPVeV1EG0hmVtIJ6VzH89st4W8JnCNUWca8A8sOjCWi16g&#10;7iCAOJD5C6ozitBjFWYKuwyryiideuBuFvM/unlqwOnUC4vj3UUm//9g1efjFxKm5NmxPBY6ntGz&#10;HoJ4j4O4ivL0zuec9eQ4Lwzs5tTUqncPqL55YfG2AVvrGyLsGw0l01vEl9nk6YjjI8i+/4Qll4FD&#10;wAQ0VNRF7VgNwejM43QZTaSi2Hm1Xq6Waw4pjq3Xm808zS6D/OW1Ix8+aOxEvBSSePQJHY4PPkQ2&#10;kL+kxGIW703bpvG39jcHJ0ZPYh8Jj9TDsB/OauyxPHEfhOM28fbzpUH6IUXPm1RI//0ApKVoP1rW&#10;4t1itYqrNzVoauynBljFUIUMUozX2zCu68GRqRuuNKpv8Yb1q0xqLQo9sjrz5m1JHZ83O67j1E5Z&#10;v/7f7icAAAD//wMAUEsDBBQABgAIAAAAIQDLLNkX3QAAAAoBAAAPAAAAZHJzL2Rvd25yZXYueG1s&#10;TI/LTsMwEEX3SPyDNUjsWqfm0TSNU6EiPoCCxNaJ3TiqPY5i50G/nmEFy7lzdOdMeVi8Y5MZYhdQ&#10;wmadATPYBN1hK+Hz422VA4tJoVYuoJHwbSIcqtubUhU6zPhuplNqGZVgLJQEm1JfcB4ba7yK69Ab&#10;pN05DF4lGoeW60HNVO4dF1n2zL3qkC5Y1ZujNc3lNHoJzXV8zY9dPc3X7de2Xqx7OqOT8v5uedkD&#10;S2ZJfzD86pM6VORUhxF1ZE6C2D1sCJWw2mUCGBH5Y05JTYkQwKuS/3+h+gEAAP//AwBQSwECLQAU&#10;AAYACAAAACEAtoM4kv4AAADhAQAAEwAAAAAAAAAAAAAAAAAAAAAAW0NvbnRlbnRfVHlwZXNdLnht&#10;bFBLAQItABQABgAIAAAAIQA4/SH/1gAAAJQBAAALAAAAAAAAAAAAAAAAAC8BAABfcmVscy8ucmVs&#10;c1BLAQItABQABgAIAAAAIQCXPN737QEAAMcDAAAOAAAAAAAAAAAAAAAAAC4CAABkcnMvZTJvRG9j&#10;LnhtbFBLAQItABQABgAIAAAAIQDLLNkX3QAAAAoBAAAPAAAAAAAAAAAAAAAAAEcEAABkcnMvZG93&#10;bnJldi54bWxQSwUGAAAAAAQABADzAAAAUQUAAAAA&#10;" filled="f" stroked="f">
                <v:textbox inset=",7.2pt,,7.2pt">
                  <w:txbxContent>
                    <w:p w14:paraId="133771B2" w14:textId="5FDE682F" w:rsidR="00156D1F" w:rsidRPr="00196536" w:rsidRDefault="00156D1F" w:rsidP="00315C56">
                      <w:pPr>
                        <w:rPr>
                          <w:rFonts w:ascii="Cambria" w:hAnsi="Cambria"/>
                          <w:b/>
                          <w:sz w:val="44"/>
                          <w:szCs w:val="44"/>
                        </w:rPr>
                      </w:pPr>
                      <w:r w:rsidRPr="00AD1AB6">
                        <w:rPr>
                          <w:rFonts w:ascii="Cambria" w:hAnsi="Cambria"/>
                          <w:b/>
                          <w:sz w:val="44"/>
                          <w:szCs w:val="44"/>
                          <w:lang w:val="en-US"/>
                        </w:rPr>
                        <w:t>Research Note</w:t>
                      </w:r>
                      <w:r>
                        <w:rPr>
                          <w:rFonts w:ascii="Cambria" w:hAnsi="Cambria"/>
                          <w:b/>
                          <w:sz w:val="44"/>
                          <w:szCs w:val="44"/>
                        </w:rPr>
                        <w:t xml:space="preserve"> 21</w:t>
                      </w:r>
                      <w:r w:rsidRPr="008E0812">
                        <w:rPr>
                          <w:rFonts w:ascii="Cambria" w:hAnsi="Cambria"/>
                          <w:b/>
                          <w:sz w:val="44"/>
                          <w:szCs w:val="44"/>
                        </w:rPr>
                        <w:t>/2</w:t>
                      </w:r>
                      <w:r>
                        <w:rPr>
                          <w:rFonts w:ascii="Cambria" w:hAnsi="Cambria"/>
                          <w:b/>
                          <w:sz w:val="44"/>
                          <w:szCs w:val="44"/>
                        </w:rPr>
                        <w:t>57</w:t>
                      </w:r>
                    </w:p>
                  </w:txbxContent>
                </v:textbox>
              </v:shape>
            </w:pict>
          </mc:Fallback>
        </mc:AlternateContent>
      </w:r>
      <w:r w:rsidRPr="00C00E83">
        <w:rPr>
          <w:noProof/>
          <w:lang w:val="en-GB" w:eastAsia="en-GB"/>
        </w:rPr>
        <mc:AlternateContent>
          <mc:Choice Requires="wps">
            <w:drawing>
              <wp:anchor distT="0" distB="0" distL="114935" distR="114935" simplePos="0" relativeHeight="251660288" behindDoc="0" locked="0" layoutInCell="1" allowOverlap="1" wp14:anchorId="5D331B1A" wp14:editId="0CA3A6DD">
                <wp:simplePos x="0" y="0"/>
                <wp:positionH relativeFrom="column">
                  <wp:posOffset>4915535</wp:posOffset>
                </wp:positionH>
                <wp:positionV relativeFrom="paragraph">
                  <wp:posOffset>114935</wp:posOffset>
                </wp:positionV>
                <wp:extent cx="1511935"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DE157" w14:textId="4FD0EB7B" w:rsidR="00156D1F" w:rsidRPr="00DF0B5B" w:rsidRDefault="00156D1F" w:rsidP="00315C56">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rPr>
                              <w:t>20</w:t>
                            </w:r>
                            <w:r>
                              <w:rPr>
                                <w:rFonts w:ascii="Cambria" w:hAnsi="Cambria"/>
                                <w:color w:val="FFFFFF"/>
                                <w:sz w:val="24"/>
                                <w:szCs w:val="24"/>
                                <w:lang w:val="tr-TR"/>
                              </w:rPr>
                              <w:t xml:space="preserve"> </w:t>
                            </w:r>
                            <w:r>
                              <w:rPr>
                                <w:rFonts w:ascii="Cambria" w:hAnsi="Cambria"/>
                                <w:color w:val="FFFFFF"/>
                                <w:sz w:val="24"/>
                                <w:szCs w:val="24"/>
                              </w:rPr>
                              <w:t>September</w:t>
                            </w:r>
                            <w:r>
                              <w:rPr>
                                <w:rFonts w:ascii="Cambria" w:hAnsi="Cambria"/>
                                <w:color w:val="FFFFFF"/>
                                <w:sz w:val="24"/>
                                <w:szCs w:val="24"/>
                                <w:lang w:val="tr-TR"/>
                              </w:rPr>
                              <w:t xml:space="preserve"> 2021</w:t>
                            </w:r>
                          </w:p>
                          <w:p w14:paraId="668A9102" w14:textId="77777777" w:rsidR="00156D1F" w:rsidRPr="00DF0B5B" w:rsidRDefault="00156D1F" w:rsidP="00315C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1B1A" id="Text Box 4" o:spid="_x0000_s1027" type="#_x0000_t202" style="position:absolute;margin-left:387.05pt;margin-top:9.05pt;width:119.05pt;height:3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wSCQIAAAMEAAAOAAAAZHJzL2Uyb0RvYy54bWysU8Fu2zAMvQ/YPwi6L066JNiMOEWXIsOA&#10;bh3Q7gNkWbaFyaJGKbGzrx8lx2m33YrqIFAS+fj4SG2uh86wo0KvwRZ8MZtzpqyEStum4D8e9+8+&#10;cOaDsJUwYFXBT8rz6+3bN5ve5eoKWjCVQkYg1ue9K3gbgsuzzMtWdcLPwClLjzVgJwIdsckqFD2h&#10;dya7ms/XWQ9YOQSpvKfb2/GRbxN+XSsZ7uvaq8BMwYlbSDumvYx7tt2IvEHhWi3PNMQLWHRCW0p6&#10;gboVQbAD6v+gOi0RPNRhJqHLoK61VKkGqmYx/6eah1Y4lWohcby7yORfD1Z+O35HpquCrzmzoqMW&#10;PaohsE8wsGVUp3c+J6cHR25hoGvqcqrUuzuQPz2zsGuFbdQNIvStEhWxW8TI7FnoiOMjSNl/hYrS&#10;iEOABDTU2EXpSAxG6NSl06UzkYqMKVeLxcf3K84kvS1Xy/U6tS4T+RTt0IfPCjoWjYIjdT6hi+Od&#10;D5GNyCeXmMyD0dVeG5MO2JQ7g+woaEr2aY2xxrVivJ3S+dE14f2FYWxEshAxx3TxJmkQyx4FCEM5&#10;JLGTQFGfEqoTiYIwTib9JDJawN+c9TSVBfe/DgIVZ+aLJWHjCE8GTkY5GcJKCi144Gw0d2Ec9YND&#10;3bSEPLbOwg2JX+ukyxOLM12atFTe+VfEUX5+Tl5Pf3f7BwAA//8DAFBLAwQUAAYACAAAACEAmCF1&#10;Ed0AAAAKAQAADwAAAGRycy9kb3ducmV2LnhtbEyPwU7DMAyG70i8Q2QkbixtQbQrTScYgiuiIO2a&#10;NV5TtXGqJtvK2+Od4GRZ/6ffn6vN4kZxwjn0nhSkqwQEUutNT52C76+3uwJEiJqMHj2hgh8MsKmv&#10;rypdGn+mTzw1sRNcQqHUCmyMUyllaC06HVZ+QuLs4GenI69zJ82sz1zuRpklyaN0uie+YPWEW4vt&#10;0BydgvuPLN+F9+Z1O+1wPRThZTiQVer2Znl+AhFxiX8wXPRZHWp22vsjmSBGBXn+kDLKQcHzAiRp&#10;loHYKyjWOci6kv9fqH8BAAD//wMAUEsBAi0AFAAGAAgAAAAhALaDOJL+AAAA4QEAABMAAAAAAAAA&#10;AAAAAAAAAAAAAFtDb250ZW50X1R5cGVzXS54bWxQSwECLQAUAAYACAAAACEAOP0h/9YAAACUAQAA&#10;CwAAAAAAAAAAAAAAAAAvAQAAX3JlbHMvLnJlbHNQSwECLQAUAAYACAAAACEA+MwcEgkCAAADBAAA&#10;DgAAAAAAAAAAAAAAAAAuAgAAZHJzL2Uyb0RvYy54bWxQSwECLQAUAAYACAAAACEAmCF1Ed0AAAAK&#10;AQAADwAAAAAAAAAAAAAAAABjBAAAZHJzL2Rvd25yZXYueG1sUEsFBgAAAAAEAAQA8wAAAG0FAAAA&#10;AA==&#10;" stroked="f">
                <v:fill opacity="0"/>
                <v:textbox inset="0,0,0,0">
                  <w:txbxContent>
                    <w:p w14:paraId="230DE157" w14:textId="4FD0EB7B" w:rsidR="00156D1F" w:rsidRPr="00DF0B5B" w:rsidRDefault="00156D1F" w:rsidP="00315C56">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rPr>
                        <w:t>20</w:t>
                      </w:r>
                      <w:r>
                        <w:rPr>
                          <w:rFonts w:ascii="Cambria" w:hAnsi="Cambria"/>
                          <w:color w:val="FFFFFF"/>
                          <w:sz w:val="24"/>
                          <w:szCs w:val="24"/>
                          <w:lang w:val="tr-TR"/>
                        </w:rPr>
                        <w:t xml:space="preserve"> </w:t>
                      </w:r>
                      <w:r>
                        <w:rPr>
                          <w:rFonts w:ascii="Cambria" w:hAnsi="Cambria"/>
                          <w:color w:val="FFFFFF"/>
                          <w:sz w:val="24"/>
                          <w:szCs w:val="24"/>
                        </w:rPr>
                        <w:t>September</w:t>
                      </w:r>
                      <w:r>
                        <w:rPr>
                          <w:rFonts w:ascii="Cambria" w:hAnsi="Cambria"/>
                          <w:color w:val="FFFFFF"/>
                          <w:sz w:val="24"/>
                          <w:szCs w:val="24"/>
                          <w:lang w:val="tr-TR"/>
                        </w:rPr>
                        <w:t xml:space="preserve"> 2021</w:t>
                      </w:r>
                    </w:p>
                    <w:p w14:paraId="668A9102" w14:textId="77777777" w:rsidR="00156D1F" w:rsidRPr="00DF0B5B" w:rsidRDefault="00156D1F" w:rsidP="00315C56"/>
                  </w:txbxContent>
                </v:textbox>
              </v:shape>
            </w:pict>
          </mc:Fallback>
        </mc:AlternateContent>
      </w:r>
      <w:r w:rsidR="00315C56" w:rsidRPr="00C00E83">
        <w:rPr>
          <w:noProof/>
          <w:lang w:val="en-GB" w:eastAsia="en-GB"/>
        </w:rPr>
        <w:drawing>
          <wp:anchor distT="0" distB="0" distL="114300" distR="114300" simplePos="0" relativeHeight="251659264" behindDoc="1" locked="0" layoutInCell="1" allowOverlap="1" wp14:anchorId="7D452DC5" wp14:editId="61F9D553">
            <wp:simplePos x="0" y="0"/>
            <wp:positionH relativeFrom="column">
              <wp:posOffset>-833120</wp:posOffset>
            </wp:positionH>
            <wp:positionV relativeFrom="paragraph">
              <wp:posOffset>-795020</wp:posOffset>
            </wp:positionV>
            <wp:extent cx="7391400" cy="13430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0171C1" w:rsidRPr="00C00E83">
        <w:rPr>
          <w:lang w:val="en-US"/>
        </w:rPr>
        <w:tab/>
      </w:r>
    </w:p>
    <w:p w14:paraId="4D894423" w14:textId="77777777" w:rsidR="00315C56" w:rsidRPr="00C00E83" w:rsidRDefault="00315C56" w:rsidP="00DF118E">
      <w:pPr>
        <w:spacing w:after="0"/>
        <w:contextualSpacing/>
        <w:mirrorIndents/>
        <w:jc w:val="center"/>
        <w:rPr>
          <w:lang w:val="en-US"/>
        </w:rPr>
      </w:pPr>
    </w:p>
    <w:p w14:paraId="2607DC5E" w14:textId="77777777" w:rsidR="00315C56" w:rsidRPr="00C00E83" w:rsidRDefault="00315C56" w:rsidP="00DF118E">
      <w:pPr>
        <w:spacing w:after="0"/>
        <w:contextualSpacing/>
        <w:mirrorIndents/>
        <w:jc w:val="center"/>
        <w:rPr>
          <w:rFonts w:eastAsia="Times New Roman" w:cs="Arial"/>
          <w:b/>
          <w:lang w:val="en-US"/>
        </w:rPr>
      </w:pPr>
    </w:p>
    <w:p w14:paraId="169DB9F9" w14:textId="77777777" w:rsidR="00315C56" w:rsidRPr="00C00E83" w:rsidRDefault="00315C56" w:rsidP="00DF118E">
      <w:pPr>
        <w:spacing w:after="0"/>
        <w:contextualSpacing/>
        <w:mirrorIndents/>
        <w:jc w:val="center"/>
        <w:rPr>
          <w:rFonts w:eastAsia="Times New Roman" w:cs="Arial"/>
          <w:b/>
          <w:lang w:val="en-US"/>
        </w:rPr>
      </w:pPr>
    </w:p>
    <w:p w14:paraId="1226E688" w14:textId="0A3CF52E" w:rsidR="00D9428D" w:rsidRDefault="007A1B45" w:rsidP="00DF118E">
      <w:pPr>
        <w:spacing w:after="0"/>
        <w:contextualSpacing/>
        <w:mirrorIndents/>
        <w:jc w:val="center"/>
        <w:rPr>
          <w:rFonts w:eastAsia="Times New Roman" w:cs="Arial"/>
          <w:b/>
          <w:color w:val="000000" w:themeColor="text1"/>
          <w:sz w:val="28"/>
          <w:szCs w:val="28"/>
          <w:lang w:val="en-US"/>
        </w:rPr>
      </w:pPr>
      <w:r>
        <w:rPr>
          <w:rFonts w:eastAsia="Times New Roman" w:cs="Arial"/>
          <w:b/>
          <w:color w:val="000000" w:themeColor="text1"/>
          <w:sz w:val="28"/>
          <w:szCs w:val="28"/>
          <w:lang w:val="en-US"/>
        </w:rPr>
        <w:t xml:space="preserve">THE </w:t>
      </w:r>
      <w:r w:rsidR="00C00E83" w:rsidRPr="00C00E83">
        <w:rPr>
          <w:rFonts w:eastAsia="Times New Roman" w:cs="Arial"/>
          <w:b/>
          <w:color w:val="000000" w:themeColor="text1"/>
          <w:sz w:val="28"/>
          <w:szCs w:val="28"/>
          <w:lang w:val="en-US"/>
        </w:rPr>
        <w:t>COMPLEX UNIVERSE OF RICH AND POOR INFLATION RATES</w:t>
      </w:r>
    </w:p>
    <w:p w14:paraId="11268773" w14:textId="77777777" w:rsidR="00C00E83" w:rsidRPr="00C00E83" w:rsidRDefault="00C00E83" w:rsidP="00DF118E">
      <w:pPr>
        <w:spacing w:after="0"/>
        <w:contextualSpacing/>
        <w:mirrorIndents/>
        <w:jc w:val="center"/>
        <w:rPr>
          <w:rFonts w:eastAsia="Times New Roman" w:cs="Arial"/>
          <w:b/>
          <w:lang w:val="en-US"/>
        </w:rPr>
      </w:pPr>
    </w:p>
    <w:p w14:paraId="6F50F37C" w14:textId="3224F556" w:rsidR="000A331C" w:rsidRPr="00C00E83" w:rsidRDefault="00315C56" w:rsidP="000A331C">
      <w:pPr>
        <w:spacing w:after="0"/>
        <w:contextualSpacing/>
        <w:mirrorIndents/>
        <w:jc w:val="center"/>
        <w:rPr>
          <w:rFonts w:eastAsia="Times New Roman" w:cs="Arial"/>
          <w:b/>
          <w:lang w:val="en-US"/>
        </w:rPr>
      </w:pPr>
      <w:r w:rsidRPr="00C00E83">
        <w:rPr>
          <w:rFonts w:eastAsia="Times New Roman" w:cs="Arial"/>
          <w:b/>
          <w:lang w:val="en-US"/>
        </w:rPr>
        <w:t>Seyfettin Gürsel</w:t>
      </w:r>
      <w:r w:rsidRPr="00C00E83">
        <w:rPr>
          <w:rFonts w:eastAsia="Times New Roman" w:cs="Arial"/>
          <w:b/>
          <w:vertAlign w:val="superscript"/>
          <w:lang w:val="en-US"/>
        </w:rPr>
        <w:footnoteReference w:customMarkFollows="1" w:id="1"/>
        <w:t>*</w:t>
      </w:r>
      <w:r w:rsidRPr="00C00E83">
        <w:rPr>
          <w:rFonts w:eastAsia="Times New Roman" w:cs="Arial"/>
          <w:b/>
          <w:lang w:val="en-US"/>
        </w:rPr>
        <w:t xml:space="preserve">, </w:t>
      </w:r>
      <w:r w:rsidR="001822A1" w:rsidRPr="00C00E83">
        <w:rPr>
          <w:rFonts w:eastAsia="Times New Roman" w:cs="Arial"/>
          <w:b/>
          <w:lang w:val="en-US"/>
        </w:rPr>
        <w:t>Hamza Mutluay</w:t>
      </w:r>
      <w:r w:rsidR="000A331C" w:rsidRPr="00C00E83">
        <w:rPr>
          <w:rFonts w:eastAsia="Times New Roman" w:cs="Arial"/>
          <w:b/>
          <w:vertAlign w:val="superscript"/>
          <w:lang w:val="en-US"/>
        </w:rPr>
        <w:footnoteReference w:customMarkFollows="1" w:id="2"/>
        <w:t>**</w:t>
      </w:r>
    </w:p>
    <w:p w14:paraId="0F99C1BA" w14:textId="77777777" w:rsidR="006C2AC7" w:rsidRPr="00C00E83" w:rsidRDefault="006C2AC7" w:rsidP="00DF118E">
      <w:pPr>
        <w:spacing w:after="0"/>
        <w:contextualSpacing/>
        <w:mirrorIndents/>
        <w:jc w:val="center"/>
        <w:rPr>
          <w:rFonts w:eastAsia="Times New Roman" w:cs="Arial"/>
          <w:b/>
          <w:sz w:val="24"/>
          <w:szCs w:val="24"/>
          <w:lang w:val="en-US"/>
        </w:rPr>
      </w:pPr>
    </w:p>
    <w:p w14:paraId="717030BA" w14:textId="5158442C" w:rsidR="00DC123D" w:rsidRPr="00C00E83" w:rsidRDefault="00C00E83" w:rsidP="00DC123D">
      <w:pPr>
        <w:spacing w:after="0"/>
        <w:contextualSpacing/>
        <w:mirrorIndents/>
        <w:jc w:val="center"/>
        <w:rPr>
          <w:rFonts w:eastAsia="Times New Roman" w:cs="Arial"/>
          <w:b/>
          <w:color w:val="FF0000"/>
          <w:sz w:val="24"/>
          <w:szCs w:val="24"/>
          <w:lang w:val="en-US"/>
        </w:rPr>
      </w:pPr>
      <w:r w:rsidRPr="00C00E83">
        <w:rPr>
          <w:rFonts w:eastAsia="Times New Roman" w:cs="Arial"/>
          <w:b/>
          <w:sz w:val="24"/>
          <w:szCs w:val="24"/>
          <w:lang w:val="en-US"/>
        </w:rPr>
        <w:t>Executive Summary</w:t>
      </w:r>
      <w:r w:rsidR="00DC123D" w:rsidRPr="00C00E83">
        <w:rPr>
          <w:rFonts w:eastAsia="Times New Roman" w:cs="Arial"/>
          <w:b/>
          <w:sz w:val="24"/>
          <w:szCs w:val="24"/>
          <w:lang w:val="en-US"/>
        </w:rPr>
        <w:t xml:space="preserve"> </w:t>
      </w:r>
    </w:p>
    <w:p w14:paraId="43A22DB3" w14:textId="77777777" w:rsidR="007A3BE0" w:rsidRPr="00C00E83" w:rsidRDefault="007A3BE0" w:rsidP="00DF118E">
      <w:pPr>
        <w:tabs>
          <w:tab w:val="left" w:pos="1512"/>
        </w:tabs>
        <w:spacing w:after="0"/>
        <w:contextualSpacing/>
        <w:mirrorIndents/>
        <w:rPr>
          <w:rFonts w:cs="Arial"/>
          <w:lang w:val="en-US"/>
        </w:rPr>
      </w:pPr>
    </w:p>
    <w:p w14:paraId="687E0DEA" w14:textId="2A90BA94" w:rsidR="004333F6" w:rsidRPr="00D56EBC" w:rsidRDefault="00234EB3" w:rsidP="005C0E4F">
      <w:pPr>
        <w:tabs>
          <w:tab w:val="left" w:pos="1512"/>
        </w:tabs>
        <w:spacing w:after="0"/>
        <w:contextualSpacing/>
        <w:mirrorIndents/>
        <w:jc w:val="both"/>
        <w:rPr>
          <w:rFonts w:cs="Arial"/>
          <w:lang w:val="en-US"/>
        </w:rPr>
      </w:pPr>
      <w:r w:rsidRPr="00234EB3">
        <w:rPr>
          <w:rFonts w:cs="Arial"/>
          <w:lang w:val="en-US"/>
        </w:rPr>
        <w:t xml:space="preserve">Consumer price index (CPI) which is announced </w:t>
      </w:r>
      <w:r w:rsidR="00746817" w:rsidRPr="00234EB3">
        <w:rPr>
          <w:rFonts w:cs="Arial"/>
          <w:lang w:val="en-US"/>
        </w:rPr>
        <w:t xml:space="preserve">monthly </w:t>
      </w:r>
      <w:r w:rsidRPr="00234EB3">
        <w:rPr>
          <w:rFonts w:cs="Arial"/>
          <w:lang w:val="en-US"/>
        </w:rPr>
        <w:t xml:space="preserve">by Turkish Statistical Institute (Turkstat) shows the rate of increase in the value of the consumption basket of a representative household. Therefore, the </w:t>
      </w:r>
      <w:r>
        <w:rPr>
          <w:rFonts w:cs="Arial"/>
          <w:lang w:val="en-US"/>
        </w:rPr>
        <w:t>offici</w:t>
      </w:r>
      <w:r w:rsidRPr="00234EB3">
        <w:rPr>
          <w:rFonts w:cs="Arial"/>
          <w:lang w:val="en-US"/>
        </w:rPr>
        <w:t xml:space="preserve">al inflation rate </w:t>
      </w:r>
      <w:r w:rsidR="0049759D">
        <w:rPr>
          <w:rFonts w:cs="Arial"/>
          <w:lang w:val="en-US"/>
        </w:rPr>
        <w:t>represents</w:t>
      </w:r>
      <w:r w:rsidRPr="00234EB3">
        <w:rPr>
          <w:rFonts w:cs="Arial"/>
          <w:lang w:val="en-US"/>
        </w:rPr>
        <w:t xml:space="preserve"> the inflation</w:t>
      </w:r>
      <w:r>
        <w:rPr>
          <w:rFonts w:cs="Arial"/>
          <w:lang w:val="en-US"/>
        </w:rPr>
        <w:t xml:space="preserve"> rate</w:t>
      </w:r>
      <w:r w:rsidRPr="00234EB3">
        <w:rPr>
          <w:rFonts w:cs="Arial"/>
          <w:lang w:val="en-US"/>
        </w:rPr>
        <w:t xml:space="preserve"> that a representative household </w:t>
      </w:r>
      <w:r>
        <w:rPr>
          <w:rFonts w:cs="Arial"/>
          <w:lang w:val="en-US"/>
        </w:rPr>
        <w:t>faces</w:t>
      </w:r>
      <w:r w:rsidRPr="00234EB3">
        <w:rPr>
          <w:rFonts w:cs="Arial"/>
          <w:lang w:val="en-US"/>
        </w:rPr>
        <w:t>. However, the weights of the goods and services in the consumption baskets of hous</w:t>
      </w:r>
      <w:r>
        <w:rPr>
          <w:rFonts w:cs="Arial"/>
          <w:lang w:val="en-US"/>
        </w:rPr>
        <w:t>e</w:t>
      </w:r>
      <w:r w:rsidRPr="00234EB3">
        <w:rPr>
          <w:rFonts w:cs="Arial"/>
          <w:lang w:val="en-US"/>
        </w:rPr>
        <w:t xml:space="preserve">holds in different </w:t>
      </w:r>
      <w:r w:rsidR="0063031B">
        <w:rPr>
          <w:rFonts w:cs="Arial"/>
          <w:lang w:val="en-US"/>
        </w:rPr>
        <w:t>expenditure</w:t>
      </w:r>
      <w:r w:rsidR="0063031B" w:rsidRPr="00234EB3">
        <w:rPr>
          <w:rFonts w:cs="Arial"/>
          <w:lang w:val="en-US"/>
        </w:rPr>
        <w:t xml:space="preserve"> </w:t>
      </w:r>
      <w:r w:rsidRPr="00234EB3">
        <w:rPr>
          <w:rFonts w:cs="Arial"/>
          <w:lang w:val="en-US"/>
        </w:rPr>
        <w:t xml:space="preserve">groups </w:t>
      </w:r>
      <w:r w:rsidR="00591312">
        <w:rPr>
          <w:rFonts w:cs="Arial"/>
          <w:lang w:val="en-US"/>
        </w:rPr>
        <w:t>may be</w:t>
      </w:r>
      <w:r w:rsidRPr="00234EB3">
        <w:rPr>
          <w:rFonts w:cs="Arial"/>
          <w:lang w:val="en-US"/>
        </w:rPr>
        <w:t xml:space="preserve"> different from the </w:t>
      </w:r>
      <w:r w:rsidR="00D05062">
        <w:rPr>
          <w:rFonts w:cs="Arial"/>
          <w:lang w:val="en-US"/>
        </w:rPr>
        <w:t xml:space="preserve">composition of the </w:t>
      </w:r>
      <w:r w:rsidRPr="00234EB3">
        <w:rPr>
          <w:rFonts w:cs="Arial"/>
          <w:lang w:val="en-US"/>
        </w:rPr>
        <w:t xml:space="preserve">basket that a representative household consumes. For this reason, </w:t>
      </w:r>
      <w:r>
        <w:rPr>
          <w:rFonts w:cs="Arial"/>
          <w:lang w:val="en-US"/>
        </w:rPr>
        <w:t xml:space="preserve">the </w:t>
      </w:r>
      <w:r w:rsidRPr="00234EB3">
        <w:rPr>
          <w:rFonts w:cs="Arial"/>
          <w:lang w:val="en-US"/>
        </w:rPr>
        <w:t xml:space="preserve">inflation rates of different </w:t>
      </w:r>
      <w:r w:rsidR="0063031B">
        <w:rPr>
          <w:rFonts w:cs="Arial"/>
          <w:lang w:val="en-US"/>
        </w:rPr>
        <w:t>expenditure</w:t>
      </w:r>
      <w:r w:rsidR="0063031B" w:rsidRPr="00D56EBC">
        <w:rPr>
          <w:rFonts w:cs="Arial"/>
          <w:lang w:val="en-US"/>
        </w:rPr>
        <w:t xml:space="preserve"> </w:t>
      </w:r>
      <w:r w:rsidRPr="00D56EBC">
        <w:rPr>
          <w:rFonts w:cs="Arial"/>
          <w:lang w:val="en-US"/>
        </w:rPr>
        <w:t>groups</w:t>
      </w:r>
      <w:r w:rsidR="00890F33" w:rsidRPr="00D56EBC">
        <w:rPr>
          <w:rFonts w:cs="Arial"/>
          <w:lang w:val="en-US"/>
        </w:rPr>
        <w:t xml:space="preserve"> may</w:t>
      </w:r>
      <w:r w:rsidRPr="00D56EBC">
        <w:rPr>
          <w:rFonts w:cs="Arial"/>
          <w:lang w:val="en-US"/>
        </w:rPr>
        <w:t xml:space="preserve"> change in time. In this research note, we calculated the cumulative inflation rate of each </w:t>
      </w:r>
      <w:r w:rsidR="001F6093" w:rsidRPr="00D56EBC">
        <w:rPr>
          <w:rFonts w:cs="Arial"/>
          <w:lang w:val="en-US"/>
        </w:rPr>
        <w:t xml:space="preserve">expenditure </w:t>
      </w:r>
      <w:r w:rsidR="00217C2F" w:rsidRPr="00D56EBC">
        <w:rPr>
          <w:rFonts w:cs="Arial"/>
          <w:lang w:val="en-US"/>
        </w:rPr>
        <w:t>decile</w:t>
      </w:r>
      <w:r w:rsidRPr="00D56EBC">
        <w:rPr>
          <w:rFonts w:cs="Arial"/>
          <w:lang w:val="en-US"/>
        </w:rPr>
        <w:t xml:space="preserve"> by using the data in Household Budget Survey (HBS) between 2003 and July 2021.</w:t>
      </w:r>
    </w:p>
    <w:p w14:paraId="1791CA6D" w14:textId="77777777" w:rsidR="00234EB3" w:rsidRPr="00D56EBC" w:rsidRDefault="00234EB3" w:rsidP="005C0E4F">
      <w:pPr>
        <w:tabs>
          <w:tab w:val="left" w:pos="1512"/>
        </w:tabs>
        <w:spacing w:after="0"/>
        <w:contextualSpacing/>
        <w:mirrorIndents/>
        <w:jc w:val="both"/>
        <w:rPr>
          <w:rFonts w:cs="Arial"/>
          <w:lang w:val="en-US"/>
        </w:rPr>
      </w:pPr>
    </w:p>
    <w:p w14:paraId="5D2A6A79" w14:textId="6E6D71E4" w:rsidR="00774D48" w:rsidRDefault="00264C5C" w:rsidP="005C0E4F">
      <w:pPr>
        <w:tabs>
          <w:tab w:val="left" w:pos="1512"/>
        </w:tabs>
        <w:spacing w:after="0"/>
        <w:contextualSpacing/>
        <w:mirrorIndents/>
        <w:jc w:val="both"/>
        <w:rPr>
          <w:rFonts w:cs="Arial"/>
          <w:lang w:val="en-US"/>
        </w:rPr>
      </w:pPr>
      <w:r w:rsidRPr="00D56EBC">
        <w:rPr>
          <w:rFonts w:cs="Arial"/>
          <w:lang w:val="en-US"/>
        </w:rPr>
        <w:t xml:space="preserve">Our </w:t>
      </w:r>
      <w:r w:rsidR="00887A80" w:rsidRPr="00D56EBC">
        <w:rPr>
          <w:rFonts w:cs="Arial"/>
          <w:lang w:val="en-US"/>
        </w:rPr>
        <w:t>analysis</w:t>
      </w:r>
      <w:r w:rsidRPr="00D56EBC">
        <w:rPr>
          <w:rFonts w:cs="Arial"/>
          <w:lang w:val="en-US"/>
        </w:rPr>
        <w:t xml:space="preserve"> do</w:t>
      </w:r>
      <w:r w:rsidR="00942E60" w:rsidRPr="00D56EBC">
        <w:rPr>
          <w:rFonts w:cs="Arial"/>
          <w:lang w:val="en-US"/>
        </w:rPr>
        <w:t>es</w:t>
      </w:r>
      <w:r w:rsidRPr="00D56EBC">
        <w:rPr>
          <w:rFonts w:cs="Arial"/>
          <w:lang w:val="en-US"/>
        </w:rPr>
        <w:t xml:space="preserve"> not provide support </w:t>
      </w:r>
      <w:r w:rsidR="00217C2F" w:rsidRPr="00D56EBC">
        <w:rPr>
          <w:rFonts w:cs="Arial"/>
          <w:lang w:val="en-US"/>
        </w:rPr>
        <w:t>for</w:t>
      </w:r>
      <w:r w:rsidRPr="00D56EBC">
        <w:rPr>
          <w:rFonts w:cs="Arial"/>
          <w:lang w:val="en-US"/>
        </w:rPr>
        <w:t xml:space="preserve"> the </w:t>
      </w:r>
      <w:r w:rsidR="00440983" w:rsidRPr="00D56EBC">
        <w:rPr>
          <w:rFonts w:cs="Arial"/>
          <w:lang w:val="en-US"/>
        </w:rPr>
        <w:t>conventional wisdom</w:t>
      </w:r>
      <w:r w:rsidRPr="00D56EBC">
        <w:rPr>
          <w:rFonts w:cs="Arial"/>
          <w:lang w:val="en-US"/>
        </w:rPr>
        <w:t xml:space="preserve"> that the cumulative inflation rate is the highest in the lowest </w:t>
      </w:r>
      <w:r w:rsidR="008C05D3" w:rsidRPr="00D56EBC">
        <w:rPr>
          <w:rFonts w:cs="Arial"/>
          <w:lang w:val="en-US"/>
        </w:rPr>
        <w:t xml:space="preserve">expenditure </w:t>
      </w:r>
      <w:r w:rsidRPr="00D56EBC">
        <w:rPr>
          <w:rFonts w:cs="Arial"/>
          <w:lang w:val="en-US"/>
        </w:rPr>
        <w:t xml:space="preserve">group but the lowest in the highest </w:t>
      </w:r>
      <w:r w:rsidR="008D6E9B" w:rsidRPr="00D56EBC">
        <w:rPr>
          <w:rFonts w:cs="Arial"/>
          <w:lang w:val="en-US"/>
        </w:rPr>
        <w:t xml:space="preserve">expenditure </w:t>
      </w:r>
      <w:r w:rsidRPr="00D56EBC">
        <w:rPr>
          <w:rFonts w:cs="Arial"/>
          <w:lang w:val="en-US"/>
        </w:rPr>
        <w:t xml:space="preserve">group. Some of our findings are unexpected and surprising. As of July 2021 (2003=100), the group with the lowest cumulative inflation rate is the penultimate highest </w:t>
      </w:r>
      <w:r w:rsidR="008D6E9B" w:rsidRPr="00D56EBC">
        <w:rPr>
          <w:rFonts w:cs="Arial"/>
          <w:lang w:val="en-US"/>
        </w:rPr>
        <w:t>expenditure</w:t>
      </w:r>
      <w:r w:rsidRPr="00D56EBC">
        <w:rPr>
          <w:rFonts w:cs="Arial"/>
          <w:lang w:val="en-US"/>
        </w:rPr>
        <w:t xml:space="preserve"> group. The cumulative inflation rate of the lowest </w:t>
      </w:r>
      <w:r w:rsidR="0063031B">
        <w:rPr>
          <w:rFonts w:cs="Arial"/>
          <w:lang w:val="en-US"/>
        </w:rPr>
        <w:t>expenditure</w:t>
      </w:r>
      <w:r w:rsidR="0063031B" w:rsidRPr="00D56EBC">
        <w:rPr>
          <w:rFonts w:cs="Arial"/>
          <w:lang w:val="en-US"/>
        </w:rPr>
        <w:t xml:space="preserve"> </w:t>
      </w:r>
      <w:r w:rsidRPr="00D56EBC">
        <w:rPr>
          <w:rFonts w:cs="Arial"/>
          <w:lang w:val="en-US"/>
        </w:rPr>
        <w:t xml:space="preserve">group, i.e., "the poorest", is the second </w:t>
      </w:r>
      <w:r w:rsidR="00202209" w:rsidRPr="00D56EBC">
        <w:rPr>
          <w:rFonts w:cs="Arial"/>
          <w:lang w:val="en-US"/>
        </w:rPr>
        <w:t xml:space="preserve">lowest </w:t>
      </w:r>
      <w:r w:rsidRPr="00D56EBC">
        <w:rPr>
          <w:rFonts w:cs="Arial"/>
          <w:lang w:val="en-US"/>
        </w:rPr>
        <w:t xml:space="preserve">inflation rate </w:t>
      </w:r>
      <w:r w:rsidR="00632B9C" w:rsidRPr="00D56EBC">
        <w:rPr>
          <w:rFonts w:cs="Arial"/>
          <w:lang w:val="en-US"/>
        </w:rPr>
        <w:t>by</w:t>
      </w:r>
      <w:r w:rsidRPr="00D56EBC">
        <w:rPr>
          <w:rFonts w:cs="Arial"/>
          <w:lang w:val="en-US"/>
        </w:rPr>
        <w:t xml:space="preserve"> a small margin. Contrary to expectations, the cumulative inflation rate of the highest </w:t>
      </w:r>
      <w:r w:rsidR="0063031B">
        <w:rPr>
          <w:rFonts w:cs="Arial"/>
          <w:lang w:val="en-US"/>
        </w:rPr>
        <w:t>expenditure</w:t>
      </w:r>
      <w:r w:rsidR="0063031B" w:rsidRPr="00D56EBC">
        <w:rPr>
          <w:rFonts w:cs="Arial"/>
          <w:lang w:val="en-US"/>
        </w:rPr>
        <w:t xml:space="preserve"> </w:t>
      </w:r>
      <w:r w:rsidRPr="00D56EBC">
        <w:rPr>
          <w:rFonts w:cs="Arial"/>
          <w:lang w:val="en-US"/>
        </w:rPr>
        <w:t xml:space="preserve">group, </w:t>
      </w:r>
      <w:r w:rsidR="00E24AC3" w:rsidRPr="00D56EBC">
        <w:rPr>
          <w:rFonts w:cs="Arial"/>
          <w:lang w:val="en-US"/>
        </w:rPr>
        <w:t>i.e.,</w:t>
      </w:r>
      <w:r w:rsidRPr="00D56EBC">
        <w:rPr>
          <w:rFonts w:cs="Arial"/>
          <w:lang w:val="en-US"/>
        </w:rPr>
        <w:t xml:space="preserve"> "the richest", is the third highest </w:t>
      </w:r>
      <w:r w:rsidR="00E24AC3" w:rsidRPr="00D56EBC">
        <w:rPr>
          <w:rFonts w:cs="Arial"/>
          <w:lang w:val="en-US"/>
        </w:rPr>
        <w:t xml:space="preserve">cumulative </w:t>
      </w:r>
      <w:r w:rsidRPr="00D56EBC">
        <w:rPr>
          <w:rFonts w:cs="Arial"/>
          <w:lang w:val="en-US"/>
        </w:rPr>
        <w:t>inflation rate.</w:t>
      </w:r>
    </w:p>
    <w:p w14:paraId="6471B20E" w14:textId="77777777" w:rsidR="00264C5C" w:rsidRPr="00C00E83" w:rsidRDefault="00264C5C" w:rsidP="005C0E4F">
      <w:pPr>
        <w:tabs>
          <w:tab w:val="left" w:pos="1512"/>
        </w:tabs>
        <w:spacing w:after="0"/>
        <w:contextualSpacing/>
        <w:mirrorIndents/>
        <w:jc w:val="both"/>
        <w:rPr>
          <w:rFonts w:cs="Arial"/>
          <w:lang w:val="en-US"/>
        </w:rPr>
      </w:pPr>
    </w:p>
    <w:p w14:paraId="3175A401" w14:textId="61EA2E9A" w:rsidR="00D9428D" w:rsidRPr="00C00E83" w:rsidRDefault="006E1B7B" w:rsidP="005C0E4F">
      <w:pPr>
        <w:tabs>
          <w:tab w:val="left" w:pos="1512"/>
        </w:tabs>
        <w:spacing w:after="0"/>
        <w:contextualSpacing/>
        <w:mirrorIndents/>
        <w:jc w:val="both"/>
        <w:rPr>
          <w:rFonts w:cs="Arial"/>
          <w:lang w:val="en-US"/>
        </w:rPr>
      </w:pPr>
      <w:r w:rsidRPr="006E1B7B">
        <w:rPr>
          <w:rFonts w:cs="Arial"/>
          <w:lang w:val="en-US"/>
        </w:rPr>
        <w:t>Along with these findings,</w:t>
      </w:r>
      <w:r w:rsidR="00874258">
        <w:rPr>
          <w:rFonts w:cs="Arial"/>
          <w:lang w:val="en-US"/>
        </w:rPr>
        <w:t xml:space="preserve"> </w:t>
      </w:r>
      <w:r w:rsidRPr="006E1B7B">
        <w:rPr>
          <w:rFonts w:cs="Arial"/>
          <w:lang w:val="en-US"/>
        </w:rPr>
        <w:t xml:space="preserve">inflation </w:t>
      </w:r>
      <w:r w:rsidR="00B15779">
        <w:rPr>
          <w:rFonts w:cs="Arial"/>
          <w:lang w:val="en-US"/>
        </w:rPr>
        <w:t>rates</w:t>
      </w:r>
      <w:r w:rsidRPr="006E1B7B">
        <w:rPr>
          <w:rFonts w:cs="Arial"/>
          <w:lang w:val="en-US"/>
        </w:rPr>
        <w:t xml:space="preserve"> of other </w:t>
      </w:r>
      <w:r w:rsidR="0063031B">
        <w:rPr>
          <w:rFonts w:cs="Arial"/>
          <w:lang w:val="en-US"/>
        </w:rPr>
        <w:t>expenditure</w:t>
      </w:r>
      <w:r w:rsidR="0063031B" w:rsidRPr="006E1B7B">
        <w:rPr>
          <w:rFonts w:cs="Arial"/>
          <w:lang w:val="en-US"/>
        </w:rPr>
        <w:t xml:space="preserve"> </w:t>
      </w:r>
      <w:r w:rsidRPr="006E1B7B">
        <w:rPr>
          <w:rFonts w:cs="Arial"/>
          <w:lang w:val="en-US"/>
        </w:rPr>
        <w:t>groups are mostly in line with the common perception. Even though inflation rate</w:t>
      </w:r>
      <w:r w:rsidR="00F82333">
        <w:rPr>
          <w:rFonts w:cs="Arial"/>
          <w:lang w:val="en-US"/>
        </w:rPr>
        <w:t>s</w:t>
      </w:r>
      <w:r w:rsidRPr="006E1B7B">
        <w:rPr>
          <w:rFonts w:cs="Arial"/>
          <w:lang w:val="en-US"/>
        </w:rPr>
        <w:t xml:space="preserve"> do not systematically increase as the </w:t>
      </w:r>
      <w:r w:rsidR="008D6E9B">
        <w:rPr>
          <w:rFonts w:cs="Arial"/>
          <w:lang w:val="en-US"/>
        </w:rPr>
        <w:t>expenditure</w:t>
      </w:r>
      <w:r w:rsidRPr="006E1B7B">
        <w:rPr>
          <w:rFonts w:cs="Arial"/>
          <w:lang w:val="en-US"/>
        </w:rPr>
        <w:t xml:space="preserve"> level lowers, the second lowest </w:t>
      </w:r>
      <w:r w:rsidR="0063031B">
        <w:rPr>
          <w:rFonts w:cs="Arial"/>
          <w:lang w:val="en-US"/>
        </w:rPr>
        <w:t>expenditure</w:t>
      </w:r>
      <w:r w:rsidR="0063031B" w:rsidRPr="006E1B7B">
        <w:rPr>
          <w:rFonts w:cs="Arial"/>
          <w:lang w:val="en-US"/>
        </w:rPr>
        <w:t xml:space="preserve"> </w:t>
      </w:r>
      <w:r w:rsidRPr="006E1B7B">
        <w:rPr>
          <w:rFonts w:cs="Arial"/>
          <w:lang w:val="en-US"/>
        </w:rPr>
        <w:t>group faces the highest cumulative inflation rate.</w:t>
      </w:r>
    </w:p>
    <w:p w14:paraId="37C216BA" w14:textId="77777777" w:rsidR="00086C42" w:rsidRPr="00C00E83" w:rsidRDefault="00086C42" w:rsidP="005C0E4F">
      <w:pPr>
        <w:tabs>
          <w:tab w:val="left" w:pos="1512"/>
        </w:tabs>
        <w:spacing w:after="0"/>
        <w:contextualSpacing/>
        <w:mirrorIndents/>
        <w:jc w:val="both"/>
        <w:rPr>
          <w:rFonts w:cs="Arial"/>
          <w:lang w:val="en-US"/>
        </w:rPr>
      </w:pPr>
    </w:p>
    <w:p w14:paraId="7C7E312A" w14:textId="5F1AEA0C" w:rsidR="00ED67C6" w:rsidRPr="008D6E9B" w:rsidRDefault="00497BD6" w:rsidP="00775D45">
      <w:pPr>
        <w:spacing w:after="120"/>
        <w:rPr>
          <w:rFonts w:eastAsia="Times New Roman" w:cs="Arial"/>
          <w:b/>
          <w:sz w:val="24"/>
          <w:szCs w:val="24"/>
          <w:lang w:val="en-US"/>
        </w:rPr>
      </w:pPr>
      <w:r w:rsidRPr="008D6E9B">
        <w:rPr>
          <w:rFonts w:eastAsia="Times New Roman" w:cs="Arial"/>
          <w:b/>
          <w:sz w:val="24"/>
          <w:szCs w:val="24"/>
          <w:lang w:val="en-US"/>
        </w:rPr>
        <w:t>Inflation rate var</w:t>
      </w:r>
      <w:r w:rsidR="00F87149" w:rsidRPr="008D6E9B">
        <w:rPr>
          <w:rFonts w:eastAsia="Times New Roman" w:cs="Arial"/>
          <w:b/>
          <w:sz w:val="24"/>
          <w:szCs w:val="24"/>
          <w:lang w:val="en-US"/>
        </w:rPr>
        <w:t>ies</w:t>
      </w:r>
      <w:r w:rsidRPr="008D6E9B">
        <w:rPr>
          <w:rFonts w:eastAsia="Times New Roman" w:cs="Arial"/>
          <w:b/>
          <w:sz w:val="24"/>
          <w:szCs w:val="24"/>
          <w:lang w:val="en-US"/>
        </w:rPr>
        <w:t xml:space="preserve"> across </w:t>
      </w:r>
      <w:r w:rsidR="008D6E9B" w:rsidRPr="008D6E9B">
        <w:rPr>
          <w:rFonts w:cs="Arial"/>
          <w:b/>
          <w:bCs/>
          <w:sz w:val="24"/>
          <w:szCs w:val="24"/>
          <w:lang w:val="en-US"/>
        </w:rPr>
        <w:t>expenditure</w:t>
      </w:r>
      <w:r w:rsidRPr="008D6E9B">
        <w:rPr>
          <w:rFonts w:eastAsia="Times New Roman" w:cs="Arial"/>
          <w:b/>
          <w:sz w:val="24"/>
          <w:szCs w:val="24"/>
          <w:lang w:val="en-US"/>
        </w:rPr>
        <w:t xml:space="preserve"> </w:t>
      </w:r>
      <w:r w:rsidR="00F535C7" w:rsidRPr="008D6E9B">
        <w:rPr>
          <w:rFonts w:eastAsia="Times New Roman" w:cs="Arial"/>
          <w:b/>
          <w:sz w:val="24"/>
          <w:szCs w:val="24"/>
          <w:lang w:val="en-US"/>
        </w:rPr>
        <w:t>groups</w:t>
      </w:r>
    </w:p>
    <w:p w14:paraId="38545880" w14:textId="247521D0" w:rsidR="00454258" w:rsidRDefault="002054F3" w:rsidP="00DF118E">
      <w:pPr>
        <w:spacing w:after="0"/>
        <w:jc w:val="both"/>
        <w:rPr>
          <w:rFonts w:eastAsia="Times New Roman" w:cs="Arial"/>
          <w:lang w:val="en-US"/>
        </w:rPr>
      </w:pPr>
      <w:r w:rsidRPr="002054F3">
        <w:rPr>
          <w:rFonts w:eastAsia="Times New Roman" w:cs="Arial"/>
          <w:lang w:val="en-US"/>
        </w:rPr>
        <w:t>Inflation</w:t>
      </w:r>
      <w:r w:rsidR="003E6E81">
        <w:rPr>
          <w:rFonts w:eastAsia="Times New Roman" w:cs="Arial"/>
          <w:lang w:val="en-US"/>
        </w:rPr>
        <w:t xml:space="preserve"> </w:t>
      </w:r>
      <w:r w:rsidRPr="002054F3">
        <w:rPr>
          <w:rFonts w:eastAsia="Times New Roman" w:cs="Arial"/>
          <w:lang w:val="en-US"/>
        </w:rPr>
        <w:t>is the increase in the price paid to purchase the consumption basket that contains widely used goods and services. Which or whose consumption basket forms the basis to calculate the inflation rate? The convention</w:t>
      </w:r>
      <w:r w:rsidR="009A0721">
        <w:rPr>
          <w:rFonts w:eastAsia="Times New Roman" w:cs="Arial"/>
          <w:lang w:val="en-US"/>
        </w:rPr>
        <w:t>al method</w:t>
      </w:r>
      <w:r w:rsidRPr="002054F3">
        <w:rPr>
          <w:rFonts w:eastAsia="Times New Roman" w:cs="Arial"/>
          <w:lang w:val="en-US"/>
        </w:rPr>
        <w:t xml:space="preserve"> is to use the consumption basket of the representative household in the middle after ordering the households </w:t>
      </w:r>
      <w:r w:rsidR="001A0DEB">
        <w:rPr>
          <w:rFonts w:eastAsia="Times New Roman" w:cs="Arial"/>
          <w:lang w:val="en-US"/>
        </w:rPr>
        <w:t xml:space="preserve">based </w:t>
      </w:r>
      <w:r w:rsidRPr="002054F3">
        <w:rPr>
          <w:rFonts w:eastAsia="Times New Roman" w:cs="Arial"/>
          <w:lang w:val="en-US"/>
        </w:rPr>
        <w:t xml:space="preserve">on their </w:t>
      </w:r>
      <w:r w:rsidR="008D6E9B">
        <w:rPr>
          <w:rFonts w:cs="Arial"/>
          <w:lang w:val="en-US"/>
        </w:rPr>
        <w:t>expenditure</w:t>
      </w:r>
      <w:r w:rsidR="008D6E9B" w:rsidRPr="002054F3">
        <w:rPr>
          <w:rFonts w:eastAsia="Times New Roman" w:cs="Arial"/>
          <w:lang w:val="en-US"/>
        </w:rPr>
        <w:t xml:space="preserve"> </w:t>
      </w:r>
      <w:r w:rsidRPr="002054F3">
        <w:rPr>
          <w:rFonts w:eastAsia="Times New Roman" w:cs="Arial"/>
          <w:lang w:val="en-US"/>
        </w:rPr>
        <w:t>levels. Turkstat follows this approach as well. The weights of the goods and services in the representative household's consumption basket are the monthly shares of those items in the representative hous</w:t>
      </w:r>
      <w:r>
        <w:rPr>
          <w:rFonts w:eastAsia="Times New Roman" w:cs="Arial"/>
          <w:lang w:val="en-US"/>
        </w:rPr>
        <w:t>e</w:t>
      </w:r>
      <w:r w:rsidRPr="002054F3">
        <w:rPr>
          <w:rFonts w:eastAsia="Times New Roman" w:cs="Arial"/>
          <w:lang w:val="en-US"/>
        </w:rPr>
        <w:t xml:space="preserve">hold's total spending. Therefore, CPI </w:t>
      </w:r>
      <w:r w:rsidR="009A36C4">
        <w:rPr>
          <w:rFonts w:eastAsia="Times New Roman" w:cs="Arial"/>
          <w:lang w:val="en-US"/>
        </w:rPr>
        <w:t xml:space="preserve">that </w:t>
      </w:r>
      <w:r w:rsidRPr="002054F3">
        <w:rPr>
          <w:rFonts w:eastAsia="Times New Roman" w:cs="Arial"/>
          <w:lang w:val="en-US"/>
        </w:rPr>
        <w:t>Turkstat</w:t>
      </w:r>
      <w:r w:rsidR="009A36C4">
        <w:rPr>
          <w:rFonts w:eastAsia="Times New Roman" w:cs="Arial"/>
          <w:lang w:val="en-US"/>
        </w:rPr>
        <w:t xml:space="preserve"> announces</w:t>
      </w:r>
      <w:r w:rsidRPr="002054F3">
        <w:rPr>
          <w:rFonts w:eastAsia="Times New Roman" w:cs="Arial"/>
          <w:lang w:val="en-US"/>
        </w:rPr>
        <w:t xml:space="preserve"> is the inflation rate of the representative household.</w:t>
      </w:r>
    </w:p>
    <w:p w14:paraId="78969228" w14:textId="77777777" w:rsidR="002054F3" w:rsidRPr="00C00E83" w:rsidRDefault="002054F3" w:rsidP="00DF118E">
      <w:pPr>
        <w:spacing w:after="0"/>
        <w:jc w:val="both"/>
        <w:rPr>
          <w:rFonts w:eastAsia="Times New Roman" w:cs="Arial"/>
          <w:lang w:val="en-US"/>
        </w:rPr>
      </w:pPr>
    </w:p>
    <w:p w14:paraId="2E883C84" w14:textId="2D2F6173" w:rsidR="00DC4B26" w:rsidRPr="00C00E83" w:rsidRDefault="00F47619" w:rsidP="00DF118E">
      <w:pPr>
        <w:spacing w:after="0"/>
        <w:jc w:val="both"/>
        <w:rPr>
          <w:rFonts w:eastAsia="Times New Roman" w:cs="Arial"/>
          <w:lang w:val="en-US"/>
        </w:rPr>
      </w:pPr>
      <w:r w:rsidRPr="00F47619">
        <w:rPr>
          <w:rFonts w:eastAsia="Times New Roman" w:cs="Arial"/>
          <w:lang w:val="en-US"/>
        </w:rPr>
        <w:lastRenderedPageBreak/>
        <w:t xml:space="preserve">Nevertheless, those weights in the consumption baskets of each household, </w:t>
      </w:r>
      <w:r w:rsidR="000D6C8B">
        <w:rPr>
          <w:rFonts w:eastAsia="Times New Roman" w:cs="Arial"/>
          <w:lang w:val="en-US"/>
        </w:rPr>
        <w:t>due to</w:t>
      </w:r>
      <w:r w:rsidR="00ED2255">
        <w:rPr>
          <w:rFonts w:eastAsia="Times New Roman" w:cs="Arial"/>
          <w:lang w:val="en-US"/>
        </w:rPr>
        <w:t xml:space="preserve"> </w:t>
      </w:r>
      <w:r w:rsidRPr="00F47619">
        <w:rPr>
          <w:rFonts w:eastAsia="Times New Roman" w:cs="Arial"/>
          <w:lang w:val="en-US"/>
        </w:rPr>
        <w:t xml:space="preserve">their preferences, mostly vary with </w:t>
      </w:r>
      <w:r w:rsidR="0063031B">
        <w:rPr>
          <w:rFonts w:cs="Arial"/>
          <w:lang w:val="en-US"/>
        </w:rPr>
        <w:t>expenditure</w:t>
      </w:r>
      <w:r w:rsidR="0063031B" w:rsidRPr="00F47619">
        <w:rPr>
          <w:rFonts w:eastAsia="Times New Roman" w:cs="Arial"/>
          <w:lang w:val="en-US"/>
        </w:rPr>
        <w:t xml:space="preserve"> </w:t>
      </w:r>
      <w:r w:rsidRPr="00F47619">
        <w:rPr>
          <w:rFonts w:eastAsia="Times New Roman" w:cs="Arial"/>
          <w:lang w:val="en-US"/>
        </w:rPr>
        <w:t xml:space="preserve">levels. For instance, as we will report later, the weight of transportation is quite high </w:t>
      </w:r>
      <w:r w:rsidR="00E27B04">
        <w:rPr>
          <w:rFonts w:eastAsia="Times New Roman" w:cs="Arial"/>
          <w:lang w:val="en-US"/>
        </w:rPr>
        <w:t>for</w:t>
      </w:r>
      <w:r w:rsidRPr="00F47619">
        <w:rPr>
          <w:rFonts w:eastAsia="Times New Roman" w:cs="Arial"/>
          <w:lang w:val="en-US"/>
        </w:rPr>
        <w:t xml:space="preserve"> high</w:t>
      </w:r>
      <w:r w:rsidR="008D6E9B">
        <w:rPr>
          <w:rFonts w:eastAsia="Times New Roman" w:cs="Arial"/>
          <w:lang w:val="en-US"/>
        </w:rPr>
        <w:t xml:space="preserve"> </w:t>
      </w:r>
      <w:r w:rsidR="008D6E9B">
        <w:rPr>
          <w:rFonts w:cs="Arial"/>
          <w:lang w:val="en-US"/>
        </w:rPr>
        <w:t xml:space="preserve">expenditure </w:t>
      </w:r>
      <w:r w:rsidRPr="00F47619">
        <w:rPr>
          <w:rFonts w:eastAsia="Times New Roman" w:cs="Arial"/>
          <w:lang w:val="en-US"/>
        </w:rPr>
        <w:t xml:space="preserve">households while the share of food is quite high </w:t>
      </w:r>
      <w:r w:rsidR="00E27B04">
        <w:rPr>
          <w:rFonts w:eastAsia="Times New Roman" w:cs="Arial"/>
          <w:lang w:val="en-US"/>
        </w:rPr>
        <w:t>for</w:t>
      </w:r>
      <w:r w:rsidRPr="00F47619">
        <w:rPr>
          <w:rFonts w:eastAsia="Times New Roman" w:cs="Arial"/>
          <w:lang w:val="en-US"/>
        </w:rPr>
        <w:t xml:space="preserve"> low</w:t>
      </w:r>
      <w:r w:rsidR="00D56EBC" w:rsidRPr="00D56EBC">
        <w:rPr>
          <w:rFonts w:cs="Arial"/>
          <w:lang w:val="en-US"/>
        </w:rPr>
        <w:t xml:space="preserve"> </w:t>
      </w:r>
      <w:r w:rsidR="00D56EBC">
        <w:rPr>
          <w:rFonts w:cs="Arial"/>
          <w:lang w:val="en-US"/>
        </w:rPr>
        <w:t>expenditure</w:t>
      </w:r>
      <w:r w:rsidR="00D56EBC" w:rsidRPr="00F47619">
        <w:rPr>
          <w:rFonts w:eastAsia="Times New Roman" w:cs="Arial"/>
          <w:lang w:val="en-US"/>
        </w:rPr>
        <w:t xml:space="preserve"> </w:t>
      </w:r>
      <w:r w:rsidRPr="00F47619">
        <w:rPr>
          <w:rFonts w:eastAsia="Times New Roman" w:cs="Arial"/>
          <w:lang w:val="en-US"/>
        </w:rPr>
        <w:t xml:space="preserve">households. Therefore, it is inevitable that households in different </w:t>
      </w:r>
      <w:r w:rsidR="008D6E9B">
        <w:rPr>
          <w:rFonts w:cs="Arial"/>
          <w:lang w:val="en-US"/>
        </w:rPr>
        <w:t>expenditure</w:t>
      </w:r>
      <w:r w:rsidRPr="00F47619">
        <w:rPr>
          <w:rFonts w:eastAsia="Times New Roman" w:cs="Arial"/>
          <w:lang w:val="en-US"/>
        </w:rPr>
        <w:t xml:space="preserve"> </w:t>
      </w:r>
      <w:r w:rsidR="00DC3FBC">
        <w:rPr>
          <w:rFonts w:eastAsia="Times New Roman" w:cs="Arial"/>
          <w:lang w:val="en-US"/>
        </w:rPr>
        <w:t>groups</w:t>
      </w:r>
      <w:r w:rsidRPr="00F47619">
        <w:rPr>
          <w:rFonts w:eastAsia="Times New Roman" w:cs="Arial"/>
          <w:lang w:val="en-US"/>
        </w:rPr>
        <w:t xml:space="preserve"> face different inflation rates at the same point in time. In this regard, to what extent the inflation rates vary among the households in different </w:t>
      </w:r>
      <w:r w:rsidR="0063031B">
        <w:rPr>
          <w:rFonts w:cs="Arial"/>
          <w:lang w:val="en-US"/>
        </w:rPr>
        <w:t>expenditure</w:t>
      </w:r>
      <w:r w:rsidR="0063031B">
        <w:rPr>
          <w:rFonts w:eastAsia="Times New Roman" w:cs="Arial"/>
          <w:lang w:val="en-US"/>
        </w:rPr>
        <w:t xml:space="preserve"> </w:t>
      </w:r>
      <w:r w:rsidR="00AC56B1">
        <w:rPr>
          <w:rFonts w:eastAsia="Times New Roman" w:cs="Arial"/>
          <w:lang w:val="en-US"/>
        </w:rPr>
        <w:t>groups</w:t>
      </w:r>
      <w:r w:rsidRPr="00F47619">
        <w:rPr>
          <w:rFonts w:eastAsia="Times New Roman" w:cs="Arial"/>
          <w:lang w:val="en-US"/>
        </w:rPr>
        <w:t xml:space="preserve"> is an interesting </w:t>
      </w:r>
      <w:r w:rsidR="004B1AAD">
        <w:rPr>
          <w:rFonts w:eastAsia="Times New Roman" w:cs="Arial"/>
          <w:lang w:val="en-US"/>
        </w:rPr>
        <w:t>question</w:t>
      </w:r>
      <w:r w:rsidRPr="00F47619">
        <w:rPr>
          <w:rFonts w:eastAsia="Times New Roman" w:cs="Arial"/>
          <w:lang w:val="en-US"/>
        </w:rPr>
        <w:t xml:space="preserve">. Simply, is there any significant difference between the inflation rates of the households in the lowest </w:t>
      </w:r>
      <w:r w:rsidR="008D6E9B">
        <w:rPr>
          <w:rFonts w:cs="Arial"/>
          <w:lang w:val="en-US"/>
        </w:rPr>
        <w:t>expenditure</w:t>
      </w:r>
      <w:r w:rsidR="008D6E9B">
        <w:rPr>
          <w:rFonts w:eastAsia="Times New Roman" w:cs="Arial"/>
          <w:lang w:val="en-US"/>
        </w:rPr>
        <w:t xml:space="preserve"> </w:t>
      </w:r>
      <w:r w:rsidR="0093169F">
        <w:rPr>
          <w:rFonts w:eastAsia="Times New Roman" w:cs="Arial"/>
          <w:lang w:val="en-US"/>
        </w:rPr>
        <w:t>group</w:t>
      </w:r>
      <w:r w:rsidRPr="00F47619">
        <w:rPr>
          <w:rFonts w:eastAsia="Times New Roman" w:cs="Arial"/>
          <w:lang w:val="en-US"/>
        </w:rPr>
        <w:t xml:space="preserve"> (henceforth "the poorest"</w:t>
      </w:r>
      <w:r w:rsidR="00A2740A">
        <w:rPr>
          <w:rFonts w:eastAsia="Times New Roman" w:cs="Arial"/>
          <w:lang w:val="en-US"/>
        </w:rPr>
        <w:t xml:space="preserve"> and “the poor”</w:t>
      </w:r>
      <w:r w:rsidRPr="00F47619">
        <w:rPr>
          <w:rFonts w:eastAsia="Times New Roman" w:cs="Arial"/>
          <w:lang w:val="en-US"/>
        </w:rPr>
        <w:t xml:space="preserve">) and the highest </w:t>
      </w:r>
      <w:r w:rsidR="0063031B">
        <w:rPr>
          <w:rFonts w:cs="Arial"/>
          <w:lang w:val="en-US"/>
        </w:rPr>
        <w:t>expenditure</w:t>
      </w:r>
      <w:r w:rsidR="0063031B">
        <w:rPr>
          <w:rFonts w:eastAsia="Times New Roman" w:cs="Arial"/>
          <w:lang w:val="en-US"/>
        </w:rPr>
        <w:t xml:space="preserve"> </w:t>
      </w:r>
      <w:r w:rsidR="0093169F">
        <w:rPr>
          <w:rFonts w:eastAsia="Times New Roman" w:cs="Arial"/>
          <w:lang w:val="en-US"/>
        </w:rPr>
        <w:t>group</w:t>
      </w:r>
      <w:r w:rsidRPr="00F47619">
        <w:rPr>
          <w:rFonts w:eastAsia="Times New Roman" w:cs="Arial"/>
          <w:lang w:val="en-US"/>
        </w:rPr>
        <w:t xml:space="preserve"> (henceforth "the richest"</w:t>
      </w:r>
      <w:r w:rsidR="00A2740A">
        <w:rPr>
          <w:rFonts w:eastAsia="Times New Roman" w:cs="Arial"/>
          <w:lang w:val="en-US"/>
        </w:rPr>
        <w:t xml:space="preserve"> and “the rich”</w:t>
      </w:r>
      <w:r w:rsidRPr="00F47619">
        <w:rPr>
          <w:rFonts w:eastAsia="Times New Roman" w:cs="Arial"/>
          <w:lang w:val="en-US"/>
        </w:rPr>
        <w:t>) over the last 18 years? If</w:t>
      </w:r>
      <w:r w:rsidR="002B2161">
        <w:rPr>
          <w:rFonts w:eastAsia="Times New Roman" w:cs="Arial"/>
          <w:lang w:val="en-US"/>
        </w:rPr>
        <w:t xml:space="preserve"> so</w:t>
      </w:r>
      <w:r w:rsidRPr="00F47619">
        <w:rPr>
          <w:rFonts w:eastAsia="Times New Roman" w:cs="Arial"/>
          <w:lang w:val="en-US"/>
        </w:rPr>
        <w:t>, who did benefit from this divergence?</w:t>
      </w:r>
    </w:p>
    <w:p w14:paraId="2D23ADF5" w14:textId="77777777" w:rsidR="00DC4B26" w:rsidRPr="00C00E83" w:rsidRDefault="00DC4B26" w:rsidP="00DF118E">
      <w:pPr>
        <w:spacing w:after="0"/>
        <w:jc w:val="both"/>
        <w:rPr>
          <w:rFonts w:eastAsia="Times New Roman" w:cs="Arial"/>
          <w:lang w:val="en-US"/>
        </w:rPr>
      </w:pPr>
    </w:p>
    <w:p w14:paraId="1031056E" w14:textId="460C6844" w:rsidR="00ED67C6" w:rsidRPr="00C00E83" w:rsidRDefault="00691F74" w:rsidP="00DF118E">
      <w:pPr>
        <w:spacing w:after="0"/>
        <w:jc w:val="both"/>
        <w:rPr>
          <w:rFonts w:eastAsia="Times New Roman" w:cs="Arial"/>
          <w:lang w:val="en-US"/>
        </w:rPr>
      </w:pPr>
      <w:r>
        <w:rPr>
          <w:rFonts w:eastAsia="Times New Roman" w:cs="Arial"/>
          <w:b/>
          <w:lang w:val="en-US"/>
        </w:rPr>
        <w:t xml:space="preserve">Surprising </w:t>
      </w:r>
      <w:r w:rsidR="00F31932">
        <w:rPr>
          <w:rFonts w:eastAsia="Times New Roman" w:cs="Arial"/>
          <w:b/>
          <w:lang w:val="en-US"/>
        </w:rPr>
        <w:t>results</w:t>
      </w:r>
    </w:p>
    <w:p w14:paraId="43AA1976" w14:textId="77777777" w:rsidR="006C2AC7" w:rsidRPr="00C00E83" w:rsidRDefault="006C2AC7" w:rsidP="00DF118E">
      <w:pPr>
        <w:spacing w:after="0"/>
        <w:jc w:val="both"/>
        <w:rPr>
          <w:rFonts w:cs="Arial"/>
          <w:lang w:val="en-US"/>
        </w:rPr>
      </w:pPr>
    </w:p>
    <w:p w14:paraId="302421F4" w14:textId="74D7C018" w:rsidR="007332FD" w:rsidRDefault="00C32424" w:rsidP="00DF118E">
      <w:pPr>
        <w:spacing w:after="0"/>
        <w:jc w:val="both"/>
        <w:rPr>
          <w:rFonts w:cs="Arial"/>
          <w:lang w:val="en-US"/>
        </w:rPr>
      </w:pPr>
      <w:r w:rsidRPr="00C32424">
        <w:rPr>
          <w:rFonts w:cs="Arial"/>
          <w:lang w:val="en-US"/>
        </w:rPr>
        <w:t>Betam regularly analyzed the inflation ind</w:t>
      </w:r>
      <w:r w:rsidR="00DA5314">
        <w:rPr>
          <w:rFonts w:cs="Arial"/>
          <w:lang w:val="en-US"/>
        </w:rPr>
        <w:t>ex</w:t>
      </w:r>
      <w:r w:rsidRPr="00C32424">
        <w:rPr>
          <w:rFonts w:cs="Arial"/>
          <w:lang w:val="en-US"/>
        </w:rPr>
        <w:t xml:space="preserve">es (2003=100) of different </w:t>
      </w:r>
      <w:r w:rsidR="0063031B">
        <w:rPr>
          <w:rFonts w:cs="Arial"/>
          <w:lang w:val="en-US"/>
        </w:rPr>
        <w:t>expenditure</w:t>
      </w:r>
      <w:r w:rsidR="0063031B" w:rsidRPr="00C32424">
        <w:rPr>
          <w:rFonts w:cs="Arial"/>
          <w:lang w:val="en-US"/>
        </w:rPr>
        <w:t xml:space="preserve"> </w:t>
      </w:r>
      <w:r w:rsidRPr="00C32424">
        <w:rPr>
          <w:rFonts w:cs="Arial"/>
          <w:lang w:val="en-US"/>
        </w:rPr>
        <w:t xml:space="preserve">groups for a long time. We published eight notes on this </w:t>
      </w:r>
      <w:r w:rsidR="00F52387">
        <w:rPr>
          <w:rFonts w:cs="Arial"/>
          <w:lang w:val="en-US"/>
        </w:rPr>
        <w:t>topic</w:t>
      </w:r>
      <w:r w:rsidRPr="00C32424">
        <w:rPr>
          <w:rFonts w:cs="Arial"/>
          <w:lang w:val="en-US"/>
        </w:rPr>
        <w:t>.</w:t>
      </w:r>
      <w:r>
        <w:rPr>
          <w:rStyle w:val="FootnoteReference"/>
          <w:rFonts w:cs="Arial"/>
          <w:lang w:val="en-US"/>
        </w:rPr>
        <w:footnoteReference w:id="3"/>
      </w:r>
      <w:r w:rsidRPr="00C32424">
        <w:rPr>
          <w:rFonts w:cs="Arial"/>
          <w:lang w:val="en-US"/>
        </w:rPr>
        <w:t xml:space="preserve"> In those notes, </w:t>
      </w:r>
      <w:r w:rsidR="00143B6C" w:rsidRPr="00C32424">
        <w:rPr>
          <w:rFonts w:cs="Arial"/>
          <w:lang w:val="en-US"/>
        </w:rPr>
        <w:t xml:space="preserve">after sorting the </w:t>
      </w:r>
      <w:r w:rsidR="00143B6C">
        <w:rPr>
          <w:rFonts w:cs="Arial"/>
          <w:lang w:val="en-US"/>
        </w:rPr>
        <w:t xml:space="preserve">households by their </w:t>
      </w:r>
      <w:r w:rsidR="008D6E9B">
        <w:rPr>
          <w:rFonts w:cs="Arial"/>
          <w:lang w:val="en-US"/>
        </w:rPr>
        <w:t>expenditure</w:t>
      </w:r>
      <w:r w:rsidR="008D6E9B" w:rsidRPr="00C32424">
        <w:rPr>
          <w:rFonts w:cs="Arial"/>
          <w:lang w:val="en-US"/>
        </w:rPr>
        <w:t xml:space="preserve"> </w:t>
      </w:r>
      <w:r w:rsidR="00143B6C" w:rsidRPr="00C32424">
        <w:rPr>
          <w:rFonts w:cs="Arial"/>
          <w:lang w:val="en-US"/>
        </w:rPr>
        <w:t>levels</w:t>
      </w:r>
      <w:r w:rsidR="00143B6C">
        <w:rPr>
          <w:rFonts w:cs="Arial"/>
          <w:lang w:val="en-US"/>
        </w:rPr>
        <w:t xml:space="preserve">, </w:t>
      </w:r>
      <w:r w:rsidRPr="00C32424">
        <w:rPr>
          <w:rFonts w:cs="Arial"/>
          <w:lang w:val="en-US"/>
        </w:rPr>
        <w:t xml:space="preserve">we calculated the inflation rates of each </w:t>
      </w:r>
      <w:r w:rsidR="00631358">
        <w:rPr>
          <w:rFonts w:cs="Arial"/>
          <w:lang w:val="en-US"/>
        </w:rPr>
        <w:t xml:space="preserve">expenditure </w:t>
      </w:r>
      <w:r w:rsidR="00143B6C">
        <w:rPr>
          <w:rFonts w:cs="Arial"/>
          <w:lang w:val="en-US"/>
        </w:rPr>
        <w:t>ventile</w:t>
      </w:r>
      <w:r w:rsidRPr="00C32424">
        <w:rPr>
          <w:rFonts w:cs="Arial"/>
          <w:lang w:val="en-US"/>
        </w:rPr>
        <w:t xml:space="preserve"> by considering the composition of their consumption baskets.</w:t>
      </w:r>
      <w:r>
        <w:rPr>
          <w:rStyle w:val="FootnoteReference"/>
          <w:rFonts w:cs="Arial"/>
          <w:lang w:val="en-US"/>
        </w:rPr>
        <w:footnoteReference w:id="4"/>
      </w:r>
      <w:r w:rsidRPr="00C32424">
        <w:rPr>
          <w:rFonts w:cs="Arial"/>
          <w:lang w:val="en-US"/>
        </w:rPr>
        <w:t xml:space="preserve"> This is </w:t>
      </w:r>
      <w:r w:rsidR="00355E50">
        <w:rPr>
          <w:rFonts w:cs="Arial"/>
          <w:lang w:val="en-US"/>
        </w:rPr>
        <w:t>our</w:t>
      </w:r>
      <w:r w:rsidRPr="00C32424">
        <w:rPr>
          <w:rFonts w:cs="Arial"/>
          <w:lang w:val="en-US"/>
        </w:rPr>
        <w:t xml:space="preserve"> first note that utilizes the </w:t>
      </w:r>
      <w:r w:rsidR="008D6E9B">
        <w:rPr>
          <w:rFonts w:cs="Arial"/>
          <w:lang w:val="en-US"/>
        </w:rPr>
        <w:t>expenditure</w:t>
      </w:r>
      <w:r w:rsidR="008D6E9B" w:rsidRPr="00C32424">
        <w:rPr>
          <w:rFonts w:cs="Arial"/>
          <w:lang w:val="en-US"/>
        </w:rPr>
        <w:t xml:space="preserve"> </w:t>
      </w:r>
      <w:r w:rsidRPr="00C32424">
        <w:rPr>
          <w:rFonts w:cs="Arial"/>
          <w:lang w:val="en-US"/>
        </w:rPr>
        <w:t xml:space="preserve">deciles rather than </w:t>
      </w:r>
      <w:r w:rsidR="0049498F">
        <w:rPr>
          <w:rFonts w:cs="Arial"/>
          <w:lang w:val="en-US"/>
        </w:rPr>
        <w:t>ventil</w:t>
      </w:r>
      <w:r w:rsidR="00F652E0">
        <w:rPr>
          <w:rFonts w:cs="Arial"/>
          <w:lang w:val="en-US"/>
        </w:rPr>
        <w:t>e</w:t>
      </w:r>
      <w:r w:rsidR="0049498F">
        <w:rPr>
          <w:rFonts w:cs="Arial"/>
          <w:lang w:val="en-US"/>
        </w:rPr>
        <w:t>s</w:t>
      </w:r>
      <w:r w:rsidR="004410F2">
        <w:rPr>
          <w:rFonts w:cs="Arial"/>
          <w:lang w:val="en-US"/>
        </w:rPr>
        <w:t xml:space="preserve">. </w:t>
      </w:r>
      <w:r w:rsidRPr="00C32424">
        <w:rPr>
          <w:rFonts w:cs="Arial"/>
          <w:lang w:val="en-US"/>
        </w:rPr>
        <w:t xml:space="preserve">Our </w:t>
      </w:r>
      <w:r w:rsidR="00EA7F41">
        <w:rPr>
          <w:rFonts w:cs="Arial"/>
          <w:lang w:val="en-US"/>
        </w:rPr>
        <w:t xml:space="preserve">current </w:t>
      </w:r>
      <w:r w:rsidRPr="00C32424">
        <w:rPr>
          <w:rFonts w:cs="Arial"/>
          <w:lang w:val="en-US"/>
        </w:rPr>
        <w:t xml:space="preserve">analysis revealed surprising results on the </w:t>
      </w:r>
      <w:r w:rsidR="004359D6">
        <w:rPr>
          <w:rFonts w:cs="Arial"/>
          <w:lang w:val="en-US"/>
        </w:rPr>
        <w:t xml:space="preserve">divergence of </w:t>
      </w:r>
      <w:r w:rsidRPr="00C32424">
        <w:rPr>
          <w:rFonts w:cs="Arial"/>
          <w:lang w:val="en-US"/>
        </w:rPr>
        <w:t>inflation rates between these two approaches.</w:t>
      </w:r>
    </w:p>
    <w:p w14:paraId="431433FE" w14:textId="77777777" w:rsidR="00C32424" w:rsidRPr="00C00E83" w:rsidRDefault="00C32424" w:rsidP="00DF118E">
      <w:pPr>
        <w:spacing w:after="0"/>
        <w:jc w:val="both"/>
        <w:rPr>
          <w:rFonts w:cs="Arial"/>
          <w:lang w:val="en-US"/>
        </w:rPr>
      </w:pPr>
    </w:p>
    <w:p w14:paraId="2C35626B" w14:textId="15CCF21F" w:rsidR="00481764" w:rsidRDefault="00982991" w:rsidP="00DF118E">
      <w:pPr>
        <w:spacing w:after="0"/>
        <w:jc w:val="both"/>
        <w:rPr>
          <w:rFonts w:cs="Arial"/>
          <w:lang w:val="en-US"/>
        </w:rPr>
      </w:pPr>
      <w:r w:rsidRPr="00982991">
        <w:rPr>
          <w:rFonts w:cs="Arial"/>
          <w:lang w:val="en-US"/>
        </w:rPr>
        <w:t xml:space="preserve">Firstly, let us </w:t>
      </w:r>
      <w:r w:rsidR="00F85214">
        <w:rPr>
          <w:rFonts w:cs="Arial"/>
          <w:lang w:val="en-US"/>
        </w:rPr>
        <w:t xml:space="preserve">report the analysis conducted in </w:t>
      </w:r>
      <w:r w:rsidR="0012267C">
        <w:rPr>
          <w:rFonts w:cs="Arial"/>
          <w:lang w:val="en-US"/>
        </w:rPr>
        <w:t>ventiles</w:t>
      </w:r>
      <w:r w:rsidRPr="00982991">
        <w:rPr>
          <w:rFonts w:cs="Arial"/>
          <w:lang w:val="en-US"/>
        </w:rPr>
        <w:t>. Figure 1 depicts price ind</w:t>
      </w:r>
      <w:r w:rsidR="00DA5314">
        <w:rPr>
          <w:rFonts w:cs="Arial"/>
          <w:lang w:val="en-US"/>
        </w:rPr>
        <w:t>ex</w:t>
      </w:r>
      <w:r w:rsidRPr="00982991">
        <w:rPr>
          <w:rFonts w:cs="Arial"/>
          <w:lang w:val="en-US"/>
        </w:rPr>
        <w:t>es</w:t>
      </w:r>
      <w:r w:rsidR="008F506C">
        <w:rPr>
          <w:rFonts w:cs="Arial"/>
          <w:lang w:val="en-US"/>
        </w:rPr>
        <w:t xml:space="preserve"> of each ventile</w:t>
      </w:r>
      <w:r w:rsidRPr="00982991">
        <w:rPr>
          <w:rFonts w:cs="Arial"/>
          <w:lang w:val="en-US"/>
        </w:rPr>
        <w:t xml:space="preserve"> which </w:t>
      </w:r>
      <w:r w:rsidR="00DD3CFF">
        <w:rPr>
          <w:rFonts w:cs="Arial"/>
          <w:lang w:val="en-US"/>
        </w:rPr>
        <w:t>are</w:t>
      </w:r>
      <w:r w:rsidRPr="00982991">
        <w:rPr>
          <w:rFonts w:cs="Arial"/>
          <w:lang w:val="en-US"/>
        </w:rPr>
        <w:t xml:space="preserve"> calculated by using the weights of items in an average co</w:t>
      </w:r>
      <w:r>
        <w:rPr>
          <w:rFonts w:cs="Arial"/>
          <w:lang w:val="en-US"/>
        </w:rPr>
        <w:t>n</w:t>
      </w:r>
      <w:r w:rsidRPr="00982991">
        <w:rPr>
          <w:rFonts w:cs="Arial"/>
          <w:lang w:val="en-US"/>
        </w:rPr>
        <w:t xml:space="preserve">sumption basket of each </w:t>
      </w:r>
      <w:r w:rsidR="008D6E9B">
        <w:rPr>
          <w:rFonts w:cs="Arial"/>
          <w:lang w:val="en-US"/>
        </w:rPr>
        <w:t>expenditure</w:t>
      </w:r>
      <w:r w:rsidR="008D6E9B" w:rsidRPr="00982991">
        <w:rPr>
          <w:rFonts w:cs="Arial"/>
          <w:lang w:val="en-US"/>
        </w:rPr>
        <w:t xml:space="preserve"> </w:t>
      </w:r>
      <w:r w:rsidRPr="00982991">
        <w:rPr>
          <w:rFonts w:cs="Arial"/>
          <w:lang w:val="en-US"/>
        </w:rPr>
        <w:t>group and the price ind</w:t>
      </w:r>
      <w:r w:rsidR="00DA5314">
        <w:rPr>
          <w:rFonts w:cs="Arial"/>
          <w:lang w:val="en-US"/>
        </w:rPr>
        <w:t>ex</w:t>
      </w:r>
      <w:r w:rsidRPr="00982991">
        <w:rPr>
          <w:rFonts w:cs="Arial"/>
          <w:lang w:val="en-US"/>
        </w:rPr>
        <w:t>es of those items.</w:t>
      </w:r>
    </w:p>
    <w:p w14:paraId="5EFAC4D5" w14:textId="77777777" w:rsidR="0068335C" w:rsidRPr="00C00E83" w:rsidRDefault="0068335C" w:rsidP="00DF118E">
      <w:pPr>
        <w:spacing w:after="0"/>
        <w:jc w:val="both"/>
        <w:rPr>
          <w:rFonts w:cs="Arial"/>
          <w:lang w:val="en-US"/>
        </w:rPr>
      </w:pPr>
    </w:p>
    <w:p w14:paraId="4902A17D" w14:textId="77777777" w:rsidR="00481764" w:rsidRPr="00C00E83" w:rsidRDefault="00481764" w:rsidP="00DF118E">
      <w:pPr>
        <w:spacing w:after="0"/>
        <w:jc w:val="both"/>
        <w:rPr>
          <w:rFonts w:cs="Arial"/>
          <w:lang w:val="en-US"/>
        </w:rPr>
      </w:pPr>
    </w:p>
    <w:p w14:paraId="50E32C80" w14:textId="486926CA" w:rsidR="007332FD" w:rsidRDefault="007332FD" w:rsidP="00DF118E">
      <w:pPr>
        <w:spacing w:after="0"/>
        <w:jc w:val="both"/>
        <w:rPr>
          <w:rFonts w:cs="Arial"/>
          <w:lang w:val="en-US"/>
        </w:rPr>
      </w:pPr>
    </w:p>
    <w:p w14:paraId="0501F7F1" w14:textId="379182E3" w:rsidR="00B54653" w:rsidRDefault="00B54653" w:rsidP="00DF118E">
      <w:pPr>
        <w:spacing w:after="0"/>
        <w:jc w:val="both"/>
        <w:rPr>
          <w:rFonts w:cs="Arial"/>
          <w:lang w:val="en-US"/>
        </w:rPr>
      </w:pPr>
    </w:p>
    <w:p w14:paraId="645709FE" w14:textId="7A2732B5" w:rsidR="00B54653" w:rsidRDefault="00B54653" w:rsidP="00DF118E">
      <w:pPr>
        <w:spacing w:after="0"/>
        <w:jc w:val="both"/>
        <w:rPr>
          <w:rFonts w:cs="Arial"/>
          <w:lang w:val="en-US"/>
        </w:rPr>
      </w:pPr>
    </w:p>
    <w:p w14:paraId="4CD13700" w14:textId="1137CE8C" w:rsidR="00B54653" w:rsidRDefault="00B54653" w:rsidP="00DF118E">
      <w:pPr>
        <w:spacing w:after="0"/>
        <w:jc w:val="both"/>
        <w:rPr>
          <w:rFonts w:cs="Arial"/>
          <w:lang w:val="en-US"/>
        </w:rPr>
      </w:pPr>
    </w:p>
    <w:p w14:paraId="24FB98A5" w14:textId="631BA5DD" w:rsidR="00B54653" w:rsidRDefault="00B54653" w:rsidP="00DF118E">
      <w:pPr>
        <w:spacing w:after="0"/>
        <w:jc w:val="both"/>
        <w:rPr>
          <w:rFonts w:cs="Arial"/>
          <w:lang w:val="en-US"/>
        </w:rPr>
      </w:pPr>
    </w:p>
    <w:p w14:paraId="36B70AC5" w14:textId="2724E83B" w:rsidR="00B54653" w:rsidRDefault="00B54653" w:rsidP="00DF118E">
      <w:pPr>
        <w:spacing w:after="0"/>
        <w:jc w:val="both"/>
        <w:rPr>
          <w:rFonts w:cs="Arial"/>
          <w:lang w:val="en-US"/>
        </w:rPr>
      </w:pPr>
    </w:p>
    <w:p w14:paraId="4DEDEFE8" w14:textId="3C197445" w:rsidR="00B54653" w:rsidRDefault="00B54653" w:rsidP="00DF118E">
      <w:pPr>
        <w:spacing w:after="0"/>
        <w:jc w:val="both"/>
        <w:rPr>
          <w:rFonts w:cs="Arial"/>
          <w:lang w:val="en-US"/>
        </w:rPr>
      </w:pPr>
    </w:p>
    <w:p w14:paraId="378E3E81" w14:textId="6700A09F" w:rsidR="00B54653" w:rsidRDefault="00B54653" w:rsidP="00DF118E">
      <w:pPr>
        <w:spacing w:after="0"/>
        <w:jc w:val="both"/>
        <w:rPr>
          <w:rFonts w:cs="Arial"/>
          <w:lang w:val="en-US"/>
        </w:rPr>
      </w:pPr>
    </w:p>
    <w:p w14:paraId="1E1ED1B9" w14:textId="77777777" w:rsidR="00B54653" w:rsidRPr="00C00E83" w:rsidRDefault="00B54653" w:rsidP="00DF118E">
      <w:pPr>
        <w:spacing w:after="0"/>
        <w:jc w:val="both"/>
        <w:rPr>
          <w:rFonts w:cs="Arial"/>
          <w:lang w:val="en-US"/>
        </w:rPr>
      </w:pPr>
    </w:p>
    <w:p w14:paraId="2EEAB14E" w14:textId="2CAF7CD6" w:rsidR="00DC4233" w:rsidRPr="00960A28" w:rsidRDefault="00DC4233" w:rsidP="00DC4233">
      <w:pPr>
        <w:rPr>
          <w:b/>
          <w:bCs/>
          <w:lang w:val="en-US"/>
        </w:rPr>
      </w:pPr>
      <w:r w:rsidRPr="00960A28">
        <w:rPr>
          <w:b/>
          <w:bCs/>
          <w:lang w:val="en-US"/>
        </w:rPr>
        <w:lastRenderedPageBreak/>
        <w:t xml:space="preserve">Figure 1: Consumer Price Indexes by </w:t>
      </w:r>
      <w:r w:rsidR="0063031B">
        <w:rPr>
          <w:rFonts w:cs="Arial"/>
          <w:b/>
          <w:bCs/>
          <w:lang w:val="en-US"/>
        </w:rPr>
        <w:t>E</w:t>
      </w:r>
      <w:r w:rsidR="0063031B" w:rsidRPr="0063031B">
        <w:rPr>
          <w:rFonts w:cs="Arial"/>
          <w:b/>
          <w:bCs/>
          <w:lang w:val="en-US"/>
        </w:rPr>
        <w:t>xpenditure</w:t>
      </w:r>
      <w:r w:rsidR="0063031B" w:rsidRPr="00960A28">
        <w:rPr>
          <w:b/>
          <w:bCs/>
          <w:lang w:val="en-US"/>
        </w:rPr>
        <w:t xml:space="preserve"> </w:t>
      </w:r>
      <w:r w:rsidRPr="00960A28">
        <w:rPr>
          <w:b/>
          <w:bCs/>
          <w:lang w:val="en-US"/>
        </w:rPr>
        <w:t>Groups</w:t>
      </w:r>
      <w:r>
        <w:rPr>
          <w:b/>
          <w:bCs/>
          <w:lang w:val="en-US"/>
        </w:rPr>
        <w:t xml:space="preserve"> (2003=100)</w:t>
      </w:r>
    </w:p>
    <w:p w14:paraId="7CA0D825" w14:textId="77777777" w:rsidR="00DC4233" w:rsidRDefault="00DC4233" w:rsidP="00DC4233">
      <w:r>
        <w:rPr>
          <w:noProof/>
          <w:lang w:val="en-GB" w:eastAsia="en-GB"/>
        </w:rPr>
        <w:drawing>
          <wp:inline distT="0" distB="0" distL="0" distR="0" wp14:anchorId="742018DB" wp14:editId="05F2E5F2">
            <wp:extent cx="4776470" cy="2114093"/>
            <wp:effectExtent l="0" t="0" r="5080" b="635"/>
            <wp:docPr id="7" name="Chart 7">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910957" w14:textId="77777777" w:rsidR="00DC4233" w:rsidRPr="003C6A73" w:rsidRDefault="00DC4233" w:rsidP="00DC4233">
      <w:pPr>
        <w:spacing w:after="0"/>
        <w:rPr>
          <w:sz w:val="18"/>
        </w:rPr>
      </w:pPr>
      <w:r w:rsidRPr="003C6A73">
        <w:rPr>
          <w:sz w:val="18"/>
        </w:rPr>
        <w:t>Source: Turkstat, Betam</w:t>
      </w:r>
    </w:p>
    <w:p w14:paraId="3FAEA5FA" w14:textId="77777777" w:rsidR="00E607C3" w:rsidRPr="00C00E83" w:rsidRDefault="00E607C3" w:rsidP="00E607C3">
      <w:pPr>
        <w:spacing w:after="0"/>
        <w:jc w:val="both"/>
        <w:rPr>
          <w:rFonts w:cs="Arial"/>
          <w:lang w:val="en-US"/>
        </w:rPr>
      </w:pPr>
    </w:p>
    <w:p w14:paraId="299F6CB2" w14:textId="4B7D39E4" w:rsidR="00A36B39" w:rsidRDefault="00A36B39" w:rsidP="00E607C3">
      <w:pPr>
        <w:spacing w:after="0"/>
        <w:jc w:val="both"/>
        <w:rPr>
          <w:rFonts w:cs="Arial"/>
          <w:lang w:val="en-US"/>
        </w:rPr>
      </w:pPr>
      <w:r w:rsidRPr="00A36B39">
        <w:rPr>
          <w:rFonts w:cs="Arial"/>
          <w:lang w:val="en-US"/>
        </w:rPr>
        <w:t xml:space="preserve">This approach shows that as </w:t>
      </w:r>
      <w:r w:rsidR="0063031B">
        <w:rPr>
          <w:rFonts w:cs="Arial"/>
          <w:lang w:val="en-US"/>
        </w:rPr>
        <w:t>expenditure</w:t>
      </w:r>
      <w:r w:rsidRPr="00A36B39">
        <w:rPr>
          <w:rFonts w:cs="Arial"/>
          <w:lang w:val="en-US"/>
        </w:rPr>
        <w:t xml:space="preserve"> level gets lower (from the richest (q5) to the poorest (q1)) the price index significantly increases. In compare to 2003, the price index of the bottom </w:t>
      </w:r>
      <w:r w:rsidR="008F506C">
        <w:rPr>
          <w:rFonts w:cs="Arial"/>
          <w:lang w:val="en-US"/>
        </w:rPr>
        <w:t>ventile</w:t>
      </w:r>
      <w:r w:rsidRPr="00A36B39">
        <w:rPr>
          <w:rFonts w:cs="Arial"/>
          <w:lang w:val="en-US"/>
        </w:rPr>
        <w:t xml:space="preserve"> (the inflation rate of the poorest) rose to 601</w:t>
      </w:r>
      <w:r w:rsidR="009372AA">
        <w:rPr>
          <w:rFonts w:cs="Arial"/>
          <w:lang w:val="en-US"/>
        </w:rPr>
        <w:t>.</w:t>
      </w:r>
      <w:r w:rsidRPr="00A36B39">
        <w:rPr>
          <w:rFonts w:cs="Arial"/>
          <w:lang w:val="en-US"/>
        </w:rPr>
        <w:t xml:space="preserve">8 while the price index of the top </w:t>
      </w:r>
      <w:r w:rsidR="008F506C">
        <w:rPr>
          <w:rFonts w:cs="Arial"/>
          <w:lang w:val="en-US"/>
        </w:rPr>
        <w:t>ventile</w:t>
      </w:r>
      <w:r w:rsidRPr="00A36B39">
        <w:rPr>
          <w:rFonts w:cs="Arial"/>
          <w:lang w:val="en-US"/>
        </w:rPr>
        <w:t xml:space="preserve"> (the inflation rate of the richest) rose to 560</w:t>
      </w:r>
      <w:r w:rsidR="009372AA">
        <w:rPr>
          <w:rFonts w:cs="Arial"/>
          <w:lang w:val="en-US"/>
        </w:rPr>
        <w:t>.</w:t>
      </w:r>
      <w:r w:rsidRPr="00A36B39">
        <w:rPr>
          <w:rFonts w:cs="Arial"/>
          <w:lang w:val="en-US"/>
        </w:rPr>
        <w:t xml:space="preserve">6 as of July 2021. In other words, the value of the consumption basket of the poorest rose by about 500% whereas the value of the consumption basket of the richest increased by 460% in terms of Turkish Lira after 2003. Over the last 18 years, the inflation rate of the poorest </w:t>
      </w:r>
      <w:r w:rsidR="0097090C">
        <w:rPr>
          <w:rFonts w:cs="Arial"/>
          <w:lang w:val="en-US"/>
        </w:rPr>
        <w:t>is 4</w:t>
      </w:r>
      <w:r w:rsidR="00161620">
        <w:rPr>
          <w:rFonts w:cs="Arial"/>
          <w:lang w:val="en-US"/>
        </w:rPr>
        <w:t xml:space="preserve">0 </w:t>
      </w:r>
      <w:r w:rsidR="006C4B2F">
        <w:rPr>
          <w:rFonts w:cs="Arial"/>
          <w:lang w:val="en-US"/>
        </w:rPr>
        <w:t xml:space="preserve">percentage </w:t>
      </w:r>
      <w:r w:rsidR="00161620">
        <w:rPr>
          <w:rFonts w:cs="Arial"/>
          <w:lang w:val="en-US"/>
        </w:rPr>
        <w:t>p</w:t>
      </w:r>
      <w:r w:rsidR="006C4B2F">
        <w:rPr>
          <w:rFonts w:cs="Arial"/>
          <w:lang w:val="en-US"/>
        </w:rPr>
        <w:t>oints (pp)</w:t>
      </w:r>
      <w:r w:rsidR="0097090C">
        <w:rPr>
          <w:rFonts w:cs="Arial"/>
          <w:lang w:val="en-US"/>
        </w:rPr>
        <w:t xml:space="preserve"> higher than</w:t>
      </w:r>
      <w:r w:rsidRPr="00A36B39">
        <w:rPr>
          <w:rFonts w:cs="Arial"/>
          <w:lang w:val="en-US"/>
        </w:rPr>
        <w:t xml:space="preserve"> the inf</w:t>
      </w:r>
      <w:r>
        <w:rPr>
          <w:rFonts w:cs="Arial"/>
          <w:lang w:val="en-US"/>
        </w:rPr>
        <w:t>l</w:t>
      </w:r>
      <w:r w:rsidRPr="00A36B39">
        <w:rPr>
          <w:rFonts w:cs="Arial"/>
          <w:lang w:val="en-US"/>
        </w:rPr>
        <w:t>a</w:t>
      </w:r>
      <w:r>
        <w:rPr>
          <w:rFonts w:cs="Arial"/>
          <w:lang w:val="en-US"/>
        </w:rPr>
        <w:t>t</w:t>
      </w:r>
      <w:r w:rsidRPr="00A36B39">
        <w:rPr>
          <w:rFonts w:cs="Arial"/>
          <w:lang w:val="en-US"/>
        </w:rPr>
        <w:t>ion rate of the richest.</w:t>
      </w:r>
    </w:p>
    <w:p w14:paraId="469056DA" w14:textId="77777777" w:rsidR="00A36B39" w:rsidRDefault="00A36B39" w:rsidP="00E607C3">
      <w:pPr>
        <w:spacing w:after="0"/>
        <w:jc w:val="both"/>
        <w:rPr>
          <w:rFonts w:cs="Arial"/>
          <w:lang w:val="en-US"/>
        </w:rPr>
      </w:pPr>
    </w:p>
    <w:p w14:paraId="2B0EA828" w14:textId="2AF88015" w:rsidR="00BD2ECE" w:rsidRDefault="00AF61A0" w:rsidP="00E607C3">
      <w:pPr>
        <w:spacing w:after="0"/>
        <w:jc w:val="both"/>
        <w:rPr>
          <w:rFonts w:cs="Arial"/>
          <w:lang w:val="en-US"/>
        </w:rPr>
      </w:pPr>
      <w:r w:rsidRPr="00AF61A0">
        <w:rPr>
          <w:rFonts w:cs="Arial"/>
          <w:lang w:val="en-US"/>
        </w:rPr>
        <w:t xml:space="preserve">Figure 2 represents the CPI inflation rate in </w:t>
      </w:r>
      <w:r w:rsidR="00C00E3C">
        <w:rPr>
          <w:rFonts w:cs="Arial"/>
          <w:lang w:val="en-US"/>
        </w:rPr>
        <w:t>decile</w:t>
      </w:r>
      <w:r w:rsidR="009372AA">
        <w:rPr>
          <w:rFonts w:cs="Arial"/>
          <w:lang w:val="en-US"/>
        </w:rPr>
        <w:t>s</w:t>
      </w:r>
      <w:r w:rsidRPr="00AF61A0">
        <w:rPr>
          <w:rFonts w:cs="Arial"/>
          <w:lang w:val="en-US"/>
        </w:rPr>
        <w:t xml:space="preserve">. The first striking observation is that the inflation index does not monotonically increase as in </w:t>
      </w:r>
      <w:r w:rsidR="00D31026">
        <w:rPr>
          <w:rFonts w:cs="Arial"/>
          <w:lang w:val="en-US"/>
        </w:rPr>
        <w:t>ventiles</w:t>
      </w:r>
      <w:r w:rsidRPr="00AF61A0">
        <w:rPr>
          <w:rFonts w:cs="Arial"/>
          <w:lang w:val="en-US"/>
        </w:rPr>
        <w:t xml:space="preserve"> from upper </w:t>
      </w:r>
      <w:r w:rsidR="008D6E9B">
        <w:rPr>
          <w:rFonts w:cs="Arial"/>
          <w:lang w:val="en-US"/>
        </w:rPr>
        <w:t>expenditure</w:t>
      </w:r>
      <w:r w:rsidR="008D6E9B" w:rsidRPr="00AF61A0">
        <w:rPr>
          <w:rFonts w:cs="Arial"/>
          <w:lang w:val="en-US"/>
        </w:rPr>
        <w:t xml:space="preserve"> </w:t>
      </w:r>
      <w:r w:rsidRPr="00AF61A0">
        <w:rPr>
          <w:rFonts w:cs="Arial"/>
          <w:lang w:val="en-US"/>
        </w:rPr>
        <w:t xml:space="preserve">to lower </w:t>
      </w:r>
      <w:r w:rsidR="008D6E9B">
        <w:rPr>
          <w:rFonts w:cs="Arial"/>
          <w:lang w:val="en-US"/>
        </w:rPr>
        <w:t>expenditure</w:t>
      </w:r>
      <w:r w:rsidRPr="008D6E9B">
        <w:rPr>
          <w:rFonts w:cs="Arial"/>
          <w:lang w:val="en-US"/>
        </w:rPr>
        <w:t>.</w:t>
      </w:r>
      <w:r w:rsidRPr="00AF61A0">
        <w:rPr>
          <w:rFonts w:cs="Arial"/>
          <w:lang w:val="en-US"/>
        </w:rPr>
        <w:t xml:space="preserve"> </w:t>
      </w:r>
      <w:r w:rsidRPr="00AF61A0">
        <w:rPr>
          <w:rFonts w:cs="Arial"/>
          <w:b/>
          <w:bCs/>
          <w:lang w:val="en-US"/>
        </w:rPr>
        <w:t>This finding is not in line with our prior and it falsifies the conjecture that "the inflation rate of the poorest is systematically higher than the inflation rate of the richest".</w:t>
      </w:r>
    </w:p>
    <w:p w14:paraId="0B4FD99D" w14:textId="77777777" w:rsidR="00AF61A0" w:rsidRPr="00C00E83" w:rsidRDefault="00AF61A0" w:rsidP="00E607C3">
      <w:pPr>
        <w:spacing w:after="0"/>
        <w:jc w:val="both"/>
        <w:rPr>
          <w:rFonts w:cs="Arial"/>
          <w:lang w:val="en-US"/>
        </w:rPr>
      </w:pPr>
    </w:p>
    <w:p w14:paraId="142BB100" w14:textId="1C9C1616" w:rsidR="003D71F7" w:rsidRDefault="00C00E3C" w:rsidP="00E607C3">
      <w:pPr>
        <w:spacing w:after="0"/>
        <w:jc w:val="both"/>
        <w:rPr>
          <w:rFonts w:cs="Arial"/>
          <w:lang w:val="en-US"/>
        </w:rPr>
      </w:pPr>
      <w:r w:rsidRPr="00C00E3C">
        <w:rPr>
          <w:rFonts w:cs="Arial"/>
          <w:lang w:val="en-US"/>
        </w:rPr>
        <w:t xml:space="preserve">The average inflation index of the </w:t>
      </w:r>
      <w:r w:rsidR="003127A6">
        <w:rPr>
          <w:rFonts w:cs="Arial"/>
          <w:lang w:val="en-US"/>
        </w:rPr>
        <w:t>top</w:t>
      </w:r>
      <w:r w:rsidRPr="00C00E3C">
        <w:rPr>
          <w:rFonts w:cs="Arial"/>
          <w:lang w:val="en-US"/>
        </w:rPr>
        <w:t xml:space="preserve"> decile</w:t>
      </w:r>
      <w:r w:rsidR="003127A6">
        <w:rPr>
          <w:rFonts w:cs="Arial"/>
          <w:lang w:val="en-US"/>
        </w:rPr>
        <w:t xml:space="preserve"> </w:t>
      </w:r>
      <w:r w:rsidRPr="00C00E3C">
        <w:rPr>
          <w:rFonts w:cs="Arial"/>
          <w:lang w:val="en-US"/>
        </w:rPr>
        <w:t xml:space="preserve">(q10) (henceforth "the richest") increased to 560.6 while the average inflation index of the lowest decile (q1) (henceforth "the poorest") rose to 546.9. In other words, the value of the consumption basket of the poorest increased by about 447% but the value of the consumption basket of the richest rose by 461%. The inflation gap between the poorest group and the richest group </w:t>
      </w:r>
      <w:r w:rsidR="004C0C7B">
        <w:rPr>
          <w:rFonts w:cs="Arial"/>
          <w:lang w:val="en-US"/>
        </w:rPr>
        <w:t>was</w:t>
      </w:r>
      <w:r w:rsidRPr="00C00E3C">
        <w:rPr>
          <w:rFonts w:cs="Arial"/>
          <w:lang w:val="en-US"/>
        </w:rPr>
        <w:t xml:space="preserve"> about 14 percentage points in favor of the poorest". This is an unexpected </w:t>
      </w:r>
      <w:r w:rsidR="00AB5B0D">
        <w:rPr>
          <w:rFonts w:cs="Arial"/>
          <w:lang w:val="en-US"/>
        </w:rPr>
        <w:t>result</w:t>
      </w:r>
      <w:r w:rsidRPr="00C00E3C">
        <w:rPr>
          <w:rFonts w:cs="Arial"/>
          <w:lang w:val="en-US"/>
        </w:rPr>
        <w:t>.</w:t>
      </w:r>
    </w:p>
    <w:p w14:paraId="68FCB3DB" w14:textId="77777777" w:rsidR="00C00E3C" w:rsidRPr="00C00E83" w:rsidRDefault="00C00E3C" w:rsidP="00E607C3">
      <w:pPr>
        <w:spacing w:after="0"/>
        <w:jc w:val="both"/>
        <w:rPr>
          <w:rFonts w:cs="Arial"/>
          <w:lang w:val="en-US"/>
        </w:rPr>
      </w:pPr>
    </w:p>
    <w:p w14:paraId="5ACADB4B" w14:textId="27120E89" w:rsidR="00842029" w:rsidRDefault="00650CAF" w:rsidP="00E607C3">
      <w:pPr>
        <w:spacing w:after="0"/>
        <w:jc w:val="both"/>
        <w:rPr>
          <w:rFonts w:cs="Arial"/>
          <w:lang w:val="en-US"/>
        </w:rPr>
      </w:pPr>
      <w:r w:rsidRPr="00650CAF">
        <w:rPr>
          <w:rFonts w:cs="Arial"/>
          <w:lang w:val="en-US"/>
        </w:rPr>
        <w:t xml:space="preserve">The second lowest decile (q2) ("the poor") faced the highest inflation rate which is about 500%. </w:t>
      </w:r>
      <w:r w:rsidRPr="00650CAF">
        <w:rPr>
          <w:rFonts w:cs="Arial"/>
          <w:b/>
          <w:bCs/>
          <w:lang w:val="en-US"/>
        </w:rPr>
        <w:t>As a result, the gap between the inflation rates of the poorest and the poor is about 53 pp</w:t>
      </w:r>
      <w:r w:rsidRPr="00650CAF">
        <w:rPr>
          <w:rFonts w:cs="Arial"/>
          <w:lang w:val="en-US"/>
        </w:rPr>
        <w:t>. This is another unexpected finding.</w:t>
      </w:r>
    </w:p>
    <w:p w14:paraId="7AC46E77" w14:textId="77777777" w:rsidR="00650CAF" w:rsidRPr="00C00E83" w:rsidRDefault="00650CAF" w:rsidP="00E607C3">
      <w:pPr>
        <w:spacing w:after="0"/>
        <w:jc w:val="both"/>
        <w:rPr>
          <w:rFonts w:cs="Arial"/>
          <w:lang w:val="en-US"/>
        </w:rPr>
      </w:pPr>
    </w:p>
    <w:p w14:paraId="4F729CFD" w14:textId="7286752E" w:rsidR="00C0437E" w:rsidRDefault="00CB2578" w:rsidP="00E607C3">
      <w:pPr>
        <w:spacing w:after="0"/>
        <w:jc w:val="both"/>
        <w:rPr>
          <w:rFonts w:cs="Arial"/>
          <w:lang w:val="en-US"/>
        </w:rPr>
      </w:pPr>
      <w:r>
        <w:rPr>
          <w:rFonts w:cs="Arial"/>
          <w:lang w:val="en-US"/>
        </w:rPr>
        <w:t>There is a</w:t>
      </w:r>
      <w:r w:rsidR="00AB5B0D" w:rsidRPr="00AB5B0D">
        <w:rPr>
          <w:rFonts w:cs="Arial"/>
          <w:lang w:val="en-US"/>
        </w:rPr>
        <w:t xml:space="preserve">nother surprising observation </w:t>
      </w:r>
      <w:r w:rsidR="00EF4995">
        <w:rPr>
          <w:rFonts w:cs="Arial"/>
          <w:lang w:val="en-US"/>
        </w:rPr>
        <w:t>pertaining</w:t>
      </w:r>
      <w:r>
        <w:rPr>
          <w:rFonts w:cs="Arial"/>
          <w:lang w:val="en-US"/>
        </w:rPr>
        <w:t xml:space="preserve"> to </w:t>
      </w:r>
      <w:r w:rsidR="00AB5B0D" w:rsidRPr="00AB5B0D">
        <w:rPr>
          <w:rFonts w:cs="Arial"/>
          <w:lang w:val="en-US"/>
        </w:rPr>
        <w:t>the difference between the inflation rates of the richest group and the penultimate</w:t>
      </w:r>
      <w:r w:rsidR="00603959">
        <w:rPr>
          <w:rFonts w:cs="Arial"/>
          <w:lang w:val="en-US"/>
        </w:rPr>
        <w:t xml:space="preserve"> richest</w:t>
      </w:r>
      <w:r w:rsidR="00AB5B0D" w:rsidRPr="00AB5B0D">
        <w:rPr>
          <w:rFonts w:cs="Arial"/>
          <w:lang w:val="en-US"/>
        </w:rPr>
        <w:t xml:space="preserve"> group (q9) (henceforth </w:t>
      </w:r>
      <w:r w:rsidR="00426418">
        <w:rPr>
          <w:rFonts w:cs="Arial"/>
          <w:lang w:val="en-US"/>
        </w:rPr>
        <w:t>“</w:t>
      </w:r>
      <w:r w:rsidR="00AB5B0D" w:rsidRPr="00AB5B0D">
        <w:rPr>
          <w:rFonts w:cs="Arial"/>
          <w:lang w:val="en-US"/>
        </w:rPr>
        <w:t>the rich</w:t>
      </w:r>
      <w:r w:rsidR="00426418">
        <w:rPr>
          <w:rFonts w:cs="Arial"/>
          <w:lang w:val="en-US"/>
        </w:rPr>
        <w:t>”</w:t>
      </w:r>
      <w:r w:rsidR="00AB5B0D" w:rsidRPr="00AB5B0D">
        <w:rPr>
          <w:rFonts w:cs="Arial"/>
          <w:lang w:val="en-US"/>
        </w:rPr>
        <w:t xml:space="preserve">). </w:t>
      </w:r>
      <w:r w:rsidR="00AB5B0D" w:rsidRPr="00AB5B0D">
        <w:rPr>
          <w:rFonts w:cs="Arial"/>
          <w:b/>
          <w:bCs/>
          <w:lang w:val="en-US"/>
        </w:rPr>
        <w:t>The inflation rate of the rich is 441.6% (index value is 541.6) while the inflation rate of the richest is 460.0% (index value is 560.6) (Figure 2)</w:t>
      </w:r>
      <w:r w:rsidR="00AB5B0D" w:rsidRPr="00AB5B0D">
        <w:rPr>
          <w:rFonts w:cs="Arial"/>
          <w:lang w:val="en-US"/>
        </w:rPr>
        <w:t xml:space="preserve">. The gap is 19 pp. Moreover, the inflation rate of the rich is the lowest inflation </w:t>
      </w:r>
      <w:r w:rsidR="00DF640A" w:rsidRPr="00AB5B0D">
        <w:rPr>
          <w:rFonts w:cs="Arial"/>
          <w:lang w:val="en-US"/>
        </w:rPr>
        <w:t>rate,</w:t>
      </w:r>
      <w:r w:rsidR="00AB5B0D" w:rsidRPr="00AB5B0D">
        <w:rPr>
          <w:rFonts w:cs="Arial"/>
          <w:lang w:val="en-US"/>
        </w:rPr>
        <w:t xml:space="preserve"> and it is even lower than the inflation rate of the poorest (446.9 %) by 5.3 pp.</w:t>
      </w:r>
    </w:p>
    <w:p w14:paraId="022DA76B" w14:textId="77777777" w:rsidR="00AB5B0D" w:rsidRPr="00C00E83" w:rsidRDefault="00AB5B0D" w:rsidP="00E607C3">
      <w:pPr>
        <w:spacing w:after="0"/>
        <w:jc w:val="both"/>
        <w:rPr>
          <w:rFonts w:cs="Arial"/>
          <w:lang w:val="en-US"/>
        </w:rPr>
      </w:pPr>
    </w:p>
    <w:p w14:paraId="40859401" w14:textId="5B18D6E8" w:rsidR="00C77C6B" w:rsidRDefault="00650910" w:rsidP="00E607C3">
      <w:pPr>
        <w:spacing w:after="0"/>
        <w:jc w:val="both"/>
        <w:rPr>
          <w:rFonts w:cs="Arial"/>
          <w:lang w:val="en-US"/>
        </w:rPr>
      </w:pPr>
      <w:r w:rsidRPr="00650910">
        <w:rPr>
          <w:rFonts w:cs="Arial"/>
          <w:lang w:val="en-US"/>
        </w:rPr>
        <w:lastRenderedPageBreak/>
        <w:t>All these findings are striking. How come the inflation rate of the poorest is lower than the inflation rate of the richest? Also, how come the inflation rates of the poorest and the poor or the inflation rates of the richest and the rich decouple</w:t>
      </w:r>
      <w:r w:rsidR="005A0F46">
        <w:rPr>
          <w:rFonts w:cs="Arial"/>
          <w:lang w:val="en-US"/>
        </w:rPr>
        <w:t xml:space="preserve"> </w:t>
      </w:r>
      <w:r w:rsidR="00A1555F" w:rsidRPr="00A1555F">
        <w:rPr>
          <w:rFonts w:cs="Arial"/>
          <w:lang w:val="en-US"/>
        </w:rPr>
        <w:t>to</w:t>
      </w:r>
      <w:r w:rsidR="005A0F46" w:rsidRPr="00A1555F">
        <w:rPr>
          <w:rFonts w:cs="Arial"/>
          <w:lang w:val="en-US"/>
        </w:rPr>
        <w:t xml:space="preserve"> such extent</w:t>
      </w:r>
      <w:r w:rsidRPr="00650910">
        <w:rPr>
          <w:rFonts w:cs="Arial"/>
          <w:lang w:val="en-US"/>
        </w:rPr>
        <w:t>?</w:t>
      </w:r>
    </w:p>
    <w:p w14:paraId="0118785C" w14:textId="77777777" w:rsidR="00650910" w:rsidRPr="00C00E83" w:rsidRDefault="00650910" w:rsidP="00E607C3">
      <w:pPr>
        <w:spacing w:after="0"/>
        <w:jc w:val="both"/>
        <w:rPr>
          <w:rFonts w:cs="Arial"/>
          <w:lang w:val="en-US"/>
        </w:rPr>
      </w:pPr>
    </w:p>
    <w:p w14:paraId="2BC8FA3D" w14:textId="594A70F1" w:rsidR="00FC3282" w:rsidRPr="00C00E83" w:rsidRDefault="00650910" w:rsidP="00DF118E">
      <w:pPr>
        <w:spacing w:after="0"/>
        <w:jc w:val="both"/>
        <w:rPr>
          <w:rFonts w:cs="Arial"/>
          <w:lang w:val="en-US"/>
        </w:rPr>
      </w:pPr>
      <w:r w:rsidRPr="00650910">
        <w:rPr>
          <w:rFonts w:cs="Arial"/>
          <w:lang w:val="en-US"/>
        </w:rPr>
        <w:t xml:space="preserve">Certainly, those are valid concerns. Such unexpected findings are possible only if the weights of the items in the consumption baskets of each </w:t>
      </w:r>
      <w:r w:rsidR="008D6E9B">
        <w:rPr>
          <w:rFonts w:cs="Arial"/>
          <w:lang w:val="en-US"/>
        </w:rPr>
        <w:t>expenditure</w:t>
      </w:r>
      <w:r w:rsidR="008D6E9B" w:rsidRPr="00650910">
        <w:rPr>
          <w:rFonts w:cs="Arial"/>
          <w:lang w:val="en-US"/>
        </w:rPr>
        <w:t xml:space="preserve"> </w:t>
      </w:r>
      <w:r w:rsidRPr="00650910">
        <w:rPr>
          <w:rFonts w:cs="Arial"/>
          <w:lang w:val="en-US"/>
        </w:rPr>
        <w:t>group differ. Therefore, to answer those questions, it is necessary to disentangle the contributions of these differences to each inflation index.</w:t>
      </w:r>
      <w:r w:rsidR="00FC641B" w:rsidRPr="00C00E83">
        <w:rPr>
          <w:rFonts w:cs="Arial"/>
          <w:lang w:val="en-US"/>
        </w:rPr>
        <w:t xml:space="preserve">   </w:t>
      </w:r>
      <w:r w:rsidR="00BD7B47" w:rsidRPr="00C00E83">
        <w:rPr>
          <w:rFonts w:cs="Arial"/>
          <w:lang w:val="en-US"/>
        </w:rPr>
        <w:t xml:space="preserve"> </w:t>
      </w:r>
    </w:p>
    <w:p w14:paraId="5CB8999D" w14:textId="77777777" w:rsidR="005D149E" w:rsidRPr="00C00E83" w:rsidRDefault="005D149E" w:rsidP="00DF118E">
      <w:pPr>
        <w:spacing w:after="0"/>
        <w:jc w:val="both"/>
        <w:rPr>
          <w:rFonts w:cs="Arial"/>
          <w:lang w:val="en-US"/>
        </w:rPr>
      </w:pPr>
    </w:p>
    <w:p w14:paraId="2D5A6CC1" w14:textId="343CB22D" w:rsidR="00D92C06" w:rsidRPr="00D92C06" w:rsidRDefault="00D92C06" w:rsidP="00D92C06">
      <w:pPr>
        <w:rPr>
          <w:b/>
          <w:bCs/>
          <w:lang w:val="en-US"/>
        </w:rPr>
      </w:pPr>
      <w:r w:rsidRPr="00D92C06">
        <w:rPr>
          <w:b/>
          <w:bCs/>
          <w:lang w:val="en-US"/>
        </w:rPr>
        <w:t xml:space="preserve">Figure 2:  Consumer Price Indexes by </w:t>
      </w:r>
      <w:r w:rsidR="0063031B" w:rsidRPr="0063031B">
        <w:rPr>
          <w:rFonts w:cs="Arial"/>
          <w:b/>
          <w:bCs/>
          <w:lang w:val="en-US"/>
        </w:rPr>
        <w:t>expenditure</w:t>
      </w:r>
      <w:r w:rsidRPr="00D92C06">
        <w:rPr>
          <w:b/>
          <w:bCs/>
          <w:lang w:val="en-US"/>
        </w:rPr>
        <w:t xml:space="preserve"> Groups (2003=100)</w:t>
      </w:r>
    </w:p>
    <w:p w14:paraId="010AF718" w14:textId="77777777" w:rsidR="00D92C06" w:rsidRDefault="00D92C06" w:rsidP="00D92C06">
      <w:r>
        <w:rPr>
          <w:noProof/>
          <w:lang w:val="en-GB" w:eastAsia="en-GB"/>
        </w:rPr>
        <w:drawing>
          <wp:inline distT="0" distB="0" distL="0" distR="0" wp14:anchorId="0B143F4F" wp14:editId="205DA302">
            <wp:extent cx="4907915" cy="1967788"/>
            <wp:effectExtent l="0" t="0" r="6985" b="13970"/>
            <wp:docPr id="2" name="Chart 2">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5F211" w14:textId="77777777" w:rsidR="00D92C06" w:rsidRPr="003C6A73" w:rsidRDefault="00D92C06" w:rsidP="00D92C06">
      <w:pPr>
        <w:spacing w:after="240"/>
        <w:rPr>
          <w:sz w:val="18"/>
        </w:rPr>
      </w:pPr>
      <w:r w:rsidRPr="003C6A73">
        <w:rPr>
          <w:sz w:val="18"/>
        </w:rPr>
        <w:t>Source: Turkstat, Betam</w:t>
      </w:r>
    </w:p>
    <w:p w14:paraId="37FCA6FE" w14:textId="77777777" w:rsidR="00AD7CEE" w:rsidRPr="00C00E83" w:rsidRDefault="00AD7CEE" w:rsidP="00DF118E">
      <w:pPr>
        <w:spacing w:after="0"/>
        <w:jc w:val="both"/>
        <w:rPr>
          <w:rFonts w:cs="Arial"/>
          <w:b/>
          <w:bCs/>
          <w:lang w:val="en-US"/>
        </w:rPr>
      </w:pPr>
    </w:p>
    <w:p w14:paraId="58B2C6EE" w14:textId="32A82373" w:rsidR="00364C0B" w:rsidRPr="00C00E83" w:rsidRDefault="003750C0" w:rsidP="005A3793">
      <w:pPr>
        <w:spacing w:after="120"/>
        <w:jc w:val="both"/>
        <w:rPr>
          <w:rFonts w:cs="Arial"/>
          <w:b/>
          <w:sz w:val="24"/>
          <w:szCs w:val="24"/>
          <w:lang w:val="en-US"/>
        </w:rPr>
      </w:pPr>
      <w:r>
        <w:rPr>
          <w:rFonts w:cs="Arial"/>
          <w:b/>
          <w:sz w:val="24"/>
          <w:szCs w:val="24"/>
          <w:lang w:val="en-US"/>
        </w:rPr>
        <w:t>Sources of the unexpected findings o</w:t>
      </w:r>
      <w:r w:rsidR="00C642B6">
        <w:rPr>
          <w:rFonts w:cs="Arial"/>
          <w:b/>
          <w:sz w:val="24"/>
          <w:szCs w:val="24"/>
          <w:lang w:val="en-US"/>
        </w:rPr>
        <w:t>n</w:t>
      </w:r>
      <w:r>
        <w:rPr>
          <w:rFonts w:cs="Arial"/>
          <w:b/>
          <w:sz w:val="24"/>
          <w:szCs w:val="24"/>
          <w:lang w:val="en-US"/>
        </w:rPr>
        <w:t xml:space="preserve"> inflation</w:t>
      </w:r>
      <w:r w:rsidR="00C642B6">
        <w:rPr>
          <w:rFonts w:cs="Arial"/>
          <w:b/>
          <w:sz w:val="24"/>
          <w:szCs w:val="24"/>
          <w:lang w:val="en-US"/>
        </w:rPr>
        <w:t xml:space="preserve"> rates</w:t>
      </w:r>
    </w:p>
    <w:p w14:paraId="7EF7910D" w14:textId="697A0630" w:rsidR="00BE20C0" w:rsidRPr="00DF640A" w:rsidRDefault="00013C19" w:rsidP="00DF640A">
      <w:pPr>
        <w:jc w:val="both"/>
        <w:rPr>
          <w:rFonts w:cs="Arial"/>
          <w:lang w:val="en-US"/>
        </w:rPr>
      </w:pPr>
      <w:r>
        <w:rPr>
          <w:rFonts w:cs="Arial"/>
          <w:lang w:val="en-US"/>
        </w:rPr>
        <w:t xml:space="preserve">The </w:t>
      </w:r>
      <w:r w:rsidR="00DF640A" w:rsidRPr="00DF640A">
        <w:rPr>
          <w:rFonts w:cs="Arial"/>
          <w:lang w:val="en-US"/>
        </w:rPr>
        <w:t xml:space="preserve">consumption basket contains 12 items (Table 1). The weights of these items in total consumption vary with </w:t>
      </w:r>
      <w:r w:rsidR="008D6E9B">
        <w:rPr>
          <w:rFonts w:cs="Arial"/>
          <w:lang w:val="en-US"/>
        </w:rPr>
        <w:t>expenditure</w:t>
      </w:r>
      <w:r w:rsidR="008D6E9B" w:rsidRPr="00DF640A">
        <w:rPr>
          <w:rFonts w:cs="Arial"/>
          <w:lang w:val="en-US"/>
        </w:rPr>
        <w:t xml:space="preserve"> </w:t>
      </w:r>
      <w:r w:rsidR="00DF640A" w:rsidRPr="00DF640A">
        <w:rPr>
          <w:rFonts w:cs="Arial"/>
          <w:lang w:val="en-US"/>
        </w:rPr>
        <w:t>levels. Therefore, the weights in the consumption basket of each group are different. Also, the inflation rate of each item changes in time. Ultimately, the inflation rate of each group can be calculated by multiplying the change in the price of an item with its weight in the consumption basket of the corresponding group. Hence, it is possible to disentangle the inflation rate to the contributions of each item</w:t>
      </w:r>
      <w:r w:rsidR="006519ED">
        <w:rPr>
          <w:rFonts w:cs="Arial"/>
          <w:lang w:val="en-US"/>
        </w:rPr>
        <w:t xml:space="preserve"> in the consumption basket</w:t>
      </w:r>
      <w:r w:rsidR="00DF640A" w:rsidRPr="00DF640A">
        <w:rPr>
          <w:rFonts w:cs="Arial"/>
          <w:lang w:val="en-US"/>
        </w:rPr>
        <w:t xml:space="preserve">, as we </w:t>
      </w:r>
      <w:r w:rsidR="001769B4" w:rsidRPr="00DF640A">
        <w:rPr>
          <w:rFonts w:cs="Arial"/>
          <w:lang w:val="en-US"/>
        </w:rPr>
        <w:t xml:space="preserve">thoroughly </w:t>
      </w:r>
      <w:r w:rsidR="00DF640A" w:rsidRPr="00DF640A">
        <w:rPr>
          <w:rFonts w:cs="Arial"/>
          <w:lang w:val="en-US"/>
        </w:rPr>
        <w:t xml:space="preserve">explain the method in Box 1, and the sum of those contributions yields the inflation rate of </w:t>
      </w:r>
      <w:r w:rsidR="00707F85">
        <w:rPr>
          <w:rFonts w:cs="Arial"/>
          <w:lang w:val="en-US"/>
        </w:rPr>
        <w:t>the corresponding</w:t>
      </w:r>
      <w:r w:rsidR="00DF640A" w:rsidRPr="00DF640A">
        <w:rPr>
          <w:rFonts w:cs="Arial"/>
          <w:lang w:val="en-US"/>
        </w:rPr>
        <w:t xml:space="preserve"> group.</w:t>
      </w:r>
    </w:p>
    <w:p w14:paraId="0CE1A28E" w14:textId="09F225DC" w:rsidR="00894D46" w:rsidRPr="00D81614" w:rsidRDefault="00D81614" w:rsidP="00DF2841">
      <w:pPr>
        <w:pStyle w:val="ListParagraph"/>
        <w:numPr>
          <w:ilvl w:val="0"/>
          <w:numId w:val="2"/>
        </w:numPr>
        <w:spacing w:after="120"/>
        <w:jc w:val="both"/>
        <w:rPr>
          <w:rFonts w:cs="Arial"/>
          <w:b/>
          <w:lang w:val="en-US"/>
        </w:rPr>
      </w:pPr>
      <w:r w:rsidRPr="00D81614">
        <w:rPr>
          <w:rFonts w:cs="Arial"/>
          <w:b/>
          <w:lang w:val="en-US"/>
        </w:rPr>
        <w:t xml:space="preserve">Sources of the elusive gap between the inflation rates of </w:t>
      </w:r>
      <w:r>
        <w:rPr>
          <w:rFonts w:cs="Arial"/>
          <w:b/>
          <w:lang w:val="en-US"/>
        </w:rPr>
        <w:t>“</w:t>
      </w:r>
      <w:r w:rsidRPr="00D81614">
        <w:rPr>
          <w:rFonts w:cs="Arial"/>
          <w:b/>
          <w:lang w:val="en-US"/>
        </w:rPr>
        <w:t>the poorest</w:t>
      </w:r>
      <w:r>
        <w:rPr>
          <w:rFonts w:cs="Arial"/>
          <w:b/>
          <w:lang w:val="en-US"/>
        </w:rPr>
        <w:t>”</w:t>
      </w:r>
      <w:r w:rsidRPr="00D81614">
        <w:rPr>
          <w:rFonts w:cs="Arial"/>
          <w:b/>
          <w:lang w:val="en-US"/>
        </w:rPr>
        <w:t xml:space="preserve"> and </w:t>
      </w:r>
      <w:r>
        <w:rPr>
          <w:rFonts w:cs="Arial"/>
          <w:b/>
          <w:lang w:val="en-US"/>
        </w:rPr>
        <w:t>“</w:t>
      </w:r>
      <w:r w:rsidRPr="00D81614">
        <w:rPr>
          <w:rFonts w:cs="Arial"/>
          <w:b/>
          <w:lang w:val="en-US"/>
        </w:rPr>
        <w:t>the richest</w:t>
      </w:r>
      <w:r>
        <w:rPr>
          <w:rFonts w:cs="Arial"/>
          <w:b/>
          <w:lang w:val="en-US"/>
        </w:rPr>
        <w:t>”</w:t>
      </w:r>
    </w:p>
    <w:p w14:paraId="1B0DDF36" w14:textId="4FDCFE2A" w:rsidR="00026796" w:rsidRDefault="00006BC6" w:rsidP="009E13AD">
      <w:pPr>
        <w:autoSpaceDE w:val="0"/>
        <w:autoSpaceDN w:val="0"/>
        <w:adjustRightInd w:val="0"/>
        <w:spacing w:after="0"/>
        <w:jc w:val="both"/>
        <w:rPr>
          <w:rFonts w:cs="Arial"/>
          <w:lang w:val="en-US"/>
        </w:rPr>
      </w:pPr>
      <w:r w:rsidRPr="00006BC6">
        <w:rPr>
          <w:rFonts w:cs="Arial"/>
          <w:lang w:val="en-US"/>
        </w:rPr>
        <w:t xml:space="preserve">Figure 3 shows sources of the 14-point gap between the cumulative inflation rates of the richest and the poorest, which is in favor of the latter. Benchmark group is the poorest. The red bars with positive sign indicate the increase whereas the blue </w:t>
      </w:r>
      <w:r w:rsidR="00C5684A" w:rsidRPr="00006BC6">
        <w:rPr>
          <w:rFonts w:cs="Arial"/>
          <w:lang w:val="en-US"/>
        </w:rPr>
        <w:t>bar</w:t>
      </w:r>
      <w:r w:rsidR="00C5684A">
        <w:rPr>
          <w:rFonts w:cs="Arial"/>
          <w:lang w:val="en-US"/>
        </w:rPr>
        <w:t>s</w:t>
      </w:r>
      <w:r w:rsidRPr="00006BC6">
        <w:rPr>
          <w:rFonts w:cs="Arial"/>
          <w:lang w:val="en-US"/>
        </w:rPr>
        <w:t xml:space="preserve"> with negative sign hint the decrease in the inflation rate of the richest stemming from the price change in the corresponding item. As Table 2 reports, red items have higher share in the consumption basket of the poorest while blue items weight relatively less. It is the opposite case for the richest. The sum of the contributions of each item is about 14 points (</w:t>
      </w:r>
      <w:r w:rsidR="008D6E9B">
        <w:rPr>
          <w:rFonts w:cs="Arial"/>
          <w:lang w:val="en-US"/>
        </w:rPr>
        <w:t>the precise value is</w:t>
      </w:r>
      <w:r w:rsidR="00351803">
        <w:rPr>
          <w:rFonts w:cs="Arial"/>
          <w:lang w:val="en-US"/>
        </w:rPr>
        <w:t xml:space="preserve"> </w:t>
      </w:r>
      <w:r w:rsidRPr="00006BC6">
        <w:rPr>
          <w:rFonts w:cs="Arial"/>
          <w:lang w:val="en-US"/>
        </w:rPr>
        <w:t>13.7</w:t>
      </w:r>
      <w:r w:rsidR="00351803">
        <w:rPr>
          <w:rFonts w:cs="Arial"/>
          <w:lang w:val="en-US"/>
        </w:rPr>
        <w:t xml:space="preserve"> </w:t>
      </w:r>
      <w:r w:rsidR="00351803" w:rsidRPr="008D6E9B">
        <w:rPr>
          <w:rFonts w:cs="Arial"/>
          <w:lang w:val="en-US"/>
        </w:rPr>
        <w:t>points</w:t>
      </w:r>
      <w:r w:rsidRPr="00006BC6">
        <w:rPr>
          <w:rFonts w:cs="Arial"/>
          <w:lang w:val="en-US"/>
        </w:rPr>
        <w:t>, Table 3).</w:t>
      </w:r>
    </w:p>
    <w:p w14:paraId="714C74F0" w14:textId="77777777" w:rsidR="00006BC6" w:rsidRPr="00006BC6" w:rsidRDefault="00006BC6" w:rsidP="009E13AD">
      <w:pPr>
        <w:autoSpaceDE w:val="0"/>
        <w:autoSpaceDN w:val="0"/>
        <w:adjustRightInd w:val="0"/>
        <w:spacing w:after="0"/>
        <w:jc w:val="both"/>
        <w:rPr>
          <w:rFonts w:cs="Arial"/>
          <w:lang w:val="en-US"/>
        </w:rPr>
      </w:pPr>
    </w:p>
    <w:p w14:paraId="0009A8A7" w14:textId="7EAA087B" w:rsidR="003B6877" w:rsidRDefault="00633371" w:rsidP="00246F25">
      <w:pPr>
        <w:autoSpaceDE w:val="0"/>
        <w:autoSpaceDN w:val="0"/>
        <w:adjustRightInd w:val="0"/>
        <w:spacing w:after="60"/>
        <w:jc w:val="both"/>
        <w:rPr>
          <w:rFonts w:cs="Arial"/>
          <w:b/>
          <w:lang w:val="en-US"/>
        </w:rPr>
      </w:pPr>
      <w:r w:rsidRPr="00633371">
        <w:rPr>
          <w:rFonts w:cs="Arial"/>
          <w:b/>
          <w:lang w:val="en-US"/>
        </w:rPr>
        <w:t>The analysis shows that price changes</w:t>
      </w:r>
      <w:r w:rsidR="006740DB">
        <w:rPr>
          <w:rFonts w:cs="Arial"/>
          <w:b/>
          <w:lang w:val="en-US"/>
        </w:rPr>
        <w:t xml:space="preserve"> </w:t>
      </w:r>
      <w:r w:rsidRPr="00633371">
        <w:rPr>
          <w:rFonts w:cs="Arial"/>
          <w:b/>
          <w:lang w:val="en-US"/>
        </w:rPr>
        <w:t xml:space="preserve">in food and housing items are </w:t>
      </w:r>
      <w:r w:rsidR="00E75DB1">
        <w:rPr>
          <w:rFonts w:cs="Arial"/>
          <w:b/>
          <w:lang w:val="en-US"/>
        </w:rPr>
        <w:t xml:space="preserve">against </w:t>
      </w:r>
      <w:r w:rsidRPr="00633371">
        <w:rPr>
          <w:rFonts w:cs="Arial"/>
          <w:b/>
          <w:lang w:val="en-US"/>
        </w:rPr>
        <w:t xml:space="preserve">the poorest whereas the changes </w:t>
      </w:r>
      <w:r w:rsidR="006740DB" w:rsidRPr="008D6E9B">
        <w:rPr>
          <w:rFonts w:cs="Arial"/>
          <w:b/>
          <w:lang w:val="en-US"/>
        </w:rPr>
        <w:t>mainly</w:t>
      </w:r>
      <w:r w:rsidR="006740DB">
        <w:rPr>
          <w:rFonts w:cs="Arial"/>
          <w:b/>
          <w:lang w:val="en-US"/>
        </w:rPr>
        <w:t xml:space="preserve"> </w:t>
      </w:r>
      <w:r w:rsidRPr="00633371">
        <w:rPr>
          <w:rFonts w:cs="Arial"/>
          <w:b/>
          <w:lang w:val="en-US"/>
        </w:rPr>
        <w:t xml:space="preserve">in the transportation are </w:t>
      </w:r>
      <w:r w:rsidR="00E75DB1">
        <w:rPr>
          <w:rFonts w:cs="Arial"/>
          <w:b/>
          <w:lang w:val="en-US"/>
        </w:rPr>
        <w:t>against</w:t>
      </w:r>
      <w:r w:rsidRPr="00633371">
        <w:rPr>
          <w:rFonts w:cs="Arial"/>
          <w:b/>
          <w:lang w:val="en-US"/>
        </w:rPr>
        <w:t xml:space="preserve"> the richest. </w:t>
      </w:r>
      <w:r w:rsidRPr="00633371">
        <w:rPr>
          <w:rFonts w:cs="Arial"/>
          <w:bCs/>
          <w:lang w:val="en-US"/>
        </w:rPr>
        <w:t xml:space="preserve">The shares of the food and non-alcoholic beverages and housing items were 35.5% and 40.1% in the consumption basket of the </w:t>
      </w:r>
      <w:r w:rsidRPr="00633371">
        <w:rPr>
          <w:rFonts w:cs="Arial"/>
          <w:bCs/>
          <w:lang w:val="en-US"/>
        </w:rPr>
        <w:lastRenderedPageBreak/>
        <w:t xml:space="preserve">poorest in 2019, respectively. However, the weights of those items in the basket of the richest are 11.8% and 14.6%, respectively. Similarly, the weight of transportation is 3.6% in the basket of the poorest whereas it is 29.2% for the richest (Table 2). </w:t>
      </w:r>
      <w:r w:rsidR="00571DF6">
        <w:rPr>
          <w:rFonts w:cs="Arial"/>
          <w:bCs/>
          <w:lang w:val="en-US"/>
        </w:rPr>
        <w:t>Therefore</w:t>
      </w:r>
      <w:r w:rsidRPr="00633371">
        <w:rPr>
          <w:rFonts w:cs="Arial"/>
          <w:bCs/>
          <w:lang w:val="en-US"/>
        </w:rPr>
        <w:t>, the increases in the prices of food and housing items are more pronounced on the inflation rate of the poorest than th</w:t>
      </w:r>
      <w:r w:rsidR="00B67BF8">
        <w:rPr>
          <w:rFonts w:cs="Arial"/>
          <w:bCs/>
          <w:lang w:val="en-US"/>
        </w:rPr>
        <w:t>e inflation rate</w:t>
      </w:r>
      <w:r w:rsidRPr="00633371">
        <w:rPr>
          <w:rFonts w:cs="Arial"/>
          <w:bCs/>
          <w:lang w:val="en-US"/>
        </w:rPr>
        <w:t xml:space="preserve"> of the richest, and an increase in the transportation prices ha</w:t>
      </w:r>
      <w:r w:rsidR="00106698">
        <w:rPr>
          <w:rFonts w:cs="Arial"/>
          <w:bCs/>
          <w:lang w:val="en-US"/>
        </w:rPr>
        <w:t>s</w:t>
      </w:r>
      <w:r w:rsidRPr="00633371">
        <w:rPr>
          <w:rFonts w:cs="Arial"/>
          <w:bCs/>
          <w:lang w:val="en-US"/>
        </w:rPr>
        <w:t xml:space="preserve"> the opposite impact.</w:t>
      </w:r>
    </w:p>
    <w:p w14:paraId="1E2EC9B3" w14:textId="77777777" w:rsidR="00633371" w:rsidRPr="00633371" w:rsidRDefault="00633371" w:rsidP="00F46CE2">
      <w:pPr>
        <w:autoSpaceDE w:val="0"/>
        <w:autoSpaceDN w:val="0"/>
        <w:adjustRightInd w:val="0"/>
        <w:spacing w:after="60" w:line="240" w:lineRule="auto"/>
        <w:jc w:val="both"/>
        <w:rPr>
          <w:rFonts w:cs="Arial"/>
          <w:b/>
          <w:lang w:val="en-US"/>
        </w:rPr>
      </w:pPr>
    </w:p>
    <w:p w14:paraId="3F5639AE" w14:textId="4C259B79" w:rsidR="00D92C06" w:rsidRPr="00D92C06" w:rsidRDefault="00D92C06" w:rsidP="00D92C06">
      <w:pPr>
        <w:spacing w:after="0"/>
        <w:rPr>
          <w:b/>
          <w:lang w:val="en-US"/>
        </w:rPr>
      </w:pPr>
      <w:r w:rsidRPr="00D92C06">
        <w:rPr>
          <w:b/>
          <w:lang w:val="en-US"/>
        </w:rPr>
        <w:t>Figure 3: Decomposition of Inflation Rate Difference* (q1-q10)</w:t>
      </w:r>
    </w:p>
    <w:p w14:paraId="69EF954F" w14:textId="77777777" w:rsidR="00D92C06" w:rsidRDefault="00D92C06" w:rsidP="00D92C06">
      <w:r>
        <w:rPr>
          <w:noProof/>
          <w:lang w:val="en-GB" w:eastAsia="en-GB"/>
        </w:rPr>
        <w:drawing>
          <wp:inline distT="0" distB="0" distL="0" distR="0" wp14:anchorId="1A7F4B63" wp14:editId="207BD196">
            <wp:extent cx="4930140" cy="2450592"/>
            <wp:effectExtent l="0" t="0" r="3810" b="6985"/>
            <wp:docPr id="8" name="Chart 8">
              <a:extLst xmlns:a="http://schemas.openxmlformats.org/drawingml/2006/main">
                <a:ext uri="{FF2B5EF4-FFF2-40B4-BE49-F238E27FC236}">
                  <a16:creationId xmlns:a16="http://schemas.microsoft.com/office/drawing/2014/main" id="{00000000-0008-0000-1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3FF462" w14:textId="77777777" w:rsidR="00D92C06" w:rsidRPr="00D92C06" w:rsidRDefault="00D92C06" w:rsidP="00D92C06">
      <w:pPr>
        <w:spacing w:after="0"/>
        <w:rPr>
          <w:sz w:val="18"/>
          <w:lang w:val="en-US"/>
        </w:rPr>
      </w:pPr>
      <w:r w:rsidRPr="00D92C06">
        <w:rPr>
          <w:sz w:val="18"/>
          <w:lang w:val="en-US"/>
        </w:rPr>
        <w:t>Source: Turkstat, Betam</w:t>
      </w:r>
    </w:p>
    <w:p w14:paraId="5B8F10AB" w14:textId="5F7B2E2D" w:rsidR="00D92C06" w:rsidRPr="00D92C06" w:rsidRDefault="00D92C06" w:rsidP="00D92C06">
      <w:pPr>
        <w:jc w:val="both"/>
        <w:rPr>
          <w:sz w:val="18"/>
          <w:lang w:val="en-US"/>
        </w:rPr>
      </w:pPr>
      <w:r w:rsidRPr="00D92C06">
        <w:rPr>
          <w:sz w:val="18"/>
          <w:lang w:val="en-US"/>
        </w:rPr>
        <w:t>* In the decomposition of the total inflation rate difference, red bars show the corresponding expenditure groups are against the first decile whereas blue bars show the corresponding expenditure groups are against the tenth decile.</w:t>
      </w:r>
    </w:p>
    <w:p w14:paraId="0B63635A" w14:textId="3E4C1835" w:rsidR="007C64F7" w:rsidRPr="00D92C06" w:rsidRDefault="007C64F7" w:rsidP="00D37640">
      <w:pPr>
        <w:spacing w:after="0"/>
        <w:jc w:val="both"/>
        <w:rPr>
          <w:rFonts w:cs="Arial"/>
          <w:sz w:val="18"/>
          <w:szCs w:val="18"/>
        </w:rPr>
      </w:pPr>
    </w:p>
    <w:p w14:paraId="14DAF84A" w14:textId="00A688AB" w:rsidR="00594D5D" w:rsidRDefault="00DF66EE" w:rsidP="005779B0">
      <w:pPr>
        <w:autoSpaceDE w:val="0"/>
        <w:autoSpaceDN w:val="0"/>
        <w:adjustRightInd w:val="0"/>
        <w:spacing w:after="0"/>
        <w:jc w:val="both"/>
        <w:rPr>
          <w:rFonts w:cs="Arial"/>
          <w:lang w:val="en-US"/>
        </w:rPr>
      </w:pPr>
      <w:r w:rsidRPr="00DF66EE">
        <w:rPr>
          <w:rFonts w:cs="Arial"/>
          <w:b/>
          <w:bCs/>
          <w:lang w:val="en-US"/>
        </w:rPr>
        <w:t xml:space="preserve">The gap between the inflation rates of the poorest and the richest was not uniform </w:t>
      </w:r>
      <w:r w:rsidR="00C95A44">
        <w:rPr>
          <w:rFonts w:cs="Arial"/>
          <w:b/>
          <w:bCs/>
          <w:lang w:val="en-US"/>
        </w:rPr>
        <w:t>because</w:t>
      </w:r>
      <w:r w:rsidRPr="00DF66EE">
        <w:rPr>
          <w:rFonts w:cs="Arial"/>
          <w:b/>
          <w:bCs/>
          <w:lang w:val="en-US"/>
        </w:rPr>
        <w:t xml:space="preserve"> the rate of price increases are different for all items, especially in these ones, in the last 18 years.</w:t>
      </w:r>
      <w:r w:rsidRPr="00DF66EE">
        <w:rPr>
          <w:rFonts w:cs="Arial"/>
          <w:lang w:val="en-US"/>
        </w:rPr>
        <w:t xml:space="preserve"> As Figure 4 depicts, the inflation rate of the richest rose faster than the inflation rate of the poorest roughly between 2004 and 2008. Then, the gap between the inflation rates of the</w:t>
      </w:r>
      <w:r w:rsidR="00C97DD0">
        <w:rPr>
          <w:rFonts w:cs="Arial"/>
          <w:lang w:val="en-US"/>
        </w:rPr>
        <w:t>se groups</w:t>
      </w:r>
      <w:r w:rsidRPr="00DF66EE">
        <w:rPr>
          <w:rFonts w:cs="Arial"/>
          <w:lang w:val="en-US"/>
        </w:rPr>
        <w:t xml:space="preserve"> slightly narrowed until 2015. After 2015, the inflation rate wedge is in an increasing trend which is </w:t>
      </w:r>
      <w:r w:rsidR="00E75DB1">
        <w:rPr>
          <w:rFonts w:cs="Arial"/>
          <w:lang w:val="en-US"/>
        </w:rPr>
        <w:t>against</w:t>
      </w:r>
      <w:r w:rsidRPr="00DF66EE">
        <w:rPr>
          <w:rFonts w:cs="Arial"/>
          <w:lang w:val="en-US"/>
        </w:rPr>
        <w:t xml:space="preserve"> the richest.</w:t>
      </w:r>
    </w:p>
    <w:p w14:paraId="05A07CDB" w14:textId="77777777" w:rsidR="00DF66EE" w:rsidRPr="00C00E83" w:rsidRDefault="00DF66EE" w:rsidP="005779B0">
      <w:pPr>
        <w:autoSpaceDE w:val="0"/>
        <w:autoSpaceDN w:val="0"/>
        <w:adjustRightInd w:val="0"/>
        <w:spacing w:after="0"/>
        <w:jc w:val="both"/>
        <w:rPr>
          <w:rFonts w:cs="Arial"/>
          <w:lang w:val="en-US"/>
        </w:rPr>
      </w:pPr>
    </w:p>
    <w:p w14:paraId="16FE1C97" w14:textId="4C1DAD40" w:rsidR="00C465E6" w:rsidRPr="007F258C" w:rsidRDefault="007F258C" w:rsidP="00C66372">
      <w:pPr>
        <w:spacing w:after="60"/>
        <w:jc w:val="both"/>
        <w:rPr>
          <w:lang w:val="en-US"/>
        </w:rPr>
      </w:pPr>
      <w:r>
        <w:rPr>
          <w:lang w:val="en-US"/>
        </w:rPr>
        <w:t>I</w:t>
      </w:r>
      <w:r w:rsidRPr="007F258C">
        <w:rPr>
          <w:lang w:val="en-US"/>
        </w:rPr>
        <w:t xml:space="preserve">n recent years, high volatility in the monthly gap between inflation rates is striking. </w:t>
      </w:r>
      <w:r w:rsidRPr="007F258C">
        <w:rPr>
          <w:b/>
          <w:bCs/>
          <w:lang w:val="en-US"/>
        </w:rPr>
        <w:t>Supply and demand shocks stemming from COVID-19 pandemics</w:t>
      </w:r>
      <w:r w:rsidRPr="007F258C">
        <w:rPr>
          <w:lang w:val="en-US"/>
        </w:rPr>
        <w:t xml:space="preserve"> </w:t>
      </w:r>
      <w:r w:rsidR="00217A2E">
        <w:rPr>
          <w:lang w:val="en-US"/>
        </w:rPr>
        <w:t>(</w:t>
      </w:r>
      <w:r w:rsidRPr="007F258C">
        <w:rPr>
          <w:lang w:val="en-US"/>
        </w:rPr>
        <w:t>deceleration in the inflation rate of transportation along with a high increase in the food inflation rate</w:t>
      </w:r>
      <w:r w:rsidR="00217A2E">
        <w:rPr>
          <w:lang w:val="en-US"/>
        </w:rPr>
        <w:t>)</w:t>
      </w:r>
      <w:r w:rsidRPr="007F258C">
        <w:rPr>
          <w:lang w:val="en-US"/>
        </w:rPr>
        <w:t xml:space="preserve"> led to </w:t>
      </w:r>
      <w:r w:rsidRPr="007F258C">
        <w:rPr>
          <w:b/>
          <w:bCs/>
          <w:lang w:val="en-US"/>
        </w:rPr>
        <w:t>decrease of the inflation gap in favor of the richest</w:t>
      </w:r>
      <w:r w:rsidRPr="007F258C">
        <w:rPr>
          <w:lang w:val="en-US"/>
        </w:rPr>
        <w:t xml:space="preserve">. In fact, the gap became negative, and it receded to 4.6 in April 2020. In other words, it was the first time that the inflation rate of the poorest was higher than the inflation rate of the richest. However, this gap was not persistent, </w:t>
      </w:r>
      <w:r w:rsidRPr="007F258C">
        <w:rPr>
          <w:b/>
          <w:bCs/>
          <w:lang w:val="en-US"/>
        </w:rPr>
        <w:t xml:space="preserve">because of the removal of the lockdown measures over time, high increases in the prices of transportation, restaurant and hotel items led to re-widening of the inflation gap </w:t>
      </w:r>
      <w:r w:rsidR="00E75DB1">
        <w:rPr>
          <w:b/>
          <w:bCs/>
          <w:lang w:val="en-US"/>
        </w:rPr>
        <w:t>is against</w:t>
      </w:r>
      <w:r w:rsidRPr="007F258C">
        <w:rPr>
          <w:b/>
          <w:bCs/>
          <w:lang w:val="en-US"/>
        </w:rPr>
        <w:t xml:space="preserve"> the richest</w:t>
      </w:r>
      <w:r w:rsidRPr="007F258C">
        <w:rPr>
          <w:lang w:val="en-US"/>
        </w:rPr>
        <w:t>. To remind, the inflation gap is still about 14 points.</w:t>
      </w:r>
    </w:p>
    <w:p w14:paraId="70553917" w14:textId="094C61F7" w:rsidR="007F258C" w:rsidRDefault="007F258C" w:rsidP="00C66372">
      <w:pPr>
        <w:spacing w:after="60"/>
        <w:jc w:val="both"/>
        <w:rPr>
          <w:b/>
          <w:bCs/>
          <w:lang w:val="en-US"/>
        </w:rPr>
      </w:pPr>
    </w:p>
    <w:p w14:paraId="5257043D" w14:textId="6F4A8B3F" w:rsidR="00FE6BED" w:rsidRDefault="00FE6BED" w:rsidP="00C66372">
      <w:pPr>
        <w:spacing w:after="60"/>
        <w:jc w:val="both"/>
        <w:rPr>
          <w:b/>
          <w:bCs/>
          <w:lang w:val="en-US"/>
        </w:rPr>
      </w:pPr>
    </w:p>
    <w:p w14:paraId="19CCF017" w14:textId="77777777" w:rsidR="00FE6BED" w:rsidRPr="00C00E83" w:rsidRDefault="00FE6BED" w:rsidP="00C66372">
      <w:pPr>
        <w:spacing w:after="60"/>
        <w:jc w:val="both"/>
        <w:rPr>
          <w:b/>
          <w:bCs/>
          <w:lang w:val="en-US"/>
        </w:rPr>
      </w:pPr>
    </w:p>
    <w:p w14:paraId="63CE1205" w14:textId="523688E7" w:rsidR="000C6DD0" w:rsidRPr="00BD554C" w:rsidRDefault="000C6DD0" w:rsidP="000C6DD0">
      <w:pPr>
        <w:pStyle w:val="Caption"/>
        <w:rPr>
          <w:rFonts w:asciiTheme="minorHAnsi" w:hAnsiTheme="minorHAnsi" w:cs="Arial"/>
          <w:sz w:val="22"/>
          <w:szCs w:val="22"/>
          <w:lang w:val="en-US"/>
        </w:rPr>
      </w:pPr>
      <w:bookmarkStart w:id="0" w:name="_Ref486946047"/>
      <w:r w:rsidRPr="007B647A">
        <w:rPr>
          <w:rFonts w:asciiTheme="minorHAnsi" w:hAnsiTheme="minorHAnsi" w:cs="Arial"/>
          <w:sz w:val="22"/>
          <w:szCs w:val="22"/>
          <w:lang w:val="en-US"/>
        </w:rPr>
        <w:lastRenderedPageBreak/>
        <w:t xml:space="preserve">Figure </w:t>
      </w:r>
      <w:r w:rsidRPr="007B647A">
        <w:rPr>
          <w:rFonts w:asciiTheme="minorHAnsi" w:hAnsiTheme="minorHAnsi" w:cs="Arial"/>
          <w:sz w:val="22"/>
          <w:szCs w:val="22"/>
          <w:lang w:val="en-US"/>
        </w:rPr>
        <w:fldChar w:fldCharType="begin"/>
      </w:r>
      <w:r w:rsidRPr="007B647A">
        <w:rPr>
          <w:rFonts w:asciiTheme="minorHAnsi" w:hAnsiTheme="minorHAnsi" w:cs="Arial"/>
          <w:sz w:val="22"/>
          <w:szCs w:val="22"/>
          <w:lang w:val="en-US"/>
        </w:rPr>
        <w:instrText xml:space="preserve"> SEQ Figure \* ARABIC </w:instrText>
      </w:r>
      <w:r w:rsidRPr="007B647A">
        <w:rPr>
          <w:rFonts w:asciiTheme="minorHAnsi" w:hAnsiTheme="minorHAnsi" w:cs="Arial"/>
          <w:sz w:val="22"/>
          <w:szCs w:val="22"/>
          <w:lang w:val="en-US"/>
        </w:rPr>
        <w:fldChar w:fldCharType="separate"/>
      </w:r>
      <w:r w:rsidRPr="007B647A">
        <w:rPr>
          <w:rFonts w:asciiTheme="minorHAnsi" w:hAnsiTheme="minorHAnsi" w:cs="Arial"/>
          <w:sz w:val="22"/>
          <w:szCs w:val="22"/>
          <w:lang w:val="en-US"/>
        </w:rPr>
        <w:t>4</w:t>
      </w:r>
      <w:r w:rsidRPr="007B647A">
        <w:rPr>
          <w:rFonts w:asciiTheme="minorHAnsi" w:hAnsiTheme="minorHAnsi" w:cs="Arial"/>
          <w:sz w:val="22"/>
          <w:szCs w:val="22"/>
          <w:lang w:val="en-US"/>
        </w:rPr>
        <w:fldChar w:fldCharType="end"/>
      </w:r>
      <w:bookmarkEnd w:id="0"/>
      <w:r w:rsidRPr="007B647A">
        <w:rPr>
          <w:rFonts w:asciiTheme="minorHAnsi" w:hAnsiTheme="minorHAnsi" w:cs="Arial"/>
          <w:sz w:val="22"/>
          <w:szCs w:val="22"/>
          <w:lang w:val="en-US"/>
        </w:rPr>
        <w:t>:</w:t>
      </w:r>
      <w:r>
        <w:rPr>
          <w:rFonts w:asciiTheme="minorHAnsi" w:hAnsiTheme="minorHAnsi" w:cs="Arial"/>
          <w:sz w:val="22"/>
          <w:szCs w:val="22"/>
          <w:lang w:val="en-US"/>
        </w:rPr>
        <w:t xml:space="preserve"> Monthly i</w:t>
      </w:r>
      <w:r w:rsidRPr="00BD554C">
        <w:rPr>
          <w:rFonts w:asciiTheme="minorHAnsi" w:hAnsiTheme="minorHAnsi" w:cs="Arial"/>
          <w:sz w:val="22"/>
          <w:szCs w:val="22"/>
          <w:lang w:val="en-US"/>
        </w:rPr>
        <w:t>n</w:t>
      </w:r>
      <w:r>
        <w:rPr>
          <w:rFonts w:asciiTheme="minorHAnsi" w:hAnsiTheme="minorHAnsi" w:cs="Arial"/>
          <w:sz w:val="22"/>
          <w:szCs w:val="22"/>
          <w:lang w:val="en-US"/>
        </w:rPr>
        <w:t>flation rate difference between the tenth decile</w:t>
      </w:r>
      <w:r w:rsidRPr="00BD554C">
        <w:rPr>
          <w:rFonts w:asciiTheme="minorHAnsi" w:hAnsiTheme="minorHAnsi" w:cs="Arial"/>
          <w:sz w:val="22"/>
          <w:szCs w:val="22"/>
          <w:lang w:val="en-US"/>
        </w:rPr>
        <w:t xml:space="preserve"> and the </w:t>
      </w:r>
      <w:r>
        <w:rPr>
          <w:rFonts w:asciiTheme="minorHAnsi" w:hAnsiTheme="minorHAnsi" w:cs="Arial"/>
          <w:sz w:val="22"/>
          <w:szCs w:val="22"/>
          <w:lang w:val="en-US"/>
        </w:rPr>
        <w:t>first decile (2004 January-2021 July)</w:t>
      </w:r>
    </w:p>
    <w:p w14:paraId="739631D0" w14:textId="77777777" w:rsidR="000C6DD0" w:rsidRDefault="000C6DD0" w:rsidP="000C6DD0">
      <w:pPr>
        <w:rPr>
          <w:sz w:val="18"/>
        </w:rPr>
      </w:pPr>
      <w:r>
        <w:rPr>
          <w:noProof/>
          <w:lang w:val="en-GB" w:eastAsia="en-GB"/>
        </w:rPr>
        <w:drawing>
          <wp:inline distT="0" distB="0" distL="0" distR="0" wp14:anchorId="3B5DC131" wp14:editId="16C94414">
            <wp:extent cx="5310505" cy="2048256"/>
            <wp:effectExtent l="0" t="0" r="4445" b="9525"/>
            <wp:docPr id="4" name="Chart 4">
              <a:extLst xmlns:a="http://schemas.openxmlformats.org/drawingml/2006/main">
                <a:ext uri="{FF2B5EF4-FFF2-40B4-BE49-F238E27FC236}">
                  <a16:creationId xmlns:a16="http://schemas.microsoft.com/office/drawing/2014/main" id="{00000000-0008-0000-1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1FD42" w14:textId="77777777" w:rsidR="000C6DD0" w:rsidRDefault="000C6DD0" w:rsidP="000C6DD0">
      <w:pPr>
        <w:spacing w:after="240"/>
        <w:rPr>
          <w:sz w:val="18"/>
        </w:rPr>
      </w:pPr>
      <w:r w:rsidRPr="003C6A73">
        <w:rPr>
          <w:sz w:val="18"/>
        </w:rPr>
        <w:t>Source: Turkstat, Betam</w:t>
      </w:r>
    </w:p>
    <w:p w14:paraId="5654DC62" w14:textId="77777777" w:rsidR="00694751" w:rsidRPr="00C00E83" w:rsidRDefault="00694751" w:rsidP="000B6B54">
      <w:pPr>
        <w:spacing w:before="60" w:after="0"/>
        <w:jc w:val="both"/>
        <w:rPr>
          <w:rFonts w:cs="Arial"/>
          <w:sz w:val="16"/>
          <w:szCs w:val="18"/>
          <w:lang w:val="en-US"/>
        </w:rPr>
      </w:pPr>
    </w:p>
    <w:p w14:paraId="469975D4" w14:textId="7922F83D" w:rsidR="00353F07" w:rsidRPr="00C00E83" w:rsidRDefault="00965D88" w:rsidP="00A5328F">
      <w:pPr>
        <w:pStyle w:val="ListParagraph"/>
        <w:numPr>
          <w:ilvl w:val="0"/>
          <w:numId w:val="2"/>
        </w:numPr>
        <w:spacing w:after="120"/>
        <w:jc w:val="both"/>
        <w:rPr>
          <w:rFonts w:cs="Arial"/>
          <w:b/>
          <w:lang w:val="en-US"/>
        </w:rPr>
      </w:pPr>
      <w:r w:rsidRPr="00965D88">
        <w:rPr>
          <w:rFonts w:cs="Arial"/>
          <w:b/>
          <w:lang w:val="en-US"/>
        </w:rPr>
        <w:t>Sources of the huge gap between inflation rates of the poorest and the poor</w:t>
      </w:r>
    </w:p>
    <w:p w14:paraId="255E09BC" w14:textId="4AE4AEA2" w:rsidR="000B6B54" w:rsidRDefault="00965D88" w:rsidP="005779B0">
      <w:pPr>
        <w:autoSpaceDE w:val="0"/>
        <w:autoSpaceDN w:val="0"/>
        <w:adjustRightInd w:val="0"/>
        <w:spacing w:after="0"/>
        <w:jc w:val="both"/>
        <w:rPr>
          <w:rFonts w:cs="Arial"/>
          <w:lang w:val="en-US"/>
        </w:rPr>
      </w:pPr>
      <w:r w:rsidRPr="00965D88">
        <w:rPr>
          <w:rFonts w:cs="Arial"/>
          <w:lang w:val="en-US"/>
        </w:rPr>
        <w:t xml:space="preserve">Even though they are the lowest two </w:t>
      </w:r>
      <w:r w:rsidR="008D6E9B">
        <w:rPr>
          <w:rFonts w:cs="Arial"/>
          <w:lang w:val="en-US"/>
        </w:rPr>
        <w:t>expenditure</w:t>
      </w:r>
      <w:r w:rsidR="008D6E9B" w:rsidRPr="00965D88">
        <w:rPr>
          <w:rFonts w:cs="Arial"/>
          <w:lang w:val="en-US"/>
        </w:rPr>
        <w:t xml:space="preserve"> </w:t>
      </w:r>
      <w:r w:rsidRPr="00965D88">
        <w:rPr>
          <w:rFonts w:cs="Arial"/>
          <w:lang w:val="en-US"/>
        </w:rPr>
        <w:t xml:space="preserve">groups the inflation gap between the poorest and the poor is high in favor of the poor (52.7 points). To be concrete, </w:t>
      </w:r>
      <w:r w:rsidRPr="00965D88">
        <w:rPr>
          <w:rFonts w:cs="Arial"/>
          <w:b/>
          <w:bCs/>
          <w:lang w:val="en-US"/>
        </w:rPr>
        <w:t xml:space="preserve">in July, the inflation rate of the </w:t>
      </w:r>
      <w:r w:rsidR="00112C00">
        <w:rPr>
          <w:rFonts w:cs="Arial"/>
          <w:b/>
          <w:bCs/>
          <w:lang w:val="en-US"/>
        </w:rPr>
        <w:t xml:space="preserve">poor </w:t>
      </w:r>
      <w:r w:rsidRPr="00965D88">
        <w:rPr>
          <w:rFonts w:cs="Arial"/>
          <w:b/>
          <w:bCs/>
          <w:lang w:val="en-US"/>
        </w:rPr>
        <w:t>is about 500% while it is about 447% for the poorest in compared to 2003</w:t>
      </w:r>
      <w:r w:rsidRPr="00965D88">
        <w:rPr>
          <w:rFonts w:cs="Arial"/>
          <w:lang w:val="en-US"/>
        </w:rPr>
        <w:t xml:space="preserve"> (Figure 2). Moreover, the inflation rate of the poor is the highest whereas the inflation rate of the poorest is the second lowest inflation rate in deciles.</w:t>
      </w:r>
    </w:p>
    <w:p w14:paraId="0E4EC808" w14:textId="77777777" w:rsidR="00965D88" w:rsidRPr="00C00E83" w:rsidRDefault="00965D88" w:rsidP="005779B0">
      <w:pPr>
        <w:autoSpaceDE w:val="0"/>
        <w:autoSpaceDN w:val="0"/>
        <w:adjustRightInd w:val="0"/>
        <w:spacing w:after="0"/>
        <w:jc w:val="both"/>
        <w:rPr>
          <w:rFonts w:cs="Arial"/>
          <w:lang w:val="en-US"/>
        </w:rPr>
      </w:pPr>
    </w:p>
    <w:p w14:paraId="2BB0C19B" w14:textId="510E03DD" w:rsidR="002452A8" w:rsidRDefault="00672111" w:rsidP="005779B0">
      <w:pPr>
        <w:autoSpaceDE w:val="0"/>
        <w:autoSpaceDN w:val="0"/>
        <w:adjustRightInd w:val="0"/>
        <w:spacing w:after="0"/>
        <w:jc w:val="both"/>
        <w:rPr>
          <w:rFonts w:cs="Arial"/>
          <w:b/>
          <w:lang w:val="en-US"/>
        </w:rPr>
      </w:pPr>
      <w:r w:rsidRPr="00672111">
        <w:rPr>
          <w:rFonts w:cs="Arial"/>
          <w:b/>
          <w:lang w:val="en-US"/>
        </w:rPr>
        <w:t xml:space="preserve">This unexpected finding points that the compositions of these two </w:t>
      </w:r>
      <w:r w:rsidR="008D6E9B" w:rsidRPr="008D6E9B">
        <w:rPr>
          <w:rFonts w:cs="Arial"/>
          <w:b/>
          <w:bCs/>
          <w:lang w:val="en-US"/>
        </w:rPr>
        <w:t>expenditure</w:t>
      </w:r>
      <w:r w:rsidR="008D6E9B" w:rsidRPr="00672111">
        <w:rPr>
          <w:rFonts w:cs="Arial"/>
          <w:b/>
          <w:lang w:val="en-US"/>
        </w:rPr>
        <w:t xml:space="preserve"> </w:t>
      </w:r>
      <w:r w:rsidRPr="00672111">
        <w:rPr>
          <w:rFonts w:cs="Arial"/>
          <w:b/>
          <w:lang w:val="en-US"/>
        </w:rPr>
        <w:t xml:space="preserve">groups are quite different. </w:t>
      </w:r>
      <w:r w:rsidRPr="00672111">
        <w:rPr>
          <w:rFonts w:cs="Arial"/>
          <w:bCs/>
          <w:lang w:val="en-US"/>
        </w:rPr>
        <w:t>In fact, among 12 items, only food and housing items have higher shares in the basket of the poorest as of 2019. The share of the food is 35.5% for the poorest and 31.5% for the poor while the share of the housing is 40.1% for the poorest and 36.5% for the poor (Table 2). The inflation difference caused by the differences in the weights of those items consists of 4.8 points (Figure 5). On the other hand, the shares of other items are lower in the basket of the poorest (see Table 2). The share of the transportation is 3.6% for the poorest and 5.8% for the poor while the share of the restaurant-hotel is 2.9% for the poorest and 4.5% for the poor. Specifically, these two items increased the inflation rate of the poor by 26.5 points (Figure 5).</w:t>
      </w:r>
    </w:p>
    <w:p w14:paraId="1C2B73B9" w14:textId="77777777" w:rsidR="00672111" w:rsidRPr="00C00E83" w:rsidRDefault="00672111" w:rsidP="005779B0">
      <w:pPr>
        <w:autoSpaceDE w:val="0"/>
        <w:autoSpaceDN w:val="0"/>
        <w:adjustRightInd w:val="0"/>
        <w:spacing w:after="0"/>
        <w:jc w:val="both"/>
        <w:rPr>
          <w:rFonts w:cs="Arial"/>
          <w:lang w:val="en-US"/>
        </w:rPr>
      </w:pPr>
    </w:p>
    <w:p w14:paraId="65947C6B" w14:textId="57E560CE" w:rsidR="0029618F" w:rsidRPr="002B0374" w:rsidRDefault="002B0374" w:rsidP="005D30D4">
      <w:pPr>
        <w:autoSpaceDE w:val="0"/>
        <w:autoSpaceDN w:val="0"/>
        <w:adjustRightInd w:val="0"/>
        <w:spacing w:after="60"/>
        <w:jc w:val="both"/>
        <w:rPr>
          <w:rFonts w:cs="Arial"/>
          <w:bCs/>
          <w:lang w:val="en-US"/>
        </w:rPr>
      </w:pPr>
      <w:r w:rsidRPr="002B0374">
        <w:rPr>
          <w:rFonts w:cs="Arial"/>
          <w:b/>
          <w:lang w:val="en-US"/>
        </w:rPr>
        <w:t xml:space="preserve">The striking gap in inflation rates of these two </w:t>
      </w:r>
      <w:r w:rsidR="00F96484">
        <w:rPr>
          <w:rFonts w:cs="Arial"/>
          <w:b/>
          <w:lang w:val="en-US"/>
        </w:rPr>
        <w:t>low</w:t>
      </w:r>
      <w:r w:rsidR="008D6E9B">
        <w:rPr>
          <w:rFonts w:cs="Arial"/>
          <w:b/>
          <w:lang w:val="en-US"/>
        </w:rPr>
        <w:t xml:space="preserve"> </w:t>
      </w:r>
      <w:r w:rsidR="008D6E9B" w:rsidRPr="008D6E9B">
        <w:rPr>
          <w:rFonts w:cs="Arial"/>
          <w:b/>
          <w:bCs/>
          <w:lang w:val="en-US"/>
        </w:rPr>
        <w:t>expenditure</w:t>
      </w:r>
      <w:r w:rsidR="00F96484">
        <w:rPr>
          <w:rFonts w:cs="Arial"/>
          <w:b/>
          <w:lang w:val="en-US"/>
        </w:rPr>
        <w:t xml:space="preserve"> </w:t>
      </w:r>
      <w:r w:rsidRPr="002B0374">
        <w:rPr>
          <w:rFonts w:cs="Arial"/>
          <w:b/>
          <w:lang w:val="en-US"/>
        </w:rPr>
        <w:t>groups</w:t>
      </w:r>
      <w:r w:rsidR="005D30D4">
        <w:rPr>
          <w:rFonts w:cs="Arial"/>
          <w:b/>
          <w:lang w:val="en-US"/>
        </w:rPr>
        <w:t>,</w:t>
      </w:r>
      <w:r w:rsidRPr="002B0374">
        <w:rPr>
          <w:rFonts w:cs="Arial"/>
          <w:b/>
          <w:lang w:val="en-US"/>
        </w:rPr>
        <w:t xml:space="preserve"> which stems from the fact that the compositions of their consumption baskets are quite different</w:t>
      </w:r>
      <w:r w:rsidR="005D30D4">
        <w:rPr>
          <w:rFonts w:cs="Arial"/>
          <w:b/>
          <w:lang w:val="en-US"/>
        </w:rPr>
        <w:t>,</w:t>
      </w:r>
      <w:r w:rsidRPr="002B0374">
        <w:rPr>
          <w:rFonts w:cs="Arial"/>
          <w:b/>
          <w:lang w:val="en-US"/>
        </w:rPr>
        <w:t xml:space="preserve"> suggests that the households in these groups are also in different socio-economic segments</w:t>
      </w:r>
      <w:r w:rsidRPr="002B0374">
        <w:rPr>
          <w:rFonts w:cs="Arial"/>
          <w:bCs/>
          <w:lang w:val="en-US"/>
        </w:rPr>
        <w:t xml:space="preserve">. In fact, the components of the employment levels of these two groups differ significantly. The poorest mostly work in agricultural sector. The employment rates of the poorest and the poor are 46.5% and 29.4%, respectively. Manufacturing employment is significantly high for the poor. The share is 16.4% for the poor but 11.4% for the poorest (Table 4). There is a limited difference between education years of these groups (Table 5). There is </w:t>
      </w:r>
      <w:r w:rsidR="00901AE2" w:rsidRPr="008D6E9B">
        <w:rPr>
          <w:rFonts w:cs="Arial"/>
          <w:bCs/>
          <w:lang w:val="en-US"/>
        </w:rPr>
        <w:t>roughly</w:t>
      </w:r>
      <w:r w:rsidR="00901AE2">
        <w:rPr>
          <w:rFonts w:cs="Arial"/>
          <w:bCs/>
          <w:lang w:val="en-US"/>
        </w:rPr>
        <w:t xml:space="preserve"> </w:t>
      </w:r>
      <w:r w:rsidRPr="002B0374">
        <w:rPr>
          <w:rFonts w:cs="Arial"/>
          <w:bCs/>
          <w:lang w:val="en-US"/>
        </w:rPr>
        <w:t>1.3 years difference in education levels of these groups. In sum, the poorest predominantly lives in rural area, travels less, and spends little on entertainment; however, the poor is predominantly lives in urban areas.</w:t>
      </w:r>
    </w:p>
    <w:p w14:paraId="14D3E450" w14:textId="57FB4DF0" w:rsidR="002B0374" w:rsidRDefault="002B0374" w:rsidP="00A5328F">
      <w:pPr>
        <w:autoSpaceDE w:val="0"/>
        <w:autoSpaceDN w:val="0"/>
        <w:adjustRightInd w:val="0"/>
        <w:spacing w:after="60" w:line="240" w:lineRule="auto"/>
        <w:jc w:val="both"/>
        <w:rPr>
          <w:rFonts w:cs="Arial"/>
          <w:b/>
          <w:lang w:val="en-US"/>
        </w:rPr>
      </w:pPr>
    </w:p>
    <w:p w14:paraId="5EE9E2C0" w14:textId="77777777" w:rsidR="00FE6BED" w:rsidRPr="00C00E83" w:rsidRDefault="00FE6BED" w:rsidP="00A5328F">
      <w:pPr>
        <w:autoSpaceDE w:val="0"/>
        <w:autoSpaceDN w:val="0"/>
        <w:adjustRightInd w:val="0"/>
        <w:spacing w:after="60" w:line="240" w:lineRule="auto"/>
        <w:jc w:val="both"/>
        <w:rPr>
          <w:rFonts w:cs="Arial"/>
          <w:b/>
          <w:lang w:val="en-US"/>
        </w:rPr>
      </w:pPr>
    </w:p>
    <w:p w14:paraId="7E7257E8" w14:textId="6E91920A" w:rsidR="000C6DD0" w:rsidRPr="00B06773" w:rsidRDefault="000C6DD0" w:rsidP="000C6DD0">
      <w:pPr>
        <w:rPr>
          <w:b/>
          <w:lang w:val="en-US"/>
        </w:rPr>
      </w:pPr>
      <w:r w:rsidRPr="00B06773">
        <w:rPr>
          <w:b/>
          <w:lang w:val="en-US"/>
        </w:rPr>
        <w:lastRenderedPageBreak/>
        <w:t>Figure 5: Decomposition of Inflation Rate Difference* (q1-q2)</w:t>
      </w:r>
    </w:p>
    <w:p w14:paraId="03A34D81" w14:textId="77777777" w:rsidR="000C6DD0" w:rsidRPr="00835BB8" w:rsidRDefault="000C6DD0" w:rsidP="000C6DD0">
      <w:pPr>
        <w:rPr>
          <w:b/>
        </w:rPr>
      </w:pPr>
      <w:r>
        <w:rPr>
          <w:noProof/>
          <w:lang w:val="en-GB" w:eastAsia="en-GB"/>
        </w:rPr>
        <w:drawing>
          <wp:inline distT="0" distB="0" distL="0" distR="0" wp14:anchorId="64E6323F" wp14:editId="6E228E93">
            <wp:extent cx="5113020" cy="2509113"/>
            <wp:effectExtent l="0" t="0" r="11430" b="5715"/>
            <wp:docPr id="13" name="Chart 13">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E108D5" w14:textId="77777777" w:rsidR="000C6DD0" w:rsidRDefault="000C6DD0" w:rsidP="000C6DD0">
      <w:pPr>
        <w:spacing w:after="0"/>
        <w:rPr>
          <w:sz w:val="18"/>
        </w:rPr>
      </w:pPr>
      <w:r w:rsidRPr="003C6A73">
        <w:rPr>
          <w:sz w:val="18"/>
        </w:rPr>
        <w:t>Source: Turkstat, Betam</w:t>
      </w:r>
    </w:p>
    <w:p w14:paraId="149DD657" w14:textId="0FC97C95" w:rsidR="00B06773" w:rsidRPr="00D92C06" w:rsidRDefault="000C6DD0" w:rsidP="00B06773">
      <w:pPr>
        <w:jc w:val="both"/>
        <w:rPr>
          <w:sz w:val="18"/>
          <w:lang w:val="en-US"/>
        </w:rPr>
      </w:pPr>
      <w:r w:rsidRPr="003C6A73">
        <w:rPr>
          <w:sz w:val="18"/>
        </w:rPr>
        <w:t>*</w:t>
      </w:r>
      <w:r w:rsidR="00B06773" w:rsidRPr="00D92C06">
        <w:rPr>
          <w:sz w:val="18"/>
          <w:lang w:val="en-US"/>
        </w:rPr>
        <w:t xml:space="preserve"> In the decomposition of the total inflation rate difference, red bars show the corresponding expenditure groups are against the first decile whereas blue bars show the corresponding expenditure groups are against the </w:t>
      </w:r>
      <w:r w:rsidR="00B06773">
        <w:rPr>
          <w:sz w:val="18"/>
          <w:lang w:val="en-US"/>
        </w:rPr>
        <w:t>second</w:t>
      </w:r>
      <w:r w:rsidR="00B06773" w:rsidRPr="00D92C06">
        <w:rPr>
          <w:sz w:val="18"/>
          <w:lang w:val="en-US"/>
        </w:rPr>
        <w:t xml:space="preserve"> decile.</w:t>
      </w:r>
    </w:p>
    <w:p w14:paraId="2C7100DC" w14:textId="14EDD050" w:rsidR="00C465E6" w:rsidRDefault="0078032C" w:rsidP="003B6877">
      <w:pPr>
        <w:spacing w:after="60"/>
        <w:jc w:val="both"/>
        <w:rPr>
          <w:rFonts w:cs="Arial"/>
          <w:lang w:val="en-US"/>
        </w:rPr>
      </w:pPr>
      <w:r w:rsidRPr="0078032C">
        <w:rPr>
          <w:rFonts w:cs="Arial"/>
          <w:lang w:val="en-US"/>
        </w:rPr>
        <w:t xml:space="preserve">The gap in the inflation rates of these two </w:t>
      </w:r>
      <w:r w:rsidRPr="00A1555F">
        <w:rPr>
          <w:rFonts w:cs="Arial"/>
          <w:lang w:val="en-US"/>
        </w:rPr>
        <w:t xml:space="preserve">groups </w:t>
      </w:r>
      <w:r w:rsidR="00901AE2" w:rsidRPr="00A1555F">
        <w:rPr>
          <w:rFonts w:cs="Arial"/>
          <w:lang w:val="en-US"/>
        </w:rPr>
        <w:t xml:space="preserve">unlike </w:t>
      </w:r>
      <w:r w:rsidRPr="00A1555F">
        <w:rPr>
          <w:rFonts w:cs="Arial"/>
          <w:lang w:val="en-US"/>
        </w:rPr>
        <w:t xml:space="preserve">the gap in the inflation rates of the richest and the poorest </w:t>
      </w:r>
      <w:r w:rsidR="00901AE2" w:rsidRPr="00A1555F">
        <w:rPr>
          <w:rFonts w:cs="Arial"/>
          <w:lang w:val="en-US"/>
        </w:rPr>
        <w:t>pursued a steady increase during the period under study</w:t>
      </w:r>
      <w:r w:rsidR="00901AE2">
        <w:rPr>
          <w:rFonts w:cs="Arial"/>
          <w:lang w:val="en-US"/>
        </w:rPr>
        <w:t xml:space="preserve"> </w:t>
      </w:r>
      <w:r w:rsidRPr="0078032C">
        <w:rPr>
          <w:rFonts w:cs="Arial"/>
          <w:lang w:val="en-US"/>
        </w:rPr>
        <w:t xml:space="preserve">(Figure 6). The inflation rate gap increased to 52.7 points in July </w:t>
      </w:r>
      <w:r w:rsidRPr="00A1555F">
        <w:rPr>
          <w:rFonts w:cs="Arial"/>
          <w:lang w:val="en-US"/>
        </w:rPr>
        <w:t xml:space="preserve">2021. Also, there is </w:t>
      </w:r>
      <w:r w:rsidR="00901AE2" w:rsidRPr="00A1555F">
        <w:rPr>
          <w:rFonts w:cs="Arial"/>
          <w:lang w:val="en-US"/>
        </w:rPr>
        <w:t xml:space="preserve">much </w:t>
      </w:r>
      <w:r w:rsidRPr="00A1555F">
        <w:rPr>
          <w:rFonts w:cs="Arial"/>
          <w:lang w:val="en-US"/>
        </w:rPr>
        <w:t xml:space="preserve">less volatility in the inflation gap. The </w:t>
      </w:r>
      <w:r w:rsidR="00A246CD" w:rsidRPr="00A1555F">
        <w:rPr>
          <w:rFonts w:cs="Arial"/>
          <w:lang w:val="en-US"/>
        </w:rPr>
        <w:t xml:space="preserve">steady increase in the inflation </w:t>
      </w:r>
      <w:r w:rsidRPr="00A1555F">
        <w:rPr>
          <w:rFonts w:cs="Arial"/>
          <w:lang w:val="en-US"/>
        </w:rPr>
        <w:t xml:space="preserve">gap </w:t>
      </w:r>
      <w:r w:rsidR="00B5156B" w:rsidRPr="00A1555F">
        <w:rPr>
          <w:rFonts w:cs="Arial"/>
          <w:lang w:val="en-US"/>
        </w:rPr>
        <w:t xml:space="preserve">has been </w:t>
      </w:r>
      <w:r w:rsidR="00E75DB1" w:rsidRPr="00A1555F">
        <w:rPr>
          <w:rFonts w:cs="Arial"/>
          <w:lang w:val="en-US"/>
        </w:rPr>
        <w:t>against</w:t>
      </w:r>
      <w:r w:rsidRPr="00A1555F">
        <w:rPr>
          <w:rFonts w:cs="Arial"/>
          <w:lang w:val="en-US"/>
        </w:rPr>
        <w:t xml:space="preserve"> the poor</w:t>
      </w:r>
      <w:r w:rsidRPr="0078032C">
        <w:rPr>
          <w:rFonts w:cs="Arial"/>
          <w:lang w:val="en-US"/>
        </w:rPr>
        <w:t xml:space="preserve"> because the shares of 10 out 12 items are higher for the poor.</w:t>
      </w:r>
    </w:p>
    <w:p w14:paraId="24ABAB42" w14:textId="77777777" w:rsidR="00246F25" w:rsidRPr="00C00E83" w:rsidRDefault="00246F25" w:rsidP="003B6877">
      <w:pPr>
        <w:spacing w:after="60"/>
        <w:jc w:val="both"/>
        <w:rPr>
          <w:b/>
          <w:bCs/>
          <w:sz w:val="20"/>
          <w:lang w:val="en-US"/>
        </w:rPr>
      </w:pPr>
    </w:p>
    <w:p w14:paraId="2F880B11" w14:textId="5D021E14" w:rsidR="00662659" w:rsidRPr="00BD554C" w:rsidRDefault="00662659" w:rsidP="00662659">
      <w:pPr>
        <w:pStyle w:val="Caption"/>
        <w:rPr>
          <w:rFonts w:asciiTheme="minorHAnsi" w:hAnsiTheme="minorHAnsi" w:cs="Arial"/>
          <w:sz w:val="22"/>
          <w:szCs w:val="22"/>
          <w:lang w:val="en-US"/>
        </w:rPr>
      </w:pPr>
      <w:r w:rsidRPr="007B647A">
        <w:rPr>
          <w:rFonts w:asciiTheme="minorHAnsi" w:hAnsiTheme="minorHAnsi" w:cs="Arial"/>
          <w:sz w:val="22"/>
          <w:szCs w:val="22"/>
          <w:lang w:val="en-US"/>
        </w:rPr>
        <w:t xml:space="preserve">Figure </w:t>
      </w:r>
      <w:r>
        <w:rPr>
          <w:rFonts w:asciiTheme="minorHAnsi" w:hAnsiTheme="minorHAnsi" w:cs="Arial"/>
          <w:sz w:val="22"/>
          <w:szCs w:val="22"/>
          <w:lang w:val="en-US"/>
        </w:rPr>
        <w:t>6</w:t>
      </w:r>
      <w:r w:rsidRPr="007B647A">
        <w:rPr>
          <w:rFonts w:asciiTheme="minorHAnsi" w:hAnsiTheme="minorHAnsi" w:cs="Arial"/>
          <w:sz w:val="22"/>
          <w:szCs w:val="22"/>
          <w:lang w:val="en-US"/>
        </w:rPr>
        <w:t>:</w:t>
      </w:r>
      <w:r>
        <w:rPr>
          <w:rFonts w:asciiTheme="minorHAnsi" w:hAnsiTheme="minorHAnsi" w:cs="Arial"/>
          <w:sz w:val="22"/>
          <w:szCs w:val="22"/>
          <w:lang w:val="en-US"/>
        </w:rPr>
        <w:t xml:space="preserve"> Monthly i</w:t>
      </w:r>
      <w:r w:rsidRPr="00BD554C">
        <w:rPr>
          <w:rFonts w:asciiTheme="minorHAnsi" w:hAnsiTheme="minorHAnsi" w:cs="Arial"/>
          <w:sz w:val="22"/>
          <w:szCs w:val="22"/>
          <w:lang w:val="en-US"/>
        </w:rPr>
        <w:t>n</w:t>
      </w:r>
      <w:r>
        <w:rPr>
          <w:rFonts w:asciiTheme="minorHAnsi" w:hAnsiTheme="minorHAnsi" w:cs="Arial"/>
          <w:sz w:val="22"/>
          <w:szCs w:val="22"/>
          <w:lang w:val="en-US"/>
        </w:rPr>
        <w:t>flation rate difference between the second decile</w:t>
      </w:r>
      <w:r w:rsidRPr="00BD554C">
        <w:rPr>
          <w:rFonts w:asciiTheme="minorHAnsi" w:hAnsiTheme="minorHAnsi" w:cs="Arial"/>
          <w:sz w:val="22"/>
          <w:szCs w:val="22"/>
          <w:lang w:val="en-US"/>
        </w:rPr>
        <w:t xml:space="preserve"> and the </w:t>
      </w:r>
      <w:r>
        <w:rPr>
          <w:rFonts w:asciiTheme="minorHAnsi" w:hAnsiTheme="minorHAnsi" w:cs="Arial"/>
          <w:sz w:val="22"/>
          <w:szCs w:val="22"/>
          <w:lang w:val="en-US"/>
        </w:rPr>
        <w:t>first decile (2004 January-2021 July)</w:t>
      </w:r>
    </w:p>
    <w:p w14:paraId="111D4D1E" w14:textId="77777777" w:rsidR="00662659" w:rsidRDefault="00662659" w:rsidP="00662659">
      <w:pPr>
        <w:spacing w:after="0"/>
        <w:rPr>
          <w:sz w:val="18"/>
        </w:rPr>
      </w:pPr>
      <w:r>
        <w:rPr>
          <w:noProof/>
          <w:lang w:val="en-GB" w:eastAsia="en-GB"/>
        </w:rPr>
        <w:drawing>
          <wp:inline distT="0" distB="0" distL="0" distR="0" wp14:anchorId="01BADDE6" wp14:editId="78DF63FE">
            <wp:extent cx="4625975" cy="2062887"/>
            <wp:effectExtent l="0" t="0" r="3175" b="13970"/>
            <wp:docPr id="14" name="Chart 14">
              <a:extLst xmlns:a="http://schemas.openxmlformats.org/drawingml/2006/main">
                <a:ext uri="{FF2B5EF4-FFF2-40B4-BE49-F238E27FC236}">
                  <a16:creationId xmlns:a16="http://schemas.microsoft.com/office/drawing/2014/main" id="{00000000-0008-0000-1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242562" w14:textId="77777777" w:rsidR="00662659" w:rsidRDefault="00662659" w:rsidP="00662659">
      <w:pPr>
        <w:spacing w:after="0"/>
        <w:rPr>
          <w:sz w:val="18"/>
        </w:rPr>
      </w:pPr>
      <w:r w:rsidRPr="003C6A73">
        <w:rPr>
          <w:sz w:val="18"/>
        </w:rPr>
        <w:t>Source: Turkstat, Betam</w:t>
      </w:r>
    </w:p>
    <w:p w14:paraId="79677689" w14:textId="67E595DF" w:rsidR="00A5328F" w:rsidRPr="00C00E83" w:rsidRDefault="001E62B7" w:rsidP="00127AC1">
      <w:pPr>
        <w:pStyle w:val="ListParagraph"/>
        <w:numPr>
          <w:ilvl w:val="0"/>
          <w:numId w:val="2"/>
        </w:numPr>
        <w:spacing w:after="120"/>
        <w:jc w:val="both"/>
        <w:rPr>
          <w:rFonts w:cs="Arial"/>
          <w:b/>
          <w:lang w:val="en-US"/>
        </w:rPr>
      </w:pPr>
      <w:r w:rsidRPr="001E62B7">
        <w:rPr>
          <w:rFonts w:cs="Arial"/>
          <w:b/>
          <w:lang w:val="en-US"/>
        </w:rPr>
        <w:t xml:space="preserve">Sources of the inflation gap between </w:t>
      </w:r>
      <w:r>
        <w:rPr>
          <w:rFonts w:cs="Arial"/>
          <w:b/>
          <w:lang w:val="en-US"/>
        </w:rPr>
        <w:t>“</w:t>
      </w:r>
      <w:r w:rsidRPr="001E62B7">
        <w:rPr>
          <w:rFonts w:cs="Arial"/>
          <w:b/>
          <w:lang w:val="en-US"/>
        </w:rPr>
        <w:t>the richest</w:t>
      </w:r>
      <w:r>
        <w:rPr>
          <w:rFonts w:cs="Arial"/>
          <w:b/>
          <w:lang w:val="en-US"/>
        </w:rPr>
        <w:t>”</w:t>
      </w:r>
      <w:r w:rsidRPr="001E62B7">
        <w:rPr>
          <w:rFonts w:cs="Arial"/>
          <w:b/>
          <w:lang w:val="en-US"/>
        </w:rPr>
        <w:t xml:space="preserve"> and </w:t>
      </w:r>
      <w:r>
        <w:rPr>
          <w:rFonts w:cs="Arial"/>
          <w:b/>
          <w:lang w:val="en-US"/>
        </w:rPr>
        <w:t>“</w:t>
      </w:r>
      <w:r w:rsidRPr="001E62B7">
        <w:rPr>
          <w:rFonts w:cs="Arial"/>
          <w:b/>
          <w:lang w:val="en-US"/>
        </w:rPr>
        <w:t>the poor</w:t>
      </w:r>
      <w:r>
        <w:rPr>
          <w:rFonts w:cs="Arial"/>
          <w:b/>
          <w:lang w:val="en-US"/>
        </w:rPr>
        <w:t>”</w:t>
      </w:r>
    </w:p>
    <w:p w14:paraId="540B53FE" w14:textId="48B93CD0" w:rsidR="00203264" w:rsidRDefault="00D46210" w:rsidP="00D46210">
      <w:pPr>
        <w:autoSpaceDE w:val="0"/>
        <w:autoSpaceDN w:val="0"/>
        <w:adjustRightInd w:val="0"/>
        <w:spacing w:after="0"/>
        <w:jc w:val="both"/>
        <w:rPr>
          <w:rFonts w:cs="Arial"/>
          <w:b/>
          <w:lang w:val="en-US"/>
        </w:rPr>
      </w:pPr>
      <w:r w:rsidRPr="00D46210">
        <w:rPr>
          <w:rFonts w:cs="Arial"/>
          <w:b/>
          <w:lang w:val="en-US"/>
        </w:rPr>
        <w:t xml:space="preserve">As we stated above, there is a 39-point inflation rate gap between the poor and the richest </w:t>
      </w:r>
      <w:r w:rsidR="003C5711">
        <w:rPr>
          <w:rFonts w:cs="Arial"/>
          <w:b/>
          <w:lang w:val="en-US"/>
        </w:rPr>
        <w:t xml:space="preserve">which </w:t>
      </w:r>
      <w:r w:rsidRPr="00D46210">
        <w:rPr>
          <w:rFonts w:cs="Arial"/>
          <w:b/>
          <w:lang w:val="en-US"/>
        </w:rPr>
        <w:t xml:space="preserve">is against the former as of July 2021 (Figure 2). This an expected observation. </w:t>
      </w:r>
      <w:r w:rsidRPr="00D46210">
        <w:rPr>
          <w:rFonts w:cs="Arial"/>
          <w:bCs/>
          <w:lang w:val="en-US"/>
        </w:rPr>
        <w:t>Food and housing, which have higher share in the basket of the poor, contribut</w:t>
      </w:r>
      <w:r w:rsidR="003664C7">
        <w:rPr>
          <w:rFonts w:cs="Arial"/>
          <w:bCs/>
          <w:lang w:val="en-US"/>
        </w:rPr>
        <w:t>e more</w:t>
      </w:r>
      <w:r w:rsidRPr="00D46210">
        <w:rPr>
          <w:rFonts w:cs="Arial"/>
          <w:bCs/>
          <w:lang w:val="en-US"/>
        </w:rPr>
        <w:t xml:space="preserve"> to the inflation rate of the second group </w:t>
      </w:r>
      <w:r w:rsidR="003C5711">
        <w:rPr>
          <w:rFonts w:cs="Arial"/>
          <w:bCs/>
          <w:lang w:val="en-US"/>
        </w:rPr>
        <w:t xml:space="preserve">than </w:t>
      </w:r>
      <w:r w:rsidRPr="00D46210">
        <w:rPr>
          <w:rFonts w:cs="Arial"/>
          <w:bCs/>
          <w:lang w:val="en-US"/>
        </w:rPr>
        <w:t xml:space="preserve">the tenth group. </w:t>
      </w:r>
      <w:r w:rsidRPr="006F59A6">
        <w:rPr>
          <w:rFonts w:cs="Arial"/>
          <w:bCs/>
          <w:lang w:val="en-US"/>
        </w:rPr>
        <w:t xml:space="preserve">Food and housing items increased the inflation rate of the poor </w:t>
      </w:r>
      <w:r w:rsidR="008279F5" w:rsidRPr="006F59A6">
        <w:rPr>
          <w:rFonts w:cs="Arial"/>
          <w:bCs/>
          <w:lang w:val="en-US"/>
        </w:rPr>
        <w:t xml:space="preserve">relative to </w:t>
      </w:r>
      <w:r w:rsidRPr="006F59A6">
        <w:rPr>
          <w:rFonts w:cs="Arial"/>
          <w:bCs/>
          <w:lang w:val="en-US"/>
        </w:rPr>
        <w:t>the richest by 124.1 and 138.4 points, respectively.</w:t>
      </w:r>
      <w:r w:rsidRPr="00D46210">
        <w:rPr>
          <w:rFonts w:cs="Arial"/>
          <w:bCs/>
          <w:lang w:val="en-US"/>
        </w:rPr>
        <w:t xml:space="preserve"> On the other hand, transportation which has a quite high weight in the basket of the richest increased the inflation rate of the richest by 128.7 </w:t>
      </w:r>
      <w:r w:rsidRPr="00D46210">
        <w:rPr>
          <w:rFonts w:cs="Arial"/>
          <w:bCs/>
          <w:lang w:val="en-US"/>
        </w:rPr>
        <w:lastRenderedPageBreak/>
        <w:t xml:space="preserve">points (Figure 7). Education, miscellaneous goods and services, and entertainment items led to an increase in the inflation rate of the richest by 71.6 points. As we showed, the inflation of the poor depends heavily on </w:t>
      </w:r>
      <w:r w:rsidR="00776D7A">
        <w:rPr>
          <w:rFonts w:cs="Arial"/>
          <w:bCs/>
          <w:lang w:val="en-US"/>
        </w:rPr>
        <w:t>mandatory</w:t>
      </w:r>
      <w:r w:rsidR="008E583A">
        <w:rPr>
          <w:rFonts w:cs="Arial"/>
          <w:bCs/>
          <w:lang w:val="en-US"/>
        </w:rPr>
        <w:t xml:space="preserve"> </w:t>
      </w:r>
      <w:r w:rsidR="00A74125">
        <w:rPr>
          <w:rFonts w:cs="Arial"/>
          <w:bCs/>
          <w:lang w:val="en-US"/>
        </w:rPr>
        <w:t xml:space="preserve">expenditure </w:t>
      </w:r>
      <w:r w:rsidRPr="00D46210">
        <w:rPr>
          <w:rFonts w:cs="Arial"/>
          <w:bCs/>
          <w:lang w:val="en-US"/>
        </w:rPr>
        <w:t xml:space="preserve">(food and housing) while the inflation rate of the richest is more sensitive to luxury spending (transportation, restaurant and hotel, </w:t>
      </w:r>
      <w:r w:rsidR="00757AC8" w:rsidRPr="008D6E9B">
        <w:rPr>
          <w:rFonts w:cs="Arial"/>
          <w:bCs/>
          <w:lang w:val="en-US"/>
        </w:rPr>
        <w:t>private</w:t>
      </w:r>
      <w:r w:rsidR="00757AC8">
        <w:rPr>
          <w:rFonts w:cs="Arial"/>
          <w:bCs/>
          <w:lang w:val="en-US"/>
        </w:rPr>
        <w:t xml:space="preserve"> </w:t>
      </w:r>
      <w:r w:rsidRPr="00D46210">
        <w:rPr>
          <w:rFonts w:cs="Arial"/>
          <w:bCs/>
          <w:lang w:val="en-US"/>
        </w:rPr>
        <w:t>education).</w:t>
      </w:r>
    </w:p>
    <w:p w14:paraId="5F9FC6A7" w14:textId="77777777" w:rsidR="00D46210" w:rsidRPr="00C00E83" w:rsidRDefault="00D46210" w:rsidP="00353F07">
      <w:pPr>
        <w:autoSpaceDE w:val="0"/>
        <w:autoSpaceDN w:val="0"/>
        <w:adjustRightInd w:val="0"/>
        <w:spacing w:after="0" w:line="240" w:lineRule="auto"/>
        <w:jc w:val="both"/>
        <w:rPr>
          <w:rFonts w:cs="Arial"/>
          <w:lang w:val="en-US"/>
        </w:rPr>
      </w:pPr>
    </w:p>
    <w:p w14:paraId="3A3E8E53" w14:textId="456BC4C7" w:rsidR="00662659" w:rsidRPr="00662659" w:rsidRDefault="00662659" w:rsidP="00662659">
      <w:pPr>
        <w:rPr>
          <w:b/>
          <w:lang w:val="en-US"/>
        </w:rPr>
      </w:pPr>
      <w:r w:rsidRPr="00662659">
        <w:rPr>
          <w:b/>
          <w:lang w:val="en-US"/>
        </w:rPr>
        <w:t xml:space="preserve">Figure 7: Decomposition of Inflation </w:t>
      </w:r>
      <w:r>
        <w:rPr>
          <w:b/>
          <w:lang w:val="en-US"/>
        </w:rPr>
        <w:t xml:space="preserve">Rate </w:t>
      </w:r>
      <w:r w:rsidRPr="00662659">
        <w:rPr>
          <w:b/>
          <w:lang w:val="en-US"/>
        </w:rPr>
        <w:t>Difference* (q2-q10)</w:t>
      </w:r>
    </w:p>
    <w:p w14:paraId="0CE6E610" w14:textId="77777777" w:rsidR="00662659" w:rsidRPr="00662659" w:rsidRDefault="00662659" w:rsidP="00662659">
      <w:pPr>
        <w:spacing w:after="0"/>
        <w:rPr>
          <w:sz w:val="18"/>
          <w:lang w:val="en-US"/>
        </w:rPr>
      </w:pPr>
      <w:r w:rsidRPr="00662659">
        <w:rPr>
          <w:noProof/>
          <w:lang w:val="en-GB" w:eastAsia="en-GB"/>
        </w:rPr>
        <w:drawing>
          <wp:inline distT="0" distB="0" distL="0" distR="0" wp14:anchorId="072D6BFD" wp14:editId="749483F3">
            <wp:extent cx="5310835" cy="2472537"/>
            <wp:effectExtent l="0" t="0" r="4445" b="4445"/>
            <wp:docPr id="15" name="Chart 15">
              <a:extLst xmlns:a="http://schemas.openxmlformats.org/drawingml/2006/main">
                <a:ext uri="{FF2B5EF4-FFF2-40B4-BE49-F238E27FC236}">
                  <a16:creationId xmlns:a16="http://schemas.microsoft.com/office/drawing/2014/main" id="{00000000-0008-0000-1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4BA79" w14:textId="77777777" w:rsidR="00662659" w:rsidRPr="00662659" w:rsidRDefault="00662659" w:rsidP="00662659">
      <w:pPr>
        <w:spacing w:after="0"/>
        <w:rPr>
          <w:sz w:val="18"/>
          <w:lang w:val="en-US"/>
        </w:rPr>
      </w:pPr>
      <w:r w:rsidRPr="00662659">
        <w:rPr>
          <w:sz w:val="18"/>
          <w:lang w:val="en-US"/>
        </w:rPr>
        <w:t>Source: Turkstat, Betam</w:t>
      </w:r>
    </w:p>
    <w:p w14:paraId="63427272" w14:textId="6F48961B" w:rsidR="00662659" w:rsidRPr="00662659" w:rsidRDefault="00662659" w:rsidP="00686411">
      <w:pPr>
        <w:jc w:val="both"/>
        <w:rPr>
          <w:sz w:val="18"/>
          <w:lang w:val="en-US"/>
        </w:rPr>
      </w:pPr>
      <w:r w:rsidRPr="00662659">
        <w:rPr>
          <w:sz w:val="18"/>
          <w:lang w:val="en-US"/>
        </w:rPr>
        <w:t xml:space="preserve">* </w:t>
      </w:r>
      <w:r w:rsidRPr="00D92C06">
        <w:rPr>
          <w:sz w:val="18"/>
          <w:lang w:val="en-US"/>
        </w:rPr>
        <w:t xml:space="preserve">In the decomposition of the total inflation rate difference, red bars show the corresponding expenditure groups are against the </w:t>
      </w:r>
      <w:r>
        <w:rPr>
          <w:sz w:val="18"/>
          <w:lang w:val="en-US"/>
        </w:rPr>
        <w:t>second</w:t>
      </w:r>
      <w:r w:rsidRPr="00D92C06">
        <w:rPr>
          <w:sz w:val="18"/>
          <w:lang w:val="en-US"/>
        </w:rPr>
        <w:t xml:space="preserve"> decile whereas blue bars show the corresponding expenditure groups are against the </w:t>
      </w:r>
      <w:r>
        <w:rPr>
          <w:sz w:val="18"/>
          <w:lang w:val="en-US"/>
        </w:rPr>
        <w:t>tenth</w:t>
      </w:r>
      <w:r w:rsidRPr="00D92C06">
        <w:rPr>
          <w:sz w:val="18"/>
          <w:lang w:val="en-US"/>
        </w:rPr>
        <w:t xml:space="preserve"> decile.</w:t>
      </w:r>
    </w:p>
    <w:p w14:paraId="3F0A5A06" w14:textId="7E2BD63B" w:rsidR="00173477" w:rsidRDefault="00173477" w:rsidP="00173477">
      <w:pPr>
        <w:spacing w:after="120"/>
        <w:jc w:val="both"/>
        <w:rPr>
          <w:rFonts w:cs="Arial"/>
          <w:lang w:val="en-US"/>
        </w:rPr>
      </w:pPr>
      <w:r w:rsidRPr="00173477">
        <w:rPr>
          <w:rFonts w:cs="Arial"/>
          <w:lang w:val="en-US"/>
        </w:rPr>
        <w:t>The gap between the inflation rates of these groups remained relatively stable (Figure 8). However, in 2020 Q1 when COVID-19 shock hit, the inflation gap reached its maximum level (47.5 points)</w:t>
      </w:r>
      <w:r w:rsidR="00907C12">
        <w:rPr>
          <w:rFonts w:cs="Arial"/>
          <w:lang w:val="en-US"/>
        </w:rPr>
        <w:t>,</w:t>
      </w:r>
      <w:r w:rsidRPr="00173477">
        <w:rPr>
          <w:rFonts w:cs="Arial"/>
          <w:lang w:val="en-US"/>
        </w:rPr>
        <w:t xml:space="preserve"> then it receded. Following 2020 autumn</w:t>
      </w:r>
      <w:r w:rsidR="00907C12">
        <w:rPr>
          <w:rFonts w:cs="Arial"/>
          <w:lang w:val="en-US"/>
        </w:rPr>
        <w:t>,</w:t>
      </w:r>
      <w:r w:rsidRPr="00173477">
        <w:rPr>
          <w:rFonts w:cs="Arial"/>
          <w:lang w:val="en-US"/>
        </w:rPr>
        <w:t xml:space="preserve"> the gap started to </w:t>
      </w:r>
      <w:r w:rsidR="005D5C22" w:rsidRPr="00173477">
        <w:rPr>
          <w:rFonts w:cs="Arial"/>
          <w:lang w:val="en-US"/>
        </w:rPr>
        <w:t>increase,</w:t>
      </w:r>
      <w:r w:rsidRPr="00173477">
        <w:rPr>
          <w:rFonts w:cs="Arial"/>
          <w:lang w:val="en-US"/>
        </w:rPr>
        <w:t xml:space="preserve"> and it reached 39 points in July 2021.</w:t>
      </w:r>
    </w:p>
    <w:p w14:paraId="567A95AB" w14:textId="4D6D6D65" w:rsidR="00686411" w:rsidRPr="00BD554C" w:rsidRDefault="00686411" w:rsidP="00686411">
      <w:pPr>
        <w:pStyle w:val="Caption"/>
        <w:rPr>
          <w:rFonts w:asciiTheme="minorHAnsi" w:hAnsiTheme="minorHAnsi" w:cs="Arial"/>
          <w:sz w:val="22"/>
          <w:szCs w:val="22"/>
          <w:lang w:val="en-US"/>
        </w:rPr>
      </w:pPr>
      <w:r w:rsidRPr="007B647A">
        <w:rPr>
          <w:rFonts w:asciiTheme="minorHAnsi" w:hAnsiTheme="minorHAnsi" w:cs="Arial"/>
          <w:sz w:val="22"/>
          <w:szCs w:val="22"/>
          <w:lang w:val="en-US"/>
        </w:rPr>
        <w:t xml:space="preserve">Figure </w:t>
      </w:r>
      <w:r>
        <w:rPr>
          <w:rFonts w:asciiTheme="minorHAnsi" w:hAnsiTheme="minorHAnsi" w:cs="Arial"/>
          <w:sz w:val="22"/>
          <w:szCs w:val="22"/>
          <w:lang w:val="en-US"/>
        </w:rPr>
        <w:t>8</w:t>
      </w:r>
      <w:r w:rsidRPr="007B647A">
        <w:rPr>
          <w:rFonts w:asciiTheme="minorHAnsi" w:hAnsiTheme="minorHAnsi" w:cs="Arial"/>
          <w:sz w:val="22"/>
          <w:szCs w:val="22"/>
          <w:lang w:val="en-US"/>
        </w:rPr>
        <w:t>:</w:t>
      </w:r>
      <w:r>
        <w:rPr>
          <w:rFonts w:asciiTheme="minorHAnsi" w:hAnsiTheme="minorHAnsi" w:cs="Arial"/>
          <w:sz w:val="22"/>
          <w:szCs w:val="22"/>
          <w:lang w:val="en-US"/>
        </w:rPr>
        <w:t xml:space="preserve"> Monthly i</w:t>
      </w:r>
      <w:r w:rsidRPr="00BD554C">
        <w:rPr>
          <w:rFonts w:asciiTheme="minorHAnsi" w:hAnsiTheme="minorHAnsi" w:cs="Arial"/>
          <w:sz w:val="22"/>
          <w:szCs w:val="22"/>
          <w:lang w:val="en-US"/>
        </w:rPr>
        <w:t>n</w:t>
      </w:r>
      <w:r>
        <w:rPr>
          <w:rFonts w:asciiTheme="minorHAnsi" w:hAnsiTheme="minorHAnsi" w:cs="Arial"/>
          <w:sz w:val="22"/>
          <w:szCs w:val="22"/>
          <w:lang w:val="en-US"/>
        </w:rPr>
        <w:t>flation rate difference between the poor</w:t>
      </w:r>
      <w:r w:rsidRPr="00BD554C">
        <w:rPr>
          <w:rFonts w:asciiTheme="minorHAnsi" w:hAnsiTheme="minorHAnsi" w:cs="Arial"/>
          <w:sz w:val="22"/>
          <w:szCs w:val="22"/>
          <w:lang w:val="en-US"/>
        </w:rPr>
        <w:t xml:space="preserve"> and </w:t>
      </w:r>
      <w:r>
        <w:rPr>
          <w:rFonts w:asciiTheme="minorHAnsi" w:hAnsiTheme="minorHAnsi" w:cs="Arial"/>
          <w:sz w:val="22"/>
          <w:szCs w:val="22"/>
          <w:lang w:val="en-US"/>
        </w:rPr>
        <w:t>the richest (2004 January-2021 July)</w:t>
      </w:r>
    </w:p>
    <w:p w14:paraId="37CCA97F" w14:textId="77777777" w:rsidR="00686411" w:rsidRDefault="00686411" w:rsidP="00686411">
      <w:pPr>
        <w:rPr>
          <w:sz w:val="18"/>
        </w:rPr>
      </w:pPr>
      <w:r>
        <w:rPr>
          <w:noProof/>
          <w:lang w:val="en-GB" w:eastAsia="en-GB"/>
        </w:rPr>
        <w:drawing>
          <wp:inline distT="0" distB="0" distL="0" distR="0" wp14:anchorId="30C814D0" wp14:editId="06D339BF">
            <wp:extent cx="5310505" cy="2260396"/>
            <wp:effectExtent l="0" t="0" r="4445" b="6985"/>
            <wp:docPr id="19" name="Chart 19">
              <a:extLst xmlns:a="http://schemas.openxmlformats.org/drawingml/2006/main">
                <a:ext uri="{FF2B5EF4-FFF2-40B4-BE49-F238E27FC236}">
                  <a16:creationId xmlns:a16="http://schemas.microsoft.com/office/drawing/2014/main" id="{00000000-0008-0000-1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E73AB1" w14:textId="418F47F3" w:rsidR="00046447" w:rsidRDefault="00686411" w:rsidP="00686411">
      <w:pPr>
        <w:spacing w:after="0"/>
        <w:jc w:val="both"/>
        <w:rPr>
          <w:rFonts w:cs="Arial"/>
          <w:sz w:val="16"/>
          <w:szCs w:val="18"/>
          <w:lang w:val="en-US"/>
        </w:rPr>
      </w:pPr>
      <w:r w:rsidRPr="003C6A73">
        <w:rPr>
          <w:sz w:val="18"/>
        </w:rPr>
        <w:t>Source: Turkstat, Betam</w:t>
      </w:r>
    </w:p>
    <w:p w14:paraId="4FEB2623" w14:textId="77777777" w:rsidR="00686411" w:rsidRPr="00C00E83" w:rsidRDefault="00686411" w:rsidP="004A7609">
      <w:pPr>
        <w:spacing w:after="0"/>
        <w:jc w:val="both"/>
        <w:rPr>
          <w:rFonts w:cs="Arial"/>
          <w:sz w:val="16"/>
          <w:szCs w:val="18"/>
          <w:lang w:val="en-US"/>
        </w:rPr>
      </w:pPr>
    </w:p>
    <w:p w14:paraId="46C7F070" w14:textId="02B97856" w:rsidR="00E248B9" w:rsidRPr="00C00E83" w:rsidRDefault="005D5C22" w:rsidP="00A207CA">
      <w:pPr>
        <w:pStyle w:val="ListParagraph"/>
        <w:numPr>
          <w:ilvl w:val="0"/>
          <w:numId w:val="2"/>
        </w:numPr>
        <w:spacing w:after="120"/>
        <w:jc w:val="both"/>
        <w:rPr>
          <w:rFonts w:cs="Arial"/>
          <w:b/>
          <w:lang w:val="en-US"/>
        </w:rPr>
      </w:pPr>
      <w:r w:rsidRPr="008D6E9B">
        <w:rPr>
          <w:rFonts w:cs="Arial"/>
          <w:b/>
          <w:lang w:val="en-US"/>
        </w:rPr>
        <w:t>Unexpected</w:t>
      </w:r>
      <w:r w:rsidR="00456CC3" w:rsidRPr="008D6E9B">
        <w:rPr>
          <w:rFonts w:cs="Arial"/>
          <w:b/>
          <w:lang w:val="en-US"/>
        </w:rPr>
        <w:t>ly</w:t>
      </w:r>
      <w:r w:rsidRPr="008D6E9B">
        <w:rPr>
          <w:rFonts w:cs="Arial"/>
          <w:b/>
          <w:lang w:val="en-US"/>
        </w:rPr>
        <w:t xml:space="preserve"> </w:t>
      </w:r>
      <w:r w:rsidR="00456CC3" w:rsidRPr="008D6E9B">
        <w:rPr>
          <w:rFonts w:cs="Arial"/>
          <w:b/>
          <w:lang w:val="en-US"/>
        </w:rPr>
        <w:t>low</w:t>
      </w:r>
      <w:r w:rsidR="00456CC3">
        <w:rPr>
          <w:rFonts w:cs="Arial"/>
          <w:b/>
          <w:lang w:val="en-US"/>
        </w:rPr>
        <w:t xml:space="preserve"> </w:t>
      </w:r>
      <w:r>
        <w:rPr>
          <w:rFonts w:cs="Arial"/>
          <w:b/>
          <w:lang w:val="en-US"/>
        </w:rPr>
        <w:t xml:space="preserve">inflation </w:t>
      </w:r>
      <w:r w:rsidR="008D6E9B">
        <w:rPr>
          <w:rFonts w:cs="Arial"/>
          <w:b/>
          <w:lang w:val="en-US"/>
        </w:rPr>
        <w:t>rate</w:t>
      </w:r>
      <w:r>
        <w:rPr>
          <w:rFonts w:cs="Arial"/>
          <w:b/>
          <w:lang w:val="en-US"/>
        </w:rPr>
        <w:t xml:space="preserve"> </w:t>
      </w:r>
      <w:r w:rsidR="008D6E9B">
        <w:rPr>
          <w:rFonts w:cs="Arial"/>
          <w:b/>
          <w:lang w:val="en-US"/>
        </w:rPr>
        <w:t>of</w:t>
      </w:r>
      <w:r w:rsidR="00456CC3">
        <w:rPr>
          <w:rFonts w:cs="Arial"/>
          <w:b/>
          <w:lang w:val="en-US"/>
        </w:rPr>
        <w:t xml:space="preserve"> </w:t>
      </w:r>
      <w:r>
        <w:rPr>
          <w:rFonts w:cs="Arial"/>
          <w:b/>
          <w:lang w:val="en-US"/>
        </w:rPr>
        <w:t>“the rich”</w:t>
      </w:r>
      <w:r w:rsidR="00456CC3">
        <w:rPr>
          <w:rFonts w:cs="Arial"/>
          <w:b/>
          <w:lang w:val="en-US"/>
        </w:rPr>
        <w:t xml:space="preserve"> </w:t>
      </w:r>
    </w:p>
    <w:p w14:paraId="54B11103" w14:textId="204A29ED" w:rsidR="005D5C22" w:rsidRDefault="005D5C22" w:rsidP="00A207CA">
      <w:pPr>
        <w:spacing w:after="120"/>
        <w:jc w:val="both"/>
        <w:rPr>
          <w:rFonts w:cs="Arial"/>
          <w:lang w:val="en-US"/>
        </w:rPr>
      </w:pPr>
      <w:r w:rsidRPr="005D5C22">
        <w:rPr>
          <w:rFonts w:cs="Arial"/>
          <w:b/>
          <w:bCs/>
          <w:lang w:val="en-US"/>
        </w:rPr>
        <w:t>An important observation to scrutinize is the fact that "the rich" group (q9) has the lowest inflation rate as of July 2021</w:t>
      </w:r>
      <w:r w:rsidRPr="005D5C22">
        <w:rPr>
          <w:rFonts w:cs="Arial"/>
          <w:lang w:val="en-US"/>
        </w:rPr>
        <w:t xml:space="preserve">. The inflation rate of this group was 441.6% from 2003 to July 2021 and it was </w:t>
      </w:r>
      <w:r w:rsidRPr="005D5C22">
        <w:rPr>
          <w:rFonts w:cs="Arial"/>
          <w:lang w:val="en-US"/>
        </w:rPr>
        <w:lastRenderedPageBreak/>
        <w:t xml:space="preserve">the lowest in deciles (Figure 2). Specifically, why the inflation rate of this group is 20 pp lower than the inflation rate of the richest is an important </w:t>
      </w:r>
      <w:r w:rsidR="00456CC3" w:rsidRPr="008D6E9B">
        <w:rPr>
          <w:rFonts w:cs="Arial"/>
          <w:lang w:val="en-US"/>
        </w:rPr>
        <w:t>fact</w:t>
      </w:r>
      <w:r w:rsidR="00456CC3">
        <w:rPr>
          <w:rFonts w:cs="Arial"/>
          <w:lang w:val="en-US"/>
        </w:rPr>
        <w:t xml:space="preserve"> </w:t>
      </w:r>
      <w:r w:rsidRPr="005D5C22">
        <w:rPr>
          <w:rFonts w:cs="Arial"/>
          <w:lang w:val="en-US"/>
        </w:rPr>
        <w:t>to consider.</w:t>
      </w:r>
    </w:p>
    <w:p w14:paraId="5E6A78E5" w14:textId="198EDE4F" w:rsidR="008F428D" w:rsidRDefault="008F428D" w:rsidP="00A207CA">
      <w:pPr>
        <w:spacing w:after="120"/>
        <w:jc w:val="both"/>
        <w:rPr>
          <w:rFonts w:cs="Arial"/>
          <w:lang w:val="en-US"/>
        </w:rPr>
      </w:pPr>
      <w:r w:rsidRPr="008F428D">
        <w:rPr>
          <w:rFonts w:cs="Arial"/>
          <w:lang w:val="en-US"/>
        </w:rPr>
        <w:t xml:space="preserve">Analysis on the expenditure items reveals that transportation, food and housing items are the drivers of the inflation rate gap between these groups. Even though </w:t>
      </w:r>
      <w:r w:rsidR="008D6E9B">
        <w:rPr>
          <w:rFonts w:cs="Arial"/>
          <w:lang w:val="en-US"/>
        </w:rPr>
        <w:t>expenditure</w:t>
      </w:r>
      <w:r w:rsidRPr="008F428D">
        <w:rPr>
          <w:rFonts w:cs="Arial"/>
          <w:lang w:val="en-US"/>
        </w:rPr>
        <w:t xml:space="preserve"> levels of these groups are similar, the compositions of their consumption baskets are quite different. In fact, shares of food and housing items in the basket of the rich are 18.6% and 21.3%, respectively </w:t>
      </w:r>
      <w:r w:rsidR="00456CC3" w:rsidRPr="001E07EC">
        <w:rPr>
          <w:rFonts w:cs="Arial"/>
          <w:lang w:val="en-US"/>
        </w:rPr>
        <w:t>while the shares</w:t>
      </w:r>
      <w:r w:rsidR="00456CC3">
        <w:rPr>
          <w:rFonts w:cs="Arial"/>
          <w:lang w:val="en-US"/>
        </w:rPr>
        <w:t xml:space="preserve"> </w:t>
      </w:r>
      <w:r w:rsidRPr="008F428D">
        <w:rPr>
          <w:rFonts w:cs="Arial"/>
          <w:lang w:val="en-US"/>
        </w:rPr>
        <w:t xml:space="preserve">of those items </w:t>
      </w:r>
      <w:r w:rsidR="00456CC3">
        <w:rPr>
          <w:rFonts w:cs="Arial"/>
          <w:lang w:val="en-US"/>
        </w:rPr>
        <w:t>in</w:t>
      </w:r>
      <w:r w:rsidRPr="008F428D">
        <w:rPr>
          <w:rFonts w:cs="Arial"/>
          <w:lang w:val="en-US"/>
        </w:rPr>
        <w:t xml:space="preserve"> the basket of the richest are 11.8% and 14.6%, respectively (Table 2). This difference increased the inflation rate of the rich by 69.5 points more than the inflation rate of the richest (Figure 9). On the other hand, transportation weighs 18.1% in the basket of the rich </w:t>
      </w:r>
      <w:r w:rsidR="00456CC3" w:rsidRPr="001E07EC">
        <w:rPr>
          <w:rFonts w:cs="Arial"/>
          <w:lang w:val="en-US"/>
        </w:rPr>
        <w:t xml:space="preserve">while it </w:t>
      </w:r>
      <w:r w:rsidR="001E07EC">
        <w:rPr>
          <w:rFonts w:cs="Arial"/>
          <w:lang w:val="en-US"/>
        </w:rPr>
        <w:t>weighs</w:t>
      </w:r>
      <w:r w:rsidRPr="008F428D">
        <w:rPr>
          <w:rFonts w:cs="Arial"/>
          <w:lang w:val="en-US"/>
        </w:rPr>
        <w:t xml:space="preserve"> 29.2% in basket of the richest. </w:t>
      </w:r>
      <w:r w:rsidR="002915AB" w:rsidRPr="008D6E9B">
        <w:rPr>
          <w:rFonts w:cs="Arial"/>
          <w:lang w:val="en-US"/>
        </w:rPr>
        <w:t>This sizable difference</w:t>
      </w:r>
      <w:r w:rsidR="002915AB">
        <w:rPr>
          <w:rFonts w:cs="Arial"/>
          <w:color w:val="FF0000"/>
          <w:lang w:val="en-US"/>
        </w:rPr>
        <w:t xml:space="preserve"> </w:t>
      </w:r>
      <w:r w:rsidRPr="008F428D">
        <w:rPr>
          <w:rFonts w:cs="Arial"/>
          <w:lang w:val="en-US"/>
        </w:rPr>
        <w:t>reduced the inflation rate of the rich by 65.5 points. Similarly, the differences in the inflation rates of miscellaneous goods and services, education and entertainment items reduced the inflation rate of the rich by 36 points.</w:t>
      </w:r>
    </w:p>
    <w:p w14:paraId="774714FB" w14:textId="7E2799EF" w:rsidR="002F3F09" w:rsidRDefault="002118D0" w:rsidP="00585BE6">
      <w:pPr>
        <w:autoSpaceDE w:val="0"/>
        <w:autoSpaceDN w:val="0"/>
        <w:adjustRightInd w:val="0"/>
        <w:spacing w:after="60" w:line="240" w:lineRule="auto"/>
        <w:jc w:val="both"/>
        <w:rPr>
          <w:rFonts w:cs="Arial"/>
          <w:lang w:val="en-US"/>
        </w:rPr>
      </w:pPr>
      <w:r w:rsidRPr="002118D0">
        <w:rPr>
          <w:rFonts w:cs="Arial"/>
          <w:lang w:val="en-US"/>
        </w:rPr>
        <w:t>In short, the rich group spends less on transportation and luxury items than the richest. As the relative prices of these items rose, the inflation rate gap widened in favor the rich.</w:t>
      </w:r>
    </w:p>
    <w:p w14:paraId="4F7B4F5A" w14:textId="77777777" w:rsidR="002118D0" w:rsidRPr="00C00E83" w:rsidRDefault="002118D0" w:rsidP="00585BE6">
      <w:pPr>
        <w:autoSpaceDE w:val="0"/>
        <w:autoSpaceDN w:val="0"/>
        <w:adjustRightInd w:val="0"/>
        <w:spacing w:after="60" w:line="240" w:lineRule="auto"/>
        <w:jc w:val="both"/>
        <w:rPr>
          <w:rFonts w:cs="Arial"/>
          <w:b/>
          <w:lang w:val="en-US"/>
        </w:rPr>
      </w:pPr>
    </w:p>
    <w:p w14:paraId="1DBE5D1C" w14:textId="39591AE0" w:rsidR="00686411" w:rsidRPr="00686411" w:rsidRDefault="00686411" w:rsidP="00686411">
      <w:pPr>
        <w:rPr>
          <w:b/>
          <w:lang w:val="en-US"/>
        </w:rPr>
      </w:pPr>
      <w:r w:rsidRPr="00686411">
        <w:rPr>
          <w:b/>
          <w:lang w:val="en-US"/>
        </w:rPr>
        <w:t>Figure 9: Decomposition of Inflation Rate Difference* (q9-q10)</w:t>
      </w:r>
    </w:p>
    <w:p w14:paraId="2B06B4DE" w14:textId="77777777" w:rsidR="00686411" w:rsidRPr="00686411" w:rsidRDefault="00686411" w:rsidP="00686411">
      <w:pPr>
        <w:rPr>
          <w:sz w:val="18"/>
          <w:lang w:val="en-US"/>
        </w:rPr>
      </w:pPr>
      <w:r w:rsidRPr="00686411">
        <w:rPr>
          <w:noProof/>
          <w:lang w:val="en-GB" w:eastAsia="en-GB"/>
        </w:rPr>
        <w:drawing>
          <wp:inline distT="0" distB="0" distL="0" distR="0" wp14:anchorId="325055AC" wp14:editId="4EF381D9">
            <wp:extent cx="5201107" cy="2442845"/>
            <wp:effectExtent l="0" t="0" r="0" b="14605"/>
            <wp:docPr id="11" name="Chart 11">
              <a:extLst xmlns:a="http://schemas.openxmlformats.org/drawingml/2006/main">
                <a:ext uri="{FF2B5EF4-FFF2-40B4-BE49-F238E27FC236}">
                  <a16:creationId xmlns:a16="http://schemas.microsoft.com/office/drawing/2014/main" id="{00000000-0008-0000-1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557D3E" w14:textId="77777777" w:rsidR="00686411" w:rsidRPr="00686411" w:rsidRDefault="00686411" w:rsidP="00686411">
      <w:pPr>
        <w:spacing w:after="0"/>
        <w:rPr>
          <w:sz w:val="18"/>
          <w:lang w:val="en-US"/>
        </w:rPr>
      </w:pPr>
      <w:r w:rsidRPr="00686411">
        <w:rPr>
          <w:sz w:val="18"/>
          <w:lang w:val="en-US"/>
        </w:rPr>
        <w:t>Source: Turkstat, Betam</w:t>
      </w:r>
    </w:p>
    <w:p w14:paraId="320B5869" w14:textId="4DB5E34A" w:rsidR="00532DA1" w:rsidRPr="00686411" w:rsidRDefault="00686411" w:rsidP="00686411">
      <w:pPr>
        <w:spacing w:after="0"/>
        <w:jc w:val="both"/>
        <w:rPr>
          <w:rFonts w:cs="Arial"/>
          <w:sz w:val="18"/>
          <w:szCs w:val="18"/>
          <w:lang w:val="en-US"/>
        </w:rPr>
      </w:pPr>
      <w:r w:rsidRPr="00686411">
        <w:rPr>
          <w:sz w:val="18"/>
          <w:lang w:val="en-US"/>
        </w:rPr>
        <w:t xml:space="preserve">* </w:t>
      </w:r>
      <w:r w:rsidRPr="00D92C06">
        <w:rPr>
          <w:sz w:val="18"/>
          <w:lang w:val="en-US"/>
        </w:rPr>
        <w:t xml:space="preserve">In the decomposition of the total inflation rate difference, red bars show the corresponding expenditure groups are against the </w:t>
      </w:r>
      <w:r>
        <w:rPr>
          <w:sz w:val="18"/>
          <w:lang w:val="en-US"/>
        </w:rPr>
        <w:t>ninth</w:t>
      </w:r>
      <w:r w:rsidRPr="00D92C06">
        <w:rPr>
          <w:sz w:val="18"/>
          <w:lang w:val="en-US"/>
        </w:rPr>
        <w:t xml:space="preserve"> decile whereas blue bars show the corresponding expenditure groups are against the </w:t>
      </w:r>
      <w:r>
        <w:rPr>
          <w:sz w:val="18"/>
          <w:lang w:val="en-US"/>
        </w:rPr>
        <w:t>tenth</w:t>
      </w:r>
      <w:r w:rsidRPr="00D92C06">
        <w:rPr>
          <w:sz w:val="18"/>
          <w:lang w:val="en-US"/>
        </w:rPr>
        <w:t xml:space="preserve"> decile.</w:t>
      </w:r>
    </w:p>
    <w:p w14:paraId="0D10E650" w14:textId="0D267E81" w:rsidR="00046447" w:rsidRPr="00C00E83" w:rsidRDefault="00046447" w:rsidP="00880153">
      <w:pPr>
        <w:spacing w:after="0"/>
        <w:jc w:val="both"/>
        <w:rPr>
          <w:rFonts w:cs="Arial"/>
          <w:sz w:val="18"/>
          <w:szCs w:val="18"/>
          <w:lang w:val="en-US"/>
        </w:rPr>
      </w:pPr>
    </w:p>
    <w:p w14:paraId="29A11726" w14:textId="60E500AA" w:rsidR="006B4C36" w:rsidRDefault="00E344A0" w:rsidP="00046447">
      <w:pPr>
        <w:spacing w:after="0"/>
        <w:jc w:val="both"/>
        <w:rPr>
          <w:rFonts w:cs="Arial"/>
          <w:bCs/>
          <w:lang w:val="en-US"/>
        </w:rPr>
      </w:pPr>
      <w:r w:rsidRPr="00E344A0">
        <w:rPr>
          <w:rFonts w:cs="Arial"/>
          <w:b/>
          <w:lang w:val="en-US"/>
        </w:rPr>
        <w:t xml:space="preserve">The inflation gap which is in favor of </w:t>
      </w:r>
      <w:r>
        <w:rPr>
          <w:rFonts w:cs="Arial"/>
          <w:b/>
          <w:lang w:val="en-US"/>
        </w:rPr>
        <w:t>“</w:t>
      </w:r>
      <w:r w:rsidRPr="00E344A0">
        <w:rPr>
          <w:rFonts w:cs="Arial"/>
          <w:b/>
          <w:lang w:val="en-US"/>
        </w:rPr>
        <w:t>the rich</w:t>
      </w:r>
      <w:r>
        <w:rPr>
          <w:rFonts w:cs="Arial"/>
          <w:b/>
          <w:lang w:val="en-US"/>
        </w:rPr>
        <w:t>”</w:t>
      </w:r>
      <w:r w:rsidRPr="00E344A0">
        <w:rPr>
          <w:rFonts w:cs="Arial"/>
          <w:b/>
          <w:lang w:val="en-US"/>
        </w:rPr>
        <w:t xml:space="preserve"> rather than </w:t>
      </w:r>
      <w:r>
        <w:rPr>
          <w:rFonts w:cs="Arial"/>
          <w:b/>
          <w:lang w:val="en-US"/>
        </w:rPr>
        <w:t>“</w:t>
      </w:r>
      <w:r w:rsidRPr="00E344A0">
        <w:rPr>
          <w:rFonts w:cs="Arial"/>
          <w:b/>
          <w:lang w:val="en-US"/>
        </w:rPr>
        <w:t>the richest</w:t>
      </w:r>
      <w:r>
        <w:rPr>
          <w:rFonts w:cs="Arial"/>
          <w:b/>
          <w:lang w:val="en-US"/>
        </w:rPr>
        <w:t>”</w:t>
      </w:r>
      <w:r w:rsidRPr="00E344A0">
        <w:rPr>
          <w:rFonts w:cs="Arial"/>
          <w:b/>
          <w:lang w:val="en-US"/>
        </w:rPr>
        <w:t xml:space="preserve"> is a recent </w:t>
      </w:r>
      <w:r w:rsidR="002434CD" w:rsidRPr="008D6E9B">
        <w:rPr>
          <w:rFonts w:cs="Arial"/>
          <w:b/>
          <w:lang w:val="en-US"/>
        </w:rPr>
        <w:t>phenomenon</w:t>
      </w:r>
      <w:r w:rsidRPr="00E344A0">
        <w:rPr>
          <w:rFonts w:cs="Arial"/>
          <w:b/>
          <w:lang w:val="en-US"/>
        </w:rPr>
        <w:t xml:space="preserve">. Figure 10 depicts, before the global crisis (2008-2009), the gap was close to 0, and it turned out to be against the rich as the transportation price remained </w:t>
      </w:r>
      <w:r w:rsidR="002434CD" w:rsidRPr="00B54653">
        <w:rPr>
          <w:rFonts w:cs="Arial"/>
          <w:b/>
          <w:lang w:val="en-US"/>
        </w:rPr>
        <w:t>loose</w:t>
      </w:r>
      <w:r w:rsidR="002434CD">
        <w:rPr>
          <w:rFonts w:cs="Arial"/>
          <w:b/>
          <w:lang w:val="en-US"/>
        </w:rPr>
        <w:t xml:space="preserve"> </w:t>
      </w:r>
      <w:r w:rsidRPr="00E344A0">
        <w:rPr>
          <w:rFonts w:cs="Arial"/>
          <w:b/>
          <w:lang w:val="en-US"/>
        </w:rPr>
        <w:t xml:space="preserve">during the crisis. </w:t>
      </w:r>
      <w:r w:rsidRPr="00E344A0">
        <w:rPr>
          <w:rFonts w:cs="Arial"/>
          <w:bCs/>
          <w:lang w:val="en-US"/>
        </w:rPr>
        <w:t xml:space="preserve">Even though the inflation rate of the richest </w:t>
      </w:r>
      <w:r w:rsidR="00893B47" w:rsidRPr="00E344A0">
        <w:rPr>
          <w:rFonts w:cs="Arial"/>
          <w:bCs/>
          <w:lang w:val="en-US"/>
        </w:rPr>
        <w:t>remained</w:t>
      </w:r>
      <w:r w:rsidRPr="00E344A0">
        <w:rPr>
          <w:rFonts w:cs="Arial"/>
          <w:bCs/>
          <w:lang w:val="en-US"/>
        </w:rPr>
        <w:t xml:space="preserve"> high in the following years, the change in the gap was limited. The gap increased as the price of the items, such as </w:t>
      </w:r>
      <w:r w:rsidR="00893B47" w:rsidRPr="00E344A0">
        <w:rPr>
          <w:rFonts w:cs="Arial"/>
          <w:bCs/>
          <w:lang w:val="en-US"/>
        </w:rPr>
        <w:t>miscellaneous</w:t>
      </w:r>
      <w:r w:rsidRPr="00E344A0">
        <w:rPr>
          <w:rFonts w:cs="Arial"/>
          <w:bCs/>
          <w:lang w:val="en-US"/>
        </w:rPr>
        <w:t xml:space="preserve"> goods and services but primarily transportation, surged because of rising oil </w:t>
      </w:r>
      <w:r w:rsidR="00893B47">
        <w:rPr>
          <w:rFonts w:cs="Arial"/>
          <w:bCs/>
          <w:lang w:val="en-US"/>
        </w:rPr>
        <w:t>p</w:t>
      </w:r>
      <w:r w:rsidRPr="00E344A0">
        <w:rPr>
          <w:rFonts w:cs="Arial"/>
          <w:bCs/>
          <w:lang w:val="en-US"/>
        </w:rPr>
        <w:t>rice along with the depreciation of Turkish Lira. The gap reached 19 points in July 2021.</w:t>
      </w:r>
    </w:p>
    <w:p w14:paraId="0C91A5AE" w14:textId="6EB808A6" w:rsidR="00E77FD6" w:rsidRDefault="00E77FD6" w:rsidP="00046447">
      <w:pPr>
        <w:spacing w:after="0"/>
        <w:jc w:val="both"/>
        <w:rPr>
          <w:rFonts w:cs="Arial"/>
          <w:lang w:val="en-US"/>
        </w:rPr>
      </w:pPr>
    </w:p>
    <w:p w14:paraId="2530AF55" w14:textId="57C3206D" w:rsidR="00FE6BED" w:rsidRDefault="00FE6BED" w:rsidP="00046447">
      <w:pPr>
        <w:spacing w:after="0"/>
        <w:jc w:val="both"/>
        <w:rPr>
          <w:rFonts w:cs="Arial"/>
          <w:lang w:val="en-US"/>
        </w:rPr>
      </w:pPr>
    </w:p>
    <w:p w14:paraId="73BFD98D" w14:textId="77777777" w:rsidR="00FE6BED" w:rsidRPr="00C00E83" w:rsidRDefault="00FE6BED" w:rsidP="00046447">
      <w:pPr>
        <w:spacing w:after="0"/>
        <w:jc w:val="both"/>
        <w:rPr>
          <w:rFonts w:cs="Arial"/>
          <w:lang w:val="en-US"/>
        </w:rPr>
      </w:pPr>
    </w:p>
    <w:p w14:paraId="3C473BF6" w14:textId="66B0BE9C" w:rsidR="002F293C" w:rsidRPr="00BD554C" w:rsidRDefault="002F293C" w:rsidP="002F293C">
      <w:pPr>
        <w:pStyle w:val="Caption"/>
        <w:rPr>
          <w:rFonts w:asciiTheme="minorHAnsi" w:hAnsiTheme="minorHAnsi" w:cs="Arial"/>
          <w:sz w:val="22"/>
          <w:szCs w:val="22"/>
          <w:lang w:val="en-US"/>
        </w:rPr>
      </w:pPr>
      <w:r w:rsidRPr="007B647A">
        <w:rPr>
          <w:rFonts w:asciiTheme="minorHAnsi" w:hAnsiTheme="minorHAnsi" w:cs="Arial"/>
          <w:sz w:val="22"/>
          <w:szCs w:val="22"/>
          <w:lang w:val="en-US"/>
        </w:rPr>
        <w:lastRenderedPageBreak/>
        <w:t xml:space="preserve">Figure </w:t>
      </w:r>
      <w:r>
        <w:rPr>
          <w:rFonts w:asciiTheme="minorHAnsi" w:hAnsiTheme="minorHAnsi" w:cs="Arial"/>
          <w:sz w:val="22"/>
          <w:szCs w:val="22"/>
          <w:lang w:val="en-US"/>
        </w:rPr>
        <w:t>10</w:t>
      </w:r>
      <w:r w:rsidRPr="007B647A">
        <w:rPr>
          <w:rFonts w:asciiTheme="minorHAnsi" w:hAnsiTheme="minorHAnsi" w:cs="Arial"/>
          <w:sz w:val="22"/>
          <w:szCs w:val="22"/>
          <w:lang w:val="en-US"/>
        </w:rPr>
        <w:t>:</w:t>
      </w:r>
      <w:r>
        <w:rPr>
          <w:rFonts w:asciiTheme="minorHAnsi" w:hAnsiTheme="minorHAnsi" w:cs="Arial"/>
          <w:sz w:val="22"/>
          <w:szCs w:val="22"/>
          <w:lang w:val="en-US"/>
        </w:rPr>
        <w:t xml:space="preserve"> Monthly i</w:t>
      </w:r>
      <w:r w:rsidRPr="00BD554C">
        <w:rPr>
          <w:rFonts w:asciiTheme="minorHAnsi" w:hAnsiTheme="minorHAnsi" w:cs="Arial"/>
          <w:sz w:val="22"/>
          <w:szCs w:val="22"/>
          <w:lang w:val="en-US"/>
        </w:rPr>
        <w:t>n</w:t>
      </w:r>
      <w:r>
        <w:rPr>
          <w:rFonts w:asciiTheme="minorHAnsi" w:hAnsiTheme="minorHAnsi" w:cs="Arial"/>
          <w:sz w:val="22"/>
          <w:szCs w:val="22"/>
          <w:lang w:val="en-US"/>
        </w:rPr>
        <w:t>flation</w:t>
      </w:r>
      <w:r w:rsidR="00E77FD6">
        <w:rPr>
          <w:rFonts w:asciiTheme="minorHAnsi" w:hAnsiTheme="minorHAnsi" w:cs="Arial"/>
          <w:sz w:val="22"/>
          <w:szCs w:val="22"/>
          <w:lang w:val="en-US"/>
        </w:rPr>
        <w:t xml:space="preserve"> rate </w:t>
      </w:r>
      <w:r>
        <w:rPr>
          <w:rFonts w:asciiTheme="minorHAnsi" w:hAnsiTheme="minorHAnsi" w:cs="Arial"/>
          <w:sz w:val="22"/>
          <w:szCs w:val="22"/>
          <w:lang w:val="en-US"/>
        </w:rPr>
        <w:t xml:space="preserve">difference between the tenth </w:t>
      </w:r>
      <w:r w:rsidR="00E77FD6">
        <w:rPr>
          <w:rFonts w:asciiTheme="minorHAnsi" w:hAnsiTheme="minorHAnsi" w:cs="Arial"/>
          <w:sz w:val="22"/>
          <w:szCs w:val="22"/>
          <w:lang w:val="en-US"/>
        </w:rPr>
        <w:t xml:space="preserve">decile </w:t>
      </w:r>
      <w:r w:rsidRPr="00BD554C">
        <w:rPr>
          <w:rFonts w:asciiTheme="minorHAnsi" w:hAnsiTheme="minorHAnsi" w:cs="Arial"/>
          <w:sz w:val="22"/>
          <w:szCs w:val="22"/>
          <w:lang w:val="en-US"/>
        </w:rPr>
        <w:t xml:space="preserve">and the </w:t>
      </w:r>
      <w:r>
        <w:rPr>
          <w:rFonts w:asciiTheme="minorHAnsi" w:hAnsiTheme="minorHAnsi" w:cs="Arial"/>
          <w:sz w:val="22"/>
          <w:szCs w:val="22"/>
          <w:lang w:val="en-US"/>
        </w:rPr>
        <w:t xml:space="preserve">ninth </w:t>
      </w:r>
      <w:r w:rsidR="00E77FD6">
        <w:rPr>
          <w:rFonts w:asciiTheme="minorHAnsi" w:hAnsiTheme="minorHAnsi" w:cs="Arial"/>
          <w:sz w:val="22"/>
          <w:szCs w:val="22"/>
          <w:lang w:val="en-US"/>
        </w:rPr>
        <w:t xml:space="preserve">decile </w:t>
      </w:r>
      <w:r>
        <w:rPr>
          <w:rFonts w:asciiTheme="minorHAnsi" w:hAnsiTheme="minorHAnsi" w:cs="Arial"/>
          <w:sz w:val="22"/>
          <w:szCs w:val="22"/>
          <w:lang w:val="en-US"/>
        </w:rPr>
        <w:t>(2004 January-2021 July)</w:t>
      </w:r>
    </w:p>
    <w:p w14:paraId="13D4314C" w14:textId="77777777" w:rsidR="002F293C" w:rsidRDefault="002F293C" w:rsidP="002F293C">
      <w:pPr>
        <w:rPr>
          <w:sz w:val="18"/>
        </w:rPr>
      </w:pPr>
      <w:r>
        <w:rPr>
          <w:noProof/>
          <w:lang w:val="en-GB" w:eastAsia="en-GB"/>
        </w:rPr>
        <w:drawing>
          <wp:inline distT="0" distB="0" distL="0" distR="0" wp14:anchorId="52DBE54E" wp14:editId="58F8C0A5">
            <wp:extent cx="5544922" cy="2713940"/>
            <wp:effectExtent l="0" t="0" r="17780" b="10795"/>
            <wp:docPr id="12" name="Chart 12">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73FDC9" w14:textId="77777777" w:rsidR="002F293C" w:rsidRDefault="002F293C" w:rsidP="002F293C">
      <w:pPr>
        <w:spacing w:after="0"/>
        <w:rPr>
          <w:sz w:val="18"/>
        </w:rPr>
      </w:pPr>
      <w:r w:rsidRPr="003C6A73">
        <w:rPr>
          <w:sz w:val="18"/>
        </w:rPr>
        <w:t>Source: Turkstat, Betam</w:t>
      </w:r>
    </w:p>
    <w:p w14:paraId="56B42311" w14:textId="6FECCC3B" w:rsidR="003A7BA9" w:rsidRPr="00C00E83" w:rsidRDefault="00A75B69" w:rsidP="00222441">
      <w:pPr>
        <w:spacing w:before="360"/>
        <w:jc w:val="both"/>
        <w:rPr>
          <w:rFonts w:cs="Arial"/>
          <w:b/>
          <w:lang w:val="en-US"/>
        </w:rPr>
      </w:pPr>
      <w:r>
        <w:rPr>
          <w:rFonts w:cs="Arial"/>
          <w:b/>
          <w:lang w:val="en-US"/>
        </w:rPr>
        <w:t>Conclusion and a notice</w:t>
      </w:r>
    </w:p>
    <w:p w14:paraId="2545E9BD" w14:textId="4727CBB3" w:rsidR="00151AC7" w:rsidRDefault="00151AC7" w:rsidP="00222441">
      <w:pPr>
        <w:spacing w:before="360"/>
        <w:jc w:val="both"/>
        <w:rPr>
          <w:rFonts w:cs="Arial"/>
          <w:lang w:val="en-US"/>
        </w:rPr>
      </w:pPr>
      <w:r w:rsidRPr="00151AC7">
        <w:rPr>
          <w:rFonts w:cs="Arial"/>
          <w:b/>
          <w:bCs/>
          <w:lang w:val="en-US"/>
        </w:rPr>
        <w:t xml:space="preserve">The most important finding of this research is that the data does not verify the </w:t>
      </w:r>
      <w:r w:rsidR="00376927">
        <w:rPr>
          <w:rFonts w:cs="Arial"/>
          <w:b/>
          <w:bCs/>
          <w:lang w:val="en-US"/>
        </w:rPr>
        <w:t>conventional wisdom</w:t>
      </w:r>
      <w:r w:rsidRPr="00151AC7">
        <w:rPr>
          <w:rFonts w:cs="Arial"/>
          <w:b/>
          <w:bCs/>
          <w:lang w:val="en-US"/>
        </w:rPr>
        <w:t xml:space="preserve"> which states that the inflation rate</w:t>
      </w:r>
      <w:r w:rsidR="00750681">
        <w:rPr>
          <w:rFonts w:cs="Arial"/>
          <w:b/>
          <w:bCs/>
          <w:lang w:val="en-US"/>
        </w:rPr>
        <w:t xml:space="preserve"> of the poor</w:t>
      </w:r>
      <w:r w:rsidRPr="00151AC7">
        <w:rPr>
          <w:rFonts w:cs="Arial"/>
          <w:b/>
          <w:bCs/>
          <w:lang w:val="en-US"/>
        </w:rPr>
        <w:t xml:space="preserve"> is systematically higher than Turkstat announces, and </w:t>
      </w:r>
      <w:r w:rsidR="00E41635">
        <w:rPr>
          <w:rFonts w:cs="Arial"/>
          <w:b/>
          <w:bCs/>
          <w:lang w:val="en-US"/>
        </w:rPr>
        <w:t>the inflation rate</w:t>
      </w:r>
      <w:r w:rsidRPr="00151AC7">
        <w:rPr>
          <w:rFonts w:cs="Arial"/>
          <w:b/>
          <w:bCs/>
          <w:lang w:val="en-US"/>
        </w:rPr>
        <w:t xml:space="preserve"> increases as </w:t>
      </w:r>
      <w:r w:rsidR="008D6E9B" w:rsidRPr="008D6E9B">
        <w:rPr>
          <w:rFonts w:cs="Arial"/>
          <w:b/>
          <w:bCs/>
          <w:lang w:val="en-US"/>
        </w:rPr>
        <w:t>expenditure</w:t>
      </w:r>
      <w:r w:rsidR="008D6E9B" w:rsidRPr="00151AC7">
        <w:rPr>
          <w:rFonts w:cs="Arial"/>
          <w:b/>
          <w:bCs/>
          <w:lang w:val="en-US"/>
        </w:rPr>
        <w:t xml:space="preserve"> </w:t>
      </w:r>
      <w:r w:rsidRPr="00151AC7">
        <w:rPr>
          <w:rFonts w:cs="Arial"/>
          <w:b/>
          <w:bCs/>
          <w:lang w:val="en-US"/>
        </w:rPr>
        <w:t>level lowers</w:t>
      </w:r>
      <w:r w:rsidRPr="00151AC7">
        <w:rPr>
          <w:rFonts w:cs="Arial"/>
          <w:lang w:val="en-US"/>
        </w:rPr>
        <w:t>. The analysis in deciles show</w:t>
      </w:r>
      <w:r w:rsidR="00E67E53">
        <w:rPr>
          <w:rFonts w:cs="Arial"/>
          <w:lang w:val="en-US"/>
        </w:rPr>
        <w:t>s</w:t>
      </w:r>
      <w:r w:rsidRPr="00151AC7">
        <w:rPr>
          <w:rFonts w:cs="Arial"/>
          <w:lang w:val="en-US"/>
        </w:rPr>
        <w:t xml:space="preserve"> there are unexpected and even surprising findings.</w:t>
      </w:r>
    </w:p>
    <w:p w14:paraId="3392E9A3" w14:textId="128ED1F9" w:rsidR="00786879" w:rsidRPr="00C00E83" w:rsidRDefault="00151AC7" w:rsidP="00222441">
      <w:pPr>
        <w:spacing w:before="360"/>
        <w:jc w:val="both"/>
        <w:rPr>
          <w:rFonts w:cs="Arial"/>
          <w:lang w:val="en-US"/>
        </w:rPr>
      </w:pPr>
      <w:r w:rsidRPr="00151AC7">
        <w:rPr>
          <w:rFonts w:cs="Arial"/>
          <w:lang w:val="en-US"/>
        </w:rPr>
        <w:t xml:space="preserve">We </w:t>
      </w:r>
      <w:r w:rsidR="008F1DD8" w:rsidRPr="008D6E9B">
        <w:rPr>
          <w:rFonts w:cs="Arial"/>
          <w:lang w:val="en-US"/>
        </w:rPr>
        <w:t>may</w:t>
      </w:r>
      <w:r w:rsidR="008F1DD8">
        <w:rPr>
          <w:rFonts w:cs="Arial"/>
          <w:lang w:val="en-US"/>
        </w:rPr>
        <w:t xml:space="preserve"> </w:t>
      </w:r>
      <w:r w:rsidRPr="00151AC7">
        <w:rPr>
          <w:rFonts w:cs="Arial"/>
          <w:lang w:val="en-US"/>
        </w:rPr>
        <w:t>summarize these findings as follows:</w:t>
      </w:r>
    </w:p>
    <w:p w14:paraId="62B2ABDE" w14:textId="353A6FD9" w:rsidR="00786879" w:rsidRPr="00C00E83" w:rsidRDefault="00B76665" w:rsidP="00B76665">
      <w:pPr>
        <w:pStyle w:val="ListParagraph"/>
        <w:numPr>
          <w:ilvl w:val="0"/>
          <w:numId w:val="5"/>
        </w:numPr>
        <w:spacing w:before="360"/>
        <w:jc w:val="both"/>
        <w:rPr>
          <w:rFonts w:cs="Arial"/>
          <w:lang w:val="en-US"/>
        </w:rPr>
      </w:pPr>
      <w:r w:rsidRPr="00B76665">
        <w:rPr>
          <w:rFonts w:cs="Arial"/>
          <w:lang w:val="en-US"/>
        </w:rPr>
        <w:t xml:space="preserve">The great difference among the compositions of the consumption baskets as well as the discrepancy in the price increases of the items, which form the baskets, over time led to differentiation of the inflation rates of each </w:t>
      </w:r>
      <w:r w:rsidR="008D6E9B">
        <w:rPr>
          <w:rFonts w:cs="Arial"/>
          <w:lang w:val="en-US"/>
        </w:rPr>
        <w:t>expenditure</w:t>
      </w:r>
      <w:r w:rsidR="008D6E9B" w:rsidRPr="00B76665">
        <w:rPr>
          <w:rFonts w:cs="Arial"/>
          <w:lang w:val="en-US"/>
        </w:rPr>
        <w:t xml:space="preserve"> </w:t>
      </w:r>
      <w:r w:rsidRPr="00B76665">
        <w:rPr>
          <w:rFonts w:cs="Arial"/>
          <w:lang w:val="en-US"/>
        </w:rPr>
        <w:t xml:space="preserve">group. This divergence is neither systematically in the same direction nor is systematically </w:t>
      </w:r>
      <w:r w:rsidR="00A476C9" w:rsidRPr="00B76665">
        <w:rPr>
          <w:rFonts w:cs="Arial"/>
          <w:lang w:val="en-US"/>
        </w:rPr>
        <w:t>against</w:t>
      </w:r>
      <w:r w:rsidRPr="00B76665">
        <w:rPr>
          <w:rFonts w:cs="Arial"/>
          <w:lang w:val="en-US"/>
        </w:rPr>
        <w:t xml:space="preserve"> the poor.</w:t>
      </w:r>
    </w:p>
    <w:p w14:paraId="2D6F933C" w14:textId="1924C490" w:rsidR="00964B12" w:rsidRPr="00C00E83" w:rsidRDefault="00653A28" w:rsidP="00653A28">
      <w:pPr>
        <w:pStyle w:val="ListParagraph"/>
        <w:numPr>
          <w:ilvl w:val="0"/>
          <w:numId w:val="5"/>
        </w:numPr>
        <w:spacing w:before="360"/>
        <w:jc w:val="both"/>
        <w:rPr>
          <w:rFonts w:cs="Arial"/>
          <w:lang w:val="en-US"/>
        </w:rPr>
      </w:pPr>
      <w:r w:rsidRPr="00653A28">
        <w:rPr>
          <w:rFonts w:cs="Arial"/>
          <w:lang w:val="en-US"/>
        </w:rPr>
        <w:t>Using 2003 as the base year, the penultimate richest group (q9) faced the lowest inflation rate as of July 2021. The poorest group (q1) experienced the second-lowest inflation rate.</w:t>
      </w:r>
    </w:p>
    <w:p w14:paraId="3333DE71" w14:textId="7EF7A7D4" w:rsidR="00964B12" w:rsidRPr="00C00E83" w:rsidRDefault="00653A28" w:rsidP="00653A28">
      <w:pPr>
        <w:pStyle w:val="ListParagraph"/>
        <w:numPr>
          <w:ilvl w:val="0"/>
          <w:numId w:val="5"/>
        </w:numPr>
        <w:spacing w:before="360"/>
        <w:jc w:val="both"/>
        <w:rPr>
          <w:rFonts w:cs="Arial"/>
          <w:lang w:val="en-US"/>
        </w:rPr>
      </w:pPr>
      <w:r w:rsidRPr="00653A28">
        <w:rPr>
          <w:rFonts w:cs="Arial"/>
          <w:lang w:val="en-US"/>
        </w:rPr>
        <w:t xml:space="preserve">The second lowest </w:t>
      </w:r>
      <w:r w:rsidR="0063031B">
        <w:rPr>
          <w:rFonts w:cs="Arial"/>
          <w:lang w:val="en-US"/>
        </w:rPr>
        <w:t>expenditure</w:t>
      </w:r>
      <w:r w:rsidR="0063031B" w:rsidRPr="00653A28">
        <w:rPr>
          <w:rFonts w:cs="Arial"/>
          <w:lang w:val="en-US"/>
        </w:rPr>
        <w:t xml:space="preserve"> </w:t>
      </w:r>
      <w:r w:rsidRPr="00653A28">
        <w:rPr>
          <w:rFonts w:cs="Arial"/>
          <w:lang w:val="en-US"/>
        </w:rPr>
        <w:t xml:space="preserve">group (q2) confronted with the highest inflation rate as of July 2021. The groups q3, q4, and </w:t>
      </w:r>
      <w:r w:rsidR="008F1DD8">
        <w:rPr>
          <w:rFonts w:cs="Arial"/>
          <w:lang w:val="en-US"/>
        </w:rPr>
        <w:t>q</w:t>
      </w:r>
      <w:r w:rsidRPr="00653A28">
        <w:rPr>
          <w:rFonts w:cs="Arial"/>
          <w:lang w:val="en-US"/>
        </w:rPr>
        <w:t xml:space="preserve">5, i.e., below-middle </w:t>
      </w:r>
      <w:r w:rsidR="00D56EBC">
        <w:rPr>
          <w:rFonts w:cs="Arial"/>
          <w:lang w:val="en-US"/>
        </w:rPr>
        <w:t>expenditure</w:t>
      </w:r>
      <w:r w:rsidR="00D56EBC" w:rsidRPr="00653A28">
        <w:rPr>
          <w:rFonts w:cs="Arial"/>
          <w:lang w:val="en-US"/>
        </w:rPr>
        <w:t xml:space="preserve"> </w:t>
      </w:r>
      <w:r w:rsidRPr="00653A28">
        <w:rPr>
          <w:rFonts w:cs="Arial"/>
          <w:lang w:val="en-US"/>
        </w:rPr>
        <w:t xml:space="preserve">groups, exposed to relatively higher inflation rates. This </w:t>
      </w:r>
      <w:r w:rsidR="008F1DD8" w:rsidRPr="00D56EBC">
        <w:rPr>
          <w:rFonts w:cs="Arial"/>
          <w:lang w:val="en-US"/>
        </w:rPr>
        <w:t>fact</w:t>
      </w:r>
      <w:r w:rsidRPr="00653A28">
        <w:rPr>
          <w:rFonts w:cs="Arial"/>
          <w:lang w:val="en-US"/>
        </w:rPr>
        <w:t xml:space="preserve"> is in line with the conventional wisdom.</w:t>
      </w:r>
    </w:p>
    <w:p w14:paraId="0CFEDA2E" w14:textId="637B0609" w:rsidR="00844E6A" w:rsidRPr="00B54653" w:rsidRDefault="00653A28" w:rsidP="00786879">
      <w:pPr>
        <w:pStyle w:val="ListParagraph"/>
        <w:numPr>
          <w:ilvl w:val="0"/>
          <w:numId w:val="5"/>
        </w:numPr>
        <w:spacing w:before="360"/>
        <w:jc w:val="both"/>
        <w:rPr>
          <w:rFonts w:cs="Arial"/>
          <w:lang w:val="en-US"/>
        </w:rPr>
      </w:pPr>
      <w:r w:rsidRPr="00B54653">
        <w:rPr>
          <w:rFonts w:cs="Arial"/>
          <w:lang w:val="en-US"/>
        </w:rPr>
        <w:t xml:space="preserve">The highest </w:t>
      </w:r>
      <w:r w:rsidR="0063031B" w:rsidRPr="00B54653">
        <w:rPr>
          <w:rFonts w:cs="Arial"/>
          <w:lang w:val="en-US"/>
        </w:rPr>
        <w:t xml:space="preserve">expenditure </w:t>
      </w:r>
      <w:r w:rsidRPr="00B54653">
        <w:rPr>
          <w:rFonts w:cs="Arial"/>
          <w:lang w:val="en-US"/>
        </w:rPr>
        <w:t xml:space="preserve">group (q10) exposed not to the lowest </w:t>
      </w:r>
      <w:r w:rsidR="008F1DD8" w:rsidRPr="00B54653">
        <w:rPr>
          <w:rFonts w:cs="Arial"/>
          <w:lang w:val="en-US"/>
        </w:rPr>
        <w:t xml:space="preserve">as might be expected </w:t>
      </w:r>
      <w:r w:rsidRPr="00B54653">
        <w:rPr>
          <w:rFonts w:cs="Arial"/>
          <w:lang w:val="en-US"/>
        </w:rPr>
        <w:t>but to the third-lowest inflation rate.</w:t>
      </w:r>
    </w:p>
    <w:p w14:paraId="29377FCC" w14:textId="3556F03C" w:rsidR="00CC710D" w:rsidRPr="008F1DD8" w:rsidRDefault="003B1D4E" w:rsidP="00D56345">
      <w:pPr>
        <w:jc w:val="both"/>
        <w:rPr>
          <w:rFonts w:ascii="Calibri" w:eastAsia="Times New Roman" w:hAnsi="Calibri" w:cs="Calibri"/>
          <w:iCs/>
          <w:color w:val="FF0000"/>
          <w:szCs w:val="20"/>
          <w:lang w:val="en-US" w:eastAsia="en-GB"/>
        </w:rPr>
      </w:pPr>
      <w:r w:rsidRPr="003B1D4E">
        <w:rPr>
          <w:rFonts w:ascii="Calibri" w:eastAsia="Times New Roman" w:hAnsi="Calibri" w:cs="Calibri"/>
          <w:b/>
          <w:iCs/>
          <w:color w:val="000000"/>
          <w:szCs w:val="20"/>
          <w:lang w:val="en-US" w:eastAsia="en-GB"/>
        </w:rPr>
        <w:t xml:space="preserve">As for the notice... </w:t>
      </w:r>
      <w:r w:rsidRPr="003B1D4E">
        <w:rPr>
          <w:rFonts w:ascii="Calibri" w:eastAsia="Times New Roman" w:hAnsi="Calibri" w:cs="Calibri"/>
          <w:bCs/>
          <w:iCs/>
          <w:color w:val="000000"/>
          <w:szCs w:val="20"/>
          <w:lang w:val="en-US" w:eastAsia="en-GB"/>
        </w:rPr>
        <w:t xml:space="preserve">In the inflation analysis we used the most up-to-date micro data available, which is the 2019 </w:t>
      </w:r>
      <w:r w:rsidR="004C697A">
        <w:rPr>
          <w:rFonts w:ascii="Calibri" w:eastAsia="Times New Roman" w:hAnsi="Calibri" w:cs="Calibri"/>
          <w:bCs/>
          <w:iCs/>
          <w:color w:val="000000"/>
          <w:szCs w:val="20"/>
          <w:lang w:val="en-US" w:eastAsia="en-GB"/>
        </w:rPr>
        <w:t>HBS</w:t>
      </w:r>
      <w:r w:rsidRPr="003B1D4E">
        <w:rPr>
          <w:rFonts w:ascii="Calibri" w:eastAsia="Times New Roman" w:hAnsi="Calibri" w:cs="Calibri"/>
          <w:bCs/>
          <w:iCs/>
          <w:color w:val="000000"/>
          <w:szCs w:val="20"/>
          <w:lang w:val="en-US" w:eastAsia="en-GB"/>
        </w:rPr>
        <w:t xml:space="preserve">, and we </w:t>
      </w:r>
      <w:r w:rsidR="005A03EB">
        <w:rPr>
          <w:rFonts w:ascii="Calibri" w:eastAsia="Times New Roman" w:hAnsi="Calibri" w:cs="Calibri"/>
          <w:bCs/>
          <w:iCs/>
          <w:color w:val="000000"/>
          <w:szCs w:val="20"/>
          <w:lang w:val="en-US" w:eastAsia="en-GB"/>
        </w:rPr>
        <w:t>had to</w:t>
      </w:r>
      <w:r w:rsidRPr="003B1D4E">
        <w:rPr>
          <w:rFonts w:ascii="Calibri" w:eastAsia="Times New Roman" w:hAnsi="Calibri" w:cs="Calibri"/>
          <w:bCs/>
          <w:iCs/>
          <w:color w:val="000000"/>
          <w:szCs w:val="20"/>
          <w:lang w:val="en-US" w:eastAsia="en-GB"/>
        </w:rPr>
        <w:t xml:space="preserve"> use the 2019 values as the consumption weights in 2020 and 2021. However, it is evident from the changes in the representative consumption basket which Turkstat announces that pandemics shock significantly altered the composition of the consumption basket. In 2020, it is a fact that the precautionary savings increased </w:t>
      </w:r>
      <w:r w:rsidR="004C697A" w:rsidRPr="003B1D4E">
        <w:rPr>
          <w:rFonts w:ascii="Calibri" w:eastAsia="Times New Roman" w:hAnsi="Calibri" w:cs="Calibri"/>
          <w:bCs/>
          <w:iCs/>
          <w:color w:val="000000"/>
          <w:szCs w:val="20"/>
          <w:lang w:val="en-US" w:eastAsia="en-GB"/>
        </w:rPr>
        <w:t>because of</w:t>
      </w:r>
      <w:r w:rsidRPr="003B1D4E">
        <w:rPr>
          <w:rFonts w:ascii="Calibri" w:eastAsia="Times New Roman" w:hAnsi="Calibri" w:cs="Calibri"/>
          <w:bCs/>
          <w:iCs/>
          <w:color w:val="000000"/>
          <w:szCs w:val="20"/>
          <w:lang w:val="en-US" w:eastAsia="en-GB"/>
        </w:rPr>
        <w:t xml:space="preserve"> the cuts in </w:t>
      </w:r>
      <w:r w:rsidR="008F1DD8" w:rsidRPr="00A1555F">
        <w:rPr>
          <w:rFonts w:ascii="Calibri" w:eastAsia="Times New Roman" w:hAnsi="Calibri" w:cs="Calibri"/>
          <w:bCs/>
          <w:iCs/>
          <w:color w:val="000000"/>
          <w:szCs w:val="20"/>
          <w:lang w:val="en-US" w:eastAsia="en-GB"/>
        </w:rPr>
        <w:t>non</w:t>
      </w:r>
      <w:r w:rsidR="00A1555F" w:rsidRPr="00A1555F">
        <w:rPr>
          <w:rFonts w:ascii="Calibri" w:eastAsia="Times New Roman" w:hAnsi="Calibri" w:cs="Calibri"/>
          <w:bCs/>
          <w:iCs/>
          <w:color w:val="000000"/>
          <w:szCs w:val="20"/>
          <w:lang w:val="en-US" w:eastAsia="en-GB"/>
        </w:rPr>
        <w:t>-</w:t>
      </w:r>
      <w:r w:rsidR="00776D7A">
        <w:rPr>
          <w:rFonts w:ascii="Calibri" w:eastAsia="Times New Roman" w:hAnsi="Calibri" w:cs="Calibri"/>
          <w:bCs/>
          <w:iCs/>
          <w:color w:val="000000"/>
          <w:szCs w:val="20"/>
          <w:lang w:val="en-US" w:eastAsia="en-GB"/>
        </w:rPr>
        <w:t>mandatory</w:t>
      </w:r>
      <w:r w:rsidR="008F1DD8">
        <w:rPr>
          <w:rFonts w:ascii="Calibri" w:eastAsia="Times New Roman" w:hAnsi="Calibri" w:cs="Calibri"/>
          <w:bCs/>
          <w:iCs/>
          <w:color w:val="000000"/>
          <w:szCs w:val="20"/>
          <w:lang w:val="en-US" w:eastAsia="en-GB"/>
        </w:rPr>
        <w:t xml:space="preserve"> </w:t>
      </w:r>
      <w:r w:rsidRPr="003B1D4E">
        <w:rPr>
          <w:rFonts w:ascii="Calibri" w:eastAsia="Times New Roman" w:hAnsi="Calibri" w:cs="Calibri"/>
          <w:bCs/>
          <w:iCs/>
          <w:color w:val="000000"/>
          <w:szCs w:val="20"/>
          <w:lang w:val="en-US" w:eastAsia="en-GB"/>
        </w:rPr>
        <w:lastRenderedPageBreak/>
        <w:t xml:space="preserve">spending. The weights of "food and non-alcoholic beverages" and "housing, </w:t>
      </w:r>
      <w:r w:rsidR="00D56345">
        <w:rPr>
          <w:rFonts w:ascii="Calibri" w:eastAsia="Times New Roman" w:hAnsi="Calibri" w:cs="Calibri"/>
          <w:bCs/>
          <w:iCs/>
          <w:color w:val="000000"/>
          <w:szCs w:val="20"/>
          <w:lang w:val="en-US" w:eastAsia="en-GB"/>
        </w:rPr>
        <w:t>water</w:t>
      </w:r>
      <w:r w:rsidRPr="003B1D4E">
        <w:rPr>
          <w:rFonts w:ascii="Calibri" w:eastAsia="Times New Roman" w:hAnsi="Calibri" w:cs="Calibri"/>
          <w:bCs/>
          <w:iCs/>
          <w:color w:val="000000"/>
          <w:szCs w:val="20"/>
          <w:lang w:val="en-US" w:eastAsia="en-GB"/>
        </w:rPr>
        <w:t xml:space="preserve">, </w:t>
      </w:r>
      <w:r w:rsidR="00D56345">
        <w:rPr>
          <w:rFonts w:ascii="Calibri" w:eastAsia="Times New Roman" w:hAnsi="Calibri" w:cs="Calibri"/>
          <w:bCs/>
          <w:iCs/>
          <w:color w:val="000000"/>
          <w:szCs w:val="20"/>
          <w:lang w:val="en-US" w:eastAsia="en-GB"/>
        </w:rPr>
        <w:t>electricity, gas and other fuels</w:t>
      </w:r>
      <w:r w:rsidRPr="003B1D4E">
        <w:rPr>
          <w:rFonts w:ascii="Calibri" w:eastAsia="Times New Roman" w:hAnsi="Calibri" w:cs="Calibri"/>
          <w:bCs/>
          <w:iCs/>
          <w:color w:val="000000"/>
          <w:szCs w:val="20"/>
          <w:lang w:val="en-US" w:eastAsia="en-GB"/>
        </w:rPr>
        <w:t>" in the consumption basket of the representative household increased in 2020 because of the shifts in the consumption pattern. It is also highly possible that the changes in the consumption patterns altered the composition of the baskets of the households with high income and high saving. On the other hand, the changes in the basket of low income and low saving group may be limited.</w:t>
      </w:r>
      <w:r w:rsidR="00CC710D" w:rsidRPr="00C00E83">
        <w:rPr>
          <w:rFonts w:ascii="Calibri" w:eastAsia="Times New Roman" w:hAnsi="Calibri" w:cs="Calibri"/>
          <w:iCs/>
          <w:color w:val="000000"/>
          <w:szCs w:val="20"/>
          <w:lang w:val="en-US" w:eastAsia="en-GB"/>
        </w:rPr>
        <w:t xml:space="preserve"> </w:t>
      </w:r>
    </w:p>
    <w:p w14:paraId="1621DF0B" w14:textId="05EC2B18" w:rsidR="00AB42B1" w:rsidRPr="00C00E83" w:rsidRDefault="00E2144B" w:rsidP="00E2144B">
      <w:pPr>
        <w:jc w:val="both"/>
        <w:rPr>
          <w:rFonts w:ascii="Calibri" w:eastAsia="Times New Roman" w:hAnsi="Calibri" w:cs="Calibri"/>
          <w:b/>
          <w:iCs/>
          <w:color w:val="000000"/>
          <w:szCs w:val="20"/>
          <w:lang w:val="en-US" w:eastAsia="en-GB"/>
        </w:rPr>
      </w:pPr>
      <w:r w:rsidRPr="00E2144B">
        <w:rPr>
          <w:rFonts w:ascii="Calibri" w:eastAsia="Times New Roman" w:hAnsi="Calibri" w:cs="Calibri"/>
          <w:iCs/>
          <w:color w:val="000000"/>
          <w:szCs w:val="20"/>
          <w:lang w:val="en-US" w:eastAsia="en-GB"/>
        </w:rPr>
        <w:t>Nevertheless, it is to remind that the composition of the consumption basket of the representative household reverted to its "normal" as we got back to the "normal" in 2021. At the same time, there were significant year-on-year increases in the prices of items which have high shares in the basket of the high</w:t>
      </w:r>
      <w:r w:rsidR="00D56EBC" w:rsidRPr="00D56EBC">
        <w:rPr>
          <w:rFonts w:cs="Arial"/>
          <w:lang w:val="en-US"/>
        </w:rPr>
        <w:t xml:space="preserve"> </w:t>
      </w:r>
      <w:r w:rsidR="00D56EBC">
        <w:rPr>
          <w:rFonts w:cs="Arial"/>
          <w:lang w:val="en-US"/>
        </w:rPr>
        <w:t>expenditure</w:t>
      </w:r>
      <w:r w:rsidR="00D56EBC" w:rsidRPr="00E2144B">
        <w:rPr>
          <w:rFonts w:ascii="Calibri" w:eastAsia="Times New Roman" w:hAnsi="Calibri" w:cs="Calibri"/>
          <w:iCs/>
          <w:color w:val="000000"/>
          <w:szCs w:val="20"/>
          <w:lang w:val="en-US" w:eastAsia="en-GB"/>
        </w:rPr>
        <w:t xml:space="preserve"> </w:t>
      </w:r>
      <w:r w:rsidRPr="00E2144B">
        <w:rPr>
          <w:rFonts w:ascii="Calibri" w:eastAsia="Times New Roman" w:hAnsi="Calibri" w:cs="Calibri"/>
          <w:iCs/>
          <w:color w:val="000000"/>
          <w:szCs w:val="20"/>
          <w:lang w:val="en-US" w:eastAsia="en-GB"/>
        </w:rPr>
        <w:t>households, such as transportation, restaurant and hotels, and furniture, in July 2021. These increases will lead to a surge in the inflation rate of high-</w:t>
      </w:r>
      <w:r w:rsidR="0063031B" w:rsidRPr="0063031B">
        <w:rPr>
          <w:rFonts w:cs="Arial"/>
          <w:lang w:val="en-US"/>
        </w:rPr>
        <w:t xml:space="preserve"> </w:t>
      </w:r>
      <w:r w:rsidR="0063031B">
        <w:rPr>
          <w:rFonts w:cs="Arial"/>
          <w:lang w:val="en-US"/>
        </w:rPr>
        <w:t>expenditure</w:t>
      </w:r>
      <w:r w:rsidR="0063031B" w:rsidRPr="00E2144B">
        <w:rPr>
          <w:rFonts w:ascii="Calibri" w:eastAsia="Times New Roman" w:hAnsi="Calibri" w:cs="Calibri"/>
          <w:iCs/>
          <w:color w:val="000000"/>
          <w:szCs w:val="20"/>
          <w:lang w:val="en-US" w:eastAsia="en-GB"/>
        </w:rPr>
        <w:t xml:space="preserve"> </w:t>
      </w:r>
      <w:r w:rsidRPr="00E2144B">
        <w:rPr>
          <w:rFonts w:ascii="Calibri" w:eastAsia="Times New Roman" w:hAnsi="Calibri" w:cs="Calibri"/>
          <w:iCs/>
          <w:color w:val="000000"/>
          <w:szCs w:val="20"/>
          <w:lang w:val="en-US" w:eastAsia="en-GB"/>
        </w:rPr>
        <w:t xml:space="preserve">households. </w:t>
      </w:r>
      <w:r w:rsidRPr="00E2144B">
        <w:rPr>
          <w:rFonts w:ascii="Calibri" w:eastAsia="Times New Roman" w:hAnsi="Calibri" w:cs="Calibri"/>
          <w:b/>
          <w:bCs/>
          <w:iCs/>
          <w:color w:val="000000"/>
          <w:szCs w:val="20"/>
          <w:lang w:val="en-US" w:eastAsia="en-GB"/>
        </w:rPr>
        <w:t>The analysis in this research note should be re-</w:t>
      </w:r>
      <w:r w:rsidR="00AD532F">
        <w:rPr>
          <w:rFonts w:ascii="Calibri" w:eastAsia="Times New Roman" w:hAnsi="Calibri" w:cs="Calibri"/>
          <w:b/>
          <w:bCs/>
          <w:iCs/>
          <w:color w:val="000000"/>
          <w:szCs w:val="20"/>
          <w:lang w:val="en-US" w:eastAsia="en-GB"/>
        </w:rPr>
        <w:t>conducted</w:t>
      </w:r>
      <w:r w:rsidRPr="00E2144B">
        <w:rPr>
          <w:rFonts w:ascii="Calibri" w:eastAsia="Times New Roman" w:hAnsi="Calibri" w:cs="Calibri"/>
          <w:b/>
          <w:bCs/>
          <w:iCs/>
          <w:color w:val="000000"/>
          <w:szCs w:val="20"/>
          <w:lang w:val="en-US" w:eastAsia="en-GB"/>
        </w:rPr>
        <w:t xml:space="preserve"> with 2020 and 2021 micro data. However, our hunch is that the fact</w:t>
      </w:r>
      <w:r w:rsidR="00DD13E3">
        <w:rPr>
          <w:rFonts w:ascii="Calibri" w:eastAsia="Times New Roman" w:hAnsi="Calibri" w:cs="Calibri"/>
          <w:b/>
          <w:bCs/>
          <w:iCs/>
          <w:color w:val="000000"/>
          <w:szCs w:val="20"/>
          <w:lang w:val="en-US" w:eastAsia="en-GB"/>
        </w:rPr>
        <w:t xml:space="preserve">, </w:t>
      </w:r>
      <w:r w:rsidRPr="00E2144B">
        <w:rPr>
          <w:rFonts w:ascii="Calibri" w:eastAsia="Times New Roman" w:hAnsi="Calibri" w:cs="Calibri"/>
          <w:b/>
          <w:bCs/>
          <w:iCs/>
          <w:color w:val="000000"/>
          <w:szCs w:val="20"/>
          <w:lang w:val="en-US" w:eastAsia="en-GB"/>
        </w:rPr>
        <w:t xml:space="preserve">the inflation rate across </w:t>
      </w:r>
      <w:r w:rsidR="00D56EBC" w:rsidRPr="00D56EBC">
        <w:rPr>
          <w:rFonts w:cs="Arial"/>
          <w:b/>
          <w:bCs/>
          <w:lang w:val="en-US"/>
        </w:rPr>
        <w:t>expenditure</w:t>
      </w:r>
      <w:r w:rsidR="00D56EBC" w:rsidRPr="00E2144B">
        <w:rPr>
          <w:rFonts w:ascii="Calibri" w:eastAsia="Times New Roman" w:hAnsi="Calibri" w:cs="Calibri"/>
          <w:b/>
          <w:bCs/>
          <w:iCs/>
          <w:color w:val="000000"/>
          <w:szCs w:val="20"/>
          <w:lang w:val="en-US" w:eastAsia="en-GB"/>
        </w:rPr>
        <w:t xml:space="preserve"> </w:t>
      </w:r>
      <w:r w:rsidRPr="00E2144B">
        <w:rPr>
          <w:rFonts w:ascii="Calibri" w:eastAsia="Times New Roman" w:hAnsi="Calibri" w:cs="Calibri"/>
          <w:b/>
          <w:bCs/>
          <w:iCs/>
          <w:color w:val="000000"/>
          <w:szCs w:val="20"/>
          <w:lang w:val="en-US" w:eastAsia="en-GB"/>
        </w:rPr>
        <w:t>groups does not systematically change</w:t>
      </w:r>
      <w:r w:rsidR="00DD13E3">
        <w:rPr>
          <w:rFonts w:ascii="Calibri" w:eastAsia="Times New Roman" w:hAnsi="Calibri" w:cs="Calibri"/>
          <w:b/>
          <w:bCs/>
          <w:iCs/>
          <w:color w:val="000000"/>
          <w:szCs w:val="20"/>
          <w:lang w:val="en-US" w:eastAsia="en-GB"/>
        </w:rPr>
        <w:t>,</w:t>
      </w:r>
      <w:r w:rsidR="000D6632">
        <w:rPr>
          <w:rFonts w:ascii="Calibri" w:eastAsia="Times New Roman" w:hAnsi="Calibri" w:cs="Calibri"/>
          <w:b/>
          <w:bCs/>
          <w:iCs/>
          <w:color w:val="000000"/>
          <w:szCs w:val="20"/>
          <w:lang w:val="en-US" w:eastAsia="en-GB"/>
        </w:rPr>
        <w:t xml:space="preserve"> </w:t>
      </w:r>
      <w:r w:rsidR="00820AB9">
        <w:rPr>
          <w:rFonts w:ascii="Calibri" w:eastAsia="Times New Roman" w:hAnsi="Calibri" w:cs="Calibri"/>
          <w:b/>
          <w:bCs/>
          <w:iCs/>
          <w:color w:val="000000"/>
          <w:szCs w:val="20"/>
          <w:lang w:val="en-US" w:eastAsia="en-GB"/>
        </w:rPr>
        <w:t xml:space="preserve">that </w:t>
      </w:r>
      <w:r w:rsidRPr="00E2144B">
        <w:rPr>
          <w:rFonts w:ascii="Calibri" w:eastAsia="Times New Roman" w:hAnsi="Calibri" w:cs="Calibri"/>
          <w:b/>
          <w:bCs/>
          <w:iCs/>
          <w:color w:val="000000"/>
          <w:szCs w:val="20"/>
          <w:lang w:val="en-US" w:eastAsia="en-GB"/>
        </w:rPr>
        <w:t xml:space="preserve">we </w:t>
      </w:r>
      <w:r w:rsidR="006346C1">
        <w:rPr>
          <w:rFonts w:ascii="Calibri" w:eastAsia="Times New Roman" w:hAnsi="Calibri" w:cs="Calibri"/>
          <w:b/>
          <w:bCs/>
          <w:iCs/>
          <w:color w:val="000000"/>
          <w:szCs w:val="20"/>
          <w:lang w:val="en-US" w:eastAsia="en-GB"/>
        </w:rPr>
        <w:t xml:space="preserve">documented </w:t>
      </w:r>
      <w:r w:rsidRPr="00E2144B">
        <w:rPr>
          <w:rFonts w:ascii="Calibri" w:eastAsia="Times New Roman" w:hAnsi="Calibri" w:cs="Calibri"/>
          <w:b/>
          <w:bCs/>
          <w:iCs/>
          <w:color w:val="000000"/>
          <w:szCs w:val="20"/>
          <w:lang w:val="en-US" w:eastAsia="en-GB"/>
        </w:rPr>
        <w:t xml:space="preserve">in the note </w:t>
      </w:r>
      <w:r w:rsidR="000D6632" w:rsidRPr="009D3F95">
        <w:rPr>
          <w:rFonts w:ascii="Calibri" w:eastAsia="Times New Roman" w:hAnsi="Calibri" w:cs="Calibri"/>
          <w:b/>
          <w:bCs/>
          <w:iCs/>
          <w:color w:val="000000"/>
          <w:szCs w:val="20"/>
          <w:lang w:val="en-US" w:eastAsia="en-GB"/>
        </w:rPr>
        <w:t>w</w:t>
      </w:r>
      <w:r w:rsidR="00820AB9">
        <w:rPr>
          <w:rFonts w:ascii="Calibri" w:eastAsia="Times New Roman" w:hAnsi="Calibri" w:cs="Calibri"/>
          <w:b/>
          <w:bCs/>
          <w:iCs/>
          <w:color w:val="000000"/>
          <w:szCs w:val="20"/>
          <w:lang w:val="en-US" w:eastAsia="en-GB"/>
        </w:rPr>
        <w:t>ould</w:t>
      </w:r>
      <w:r w:rsidR="000D6632" w:rsidRPr="009D3F95">
        <w:rPr>
          <w:rFonts w:ascii="Calibri" w:eastAsia="Times New Roman" w:hAnsi="Calibri" w:cs="Calibri"/>
          <w:b/>
          <w:bCs/>
          <w:iCs/>
          <w:color w:val="000000"/>
          <w:szCs w:val="20"/>
          <w:lang w:val="en-US" w:eastAsia="en-GB"/>
        </w:rPr>
        <w:t xml:space="preserve"> </w:t>
      </w:r>
      <w:r w:rsidR="00A1555F" w:rsidRPr="009D3F95">
        <w:rPr>
          <w:rFonts w:ascii="Calibri" w:eastAsia="Times New Roman" w:hAnsi="Calibri" w:cs="Calibri"/>
          <w:b/>
          <w:bCs/>
          <w:iCs/>
          <w:color w:val="000000"/>
          <w:szCs w:val="20"/>
          <w:lang w:val="en-US" w:eastAsia="en-GB"/>
        </w:rPr>
        <w:t>remain</w:t>
      </w:r>
      <w:r w:rsidRPr="00E2144B">
        <w:rPr>
          <w:rFonts w:ascii="Calibri" w:eastAsia="Times New Roman" w:hAnsi="Calibri" w:cs="Calibri"/>
          <w:b/>
          <w:bCs/>
          <w:iCs/>
          <w:color w:val="000000"/>
          <w:szCs w:val="20"/>
          <w:lang w:val="en-US" w:eastAsia="en-GB"/>
        </w:rPr>
        <w:t>.</w:t>
      </w:r>
    </w:p>
    <w:p w14:paraId="5F0A3403" w14:textId="2209DBE7" w:rsidR="009159F1" w:rsidRDefault="009159F1" w:rsidP="00454143">
      <w:pPr>
        <w:jc w:val="both"/>
        <w:rPr>
          <w:rFonts w:ascii="Calibri" w:eastAsia="Times New Roman" w:hAnsi="Calibri" w:cs="Calibri"/>
          <w:b/>
          <w:iCs/>
          <w:color w:val="000000"/>
          <w:szCs w:val="20"/>
          <w:lang w:val="en-US" w:eastAsia="en-GB"/>
        </w:rPr>
      </w:pPr>
    </w:p>
    <w:p w14:paraId="6F45F320" w14:textId="698CF408" w:rsidR="00FE6BED" w:rsidRDefault="00FE6BED" w:rsidP="00454143">
      <w:pPr>
        <w:jc w:val="both"/>
        <w:rPr>
          <w:rFonts w:ascii="Calibri" w:eastAsia="Times New Roman" w:hAnsi="Calibri" w:cs="Calibri"/>
          <w:b/>
          <w:iCs/>
          <w:color w:val="000000"/>
          <w:szCs w:val="20"/>
          <w:lang w:val="en-US" w:eastAsia="en-GB"/>
        </w:rPr>
      </w:pPr>
    </w:p>
    <w:p w14:paraId="5F7AB5D7" w14:textId="019ED845" w:rsidR="00FE6BED" w:rsidRDefault="00FE6BED" w:rsidP="00454143">
      <w:pPr>
        <w:jc w:val="both"/>
        <w:rPr>
          <w:rFonts w:ascii="Calibri" w:eastAsia="Times New Roman" w:hAnsi="Calibri" w:cs="Calibri"/>
          <w:b/>
          <w:iCs/>
          <w:color w:val="000000"/>
          <w:szCs w:val="20"/>
          <w:lang w:val="en-US" w:eastAsia="en-GB"/>
        </w:rPr>
      </w:pPr>
    </w:p>
    <w:p w14:paraId="45DB7667" w14:textId="0F5A3520" w:rsidR="00FE6BED" w:rsidRDefault="00FE6BED" w:rsidP="00454143">
      <w:pPr>
        <w:jc w:val="both"/>
        <w:rPr>
          <w:rFonts w:ascii="Calibri" w:eastAsia="Times New Roman" w:hAnsi="Calibri" w:cs="Calibri"/>
          <w:b/>
          <w:iCs/>
          <w:color w:val="000000"/>
          <w:szCs w:val="20"/>
          <w:lang w:val="en-US" w:eastAsia="en-GB"/>
        </w:rPr>
      </w:pPr>
    </w:p>
    <w:p w14:paraId="12B4B431" w14:textId="39716BAE" w:rsidR="00FE6BED" w:rsidRDefault="00FE6BED" w:rsidP="00454143">
      <w:pPr>
        <w:jc w:val="both"/>
        <w:rPr>
          <w:rFonts w:ascii="Calibri" w:eastAsia="Times New Roman" w:hAnsi="Calibri" w:cs="Calibri"/>
          <w:b/>
          <w:iCs/>
          <w:color w:val="000000"/>
          <w:szCs w:val="20"/>
          <w:lang w:val="en-US" w:eastAsia="en-GB"/>
        </w:rPr>
      </w:pPr>
    </w:p>
    <w:p w14:paraId="4F3CCEAC" w14:textId="6AD17BDE" w:rsidR="00FE6BED" w:rsidRDefault="00FE6BED" w:rsidP="00454143">
      <w:pPr>
        <w:jc w:val="both"/>
        <w:rPr>
          <w:rFonts w:ascii="Calibri" w:eastAsia="Times New Roman" w:hAnsi="Calibri" w:cs="Calibri"/>
          <w:b/>
          <w:iCs/>
          <w:color w:val="000000"/>
          <w:szCs w:val="20"/>
          <w:lang w:val="en-US" w:eastAsia="en-GB"/>
        </w:rPr>
      </w:pPr>
    </w:p>
    <w:p w14:paraId="0189D642" w14:textId="1FED56F4" w:rsidR="00FE6BED" w:rsidRDefault="00FE6BED" w:rsidP="00454143">
      <w:pPr>
        <w:jc w:val="both"/>
        <w:rPr>
          <w:rFonts w:ascii="Calibri" w:eastAsia="Times New Roman" w:hAnsi="Calibri" w:cs="Calibri"/>
          <w:b/>
          <w:iCs/>
          <w:color w:val="000000"/>
          <w:szCs w:val="20"/>
          <w:lang w:val="en-US" w:eastAsia="en-GB"/>
        </w:rPr>
      </w:pPr>
    </w:p>
    <w:p w14:paraId="6F2D9239" w14:textId="424F9A44" w:rsidR="00FE6BED" w:rsidRDefault="00FE6BED" w:rsidP="00454143">
      <w:pPr>
        <w:jc w:val="both"/>
        <w:rPr>
          <w:rFonts w:ascii="Calibri" w:eastAsia="Times New Roman" w:hAnsi="Calibri" w:cs="Calibri"/>
          <w:b/>
          <w:iCs/>
          <w:color w:val="000000"/>
          <w:szCs w:val="20"/>
          <w:lang w:val="en-US" w:eastAsia="en-GB"/>
        </w:rPr>
      </w:pPr>
    </w:p>
    <w:p w14:paraId="02DE0730" w14:textId="1AC65FCE" w:rsidR="00FE6BED" w:rsidRDefault="00FE6BED" w:rsidP="00454143">
      <w:pPr>
        <w:jc w:val="both"/>
        <w:rPr>
          <w:rFonts w:ascii="Calibri" w:eastAsia="Times New Roman" w:hAnsi="Calibri" w:cs="Calibri"/>
          <w:b/>
          <w:iCs/>
          <w:color w:val="000000"/>
          <w:szCs w:val="20"/>
          <w:lang w:val="en-US" w:eastAsia="en-GB"/>
        </w:rPr>
      </w:pPr>
    </w:p>
    <w:p w14:paraId="4756317D" w14:textId="50B5561C" w:rsidR="00FE6BED" w:rsidRDefault="00FE6BED" w:rsidP="00454143">
      <w:pPr>
        <w:jc w:val="both"/>
        <w:rPr>
          <w:rFonts w:ascii="Calibri" w:eastAsia="Times New Roman" w:hAnsi="Calibri" w:cs="Calibri"/>
          <w:b/>
          <w:iCs/>
          <w:color w:val="000000"/>
          <w:szCs w:val="20"/>
          <w:lang w:val="en-US" w:eastAsia="en-GB"/>
        </w:rPr>
      </w:pPr>
    </w:p>
    <w:p w14:paraId="57B557DF" w14:textId="62F8EED6" w:rsidR="00FE6BED" w:rsidRDefault="00FE6BED" w:rsidP="00454143">
      <w:pPr>
        <w:jc w:val="both"/>
        <w:rPr>
          <w:rFonts w:ascii="Calibri" w:eastAsia="Times New Roman" w:hAnsi="Calibri" w:cs="Calibri"/>
          <w:b/>
          <w:iCs/>
          <w:color w:val="000000"/>
          <w:szCs w:val="20"/>
          <w:lang w:val="en-US" w:eastAsia="en-GB"/>
        </w:rPr>
      </w:pPr>
    </w:p>
    <w:p w14:paraId="02EF6602" w14:textId="3528FB2C" w:rsidR="00FE6BED" w:rsidRDefault="00FE6BED" w:rsidP="00454143">
      <w:pPr>
        <w:jc w:val="both"/>
        <w:rPr>
          <w:rFonts w:ascii="Calibri" w:eastAsia="Times New Roman" w:hAnsi="Calibri" w:cs="Calibri"/>
          <w:b/>
          <w:iCs/>
          <w:color w:val="000000"/>
          <w:szCs w:val="20"/>
          <w:lang w:val="en-US" w:eastAsia="en-GB"/>
        </w:rPr>
      </w:pPr>
    </w:p>
    <w:p w14:paraId="0038936B" w14:textId="157C1E7B" w:rsidR="00FE6BED" w:rsidRDefault="00FE6BED" w:rsidP="00454143">
      <w:pPr>
        <w:jc w:val="both"/>
        <w:rPr>
          <w:rFonts w:ascii="Calibri" w:eastAsia="Times New Roman" w:hAnsi="Calibri" w:cs="Calibri"/>
          <w:b/>
          <w:iCs/>
          <w:color w:val="000000"/>
          <w:szCs w:val="20"/>
          <w:lang w:val="en-US" w:eastAsia="en-GB"/>
        </w:rPr>
      </w:pPr>
    </w:p>
    <w:p w14:paraId="55AA0769" w14:textId="76EB2E39" w:rsidR="00FE6BED" w:rsidRDefault="00FE6BED" w:rsidP="00454143">
      <w:pPr>
        <w:jc w:val="both"/>
        <w:rPr>
          <w:rFonts w:ascii="Calibri" w:eastAsia="Times New Roman" w:hAnsi="Calibri" w:cs="Calibri"/>
          <w:b/>
          <w:iCs/>
          <w:color w:val="000000"/>
          <w:szCs w:val="20"/>
          <w:lang w:val="en-US" w:eastAsia="en-GB"/>
        </w:rPr>
      </w:pPr>
    </w:p>
    <w:p w14:paraId="37594661" w14:textId="76EDD2DF" w:rsidR="00FE6BED" w:rsidRDefault="00FE6BED" w:rsidP="00454143">
      <w:pPr>
        <w:jc w:val="both"/>
        <w:rPr>
          <w:rFonts w:ascii="Calibri" w:eastAsia="Times New Roman" w:hAnsi="Calibri" w:cs="Calibri"/>
          <w:b/>
          <w:iCs/>
          <w:color w:val="000000"/>
          <w:szCs w:val="20"/>
          <w:lang w:val="en-US" w:eastAsia="en-GB"/>
        </w:rPr>
      </w:pPr>
    </w:p>
    <w:p w14:paraId="1CBFBAD6" w14:textId="026F671B" w:rsidR="00FE6BED" w:rsidRDefault="00FE6BED" w:rsidP="00454143">
      <w:pPr>
        <w:jc w:val="both"/>
        <w:rPr>
          <w:rFonts w:ascii="Calibri" w:eastAsia="Times New Roman" w:hAnsi="Calibri" w:cs="Calibri"/>
          <w:b/>
          <w:iCs/>
          <w:color w:val="000000"/>
          <w:szCs w:val="20"/>
          <w:lang w:val="en-US" w:eastAsia="en-GB"/>
        </w:rPr>
      </w:pPr>
    </w:p>
    <w:p w14:paraId="06D3359A" w14:textId="77777777" w:rsidR="00FE6BED" w:rsidRDefault="00FE6BED" w:rsidP="00454143">
      <w:pPr>
        <w:jc w:val="both"/>
        <w:rPr>
          <w:rFonts w:ascii="Calibri" w:eastAsia="Times New Roman" w:hAnsi="Calibri" w:cs="Calibri"/>
          <w:b/>
          <w:iCs/>
          <w:color w:val="000000"/>
          <w:szCs w:val="20"/>
          <w:lang w:val="en-US" w:eastAsia="en-GB"/>
        </w:rPr>
      </w:pPr>
    </w:p>
    <w:p w14:paraId="57CCA671" w14:textId="611A3323" w:rsidR="009A2471" w:rsidRDefault="009A2471" w:rsidP="00454143">
      <w:pPr>
        <w:jc w:val="both"/>
        <w:rPr>
          <w:rFonts w:ascii="Calibri" w:eastAsia="Times New Roman" w:hAnsi="Calibri" w:cs="Calibri"/>
          <w:b/>
          <w:iCs/>
          <w:color w:val="000000"/>
          <w:szCs w:val="20"/>
          <w:lang w:val="en-US" w:eastAsia="en-GB"/>
        </w:rPr>
      </w:pPr>
    </w:p>
    <w:p w14:paraId="6652332B" w14:textId="77777777" w:rsidR="00E523A8" w:rsidRPr="00E523A8" w:rsidRDefault="00E523A8" w:rsidP="00E523A8">
      <w:pPr>
        <w:spacing w:after="60"/>
        <w:rPr>
          <w:b/>
          <w:szCs w:val="28"/>
          <w:lang w:val="en-US"/>
        </w:rPr>
      </w:pPr>
      <w:r w:rsidRPr="00E523A8">
        <w:rPr>
          <w:b/>
          <w:szCs w:val="28"/>
          <w:lang w:val="en-US"/>
        </w:rPr>
        <w:lastRenderedPageBreak/>
        <w:t>Table 1: Types of expenditure</w:t>
      </w:r>
    </w:p>
    <w:tbl>
      <w:tblPr>
        <w:tblStyle w:val="TableGrid"/>
        <w:tblW w:w="0" w:type="auto"/>
        <w:tblLook w:val="04A0" w:firstRow="1" w:lastRow="0" w:firstColumn="1" w:lastColumn="0" w:noHBand="0" w:noVBand="1"/>
      </w:tblPr>
      <w:tblGrid>
        <w:gridCol w:w="641"/>
        <w:gridCol w:w="3722"/>
      </w:tblGrid>
      <w:tr w:rsidR="00E523A8" w:rsidRPr="00E523A8" w14:paraId="78B6EAB6" w14:textId="77777777" w:rsidTr="008C05D3">
        <w:trPr>
          <w:trHeight w:val="339"/>
        </w:trPr>
        <w:tc>
          <w:tcPr>
            <w:tcW w:w="641" w:type="dxa"/>
          </w:tcPr>
          <w:p w14:paraId="7A81E0C5" w14:textId="77777777" w:rsidR="00E523A8" w:rsidRPr="00E523A8" w:rsidRDefault="00E523A8" w:rsidP="008C05D3">
            <w:pPr>
              <w:spacing w:line="360" w:lineRule="auto"/>
              <w:rPr>
                <w:szCs w:val="28"/>
                <w:lang w:val="en-US"/>
              </w:rPr>
            </w:pPr>
            <w:r w:rsidRPr="00E523A8">
              <w:rPr>
                <w:szCs w:val="28"/>
                <w:lang w:val="en-US"/>
              </w:rPr>
              <w:t>1</w:t>
            </w:r>
          </w:p>
        </w:tc>
        <w:tc>
          <w:tcPr>
            <w:tcW w:w="3722" w:type="dxa"/>
          </w:tcPr>
          <w:p w14:paraId="6398D1D6" w14:textId="77777777" w:rsidR="00E523A8" w:rsidRPr="00E523A8" w:rsidRDefault="00E523A8" w:rsidP="008C05D3">
            <w:pPr>
              <w:spacing w:line="360" w:lineRule="auto"/>
              <w:rPr>
                <w:szCs w:val="28"/>
                <w:lang w:val="en-US"/>
              </w:rPr>
            </w:pPr>
            <w:r w:rsidRPr="00E523A8">
              <w:rPr>
                <w:szCs w:val="28"/>
                <w:lang w:val="en-US"/>
              </w:rPr>
              <w:t>Food and non-alcoholic beverages</w:t>
            </w:r>
          </w:p>
        </w:tc>
      </w:tr>
      <w:tr w:rsidR="00E523A8" w:rsidRPr="00E523A8" w14:paraId="27E6AF95" w14:textId="77777777" w:rsidTr="008C05D3">
        <w:trPr>
          <w:trHeight w:val="339"/>
        </w:trPr>
        <w:tc>
          <w:tcPr>
            <w:tcW w:w="641" w:type="dxa"/>
          </w:tcPr>
          <w:p w14:paraId="1C573E82" w14:textId="77777777" w:rsidR="00E523A8" w:rsidRPr="00E523A8" w:rsidRDefault="00E523A8" w:rsidP="008C05D3">
            <w:pPr>
              <w:spacing w:line="360" w:lineRule="auto"/>
              <w:rPr>
                <w:szCs w:val="28"/>
                <w:lang w:val="en-US"/>
              </w:rPr>
            </w:pPr>
            <w:r w:rsidRPr="00E523A8">
              <w:rPr>
                <w:szCs w:val="28"/>
                <w:lang w:val="en-US"/>
              </w:rPr>
              <w:t>2</w:t>
            </w:r>
          </w:p>
        </w:tc>
        <w:tc>
          <w:tcPr>
            <w:tcW w:w="3722" w:type="dxa"/>
          </w:tcPr>
          <w:p w14:paraId="5A05B467" w14:textId="77777777" w:rsidR="00E523A8" w:rsidRPr="00E523A8" w:rsidRDefault="00E523A8" w:rsidP="008C05D3">
            <w:pPr>
              <w:spacing w:line="360" w:lineRule="auto"/>
              <w:rPr>
                <w:szCs w:val="28"/>
                <w:lang w:val="en-US"/>
              </w:rPr>
            </w:pPr>
            <w:r w:rsidRPr="00E523A8">
              <w:rPr>
                <w:szCs w:val="28"/>
                <w:lang w:val="en-US"/>
              </w:rPr>
              <w:t>Alcoholic beverages, cigarette</w:t>
            </w:r>
          </w:p>
        </w:tc>
      </w:tr>
      <w:tr w:rsidR="00E523A8" w:rsidRPr="00E523A8" w14:paraId="20ADE42D" w14:textId="77777777" w:rsidTr="008C05D3">
        <w:trPr>
          <w:trHeight w:val="339"/>
        </w:trPr>
        <w:tc>
          <w:tcPr>
            <w:tcW w:w="641" w:type="dxa"/>
          </w:tcPr>
          <w:p w14:paraId="57EAAAA3" w14:textId="77777777" w:rsidR="00E523A8" w:rsidRPr="00E523A8" w:rsidRDefault="00E523A8" w:rsidP="008C05D3">
            <w:pPr>
              <w:spacing w:line="360" w:lineRule="auto"/>
              <w:rPr>
                <w:szCs w:val="28"/>
                <w:lang w:val="en-US"/>
              </w:rPr>
            </w:pPr>
            <w:r w:rsidRPr="00E523A8">
              <w:rPr>
                <w:szCs w:val="28"/>
                <w:lang w:val="en-US"/>
              </w:rPr>
              <w:t>3</w:t>
            </w:r>
          </w:p>
        </w:tc>
        <w:tc>
          <w:tcPr>
            <w:tcW w:w="3722" w:type="dxa"/>
          </w:tcPr>
          <w:p w14:paraId="60A1224E" w14:textId="0B95F893" w:rsidR="00E523A8" w:rsidRPr="00E523A8" w:rsidRDefault="00E523A8" w:rsidP="008C05D3">
            <w:pPr>
              <w:spacing w:line="360" w:lineRule="auto"/>
              <w:rPr>
                <w:szCs w:val="28"/>
                <w:lang w:val="en-US"/>
              </w:rPr>
            </w:pPr>
            <w:r w:rsidRPr="00E523A8">
              <w:rPr>
                <w:szCs w:val="28"/>
                <w:lang w:val="en-US"/>
              </w:rPr>
              <w:t>Clothing and footwear</w:t>
            </w:r>
          </w:p>
        </w:tc>
      </w:tr>
      <w:tr w:rsidR="00E523A8" w:rsidRPr="00E523A8" w14:paraId="00ECD87C" w14:textId="77777777" w:rsidTr="008C05D3">
        <w:trPr>
          <w:trHeight w:val="339"/>
        </w:trPr>
        <w:tc>
          <w:tcPr>
            <w:tcW w:w="641" w:type="dxa"/>
          </w:tcPr>
          <w:p w14:paraId="4A176405" w14:textId="77777777" w:rsidR="00E523A8" w:rsidRPr="00E523A8" w:rsidRDefault="00E523A8" w:rsidP="008C05D3">
            <w:pPr>
              <w:spacing w:line="360" w:lineRule="auto"/>
              <w:rPr>
                <w:szCs w:val="28"/>
                <w:lang w:val="en-US"/>
              </w:rPr>
            </w:pPr>
            <w:r w:rsidRPr="00E523A8">
              <w:rPr>
                <w:szCs w:val="28"/>
                <w:lang w:val="en-US"/>
              </w:rPr>
              <w:t>4</w:t>
            </w:r>
          </w:p>
        </w:tc>
        <w:tc>
          <w:tcPr>
            <w:tcW w:w="3722" w:type="dxa"/>
          </w:tcPr>
          <w:p w14:paraId="7E64ED34" w14:textId="77777777" w:rsidR="00E523A8" w:rsidRPr="00E523A8" w:rsidRDefault="00E523A8" w:rsidP="008C05D3">
            <w:pPr>
              <w:spacing w:line="360" w:lineRule="auto"/>
              <w:rPr>
                <w:szCs w:val="28"/>
                <w:lang w:val="en-US"/>
              </w:rPr>
            </w:pPr>
            <w:r w:rsidRPr="00E523A8">
              <w:rPr>
                <w:szCs w:val="28"/>
                <w:lang w:val="en-US"/>
              </w:rPr>
              <w:t>Housing and rent</w:t>
            </w:r>
          </w:p>
        </w:tc>
      </w:tr>
      <w:tr w:rsidR="00E523A8" w:rsidRPr="00E523A8" w14:paraId="0D93EC25" w14:textId="77777777" w:rsidTr="008C05D3">
        <w:trPr>
          <w:trHeight w:val="339"/>
        </w:trPr>
        <w:tc>
          <w:tcPr>
            <w:tcW w:w="641" w:type="dxa"/>
          </w:tcPr>
          <w:p w14:paraId="1939B270" w14:textId="77777777" w:rsidR="00E523A8" w:rsidRPr="00E523A8" w:rsidRDefault="00E523A8" w:rsidP="008C05D3">
            <w:pPr>
              <w:spacing w:line="360" w:lineRule="auto"/>
              <w:rPr>
                <w:szCs w:val="28"/>
                <w:lang w:val="en-US"/>
              </w:rPr>
            </w:pPr>
            <w:r w:rsidRPr="00E523A8">
              <w:rPr>
                <w:szCs w:val="28"/>
                <w:lang w:val="en-US"/>
              </w:rPr>
              <w:t>5</w:t>
            </w:r>
          </w:p>
        </w:tc>
        <w:tc>
          <w:tcPr>
            <w:tcW w:w="3722" w:type="dxa"/>
          </w:tcPr>
          <w:p w14:paraId="557F3EAA" w14:textId="77777777" w:rsidR="00E523A8" w:rsidRPr="00E523A8" w:rsidRDefault="00E523A8" w:rsidP="008C05D3">
            <w:pPr>
              <w:spacing w:line="360" w:lineRule="auto"/>
              <w:rPr>
                <w:szCs w:val="28"/>
                <w:lang w:val="en-US"/>
              </w:rPr>
            </w:pPr>
            <w:r w:rsidRPr="00E523A8">
              <w:rPr>
                <w:szCs w:val="28"/>
                <w:lang w:val="en-US"/>
              </w:rPr>
              <w:t>Furniture, house appliances</w:t>
            </w:r>
          </w:p>
        </w:tc>
      </w:tr>
      <w:tr w:rsidR="00E523A8" w:rsidRPr="00E523A8" w14:paraId="4895C2CB" w14:textId="77777777" w:rsidTr="008C05D3">
        <w:trPr>
          <w:trHeight w:val="339"/>
        </w:trPr>
        <w:tc>
          <w:tcPr>
            <w:tcW w:w="641" w:type="dxa"/>
          </w:tcPr>
          <w:p w14:paraId="7ED70448" w14:textId="77777777" w:rsidR="00E523A8" w:rsidRPr="00E523A8" w:rsidRDefault="00E523A8" w:rsidP="008C05D3">
            <w:pPr>
              <w:spacing w:line="360" w:lineRule="auto"/>
              <w:rPr>
                <w:szCs w:val="28"/>
                <w:lang w:val="en-US"/>
              </w:rPr>
            </w:pPr>
            <w:r w:rsidRPr="00E523A8">
              <w:rPr>
                <w:szCs w:val="28"/>
                <w:lang w:val="en-US"/>
              </w:rPr>
              <w:t>6</w:t>
            </w:r>
          </w:p>
        </w:tc>
        <w:tc>
          <w:tcPr>
            <w:tcW w:w="3722" w:type="dxa"/>
          </w:tcPr>
          <w:p w14:paraId="19CC2AE1" w14:textId="77777777" w:rsidR="00E523A8" w:rsidRPr="00E523A8" w:rsidRDefault="00E523A8" w:rsidP="008C05D3">
            <w:pPr>
              <w:spacing w:line="360" w:lineRule="auto"/>
              <w:rPr>
                <w:szCs w:val="28"/>
                <w:lang w:val="en-US"/>
              </w:rPr>
            </w:pPr>
            <w:r w:rsidRPr="00E523A8">
              <w:rPr>
                <w:szCs w:val="28"/>
                <w:lang w:val="en-US"/>
              </w:rPr>
              <w:t>Health</w:t>
            </w:r>
          </w:p>
        </w:tc>
      </w:tr>
      <w:tr w:rsidR="00E523A8" w:rsidRPr="00E523A8" w14:paraId="3E9BD012" w14:textId="77777777" w:rsidTr="008C05D3">
        <w:trPr>
          <w:trHeight w:val="339"/>
        </w:trPr>
        <w:tc>
          <w:tcPr>
            <w:tcW w:w="641" w:type="dxa"/>
          </w:tcPr>
          <w:p w14:paraId="345EC368" w14:textId="77777777" w:rsidR="00E523A8" w:rsidRPr="00E523A8" w:rsidRDefault="00E523A8" w:rsidP="008C05D3">
            <w:pPr>
              <w:spacing w:line="360" w:lineRule="auto"/>
              <w:rPr>
                <w:szCs w:val="28"/>
                <w:lang w:val="en-US"/>
              </w:rPr>
            </w:pPr>
            <w:r w:rsidRPr="00E523A8">
              <w:rPr>
                <w:szCs w:val="28"/>
                <w:lang w:val="en-US"/>
              </w:rPr>
              <w:t>7</w:t>
            </w:r>
          </w:p>
        </w:tc>
        <w:tc>
          <w:tcPr>
            <w:tcW w:w="3722" w:type="dxa"/>
          </w:tcPr>
          <w:p w14:paraId="327B4892" w14:textId="77777777" w:rsidR="00E523A8" w:rsidRPr="00E523A8" w:rsidRDefault="00E523A8" w:rsidP="008C05D3">
            <w:pPr>
              <w:spacing w:line="360" w:lineRule="auto"/>
              <w:rPr>
                <w:szCs w:val="28"/>
                <w:lang w:val="en-US"/>
              </w:rPr>
            </w:pPr>
            <w:r w:rsidRPr="00E523A8">
              <w:rPr>
                <w:szCs w:val="28"/>
                <w:lang w:val="en-US"/>
              </w:rPr>
              <w:t>Transportation</w:t>
            </w:r>
          </w:p>
        </w:tc>
      </w:tr>
      <w:tr w:rsidR="00E523A8" w:rsidRPr="00E523A8" w14:paraId="2818CF40" w14:textId="77777777" w:rsidTr="008C05D3">
        <w:trPr>
          <w:trHeight w:val="339"/>
        </w:trPr>
        <w:tc>
          <w:tcPr>
            <w:tcW w:w="641" w:type="dxa"/>
          </w:tcPr>
          <w:p w14:paraId="7A8A23DE" w14:textId="77777777" w:rsidR="00E523A8" w:rsidRPr="00E523A8" w:rsidRDefault="00E523A8" w:rsidP="008C05D3">
            <w:pPr>
              <w:spacing w:line="360" w:lineRule="auto"/>
              <w:rPr>
                <w:szCs w:val="28"/>
                <w:lang w:val="en-US"/>
              </w:rPr>
            </w:pPr>
            <w:r w:rsidRPr="00E523A8">
              <w:rPr>
                <w:szCs w:val="28"/>
                <w:lang w:val="en-US"/>
              </w:rPr>
              <w:t>8</w:t>
            </w:r>
          </w:p>
        </w:tc>
        <w:tc>
          <w:tcPr>
            <w:tcW w:w="3722" w:type="dxa"/>
          </w:tcPr>
          <w:p w14:paraId="208EF9FB" w14:textId="77777777" w:rsidR="00E523A8" w:rsidRPr="00E523A8" w:rsidRDefault="00E523A8" w:rsidP="008C05D3">
            <w:pPr>
              <w:spacing w:line="360" w:lineRule="auto"/>
              <w:rPr>
                <w:szCs w:val="28"/>
                <w:lang w:val="en-US"/>
              </w:rPr>
            </w:pPr>
            <w:r w:rsidRPr="00E523A8">
              <w:rPr>
                <w:szCs w:val="28"/>
                <w:lang w:val="en-US"/>
              </w:rPr>
              <w:t>Communication</w:t>
            </w:r>
          </w:p>
        </w:tc>
      </w:tr>
      <w:tr w:rsidR="00E523A8" w:rsidRPr="00E523A8" w14:paraId="758839DA" w14:textId="77777777" w:rsidTr="008C05D3">
        <w:trPr>
          <w:trHeight w:val="320"/>
        </w:trPr>
        <w:tc>
          <w:tcPr>
            <w:tcW w:w="641" w:type="dxa"/>
          </w:tcPr>
          <w:p w14:paraId="5AD3A583" w14:textId="77777777" w:rsidR="00E523A8" w:rsidRPr="00E523A8" w:rsidRDefault="00E523A8" w:rsidP="008C05D3">
            <w:pPr>
              <w:spacing w:line="360" w:lineRule="auto"/>
              <w:rPr>
                <w:szCs w:val="28"/>
                <w:lang w:val="en-US"/>
              </w:rPr>
            </w:pPr>
            <w:r w:rsidRPr="00E523A8">
              <w:rPr>
                <w:szCs w:val="28"/>
                <w:lang w:val="en-US"/>
              </w:rPr>
              <w:t>9</w:t>
            </w:r>
          </w:p>
        </w:tc>
        <w:tc>
          <w:tcPr>
            <w:tcW w:w="3722" w:type="dxa"/>
          </w:tcPr>
          <w:p w14:paraId="04817593" w14:textId="77777777" w:rsidR="00E523A8" w:rsidRPr="00E523A8" w:rsidRDefault="00E523A8" w:rsidP="008C05D3">
            <w:pPr>
              <w:spacing w:line="360" w:lineRule="auto"/>
              <w:rPr>
                <w:szCs w:val="28"/>
                <w:lang w:val="en-US"/>
              </w:rPr>
            </w:pPr>
            <w:r w:rsidRPr="00E523A8">
              <w:rPr>
                <w:szCs w:val="28"/>
                <w:lang w:val="en-US"/>
              </w:rPr>
              <w:t>Entertainment and culture</w:t>
            </w:r>
          </w:p>
        </w:tc>
      </w:tr>
      <w:tr w:rsidR="00E523A8" w:rsidRPr="00E523A8" w14:paraId="1E079965" w14:textId="77777777" w:rsidTr="008C05D3">
        <w:trPr>
          <w:trHeight w:val="339"/>
        </w:trPr>
        <w:tc>
          <w:tcPr>
            <w:tcW w:w="641" w:type="dxa"/>
          </w:tcPr>
          <w:p w14:paraId="06205BE8" w14:textId="77777777" w:rsidR="00E523A8" w:rsidRPr="00E523A8" w:rsidRDefault="00E523A8" w:rsidP="008C05D3">
            <w:pPr>
              <w:spacing w:line="360" w:lineRule="auto"/>
              <w:rPr>
                <w:szCs w:val="28"/>
                <w:lang w:val="en-US"/>
              </w:rPr>
            </w:pPr>
            <w:r w:rsidRPr="00E523A8">
              <w:rPr>
                <w:szCs w:val="28"/>
                <w:lang w:val="en-US"/>
              </w:rPr>
              <w:t>10</w:t>
            </w:r>
          </w:p>
        </w:tc>
        <w:tc>
          <w:tcPr>
            <w:tcW w:w="3722" w:type="dxa"/>
          </w:tcPr>
          <w:p w14:paraId="22728290" w14:textId="77777777" w:rsidR="00E523A8" w:rsidRPr="00E523A8" w:rsidRDefault="00E523A8" w:rsidP="008C05D3">
            <w:pPr>
              <w:spacing w:line="360" w:lineRule="auto"/>
              <w:rPr>
                <w:szCs w:val="28"/>
                <w:lang w:val="en-US"/>
              </w:rPr>
            </w:pPr>
            <w:r w:rsidRPr="00E523A8">
              <w:rPr>
                <w:szCs w:val="28"/>
                <w:lang w:val="en-US"/>
              </w:rPr>
              <w:t>Educational services</w:t>
            </w:r>
          </w:p>
        </w:tc>
      </w:tr>
      <w:tr w:rsidR="00E523A8" w:rsidRPr="00E523A8" w14:paraId="4A1D446B" w14:textId="77777777" w:rsidTr="008C05D3">
        <w:trPr>
          <w:trHeight w:val="339"/>
        </w:trPr>
        <w:tc>
          <w:tcPr>
            <w:tcW w:w="641" w:type="dxa"/>
          </w:tcPr>
          <w:p w14:paraId="24946B52" w14:textId="77777777" w:rsidR="00E523A8" w:rsidRPr="00E523A8" w:rsidRDefault="00E523A8" w:rsidP="008C05D3">
            <w:pPr>
              <w:spacing w:line="360" w:lineRule="auto"/>
              <w:rPr>
                <w:szCs w:val="28"/>
                <w:lang w:val="en-US"/>
              </w:rPr>
            </w:pPr>
            <w:r w:rsidRPr="00E523A8">
              <w:rPr>
                <w:szCs w:val="28"/>
                <w:lang w:val="en-US"/>
              </w:rPr>
              <w:t>11</w:t>
            </w:r>
          </w:p>
        </w:tc>
        <w:tc>
          <w:tcPr>
            <w:tcW w:w="3722" w:type="dxa"/>
          </w:tcPr>
          <w:p w14:paraId="6CE5E208" w14:textId="77777777" w:rsidR="00E523A8" w:rsidRPr="00E523A8" w:rsidRDefault="00E523A8" w:rsidP="008C05D3">
            <w:pPr>
              <w:spacing w:line="360" w:lineRule="auto"/>
              <w:rPr>
                <w:szCs w:val="28"/>
                <w:lang w:val="en-US"/>
              </w:rPr>
            </w:pPr>
            <w:r w:rsidRPr="00E523A8">
              <w:rPr>
                <w:szCs w:val="28"/>
                <w:lang w:val="en-US"/>
              </w:rPr>
              <w:t>Restaurant and food services, hotels</w:t>
            </w:r>
          </w:p>
        </w:tc>
      </w:tr>
      <w:tr w:rsidR="00E523A8" w:rsidRPr="00E523A8" w14:paraId="7AC3AF83" w14:textId="77777777" w:rsidTr="008C05D3">
        <w:trPr>
          <w:trHeight w:val="339"/>
        </w:trPr>
        <w:tc>
          <w:tcPr>
            <w:tcW w:w="641" w:type="dxa"/>
          </w:tcPr>
          <w:p w14:paraId="5FD68BEB" w14:textId="77777777" w:rsidR="00E523A8" w:rsidRPr="00E523A8" w:rsidRDefault="00E523A8" w:rsidP="008C05D3">
            <w:pPr>
              <w:spacing w:line="360" w:lineRule="auto"/>
              <w:rPr>
                <w:szCs w:val="28"/>
                <w:lang w:val="en-US"/>
              </w:rPr>
            </w:pPr>
            <w:r w:rsidRPr="00E523A8">
              <w:rPr>
                <w:szCs w:val="28"/>
                <w:lang w:val="en-US"/>
              </w:rPr>
              <w:t>12</w:t>
            </w:r>
          </w:p>
        </w:tc>
        <w:tc>
          <w:tcPr>
            <w:tcW w:w="3722" w:type="dxa"/>
          </w:tcPr>
          <w:p w14:paraId="44C2A869" w14:textId="77777777" w:rsidR="00E523A8" w:rsidRPr="00E523A8" w:rsidRDefault="00E523A8" w:rsidP="008C05D3">
            <w:pPr>
              <w:spacing w:line="360" w:lineRule="auto"/>
              <w:rPr>
                <w:szCs w:val="28"/>
                <w:lang w:val="en-US"/>
              </w:rPr>
            </w:pPr>
            <w:r w:rsidRPr="00E523A8">
              <w:rPr>
                <w:szCs w:val="28"/>
                <w:lang w:val="en-US"/>
              </w:rPr>
              <w:t>Various goods and services</w:t>
            </w:r>
          </w:p>
        </w:tc>
      </w:tr>
    </w:tbl>
    <w:p w14:paraId="79FD33DA" w14:textId="77777777" w:rsidR="00E523A8" w:rsidRDefault="00E523A8" w:rsidP="009159F1">
      <w:pPr>
        <w:spacing w:after="0"/>
        <w:rPr>
          <w:b/>
          <w:bCs/>
          <w:lang w:val="en-US"/>
        </w:rPr>
      </w:pPr>
    </w:p>
    <w:p w14:paraId="57DB8F01" w14:textId="584853DE" w:rsidR="00E523A8" w:rsidRDefault="00E523A8" w:rsidP="00E523A8">
      <w:pPr>
        <w:rPr>
          <w:b/>
          <w:szCs w:val="28"/>
          <w:lang w:val="en-US"/>
        </w:rPr>
      </w:pPr>
      <w:r w:rsidRPr="00E523A8">
        <w:rPr>
          <w:b/>
          <w:szCs w:val="28"/>
          <w:lang w:val="en-US"/>
        </w:rPr>
        <w:t>Table 2:</w:t>
      </w:r>
      <w:r w:rsidRPr="00E523A8">
        <w:rPr>
          <w:szCs w:val="28"/>
          <w:lang w:val="en-US"/>
        </w:rPr>
        <w:t xml:space="preserve"> </w:t>
      </w:r>
      <w:r w:rsidRPr="00E523A8">
        <w:rPr>
          <w:b/>
          <w:szCs w:val="28"/>
          <w:lang w:val="en-US"/>
        </w:rPr>
        <w:t xml:space="preserve">Expenditure weights by </w:t>
      </w:r>
      <w:r w:rsidR="00DF50EF">
        <w:rPr>
          <w:b/>
          <w:szCs w:val="28"/>
          <w:lang w:val="en-US"/>
        </w:rPr>
        <w:t>expenditure</w:t>
      </w:r>
      <w:r>
        <w:rPr>
          <w:b/>
          <w:szCs w:val="28"/>
          <w:lang w:val="en-US"/>
        </w:rPr>
        <w:t xml:space="preserve"> decile</w:t>
      </w:r>
      <w:r w:rsidRPr="00E523A8">
        <w:rPr>
          <w:b/>
          <w:szCs w:val="28"/>
          <w:lang w:val="en-US"/>
        </w:rPr>
        <w:t xml:space="preserve"> for 2019</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4"/>
        <w:gridCol w:w="629"/>
        <w:gridCol w:w="826"/>
        <w:gridCol w:w="630"/>
        <w:gridCol w:w="630"/>
        <w:gridCol w:w="630"/>
        <w:gridCol w:w="827"/>
        <w:gridCol w:w="827"/>
        <w:gridCol w:w="630"/>
        <w:gridCol w:w="827"/>
        <w:gridCol w:w="827"/>
        <w:gridCol w:w="827"/>
      </w:tblGrid>
      <w:tr w:rsidR="00E523A8" w:rsidRPr="00E523A8" w14:paraId="22D6A594" w14:textId="77777777" w:rsidTr="00156D1F">
        <w:trPr>
          <w:cantSplit/>
          <w:trHeight w:val="3616"/>
        </w:trPr>
        <w:tc>
          <w:tcPr>
            <w:tcW w:w="534" w:type="dxa"/>
            <w:shd w:val="clear" w:color="auto" w:fill="auto"/>
            <w:noWrap/>
            <w:vAlign w:val="bottom"/>
            <w:hideMark/>
          </w:tcPr>
          <w:p w14:paraId="2398BCC3" w14:textId="77777777" w:rsidR="00E523A8" w:rsidRPr="003E7C1F" w:rsidRDefault="00E523A8" w:rsidP="00E523A8">
            <w:pPr>
              <w:spacing w:after="0" w:line="360" w:lineRule="auto"/>
              <w:rPr>
                <w:lang w:val="en-US"/>
              </w:rPr>
            </w:pPr>
          </w:p>
        </w:tc>
        <w:tc>
          <w:tcPr>
            <w:tcW w:w="644" w:type="dxa"/>
            <w:shd w:val="clear" w:color="auto" w:fill="auto"/>
            <w:textDirection w:val="tbRl"/>
            <w:vAlign w:val="bottom"/>
            <w:hideMark/>
          </w:tcPr>
          <w:p w14:paraId="358E5012" w14:textId="77777777" w:rsidR="00E523A8" w:rsidRPr="003E7C1F" w:rsidRDefault="00E523A8" w:rsidP="00E523A8">
            <w:pPr>
              <w:spacing w:after="0" w:line="360" w:lineRule="auto"/>
              <w:ind w:left="113" w:right="113"/>
              <w:rPr>
                <w:lang w:val="en-US"/>
              </w:rPr>
            </w:pPr>
            <w:r w:rsidRPr="003E7C1F">
              <w:rPr>
                <w:lang w:val="en-US"/>
              </w:rPr>
              <w:t>Food and non-alcoholic beverages</w:t>
            </w:r>
          </w:p>
        </w:tc>
        <w:tc>
          <w:tcPr>
            <w:tcW w:w="629" w:type="dxa"/>
            <w:shd w:val="clear" w:color="auto" w:fill="auto"/>
            <w:textDirection w:val="tbRl"/>
            <w:vAlign w:val="bottom"/>
            <w:hideMark/>
          </w:tcPr>
          <w:p w14:paraId="2FA2841A" w14:textId="77777777" w:rsidR="00E523A8" w:rsidRPr="003E7C1F" w:rsidRDefault="00E523A8" w:rsidP="00E523A8">
            <w:pPr>
              <w:spacing w:after="0" w:line="360" w:lineRule="auto"/>
              <w:ind w:left="113" w:right="113"/>
              <w:rPr>
                <w:lang w:val="en-US"/>
              </w:rPr>
            </w:pPr>
            <w:r w:rsidRPr="003E7C1F">
              <w:rPr>
                <w:lang w:val="en-US"/>
              </w:rPr>
              <w:t>Alcoholic beverages, cigarette</w:t>
            </w:r>
          </w:p>
        </w:tc>
        <w:tc>
          <w:tcPr>
            <w:tcW w:w="826" w:type="dxa"/>
            <w:shd w:val="clear" w:color="auto" w:fill="auto"/>
            <w:textDirection w:val="tbRl"/>
            <w:hideMark/>
          </w:tcPr>
          <w:p w14:paraId="08B2B0D1" w14:textId="10EBA62E" w:rsidR="00E523A8" w:rsidRPr="003E7C1F" w:rsidRDefault="00E523A8" w:rsidP="00E523A8">
            <w:pPr>
              <w:spacing w:line="360" w:lineRule="auto"/>
              <w:ind w:left="113" w:right="113"/>
              <w:rPr>
                <w:lang w:val="en-US"/>
              </w:rPr>
            </w:pPr>
            <w:r w:rsidRPr="003E7C1F">
              <w:rPr>
                <w:lang w:val="en-US"/>
              </w:rPr>
              <w:t>Clothing and footwear</w:t>
            </w:r>
          </w:p>
        </w:tc>
        <w:tc>
          <w:tcPr>
            <w:tcW w:w="630" w:type="dxa"/>
            <w:shd w:val="clear" w:color="auto" w:fill="auto"/>
            <w:textDirection w:val="tbRl"/>
            <w:vAlign w:val="bottom"/>
            <w:hideMark/>
          </w:tcPr>
          <w:p w14:paraId="4A35ED75" w14:textId="77777777" w:rsidR="00E523A8" w:rsidRPr="003E7C1F" w:rsidRDefault="00E523A8" w:rsidP="00E523A8">
            <w:pPr>
              <w:spacing w:after="0" w:line="360" w:lineRule="auto"/>
              <w:ind w:left="113" w:right="113"/>
              <w:rPr>
                <w:lang w:val="en-US"/>
              </w:rPr>
            </w:pPr>
            <w:r w:rsidRPr="003E7C1F">
              <w:rPr>
                <w:lang w:val="en-US"/>
              </w:rPr>
              <w:t>Housing and rent</w:t>
            </w:r>
          </w:p>
        </w:tc>
        <w:tc>
          <w:tcPr>
            <w:tcW w:w="630" w:type="dxa"/>
            <w:shd w:val="clear" w:color="auto" w:fill="auto"/>
            <w:textDirection w:val="tbRl"/>
            <w:vAlign w:val="bottom"/>
            <w:hideMark/>
          </w:tcPr>
          <w:p w14:paraId="11E38FCD" w14:textId="77777777" w:rsidR="00E523A8" w:rsidRPr="003E7C1F" w:rsidRDefault="00E523A8" w:rsidP="00E523A8">
            <w:pPr>
              <w:spacing w:after="0" w:line="360" w:lineRule="auto"/>
              <w:ind w:left="113" w:right="113"/>
              <w:rPr>
                <w:lang w:val="en-US"/>
              </w:rPr>
            </w:pPr>
            <w:r w:rsidRPr="003E7C1F">
              <w:rPr>
                <w:lang w:val="en-US"/>
              </w:rPr>
              <w:t>Furniture, house appliances</w:t>
            </w:r>
          </w:p>
        </w:tc>
        <w:tc>
          <w:tcPr>
            <w:tcW w:w="630" w:type="dxa"/>
            <w:shd w:val="clear" w:color="auto" w:fill="auto"/>
            <w:textDirection w:val="tbRl"/>
            <w:vAlign w:val="bottom"/>
            <w:hideMark/>
          </w:tcPr>
          <w:p w14:paraId="62106D55" w14:textId="77777777" w:rsidR="00E523A8" w:rsidRPr="003E7C1F" w:rsidRDefault="00E523A8" w:rsidP="00E523A8">
            <w:pPr>
              <w:spacing w:after="0" w:line="360" w:lineRule="auto"/>
              <w:ind w:left="113" w:right="113"/>
              <w:rPr>
                <w:lang w:val="en-US"/>
              </w:rPr>
            </w:pPr>
            <w:r w:rsidRPr="003E7C1F">
              <w:rPr>
                <w:lang w:val="en-US"/>
              </w:rPr>
              <w:t>Health</w:t>
            </w:r>
          </w:p>
        </w:tc>
        <w:tc>
          <w:tcPr>
            <w:tcW w:w="827" w:type="dxa"/>
            <w:shd w:val="clear" w:color="auto" w:fill="auto"/>
            <w:textDirection w:val="tbRl"/>
            <w:hideMark/>
          </w:tcPr>
          <w:p w14:paraId="2B3F491F" w14:textId="77777777" w:rsidR="00E523A8" w:rsidRPr="003E7C1F" w:rsidRDefault="00E523A8" w:rsidP="00E523A8">
            <w:pPr>
              <w:spacing w:line="360" w:lineRule="auto"/>
              <w:ind w:left="113" w:right="113"/>
              <w:rPr>
                <w:lang w:val="en-US"/>
              </w:rPr>
            </w:pPr>
            <w:r w:rsidRPr="003E7C1F">
              <w:rPr>
                <w:lang w:val="en-US"/>
              </w:rPr>
              <w:t>Transportation</w:t>
            </w:r>
          </w:p>
        </w:tc>
        <w:tc>
          <w:tcPr>
            <w:tcW w:w="827" w:type="dxa"/>
            <w:shd w:val="clear" w:color="auto" w:fill="auto"/>
            <w:textDirection w:val="tbRl"/>
            <w:hideMark/>
          </w:tcPr>
          <w:p w14:paraId="35E4EBAD" w14:textId="77777777" w:rsidR="00E523A8" w:rsidRPr="003E7C1F" w:rsidRDefault="00E523A8" w:rsidP="00E523A8">
            <w:pPr>
              <w:spacing w:line="360" w:lineRule="auto"/>
              <w:ind w:left="113" w:right="113"/>
              <w:rPr>
                <w:lang w:val="en-US"/>
              </w:rPr>
            </w:pPr>
            <w:r w:rsidRPr="003E7C1F">
              <w:rPr>
                <w:lang w:val="en-US"/>
              </w:rPr>
              <w:t>Communication</w:t>
            </w:r>
          </w:p>
        </w:tc>
        <w:tc>
          <w:tcPr>
            <w:tcW w:w="630" w:type="dxa"/>
            <w:shd w:val="clear" w:color="auto" w:fill="auto"/>
            <w:textDirection w:val="tbRl"/>
            <w:vAlign w:val="bottom"/>
            <w:hideMark/>
          </w:tcPr>
          <w:p w14:paraId="2A321547" w14:textId="77777777" w:rsidR="00E523A8" w:rsidRPr="003E7C1F" w:rsidRDefault="00E523A8" w:rsidP="00E523A8">
            <w:pPr>
              <w:spacing w:after="0" w:line="360" w:lineRule="auto"/>
              <w:ind w:left="113" w:right="113"/>
              <w:rPr>
                <w:lang w:val="en-US"/>
              </w:rPr>
            </w:pPr>
            <w:r w:rsidRPr="003E7C1F">
              <w:rPr>
                <w:lang w:val="en-US"/>
              </w:rPr>
              <w:t>Entertainment and culture</w:t>
            </w:r>
          </w:p>
        </w:tc>
        <w:tc>
          <w:tcPr>
            <w:tcW w:w="827" w:type="dxa"/>
            <w:shd w:val="clear" w:color="auto" w:fill="auto"/>
            <w:textDirection w:val="tbRl"/>
            <w:hideMark/>
          </w:tcPr>
          <w:p w14:paraId="5E671EEE" w14:textId="77777777" w:rsidR="00E523A8" w:rsidRPr="003E7C1F" w:rsidRDefault="00E523A8" w:rsidP="00E523A8">
            <w:pPr>
              <w:spacing w:line="360" w:lineRule="auto"/>
              <w:ind w:left="113" w:right="113"/>
              <w:rPr>
                <w:lang w:val="en-US"/>
              </w:rPr>
            </w:pPr>
            <w:r w:rsidRPr="003E7C1F">
              <w:rPr>
                <w:lang w:val="en-US"/>
              </w:rPr>
              <w:t>Educational services</w:t>
            </w:r>
          </w:p>
        </w:tc>
        <w:tc>
          <w:tcPr>
            <w:tcW w:w="827" w:type="dxa"/>
            <w:shd w:val="clear" w:color="auto" w:fill="auto"/>
            <w:textDirection w:val="tbRl"/>
            <w:hideMark/>
          </w:tcPr>
          <w:p w14:paraId="351A7E02" w14:textId="77777777" w:rsidR="00E523A8" w:rsidRPr="003E7C1F" w:rsidRDefault="00E523A8" w:rsidP="00E523A8">
            <w:pPr>
              <w:spacing w:line="360" w:lineRule="auto"/>
              <w:ind w:left="113" w:right="113"/>
              <w:rPr>
                <w:lang w:val="en-US"/>
              </w:rPr>
            </w:pPr>
            <w:r w:rsidRPr="003E7C1F">
              <w:rPr>
                <w:lang w:val="en-US"/>
              </w:rPr>
              <w:t>Restaurant and food services, hotels</w:t>
            </w:r>
          </w:p>
        </w:tc>
        <w:tc>
          <w:tcPr>
            <w:tcW w:w="827" w:type="dxa"/>
            <w:shd w:val="clear" w:color="auto" w:fill="auto"/>
            <w:textDirection w:val="tbRl"/>
            <w:hideMark/>
          </w:tcPr>
          <w:p w14:paraId="5460DBA2" w14:textId="77777777" w:rsidR="00E523A8" w:rsidRPr="003E7C1F" w:rsidRDefault="00E523A8" w:rsidP="00E523A8">
            <w:pPr>
              <w:spacing w:line="360" w:lineRule="auto"/>
              <w:ind w:left="113" w:right="113"/>
              <w:rPr>
                <w:lang w:val="en-US"/>
              </w:rPr>
            </w:pPr>
            <w:r w:rsidRPr="003E7C1F">
              <w:rPr>
                <w:lang w:val="en-US"/>
              </w:rPr>
              <w:t>Various goods and services</w:t>
            </w:r>
          </w:p>
        </w:tc>
      </w:tr>
      <w:tr w:rsidR="00E523A8" w:rsidRPr="00E523A8" w14:paraId="20DA7C65" w14:textId="77777777" w:rsidTr="00156D1F">
        <w:trPr>
          <w:trHeight w:val="272"/>
        </w:trPr>
        <w:tc>
          <w:tcPr>
            <w:tcW w:w="534" w:type="dxa"/>
            <w:shd w:val="clear" w:color="auto" w:fill="auto"/>
            <w:noWrap/>
            <w:vAlign w:val="bottom"/>
            <w:hideMark/>
          </w:tcPr>
          <w:p w14:paraId="1F9ADC6F" w14:textId="77777777" w:rsidR="00E523A8" w:rsidRPr="003E7C1F" w:rsidRDefault="00E523A8" w:rsidP="00E523A8">
            <w:pPr>
              <w:spacing w:after="0" w:line="360" w:lineRule="auto"/>
              <w:rPr>
                <w:lang w:val="en-US"/>
              </w:rPr>
            </w:pPr>
            <w:r w:rsidRPr="003E7C1F">
              <w:rPr>
                <w:lang w:val="en-US"/>
              </w:rPr>
              <w:t>q1</w:t>
            </w:r>
          </w:p>
        </w:tc>
        <w:tc>
          <w:tcPr>
            <w:tcW w:w="644" w:type="dxa"/>
            <w:shd w:val="clear" w:color="auto" w:fill="auto"/>
            <w:noWrap/>
            <w:vAlign w:val="bottom"/>
            <w:hideMark/>
          </w:tcPr>
          <w:p w14:paraId="1307549C" w14:textId="77777777" w:rsidR="00E523A8" w:rsidRPr="003E7C1F" w:rsidRDefault="00E523A8" w:rsidP="00E523A8">
            <w:pPr>
              <w:spacing w:after="0" w:line="360" w:lineRule="auto"/>
              <w:rPr>
                <w:lang w:val="en-US"/>
              </w:rPr>
            </w:pPr>
            <w:r w:rsidRPr="003E7C1F">
              <w:rPr>
                <w:lang w:val="en-US"/>
              </w:rPr>
              <w:t>35.5</w:t>
            </w:r>
          </w:p>
        </w:tc>
        <w:tc>
          <w:tcPr>
            <w:tcW w:w="629" w:type="dxa"/>
            <w:shd w:val="clear" w:color="auto" w:fill="auto"/>
            <w:noWrap/>
            <w:vAlign w:val="bottom"/>
            <w:hideMark/>
          </w:tcPr>
          <w:p w14:paraId="1B45A6B0" w14:textId="77777777" w:rsidR="00E523A8" w:rsidRPr="003E7C1F" w:rsidRDefault="00E523A8" w:rsidP="00E523A8">
            <w:pPr>
              <w:spacing w:after="0" w:line="360" w:lineRule="auto"/>
              <w:rPr>
                <w:lang w:val="en-US"/>
              </w:rPr>
            </w:pPr>
            <w:r w:rsidRPr="003E7C1F">
              <w:rPr>
                <w:lang w:val="en-US"/>
              </w:rPr>
              <w:t>3.9</w:t>
            </w:r>
          </w:p>
        </w:tc>
        <w:tc>
          <w:tcPr>
            <w:tcW w:w="826" w:type="dxa"/>
            <w:shd w:val="clear" w:color="auto" w:fill="auto"/>
            <w:noWrap/>
            <w:vAlign w:val="bottom"/>
            <w:hideMark/>
          </w:tcPr>
          <w:p w14:paraId="5A186263" w14:textId="77777777" w:rsidR="00E523A8" w:rsidRPr="003E7C1F" w:rsidRDefault="00E523A8" w:rsidP="00E523A8">
            <w:pPr>
              <w:spacing w:after="0" w:line="360" w:lineRule="auto"/>
              <w:rPr>
                <w:lang w:val="en-US"/>
              </w:rPr>
            </w:pPr>
            <w:r w:rsidRPr="003E7C1F">
              <w:rPr>
                <w:lang w:val="en-US"/>
              </w:rPr>
              <w:t>2.2</w:t>
            </w:r>
          </w:p>
        </w:tc>
        <w:tc>
          <w:tcPr>
            <w:tcW w:w="630" w:type="dxa"/>
            <w:shd w:val="clear" w:color="auto" w:fill="auto"/>
            <w:noWrap/>
            <w:vAlign w:val="bottom"/>
            <w:hideMark/>
          </w:tcPr>
          <w:p w14:paraId="74834F7F" w14:textId="77777777" w:rsidR="00E523A8" w:rsidRPr="003E7C1F" w:rsidRDefault="00E523A8" w:rsidP="00E523A8">
            <w:pPr>
              <w:spacing w:after="0" w:line="360" w:lineRule="auto"/>
              <w:rPr>
                <w:lang w:val="en-US"/>
              </w:rPr>
            </w:pPr>
            <w:r w:rsidRPr="003E7C1F">
              <w:rPr>
                <w:lang w:val="en-US"/>
              </w:rPr>
              <w:t>40.1</w:t>
            </w:r>
          </w:p>
        </w:tc>
        <w:tc>
          <w:tcPr>
            <w:tcW w:w="630" w:type="dxa"/>
            <w:shd w:val="clear" w:color="auto" w:fill="auto"/>
            <w:noWrap/>
            <w:vAlign w:val="bottom"/>
            <w:hideMark/>
          </w:tcPr>
          <w:p w14:paraId="6C8DABAD" w14:textId="77777777" w:rsidR="00E523A8" w:rsidRPr="003E7C1F" w:rsidRDefault="00E523A8" w:rsidP="00E523A8">
            <w:pPr>
              <w:spacing w:after="0" w:line="360" w:lineRule="auto"/>
              <w:rPr>
                <w:lang w:val="en-US"/>
              </w:rPr>
            </w:pPr>
            <w:r w:rsidRPr="003E7C1F">
              <w:rPr>
                <w:lang w:val="en-US"/>
              </w:rPr>
              <w:t>4.1</w:t>
            </w:r>
          </w:p>
        </w:tc>
        <w:tc>
          <w:tcPr>
            <w:tcW w:w="630" w:type="dxa"/>
            <w:shd w:val="clear" w:color="auto" w:fill="auto"/>
            <w:noWrap/>
            <w:vAlign w:val="bottom"/>
            <w:hideMark/>
          </w:tcPr>
          <w:p w14:paraId="12000576" w14:textId="77777777" w:rsidR="00E523A8" w:rsidRPr="003E7C1F" w:rsidRDefault="00E523A8" w:rsidP="00E523A8">
            <w:pPr>
              <w:spacing w:after="0" w:line="360" w:lineRule="auto"/>
              <w:rPr>
                <w:lang w:val="en-US"/>
              </w:rPr>
            </w:pPr>
            <w:r w:rsidRPr="003E7C1F">
              <w:rPr>
                <w:lang w:val="en-US"/>
              </w:rPr>
              <w:t>1.5</w:t>
            </w:r>
          </w:p>
        </w:tc>
        <w:tc>
          <w:tcPr>
            <w:tcW w:w="827" w:type="dxa"/>
            <w:shd w:val="clear" w:color="auto" w:fill="auto"/>
            <w:noWrap/>
            <w:vAlign w:val="bottom"/>
            <w:hideMark/>
          </w:tcPr>
          <w:p w14:paraId="25DE2BDA" w14:textId="77777777" w:rsidR="00E523A8" w:rsidRPr="003E7C1F" w:rsidRDefault="00E523A8" w:rsidP="00E523A8">
            <w:pPr>
              <w:spacing w:after="0" w:line="360" w:lineRule="auto"/>
              <w:rPr>
                <w:lang w:val="en-US"/>
              </w:rPr>
            </w:pPr>
            <w:r w:rsidRPr="003E7C1F">
              <w:rPr>
                <w:lang w:val="en-US"/>
              </w:rPr>
              <w:t>3.6</w:t>
            </w:r>
          </w:p>
        </w:tc>
        <w:tc>
          <w:tcPr>
            <w:tcW w:w="827" w:type="dxa"/>
            <w:shd w:val="clear" w:color="auto" w:fill="auto"/>
            <w:noWrap/>
            <w:vAlign w:val="bottom"/>
            <w:hideMark/>
          </w:tcPr>
          <w:p w14:paraId="57451592" w14:textId="77777777" w:rsidR="00E523A8" w:rsidRPr="003E7C1F" w:rsidRDefault="00E523A8" w:rsidP="00E523A8">
            <w:pPr>
              <w:spacing w:after="0" w:line="360" w:lineRule="auto"/>
              <w:rPr>
                <w:lang w:val="en-US"/>
              </w:rPr>
            </w:pPr>
            <w:r w:rsidRPr="003E7C1F">
              <w:rPr>
                <w:lang w:val="en-US"/>
              </w:rPr>
              <w:t>3.2</w:t>
            </w:r>
          </w:p>
        </w:tc>
        <w:tc>
          <w:tcPr>
            <w:tcW w:w="630" w:type="dxa"/>
            <w:shd w:val="clear" w:color="auto" w:fill="auto"/>
            <w:noWrap/>
            <w:vAlign w:val="bottom"/>
            <w:hideMark/>
          </w:tcPr>
          <w:p w14:paraId="105977E8" w14:textId="77777777" w:rsidR="00E523A8" w:rsidRPr="003E7C1F" w:rsidRDefault="00E523A8" w:rsidP="00E523A8">
            <w:pPr>
              <w:spacing w:after="0" w:line="360" w:lineRule="auto"/>
              <w:rPr>
                <w:lang w:val="en-US"/>
              </w:rPr>
            </w:pPr>
            <w:r w:rsidRPr="003E7C1F">
              <w:rPr>
                <w:lang w:val="en-US"/>
              </w:rPr>
              <w:t>0.8</w:t>
            </w:r>
          </w:p>
        </w:tc>
        <w:tc>
          <w:tcPr>
            <w:tcW w:w="827" w:type="dxa"/>
            <w:shd w:val="clear" w:color="auto" w:fill="auto"/>
            <w:noWrap/>
            <w:vAlign w:val="bottom"/>
            <w:hideMark/>
          </w:tcPr>
          <w:p w14:paraId="5359A80B" w14:textId="77777777" w:rsidR="00E523A8" w:rsidRPr="003E7C1F" w:rsidRDefault="00E523A8" w:rsidP="00E523A8">
            <w:pPr>
              <w:spacing w:after="0" w:line="360" w:lineRule="auto"/>
              <w:rPr>
                <w:lang w:val="en-US"/>
              </w:rPr>
            </w:pPr>
            <w:r w:rsidRPr="003E7C1F">
              <w:rPr>
                <w:lang w:val="en-US"/>
              </w:rPr>
              <w:t>0.1</w:t>
            </w:r>
          </w:p>
        </w:tc>
        <w:tc>
          <w:tcPr>
            <w:tcW w:w="827" w:type="dxa"/>
            <w:shd w:val="clear" w:color="auto" w:fill="auto"/>
            <w:noWrap/>
            <w:vAlign w:val="bottom"/>
            <w:hideMark/>
          </w:tcPr>
          <w:p w14:paraId="319080A5" w14:textId="77777777" w:rsidR="00E523A8" w:rsidRPr="003E7C1F" w:rsidRDefault="00E523A8" w:rsidP="00E523A8">
            <w:pPr>
              <w:spacing w:after="0" w:line="360" w:lineRule="auto"/>
              <w:rPr>
                <w:lang w:val="en-US"/>
              </w:rPr>
            </w:pPr>
            <w:r w:rsidRPr="003E7C1F">
              <w:rPr>
                <w:lang w:val="en-US"/>
              </w:rPr>
              <w:t>2.9</w:t>
            </w:r>
          </w:p>
        </w:tc>
        <w:tc>
          <w:tcPr>
            <w:tcW w:w="827" w:type="dxa"/>
            <w:shd w:val="clear" w:color="auto" w:fill="auto"/>
            <w:noWrap/>
            <w:vAlign w:val="bottom"/>
            <w:hideMark/>
          </w:tcPr>
          <w:p w14:paraId="0FA3FAD5" w14:textId="77777777" w:rsidR="00E523A8" w:rsidRPr="003E7C1F" w:rsidRDefault="00E523A8" w:rsidP="00E523A8">
            <w:pPr>
              <w:spacing w:after="0" w:line="360" w:lineRule="auto"/>
              <w:rPr>
                <w:lang w:val="en-US"/>
              </w:rPr>
            </w:pPr>
            <w:r w:rsidRPr="003E7C1F">
              <w:rPr>
                <w:lang w:val="en-US"/>
              </w:rPr>
              <w:t>2.0</w:t>
            </w:r>
          </w:p>
        </w:tc>
      </w:tr>
      <w:tr w:rsidR="00E523A8" w:rsidRPr="00E523A8" w14:paraId="336C6E66" w14:textId="77777777" w:rsidTr="00156D1F">
        <w:trPr>
          <w:trHeight w:val="272"/>
        </w:trPr>
        <w:tc>
          <w:tcPr>
            <w:tcW w:w="534" w:type="dxa"/>
            <w:shd w:val="clear" w:color="auto" w:fill="auto"/>
            <w:noWrap/>
            <w:vAlign w:val="bottom"/>
          </w:tcPr>
          <w:p w14:paraId="78E2FF50" w14:textId="77777777" w:rsidR="00E523A8" w:rsidRPr="003E7C1F" w:rsidRDefault="00E523A8" w:rsidP="00E523A8">
            <w:pPr>
              <w:spacing w:after="0" w:line="360" w:lineRule="auto"/>
              <w:rPr>
                <w:lang w:val="en-US"/>
              </w:rPr>
            </w:pPr>
            <w:r w:rsidRPr="003E7C1F">
              <w:rPr>
                <w:lang w:val="en-US"/>
              </w:rPr>
              <w:t>q2</w:t>
            </w:r>
          </w:p>
        </w:tc>
        <w:tc>
          <w:tcPr>
            <w:tcW w:w="644" w:type="dxa"/>
            <w:shd w:val="clear" w:color="auto" w:fill="auto"/>
            <w:noWrap/>
            <w:vAlign w:val="bottom"/>
          </w:tcPr>
          <w:p w14:paraId="37698AFC" w14:textId="77777777" w:rsidR="00E523A8" w:rsidRPr="003E7C1F" w:rsidRDefault="00E523A8" w:rsidP="00E523A8">
            <w:pPr>
              <w:spacing w:after="0" w:line="360" w:lineRule="auto"/>
              <w:rPr>
                <w:lang w:val="en-US"/>
              </w:rPr>
            </w:pPr>
            <w:r w:rsidRPr="003E7C1F">
              <w:rPr>
                <w:lang w:val="en-US"/>
              </w:rPr>
              <w:t>31.5</w:t>
            </w:r>
          </w:p>
        </w:tc>
        <w:tc>
          <w:tcPr>
            <w:tcW w:w="629" w:type="dxa"/>
            <w:shd w:val="clear" w:color="auto" w:fill="auto"/>
            <w:noWrap/>
            <w:vAlign w:val="bottom"/>
          </w:tcPr>
          <w:p w14:paraId="6705C72D" w14:textId="77777777" w:rsidR="00E523A8" w:rsidRPr="003E7C1F" w:rsidRDefault="00E523A8" w:rsidP="00E523A8">
            <w:pPr>
              <w:spacing w:after="0" w:line="360" w:lineRule="auto"/>
              <w:rPr>
                <w:lang w:val="en-US"/>
              </w:rPr>
            </w:pPr>
            <w:r w:rsidRPr="003E7C1F">
              <w:rPr>
                <w:lang w:val="en-US"/>
              </w:rPr>
              <w:t>4.8</w:t>
            </w:r>
          </w:p>
        </w:tc>
        <w:tc>
          <w:tcPr>
            <w:tcW w:w="826" w:type="dxa"/>
            <w:shd w:val="clear" w:color="auto" w:fill="auto"/>
            <w:noWrap/>
            <w:vAlign w:val="bottom"/>
          </w:tcPr>
          <w:p w14:paraId="63B6FD2F" w14:textId="77777777" w:rsidR="00E523A8" w:rsidRPr="003E7C1F" w:rsidRDefault="00E523A8" w:rsidP="00E523A8">
            <w:pPr>
              <w:spacing w:after="0" w:line="360" w:lineRule="auto"/>
              <w:rPr>
                <w:lang w:val="en-US"/>
              </w:rPr>
            </w:pPr>
            <w:r w:rsidRPr="003E7C1F">
              <w:rPr>
                <w:lang w:val="en-US"/>
              </w:rPr>
              <w:t>3.1</w:t>
            </w:r>
          </w:p>
        </w:tc>
        <w:tc>
          <w:tcPr>
            <w:tcW w:w="630" w:type="dxa"/>
            <w:shd w:val="clear" w:color="auto" w:fill="auto"/>
            <w:noWrap/>
            <w:vAlign w:val="bottom"/>
          </w:tcPr>
          <w:p w14:paraId="7E1BED3B" w14:textId="77777777" w:rsidR="00E523A8" w:rsidRPr="003E7C1F" w:rsidRDefault="00E523A8" w:rsidP="00E523A8">
            <w:pPr>
              <w:spacing w:after="0" w:line="360" w:lineRule="auto"/>
              <w:rPr>
                <w:lang w:val="en-US"/>
              </w:rPr>
            </w:pPr>
            <w:r w:rsidRPr="003E7C1F">
              <w:rPr>
                <w:lang w:val="en-US"/>
              </w:rPr>
              <w:t>36.5</w:t>
            </w:r>
          </w:p>
        </w:tc>
        <w:tc>
          <w:tcPr>
            <w:tcW w:w="630" w:type="dxa"/>
            <w:shd w:val="clear" w:color="auto" w:fill="auto"/>
            <w:noWrap/>
            <w:vAlign w:val="bottom"/>
          </w:tcPr>
          <w:p w14:paraId="1068E5A0" w14:textId="77777777" w:rsidR="00E523A8" w:rsidRPr="003E7C1F" w:rsidRDefault="00E523A8" w:rsidP="00E523A8">
            <w:pPr>
              <w:spacing w:after="0" w:line="360" w:lineRule="auto"/>
              <w:rPr>
                <w:lang w:val="en-US"/>
              </w:rPr>
            </w:pPr>
            <w:r w:rsidRPr="003E7C1F">
              <w:rPr>
                <w:lang w:val="en-US"/>
              </w:rPr>
              <w:t>4.4</w:t>
            </w:r>
          </w:p>
        </w:tc>
        <w:tc>
          <w:tcPr>
            <w:tcW w:w="630" w:type="dxa"/>
            <w:shd w:val="clear" w:color="auto" w:fill="auto"/>
            <w:noWrap/>
            <w:vAlign w:val="bottom"/>
          </w:tcPr>
          <w:p w14:paraId="233DE1E6" w14:textId="77777777" w:rsidR="00E523A8" w:rsidRPr="003E7C1F" w:rsidRDefault="00E523A8" w:rsidP="00E523A8">
            <w:pPr>
              <w:spacing w:after="0" w:line="360" w:lineRule="auto"/>
              <w:rPr>
                <w:lang w:val="en-US"/>
              </w:rPr>
            </w:pPr>
            <w:r w:rsidRPr="003E7C1F">
              <w:rPr>
                <w:lang w:val="en-US"/>
              </w:rPr>
              <w:t>1.6</w:t>
            </w:r>
          </w:p>
        </w:tc>
        <w:tc>
          <w:tcPr>
            <w:tcW w:w="827" w:type="dxa"/>
            <w:shd w:val="clear" w:color="auto" w:fill="auto"/>
            <w:noWrap/>
            <w:vAlign w:val="bottom"/>
          </w:tcPr>
          <w:p w14:paraId="181005EE" w14:textId="77777777" w:rsidR="00E523A8" w:rsidRPr="003E7C1F" w:rsidRDefault="00E523A8" w:rsidP="00E523A8">
            <w:pPr>
              <w:spacing w:after="0" w:line="360" w:lineRule="auto"/>
              <w:rPr>
                <w:lang w:val="en-US"/>
              </w:rPr>
            </w:pPr>
            <w:r w:rsidRPr="003E7C1F">
              <w:rPr>
                <w:lang w:val="en-US"/>
              </w:rPr>
              <w:t>5.8</w:t>
            </w:r>
          </w:p>
        </w:tc>
        <w:tc>
          <w:tcPr>
            <w:tcW w:w="827" w:type="dxa"/>
            <w:shd w:val="clear" w:color="auto" w:fill="auto"/>
            <w:noWrap/>
            <w:vAlign w:val="bottom"/>
          </w:tcPr>
          <w:p w14:paraId="39C038FA" w14:textId="77777777" w:rsidR="00E523A8" w:rsidRPr="003E7C1F" w:rsidRDefault="00E523A8" w:rsidP="00E523A8">
            <w:pPr>
              <w:spacing w:after="0" w:line="360" w:lineRule="auto"/>
              <w:rPr>
                <w:lang w:val="en-US"/>
              </w:rPr>
            </w:pPr>
            <w:r w:rsidRPr="003E7C1F">
              <w:rPr>
                <w:lang w:val="en-US"/>
              </w:rPr>
              <w:t>3.5</w:t>
            </w:r>
          </w:p>
        </w:tc>
        <w:tc>
          <w:tcPr>
            <w:tcW w:w="630" w:type="dxa"/>
            <w:shd w:val="clear" w:color="auto" w:fill="auto"/>
            <w:noWrap/>
            <w:vAlign w:val="bottom"/>
          </w:tcPr>
          <w:p w14:paraId="1E56AD88" w14:textId="77777777" w:rsidR="00E523A8" w:rsidRPr="003E7C1F" w:rsidRDefault="00E523A8" w:rsidP="00E523A8">
            <w:pPr>
              <w:spacing w:after="0" w:line="360" w:lineRule="auto"/>
              <w:rPr>
                <w:lang w:val="en-US"/>
              </w:rPr>
            </w:pPr>
            <w:r w:rsidRPr="003E7C1F">
              <w:rPr>
                <w:lang w:val="en-US"/>
              </w:rPr>
              <w:t>1.4</w:t>
            </w:r>
          </w:p>
        </w:tc>
        <w:tc>
          <w:tcPr>
            <w:tcW w:w="827" w:type="dxa"/>
            <w:shd w:val="clear" w:color="auto" w:fill="auto"/>
            <w:noWrap/>
            <w:vAlign w:val="bottom"/>
          </w:tcPr>
          <w:p w14:paraId="7E4C04A8" w14:textId="77777777" w:rsidR="00E523A8" w:rsidRPr="003E7C1F" w:rsidRDefault="00E523A8" w:rsidP="00E523A8">
            <w:pPr>
              <w:spacing w:after="0" w:line="360" w:lineRule="auto"/>
              <w:rPr>
                <w:lang w:val="en-US"/>
              </w:rPr>
            </w:pPr>
            <w:r w:rsidRPr="003E7C1F">
              <w:rPr>
                <w:lang w:val="en-US"/>
              </w:rPr>
              <w:t>0.2</w:t>
            </w:r>
          </w:p>
        </w:tc>
        <w:tc>
          <w:tcPr>
            <w:tcW w:w="827" w:type="dxa"/>
            <w:shd w:val="clear" w:color="auto" w:fill="auto"/>
            <w:noWrap/>
            <w:vAlign w:val="bottom"/>
          </w:tcPr>
          <w:p w14:paraId="455BA175" w14:textId="77777777" w:rsidR="00E523A8" w:rsidRPr="003E7C1F" w:rsidRDefault="00E523A8" w:rsidP="00E523A8">
            <w:pPr>
              <w:spacing w:after="0" w:line="360" w:lineRule="auto"/>
              <w:rPr>
                <w:lang w:val="en-US"/>
              </w:rPr>
            </w:pPr>
            <w:r w:rsidRPr="003E7C1F">
              <w:rPr>
                <w:lang w:val="en-US"/>
              </w:rPr>
              <w:t>4.5</w:t>
            </w:r>
          </w:p>
        </w:tc>
        <w:tc>
          <w:tcPr>
            <w:tcW w:w="827" w:type="dxa"/>
            <w:shd w:val="clear" w:color="auto" w:fill="auto"/>
            <w:noWrap/>
            <w:vAlign w:val="bottom"/>
          </w:tcPr>
          <w:p w14:paraId="674DEC3B" w14:textId="77777777" w:rsidR="00E523A8" w:rsidRPr="003E7C1F" w:rsidRDefault="00E523A8" w:rsidP="00E523A8">
            <w:pPr>
              <w:spacing w:after="0" w:line="360" w:lineRule="auto"/>
              <w:rPr>
                <w:lang w:val="en-US"/>
              </w:rPr>
            </w:pPr>
            <w:r w:rsidRPr="003E7C1F">
              <w:rPr>
                <w:lang w:val="en-US"/>
              </w:rPr>
              <w:t>2.6</w:t>
            </w:r>
          </w:p>
        </w:tc>
      </w:tr>
      <w:tr w:rsidR="00E523A8" w:rsidRPr="00E523A8" w14:paraId="22621610" w14:textId="77777777" w:rsidTr="00156D1F">
        <w:trPr>
          <w:trHeight w:val="272"/>
        </w:trPr>
        <w:tc>
          <w:tcPr>
            <w:tcW w:w="534" w:type="dxa"/>
            <w:shd w:val="clear" w:color="auto" w:fill="auto"/>
            <w:noWrap/>
            <w:vAlign w:val="bottom"/>
          </w:tcPr>
          <w:p w14:paraId="61D40629" w14:textId="77777777" w:rsidR="00E523A8" w:rsidRPr="003E7C1F" w:rsidRDefault="00E523A8" w:rsidP="00E523A8">
            <w:pPr>
              <w:spacing w:after="0" w:line="360" w:lineRule="auto"/>
              <w:rPr>
                <w:lang w:val="en-US"/>
              </w:rPr>
            </w:pPr>
            <w:r w:rsidRPr="003E7C1F">
              <w:rPr>
                <w:lang w:val="en-US"/>
              </w:rPr>
              <w:t>q9</w:t>
            </w:r>
          </w:p>
        </w:tc>
        <w:tc>
          <w:tcPr>
            <w:tcW w:w="644" w:type="dxa"/>
            <w:shd w:val="clear" w:color="auto" w:fill="auto"/>
            <w:noWrap/>
            <w:vAlign w:val="bottom"/>
          </w:tcPr>
          <w:p w14:paraId="1DFD3B32" w14:textId="77777777" w:rsidR="00E523A8" w:rsidRPr="003E7C1F" w:rsidRDefault="00E523A8" w:rsidP="00E523A8">
            <w:pPr>
              <w:spacing w:after="0" w:line="360" w:lineRule="auto"/>
              <w:rPr>
                <w:lang w:val="en-US"/>
              </w:rPr>
            </w:pPr>
            <w:r w:rsidRPr="003E7C1F">
              <w:rPr>
                <w:lang w:val="en-US"/>
              </w:rPr>
              <w:t>18.6</w:t>
            </w:r>
          </w:p>
        </w:tc>
        <w:tc>
          <w:tcPr>
            <w:tcW w:w="629" w:type="dxa"/>
            <w:shd w:val="clear" w:color="auto" w:fill="auto"/>
            <w:noWrap/>
            <w:vAlign w:val="bottom"/>
          </w:tcPr>
          <w:p w14:paraId="16D4C103" w14:textId="77777777" w:rsidR="00E523A8" w:rsidRPr="003E7C1F" w:rsidRDefault="00E523A8" w:rsidP="00E523A8">
            <w:pPr>
              <w:spacing w:after="0" w:line="360" w:lineRule="auto"/>
              <w:rPr>
                <w:lang w:val="en-US"/>
              </w:rPr>
            </w:pPr>
            <w:r w:rsidRPr="003E7C1F">
              <w:rPr>
                <w:lang w:val="en-US"/>
              </w:rPr>
              <w:t>3.9</w:t>
            </w:r>
          </w:p>
        </w:tc>
        <w:tc>
          <w:tcPr>
            <w:tcW w:w="826" w:type="dxa"/>
            <w:shd w:val="clear" w:color="auto" w:fill="auto"/>
            <w:noWrap/>
            <w:vAlign w:val="bottom"/>
          </w:tcPr>
          <w:p w14:paraId="7AFD4D61" w14:textId="77777777" w:rsidR="00E523A8" w:rsidRPr="003E7C1F" w:rsidRDefault="00E523A8" w:rsidP="00E523A8">
            <w:pPr>
              <w:spacing w:after="0" w:line="360" w:lineRule="auto"/>
              <w:rPr>
                <w:lang w:val="en-US"/>
              </w:rPr>
            </w:pPr>
            <w:r w:rsidRPr="003E7C1F">
              <w:rPr>
                <w:lang w:val="en-US"/>
              </w:rPr>
              <w:t>5.8</w:t>
            </w:r>
          </w:p>
        </w:tc>
        <w:tc>
          <w:tcPr>
            <w:tcW w:w="630" w:type="dxa"/>
            <w:shd w:val="clear" w:color="auto" w:fill="auto"/>
            <w:noWrap/>
            <w:vAlign w:val="bottom"/>
          </w:tcPr>
          <w:p w14:paraId="628E7267" w14:textId="77777777" w:rsidR="00E523A8" w:rsidRPr="003E7C1F" w:rsidRDefault="00E523A8" w:rsidP="00E523A8">
            <w:pPr>
              <w:spacing w:after="0" w:line="360" w:lineRule="auto"/>
              <w:rPr>
                <w:lang w:val="en-US"/>
              </w:rPr>
            </w:pPr>
            <w:r w:rsidRPr="003E7C1F">
              <w:rPr>
                <w:lang w:val="en-US"/>
              </w:rPr>
              <w:t>21.3</w:t>
            </w:r>
          </w:p>
        </w:tc>
        <w:tc>
          <w:tcPr>
            <w:tcW w:w="630" w:type="dxa"/>
            <w:shd w:val="clear" w:color="auto" w:fill="auto"/>
            <w:noWrap/>
            <w:vAlign w:val="bottom"/>
          </w:tcPr>
          <w:p w14:paraId="0DC7D67A" w14:textId="77777777" w:rsidR="00E523A8" w:rsidRPr="003E7C1F" w:rsidRDefault="00E523A8" w:rsidP="00E523A8">
            <w:pPr>
              <w:spacing w:after="0" w:line="360" w:lineRule="auto"/>
              <w:rPr>
                <w:lang w:val="en-US"/>
              </w:rPr>
            </w:pPr>
            <w:r w:rsidRPr="003E7C1F">
              <w:rPr>
                <w:lang w:val="en-US"/>
              </w:rPr>
              <w:t>7.4</w:t>
            </w:r>
          </w:p>
        </w:tc>
        <w:tc>
          <w:tcPr>
            <w:tcW w:w="630" w:type="dxa"/>
            <w:shd w:val="clear" w:color="auto" w:fill="auto"/>
            <w:noWrap/>
            <w:vAlign w:val="bottom"/>
          </w:tcPr>
          <w:p w14:paraId="467BBFDD" w14:textId="77777777" w:rsidR="00E523A8" w:rsidRPr="003E7C1F" w:rsidRDefault="00E523A8" w:rsidP="00E523A8">
            <w:pPr>
              <w:spacing w:after="0" w:line="360" w:lineRule="auto"/>
              <w:rPr>
                <w:lang w:val="en-US"/>
              </w:rPr>
            </w:pPr>
            <w:r w:rsidRPr="003E7C1F">
              <w:rPr>
                <w:lang w:val="en-US"/>
              </w:rPr>
              <w:t>2.4</w:t>
            </w:r>
          </w:p>
        </w:tc>
        <w:tc>
          <w:tcPr>
            <w:tcW w:w="827" w:type="dxa"/>
            <w:shd w:val="clear" w:color="auto" w:fill="auto"/>
            <w:noWrap/>
            <w:vAlign w:val="bottom"/>
          </w:tcPr>
          <w:p w14:paraId="147C6E4F" w14:textId="77777777" w:rsidR="00E523A8" w:rsidRPr="003E7C1F" w:rsidRDefault="00E523A8" w:rsidP="00E523A8">
            <w:pPr>
              <w:spacing w:after="0" w:line="360" w:lineRule="auto"/>
              <w:rPr>
                <w:lang w:val="en-US"/>
              </w:rPr>
            </w:pPr>
            <w:r w:rsidRPr="003E7C1F">
              <w:rPr>
                <w:lang w:val="en-US"/>
              </w:rPr>
              <w:t>18.1</w:t>
            </w:r>
          </w:p>
        </w:tc>
        <w:tc>
          <w:tcPr>
            <w:tcW w:w="827" w:type="dxa"/>
            <w:shd w:val="clear" w:color="auto" w:fill="auto"/>
            <w:noWrap/>
            <w:vAlign w:val="bottom"/>
          </w:tcPr>
          <w:p w14:paraId="04A08B32" w14:textId="77777777" w:rsidR="00E523A8" w:rsidRPr="003E7C1F" w:rsidRDefault="00E523A8" w:rsidP="00E523A8">
            <w:pPr>
              <w:spacing w:after="0" w:line="360" w:lineRule="auto"/>
              <w:rPr>
                <w:lang w:val="en-US"/>
              </w:rPr>
            </w:pPr>
            <w:r w:rsidRPr="003E7C1F">
              <w:rPr>
                <w:lang w:val="en-US"/>
              </w:rPr>
              <w:t>3.9</w:t>
            </w:r>
          </w:p>
        </w:tc>
        <w:tc>
          <w:tcPr>
            <w:tcW w:w="630" w:type="dxa"/>
            <w:shd w:val="clear" w:color="auto" w:fill="auto"/>
            <w:noWrap/>
            <w:vAlign w:val="bottom"/>
          </w:tcPr>
          <w:p w14:paraId="1E089D03" w14:textId="77777777" w:rsidR="00E523A8" w:rsidRPr="003E7C1F" w:rsidRDefault="00E523A8" w:rsidP="00E523A8">
            <w:pPr>
              <w:spacing w:after="0" w:line="360" w:lineRule="auto"/>
              <w:rPr>
                <w:lang w:val="en-US"/>
              </w:rPr>
            </w:pPr>
            <w:r w:rsidRPr="003E7C1F">
              <w:rPr>
                <w:lang w:val="en-US"/>
              </w:rPr>
              <w:t>3.3</w:t>
            </w:r>
          </w:p>
        </w:tc>
        <w:tc>
          <w:tcPr>
            <w:tcW w:w="827" w:type="dxa"/>
            <w:shd w:val="clear" w:color="auto" w:fill="auto"/>
            <w:noWrap/>
            <w:vAlign w:val="bottom"/>
          </w:tcPr>
          <w:p w14:paraId="4B7C3722" w14:textId="77777777" w:rsidR="00E523A8" w:rsidRPr="003E7C1F" w:rsidRDefault="00E523A8" w:rsidP="00E523A8">
            <w:pPr>
              <w:spacing w:after="0" w:line="360" w:lineRule="auto"/>
              <w:rPr>
                <w:lang w:val="en-US"/>
              </w:rPr>
            </w:pPr>
            <w:r w:rsidRPr="003E7C1F">
              <w:rPr>
                <w:lang w:val="en-US"/>
              </w:rPr>
              <w:t>3.0</w:t>
            </w:r>
          </w:p>
        </w:tc>
        <w:tc>
          <w:tcPr>
            <w:tcW w:w="827" w:type="dxa"/>
            <w:shd w:val="clear" w:color="auto" w:fill="auto"/>
            <w:noWrap/>
            <w:vAlign w:val="bottom"/>
          </w:tcPr>
          <w:p w14:paraId="775BF248" w14:textId="77777777" w:rsidR="00E523A8" w:rsidRPr="003E7C1F" w:rsidRDefault="00E523A8" w:rsidP="00E523A8">
            <w:pPr>
              <w:spacing w:after="0" w:line="360" w:lineRule="auto"/>
              <w:rPr>
                <w:lang w:val="en-US"/>
              </w:rPr>
            </w:pPr>
            <w:r w:rsidRPr="003E7C1F">
              <w:rPr>
                <w:lang w:val="en-US"/>
              </w:rPr>
              <w:t>7.3</w:t>
            </w:r>
          </w:p>
        </w:tc>
        <w:tc>
          <w:tcPr>
            <w:tcW w:w="827" w:type="dxa"/>
            <w:shd w:val="clear" w:color="auto" w:fill="auto"/>
            <w:noWrap/>
            <w:vAlign w:val="bottom"/>
          </w:tcPr>
          <w:p w14:paraId="1D6AB9AE" w14:textId="77777777" w:rsidR="00E523A8" w:rsidRPr="003E7C1F" w:rsidRDefault="00E523A8" w:rsidP="00E523A8">
            <w:pPr>
              <w:spacing w:after="0" w:line="360" w:lineRule="auto"/>
              <w:rPr>
                <w:lang w:val="en-US"/>
              </w:rPr>
            </w:pPr>
            <w:r w:rsidRPr="003E7C1F">
              <w:rPr>
                <w:lang w:val="en-US"/>
              </w:rPr>
              <w:t>5.0</w:t>
            </w:r>
          </w:p>
        </w:tc>
      </w:tr>
      <w:tr w:rsidR="00E523A8" w:rsidRPr="00E523A8" w14:paraId="4D86F620" w14:textId="77777777" w:rsidTr="00156D1F">
        <w:trPr>
          <w:trHeight w:val="272"/>
        </w:trPr>
        <w:tc>
          <w:tcPr>
            <w:tcW w:w="534" w:type="dxa"/>
            <w:shd w:val="clear" w:color="auto" w:fill="auto"/>
            <w:noWrap/>
            <w:vAlign w:val="bottom"/>
            <w:hideMark/>
          </w:tcPr>
          <w:p w14:paraId="27F53317" w14:textId="4A5A6993" w:rsidR="00E523A8" w:rsidRPr="003E7C1F" w:rsidRDefault="00E523A8" w:rsidP="00156D1F">
            <w:pPr>
              <w:spacing w:after="0" w:line="360" w:lineRule="auto"/>
              <w:rPr>
                <w:lang w:val="en-US"/>
              </w:rPr>
            </w:pPr>
            <w:r w:rsidRPr="003E7C1F">
              <w:rPr>
                <w:lang w:val="en-US"/>
              </w:rPr>
              <w:t>q1</w:t>
            </w:r>
            <w:r w:rsidR="00156D1F">
              <w:rPr>
                <w:lang w:val="en-US"/>
              </w:rPr>
              <w:t>0</w:t>
            </w:r>
          </w:p>
        </w:tc>
        <w:tc>
          <w:tcPr>
            <w:tcW w:w="644" w:type="dxa"/>
            <w:shd w:val="clear" w:color="auto" w:fill="auto"/>
            <w:noWrap/>
            <w:vAlign w:val="bottom"/>
            <w:hideMark/>
          </w:tcPr>
          <w:p w14:paraId="04B5B394" w14:textId="77777777" w:rsidR="00E523A8" w:rsidRPr="003E7C1F" w:rsidRDefault="00E523A8" w:rsidP="00E523A8">
            <w:pPr>
              <w:spacing w:after="0" w:line="360" w:lineRule="auto"/>
              <w:rPr>
                <w:lang w:val="en-US"/>
              </w:rPr>
            </w:pPr>
            <w:r w:rsidRPr="003E7C1F">
              <w:rPr>
                <w:lang w:val="en-US"/>
              </w:rPr>
              <w:t>11.8</w:t>
            </w:r>
          </w:p>
        </w:tc>
        <w:tc>
          <w:tcPr>
            <w:tcW w:w="629" w:type="dxa"/>
            <w:shd w:val="clear" w:color="auto" w:fill="auto"/>
            <w:noWrap/>
            <w:vAlign w:val="bottom"/>
            <w:hideMark/>
          </w:tcPr>
          <w:p w14:paraId="49B6ED69" w14:textId="77777777" w:rsidR="00E523A8" w:rsidRPr="003E7C1F" w:rsidRDefault="00E523A8" w:rsidP="00E523A8">
            <w:pPr>
              <w:spacing w:after="0" w:line="360" w:lineRule="auto"/>
              <w:rPr>
                <w:lang w:val="en-US"/>
              </w:rPr>
            </w:pPr>
            <w:r w:rsidRPr="003E7C1F">
              <w:rPr>
                <w:lang w:val="en-US"/>
              </w:rPr>
              <w:t>2.7</w:t>
            </w:r>
          </w:p>
        </w:tc>
        <w:tc>
          <w:tcPr>
            <w:tcW w:w="826" w:type="dxa"/>
            <w:shd w:val="clear" w:color="auto" w:fill="auto"/>
            <w:noWrap/>
            <w:vAlign w:val="bottom"/>
            <w:hideMark/>
          </w:tcPr>
          <w:p w14:paraId="09BEBB47" w14:textId="77777777" w:rsidR="00E523A8" w:rsidRPr="003E7C1F" w:rsidRDefault="00E523A8" w:rsidP="00E523A8">
            <w:pPr>
              <w:spacing w:after="0" w:line="360" w:lineRule="auto"/>
              <w:rPr>
                <w:lang w:val="en-US"/>
              </w:rPr>
            </w:pPr>
            <w:r w:rsidRPr="003E7C1F">
              <w:rPr>
                <w:lang w:val="en-US"/>
              </w:rPr>
              <w:t>5.5</w:t>
            </w:r>
          </w:p>
        </w:tc>
        <w:tc>
          <w:tcPr>
            <w:tcW w:w="630" w:type="dxa"/>
            <w:shd w:val="clear" w:color="auto" w:fill="auto"/>
            <w:noWrap/>
            <w:vAlign w:val="bottom"/>
            <w:hideMark/>
          </w:tcPr>
          <w:p w14:paraId="75233602" w14:textId="77777777" w:rsidR="00E523A8" w:rsidRPr="003E7C1F" w:rsidRDefault="00E523A8" w:rsidP="00E523A8">
            <w:pPr>
              <w:spacing w:after="0" w:line="360" w:lineRule="auto"/>
              <w:rPr>
                <w:lang w:val="en-US"/>
              </w:rPr>
            </w:pPr>
            <w:r w:rsidRPr="003E7C1F">
              <w:rPr>
                <w:lang w:val="en-US"/>
              </w:rPr>
              <w:t>14.6</w:t>
            </w:r>
          </w:p>
        </w:tc>
        <w:tc>
          <w:tcPr>
            <w:tcW w:w="630" w:type="dxa"/>
            <w:shd w:val="clear" w:color="auto" w:fill="auto"/>
            <w:noWrap/>
            <w:vAlign w:val="bottom"/>
            <w:hideMark/>
          </w:tcPr>
          <w:p w14:paraId="62DBD2CD" w14:textId="77777777" w:rsidR="00E523A8" w:rsidRPr="003E7C1F" w:rsidRDefault="00E523A8" w:rsidP="00E523A8">
            <w:pPr>
              <w:spacing w:after="0" w:line="360" w:lineRule="auto"/>
              <w:rPr>
                <w:lang w:val="en-US"/>
              </w:rPr>
            </w:pPr>
            <w:r w:rsidRPr="003E7C1F">
              <w:rPr>
                <w:lang w:val="en-US"/>
              </w:rPr>
              <w:t>7.1</w:t>
            </w:r>
          </w:p>
        </w:tc>
        <w:tc>
          <w:tcPr>
            <w:tcW w:w="630" w:type="dxa"/>
            <w:shd w:val="clear" w:color="auto" w:fill="auto"/>
            <w:noWrap/>
            <w:vAlign w:val="bottom"/>
            <w:hideMark/>
          </w:tcPr>
          <w:p w14:paraId="2632E7DA" w14:textId="77777777" w:rsidR="00E523A8" w:rsidRPr="003E7C1F" w:rsidRDefault="00E523A8" w:rsidP="00E523A8">
            <w:pPr>
              <w:spacing w:after="0" w:line="360" w:lineRule="auto"/>
              <w:rPr>
                <w:lang w:val="en-US"/>
              </w:rPr>
            </w:pPr>
            <w:r w:rsidRPr="003E7C1F">
              <w:rPr>
                <w:lang w:val="en-US"/>
              </w:rPr>
              <w:t>2.5</w:t>
            </w:r>
          </w:p>
        </w:tc>
        <w:tc>
          <w:tcPr>
            <w:tcW w:w="827" w:type="dxa"/>
            <w:shd w:val="clear" w:color="auto" w:fill="auto"/>
            <w:noWrap/>
            <w:vAlign w:val="bottom"/>
            <w:hideMark/>
          </w:tcPr>
          <w:p w14:paraId="09F566D2" w14:textId="77777777" w:rsidR="00E523A8" w:rsidRPr="003E7C1F" w:rsidRDefault="00E523A8" w:rsidP="00E523A8">
            <w:pPr>
              <w:spacing w:after="0" w:line="360" w:lineRule="auto"/>
              <w:rPr>
                <w:lang w:val="en-US"/>
              </w:rPr>
            </w:pPr>
            <w:r w:rsidRPr="003E7C1F">
              <w:rPr>
                <w:lang w:val="en-US"/>
              </w:rPr>
              <w:t>29.2</w:t>
            </w:r>
          </w:p>
        </w:tc>
        <w:tc>
          <w:tcPr>
            <w:tcW w:w="827" w:type="dxa"/>
            <w:shd w:val="clear" w:color="auto" w:fill="auto"/>
            <w:noWrap/>
            <w:vAlign w:val="bottom"/>
            <w:hideMark/>
          </w:tcPr>
          <w:p w14:paraId="26764ADA" w14:textId="77777777" w:rsidR="00E523A8" w:rsidRPr="003E7C1F" w:rsidRDefault="00E523A8" w:rsidP="00E523A8">
            <w:pPr>
              <w:spacing w:after="0" w:line="360" w:lineRule="auto"/>
              <w:rPr>
                <w:lang w:val="en-US"/>
              </w:rPr>
            </w:pPr>
            <w:r w:rsidRPr="003E7C1F">
              <w:rPr>
                <w:lang w:val="en-US"/>
              </w:rPr>
              <w:t>2.9</w:t>
            </w:r>
          </w:p>
        </w:tc>
        <w:tc>
          <w:tcPr>
            <w:tcW w:w="630" w:type="dxa"/>
            <w:shd w:val="clear" w:color="auto" w:fill="auto"/>
            <w:noWrap/>
            <w:vAlign w:val="bottom"/>
            <w:hideMark/>
          </w:tcPr>
          <w:p w14:paraId="23224864" w14:textId="77777777" w:rsidR="00E523A8" w:rsidRPr="003E7C1F" w:rsidRDefault="00E523A8" w:rsidP="00E523A8">
            <w:pPr>
              <w:spacing w:after="0" w:line="360" w:lineRule="auto"/>
              <w:rPr>
                <w:lang w:val="en-US"/>
              </w:rPr>
            </w:pPr>
            <w:r w:rsidRPr="003E7C1F">
              <w:rPr>
                <w:lang w:val="en-US"/>
              </w:rPr>
              <w:t>4.5</w:t>
            </w:r>
          </w:p>
        </w:tc>
        <w:tc>
          <w:tcPr>
            <w:tcW w:w="827" w:type="dxa"/>
            <w:shd w:val="clear" w:color="auto" w:fill="auto"/>
            <w:noWrap/>
            <w:vAlign w:val="bottom"/>
            <w:hideMark/>
          </w:tcPr>
          <w:p w14:paraId="753FEAD5" w14:textId="77777777" w:rsidR="00E523A8" w:rsidRPr="003E7C1F" w:rsidRDefault="00E523A8" w:rsidP="00E523A8">
            <w:pPr>
              <w:spacing w:after="0" w:line="360" w:lineRule="auto"/>
              <w:rPr>
                <w:lang w:val="en-US"/>
              </w:rPr>
            </w:pPr>
            <w:r w:rsidRPr="003E7C1F">
              <w:rPr>
                <w:lang w:val="en-US"/>
              </w:rPr>
              <w:t>4.8</w:t>
            </w:r>
          </w:p>
        </w:tc>
        <w:tc>
          <w:tcPr>
            <w:tcW w:w="827" w:type="dxa"/>
            <w:shd w:val="clear" w:color="auto" w:fill="auto"/>
            <w:noWrap/>
            <w:vAlign w:val="bottom"/>
            <w:hideMark/>
          </w:tcPr>
          <w:p w14:paraId="3020EAA9" w14:textId="77777777" w:rsidR="00E523A8" w:rsidRPr="003E7C1F" w:rsidRDefault="00E523A8" w:rsidP="00E523A8">
            <w:pPr>
              <w:spacing w:after="0" w:line="360" w:lineRule="auto"/>
              <w:rPr>
                <w:lang w:val="en-US"/>
              </w:rPr>
            </w:pPr>
            <w:r w:rsidRPr="003E7C1F">
              <w:rPr>
                <w:lang w:val="en-US"/>
              </w:rPr>
              <w:t>6.5</w:t>
            </w:r>
          </w:p>
        </w:tc>
        <w:tc>
          <w:tcPr>
            <w:tcW w:w="827" w:type="dxa"/>
            <w:shd w:val="clear" w:color="auto" w:fill="auto"/>
            <w:noWrap/>
            <w:vAlign w:val="bottom"/>
            <w:hideMark/>
          </w:tcPr>
          <w:p w14:paraId="79D723D7" w14:textId="77777777" w:rsidR="00E523A8" w:rsidRPr="003E7C1F" w:rsidRDefault="00E523A8" w:rsidP="00E523A8">
            <w:pPr>
              <w:spacing w:after="0" w:line="360" w:lineRule="auto"/>
              <w:rPr>
                <w:lang w:val="en-US"/>
              </w:rPr>
            </w:pPr>
            <w:r w:rsidRPr="003E7C1F">
              <w:rPr>
                <w:lang w:val="en-US"/>
              </w:rPr>
              <w:t>8.1</w:t>
            </w:r>
          </w:p>
        </w:tc>
      </w:tr>
    </w:tbl>
    <w:p w14:paraId="51A36F33" w14:textId="57C40849" w:rsidR="00E523A8" w:rsidRDefault="00E523A8" w:rsidP="00E523A8">
      <w:pPr>
        <w:rPr>
          <w:b/>
          <w:szCs w:val="28"/>
          <w:lang w:val="en-US"/>
        </w:rPr>
      </w:pPr>
    </w:p>
    <w:p w14:paraId="167EBC07" w14:textId="6635BE01" w:rsidR="00E523A8" w:rsidRDefault="00E523A8" w:rsidP="00E523A8">
      <w:pPr>
        <w:rPr>
          <w:b/>
          <w:szCs w:val="28"/>
          <w:lang w:val="en-US"/>
        </w:rPr>
      </w:pPr>
    </w:p>
    <w:p w14:paraId="36C70E25" w14:textId="0D767CDB" w:rsidR="00E523A8" w:rsidRDefault="00E523A8" w:rsidP="00E523A8">
      <w:pPr>
        <w:rPr>
          <w:b/>
          <w:szCs w:val="28"/>
          <w:lang w:val="en-US"/>
        </w:rPr>
      </w:pPr>
    </w:p>
    <w:p w14:paraId="15A0A81D" w14:textId="4F5E301C" w:rsidR="00E523A8" w:rsidRDefault="00E523A8" w:rsidP="00E523A8">
      <w:pPr>
        <w:rPr>
          <w:b/>
          <w:szCs w:val="28"/>
          <w:lang w:val="en-US"/>
        </w:rPr>
      </w:pPr>
    </w:p>
    <w:tbl>
      <w:tblPr>
        <w:tblStyle w:val="TableGrid"/>
        <w:tblpPr w:leftFromText="180" w:rightFromText="180" w:vertAnchor="page" w:horzAnchor="margin" w:tblpY="1941"/>
        <w:tblW w:w="9756" w:type="dxa"/>
        <w:tblLook w:val="04A0" w:firstRow="1" w:lastRow="0" w:firstColumn="1" w:lastColumn="0" w:noHBand="0" w:noVBand="1"/>
      </w:tblPr>
      <w:tblGrid>
        <w:gridCol w:w="988"/>
        <w:gridCol w:w="849"/>
        <w:gridCol w:w="719"/>
        <w:gridCol w:w="849"/>
        <w:gridCol w:w="850"/>
        <w:gridCol w:w="1275"/>
        <w:gridCol w:w="1556"/>
        <w:gridCol w:w="1372"/>
        <w:gridCol w:w="1298"/>
      </w:tblGrid>
      <w:tr w:rsidR="00B54653" w:rsidRPr="00404A08" w14:paraId="71D6A0D1" w14:textId="77777777" w:rsidTr="00B54653">
        <w:trPr>
          <w:trHeight w:val="233"/>
        </w:trPr>
        <w:tc>
          <w:tcPr>
            <w:tcW w:w="988" w:type="dxa"/>
          </w:tcPr>
          <w:p w14:paraId="05B7CF1D" w14:textId="77777777" w:rsidR="00B54653" w:rsidRPr="00404A08" w:rsidRDefault="00B54653" w:rsidP="00B54653">
            <w:pPr>
              <w:rPr>
                <w:lang w:val="en-US"/>
              </w:rPr>
            </w:pPr>
          </w:p>
        </w:tc>
        <w:tc>
          <w:tcPr>
            <w:tcW w:w="849" w:type="dxa"/>
          </w:tcPr>
          <w:p w14:paraId="77914228" w14:textId="77777777" w:rsidR="00B54653" w:rsidRPr="00404A08" w:rsidRDefault="00B54653" w:rsidP="00B54653">
            <w:pPr>
              <w:jc w:val="center"/>
              <w:rPr>
                <w:b/>
                <w:lang w:val="en-US"/>
              </w:rPr>
            </w:pPr>
            <w:r w:rsidRPr="00404A08">
              <w:rPr>
                <w:b/>
                <w:lang w:val="en-US"/>
              </w:rPr>
              <w:t>q1</w:t>
            </w:r>
          </w:p>
        </w:tc>
        <w:tc>
          <w:tcPr>
            <w:tcW w:w="719" w:type="dxa"/>
          </w:tcPr>
          <w:p w14:paraId="1AA3E255" w14:textId="77777777" w:rsidR="00B54653" w:rsidRPr="00404A08" w:rsidRDefault="00B54653" w:rsidP="00B54653">
            <w:pPr>
              <w:jc w:val="center"/>
              <w:rPr>
                <w:b/>
                <w:lang w:val="en-US"/>
              </w:rPr>
            </w:pPr>
            <w:r w:rsidRPr="00404A08">
              <w:rPr>
                <w:b/>
                <w:lang w:val="en-US"/>
              </w:rPr>
              <w:t>q2</w:t>
            </w:r>
          </w:p>
        </w:tc>
        <w:tc>
          <w:tcPr>
            <w:tcW w:w="849" w:type="dxa"/>
          </w:tcPr>
          <w:p w14:paraId="1C2E9CA4" w14:textId="77777777" w:rsidR="00B54653" w:rsidRPr="00404A08" w:rsidRDefault="00B54653" w:rsidP="00B54653">
            <w:pPr>
              <w:jc w:val="center"/>
              <w:rPr>
                <w:b/>
                <w:lang w:val="en-US"/>
              </w:rPr>
            </w:pPr>
            <w:r w:rsidRPr="00404A08">
              <w:rPr>
                <w:b/>
                <w:lang w:val="en-US"/>
              </w:rPr>
              <w:t>q9</w:t>
            </w:r>
          </w:p>
        </w:tc>
        <w:tc>
          <w:tcPr>
            <w:tcW w:w="850" w:type="dxa"/>
          </w:tcPr>
          <w:p w14:paraId="433BF72D" w14:textId="77777777" w:rsidR="00B54653" w:rsidRPr="00404A08" w:rsidRDefault="00B54653" w:rsidP="00B54653">
            <w:pPr>
              <w:jc w:val="center"/>
              <w:rPr>
                <w:b/>
                <w:lang w:val="en-US"/>
              </w:rPr>
            </w:pPr>
            <w:r w:rsidRPr="00404A08">
              <w:rPr>
                <w:b/>
                <w:lang w:val="en-US"/>
              </w:rPr>
              <w:t>q10</w:t>
            </w:r>
          </w:p>
        </w:tc>
        <w:tc>
          <w:tcPr>
            <w:tcW w:w="1275" w:type="dxa"/>
          </w:tcPr>
          <w:p w14:paraId="6E864AA4" w14:textId="77777777" w:rsidR="00B54653" w:rsidRPr="00404A08" w:rsidRDefault="00B54653" w:rsidP="00B54653">
            <w:pPr>
              <w:jc w:val="center"/>
              <w:rPr>
                <w:b/>
                <w:lang w:val="en-US"/>
              </w:rPr>
            </w:pPr>
            <w:r w:rsidRPr="00404A08">
              <w:rPr>
                <w:b/>
                <w:lang w:val="en-US"/>
              </w:rPr>
              <w:t>Diff.(q1-q2)</w:t>
            </w:r>
          </w:p>
        </w:tc>
        <w:tc>
          <w:tcPr>
            <w:tcW w:w="1556" w:type="dxa"/>
          </w:tcPr>
          <w:p w14:paraId="30EA78DB" w14:textId="77777777" w:rsidR="00B54653" w:rsidRPr="00404A08" w:rsidRDefault="00B54653" w:rsidP="00B54653">
            <w:pPr>
              <w:jc w:val="center"/>
              <w:rPr>
                <w:b/>
                <w:lang w:val="en-US"/>
              </w:rPr>
            </w:pPr>
            <w:r w:rsidRPr="00404A08">
              <w:rPr>
                <w:b/>
                <w:lang w:val="en-US"/>
              </w:rPr>
              <w:t>Diff.(q1-q10)</w:t>
            </w:r>
          </w:p>
        </w:tc>
        <w:tc>
          <w:tcPr>
            <w:tcW w:w="1372" w:type="dxa"/>
          </w:tcPr>
          <w:p w14:paraId="2E2B2607" w14:textId="77777777" w:rsidR="00B54653" w:rsidRPr="00404A08" w:rsidRDefault="00B54653" w:rsidP="00B54653">
            <w:pPr>
              <w:jc w:val="center"/>
              <w:rPr>
                <w:b/>
                <w:lang w:val="en-US"/>
              </w:rPr>
            </w:pPr>
            <w:r w:rsidRPr="00404A08">
              <w:rPr>
                <w:b/>
                <w:lang w:val="en-US"/>
              </w:rPr>
              <w:t>Diff.(q2-q10)</w:t>
            </w:r>
          </w:p>
        </w:tc>
        <w:tc>
          <w:tcPr>
            <w:tcW w:w="1298" w:type="dxa"/>
          </w:tcPr>
          <w:p w14:paraId="485EA46C" w14:textId="77777777" w:rsidR="00B54653" w:rsidRPr="00404A08" w:rsidRDefault="00B54653" w:rsidP="00B54653">
            <w:pPr>
              <w:jc w:val="center"/>
              <w:rPr>
                <w:b/>
                <w:lang w:val="en-US"/>
              </w:rPr>
            </w:pPr>
            <w:r w:rsidRPr="00404A08">
              <w:rPr>
                <w:b/>
                <w:lang w:val="en-US"/>
              </w:rPr>
              <w:t>Diff.(q9-q10)</w:t>
            </w:r>
          </w:p>
        </w:tc>
      </w:tr>
      <w:tr w:rsidR="00B54653" w:rsidRPr="00404A08" w14:paraId="219EF6B8" w14:textId="77777777" w:rsidTr="00B54653">
        <w:trPr>
          <w:trHeight w:val="253"/>
        </w:trPr>
        <w:tc>
          <w:tcPr>
            <w:tcW w:w="988" w:type="dxa"/>
          </w:tcPr>
          <w:p w14:paraId="51E46D1B" w14:textId="77777777" w:rsidR="00B54653" w:rsidRPr="00404A08" w:rsidRDefault="00B54653" w:rsidP="00B54653">
            <w:pPr>
              <w:rPr>
                <w:b/>
                <w:lang w:val="en-US"/>
              </w:rPr>
            </w:pPr>
            <w:r w:rsidRPr="00404A08">
              <w:rPr>
                <w:b/>
                <w:lang w:val="en-US"/>
              </w:rPr>
              <w:t>1</w:t>
            </w:r>
          </w:p>
        </w:tc>
        <w:tc>
          <w:tcPr>
            <w:tcW w:w="849" w:type="dxa"/>
          </w:tcPr>
          <w:p w14:paraId="433A9653" w14:textId="77777777" w:rsidR="00B54653" w:rsidRPr="00404A08" w:rsidRDefault="00B54653" w:rsidP="00B54653">
            <w:pPr>
              <w:jc w:val="center"/>
              <w:rPr>
                <w:lang w:val="en-US"/>
              </w:rPr>
            </w:pPr>
            <w:r w:rsidRPr="00404A08">
              <w:rPr>
                <w:lang w:val="en-US"/>
              </w:rPr>
              <w:t>196,5</w:t>
            </w:r>
          </w:p>
        </w:tc>
        <w:tc>
          <w:tcPr>
            <w:tcW w:w="719" w:type="dxa"/>
          </w:tcPr>
          <w:p w14:paraId="39A5CF1C" w14:textId="77777777" w:rsidR="00B54653" w:rsidRPr="00404A08" w:rsidRDefault="00B54653" w:rsidP="00B54653">
            <w:pPr>
              <w:jc w:val="center"/>
              <w:rPr>
                <w:lang w:val="en-US"/>
              </w:rPr>
            </w:pPr>
            <w:r w:rsidRPr="00404A08">
              <w:rPr>
                <w:lang w:val="en-US"/>
              </w:rPr>
              <w:t>191,7</w:t>
            </w:r>
          </w:p>
        </w:tc>
        <w:tc>
          <w:tcPr>
            <w:tcW w:w="849" w:type="dxa"/>
          </w:tcPr>
          <w:p w14:paraId="290740A9" w14:textId="77777777" w:rsidR="00B54653" w:rsidRPr="00404A08" w:rsidRDefault="00B54653" w:rsidP="00B54653">
            <w:pPr>
              <w:jc w:val="center"/>
              <w:rPr>
                <w:lang w:val="en-US"/>
              </w:rPr>
            </w:pPr>
            <w:r w:rsidRPr="00404A08">
              <w:rPr>
                <w:lang w:val="en-US"/>
              </w:rPr>
              <w:t>102,9</w:t>
            </w:r>
          </w:p>
        </w:tc>
        <w:tc>
          <w:tcPr>
            <w:tcW w:w="850" w:type="dxa"/>
          </w:tcPr>
          <w:p w14:paraId="164864EB" w14:textId="77777777" w:rsidR="00B54653" w:rsidRPr="00404A08" w:rsidRDefault="00B54653" w:rsidP="00B54653">
            <w:pPr>
              <w:jc w:val="center"/>
              <w:rPr>
                <w:lang w:val="en-US"/>
              </w:rPr>
            </w:pPr>
            <w:r w:rsidRPr="00404A08">
              <w:rPr>
                <w:lang w:val="en-US"/>
              </w:rPr>
              <w:t>67,6</w:t>
            </w:r>
          </w:p>
        </w:tc>
        <w:tc>
          <w:tcPr>
            <w:tcW w:w="1275" w:type="dxa"/>
          </w:tcPr>
          <w:p w14:paraId="725456D2" w14:textId="77777777" w:rsidR="00B54653" w:rsidRPr="00404A08" w:rsidRDefault="00B54653" w:rsidP="00B54653">
            <w:pPr>
              <w:jc w:val="center"/>
              <w:rPr>
                <w:lang w:val="en-US"/>
              </w:rPr>
            </w:pPr>
            <w:r w:rsidRPr="00404A08">
              <w:rPr>
                <w:lang w:val="en-US"/>
              </w:rPr>
              <w:t>4,8</w:t>
            </w:r>
          </w:p>
        </w:tc>
        <w:tc>
          <w:tcPr>
            <w:tcW w:w="1556" w:type="dxa"/>
          </w:tcPr>
          <w:p w14:paraId="2893B31F" w14:textId="77777777" w:rsidR="00B54653" w:rsidRPr="00404A08" w:rsidRDefault="00B54653" w:rsidP="00B54653">
            <w:pPr>
              <w:jc w:val="center"/>
              <w:rPr>
                <w:lang w:val="en-US"/>
              </w:rPr>
            </w:pPr>
            <w:r w:rsidRPr="00404A08">
              <w:rPr>
                <w:lang w:val="en-US"/>
              </w:rPr>
              <w:t>129,0</w:t>
            </w:r>
          </w:p>
        </w:tc>
        <w:tc>
          <w:tcPr>
            <w:tcW w:w="1372" w:type="dxa"/>
          </w:tcPr>
          <w:p w14:paraId="454B776A" w14:textId="77777777" w:rsidR="00B54653" w:rsidRPr="00404A08" w:rsidRDefault="00B54653" w:rsidP="00B54653">
            <w:pPr>
              <w:jc w:val="center"/>
              <w:rPr>
                <w:lang w:val="en-US"/>
              </w:rPr>
            </w:pPr>
            <w:r w:rsidRPr="00404A08">
              <w:rPr>
                <w:lang w:val="en-US"/>
              </w:rPr>
              <w:t>124.1</w:t>
            </w:r>
          </w:p>
        </w:tc>
        <w:tc>
          <w:tcPr>
            <w:tcW w:w="1298" w:type="dxa"/>
          </w:tcPr>
          <w:p w14:paraId="7B30FE76" w14:textId="77777777" w:rsidR="00B54653" w:rsidRPr="00404A08" w:rsidRDefault="00B54653" w:rsidP="00B54653">
            <w:pPr>
              <w:jc w:val="center"/>
              <w:rPr>
                <w:lang w:val="en-US"/>
              </w:rPr>
            </w:pPr>
            <w:r w:rsidRPr="00404A08">
              <w:rPr>
                <w:lang w:val="en-US"/>
              </w:rPr>
              <w:t>35,3</w:t>
            </w:r>
          </w:p>
        </w:tc>
      </w:tr>
      <w:tr w:rsidR="00B54653" w:rsidRPr="00404A08" w14:paraId="730C4633" w14:textId="77777777" w:rsidTr="00B54653">
        <w:trPr>
          <w:trHeight w:val="233"/>
        </w:trPr>
        <w:tc>
          <w:tcPr>
            <w:tcW w:w="988" w:type="dxa"/>
          </w:tcPr>
          <w:p w14:paraId="6A6BC270" w14:textId="77777777" w:rsidR="00B54653" w:rsidRPr="00404A08" w:rsidRDefault="00B54653" w:rsidP="00B54653">
            <w:pPr>
              <w:rPr>
                <w:b/>
                <w:lang w:val="en-US"/>
              </w:rPr>
            </w:pPr>
            <w:r w:rsidRPr="00404A08">
              <w:rPr>
                <w:b/>
                <w:lang w:val="en-US"/>
              </w:rPr>
              <w:t>2</w:t>
            </w:r>
          </w:p>
        </w:tc>
        <w:tc>
          <w:tcPr>
            <w:tcW w:w="849" w:type="dxa"/>
          </w:tcPr>
          <w:p w14:paraId="430F3B79" w14:textId="77777777" w:rsidR="00B54653" w:rsidRPr="00404A08" w:rsidRDefault="00B54653" w:rsidP="00B54653">
            <w:pPr>
              <w:jc w:val="center"/>
              <w:rPr>
                <w:lang w:val="en-US"/>
              </w:rPr>
            </w:pPr>
            <w:r w:rsidRPr="00404A08">
              <w:rPr>
                <w:lang w:val="en-US"/>
              </w:rPr>
              <w:t>19,4</w:t>
            </w:r>
          </w:p>
        </w:tc>
        <w:tc>
          <w:tcPr>
            <w:tcW w:w="719" w:type="dxa"/>
          </w:tcPr>
          <w:p w14:paraId="3A69634E" w14:textId="77777777" w:rsidR="00B54653" w:rsidRPr="00404A08" w:rsidRDefault="00B54653" w:rsidP="00B54653">
            <w:pPr>
              <w:jc w:val="center"/>
              <w:rPr>
                <w:lang w:val="en-US"/>
              </w:rPr>
            </w:pPr>
            <w:r w:rsidRPr="00404A08">
              <w:rPr>
                <w:lang w:val="en-US"/>
              </w:rPr>
              <w:t>26,3</w:t>
            </w:r>
          </w:p>
        </w:tc>
        <w:tc>
          <w:tcPr>
            <w:tcW w:w="849" w:type="dxa"/>
          </w:tcPr>
          <w:p w14:paraId="781372B6" w14:textId="77777777" w:rsidR="00B54653" w:rsidRPr="00404A08" w:rsidRDefault="00B54653" w:rsidP="00B54653">
            <w:pPr>
              <w:jc w:val="center"/>
              <w:rPr>
                <w:lang w:val="en-US"/>
              </w:rPr>
            </w:pPr>
            <w:r w:rsidRPr="00404A08">
              <w:rPr>
                <w:lang w:val="en-US"/>
              </w:rPr>
              <w:t>19,4</w:t>
            </w:r>
          </w:p>
        </w:tc>
        <w:tc>
          <w:tcPr>
            <w:tcW w:w="850" w:type="dxa"/>
          </w:tcPr>
          <w:p w14:paraId="1D24A5FB" w14:textId="77777777" w:rsidR="00B54653" w:rsidRPr="00404A08" w:rsidRDefault="00B54653" w:rsidP="00B54653">
            <w:pPr>
              <w:jc w:val="center"/>
              <w:rPr>
                <w:lang w:val="en-US"/>
              </w:rPr>
            </w:pPr>
            <w:r w:rsidRPr="00404A08">
              <w:rPr>
                <w:lang w:val="en-US"/>
              </w:rPr>
              <w:t>13,9</w:t>
            </w:r>
          </w:p>
        </w:tc>
        <w:tc>
          <w:tcPr>
            <w:tcW w:w="1275" w:type="dxa"/>
          </w:tcPr>
          <w:p w14:paraId="22005D63" w14:textId="77777777" w:rsidR="00B54653" w:rsidRPr="00404A08" w:rsidRDefault="00B54653" w:rsidP="00B54653">
            <w:pPr>
              <w:jc w:val="center"/>
              <w:rPr>
                <w:lang w:val="en-US"/>
              </w:rPr>
            </w:pPr>
            <w:r w:rsidRPr="00404A08">
              <w:rPr>
                <w:lang w:val="en-US"/>
              </w:rPr>
              <w:t>-6,9</w:t>
            </w:r>
          </w:p>
        </w:tc>
        <w:tc>
          <w:tcPr>
            <w:tcW w:w="1556" w:type="dxa"/>
          </w:tcPr>
          <w:p w14:paraId="030B5238" w14:textId="77777777" w:rsidR="00B54653" w:rsidRPr="00404A08" w:rsidRDefault="00B54653" w:rsidP="00B54653">
            <w:pPr>
              <w:jc w:val="center"/>
              <w:rPr>
                <w:lang w:val="en-US"/>
              </w:rPr>
            </w:pPr>
            <w:r w:rsidRPr="00404A08">
              <w:rPr>
                <w:lang w:val="en-US"/>
              </w:rPr>
              <w:t>5,5</w:t>
            </w:r>
          </w:p>
        </w:tc>
        <w:tc>
          <w:tcPr>
            <w:tcW w:w="1372" w:type="dxa"/>
          </w:tcPr>
          <w:p w14:paraId="645DEB1C" w14:textId="77777777" w:rsidR="00B54653" w:rsidRPr="00404A08" w:rsidRDefault="00B54653" w:rsidP="00B54653">
            <w:pPr>
              <w:jc w:val="center"/>
              <w:rPr>
                <w:lang w:val="en-US"/>
              </w:rPr>
            </w:pPr>
            <w:r w:rsidRPr="00404A08">
              <w:rPr>
                <w:lang w:val="en-US"/>
              </w:rPr>
              <w:t>12.4</w:t>
            </w:r>
          </w:p>
        </w:tc>
        <w:tc>
          <w:tcPr>
            <w:tcW w:w="1298" w:type="dxa"/>
          </w:tcPr>
          <w:p w14:paraId="021176EE" w14:textId="77777777" w:rsidR="00B54653" w:rsidRPr="00404A08" w:rsidRDefault="00B54653" w:rsidP="00B54653">
            <w:pPr>
              <w:jc w:val="center"/>
              <w:rPr>
                <w:lang w:val="en-US"/>
              </w:rPr>
            </w:pPr>
            <w:r w:rsidRPr="00404A08">
              <w:rPr>
                <w:lang w:val="en-US"/>
              </w:rPr>
              <w:t>5,5</w:t>
            </w:r>
          </w:p>
        </w:tc>
      </w:tr>
      <w:tr w:rsidR="00B54653" w:rsidRPr="00404A08" w14:paraId="01F1C5EC" w14:textId="77777777" w:rsidTr="00B54653">
        <w:trPr>
          <w:trHeight w:val="253"/>
        </w:trPr>
        <w:tc>
          <w:tcPr>
            <w:tcW w:w="988" w:type="dxa"/>
          </w:tcPr>
          <w:p w14:paraId="38EE0625" w14:textId="77777777" w:rsidR="00B54653" w:rsidRPr="00404A08" w:rsidRDefault="00B54653" w:rsidP="00B54653">
            <w:pPr>
              <w:rPr>
                <w:b/>
                <w:lang w:val="en-US"/>
              </w:rPr>
            </w:pPr>
            <w:r w:rsidRPr="00404A08">
              <w:rPr>
                <w:b/>
                <w:lang w:val="en-US"/>
              </w:rPr>
              <w:t>3</w:t>
            </w:r>
          </w:p>
        </w:tc>
        <w:tc>
          <w:tcPr>
            <w:tcW w:w="849" w:type="dxa"/>
          </w:tcPr>
          <w:p w14:paraId="1E6E8E56" w14:textId="77777777" w:rsidR="00B54653" w:rsidRPr="00404A08" w:rsidRDefault="00B54653" w:rsidP="00B54653">
            <w:pPr>
              <w:jc w:val="center"/>
              <w:rPr>
                <w:lang w:val="en-US"/>
              </w:rPr>
            </w:pPr>
            <w:r w:rsidRPr="00404A08">
              <w:rPr>
                <w:lang w:val="en-US"/>
              </w:rPr>
              <w:t>11,4</w:t>
            </w:r>
          </w:p>
        </w:tc>
        <w:tc>
          <w:tcPr>
            <w:tcW w:w="719" w:type="dxa"/>
          </w:tcPr>
          <w:p w14:paraId="12574B5E" w14:textId="77777777" w:rsidR="00B54653" w:rsidRPr="00404A08" w:rsidRDefault="00B54653" w:rsidP="00B54653">
            <w:pPr>
              <w:jc w:val="center"/>
              <w:rPr>
                <w:lang w:val="en-US"/>
              </w:rPr>
            </w:pPr>
            <w:r w:rsidRPr="00404A08">
              <w:rPr>
                <w:lang w:val="en-US"/>
              </w:rPr>
              <w:t>17,7</w:t>
            </w:r>
          </w:p>
        </w:tc>
        <w:tc>
          <w:tcPr>
            <w:tcW w:w="849" w:type="dxa"/>
          </w:tcPr>
          <w:p w14:paraId="39F30B9F" w14:textId="77777777" w:rsidR="00B54653" w:rsidRPr="00404A08" w:rsidRDefault="00B54653" w:rsidP="00B54653">
            <w:pPr>
              <w:jc w:val="center"/>
              <w:rPr>
                <w:lang w:val="en-US"/>
              </w:rPr>
            </w:pPr>
            <w:r w:rsidRPr="00404A08">
              <w:rPr>
                <w:lang w:val="en-US"/>
              </w:rPr>
              <w:t>30,0</w:t>
            </w:r>
          </w:p>
        </w:tc>
        <w:tc>
          <w:tcPr>
            <w:tcW w:w="850" w:type="dxa"/>
          </w:tcPr>
          <w:p w14:paraId="3C11AEA0" w14:textId="77777777" w:rsidR="00B54653" w:rsidRPr="00404A08" w:rsidRDefault="00B54653" w:rsidP="00B54653">
            <w:pPr>
              <w:jc w:val="center"/>
              <w:rPr>
                <w:lang w:val="en-US"/>
              </w:rPr>
            </w:pPr>
            <w:r w:rsidRPr="00404A08">
              <w:rPr>
                <w:lang w:val="en-US"/>
              </w:rPr>
              <w:t>29,5</w:t>
            </w:r>
          </w:p>
        </w:tc>
        <w:tc>
          <w:tcPr>
            <w:tcW w:w="1275" w:type="dxa"/>
          </w:tcPr>
          <w:p w14:paraId="0D64FE21" w14:textId="77777777" w:rsidR="00B54653" w:rsidRPr="00404A08" w:rsidRDefault="00B54653" w:rsidP="00B54653">
            <w:pPr>
              <w:jc w:val="center"/>
              <w:rPr>
                <w:lang w:val="en-US"/>
              </w:rPr>
            </w:pPr>
            <w:r w:rsidRPr="00404A08">
              <w:rPr>
                <w:lang w:val="en-US"/>
              </w:rPr>
              <w:t>-6,3</w:t>
            </w:r>
          </w:p>
        </w:tc>
        <w:tc>
          <w:tcPr>
            <w:tcW w:w="1556" w:type="dxa"/>
          </w:tcPr>
          <w:p w14:paraId="7675EED5" w14:textId="77777777" w:rsidR="00B54653" w:rsidRPr="00404A08" w:rsidRDefault="00B54653" w:rsidP="00B54653">
            <w:pPr>
              <w:jc w:val="center"/>
              <w:rPr>
                <w:lang w:val="en-US"/>
              </w:rPr>
            </w:pPr>
            <w:r w:rsidRPr="00404A08">
              <w:rPr>
                <w:lang w:val="en-US"/>
              </w:rPr>
              <w:t>-18,1</w:t>
            </w:r>
          </w:p>
        </w:tc>
        <w:tc>
          <w:tcPr>
            <w:tcW w:w="1372" w:type="dxa"/>
          </w:tcPr>
          <w:p w14:paraId="25586016" w14:textId="77777777" w:rsidR="00B54653" w:rsidRPr="00404A08" w:rsidRDefault="00B54653" w:rsidP="00B54653">
            <w:pPr>
              <w:jc w:val="center"/>
              <w:rPr>
                <w:lang w:val="en-US"/>
              </w:rPr>
            </w:pPr>
            <w:r w:rsidRPr="00404A08">
              <w:rPr>
                <w:lang w:val="en-US"/>
              </w:rPr>
              <w:t>-11.8</w:t>
            </w:r>
          </w:p>
        </w:tc>
        <w:tc>
          <w:tcPr>
            <w:tcW w:w="1298" w:type="dxa"/>
          </w:tcPr>
          <w:p w14:paraId="4A6AE576" w14:textId="77777777" w:rsidR="00B54653" w:rsidRPr="00404A08" w:rsidRDefault="00B54653" w:rsidP="00B54653">
            <w:pPr>
              <w:jc w:val="center"/>
              <w:rPr>
                <w:lang w:val="en-US"/>
              </w:rPr>
            </w:pPr>
            <w:r w:rsidRPr="00404A08">
              <w:rPr>
                <w:lang w:val="en-US"/>
              </w:rPr>
              <w:t>0,5</w:t>
            </w:r>
          </w:p>
        </w:tc>
      </w:tr>
      <w:tr w:rsidR="00B54653" w:rsidRPr="00404A08" w14:paraId="3C055078" w14:textId="77777777" w:rsidTr="00B54653">
        <w:trPr>
          <w:trHeight w:val="233"/>
        </w:trPr>
        <w:tc>
          <w:tcPr>
            <w:tcW w:w="988" w:type="dxa"/>
          </w:tcPr>
          <w:p w14:paraId="3342B159" w14:textId="77777777" w:rsidR="00B54653" w:rsidRPr="00404A08" w:rsidRDefault="00B54653" w:rsidP="00B54653">
            <w:pPr>
              <w:rPr>
                <w:b/>
                <w:lang w:val="en-US"/>
              </w:rPr>
            </w:pPr>
            <w:r w:rsidRPr="00404A08">
              <w:rPr>
                <w:b/>
                <w:lang w:val="en-US"/>
              </w:rPr>
              <w:t>4</w:t>
            </w:r>
          </w:p>
        </w:tc>
        <w:tc>
          <w:tcPr>
            <w:tcW w:w="849" w:type="dxa"/>
          </w:tcPr>
          <w:p w14:paraId="209A692B" w14:textId="77777777" w:rsidR="00B54653" w:rsidRPr="00404A08" w:rsidRDefault="00B54653" w:rsidP="00B54653">
            <w:pPr>
              <w:jc w:val="center"/>
              <w:rPr>
                <w:lang w:val="en-US"/>
              </w:rPr>
            </w:pPr>
            <w:r w:rsidRPr="00404A08">
              <w:rPr>
                <w:lang w:val="en-US"/>
              </w:rPr>
              <w:t>221,9</w:t>
            </w:r>
          </w:p>
        </w:tc>
        <w:tc>
          <w:tcPr>
            <w:tcW w:w="719" w:type="dxa"/>
          </w:tcPr>
          <w:p w14:paraId="5EC16C30" w14:textId="77777777" w:rsidR="00B54653" w:rsidRPr="00404A08" w:rsidRDefault="00B54653" w:rsidP="00B54653">
            <w:pPr>
              <w:jc w:val="center"/>
              <w:rPr>
                <w:lang w:val="en-US"/>
              </w:rPr>
            </w:pPr>
            <w:r w:rsidRPr="00404A08">
              <w:rPr>
                <w:lang w:val="en-US"/>
              </w:rPr>
              <w:t>222,0</w:t>
            </w:r>
          </w:p>
        </w:tc>
        <w:tc>
          <w:tcPr>
            <w:tcW w:w="849" w:type="dxa"/>
          </w:tcPr>
          <w:p w14:paraId="3D6057E9" w14:textId="77777777" w:rsidR="00B54653" w:rsidRPr="00404A08" w:rsidRDefault="00B54653" w:rsidP="00B54653">
            <w:pPr>
              <w:jc w:val="center"/>
              <w:rPr>
                <w:lang w:val="en-US"/>
              </w:rPr>
            </w:pPr>
            <w:r w:rsidRPr="00404A08">
              <w:rPr>
                <w:lang w:val="en-US"/>
              </w:rPr>
              <w:t>117,8</w:t>
            </w:r>
          </w:p>
        </w:tc>
        <w:tc>
          <w:tcPr>
            <w:tcW w:w="850" w:type="dxa"/>
          </w:tcPr>
          <w:p w14:paraId="341963C1" w14:textId="77777777" w:rsidR="00B54653" w:rsidRPr="00404A08" w:rsidRDefault="00B54653" w:rsidP="00B54653">
            <w:pPr>
              <w:jc w:val="center"/>
              <w:rPr>
                <w:lang w:val="en-US"/>
              </w:rPr>
            </w:pPr>
            <w:r w:rsidRPr="00404A08">
              <w:rPr>
                <w:lang w:val="en-US"/>
              </w:rPr>
              <w:t>83,6</w:t>
            </w:r>
          </w:p>
        </w:tc>
        <w:tc>
          <w:tcPr>
            <w:tcW w:w="1275" w:type="dxa"/>
          </w:tcPr>
          <w:p w14:paraId="4D14C259" w14:textId="77777777" w:rsidR="00B54653" w:rsidRPr="00404A08" w:rsidRDefault="00B54653" w:rsidP="00B54653">
            <w:pPr>
              <w:jc w:val="center"/>
              <w:rPr>
                <w:lang w:val="en-US"/>
              </w:rPr>
            </w:pPr>
            <w:r w:rsidRPr="00404A08">
              <w:rPr>
                <w:lang w:val="en-US"/>
              </w:rPr>
              <w:t>-0,1</w:t>
            </w:r>
          </w:p>
        </w:tc>
        <w:tc>
          <w:tcPr>
            <w:tcW w:w="1556" w:type="dxa"/>
          </w:tcPr>
          <w:p w14:paraId="3070A501" w14:textId="77777777" w:rsidR="00B54653" w:rsidRPr="00404A08" w:rsidRDefault="00B54653" w:rsidP="00B54653">
            <w:pPr>
              <w:jc w:val="center"/>
              <w:rPr>
                <w:lang w:val="en-US"/>
              </w:rPr>
            </w:pPr>
            <w:r w:rsidRPr="00404A08">
              <w:rPr>
                <w:lang w:val="en-US"/>
              </w:rPr>
              <w:t>138,3</w:t>
            </w:r>
          </w:p>
        </w:tc>
        <w:tc>
          <w:tcPr>
            <w:tcW w:w="1372" w:type="dxa"/>
          </w:tcPr>
          <w:p w14:paraId="6C76D494" w14:textId="77777777" w:rsidR="00B54653" w:rsidRPr="00404A08" w:rsidRDefault="00B54653" w:rsidP="00B54653">
            <w:pPr>
              <w:jc w:val="center"/>
              <w:rPr>
                <w:lang w:val="en-US"/>
              </w:rPr>
            </w:pPr>
            <w:r w:rsidRPr="00404A08">
              <w:rPr>
                <w:lang w:val="en-US"/>
              </w:rPr>
              <w:t>138.4</w:t>
            </w:r>
          </w:p>
        </w:tc>
        <w:tc>
          <w:tcPr>
            <w:tcW w:w="1298" w:type="dxa"/>
          </w:tcPr>
          <w:p w14:paraId="25C61AF8" w14:textId="77777777" w:rsidR="00B54653" w:rsidRPr="00404A08" w:rsidRDefault="00B54653" w:rsidP="00B54653">
            <w:pPr>
              <w:jc w:val="center"/>
              <w:rPr>
                <w:lang w:val="en-US"/>
              </w:rPr>
            </w:pPr>
            <w:r w:rsidRPr="00404A08">
              <w:rPr>
                <w:lang w:val="en-US"/>
              </w:rPr>
              <w:t>34,2</w:t>
            </w:r>
          </w:p>
        </w:tc>
      </w:tr>
      <w:tr w:rsidR="00B54653" w:rsidRPr="00404A08" w14:paraId="05B25E89" w14:textId="77777777" w:rsidTr="00B54653">
        <w:trPr>
          <w:trHeight w:val="233"/>
        </w:trPr>
        <w:tc>
          <w:tcPr>
            <w:tcW w:w="988" w:type="dxa"/>
          </w:tcPr>
          <w:p w14:paraId="32ECE429" w14:textId="77777777" w:rsidR="00B54653" w:rsidRPr="00404A08" w:rsidRDefault="00B54653" w:rsidP="00B54653">
            <w:pPr>
              <w:rPr>
                <w:b/>
                <w:lang w:val="en-US"/>
              </w:rPr>
            </w:pPr>
            <w:r w:rsidRPr="00404A08">
              <w:rPr>
                <w:b/>
                <w:lang w:val="en-US"/>
              </w:rPr>
              <w:t>5</w:t>
            </w:r>
          </w:p>
        </w:tc>
        <w:tc>
          <w:tcPr>
            <w:tcW w:w="849" w:type="dxa"/>
          </w:tcPr>
          <w:p w14:paraId="44F9C732" w14:textId="77777777" w:rsidR="00B54653" w:rsidRPr="00404A08" w:rsidRDefault="00B54653" w:rsidP="00B54653">
            <w:pPr>
              <w:jc w:val="center"/>
              <w:rPr>
                <w:lang w:val="en-US"/>
              </w:rPr>
            </w:pPr>
            <w:r w:rsidRPr="00404A08">
              <w:rPr>
                <w:lang w:val="en-US"/>
              </w:rPr>
              <w:t>22,0</w:t>
            </w:r>
          </w:p>
        </w:tc>
        <w:tc>
          <w:tcPr>
            <w:tcW w:w="719" w:type="dxa"/>
          </w:tcPr>
          <w:p w14:paraId="3D5B9BE3" w14:textId="77777777" w:rsidR="00B54653" w:rsidRPr="00404A08" w:rsidRDefault="00B54653" w:rsidP="00B54653">
            <w:pPr>
              <w:jc w:val="center"/>
              <w:rPr>
                <w:lang w:val="en-US"/>
              </w:rPr>
            </w:pPr>
            <w:r w:rsidRPr="00404A08">
              <w:rPr>
                <w:lang w:val="en-US"/>
              </w:rPr>
              <w:t>25,9</w:t>
            </w:r>
          </w:p>
        </w:tc>
        <w:tc>
          <w:tcPr>
            <w:tcW w:w="849" w:type="dxa"/>
          </w:tcPr>
          <w:p w14:paraId="7E781B51" w14:textId="77777777" w:rsidR="00B54653" w:rsidRPr="00404A08" w:rsidRDefault="00B54653" w:rsidP="00B54653">
            <w:pPr>
              <w:jc w:val="center"/>
              <w:rPr>
                <w:lang w:val="en-US"/>
              </w:rPr>
            </w:pPr>
            <w:r w:rsidRPr="00404A08">
              <w:rPr>
                <w:lang w:val="en-US"/>
              </w:rPr>
              <w:t>39,6</w:t>
            </w:r>
          </w:p>
        </w:tc>
        <w:tc>
          <w:tcPr>
            <w:tcW w:w="850" w:type="dxa"/>
          </w:tcPr>
          <w:p w14:paraId="60BCFA0B" w14:textId="77777777" w:rsidR="00B54653" w:rsidRPr="00404A08" w:rsidRDefault="00B54653" w:rsidP="00B54653">
            <w:pPr>
              <w:jc w:val="center"/>
              <w:rPr>
                <w:lang w:val="en-US"/>
              </w:rPr>
            </w:pPr>
            <w:r w:rsidRPr="00404A08">
              <w:rPr>
                <w:lang w:val="en-US"/>
              </w:rPr>
              <w:t>39,3</w:t>
            </w:r>
          </w:p>
        </w:tc>
        <w:tc>
          <w:tcPr>
            <w:tcW w:w="1275" w:type="dxa"/>
          </w:tcPr>
          <w:p w14:paraId="4CD16F82" w14:textId="77777777" w:rsidR="00B54653" w:rsidRPr="00404A08" w:rsidRDefault="00B54653" w:rsidP="00B54653">
            <w:pPr>
              <w:jc w:val="center"/>
              <w:rPr>
                <w:lang w:val="en-US"/>
              </w:rPr>
            </w:pPr>
            <w:r w:rsidRPr="00404A08">
              <w:rPr>
                <w:lang w:val="en-US"/>
              </w:rPr>
              <w:t>-3,9</w:t>
            </w:r>
          </w:p>
        </w:tc>
        <w:tc>
          <w:tcPr>
            <w:tcW w:w="1556" w:type="dxa"/>
          </w:tcPr>
          <w:p w14:paraId="19AF9D34" w14:textId="77777777" w:rsidR="00B54653" w:rsidRPr="00404A08" w:rsidRDefault="00B54653" w:rsidP="00B54653">
            <w:pPr>
              <w:jc w:val="center"/>
              <w:rPr>
                <w:lang w:val="en-US"/>
              </w:rPr>
            </w:pPr>
            <w:r w:rsidRPr="00404A08">
              <w:rPr>
                <w:lang w:val="en-US"/>
              </w:rPr>
              <w:t>-17,4</w:t>
            </w:r>
          </w:p>
        </w:tc>
        <w:tc>
          <w:tcPr>
            <w:tcW w:w="1372" w:type="dxa"/>
          </w:tcPr>
          <w:p w14:paraId="012E989B" w14:textId="77777777" w:rsidR="00B54653" w:rsidRPr="00404A08" w:rsidRDefault="00B54653" w:rsidP="00B54653">
            <w:pPr>
              <w:jc w:val="center"/>
              <w:rPr>
                <w:lang w:val="en-US"/>
              </w:rPr>
            </w:pPr>
            <w:r w:rsidRPr="00404A08">
              <w:rPr>
                <w:lang w:val="en-US"/>
              </w:rPr>
              <w:t>-13.4</w:t>
            </w:r>
          </w:p>
        </w:tc>
        <w:tc>
          <w:tcPr>
            <w:tcW w:w="1298" w:type="dxa"/>
          </w:tcPr>
          <w:p w14:paraId="73A11513" w14:textId="77777777" w:rsidR="00B54653" w:rsidRPr="00404A08" w:rsidRDefault="00B54653" w:rsidP="00B54653">
            <w:pPr>
              <w:jc w:val="center"/>
              <w:rPr>
                <w:lang w:val="en-US"/>
              </w:rPr>
            </w:pPr>
            <w:r w:rsidRPr="00404A08">
              <w:rPr>
                <w:lang w:val="en-US"/>
              </w:rPr>
              <w:t>0,3</w:t>
            </w:r>
          </w:p>
        </w:tc>
      </w:tr>
      <w:tr w:rsidR="00B54653" w:rsidRPr="00404A08" w14:paraId="460BDC57" w14:textId="77777777" w:rsidTr="00B54653">
        <w:trPr>
          <w:trHeight w:val="253"/>
        </w:trPr>
        <w:tc>
          <w:tcPr>
            <w:tcW w:w="988" w:type="dxa"/>
          </w:tcPr>
          <w:p w14:paraId="26E16AB0" w14:textId="77777777" w:rsidR="00B54653" w:rsidRPr="00404A08" w:rsidRDefault="00B54653" w:rsidP="00B54653">
            <w:pPr>
              <w:rPr>
                <w:b/>
                <w:lang w:val="en-US"/>
              </w:rPr>
            </w:pPr>
            <w:r w:rsidRPr="00404A08">
              <w:rPr>
                <w:b/>
                <w:lang w:val="en-US"/>
              </w:rPr>
              <w:t>6</w:t>
            </w:r>
          </w:p>
        </w:tc>
        <w:tc>
          <w:tcPr>
            <w:tcW w:w="849" w:type="dxa"/>
          </w:tcPr>
          <w:p w14:paraId="30C6AF44" w14:textId="77777777" w:rsidR="00B54653" w:rsidRPr="00404A08" w:rsidRDefault="00B54653" w:rsidP="00B54653">
            <w:pPr>
              <w:jc w:val="center"/>
              <w:rPr>
                <w:lang w:val="en-US"/>
              </w:rPr>
            </w:pPr>
            <w:r w:rsidRPr="00404A08">
              <w:rPr>
                <w:lang w:val="en-US"/>
              </w:rPr>
              <w:t>8,4</w:t>
            </w:r>
          </w:p>
        </w:tc>
        <w:tc>
          <w:tcPr>
            <w:tcW w:w="719" w:type="dxa"/>
          </w:tcPr>
          <w:p w14:paraId="513E8890" w14:textId="77777777" w:rsidR="00B54653" w:rsidRPr="00404A08" w:rsidRDefault="00B54653" w:rsidP="00B54653">
            <w:pPr>
              <w:jc w:val="center"/>
              <w:rPr>
                <w:lang w:val="en-US"/>
              </w:rPr>
            </w:pPr>
            <w:r w:rsidRPr="00404A08">
              <w:rPr>
                <w:lang w:val="en-US"/>
              </w:rPr>
              <w:t>9,8</w:t>
            </w:r>
          </w:p>
        </w:tc>
        <w:tc>
          <w:tcPr>
            <w:tcW w:w="849" w:type="dxa"/>
          </w:tcPr>
          <w:p w14:paraId="6709D361" w14:textId="77777777" w:rsidR="00B54653" w:rsidRPr="00404A08" w:rsidRDefault="00B54653" w:rsidP="00B54653">
            <w:pPr>
              <w:jc w:val="center"/>
              <w:rPr>
                <w:lang w:val="en-US"/>
              </w:rPr>
            </w:pPr>
            <w:r w:rsidRPr="00404A08">
              <w:rPr>
                <w:lang w:val="en-US"/>
              </w:rPr>
              <w:t>13,4</w:t>
            </w:r>
          </w:p>
        </w:tc>
        <w:tc>
          <w:tcPr>
            <w:tcW w:w="850" w:type="dxa"/>
          </w:tcPr>
          <w:p w14:paraId="7EFF0C9F" w14:textId="77777777" w:rsidR="00B54653" w:rsidRPr="00404A08" w:rsidRDefault="00B54653" w:rsidP="00B54653">
            <w:pPr>
              <w:jc w:val="center"/>
              <w:rPr>
                <w:lang w:val="en-US"/>
              </w:rPr>
            </w:pPr>
            <w:r w:rsidRPr="00404A08">
              <w:rPr>
                <w:lang w:val="en-US"/>
              </w:rPr>
              <w:t>14,4</w:t>
            </w:r>
          </w:p>
        </w:tc>
        <w:tc>
          <w:tcPr>
            <w:tcW w:w="1275" w:type="dxa"/>
          </w:tcPr>
          <w:p w14:paraId="19942E8B" w14:textId="77777777" w:rsidR="00B54653" w:rsidRPr="00404A08" w:rsidRDefault="00B54653" w:rsidP="00B54653">
            <w:pPr>
              <w:jc w:val="center"/>
              <w:rPr>
                <w:lang w:val="en-US"/>
              </w:rPr>
            </w:pPr>
            <w:r w:rsidRPr="00404A08">
              <w:rPr>
                <w:lang w:val="en-US"/>
              </w:rPr>
              <w:t>-1,4</w:t>
            </w:r>
          </w:p>
        </w:tc>
        <w:tc>
          <w:tcPr>
            <w:tcW w:w="1556" w:type="dxa"/>
          </w:tcPr>
          <w:p w14:paraId="64CA4ADC" w14:textId="77777777" w:rsidR="00B54653" w:rsidRPr="00404A08" w:rsidRDefault="00B54653" w:rsidP="00B54653">
            <w:pPr>
              <w:jc w:val="center"/>
              <w:rPr>
                <w:lang w:val="en-US"/>
              </w:rPr>
            </w:pPr>
            <w:r w:rsidRPr="00404A08">
              <w:rPr>
                <w:lang w:val="en-US"/>
              </w:rPr>
              <w:t>-6,1</w:t>
            </w:r>
          </w:p>
        </w:tc>
        <w:tc>
          <w:tcPr>
            <w:tcW w:w="1372" w:type="dxa"/>
          </w:tcPr>
          <w:p w14:paraId="3FA6B4E3" w14:textId="77777777" w:rsidR="00B54653" w:rsidRPr="00404A08" w:rsidRDefault="00B54653" w:rsidP="00B54653">
            <w:pPr>
              <w:jc w:val="center"/>
              <w:rPr>
                <w:lang w:val="en-US"/>
              </w:rPr>
            </w:pPr>
            <w:r w:rsidRPr="00404A08">
              <w:rPr>
                <w:lang w:val="en-US"/>
              </w:rPr>
              <w:t>-4.6</w:t>
            </w:r>
          </w:p>
        </w:tc>
        <w:tc>
          <w:tcPr>
            <w:tcW w:w="1298" w:type="dxa"/>
          </w:tcPr>
          <w:p w14:paraId="79762F92" w14:textId="77777777" w:rsidR="00B54653" w:rsidRPr="00404A08" w:rsidRDefault="00B54653" w:rsidP="00B54653">
            <w:pPr>
              <w:jc w:val="center"/>
              <w:rPr>
                <w:lang w:val="en-US"/>
              </w:rPr>
            </w:pPr>
            <w:r w:rsidRPr="00404A08">
              <w:rPr>
                <w:lang w:val="en-US"/>
              </w:rPr>
              <w:t>-1,1</w:t>
            </w:r>
          </w:p>
        </w:tc>
      </w:tr>
      <w:tr w:rsidR="00B54653" w:rsidRPr="00404A08" w14:paraId="6E35694E" w14:textId="77777777" w:rsidTr="00B54653">
        <w:trPr>
          <w:trHeight w:val="233"/>
        </w:trPr>
        <w:tc>
          <w:tcPr>
            <w:tcW w:w="988" w:type="dxa"/>
          </w:tcPr>
          <w:p w14:paraId="5010C973" w14:textId="77777777" w:rsidR="00B54653" w:rsidRPr="00404A08" w:rsidRDefault="00B54653" w:rsidP="00B54653">
            <w:pPr>
              <w:rPr>
                <w:b/>
                <w:lang w:val="en-US"/>
              </w:rPr>
            </w:pPr>
            <w:r w:rsidRPr="00404A08">
              <w:rPr>
                <w:b/>
                <w:lang w:val="en-US"/>
              </w:rPr>
              <w:t>7</w:t>
            </w:r>
          </w:p>
        </w:tc>
        <w:tc>
          <w:tcPr>
            <w:tcW w:w="849" w:type="dxa"/>
          </w:tcPr>
          <w:p w14:paraId="2F0D246F" w14:textId="77777777" w:rsidR="00B54653" w:rsidRPr="00404A08" w:rsidRDefault="00B54653" w:rsidP="00B54653">
            <w:pPr>
              <w:jc w:val="center"/>
              <w:rPr>
                <w:lang w:val="en-US"/>
              </w:rPr>
            </w:pPr>
            <w:r w:rsidRPr="00404A08">
              <w:rPr>
                <w:lang w:val="en-US"/>
              </w:rPr>
              <w:t>19,4</w:t>
            </w:r>
          </w:p>
        </w:tc>
        <w:tc>
          <w:tcPr>
            <w:tcW w:w="719" w:type="dxa"/>
          </w:tcPr>
          <w:p w14:paraId="263B8021" w14:textId="77777777" w:rsidR="00B54653" w:rsidRPr="00404A08" w:rsidRDefault="00B54653" w:rsidP="00B54653">
            <w:pPr>
              <w:jc w:val="center"/>
              <w:rPr>
                <w:lang w:val="en-US"/>
              </w:rPr>
            </w:pPr>
            <w:r w:rsidRPr="00404A08">
              <w:rPr>
                <w:lang w:val="en-US"/>
              </w:rPr>
              <w:t>34,4</w:t>
            </w:r>
          </w:p>
        </w:tc>
        <w:tc>
          <w:tcPr>
            <w:tcW w:w="849" w:type="dxa"/>
          </w:tcPr>
          <w:p w14:paraId="53AF489B" w14:textId="77777777" w:rsidR="00B54653" w:rsidRPr="00404A08" w:rsidRDefault="00B54653" w:rsidP="00B54653">
            <w:pPr>
              <w:jc w:val="center"/>
              <w:rPr>
                <w:lang w:val="en-US"/>
              </w:rPr>
            </w:pPr>
            <w:r w:rsidRPr="00404A08">
              <w:rPr>
                <w:lang w:val="en-US"/>
              </w:rPr>
              <w:t>97,6</w:t>
            </w:r>
          </w:p>
        </w:tc>
        <w:tc>
          <w:tcPr>
            <w:tcW w:w="850" w:type="dxa"/>
          </w:tcPr>
          <w:p w14:paraId="06813B41" w14:textId="77777777" w:rsidR="00B54653" w:rsidRPr="00404A08" w:rsidRDefault="00B54653" w:rsidP="00B54653">
            <w:pPr>
              <w:jc w:val="center"/>
              <w:rPr>
                <w:lang w:val="en-US"/>
              </w:rPr>
            </w:pPr>
            <w:r w:rsidRPr="00404A08">
              <w:rPr>
                <w:lang w:val="en-US"/>
              </w:rPr>
              <w:t>163,1</w:t>
            </w:r>
          </w:p>
        </w:tc>
        <w:tc>
          <w:tcPr>
            <w:tcW w:w="1275" w:type="dxa"/>
          </w:tcPr>
          <w:p w14:paraId="26CAD108" w14:textId="77777777" w:rsidR="00B54653" w:rsidRPr="00404A08" w:rsidRDefault="00B54653" w:rsidP="00B54653">
            <w:pPr>
              <w:jc w:val="center"/>
              <w:rPr>
                <w:lang w:val="en-US"/>
              </w:rPr>
            </w:pPr>
            <w:r w:rsidRPr="00404A08">
              <w:rPr>
                <w:lang w:val="en-US"/>
              </w:rPr>
              <w:t>-15,0</w:t>
            </w:r>
          </w:p>
        </w:tc>
        <w:tc>
          <w:tcPr>
            <w:tcW w:w="1556" w:type="dxa"/>
          </w:tcPr>
          <w:p w14:paraId="4DC1DE05" w14:textId="77777777" w:rsidR="00B54653" w:rsidRPr="00404A08" w:rsidRDefault="00B54653" w:rsidP="00B54653">
            <w:pPr>
              <w:jc w:val="center"/>
              <w:rPr>
                <w:lang w:val="en-US"/>
              </w:rPr>
            </w:pPr>
            <w:r w:rsidRPr="00404A08">
              <w:rPr>
                <w:lang w:val="en-US"/>
              </w:rPr>
              <w:t>-143,7</w:t>
            </w:r>
          </w:p>
        </w:tc>
        <w:tc>
          <w:tcPr>
            <w:tcW w:w="1372" w:type="dxa"/>
          </w:tcPr>
          <w:p w14:paraId="216F55E9" w14:textId="77777777" w:rsidR="00B54653" w:rsidRPr="00404A08" w:rsidRDefault="00B54653" w:rsidP="00B54653">
            <w:pPr>
              <w:jc w:val="center"/>
              <w:rPr>
                <w:lang w:val="en-US"/>
              </w:rPr>
            </w:pPr>
            <w:r w:rsidRPr="00404A08">
              <w:rPr>
                <w:lang w:val="en-US"/>
              </w:rPr>
              <w:t>-128.7</w:t>
            </w:r>
          </w:p>
        </w:tc>
        <w:tc>
          <w:tcPr>
            <w:tcW w:w="1298" w:type="dxa"/>
          </w:tcPr>
          <w:p w14:paraId="473F9B4B" w14:textId="77777777" w:rsidR="00B54653" w:rsidRPr="00404A08" w:rsidRDefault="00B54653" w:rsidP="00B54653">
            <w:pPr>
              <w:jc w:val="center"/>
              <w:rPr>
                <w:lang w:val="en-US"/>
              </w:rPr>
            </w:pPr>
            <w:r w:rsidRPr="00404A08">
              <w:rPr>
                <w:lang w:val="en-US"/>
              </w:rPr>
              <w:t>-65,5</w:t>
            </w:r>
          </w:p>
        </w:tc>
      </w:tr>
      <w:tr w:rsidR="00B54653" w:rsidRPr="00404A08" w14:paraId="1484FF33" w14:textId="77777777" w:rsidTr="00B54653">
        <w:trPr>
          <w:trHeight w:val="253"/>
        </w:trPr>
        <w:tc>
          <w:tcPr>
            <w:tcW w:w="988" w:type="dxa"/>
          </w:tcPr>
          <w:p w14:paraId="1215C61B" w14:textId="77777777" w:rsidR="00B54653" w:rsidRPr="00404A08" w:rsidRDefault="00B54653" w:rsidP="00B54653">
            <w:pPr>
              <w:rPr>
                <w:b/>
                <w:lang w:val="en-US"/>
              </w:rPr>
            </w:pPr>
            <w:r w:rsidRPr="00404A08">
              <w:rPr>
                <w:b/>
                <w:lang w:val="en-US"/>
              </w:rPr>
              <w:t>8</w:t>
            </w:r>
          </w:p>
        </w:tc>
        <w:tc>
          <w:tcPr>
            <w:tcW w:w="849" w:type="dxa"/>
          </w:tcPr>
          <w:p w14:paraId="685DBB85" w14:textId="77777777" w:rsidR="00B54653" w:rsidRPr="00404A08" w:rsidRDefault="00B54653" w:rsidP="00B54653">
            <w:pPr>
              <w:jc w:val="center"/>
              <w:rPr>
                <w:lang w:val="en-US"/>
              </w:rPr>
            </w:pPr>
            <w:r w:rsidRPr="00404A08">
              <w:rPr>
                <w:lang w:val="en-US"/>
              </w:rPr>
              <w:t>16,1</w:t>
            </w:r>
          </w:p>
        </w:tc>
        <w:tc>
          <w:tcPr>
            <w:tcW w:w="719" w:type="dxa"/>
          </w:tcPr>
          <w:p w14:paraId="6EEFC29E" w14:textId="77777777" w:rsidR="00B54653" w:rsidRPr="00404A08" w:rsidRDefault="00B54653" w:rsidP="00B54653">
            <w:pPr>
              <w:jc w:val="center"/>
              <w:rPr>
                <w:lang w:val="en-US"/>
              </w:rPr>
            </w:pPr>
            <w:r w:rsidRPr="00404A08">
              <w:rPr>
                <w:lang w:val="en-US"/>
              </w:rPr>
              <w:t>19,3</w:t>
            </w:r>
          </w:p>
        </w:tc>
        <w:tc>
          <w:tcPr>
            <w:tcW w:w="849" w:type="dxa"/>
          </w:tcPr>
          <w:p w14:paraId="7F0A176A" w14:textId="77777777" w:rsidR="00B54653" w:rsidRPr="00404A08" w:rsidRDefault="00B54653" w:rsidP="00B54653">
            <w:pPr>
              <w:jc w:val="center"/>
              <w:rPr>
                <w:lang w:val="en-US"/>
              </w:rPr>
            </w:pPr>
            <w:r w:rsidRPr="00404A08">
              <w:rPr>
                <w:lang w:val="en-US"/>
              </w:rPr>
              <w:t>19,6</w:t>
            </w:r>
          </w:p>
        </w:tc>
        <w:tc>
          <w:tcPr>
            <w:tcW w:w="850" w:type="dxa"/>
          </w:tcPr>
          <w:p w14:paraId="41312CA0" w14:textId="77777777" w:rsidR="00B54653" w:rsidRPr="00404A08" w:rsidRDefault="00B54653" w:rsidP="00B54653">
            <w:pPr>
              <w:jc w:val="center"/>
              <w:rPr>
                <w:lang w:val="en-US"/>
              </w:rPr>
            </w:pPr>
            <w:r w:rsidRPr="00404A08">
              <w:rPr>
                <w:lang w:val="en-US"/>
              </w:rPr>
              <w:t>15,1</w:t>
            </w:r>
          </w:p>
        </w:tc>
        <w:tc>
          <w:tcPr>
            <w:tcW w:w="1275" w:type="dxa"/>
          </w:tcPr>
          <w:p w14:paraId="1689DE5A" w14:textId="77777777" w:rsidR="00B54653" w:rsidRPr="00404A08" w:rsidRDefault="00B54653" w:rsidP="00B54653">
            <w:pPr>
              <w:jc w:val="center"/>
              <w:rPr>
                <w:lang w:val="en-US"/>
              </w:rPr>
            </w:pPr>
            <w:r w:rsidRPr="00404A08">
              <w:rPr>
                <w:lang w:val="en-US"/>
              </w:rPr>
              <w:t>-3,2</w:t>
            </w:r>
          </w:p>
        </w:tc>
        <w:tc>
          <w:tcPr>
            <w:tcW w:w="1556" w:type="dxa"/>
          </w:tcPr>
          <w:p w14:paraId="4223EF92" w14:textId="77777777" w:rsidR="00B54653" w:rsidRPr="00404A08" w:rsidRDefault="00B54653" w:rsidP="00B54653">
            <w:pPr>
              <w:jc w:val="center"/>
              <w:rPr>
                <w:lang w:val="en-US"/>
              </w:rPr>
            </w:pPr>
            <w:r w:rsidRPr="00404A08">
              <w:rPr>
                <w:lang w:val="en-US"/>
              </w:rPr>
              <w:t>1,0</w:t>
            </w:r>
          </w:p>
        </w:tc>
        <w:tc>
          <w:tcPr>
            <w:tcW w:w="1372" w:type="dxa"/>
          </w:tcPr>
          <w:p w14:paraId="77AA9BD0" w14:textId="77777777" w:rsidR="00B54653" w:rsidRPr="00404A08" w:rsidRDefault="00B54653" w:rsidP="00B54653">
            <w:pPr>
              <w:jc w:val="center"/>
              <w:rPr>
                <w:lang w:val="en-US"/>
              </w:rPr>
            </w:pPr>
            <w:r w:rsidRPr="00404A08">
              <w:rPr>
                <w:lang w:val="en-US"/>
              </w:rPr>
              <w:t>4.3</w:t>
            </w:r>
          </w:p>
        </w:tc>
        <w:tc>
          <w:tcPr>
            <w:tcW w:w="1298" w:type="dxa"/>
          </w:tcPr>
          <w:p w14:paraId="67286A5A" w14:textId="77777777" w:rsidR="00B54653" w:rsidRPr="00404A08" w:rsidRDefault="00B54653" w:rsidP="00B54653">
            <w:pPr>
              <w:jc w:val="center"/>
              <w:rPr>
                <w:lang w:val="en-US"/>
              </w:rPr>
            </w:pPr>
            <w:r w:rsidRPr="00404A08">
              <w:rPr>
                <w:lang w:val="en-US"/>
              </w:rPr>
              <w:t>4,5</w:t>
            </w:r>
          </w:p>
        </w:tc>
      </w:tr>
      <w:tr w:rsidR="00B54653" w:rsidRPr="00404A08" w14:paraId="64818D32" w14:textId="77777777" w:rsidTr="00B54653">
        <w:trPr>
          <w:trHeight w:val="233"/>
        </w:trPr>
        <w:tc>
          <w:tcPr>
            <w:tcW w:w="988" w:type="dxa"/>
          </w:tcPr>
          <w:p w14:paraId="4D3F0EB5" w14:textId="77777777" w:rsidR="00B54653" w:rsidRPr="00404A08" w:rsidRDefault="00B54653" w:rsidP="00B54653">
            <w:pPr>
              <w:rPr>
                <w:b/>
                <w:lang w:val="en-US"/>
              </w:rPr>
            </w:pPr>
            <w:r w:rsidRPr="00404A08">
              <w:rPr>
                <w:b/>
                <w:lang w:val="en-US"/>
              </w:rPr>
              <w:t>9</w:t>
            </w:r>
          </w:p>
        </w:tc>
        <w:tc>
          <w:tcPr>
            <w:tcW w:w="849" w:type="dxa"/>
          </w:tcPr>
          <w:p w14:paraId="07242507" w14:textId="77777777" w:rsidR="00B54653" w:rsidRPr="00404A08" w:rsidRDefault="00B54653" w:rsidP="00B54653">
            <w:pPr>
              <w:jc w:val="center"/>
              <w:rPr>
                <w:lang w:val="en-US"/>
              </w:rPr>
            </w:pPr>
            <w:r w:rsidRPr="00404A08">
              <w:rPr>
                <w:lang w:val="en-US"/>
              </w:rPr>
              <w:t>4,3</w:t>
            </w:r>
          </w:p>
        </w:tc>
        <w:tc>
          <w:tcPr>
            <w:tcW w:w="719" w:type="dxa"/>
          </w:tcPr>
          <w:p w14:paraId="10AD26E8" w14:textId="77777777" w:rsidR="00B54653" w:rsidRPr="00404A08" w:rsidRDefault="00B54653" w:rsidP="00B54653">
            <w:pPr>
              <w:jc w:val="center"/>
              <w:rPr>
                <w:lang w:val="en-US"/>
              </w:rPr>
            </w:pPr>
            <w:r w:rsidRPr="00404A08">
              <w:rPr>
                <w:lang w:val="en-US"/>
              </w:rPr>
              <w:t>8,2</w:t>
            </w:r>
          </w:p>
        </w:tc>
        <w:tc>
          <w:tcPr>
            <w:tcW w:w="849" w:type="dxa"/>
          </w:tcPr>
          <w:p w14:paraId="5DBA4FF2" w14:textId="77777777" w:rsidR="00B54653" w:rsidRPr="00404A08" w:rsidRDefault="00B54653" w:rsidP="00B54653">
            <w:pPr>
              <w:jc w:val="center"/>
              <w:rPr>
                <w:lang w:val="en-US"/>
              </w:rPr>
            </w:pPr>
            <w:r w:rsidRPr="00404A08">
              <w:rPr>
                <w:lang w:val="en-US"/>
              </w:rPr>
              <w:t>17,5</w:t>
            </w:r>
          </w:p>
        </w:tc>
        <w:tc>
          <w:tcPr>
            <w:tcW w:w="850" w:type="dxa"/>
          </w:tcPr>
          <w:p w14:paraId="4F99E38F" w14:textId="77777777" w:rsidR="00B54653" w:rsidRPr="00404A08" w:rsidRDefault="00B54653" w:rsidP="00B54653">
            <w:pPr>
              <w:jc w:val="center"/>
              <w:rPr>
                <w:lang w:val="en-US"/>
              </w:rPr>
            </w:pPr>
            <w:r w:rsidRPr="00404A08">
              <w:rPr>
                <w:lang w:val="en-US"/>
              </w:rPr>
              <w:t>24,7</w:t>
            </w:r>
          </w:p>
        </w:tc>
        <w:tc>
          <w:tcPr>
            <w:tcW w:w="1275" w:type="dxa"/>
          </w:tcPr>
          <w:p w14:paraId="5DBBCD53" w14:textId="77777777" w:rsidR="00B54653" w:rsidRPr="00404A08" w:rsidRDefault="00B54653" w:rsidP="00B54653">
            <w:pPr>
              <w:jc w:val="center"/>
              <w:rPr>
                <w:lang w:val="en-US"/>
              </w:rPr>
            </w:pPr>
            <w:r w:rsidRPr="00404A08">
              <w:rPr>
                <w:lang w:val="en-US"/>
              </w:rPr>
              <w:t>-3,9</w:t>
            </w:r>
          </w:p>
        </w:tc>
        <w:tc>
          <w:tcPr>
            <w:tcW w:w="1556" w:type="dxa"/>
          </w:tcPr>
          <w:p w14:paraId="08C0C3F8" w14:textId="77777777" w:rsidR="00B54653" w:rsidRPr="00404A08" w:rsidRDefault="00B54653" w:rsidP="00B54653">
            <w:pPr>
              <w:jc w:val="center"/>
              <w:rPr>
                <w:lang w:val="en-US"/>
              </w:rPr>
            </w:pPr>
            <w:r w:rsidRPr="00404A08">
              <w:rPr>
                <w:lang w:val="en-US"/>
              </w:rPr>
              <w:t>-20,5</w:t>
            </w:r>
          </w:p>
        </w:tc>
        <w:tc>
          <w:tcPr>
            <w:tcW w:w="1372" w:type="dxa"/>
          </w:tcPr>
          <w:p w14:paraId="662ABA43" w14:textId="77777777" w:rsidR="00B54653" w:rsidRPr="00404A08" w:rsidRDefault="00B54653" w:rsidP="00B54653">
            <w:pPr>
              <w:jc w:val="center"/>
              <w:rPr>
                <w:lang w:val="en-US"/>
              </w:rPr>
            </w:pPr>
            <w:r w:rsidRPr="00404A08">
              <w:rPr>
                <w:lang w:val="en-US"/>
              </w:rPr>
              <w:t>-16.6</w:t>
            </w:r>
          </w:p>
        </w:tc>
        <w:tc>
          <w:tcPr>
            <w:tcW w:w="1298" w:type="dxa"/>
          </w:tcPr>
          <w:p w14:paraId="10388CE3" w14:textId="77777777" w:rsidR="00B54653" w:rsidRPr="00404A08" w:rsidRDefault="00B54653" w:rsidP="00B54653">
            <w:pPr>
              <w:jc w:val="center"/>
              <w:rPr>
                <w:lang w:val="en-US"/>
              </w:rPr>
            </w:pPr>
            <w:r w:rsidRPr="00404A08">
              <w:rPr>
                <w:lang w:val="en-US"/>
              </w:rPr>
              <w:t>-7,2</w:t>
            </w:r>
          </w:p>
        </w:tc>
      </w:tr>
      <w:tr w:rsidR="00B54653" w:rsidRPr="00404A08" w14:paraId="6B417121" w14:textId="77777777" w:rsidTr="00B54653">
        <w:trPr>
          <w:trHeight w:val="233"/>
        </w:trPr>
        <w:tc>
          <w:tcPr>
            <w:tcW w:w="988" w:type="dxa"/>
          </w:tcPr>
          <w:p w14:paraId="5912A1DC" w14:textId="77777777" w:rsidR="00B54653" w:rsidRPr="00404A08" w:rsidRDefault="00B54653" w:rsidP="00B54653">
            <w:pPr>
              <w:rPr>
                <w:b/>
                <w:lang w:val="en-US"/>
              </w:rPr>
            </w:pPr>
            <w:r w:rsidRPr="00404A08">
              <w:rPr>
                <w:b/>
                <w:lang w:val="en-US"/>
              </w:rPr>
              <w:t>10</w:t>
            </w:r>
          </w:p>
        </w:tc>
        <w:tc>
          <w:tcPr>
            <w:tcW w:w="849" w:type="dxa"/>
          </w:tcPr>
          <w:p w14:paraId="3AD867F0" w14:textId="77777777" w:rsidR="00B54653" w:rsidRPr="00404A08" w:rsidRDefault="00B54653" w:rsidP="00B54653">
            <w:pPr>
              <w:jc w:val="center"/>
              <w:rPr>
                <w:lang w:val="en-US"/>
              </w:rPr>
            </w:pPr>
            <w:r w:rsidRPr="00404A08">
              <w:rPr>
                <w:lang w:val="en-US"/>
              </w:rPr>
              <w:t>0,5</w:t>
            </w:r>
          </w:p>
        </w:tc>
        <w:tc>
          <w:tcPr>
            <w:tcW w:w="719" w:type="dxa"/>
          </w:tcPr>
          <w:p w14:paraId="1B183510" w14:textId="77777777" w:rsidR="00B54653" w:rsidRPr="00404A08" w:rsidRDefault="00B54653" w:rsidP="00B54653">
            <w:pPr>
              <w:jc w:val="center"/>
              <w:rPr>
                <w:lang w:val="en-US"/>
              </w:rPr>
            </w:pPr>
            <w:r w:rsidRPr="00404A08">
              <w:rPr>
                <w:lang w:val="en-US"/>
              </w:rPr>
              <w:t>1,2</w:t>
            </w:r>
          </w:p>
        </w:tc>
        <w:tc>
          <w:tcPr>
            <w:tcW w:w="849" w:type="dxa"/>
          </w:tcPr>
          <w:p w14:paraId="0AB8563F" w14:textId="77777777" w:rsidR="00B54653" w:rsidRPr="00404A08" w:rsidRDefault="00B54653" w:rsidP="00B54653">
            <w:pPr>
              <w:jc w:val="center"/>
              <w:rPr>
                <w:lang w:val="en-US"/>
              </w:rPr>
            </w:pPr>
            <w:r w:rsidRPr="00404A08">
              <w:rPr>
                <w:lang w:val="en-US"/>
              </w:rPr>
              <w:t>16,2</w:t>
            </w:r>
          </w:p>
        </w:tc>
        <w:tc>
          <w:tcPr>
            <w:tcW w:w="850" w:type="dxa"/>
          </w:tcPr>
          <w:p w14:paraId="5CD16189" w14:textId="77777777" w:rsidR="00B54653" w:rsidRPr="00404A08" w:rsidRDefault="00B54653" w:rsidP="00B54653">
            <w:pPr>
              <w:jc w:val="center"/>
              <w:rPr>
                <w:lang w:val="en-US"/>
              </w:rPr>
            </w:pPr>
            <w:r w:rsidRPr="00404A08">
              <w:rPr>
                <w:lang w:val="en-US"/>
              </w:rPr>
              <w:t>26,9</w:t>
            </w:r>
          </w:p>
        </w:tc>
        <w:tc>
          <w:tcPr>
            <w:tcW w:w="1275" w:type="dxa"/>
          </w:tcPr>
          <w:p w14:paraId="6797BCE1" w14:textId="77777777" w:rsidR="00B54653" w:rsidRPr="00404A08" w:rsidRDefault="00B54653" w:rsidP="00B54653">
            <w:pPr>
              <w:jc w:val="center"/>
              <w:rPr>
                <w:lang w:val="en-US"/>
              </w:rPr>
            </w:pPr>
            <w:r w:rsidRPr="00404A08">
              <w:rPr>
                <w:lang w:val="en-US"/>
              </w:rPr>
              <w:t>-0,6</w:t>
            </w:r>
          </w:p>
        </w:tc>
        <w:tc>
          <w:tcPr>
            <w:tcW w:w="1556" w:type="dxa"/>
          </w:tcPr>
          <w:p w14:paraId="4335E419" w14:textId="77777777" w:rsidR="00B54653" w:rsidRPr="00404A08" w:rsidRDefault="00B54653" w:rsidP="00B54653">
            <w:pPr>
              <w:jc w:val="center"/>
              <w:rPr>
                <w:lang w:val="en-US"/>
              </w:rPr>
            </w:pPr>
            <w:r w:rsidRPr="00404A08">
              <w:rPr>
                <w:lang w:val="en-US"/>
              </w:rPr>
              <w:t>26,4</w:t>
            </w:r>
          </w:p>
        </w:tc>
        <w:tc>
          <w:tcPr>
            <w:tcW w:w="1372" w:type="dxa"/>
          </w:tcPr>
          <w:p w14:paraId="057C5D31" w14:textId="77777777" w:rsidR="00B54653" w:rsidRPr="00404A08" w:rsidRDefault="00B54653" w:rsidP="00B54653">
            <w:pPr>
              <w:jc w:val="center"/>
              <w:rPr>
                <w:lang w:val="en-US"/>
              </w:rPr>
            </w:pPr>
            <w:r w:rsidRPr="00404A08">
              <w:rPr>
                <w:lang w:val="en-US"/>
              </w:rPr>
              <w:t>-25.7</w:t>
            </w:r>
          </w:p>
        </w:tc>
        <w:tc>
          <w:tcPr>
            <w:tcW w:w="1298" w:type="dxa"/>
          </w:tcPr>
          <w:p w14:paraId="0F0FC691" w14:textId="77777777" w:rsidR="00B54653" w:rsidRPr="00404A08" w:rsidRDefault="00B54653" w:rsidP="00B54653">
            <w:pPr>
              <w:jc w:val="center"/>
              <w:rPr>
                <w:lang w:val="en-US"/>
              </w:rPr>
            </w:pPr>
            <w:r w:rsidRPr="00404A08">
              <w:rPr>
                <w:lang w:val="en-US"/>
              </w:rPr>
              <w:t>-10,7</w:t>
            </w:r>
          </w:p>
        </w:tc>
      </w:tr>
      <w:tr w:rsidR="00B54653" w:rsidRPr="00404A08" w14:paraId="041FC19C" w14:textId="77777777" w:rsidTr="00B54653">
        <w:trPr>
          <w:trHeight w:val="253"/>
        </w:trPr>
        <w:tc>
          <w:tcPr>
            <w:tcW w:w="988" w:type="dxa"/>
          </w:tcPr>
          <w:p w14:paraId="489DF1A1" w14:textId="77777777" w:rsidR="00B54653" w:rsidRPr="00404A08" w:rsidRDefault="00B54653" w:rsidP="00B54653">
            <w:pPr>
              <w:rPr>
                <w:b/>
                <w:lang w:val="en-US"/>
              </w:rPr>
            </w:pPr>
            <w:r w:rsidRPr="00404A08">
              <w:rPr>
                <w:b/>
                <w:lang w:val="en-US"/>
              </w:rPr>
              <w:t>11</w:t>
            </w:r>
          </w:p>
        </w:tc>
        <w:tc>
          <w:tcPr>
            <w:tcW w:w="849" w:type="dxa"/>
          </w:tcPr>
          <w:p w14:paraId="6E4B8407" w14:textId="77777777" w:rsidR="00B54653" w:rsidRPr="00404A08" w:rsidRDefault="00B54653" w:rsidP="00B54653">
            <w:pPr>
              <w:jc w:val="center"/>
              <w:rPr>
                <w:lang w:val="en-US"/>
              </w:rPr>
            </w:pPr>
            <w:r w:rsidRPr="00404A08">
              <w:rPr>
                <w:lang w:val="en-US"/>
              </w:rPr>
              <w:t>16,4</w:t>
            </w:r>
          </w:p>
        </w:tc>
        <w:tc>
          <w:tcPr>
            <w:tcW w:w="719" w:type="dxa"/>
          </w:tcPr>
          <w:p w14:paraId="6214F8E0" w14:textId="77777777" w:rsidR="00B54653" w:rsidRPr="00404A08" w:rsidRDefault="00B54653" w:rsidP="00B54653">
            <w:pPr>
              <w:jc w:val="center"/>
              <w:rPr>
                <w:lang w:val="en-US"/>
              </w:rPr>
            </w:pPr>
            <w:r w:rsidRPr="00404A08">
              <w:rPr>
                <w:lang w:val="en-US"/>
              </w:rPr>
              <w:t>27,9</w:t>
            </w:r>
          </w:p>
        </w:tc>
        <w:tc>
          <w:tcPr>
            <w:tcW w:w="849" w:type="dxa"/>
          </w:tcPr>
          <w:p w14:paraId="599C9EC9" w14:textId="77777777" w:rsidR="00B54653" w:rsidRPr="00404A08" w:rsidRDefault="00B54653" w:rsidP="00B54653">
            <w:pPr>
              <w:jc w:val="center"/>
              <w:rPr>
                <w:lang w:val="en-US"/>
              </w:rPr>
            </w:pPr>
            <w:r w:rsidRPr="00404A08">
              <w:rPr>
                <w:lang w:val="en-US"/>
              </w:rPr>
              <w:t>41,2</w:t>
            </w:r>
          </w:p>
        </w:tc>
        <w:tc>
          <w:tcPr>
            <w:tcW w:w="850" w:type="dxa"/>
          </w:tcPr>
          <w:p w14:paraId="6884770F" w14:textId="77777777" w:rsidR="00B54653" w:rsidRPr="00404A08" w:rsidRDefault="00B54653" w:rsidP="00B54653">
            <w:pPr>
              <w:jc w:val="center"/>
              <w:rPr>
                <w:lang w:val="en-US"/>
              </w:rPr>
            </w:pPr>
            <w:r w:rsidRPr="00404A08">
              <w:rPr>
                <w:lang w:val="en-US"/>
              </w:rPr>
              <w:t>38,0</w:t>
            </w:r>
          </w:p>
        </w:tc>
        <w:tc>
          <w:tcPr>
            <w:tcW w:w="1275" w:type="dxa"/>
          </w:tcPr>
          <w:p w14:paraId="3CD865D2" w14:textId="77777777" w:rsidR="00B54653" w:rsidRPr="00404A08" w:rsidRDefault="00B54653" w:rsidP="00B54653">
            <w:pPr>
              <w:jc w:val="center"/>
              <w:rPr>
                <w:lang w:val="en-US"/>
              </w:rPr>
            </w:pPr>
            <w:r w:rsidRPr="00404A08">
              <w:rPr>
                <w:lang w:val="en-US"/>
              </w:rPr>
              <w:t>-11,5</w:t>
            </w:r>
          </w:p>
        </w:tc>
        <w:tc>
          <w:tcPr>
            <w:tcW w:w="1556" w:type="dxa"/>
          </w:tcPr>
          <w:p w14:paraId="54C70E4B" w14:textId="77777777" w:rsidR="00B54653" w:rsidRPr="00404A08" w:rsidRDefault="00B54653" w:rsidP="00B54653">
            <w:pPr>
              <w:jc w:val="center"/>
              <w:rPr>
                <w:lang w:val="en-US"/>
              </w:rPr>
            </w:pPr>
            <w:r w:rsidRPr="00404A08">
              <w:rPr>
                <w:lang w:val="en-US"/>
              </w:rPr>
              <w:t>-21,6</w:t>
            </w:r>
          </w:p>
        </w:tc>
        <w:tc>
          <w:tcPr>
            <w:tcW w:w="1372" w:type="dxa"/>
          </w:tcPr>
          <w:p w14:paraId="737C2763" w14:textId="77777777" w:rsidR="00B54653" w:rsidRPr="00404A08" w:rsidRDefault="00B54653" w:rsidP="00B54653">
            <w:pPr>
              <w:jc w:val="center"/>
              <w:rPr>
                <w:lang w:val="en-US"/>
              </w:rPr>
            </w:pPr>
            <w:r w:rsidRPr="00404A08">
              <w:rPr>
                <w:lang w:val="en-US"/>
              </w:rPr>
              <w:t>-10.0</w:t>
            </w:r>
          </w:p>
        </w:tc>
        <w:tc>
          <w:tcPr>
            <w:tcW w:w="1298" w:type="dxa"/>
          </w:tcPr>
          <w:p w14:paraId="7D00007D" w14:textId="77777777" w:rsidR="00B54653" w:rsidRPr="00404A08" w:rsidRDefault="00B54653" w:rsidP="00B54653">
            <w:pPr>
              <w:jc w:val="center"/>
              <w:rPr>
                <w:lang w:val="en-US"/>
              </w:rPr>
            </w:pPr>
            <w:r w:rsidRPr="00404A08">
              <w:rPr>
                <w:lang w:val="en-US"/>
              </w:rPr>
              <w:t>3,2</w:t>
            </w:r>
          </w:p>
        </w:tc>
      </w:tr>
      <w:tr w:rsidR="00B54653" w:rsidRPr="00404A08" w14:paraId="1D7E6C06" w14:textId="77777777" w:rsidTr="00B54653">
        <w:trPr>
          <w:trHeight w:val="233"/>
        </w:trPr>
        <w:tc>
          <w:tcPr>
            <w:tcW w:w="988" w:type="dxa"/>
          </w:tcPr>
          <w:p w14:paraId="51533D6F" w14:textId="77777777" w:rsidR="00B54653" w:rsidRPr="00404A08" w:rsidRDefault="00B54653" w:rsidP="00B54653">
            <w:pPr>
              <w:rPr>
                <w:b/>
                <w:lang w:val="en-US"/>
              </w:rPr>
            </w:pPr>
            <w:r w:rsidRPr="00404A08">
              <w:rPr>
                <w:b/>
                <w:lang w:val="en-US"/>
              </w:rPr>
              <w:t>12</w:t>
            </w:r>
          </w:p>
        </w:tc>
        <w:tc>
          <w:tcPr>
            <w:tcW w:w="849" w:type="dxa"/>
          </w:tcPr>
          <w:p w14:paraId="0168BB45" w14:textId="77777777" w:rsidR="00B54653" w:rsidRPr="00404A08" w:rsidRDefault="00B54653" w:rsidP="00B54653">
            <w:pPr>
              <w:jc w:val="center"/>
              <w:rPr>
                <w:lang w:val="en-US"/>
              </w:rPr>
            </w:pPr>
            <w:r w:rsidRPr="00404A08">
              <w:rPr>
                <w:lang w:val="en-US"/>
              </w:rPr>
              <w:t>10,6</w:t>
            </w:r>
          </w:p>
        </w:tc>
        <w:tc>
          <w:tcPr>
            <w:tcW w:w="719" w:type="dxa"/>
          </w:tcPr>
          <w:p w14:paraId="29E507C8" w14:textId="77777777" w:rsidR="00B54653" w:rsidRPr="00404A08" w:rsidRDefault="00B54653" w:rsidP="00B54653">
            <w:pPr>
              <w:jc w:val="center"/>
              <w:rPr>
                <w:lang w:val="en-US"/>
              </w:rPr>
            </w:pPr>
            <w:r w:rsidRPr="00404A08">
              <w:rPr>
                <w:lang w:val="en-US"/>
              </w:rPr>
              <w:t>15,2</w:t>
            </w:r>
          </w:p>
        </w:tc>
        <w:tc>
          <w:tcPr>
            <w:tcW w:w="849" w:type="dxa"/>
          </w:tcPr>
          <w:p w14:paraId="52684299" w14:textId="77777777" w:rsidR="00B54653" w:rsidRPr="00404A08" w:rsidRDefault="00B54653" w:rsidP="00B54653">
            <w:pPr>
              <w:jc w:val="center"/>
              <w:rPr>
                <w:lang w:val="en-US"/>
              </w:rPr>
            </w:pPr>
            <w:r w:rsidRPr="00404A08">
              <w:rPr>
                <w:lang w:val="en-US"/>
              </w:rPr>
              <w:t>26,5</w:t>
            </w:r>
          </w:p>
        </w:tc>
        <w:tc>
          <w:tcPr>
            <w:tcW w:w="850" w:type="dxa"/>
          </w:tcPr>
          <w:p w14:paraId="04CFBCBE" w14:textId="77777777" w:rsidR="00B54653" w:rsidRPr="00404A08" w:rsidRDefault="00B54653" w:rsidP="00B54653">
            <w:pPr>
              <w:jc w:val="center"/>
              <w:rPr>
                <w:lang w:val="en-US"/>
              </w:rPr>
            </w:pPr>
            <w:r w:rsidRPr="00404A08">
              <w:rPr>
                <w:lang w:val="en-US"/>
              </w:rPr>
              <w:t>44,4</w:t>
            </w:r>
          </w:p>
        </w:tc>
        <w:tc>
          <w:tcPr>
            <w:tcW w:w="1275" w:type="dxa"/>
          </w:tcPr>
          <w:p w14:paraId="30887607" w14:textId="77777777" w:rsidR="00B54653" w:rsidRPr="00404A08" w:rsidRDefault="00B54653" w:rsidP="00B54653">
            <w:pPr>
              <w:jc w:val="center"/>
              <w:rPr>
                <w:lang w:val="en-US"/>
              </w:rPr>
            </w:pPr>
            <w:r w:rsidRPr="00404A08">
              <w:rPr>
                <w:lang w:val="en-US"/>
              </w:rPr>
              <w:t>-4,5</w:t>
            </w:r>
          </w:p>
        </w:tc>
        <w:tc>
          <w:tcPr>
            <w:tcW w:w="1556" w:type="dxa"/>
          </w:tcPr>
          <w:p w14:paraId="7E24BC70" w14:textId="77777777" w:rsidR="00B54653" w:rsidRPr="00404A08" w:rsidRDefault="00B54653" w:rsidP="00B54653">
            <w:pPr>
              <w:jc w:val="center"/>
              <w:rPr>
                <w:lang w:val="en-US"/>
              </w:rPr>
            </w:pPr>
            <w:r w:rsidRPr="00404A08">
              <w:rPr>
                <w:lang w:val="en-US"/>
              </w:rPr>
              <w:t>-33,8</w:t>
            </w:r>
          </w:p>
        </w:tc>
        <w:tc>
          <w:tcPr>
            <w:tcW w:w="1372" w:type="dxa"/>
          </w:tcPr>
          <w:p w14:paraId="625E02FB" w14:textId="77777777" w:rsidR="00B54653" w:rsidRPr="00404A08" w:rsidRDefault="00B54653" w:rsidP="00B54653">
            <w:pPr>
              <w:jc w:val="center"/>
              <w:rPr>
                <w:lang w:val="en-US"/>
              </w:rPr>
            </w:pPr>
            <w:r w:rsidRPr="00404A08">
              <w:rPr>
                <w:lang w:val="en-US"/>
              </w:rPr>
              <w:t>-29.3</w:t>
            </w:r>
          </w:p>
        </w:tc>
        <w:tc>
          <w:tcPr>
            <w:tcW w:w="1298" w:type="dxa"/>
          </w:tcPr>
          <w:p w14:paraId="4BA53F69" w14:textId="77777777" w:rsidR="00B54653" w:rsidRPr="00404A08" w:rsidRDefault="00B54653" w:rsidP="00B54653">
            <w:pPr>
              <w:jc w:val="center"/>
              <w:rPr>
                <w:lang w:val="en-US"/>
              </w:rPr>
            </w:pPr>
            <w:r w:rsidRPr="00404A08">
              <w:rPr>
                <w:lang w:val="en-US"/>
              </w:rPr>
              <w:t>-18,0</w:t>
            </w:r>
          </w:p>
        </w:tc>
      </w:tr>
      <w:tr w:rsidR="00B54653" w:rsidRPr="00404A08" w14:paraId="7E4CB7DF" w14:textId="77777777" w:rsidTr="00B54653">
        <w:trPr>
          <w:trHeight w:val="233"/>
        </w:trPr>
        <w:tc>
          <w:tcPr>
            <w:tcW w:w="988" w:type="dxa"/>
          </w:tcPr>
          <w:p w14:paraId="1602E398" w14:textId="77777777" w:rsidR="00B54653" w:rsidRPr="00404A08" w:rsidRDefault="00B54653" w:rsidP="00B54653">
            <w:pPr>
              <w:rPr>
                <w:b/>
                <w:bCs/>
                <w:lang w:val="en-US"/>
              </w:rPr>
            </w:pPr>
            <w:r w:rsidRPr="00404A08">
              <w:rPr>
                <w:b/>
                <w:bCs/>
                <w:lang w:val="en-US"/>
              </w:rPr>
              <w:t>TOTAL</w:t>
            </w:r>
          </w:p>
        </w:tc>
        <w:tc>
          <w:tcPr>
            <w:tcW w:w="849" w:type="dxa"/>
          </w:tcPr>
          <w:p w14:paraId="07E207A7" w14:textId="77777777" w:rsidR="00B54653" w:rsidRPr="00404A08" w:rsidRDefault="00B54653" w:rsidP="00B54653">
            <w:pPr>
              <w:jc w:val="center"/>
              <w:rPr>
                <w:b/>
                <w:bCs/>
                <w:lang w:val="en-US"/>
              </w:rPr>
            </w:pPr>
            <w:r w:rsidRPr="00404A08">
              <w:rPr>
                <w:b/>
                <w:bCs/>
                <w:lang w:val="en-US"/>
              </w:rPr>
              <w:t>546,9</w:t>
            </w:r>
          </w:p>
        </w:tc>
        <w:tc>
          <w:tcPr>
            <w:tcW w:w="719" w:type="dxa"/>
          </w:tcPr>
          <w:p w14:paraId="054C4573" w14:textId="77777777" w:rsidR="00B54653" w:rsidRPr="00404A08" w:rsidRDefault="00B54653" w:rsidP="00B54653">
            <w:pPr>
              <w:jc w:val="center"/>
              <w:rPr>
                <w:b/>
                <w:bCs/>
                <w:lang w:val="en-US"/>
              </w:rPr>
            </w:pPr>
            <w:r w:rsidRPr="00404A08">
              <w:rPr>
                <w:b/>
                <w:bCs/>
                <w:lang w:val="en-US"/>
              </w:rPr>
              <w:t>599,6</w:t>
            </w:r>
          </w:p>
        </w:tc>
        <w:tc>
          <w:tcPr>
            <w:tcW w:w="849" w:type="dxa"/>
          </w:tcPr>
          <w:p w14:paraId="5A10ED98" w14:textId="77777777" w:rsidR="00B54653" w:rsidRPr="00404A08" w:rsidRDefault="00B54653" w:rsidP="00B54653">
            <w:pPr>
              <w:jc w:val="center"/>
              <w:rPr>
                <w:b/>
                <w:bCs/>
                <w:lang w:val="en-US"/>
              </w:rPr>
            </w:pPr>
            <w:r w:rsidRPr="00404A08">
              <w:rPr>
                <w:b/>
                <w:bCs/>
                <w:lang w:val="en-US"/>
              </w:rPr>
              <w:t>541,6</w:t>
            </w:r>
          </w:p>
        </w:tc>
        <w:tc>
          <w:tcPr>
            <w:tcW w:w="850" w:type="dxa"/>
          </w:tcPr>
          <w:p w14:paraId="5677CF7C" w14:textId="77777777" w:rsidR="00B54653" w:rsidRPr="00404A08" w:rsidRDefault="00B54653" w:rsidP="00B54653">
            <w:pPr>
              <w:jc w:val="center"/>
              <w:rPr>
                <w:b/>
                <w:bCs/>
                <w:lang w:val="en-US"/>
              </w:rPr>
            </w:pPr>
            <w:r w:rsidRPr="00404A08">
              <w:rPr>
                <w:b/>
                <w:bCs/>
                <w:lang w:val="en-US"/>
              </w:rPr>
              <w:t>560,6</w:t>
            </w:r>
          </w:p>
        </w:tc>
        <w:tc>
          <w:tcPr>
            <w:tcW w:w="1275" w:type="dxa"/>
          </w:tcPr>
          <w:p w14:paraId="4D5FBE22" w14:textId="77777777" w:rsidR="00B54653" w:rsidRPr="00404A08" w:rsidRDefault="00B54653" w:rsidP="00B54653">
            <w:pPr>
              <w:jc w:val="center"/>
              <w:rPr>
                <w:b/>
                <w:bCs/>
                <w:lang w:val="en-US"/>
              </w:rPr>
            </w:pPr>
            <w:r w:rsidRPr="00404A08">
              <w:rPr>
                <w:b/>
                <w:bCs/>
                <w:lang w:val="en-US"/>
              </w:rPr>
              <w:t>-52,7</w:t>
            </w:r>
          </w:p>
        </w:tc>
        <w:tc>
          <w:tcPr>
            <w:tcW w:w="1556" w:type="dxa"/>
          </w:tcPr>
          <w:p w14:paraId="6D0E0261" w14:textId="77777777" w:rsidR="00B54653" w:rsidRPr="00404A08" w:rsidRDefault="00B54653" w:rsidP="00B54653">
            <w:pPr>
              <w:jc w:val="center"/>
              <w:rPr>
                <w:b/>
                <w:bCs/>
                <w:lang w:val="en-US"/>
              </w:rPr>
            </w:pPr>
            <w:r w:rsidRPr="00404A08">
              <w:rPr>
                <w:b/>
                <w:bCs/>
                <w:lang w:val="en-US"/>
              </w:rPr>
              <w:t>-13,7</w:t>
            </w:r>
          </w:p>
        </w:tc>
        <w:tc>
          <w:tcPr>
            <w:tcW w:w="1372" w:type="dxa"/>
          </w:tcPr>
          <w:p w14:paraId="4D7E2FE2" w14:textId="77777777" w:rsidR="00B54653" w:rsidRPr="00404A08" w:rsidRDefault="00B54653" w:rsidP="00B54653">
            <w:pPr>
              <w:jc w:val="center"/>
              <w:rPr>
                <w:b/>
                <w:lang w:val="en-US"/>
              </w:rPr>
            </w:pPr>
            <w:r w:rsidRPr="00404A08">
              <w:rPr>
                <w:b/>
                <w:lang w:val="en-US"/>
              </w:rPr>
              <w:t>39,0</w:t>
            </w:r>
          </w:p>
        </w:tc>
        <w:tc>
          <w:tcPr>
            <w:tcW w:w="1298" w:type="dxa"/>
          </w:tcPr>
          <w:p w14:paraId="7CFFD9A0" w14:textId="77777777" w:rsidR="00B54653" w:rsidRPr="00404A08" w:rsidRDefault="00B54653" w:rsidP="00B54653">
            <w:pPr>
              <w:jc w:val="center"/>
              <w:rPr>
                <w:b/>
                <w:bCs/>
                <w:lang w:val="en-US"/>
              </w:rPr>
            </w:pPr>
            <w:r w:rsidRPr="00404A08">
              <w:rPr>
                <w:b/>
                <w:bCs/>
                <w:lang w:val="en-US"/>
              </w:rPr>
              <w:t>-19,0</w:t>
            </w:r>
          </w:p>
        </w:tc>
      </w:tr>
    </w:tbl>
    <w:p w14:paraId="718E7730" w14:textId="07F9DE07" w:rsidR="003E7C1F" w:rsidRPr="00404A08" w:rsidRDefault="00B54653" w:rsidP="003E7C1F">
      <w:pPr>
        <w:rPr>
          <w:lang w:val="en-US"/>
        </w:rPr>
      </w:pPr>
      <w:r w:rsidRPr="00404A08">
        <w:rPr>
          <w:b/>
          <w:lang w:val="en-US"/>
        </w:rPr>
        <w:t xml:space="preserve"> </w:t>
      </w:r>
      <w:r w:rsidR="003E7C1F" w:rsidRPr="00404A08">
        <w:rPr>
          <w:b/>
          <w:lang w:val="en-US"/>
        </w:rPr>
        <w:t xml:space="preserve">Table 3: Decomposition of </w:t>
      </w:r>
      <w:r w:rsidR="00404A08">
        <w:rPr>
          <w:b/>
          <w:lang w:val="en-US"/>
        </w:rPr>
        <w:t>Inflation</w:t>
      </w:r>
      <w:r w:rsidR="003E7C1F" w:rsidRPr="00404A08">
        <w:rPr>
          <w:b/>
          <w:lang w:val="en-US"/>
        </w:rPr>
        <w:t xml:space="preserve"> </w:t>
      </w:r>
      <w:r w:rsidR="00404A08" w:rsidRPr="00404A08">
        <w:rPr>
          <w:b/>
          <w:lang w:val="en-US"/>
        </w:rPr>
        <w:t xml:space="preserve">Rate </w:t>
      </w:r>
      <w:r w:rsidR="003E7C1F" w:rsidRPr="00404A08">
        <w:rPr>
          <w:b/>
          <w:lang w:val="en-US"/>
        </w:rPr>
        <w:t>Difference</w:t>
      </w:r>
      <w:r w:rsidR="003E7C1F" w:rsidRPr="00404A08">
        <w:rPr>
          <w:lang w:val="en-US"/>
        </w:rPr>
        <w:t xml:space="preserve"> </w:t>
      </w:r>
    </w:p>
    <w:p w14:paraId="0A24F609" w14:textId="7DCD8D0E" w:rsidR="003E7C1F" w:rsidRDefault="003E7C1F" w:rsidP="003E7C1F">
      <w:pPr>
        <w:rPr>
          <w:sz w:val="18"/>
        </w:rPr>
      </w:pPr>
    </w:p>
    <w:p w14:paraId="78E2731A" w14:textId="77777777" w:rsidR="00B54653" w:rsidRPr="00404A08" w:rsidRDefault="00B54653" w:rsidP="00B54653">
      <w:pPr>
        <w:rPr>
          <w:b/>
          <w:lang w:val="en-US"/>
        </w:rPr>
      </w:pPr>
      <w:r w:rsidRPr="00404A08">
        <w:rPr>
          <w:b/>
          <w:lang w:val="en-US"/>
        </w:rPr>
        <w:t>Table 4: Distribution of employment status of “the poorest” and “the poor” by sector (%)</w:t>
      </w:r>
    </w:p>
    <w:tbl>
      <w:tblPr>
        <w:tblStyle w:val="TableGrid"/>
        <w:tblpPr w:leftFromText="180" w:rightFromText="180" w:vertAnchor="text" w:horzAnchor="margin" w:tblpY="32"/>
        <w:tblW w:w="0" w:type="auto"/>
        <w:tblLook w:val="04A0" w:firstRow="1" w:lastRow="0" w:firstColumn="1" w:lastColumn="0" w:noHBand="0" w:noVBand="1"/>
      </w:tblPr>
      <w:tblGrid>
        <w:gridCol w:w="1937"/>
        <w:gridCol w:w="1937"/>
        <w:gridCol w:w="1939"/>
      </w:tblGrid>
      <w:tr w:rsidR="00B54653" w:rsidRPr="008553FD" w14:paraId="0036A609" w14:textId="77777777" w:rsidTr="00B54653">
        <w:trPr>
          <w:trHeight w:val="253"/>
        </w:trPr>
        <w:tc>
          <w:tcPr>
            <w:tcW w:w="1937" w:type="dxa"/>
          </w:tcPr>
          <w:p w14:paraId="7FEF3353" w14:textId="77777777" w:rsidR="00B54653" w:rsidRPr="00404A08" w:rsidRDefault="00B54653" w:rsidP="00B54653">
            <w:pPr>
              <w:rPr>
                <w:rFonts w:ascii="Calibri" w:eastAsia="Times New Roman" w:hAnsi="Calibri" w:cs="Arial"/>
                <w:lang w:val="en-US"/>
              </w:rPr>
            </w:pPr>
          </w:p>
        </w:tc>
        <w:tc>
          <w:tcPr>
            <w:tcW w:w="1937" w:type="dxa"/>
          </w:tcPr>
          <w:p w14:paraId="1690E706" w14:textId="77777777" w:rsidR="00B54653" w:rsidRPr="00404A08" w:rsidRDefault="00B54653" w:rsidP="00B54653">
            <w:pPr>
              <w:jc w:val="center"/>
              <w:rPr>
                <w:rFonts w:ascii="Calibri" w:eastAsia="Times New Roman" w:hAnsi="Calibri" w:cs="Arial"/>
                <w:b/>
                <w:lang w:val="en-US"/>
              </w:rPr>
            </w:pPr>
            <w:r>
              <w:rPr>
                <w:rFonts w:ascii="Calibri" w:eastAsia="Times New Roman" w:hAnsi="Calibri" w:cs="Arial"/>
                <w:b/>
                <w:lang w:val="en-US"/>
              </w:rPr>
              <w:t>The p</w:t>
            </w:r>
            <w:r w:rsidRPr="00404A08">
              <w:rPr>
                <w:rFonts w:ascii="Calibri" w:eastAsia="Times New Roman" w:hAnsi="Calibri" w:cs="Arial"/>
                <w:b/>
                <w:lang w:val="en-US"/>
              </w:rPr>
              <w:t>oorest</w:t>
            </w:r>
          </w:p>
        </w:tc>
        <w:tc>
          <w:tcPr>
            <w:tcW w:w="1939" w:type="dxa"/>
          </w:tcPr>
          <w:p w14:paraId="4FFB8BFF" w14:textId="77777777" w:rsidR="00B54653" w:rsidRPr="00404A08" w:rsidRDefault="00B54653" w:rsidP="00B54653">
            <w:pPr>
              <w:jc w:val="center"/>
              <w:rPr>
                <w:rFonts w:ascii="Calibri" w:eastAsia="Times New Roman" w:hAnsi="Calibri" w:cs="Arial"/>
                <w:b/>
                <w:lang w:val="en-US"/>
              </w:rPr>
            </w:pPr>
            <w:r>
              <w:rPr>
                <w:rFonts w:ascii="Calibri" w:eastAsia="Times New Roman" w:hAnsi="Calibri" w:cs="Arial"/>
                <w:b/>
                <w:lang w:val="en-US"/>
              </w:rPr>
              <w:t>The p</w:t>
            </w:r>
            <w:r w:rsidRPr="00404A08">
              <w:rPr>
                <w:rFonts w:ascii="Calibri" w:eastAsia="Times New Roman" w:hAnsi="Calibri" w:cs="Arial"/>
                <w:b/>
                <w:lang w:val="en-US"/>
              </w:rPr>
              <w:t>oor</w:t>
            </w:r>
          </w:p>
        </w:tc>
      </w:tr>
      <w:tr w:rsidR="00B54653" w:rsidRPr="008553FD" w14:paraId="2A1EA88A" w14:textId="77777777" w:rsidTr="00B54653">
        <w:trPr>
          <w:trHeight w:val="253"/>
        </w:trPr>
        <w:tc>
          <w:tcPr>
            <w:tcW w:w="1937" w:type="dxa"/>
          </w:tcPr>
          <w:p w14:paraId="4B8C4611" w14:textId="77777777" w:rsidR="00B54653" w:rsidRPr="00404A08" w:rsidRDefault="00B54653" w:rsidP="00B54653">
            <w:pPr>
              <w:rPr>
                <w:rFonts w:ascii="Calibri" w:eastAsia="Times New Roman" w:hAnsi="Calibri" w:cs="Arial"/>
                <w:b/>
                <w:lang w:val="en-US"/>
              </w:rPr>
            </w:pPr>
            <w:r w:rsidRPr="00404A08">
              <w:rPr>
                <w:rFonts w:ascii="Calibri" w:eastAsia="Times New Roman" w:hAnsi="Calibri" w:cs="Arial"/>
                <w:b/>
                <w:lang w:val="en-US"/>
              </w:rPr>
              <w:t>Agriculture</w:t>
            </w:r>
          </w:p>
        </w:tc>
        <w:tc>
          <w:tcPr>
            <w:tcW w:w="1937" w:type="dxa"/>
          </w:tcPr>
          <w:p w14:paraId="5F68C6C1"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46,5</w:t>
            </w:r>
          </w:p>
        </w:tc>
        <w:tc>
          <w:tcPr>
            <w:tcW w:w="1939" w:type="dxa"/>
          </w:tcPr>
          <w:p w14:paraId="519DB467"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29,4</w:t>
            </w:r>
          </w:p>
        </w:tc>
      </w:tr>
      <w:tr w:rsidR="00B54653" w:rsidRPr="008553FD" w14:paraId="32C60F27" w14:textId="77777777" w:rsidTr="00B54653">
        <w:trPr>
          <w:trHeight w:val="244"/>
        </w:trPr>
        <w:tc>
          <w:tcPr>
            <w:tcW w:w="1937" w:type="dxa"/>
          </w:tcPr>
          <w:p w14:paraId="753476CB" w14:textId="77777777" w:rsidR="00B54653" w:rsidRPr="00404A08" w:rsidRDefault="00B54653" w:rsidP="00B54653">
            <w:pPr>
              <w:rPr>
                <w:rFonts w:ascii="Calibri" w:eastAsia="Times New Roman" w:hAnsi="Calibri" w:cs="Arial"/>
                <w:b/>
                <w:lang w:val="en-US"/>
              </w:rPr>
            </w:pPr>
            <w:r w:rsidRPr="00404A08">
              <w:rPr>
                <w:rFonts w:ascii="Calibri" w:eastAsia="Times New Roman" w:hAnsi="Calibri" w:cs="Arial"/>
                <w:b/>
                <w:lang w:val="en-US"/>
              </w:rPr>
              <w:t>Manufacturing</w:t>
            </w:r>
          </w:p>
        </w:tc>
        <w:tc>
          <w:tcPr>
            <w:tcW w:w="1937" w:type="dxa"/>
          </w:tcPr>
          <w:p w14:paraId="78BE4094"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11,4</w:t>
            </w:r>
          </w:p>
        </w:tc>
        <w:tc>
          <w:tcPr>
            <w:tcW w:w="1939" w:type="dxa"/>
          </w:tcPr>
          <w:p w14:paraId="35C07144"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16,4</w:t>
            </w:r>
          </w:p>
        </w:tc>
      </w:tr>
      <w:tr w:rsidR="00B54653" w:rsidRPr="008553FD" w14:paraId="200B1ACC" w14:textId="77777777" w:rsidTr="00B54653">
        <w:trPr>
          <w:trHeight w:val="253"/>
        </w:trPr>
        <w:tc>
          <w:tcPr>
            <w:tcW w:w="1937" w:type="dxa"/>
          </w:tcPr>
          <w:p w14:paraId="73400FA6" w14:textId="77777777" w:rsidR="00B54653" w:rsidRPr="00404A08" w:rsidRDefault="00B54653" w:rsidP="00B54653">
            <w:pPr>
              <w:rPr>
                <w:rFonts w:ascii="Calibri" w:eastAsia="Times New Roman" w:hAnsi="Calibri" w:cs="Arial"/>
                <w:b/>
                <w:lang w:val="en-US"/>
              </w:rPr>
            </w:pPr>
            <w:r w:rsidRPr="00404A08">
              <w:rPr>
                <w:rFonts w:ascii="Calibri" w:eastAsia="Times New Roman" w:hAnsi="Calibri" w:cs="Arial"/>
                <w:b/>
                <w:lang w:val="en-US"/>
              </w:rPr>
              <w:t>Construction</w:t>
            </w:r>
          </w:p>
        </w:tc>
        <w:tc>
          <w:tcPr>
            <w:tcW w:w="1937" w:type="dxa"/>
          </w:tcPr>
          <w:p w14:paraId="7BA55441"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8,5</w:t>
            </w:r>
          </w:p>
        </w:tc>
        <w:tc>
          <w:tcPr>
            <w:tcW w:w="1939" w:type="dxa"/>
          </w:tcPr>
          <w:p w14:paraId="109E32AF"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9,4</w:t>
            </w:r>
          </w:p>
        </w:tc>
      </w:tr>
      <w:tr w:rsidR="00B54653" w:rsidRPr="008553FD" w14:paraId="2B326BC3" w14:textId="77777777" w:rsidTr="00B54653">
        <w:trPr>
          <w:trHeight w:val="253"/>
        </w:trPr>
        <w:tc>
          <w:tcPr>
            <w:tcW w:w="1937" w:type="dxa"/>
          </w:tcPr>
          <w:p w14:paraId="650FD8ED" w14:textId="77777777" w:rsidR="00B54653" w:rsidRPr="00404A08" w:rsidRDefault="00B54653" w:rsidP="00B54653">
            <w:pPr>
              <w:rPr>
                <w:rFonts w:ascii="Calibri" w:eastAsia="Times New Roman" w:hAnsi="Calibri" w:cs="Arial"/>
                <w:b/>
                <w:lang w:val="en-US"/>
              </w:rPr>
            </w:pPr>
            <w:r w:rsidRPr="00404A08">
              <w:rPr>
                <w:rFonts w:ascii="Calibri" w:eastAsia="Times New Roman" w:hAnsi="Calibri" w:cs="Arial"/>
                <w:b/>
                <w:lang w:val="en-US"/>
              </w:rPr>
              <w:t>Service</w:t>
            </w:r>
          </w:p>
        </w:tc>
        <w:tc>
          <w:tcPr>
            <w:tcW w:w="1937" w:type="dxa"/>
          </w:tcPr>
          <w:p w14:paraId="2C01ED9E"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33,7</w:t>
            </w:r>
          </w:p>
        </w:tc>
        <w:tc>
          <w:tcPr>
            <w:tcW w:w="1939" w:type="dxa"/>
          </w:tcPr>
          <w:p w14:paraId="610580FE" w14:textId="77777777" w:rsidR="00B54653" w:rsidRPr="00404A08" w:rsidRDefault="00B54653" w:rsidP="00B54653">
            <w:pPr>
              <w:jc w:val="center"/>
              <w:rPr>
                <w:rFonts w:ascii="Calibri" w:eastAsia="Times New Roman" w:hAnsi="Calibri" w:cs="Arial"/>
                <w:lang w:val="en-US"/>
              </w:rPr>
            </w:pPr>
            <w:r w:rsidRPr="00404A08">
              <w:rPr>
                <w:rFonts w:ascii="Calibri" w:eastAsia="Times New Roman" w:hAnsi="Calibri" w:cs="Arial"/>
                <w:lang w:val="en-US"/>
              </w:rPr>
              <w:t>44,8</w:t>
            </w:r>
          </w:p>
        </w:tc>
      </w:tr>
      <w:tr w:rsidR="00B54653" w:rsidRPr="008553FD" w14:paraId="49211D7E" w14:textId="77777777" w:rsidTr="00B54653">
        <w:trPr>
          <w:trHeight w:val="253"/>
        </w:trPr>
        <w:tc>
          <w:tcPr>
            <w:tcW w:w="1937" w:type="dxa"/>
          </w:tcPr>
          <w:p w14:paraId="485CE95D" w14:textId="77777777" w:rsidR="00B54653" w:rsidRPr="00404A08" w:rsidRDefault="00B54653" w:rsidP="00B54653">
            <w:pPr>
              <w:rPr>
                <w:rFonts w:ascii="Calibri" w:eastAsia="Times New Roman" w:hAnsi="Calibri" w:cs="Arial"/>
                <w:b/>
                <w:bCs/>
                <w:lang w:val="en-US"/>
              </w:rPr>
            </w:pPr>
            <w:r w:rsidRPr="00404A08">
              <w:rPr>
                <w:rFonts w:ascii="Calibri" w:eastAsia="Times New Roman" w:hAnsi="Calibri" w:cs="Arial"/>
                <w:b/>
                <w:bCs/>
                <w:lang w:val="en-US"/>
              </w:rPr>
              <w:t>Total</w:t>
            </w:r>
          </w:p>
        </w:tc>
        <w:tc>
          <w:tcPr>
            <w:tcW w:w="1937" w:type="dxa"/>
          </w:tcPr>
          <w:p w14:paraId="2F71603D" w14:textId="77777777" w:rsidR="00B54653" w:rsidRPr="00404A08" w:rsidRDefault="00B54653" w:rsidP="00B54653">
            <w:pPr>
              <w:jc w:val="center"/>
              <w:rPr>
                <w:rFonts w:ascii="Calibri" w:eastAsia="Times New Roman" w:hAnsi="Calibri" w:cs="Arial"/>
                <w:bCs/>
                <w:lang w:val="en-US"/>
              </w:rPr>
            </w:pPr>
            <w:r w:rsidRPr="00404A08">
              <w:rPr>
                <w:rFonts w:ascii="Calibri" w:eastAsia="Times New Roman" w:hAnsi="Calibri" w:cs="Arial"/>
                <w:bCs/>
                <w:lang w:val="en-US"/>
              </w:rPr>
              <w:t>100,0</w:t>
            </w:r>
          </w:p>
        </w:tc>
        <w:tc>
          <w:tcPr>
            <w:tcW w:w="1939" w:type="dxa"/>
          </w:tcPr>
          <w:p w14:paraId="2B85DAA1" w14:textId="77777777" w:rsidR="00B54653" w:rsidRPr="00404A08" w:rsidRDefault="00B54653" w:rsidP="00B54653">
            <w:pPr>
              <w:jc w:val="center"/>
              <w:rPr>
                <w:rFonts w:ascii="Calibri" w:eastAsia="Times New Roman" w:hAnsi="Calibri" w:cs="Arial"/>
                <w:bCs/>
                <w:lang w:val="en-US"/>
              </w:rPr>
            </w:pPr>
            <w:r w:rsidRPr="00404A08">
              <w:rPr>
                <w:rFonts w:ascii="Calibri" w:eastAsia="Times New Roman" w:hAnsi="Calibri" w:cs="Arial"/>
                <w:bCs/>
                <w:lang w:val="en-US"/>
              </w:rPr>
              <w:t>100,0</w:t>
            </w:r>
          </w:p>
        </w:tc>
      </w:tr>
    </w:tbl>
    <w:p w14:paraId="51A944F3" w14:textId="65C709A6" w:rsidR="00B54653" w:rsidRDefault="00B54653" w:rsidP="003E7C1F">
      <w:pPr>
        <w:rPr>
          <w:sz w:val="18"/>
        </w:rPr>
      </w:pPr>
    </w:p>
    <w:p w14:paraId="1FCA0A4F" w14:textId="24FA4CD8" w:rsidR="00B54653" w:rsidRDefault="00B54653" w:rsidP="003E7C1F">
      <w:pPr>
        <w:rPr>
          <w:sz w:val="18"/>
        </w:rPr>
      </w:pPr>
    </w:p>
    <w:p w14:paraId="3162D3A2" w14:textId="375DCD89" w:rsidR="00B54653" w:rsidRDefault="00B54653" w:rsidP="003E7C1F">
      <w:pPr>
        <w:rPr>
          <w:sz w:val="18"/>
        </w:rPr>
      </w:pPr>
    </w:p>
    <w:p w14:paraId="24A2D8E3" w14:textId="16674752" w:rsidR="00B54653" w:rsidRDefault="00B54653" w:rsidP="003E7C1F">
      <w:pPr>
        <w:rPr>
          <w:sz w:val="18"/>
        </w:rPr>
      </w:pPr>
    </w:p>
    <w:p w14:paraId="1327D9E0" w14:textId="7ADE2BFB" w:rsidR="00B54653" w:rsidRDefault="00B54653" w:rsidP="003E7C1F">
      <w:pPr>
        <w:rPr>
          <w:sz w:val="18"/>
        </w:rPr>
      </w:pPr>
    </w:p>
    <w:p w14:paraId="6BD4D2AB" w14:textId="77777777" w:rsidR="00B54653" w:rsidRPr="00451BEC" w:rsidRDefault="00B54653" w:rsidP="00B54653">
      <w:pPr>
        <w:rPr>
          <w:b/>
          <w:szCs w:val="28"/>
          <w:lang w:val="en-US"/>
        </w:rPr>
      </w:pPr>
      <w:r w:rsidRPr="00451BEC">
        <w:rPr>
          <w:b/>
          <w:szCs w:val="28"/>
          <w:lang w:val="en-US"/>
        </w:rPr>
        <w:t>Table 5: Distribution of educational back</w:t>
      </w:r>
      <w:r>
        <w:rPr>
          <w:b/>
          <w:szCs w:val="28"/>
          <w:lang w:val="en-US"/>
        </w:rPr>
        <w:t>g</w:t>
      </w:r>
      <w:r w:rsidRPr="00451BEC">
        <w:rPr>
          <w:b/>
          <w:szCs w:val="28"/>
          <w:lang w:val="en-US"/>
        </w:rPr>
        <w:t>round of “the poorest” and “the poor” (%)</w:t>
      </w:r>
    </w:p>
    <w:tbl>
      <w:tblPr>
        <w:tblStyle w:val="TableGrid"/>
        <w:tblpPr w:leftFromText="180" w:rightFromText="180" w:vertAnchor="text" w:horzAnchor="margin" w:tblpY="49"/>
        <w:tblW w:w="0" w:type="auto"/>
        <w:tblLook w:val="04A0" w:firstRow="1" w:lastRow="0" w:firstColumn="1" w:lastColumn="0" w:noHBand="0" w:noVBand="1"/>
      </w:tblPr>
      <w:tblGrid>
        <w:gridCol w:w="2379"/>
        <w:gridCol w:w="1421"/>
        <w:gridCol w:w="1146"/>
      </w:tblGrid>
      <w:tr w:rsidR="00B54653" w:rsidRPr="008553FD" w14:paraId="436CCBAA" w14:textId="77777777" w:rsidTr="00B54653">
        <w:trPr>
          <w:trHeight w:val="256"/>
        </w:trPr>
        <w:tc>
          <w:tcPr>
            <w:tcW w:w="2379" w:type="dxa"/>
          </w:tcPr>
          <w:p w14:paraId="152AF151" w14:textId="77777777" w:rsidR="00B54653" w:rsidRPr="00451BEC" w:rsidRDefault="00B54653" w:rsidP="00B54653">
            <w:pPr>
              <w:rPr>
                <w:rFonts w:ascii="Calibri" w:eastAsia="Times New Roman" w:hAnsi="Calibri" w:cs="Arial"/>
                <w:lang w:val="en-US"/>
              </w:rPr>
            </w:pPr>
          </w:p>
        </w:tc>
        <w:tc>
          <w:tcPr>
            <w:tcW w:w="1421" w:type="dxa"/>
          </w:tcPr>
          <w:p w14:paraId="2B787A3B" w14:textId="77777777" w:rsidR="00B54653" w:rsidRPr="00451BEC" w:rsidRDefault="00B54653" w:rsidP="00B54653">
            <w:pPr>
              <w:jc w:val="center"/>
              <w:rPr>
                <w:rFonts w:ascii="Calibri" w:eastAsia="Times New Roman" w:hAnsi="Calibri" w:cs="Arial"/>
                <w:lang w:val="en-US"/>
              </w:rPr>
            </w:pPr>
            <w:r>
              <w:rPr>
                <w:rFonts w:ascii="Calibri" w:eastAsia="Times New Roman" w:hAnsi="Calibri" w:cs="Arial"/>
                <w:b/>
                <w:lang w:val="en-US"/>
              </w:rPr>
              <w:t>The p</w:t>
            </w:r>
            <w:r w:rsidRPr="00451BEC">
              <w:rPr>
                <w:rFonts w:ascii="Calibri" w:eastAsia="Times New Roman" w:hAnsi="Calibri" w:cs="Arial"/>
                <w:b/>
                <w:lang w:val="en-US"/>
              </w:rPr>
              <w:t>oorest</w:t>
            </w:r>
          </w:p>
        </w:tc>
        <w:tc>
          <w:tcPr>
            <w:tcW w:w="1146" w:type="dxa"/>
          </w:tcPr>
          <w:p w14:paraId="47F6000D" w14:textId="77777777" w:rsidR="00B54653" w:rsidRPr="00451BEC" w:rsidRDefault="00B54653" w:rsidP="00B54653">
            <w:pPr>
              <w:jc w:val="center"/>
              <w:rPr>
                <w:rFonts w:ascii="Calibri" w:eastAsia="Times New Roman" w:hAnsi="Calibri" w:cs="Arial"/>
                <w:lang w:val="en-US"/>
              </w:rPr>
            </w:pPr>
            <w:r>
              <w:rPr>
                <w:rFonts w:ascii="Calibri" w:eastAsia="Times New Roman" w:hAnsi="Calibri" w:cs="Arial"/>
                <w:b/>
                <w:lang w:val="en-US"/>
              </w:rPr>
              <w:t>The p</w:t>
            </w:r>
            <w:r w:rsidRPr="00451BEC">
              <w:rPr>
                <w:rFonts w:ascii="Calibri" w:eastAsia="Times New Roman" w:hAnsi="Calibri" w:cs="Arial"/>
                <w:b/>
                <w:lang w:val="en-US"/>
              </w:rPr>
              <w:t>oor</w:t>
            </w:r>
          </w:p>
        </w:tc>
      </w:tr>
      <w:tr w:rsidR="00B54653" w:rsidRPr="008553FD" w14:paraId="7CEB27D4" w14:textId="77777777" w:rsidTr="00B54653">
        <w:trPr>
          <w:trHeight w:val="256"/>
        </w:trPr>
        <w:tc>
          <w:tcPr>
            <w:tcW w:w="2379" w:type="dxa"/>
          </w:tcPr>
          <w:p w14:paraId="3FCE0389" w14:textId="77777777" w:rsidR="00B54653" w:rsidRPr="00451BEC" w:rsidRDefault="00B54653" w:rsidP="00B54653">
            <w:pPr>
              <w:rPr>
                <w:rFonts w:ascii="Calibri" w:eastAsia="Times New Roman" w:hAnsi="Calibri" w:cs="Arial"/>
                <w:b/>
                <w:lang w:val="en-US"/>
              </w:rPr>
            </w:pPr>
            <w:r w:rsidRPr="00451BEC">
              <w:rPr>
                <w:rFonts w:ascii="Calibri" w:eastAsia="Times New Roman" w:hAnsi="Calibri" w:cs="Arial"/>
                <w:b/>
                <w:lang w:val="en-US"/>
              </w:rPr>
              <w:t>Less than high school</w:t>
            </w:r>
          </w:p>
        </w:tc>
        <w:tc>
          <w:tcPr>
            <w:tcW w:w="1421" w:type="dxa"/>
          </w:tcPr>
          <w:p w14:paraId="5D6A833F" w14:textId="77777777" w:rsidR="00B54653" w:rsidRPr="00451BEC" w:rsidRDefault="00B54653" w:rsidP="00B54653">
            <w:pPr>
              <w:jc w:val="center"/>
              <w:rPr>
                <w:rFonts w:ascii="Calibri" w:eastAsia="Times New Roman" w:hAnsi="Calibri" w:cs="Arial"/>
                <w:lang w:val="en-US"/>
              </w:rPr>
            </w:pPr>
            <w:r w:rsidRPr="00451BEC">
              <w:rPr>
                <w:rFonts w:ascii="Calibri" w:eastAsia="Times New Roman" w:hAnsi="Calibri" w:cs="Arial"/>
                <w:lang w:val="en-US"/>
              </w:rPr>
              <w:t>89,6</w:t>
            </w:r>
          </w:p>
        </w:tc>
        <w:tc>
          <w:tcPr>
            <w:tcW w:w="1146" w:type="dxa"/>
          </w:tcPr>
          <w:p w14:paraId="5A39F7FA" w14:textId="77777777" w:rsidR="00B54653" w:rsidRPr="00451BEC" w:rsidRDefault="00B54653" w:rsidP="00B54653">
            <w:pPr>
              <w:jc w:val="center"/>
              <w:rPr>
                <w:rFonts w:ascii="Calibri" w:eastAsia="Times New Roman" w:hAnsi="Calibri" w:cs="Arial"/>
                <w:lang w:val="en-US"/>
              </w:rPr>
            </w:pPr>
            <w:r w:rsidRPr="00451BEC">
              <w:rPr>
                <w:rFonts w:ascii="Calibri" w:eastAsia="Times New Roman" w:hAnsi="Calibri" w:cs="Arial"/>
                <w:lang w:val="en-US"/>
              </w:rPr>
              <w:t>82,4</w:t>
            </w:r>
          </w:p>
        </w:tc>
      </w:tr>
      <w:tr w:rsidR="00B54653" w:rsidRPr="008553FD" w14:paraId="6852F931" w14:textId="77777777" w:rsidTr="00B54653">
        <w:trPr>
          <w:trHeight w:val="248"/>
        </w:trPr>
        <w:tc>
          <w:tcPr>
            <w:tcW w:w="2379" w:type="dxa"/>
          </w:tcPr>
          <w:p w14:paraId="6463F370" w14:textId="77777777" w:rsidR="00B54653" w:rsidRPr="00451BEC" w:rsidRDefault="00B54653" w:rsidP="00B54653">
            <w:pPr>
              <w:rPr>
                <w:rFonts w:ascii="Calibri" w:eastAsia="Times New Roman" w:hAnsi="Calibri" w:cs="Arial"/>
                <w:b/>
                <w:lang w:val="en-US"/>
              </w:rPr>
            </w:pPr>
            <w:r w:rsidRPr="00451BEC">
              <w:rPr>
                <w:rFonts w:ascii="Calibri" w:eastAsia="Times New Roman" w:hAnsi="Calibri" w:cs="Arial"/>
                <w:b/>
                <w:lang w:val="en-US"/>
              </w:rPr>
              <w:t>High school</w:t>
            </w:r>
          </w:p>
        </w:tc>
        <w:tc>
          <w:tcPr>
            <w:tcW w:w="1421" w:type="dxa"/>
          </w:tcPr>
          <w:p w14:paraId="697F009A" w14:textId="77777777" w:rsidR="00B54653" w:rsidRPr="00451BEC" w:rsidRDefault="00B54653" w:rsidP="00B54653">
            <w:pPr>
              <w:jc w:val="center"/>
              <w:rPr>
                <w:rFonts w:ascii="Calibri" w:eastAsia="Times New Roman" w:hAnsi="Calibri" w:cs="Arial"/>
                <w:lang w:val="en-US"/>
              </w:rPr>
            </w:pPr>
            <w:r w:rsidRPr="00451BEC">
              <w:rPr>
                <w:rFonts w:ascii="Calibri" w:eastAsia="Times New Roman" w:hAnsi="Calibri" w:cs="Arial"/>
                <w:lang w:val="en-US"/>
              </w:rPr>
              <w:t>7,1</w:t>
            </w:r>
          </w:p>
        </w:tc>
        <w:tc>
          <w:tcPr>
            <w:tcW w:w="1146" w:type="dxa"/>
          </w:tcPr>
          <w:p w14:paraId="484709E2" w14:textId="77777777" w:rsidR="00B54653" w:rsidRPr="00451BEC" w:rsidRDefault="00B54653" w:rsidP="00B54653">
            <w:pPr>
              <w:jc w:val="center"/>
              <w:rPr>
                <w:rFonts w:ascii="Calibri" w:eastAsia="Times New Roman" w:hAnsi="Calibri" w:cs="Arial"/>
                <w:lang w:val="en-US"/>
              </w:rPr>
            </w:pPr>
            <w:r w:rsidRPr="00451BEC">
              <w:rPr>
                <w:rFonts w:ascii="Calibri" w:eastAsia="Times New Roman" w:hAnsi="Calibri" w:cs="Arial"/>
                <w:lang w:val="en-US"/>
              </w:rPr>
              <w:t>12,0</w:t>
            </w:r>
          </w:p>
        </w:tc>
      </w:tr>
      <w:tr w:rsidR="00B54653" w:rsidRPr="008553FD" w14:paraId="130FB601" w14:textId="77777777" w:rsidTr="00B54653">
        <w:trPr>
          <w:trHeight w:val="256"/>
        </w:trPr>
        <w:tc>
          <w:tcPr>
            <w:tcW w:w="2379" w:type="dxa"/>
          </w:tcPr>
          <w:p w14:paraId="522EC1B0" w14:textId="77777777" w:rsidR="00B54653" w:rsidRPr="00451BEC" w:rsidRDefault="00B54653" w:rsidP="00B54653">
            <w:pPr>
              <w:rPr>
                <w:rFonts w:ascii="Calibri" w:eastAsia="Times New Roman" w:hAnsi="Calibri" w:cs="Arial"/>
                <w:b/>
                <w:lang w:val="en-US"/>
              </w:rPr>
            </w:pPr>
            <w:r>
              <w:rPr>
                <w:rFonts w:ascii="Calibri" w:eastAsia="Times New Roman" w:hAnsi="Calibri" w:cs="Arial"/>
                <w:b/>
                <w:lang w:val="en-US"/>
              </w:rPr>
              <w:t>Higher</w:t>
            </w:r>
            <w:r w:rsidRPr="00451BEC">
              <w:rPr>
                <w:rFonts w:ascii="Calibri" w:eastAsia="Times New Roman" w:hAnsi="Calibri" w:cs="Arial"/>
                <w:b/>
                <w:lang w:val="en-US"/>
              </w:rPr>
              <w:t xml:space="preserve"> than high school</w:t>
            </w:r>
          </w:p>
        </w:tc>
        <w:tc>
          <w:tcPr>
            <w:tcW w:w="1421" w:type="dxa"/>
          </w:tcPr>
          <w:p w14:paraId="66C96490" w14:textId="77777777" w:rsidR="00B54653" w:rsidRPr="00451BEC" w:rsidRDefault="00B54653" w:rsidP="00B54653">
            <w:pPr>
              <w:jc w:val="center"/>
              <w:rPr>
                <w:rFonts w:ascii="Calibri" w:eastAsia="Times New Roman" w:hAnsi="Calibri" w:cs="Arial"/>
                <w:lang w:val="en-US"/>
              </w:rPr>
            </w:pPr>
            <w:r w:rsidRPr="00451BEC">
              <w:rPr>
                <w:rFonts w:ascii="Calibri" w:eastAsia="Times New Roman" w:hAnsi="Calibri" w:cs="Arial"/>
                <w:lang w:val="en-US"/>
              </w:rPr>
              <w:t>3,3</w:t>
            </w:r>
          </w:p>
        </w:tc>
        <w:tc>
          <w:tcPr>
            <w:tcW w:w="1146" w:type="dxa"/>
          </w:tcPr>
          <w:p w14:paraId="5723CA2B" w14:textId="77777777" w:rsidR="00B54653" w:rsidRPr="00451BEC" w:rsidRDefault="00B54653" w:rsidP="00B54653">
            <w:pPr>
              <w:jc w:val="center"/>
              <w:rPr>
                <w:rFonts w:ascii="Calibri" w:eastAsia="Times New Roman" w:hAnsi="Calibri" w:cs="Arial"/>
                <w:lang w:val="en-US"/>
              </w:rPr>
            </w:pPr>
            <w:r w:rsidRPr="00451BEC">
              <w:rPr>
                <w:rFonts w:ascii="Calibri" w:eastAsia="Times New Roman" w:hAnsi="Calibri" w:cs="Arial"/>
                <w:lang w:val="en-US"/>
              </w:rPr>
              <w:t>5,6</w:t>
            </w:r>
          </w:p>
        </w:tc>
      </w:tr>
      <w:tr w:rsidR="00B54653" w:rsidRPr="008553FD" w14:paraId="6C4B4E19" w14:textId="77777777" w:rsidTr="00B54653">
        <w:trPr>
          <w:trHeight w:val="48"/>
        </w:trPr>
        <w:tc>
          <w:tcPr>
            <w:tcW w:w="2379" w:type="dxa"/>
          </w:tcPr>
          <w:p w14:paraId="5CC60ACB" w14:textId="77777777" w:rsidR="00B54653" w:rsidRPr="00451BEC" w:rsidRDefault="00B54653" w:rsidP="00B54653">
            <w:pPr>
              <w:rPr>
                <w:rFonts w:ascii="Calibri" w:eastAsia="Times New Roman" w:hAnsi="Calibri" w:cs="Arial"/>
                <w:b/>
                <w:bCs/>
                <w:lang w:val="en-US"/>
              </w:rPr>
            </w:pPr>
            <w:r w:rsidRPr="00451BEC">
              <w:rPr>
                <w:rFonts w:ascii="Calibri" w:eastAsia="Times New Roman" w:hAnsi="Calibri" w:cs="Arial"/>
                <w:b/>
                <w:bCs/>
                <w:lang w:val="en-US"/>
              </w:rPr>
              <w:t>Total</w:t>
            </w:r>
          </w:p>
        </w:tc>
        <w:tc>
          <w:tcPr>
            <w:tcW w:w="1421" w:type="dxa"/>
          </w:tcPr>
          <w:p w14:paraId="3499040F" w14:textId="77777777" w:rsidR="00B54653" w:rsidRPr="00451BEC" w:rsidRDefault="00B54653" w:rsidP="00B54653">
            <w:pPr>
              <w:jc w:val="center"/>
              <w:rPr>
                <w:rFonts w:ascii="Calibri" w:eastAsia="Times New Roman" w:hAnsi="Calibri" w:cs="Arial"/>
                <w:bCs/>
                <w:lang w:val="en-US"/>
              </w:rPr>
            </w:pPr>
            <w:r w:rsidRPr="00451BEC">
              <w:rPr>
                <w:rFonts w:ascii="Calibri" w:eastAsia="Times New Roman" w:hAnsi="Calibri" w:cs="Arial"/>
                <w:bCs/>
                <w:lang w:val="en-US"/>
              </w:rPr>
              <w:t>100,0</w:t>
            </w:r>
          </w:p>
        </w:tc>
        <w:tc>
          <w:tcPr>
            <w:tcW w:w="1146" w:type="dxa"/>
          </w:tcPr>
          <w:p w14:paraId="6D3D8605" w14:textId="77777777" w:rsidR="00B54653" w:rsidRPr="00451BEC" w:rsidRDefault="00B54653" w:rsidP="00B54653">
            <w:pPr>
              <w:jc w:val="center"/>
              <w:rPr>
                <w:rFonts w:ascii="Calibri" w:eastAsia="Times New Roman" w:hAnsi="Calibri" w:cs="Arial"/>
                <w:bCs/>
                <w:lang w:val="en-US"/>
              </w:rPr>
            </w:pPr>
            <w:r w:rsidRPr="00451BEC">
              <w:rPr>
                <w:rFonts w:ascii="Calibri" w:eastAsia="Times New Roman" w:hAnsi="Calibri" w:cs="Arial"/>
                <w:bCs/>
                <w:lang w:val="en-US"/>
              </w:rPr>
              <w:t>100,0</w:t>
            </w:r>
          </w:p>
        </w:tc>
      </w:tr>
    </w:tbl>
    <w:p w14:paraId="384A3292" w14:textId="1182E495" w:rsidR="00B54653" w:rsidRDefault="00B54653" w:rsidP="003E7C1F">
      <w:pPr>
        <w:rPr>
          <w:sz w:val="18"/>
        </w:rPr>
      </w:pPr>
    </w:p>
    <w:p w14:paraId="6587DDED" w14:textId="2859B6F9" w:rsidR="00B54653" w:rsidRDefault="00B54653" w:rsidP="003E7C1F">
      <w:pPr>
        <w:rPr>
          <w:sz w:val="18"/>
        </w:rPr>
      </w:pPr>
    </w:p>
    <w:p w14:paraId="14CD3B30" w14:textId="77777777" w:rsidR="00B54653" w:rsidRDefault="00B54653" w:rsidP="003E7C1F">
      <w:pPr>
        <w:rPr>
          <w:sz w:val="18"/>
        </w:rPr>
      </w:pPr>
    </w:p>
    <w:p w14:paraId="451E1DEB" w14:textId="77777777" w:rsidR="003E7C1F" w:rsidRDefault="003E7C1F" w:rsidP="003E7C1F">
      <w:pPr>
        <w:rPr>
          <w:sz w:val="18"/>
        </w:rPr>
      </w:pPr>
    </w:p>
    <w:p w14:paraId="79AF3A89" w14:textId="77777777" w:rsidR="00404A08" w:rsidRPr="00404A08" w:rsidRDefault="00404A08" w:rsidP="003E7C1F">
      <w:pPr>
        <w:rPr>
          <w:b/>
          <w:sz w:val="18"/>
          <w:lang w:val="en-US"/>
        </w:rPr>
      </w:pPr>
    </w:p>
    <w:p w14:paraId="742C63C5" w14:textId="77777777" w:rsidR="003E7C1F" w:rsidRPr="00404A08" w:rsidRDefault="003E7C1F" w:rsidP="003E7C1F">
      <w:pPr>
        <w:rPr>
          <w:sz w:val="18"/>
          <w:lang w:val="en-US"/>
        </w:rPr>
      </w:pPr>
    </w:p>
    <w:p w14:paraId="65FC6397" w14:textId="77777777" w:rsidR="003E7C1F" w:rsidRDefault="003E7C1F" w:rsidP="003E7C1F">
      <w:pPr>
        <w:rPr>
          <w:sz w:val="18"/>
        </w:rPr>
      </w:pPr>
    </w:p>
    <w:p w14:paraId="1E858EC5" w14:textId="77777777" w:rsidR="003E7C1F" w:rsidRDefault="003E7C1F" w:rsidP="003E7C1F">
      <w:pPr>
        <w:rPr>
          <w:sz w:val="18"/>
        </w:rPr>
      </w:pPr>
    </w:p>
    <w:p w14:paraId="04C2D929" w14:textId="77777777" w:rsidR="003E7C1F" w:rsidRDefault="003E7C1F" w:rsidP="003E7C1F">
      <w:pPr>
        <w:rPr>
          <w:sz w:val="18"/>
        </w:rPr>
      </w:pPr>
    </w:p>
    <w:p w14:paraId="4211B936" w14:textId="2F6EA321" w:rsidR="003E7C1F" w:rsidRDefault="003E7C1F" w:rsidP="003E7C1F">
      <w:pPr>
        <w:rPr>
          <w:sz w:val="18"/>
        </w:rPr>
      </w:pPr>
    </w:p>
    <w:p w14:paraId="56CBB6C8" w14:textId="2D4AC3BD" w:rsidR="003E7C1F" w:rsidRPr="0090402B" w:rsidRDefault="003E7C1F" w:rsidP="003E7C1F">
      <w:pPr>
        <w:rPr>
          <w:b/>
          <w:sz w:val="18"/>
        </w:rPr>
      </w:pPr>
    </w:p>
    <w:p w14:paraId="4274EBE6" w14:textId="77777777" w:rsidR="003E7C1F" w:rsidRPr="00451BEC" w:rsidRDefault="003E7C1F" w:rsidP="003E7C1F">
      <w:pPr>
        <w:rPr>
          <w:sz w:val="18"/>
          <w:lang w:val="en-US"/>
        </w:rPr>
      </w:pPr>
    </w:p>
    <w:p w14:paraId="51724A4C" w14:textId="229B6EA6" w:rsidR="00B82C1A" w:rsidRPr="00B82C1A" w:rsidRDefault="00B82C1A" w:rsidP="00B82C1A">
      <w:pPr>
        <w:spacing w:after="0"/>
        <w:jc w:val="both"/>
        <w:rPr>
          <w:lang w:val="en-US"/>
        </w:rPr>
      </w:pPr>
      <w:r w:rsidRPr="00B82C1A">
        <w:rPr>
          <w:iCs/>
          <w:noProof/>
          <w:lang w:val="en-GB" w:eastAsia="en-GB"/>
        </w:rPr>
        <w:lastRenderedPageBreak/>
        <mc:AlternateContent>
          <mc:Choice Requires="wps">
            <w:drawing>
              <wp:anchor distT="0" distB="0" distL="114300" distR="114300" simplePos="0" relativeHeight="251663360" behindDoc="0" locked="0" layoutInCell="1" allowOverlap="1" wp14:anchorId="468D7800" wp14:editId="3C41646D">
                <wp:simplePos x="0" y="0"/>
                <wp:positionH relativeFrom="page">
                  <wp:posOffset>182880</wp:posOffset>
                </wp:positionH>
                <wp:positionV relativeFrom="page">
                  <wp:posOffset>1228954</wp:posOffset>
                </wp:positionV>
                <wp:extent cx="7235687" cy="8624620"/>
                <wp:effectExtent l="0" t="0" r="22860" b="2413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87" cy="8624620"/>
                        </a:xfrm>
                        <a:prstGeom prst="rect">
                          <a:avLst/>
                        </a:prstGeom>
                        <a:solidFill>
                          <a:srgbClr val="FFFFFF"/>
                        </a:solidFill>
                        <a:ln w="9525">
                          <a:solidFill>
                            <a:srgbClr val="000000"/>
                          </a:solidFill>
                          <a:miter lim="800000"/>
                          <a:headEnd/>
                          <a:tailEnd/>
                        </a:ln>
                      </wps:spPr>
                      <wps:txbx>
                        <w:txbxContent>
                          <w:p w14:paraId="4CE54B96" w14:textId="77777777" w:rsidR="00156D1F" w:rsidRPr="00A32CCD" w:rsidRDefault="00156D1F" w:rsidP="00B82C1A">
                            <w:pPr>
                              <w:tabs>
                                <w:tab w:val="left" w:pos="0"/>
                              </w:tabs>
                              <w:spacing w:after="0"/>
                              <w:ind w:right="35"/>
                              <w:jc w:val="both"/>
                              <w:rPr>
                                <w:rFonts w:ascii="Arial" w:hAnsi="Arial" w:cs="Arial"/>
                                <w:sz w:val="20"/>
                                <w:szCs w:val="20"/>
                              </w:rPr>
                            </w:pPr>
                          </w:p>
                          <w:p w14:paraId="1391913C" w14:textId="05CC50B0" w:rsidR="00156D1F" w:rsidRPr="00B82C1A" w:rsidRDefault="00156D1F" w:rsidP="00B82C1A">
                            <w:pPr>
                              <w:tabs>
                                <w:tab w:val="left" w:pos="426"/>
                              </w:tabs>
                              <w:spacing w:after="0"/>
                              <w:ind w:left="425" w:right="669"/>
                              <w:jc w:val="both"/>
                              <w:rPr>
                                <w:rFonts w:cs="Arial"/>
                                <w:color w:val="000000" w:themeColor="text1"/>
                                <w:lang w:val="en-US"/>
                              </w:rPr>
                            </w:pPr>
                            <w:r w:rsidRPr="00B82C1A">
                              <w:rPr>
                                <w:rFonts w:cs="Arial"/>
                                <w:color w:val="000000" w:themeColor="text1"/>
                                <w:lang w:val="en-US"/>
                              </w:rPr>
                              <w:t>We followed TurkStat’s methodology in calculating the price indexes of different expenditure groups. Choosing 2003 as the base year (2003=100) and weighting indices of sub-groups by deciles, we calculated a price index for each group. We used weights of expenditure groups calculated by B</w:t>
                            </w:r>
                            <w:r>
                              <w:rPr>
                                <w:rFonts w:cs="Arial"/>
                                <w:color w:val="000000" w:themeColor="text1"/>
                                <w:lang w:val="en-US"/>
                              </w:rPr>
                              <w:t>etam</w:t>
                            </w:r>
                            <w:r w:rsidRPr="00B82C1A">
                              <w:rPr>
                                <w:rFonts w:cs="Arial"/>
                                <w:color w:val="000000" w:themeColor="text1"/>
                                <w:lang w:val="en-US"/>
                              </w:rPr>
                              <w:t xml:space="preserve"> for years between 2003 and 2019. However, we used weights of 2019 for the last 19 months since Household Budget Survey micro data for 2020 and 2021 are not available. </w:t>
                            </w:r>
                          </w:p>
                          <w:p w14:paraId="527D792C" w14:textId="77777777" w:rsidR="00156D1F" w:rsidRPr="00B82C1A" w:rsidRDefault="00156D1F" w:rsidP="00B82C1A">
                            <w:pPr>
                              <w:tabs>
                                <w:tab w:val="left" w:pos="426"/>
                              </w:tabs>
                              <w:spacing w:after="0"/>
                              <w:ind w:left="425" w:right="669"/>
                              <w:rPr>
                                <w:rFonts w:cs="Arial"/>
                                <w:color w:val="000000" w:themeColor="text1"/>
                                <w:highlight w:val="yellow"/>
                                <w:lang w:val="en-US"/>
                              </w:rPr>
                            </w:pPr>
                          </w:p>
                          <w:p w14:paraId="329E66AD" w14:textId="77777777" w:rsidR="00156D1F" w:rsidRPr="00B82C1A" w:rsidRDefault="00156D1F" w:rsidP="00B82C1A">
                            <w:pPr>
                              <w:tabs>
                                <w:tab w:val="left" w:pos="426"/>
                              </w:tabs>
                              <w:spacing w:after="0"/>
                              <w:ind w:left="425" w:right="669"/>
                              <w:jc w:val="both"/>
                              <w:rPr>
                                <w:rFonts w:cs="Arial"/>
                                <w:color w:val="000000" w:themeColor="text1"/>
                                <w:lang w:val="en-US"/>
                              </w:rPr>
                            </w:pPr>
                            <w:r w:rsidRPr="00B82C1A">
                              <w:rPr>
                                <w:rFonts w:cs="Arial"/>
                                <w:color w:val="000000" w:themeColor="text1"/>
                                <w:lang w:val="en-US"/>
                              </w:rPr>
                              <w:t>We used Laspeyres formula to measure price indexes of each group. We modified the formula, which we present below, to separately calculate the inflation rates of the poorest and the richest.</w:t>
                            </w:r>
                          </w:p>
                          <w:p w14:paraId="01D5BE96" w14:textId="77777777" w:rsidR="00156D1F" w:rsidRPr="00B82C1A" w:rsidRDefault="00156D1F" w:rsidP="00B82C1A">
                            <w:pPr>
                              <w:tabs>
                                <w:tab w:val="left" w:pos="0"/>
                              </w:tabs>
                              <w:spacing w:after="0"/>
                              <w:ind w:right="35"/>
                              <w:jc w:val="both"/>
                              <w:rPr>
                                <w:rFonts w:cs="Arial"/>
                                <w:color w:val="000000" w:themeColor="text1"/>
                                <w:lang w:val="en-US"/>
                              </w:rPr>
                            </w:pPr>
                          </w:p>
                          <w:tbl>
                            <w:tblPr>
                              <w:tblStyle w:val="TableGrid"/>
                              <w:tblW w:w="0" w:type="auto"/>
                              <w:tblInd w:w="-5" w:type="dxa"/>
                              <w:tblLook w:val="04A0" w:firstRow="1" w:lastRow="0" w:firstColumn="1" w:lastColumn="0" w:noHBand="0" w:noVBand="1"/>
                            </w:tblPr>
                            <w:tblGrid>
                              <w:gridCol w:w="4927"/>
                              <w:gridCol w:w="4961"/>
                            </w:tblGrid>
                            <w:tr w:rsidR="00156D1F" w:rsidRPr="00B82C1A" w14:paraId="170368DF" w14:textId="77777777" w:rsidTr="008C05D3">
                              <w:trPr>
                                <w:trHeight w:hRule="exact" w:val="680"/>
                              </w:trPr>
                              <w:tc>
                                <w:tcPr>
                                  <w:tcW w:w="4927" w:type="dxa"/>
                                </w:tcPr>
                                <w:p w14:paraId="7FFD3BC2" w14:textId="16B3E60C" w:rsidR="00156D1F" w:rsidRPr="00B82C1A" w:rsidRDefault="00156D1F" w:rsidP="008C05D3">
                                  <w:pPr>
                                    <w:tabs>
                                      <w:tab w:val="left" w:pos="426"/>
                                    </w:tabs>
                                    <w:ind w:left="426" w:right="668"/>
                                    <w:rPr>
                                      <w:rFonts w:cs="Arial"/>
                                      <w:color w:val="000000" w:themeColor="text1"/>
                                      <w:lang w:val="en-US"/>
                                    </w:rPr>
                                  </w:pPr>
                                  <w:r w:rsidRPr="00B82C1A">
                                    <w:rPr>
                                      <w:rFonts w:cs="Arial"/>
                                      <w:color w:val="000000" w:themeColor="text1"/>
                                      <w:lang w:val="en-US"/>
                                    </w:rPr>
                                    <w:t xml:space="preserve">Inflation of the poorest </w:t>
                                  </w:r>
                                  <w:r w:rsidR="00DF50EF">
                                    <w:rPr>
                                      <w:rFonts w:cs="Arial"/>
                                      <w:color w:val="000000" w:themeColor="text1"/>
                                      <w:lang w:val="en-US"/>
                                    </w:rPr>
                                    <w:t xml:space="preserve">expenditure </w:t>
                                  </w:r>
                                  <w:r w:rsidRPr="00B82C1A">
                                    <w:rPr>
                                      <w:rFonts w:cs="Arial"/>
                                      <w:color w:val="000000" w:themeColor="text1"/>
                                      <w:lang w:val="en-US"/>
                                    </w:rPr>
                                    <w:t>group</w:t>
                                  </w:r>
                                </w:p>
                                <w:p w14:paraId="30EA7552" w14:textId="77777777" w:rsidR="00156D1F" w:rsidRPr="00B82C1A" w:rsidRDefault="00156D1F" w:rsidP="008C05D3">
                                  <w:pPr>
                                    <w:tabs>
                                      <w:tab w:val="left" w:pos="0"/>
                                    </w:tabs>
                                    <w:spacing w:line="276" w:lineRule="auto"/>
                                    <w:ind w:right="35"/>
                                    <w:rPr>
                                      <w:rFonts w:cs="Arial"/>
                                      <w:b/>
                                      <w:color w:val="000000" w:themeColor="text1"/>
                                      <w:u w:val="single"/>
                                      <w:lang w:val="en-US"/>
                                    </w:rPr>
                                  </w:pPr>
                                </w:p>
                              </w:tc>
                              <w:tc>
                                <w:tcPr>
                                  <w:tcW w:w="4961" w:type="dxa"/>
                                </w:tcPr>
                                <w:p w14:paraId="2DA38E4D" w14:textId="176A4604" w:rsidR="00156D1F" w:rsidRPr="00B82C1A" w:rsidRDefault="00156D1F" w:rsidP="008C05D3">
                                  <w:pPr>
                                    <w:tabs>
                                      <w:tab w:val="left" w:pos="426"/>
                                    </w:tabs>
                                    <w:ind w:left="426" w:right="668"/>
                                    <w:rPr>
                                      <w:rFonts w:cs="Arial"/>
                                      <w:color w:val="000000" w:themeColor="text1"/>
                                      <w:lang w:val="en-US"/>
                                    </w:rPr>
                                  </w:pPr>
                                  <w:r w:rsidRPr="00B82C1A">
                                    <w:rPr>
                                      <w:rFonts w:cs="Arial"/>
                                      <w:color w:val="000000" w:themeColor="text1"/>
                                      <w:lang w:val="en-US"/>
                                    </w:rPr>
                                    <w:t xml:space="preserve">Inflation of the richest </w:t>
                                  </w:r>
                                  <w:r w:rsidR="0063031B">
                                    <w:rPr>
                                      <w:rFonts w:cs="Arial"/>
                                      <w:lang w:val="en-US"/>
                                    </w:rPr>
                                    <w:t>expenditure</w:t>
                                  </w:r>
                                  <w:r w:rsidRPr="00B82C1A">
                                    <w:rPr>
                                      <w:rFonts w:cs="Arial"/>
                                      <w:color w:val="000000" w:themeColor="text1"/>
                                      <w:lang w:val="en-US"/>
                                    </w:rPr>
                                    <w:t xml:space="preserve"> group</w:t>
                                  </w:r>
                                </w:p>
                                <w:p w14:paraId="7696ECB2" w14:textId="77777777" w:rsidR="00156D1F" w:rsidRPr="00B82C1A" w:rsidRDefault="00156D1F" w:rsidP="008C05D3">
                                  <w:pPr>
                                    <w:tabs>
                                      <w:tab w:val="left" w:pos="0"/>
                                    </w:tabs>
                                    <w:spacing w:line="276" w:lineRule="auto"/>
                                    <w:ind w:right="35"/>
                                    <w:rPr>
                                      <w:rFonts w:cs="Arial"/>
                                      <w:b/>
                                      <w:color w:val="000000" w:themeColor="text1"/>
                                      <w:u w:val="single"/>
                                      <w:lang w:val="en-US"/>
                                    </w:rPr>
                                  </w:pPr>
                                </w:p>
                              </w:tc>
                            </w:tr>
                            <w:tr w:rsidR="00156D1F" w:rsidRPr="00B82C1A" w14:paraId="27604DF6" w14:textId="77777777" w:rsidTr="008C05D3">
                              <w:trPr>
                                <w:trHeight w:hRule="exact" w:val="680"/>
                              </w:trPr>
                              <w:tc>
                                <w:tcPr>
                                  <w:tcW w:w="4927" w:type="dxa"/>
                                </w:tcPr>
                                <w:p w14:paraId="78DADE64" w14:textId="77777777" w:rsidR="00156D1F" w:rsidRPr="00B82C1A" w:rsidRDefault="00156D1F" w:rsidP="008C05D3">
                                  <w:pPr>
                                    <w:tabs>
                                      <w:tab w:val="left" w:pos="0"/>
                                    </w:tabs>
                                    <w:spacing w:line="276" w:lineRule="auto"/>
                                    <w:ind w:right="35"/>
                                    <w:rPr>
                                      <w:rFonts w:cs="Arial"/>
                                      <w:b/>
                                      <w:color w:val="000000" w:themeColor="text1"/>
                                      <w:u w:val="single"/>
                                      <w:lang w:val="en-US"/>
                                    </w:rPr>
                                  </w:pPr>
                                  <w:r w:rsidRPr="00B82C1A">
                                    <w:rPr>
                                      <w:rFonts w:cs="Arial"/>
                                      <w:color w:val="000000" w:themeColor="text1"/>
                                      <w:lang w:val="en-US"/>
                                    </w:rPr>
                                    <w:t>E</w:t>
                                  </w:r>
                                  <w:r w:rsidRPr="00B82C1A">
                                    <w:rPr>
                                      <w:rFonts w:cs="Arial"/>
                                      <w:color w:val="000000" w:themeColor="text1"/>
                                      <w:vertAlign w:val="subscript"/>
                                      <w:lang w:val="en-US"/>
                                    </w:rPr>
                                    <w:t>t</w:t>
                                  </w:r>
                                  <w:r w:rsidRPr="00B82C1A">
                                    <w:rPr>
                                      <w:rFonts w:cs="Arial"/>
                                      <w:color w:val="000000" w:themeColor="text1"/>
                                      <w:lang w:val="en-US"/>
                                    </w:rPr>
                                    <w:t xml:space="preserve"> / E</w:t>
                                  </w:r>
                                  <w:r w:rsidRPr="00B82C1A">
                                    <w:rPr>
                                      <w:rFonts w:cs="Arial"/>
                                      <w:color w:val="000000" w:themeColor="text1"/>
                                      <w:vertAlign w:val="subscript"/>
                                      <w:lang w:val="en-US"/>
                                    </w:rPr>
                                    <w:t xml:space="preserve">December(t-1)  </w:t>
                                  </w:r>
                                  <w:r w:rsidRPr="00B82C1A">
                                    <w:rPr>
                                      <w:rFonts w:cs="Arial"/>
                                      <w:color w:val="000000" w:themeColor="text1"/>
                                      <w:lang w:val="en-US"/>
                                    </w:rPr>
                                    <w:t xml:space="preserve">= </w:t>
                                  </w:r>
                                  <w:r w:rsidRPr="00B82C1A">
                                    <w:rPr>
                                      <w:rFonts w:cs="Arial"/>
                                      <w:noProof/>
                                      <w:color w:val="000000" w:themeColor="text1"/>
                                      <w:position w:val="-28"/>
                                      <w:lang w:val="en-US"/>
                                    </w:rPr>
                                    <w:object w:dxaOrig="440" w:dyaOrig="740" w14:anchorId="28991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pt;height:37pt;mso-width-percent:0;mso-height-percent:0;mso-width-percent:0;mso-height-percent:0">
                                        <v:imagedata r:id="rId19" o:title=""/>
                                      </v:shape>
                                      <o:OLEObject Type="Embed" ProgID="Equation.3" ShapeID="_x0000_i1026" DrawAspect="Content" ObjectID="_1693771325" r:id="rId20"/>
                                    </w:object>
                                  </w:r>
                                  <w:r w:rsidRPr="00B82C1A">
                                    <w:rPr>
                                      <w:rFonts w:cs="Arial"/>
                                      <w:color w:val="000000" w:themeColor="text1"/>
                                      <w:lang w:val="en-US"/>
                                    </w:rPr>
                                    <w:t>E</w:t>
                                  </w:r>
                                  <w:r w:rsidRPr="00B82C1A">
                                    <w:rPr>
                                      <w:rFonts w:cs="Arial"/>
                                      <w:color w:val="000000" w:themeColor="text1"/>
                                      <w:vertAlign w:val="subscript"/>
                                      <w:lang w:val="en-US"/>
                                    </w:rPr>
                                    <w:t>it</w:t>
                                  </w:r>
                                  <w:r w:rsidRPr="00B82C1A">
                                    <w:rPr>
                                      <w:rFonts w:cs="Arial"/>
                                      <w:color w:val="000000" w:themeColor="text1"/>
                                      <w:lang w:val="en-US"/>
                                    </w:rPr>
                                    <w:t xml:space="preserve"> / E</w:t>
                                  </w:r>
                                  <w:r w:rsidRPr="00B82C1A">
                                    <w:rPr>
                                      <w:rFonts w:cs="Arial"/>
                                      <w:color w:val="000000" w:themeColor="text1"/>
                                      <w:vertAlign w:val="subscript"/>
                                      <w:lang w:val="en-US"/>
                                    </w:rPr>
                                    <w:t xml:space="preserve">i December (t-1) </w:t>
                                  </w:r>
                                  <w:r w:rsidRPr="00B82C1A">
                                    <w:rPr>
                                      <w:rFonts w:cs="Arial"/>
                                      <w:color w:val="000000" w:themeColor="text1"/>
                                      <w:lang w:val="en-US"/>
                                    </w:rPr>
                                    <w:t xml:space="preserve">x </w:t>
                                  </w:r>
                                  <w:r w:rsidRPr="00B82C1A">
                                    <w:rPr>
                                      <w:rFonts w:ascii="Calibri" w:hAnsi="Calibri" w:cs="Arial"/>
                                      <w:color w:val="000000" w:themeColor="text1"/>
                                      <w:lang w:val="en-US"/>
                                    </w:rPr>
                                    <w:t>α</w:t>
                                  </w:r>
                                  <w:r w:rsidRPr="00B82C1A">
                                    <w:rPr>
                                      <w:rFonts w:cs="Arial"/>
                                      <w:color w:val="000000" w:themeColor="text1"/>
                                      <w:vertAlign w:val="subscript"/>
                                      <w:lang w:val="en-US"/>
                                    </w:rPr>
                                    <w:t xml:space="preserve">it </w:t>
                                  </w:r>
                                </w:p>
                              </w:tc>
                              <w:tc>
                                <w:tcPr>
                                  <w:tcW w:w="4961" w:type="dxa"/>
                                </w:tcPr>
                                <w:p w14:paraId="7F92A90C" w14:textId="77777777" w:rsidR="00156D1F" w:rsidRPr="00B82C1A" w:rsidRDefault="00156D1F" w:rsidP="008C05D3">
                                  <w:pPr>
                                    <w:tabs>
                                      <w:tab w:val="left" w:pos="0"/>
                                    </w:tabs>
                                    <w:spacing w:line="276" w:lineRule="auto"/>
                                    <w:ind w:right="35"/>
                                    <w:rPr>
                                      <w:rFonts w:cs="Arial"/>
                                      <w:color w:val="000000" w:themeColor="text1"/>
                                      <w:vertAlign w:val="subscript"/>
                                      <w:lang w:val="en-US"/>
                                    </w:rPr>
                                  </w:pPr>
                                  <w:r w:rsidRPr="00B82C1A">
                                    <w:rPr>
                                      <w:rFonts w:cs="Arial"/>
                                      <w:color w:val="000000" w:themeColor="text1"/>
                                      <w:lang w:val="en-US"/>
                                    </w:rPr>
                                    <w:t>E</w:t>
                                  </w:r>
                                  <w:r w:rsidRPr="00B82C1A">
                                    <w:rPr>
                                      <w:rFonts w:cs="Arial"/>
                                      <w:color w:val="000000" w:themeColor="text1"/>
                                      <w:vertAlign w:val="subscript"/>
                                      <w:lang w:val="en-US"/>
                                    </w:rPr>
                                    <w:t>t</w:t>
                                  </w:r>
                                  <w:r w:rsidRPr="00B82C1A">
                                    <w:rPr>
                                      <w:rFonts w:cs="Arial"/>
                                      <w:color w:val="000000" w:themeColor="text1"/>
                                      <w:lang w:val="en-US"/>
                                    </w:rPr>
                                    <w:t xml:space="preserve"> / E</w:t>
                                  </w:r>
                                  <w:r w:rsidRPr="00B82C1A">
                                    <w:rPr>
                                      <w:rFonts w:cs="Arial"/>
                                      <w:color w:val="000000" w:themeColor="text1"/>
                                      <w:vertAlign w:val="subscript"/>
                                      <w:lang w:val="en-US"/>
                                    </w:rPr>
                                    <w:t xml:space="preserve">December(t-1)  </w:t>
                                  </w:r>
                                  <w:r w:rsidRPr="00B82C1A">
                                    <w:rPr>
                                      <w:rFonts w:cs="Arial"/>
                                      <w:color w:val="000000" w:themeColor="text1"/>
                                      <w:lang w:val="en-US"/>
                                    </w:rPr>
                                    <w:t xml:space="preserve">= </w:t>
                                  </w:r>
                                  <w:r w:rsidRPr="00B82C1A">
                                    <w:rPr>
                                      <w:rFonts w:cs="Arial"/>
                                      <w:noProof/>
                                      <w:color w:val="000000" w:themeColor="text1"/>
                                      <w:position w:val="-28"/>
                                      <w:lang w:val="en-US"/>
                                    </w:rPr>
                                    <w:object w:dxaOrig="440" w:dyaOrig="740" w14:anchorId="147AFA69">
                                      <v:shape id="_x0000_i1028" type="#_x0000_t75" alt="" style="width:22pt;height:37pt;mso-width-percent:0;mso-height-percent:0;mso-width-percent:0;mso-height-percent:0">
                                        <v:imagedata r:id="rId19" o:title=""/>
                                      </v:shape>
                                      <o:OLEObject Type="Embed" ProgID="Equation.3" ShapeID="_x0000_i1028" DrawAspect="Content" ObjectID="_1693771326" r:id="rId21"/>
                                    </w:object>
                                  </w:r>
                                  <w:r w:rsidRPr="00B82C1A">
                                    <w:rPr>
                                      <w:rFonts w:cs="Arial"/>
                                      <w:color w:val="000000" w:themeColor="text1"/>
                                      <w:lang w:val="en-US"/>
                                    </w:rPr>
                                    <w:t>E</w:t>
                                  </w:r>
                                  <w:r w:rsidRPr="00B82C1A">
                                    <w:rPr>
                                      <w:rFonts w:cs="Arial"/>
                                      <w:color w:val="000000" w:themeColor="text1"/>
                                      <w:vertAlign w:val="subscript"/>
                                      <w:lang w:val="en-US"/>
                                    </w:rPr>
                                    <w:t>it</w:t>
                                  </w:r>
                                  <w:r w:rsidRPr="00B82C1A">
                                    <w:rPr>
                                      <w:rFonts w:cs="Arial"/>
                                      <w:color w:val="000000" w:themeColor="text1"/>
                                      <w:lang w:val="en-US"/>
                                    </w:rPr>
                                    <w:t xml:space="preserve"> / E</w:t>
                                  </w:r>
                                  <w:r w:rsidRPr="00B82C1A">
                                    <w:rPr>
                                      <w:rFonts w:cs="Arial"/>
                                      <w:color w:val="000000" w:themeColor="text1"/>
                                      <w:vertAlign w:val="subscript"/>
                                      <w:lang w:val="en-US"/>
                                    </w:rPr>
                                    <w:t xml:space="preserve">i December (t-1) </w:t>
                                  </w:r>
                                  <w:r w:rsidRPr="00B82C1A">
                                    <w:rPr>
                                      <w:rFonts w:cs="Arial"/>
                                      <w:color w:val="000000" w:themeColor="text1"/>
                                      <w:lang w:val="en-US"/>
                                    </w:rPr>
                                    <w:t xml:space="preserve">x </w:t>
                                  </w:r>
                                  <w:r w:rsidRPr="00B82C1A">
                                    <w:rPr>
                                      <w:rFonts w:ascii="Calibri" w:hAnsi="Calibri" w:cs="Arial"/>
                                      <w:color w:val="000000" w:themeColor="text1"/>
                                      <w:lang w:val="en-US"/>
                                    </w:rPr>
                                    <w:t>β</w:t>
                                  </w:r>
                                  <w:r w:rsidRPr="00B82C1A">
                                    <w:rPr>
                                      <w:rFonts w:cs="Arial"/>
                                      <w:color w:val="000000" w:themeColor="text1"/>
                                      <w:vertAlign w:val="subscript"/>
                                      <w:lang w:val="en-US"/>
                                    </w:rPr>
                                    <w:t>it</w:t>
                                  </w:r>
                                </w:p>
                                <w:p w14:paraId="386C21FA" w14:textId="77777777" w:rsidR="00156D1F" w:rsidRPr="00B82C1A" w:rsidRDefault="00156D1F" w:rsidP="008C05D3">
                                  <w:pPr>
                                    <w:tabs>
                                      <w:tab w:val="left" w:pos="0"/>
                                    </w:tabs>
                                    <w:spacing w:line="276" w:lineRule="auto"/>
                                    <w:ind w:right="35"/>
                                    <w:rPr>
                                      <w:rFonts w:cs="Arial"/>
                                      <w:b/>
                                      <w:color w:val="000000" w:themeColor="text1"/>
                                      <w:u w:val="single"/>
                                      <w:lang w:val="en-US"/>
                                    </w:rPr>
                                  </w:pPr>
                                </w:p>
                              </w:tc>
                            </w:tr>
                          </w:tbl>
                          <w:p w14:paraId="349B9D8D" w14:textId="77777777" w:rsidR="00156D1F" w:rsidRPr="00B82C1A" w:rsidRDefault="00156D1F" w:rsidP="00B82C1A">
                            <w:pPr>
                              <w:tabs>
                                <w:tab w:val="left" w:pos="0"/>
                              </w:tabs>
                              <w:spacing w:after="0"/>
                              <w:ind w:right="35"/>
                              <w:rPr>
                                <w:rFonts w:cs="Arial"/>
                                <w:color w:val="000000" w:themeColor="text1"/>
                                <w:lang w:val="en-US"/>
                              </w:rPr>
                            </w:pPr>
                          </w:p>
                          <w:p w14:paraId="50F7F321" w14:textId="77777777" w:rsidR="00156D1F" w:rsidRPr="00B82C1A" w:rsidRDefault="00156D1F" w:rsidP="00B82C1A">
                            <w:pPr>
                              <w:tabs>
                                <w:tab w:val="left" w:pos="426"/>
                              </w:tabs>
                              <w:spacing w:after="0"/>
                              <w:ind w:left="426" w:right="668"/>
                              <w:rPr>
                                <w:rFonts w:cs="Arial"/>
                                <w:color w:val="000000" w:themeColor="text1"/>
                                <w:lang w:val="en-US"/>
                              </w:rPr>
                            </w:pPr>
                            <w:r w:rsidRPr="00B82C1A">
                              <w:rPr>
                                <w:rFonts w:cs="Arial"/>
                                <w:color w:val="000000" w:themeColor="text1"/>
                                <w:lang w:val="en-US"/>
                              </w:rPr>
                              <w:t>E</w:t>
                            </w:r>
                            <w:r w:rsidRPr="00B82C1A">
                              <w:rPr>
                                <w:rFonts w:cs="Arial"/>
                                <w:color w:val="000000" w:themeColor="text1"/>
                                <w:vertAlign w:val="subscript"/>
                                <w:lang w:val="en-US"/>
                              </w:rPr>
                              <w:t>t</w:t>
                            </w:r>
                            <w:r w:rsidRPr="00B82C1A">
                              <w:rPr>
                                <w:rFonts w:cs="Arial"/>
                                <w:color w:val="000000" w:themeColor="text1"/>
                                <w:lang w:val="en-US"/>
                              </w:rPr>
                              <w:t>: Index at time t</w:t>
                            </w:r>
                          </w:p>
                          <w:p w14:paraId="533708B6" w14:textId="77777777" w:rsidR="00156D1F" w:rsidRPr="00B82C1A" w:rsidRDefault="00156D1F" w:rsidP="00B82C1A">
                            <w:pPr>
                              <w:tabs>
                                <w:tab w:val="left" w:pos="426"/>
                              </w:tabs>
                              <w:spacing w:after="0"/>
                              <w:ind w:left="426" w:right="668"/>
                              <w:rPr>
                                <w:rFonts w:cs="Arial"/>
                                <w:noProof/>
                                <w:color w:val="000000" w:themeColor="text1"/>
                                <w:lang w:val="en-US"/>
                              </w:rPr>
                            </w:pPr>
                            <w:r w:rsidRPr="00B82C1A">
                              <w:rPr>
                                <w:rFonts w:cs="Arial"/>
                                <w:noProof/>
                                <w:color w:val="000000" w:themeColor="text1"/>
                                <w:lang w:val="en-US"/>
                              </w:rPr>
                              <w:t>E</w:t>
                            </w:r>
                            <w:r w:rsidRPr="00B82C1A">
                              <w:rPr>
                                <w:rFonts w:cs="Arial"/>
                                <w:noProof/>
                                <w:color w:val="000000" w:themeColor="text1"/>
                                <w:vertAlign w:val="subscript"/>
                                <w:lang w:val="en-US"/>
                              </w:rPr>
                              <w:t>December(t-1)</w:t>
                            </w:r>
                            <w:r w:rsidRPr="00B82C1A">
                              <w:rPr>
                                <w:rFonts w:cs="Arial"/>
                                <w:noProof/>
                                <w:color w:val="000000" w:themeColor="text1"/>
                                <w:lang w:val="en-US"/>
                              </w:rPr>
                              <w:t xml:space="preserve">: Index at December (t-1) </w:t>
                            </w:r>
                          </w:p>
                          <w:p w14:paraId="01561227" w14:textId="77777777" w:rsidR="00156D1F" w:rsidRPr="00B82C1A" w:rsidRDefault="00156D1F" w:rsidP="00B82C1A">
                            <w:pPr>
                              <w:spacing w:after="0"/>
                              <w:ind w:firstLine="426"/>
                              <w:rPr>
                                <w:rFonts w:cs="Arial"/>
                                <w:lang w:val="en-US"/>
                              </w:rPr>
                            </w:pPr>
                            <w:r w:rsidRPr="00B82C1A">
                              <w:rPr>
                                <w:rFonts w:cs="Arial"/>
                                <w:noProof/>
                                <w:color w:val="000000" w:themeColor="text1"/>
                                <w:lang w:val="en-US"/>
                              </w:rPr>
                              <w:t>E</w:t>
                            </w:r>
                            <w:r w:rsidRPr="00B82C1A">
                              <w:rPr>
                                <w:rFonts w:cs="Arial"/>
                                <w:noProof/>
                                <w:color w:val="000000" w:themeColor="text1"/>
                                <w:vertAlign w:val="subscript"/>
                                <w:lang w:val="en-US"/>
                              </w:rPr>
                              <w:t>it</w:t>
                            </w:r>
                            <w:r w:rsidRPr="00B82C1A">
                              <w:rPr>
                                <w:rFonts w:cs="Arial"/>
                                <w:noProof/>
                                <w:color w:val="000000" w:themeColor="text1"/>
                                <w:lang w:val="en-US"/>
                              </w:rPr>
                              <w:t xml:space="preserve">: </w:t>
                            </w:r>
                            <w:r w:rsidRPr="00B82C1A">
                              <w:rPr>
                                <w:rFonts w:cs="Arial"/>
                                <w:lang w:val="en-US"/>
                              </w:rPr>
                              <w:t>: Indexes for each item. For example i=1, denotes index of food and non-alcoholic beverages</w:t>
                            </w:r>
                          </w:p>
                          <w:p w14:paraId="5E030216" w14:textId="77777777" w:rsidR="00156D1F" w:rsidRPr="00B82C1A" w:rsidRDefault="00156D1F" w:rsidP="00B82C1A">
                            <w:pPr>
                              <w:spacing w:after="0"/>
                              <w:rPr>
                                <w:rFonts w:cs="Arial"/>
                                <w:lang w:val="en-US"/>
                              </w:rPr>
                            </w:pPr>
                          </w:p>
                          <w:p w14:paraId="3473EE5F" w14:textId="77777777" w:rsidR="00156D1F" w:rsidRPr="00B82C1A" w:rsidRDefault="00156D1F" w:rsidP="00B82C1A">
                            <w:pPr>
                              <w:tabs>
                                <w:tab w:val="left" w:pos="426"/>
                              </w:tabs>
                              <w:spacing w:after="0"/>
                              <w:ind w:left="426" w:right="668"/>
                              <w:rPr>
                                <w:rFonts w:cs="Arial"/>
                                <w:noProof/>
                                <w:color w:val="000000" w:themeColor="text1"/>
                                <w:lang w:val="en-US"/>
                              </w:rPr>
                            </w:pPr>
                            <w:r w:rsidRPr="00B82C1A">
                              <w:rPr>
                                <w:rFonts w:ascii="Calibri" w:hAnsi="Calibri" w:cs="Arial"/>
                                <w:noProof/>
                                <w:color w:val="000000" w:themeColor="text1"/>
                                <w:lang w:val="en-US"/>
                              </w:rPr>
                              <w:t>α</w:t>
                            </w:r>
                            <w:r w:rsidRPr="00B82C1A">
                              <w:rPr>
                                <w:rFonts w:cs="Arial"/>
                                <w:noProof/>
                                <w:color w:val="000000" w:themeColor="text1"/>
                                <w:vertAlign w:val="subscript"/>
                                <w:lang w:val="en-US"/>
                              </w:rPr>
                              <w:t>it</w:t>
                            </w:r>
                            <w:r w:rsidRPr="00B82C1A">
                              <w:rPr>
                                <w:rFonts w:cs="Arial"/>
                                <w:noProof/>
                                <w:color w:val="000000" w:themeColor="text1"/>
                                <w:lang w:val="en-US"/>
                              </w:rPr>
                              <w:t xml:space="preserve">: Subgroup weights of the poorest decile’s budget at time t </w:t>
                            </w:r>
                          </w:p>
                          <w:p w14:paraId="5E8C726D" w14:textId="77777777" w:rsidR="00156D1F" w:rsidRPr="00B82C1A" w:rsidRDefault="00156D1F" w:rsidP="00B82C1A">
                            <w:pPr>
                              <w:tabs>
                                <w:tab w:val="left" w:pos="426"/>
                              </w:tabs>
                              <w:spacing w:after="0"/>
                              <w:ind w:left="426" w:right="668"/>
                              <w:rPr>
                                <w:rFonts w:cs="Arial"/>
                                <w:noProof/>
                                <w:color w:val="000000" w:themeColor="text1"/>
                                <w:lang w:val="en-US"/>
                              </w:rPr>
                            </w:pPr>
                            <w:r w:rsidRPr="00B82C1A">
                              <w:rPr>
                                <w:rFonts w:ascii="Calibri" w:hAnsi="Calibri" w:cs="Arial"/>
                                <w:noProof/>
                                <w:color w:val="000000" w:themeColor="text1"/>
                                <w:lang w:val="en-US"/>
                              </w:rPr>
                              <w:t>β</w:t>
                            </w:r>
                            <w:r w:rsidRPr="00B82C1A">
                              <w:rPr>
                                <w:rFonts w:cs="Arial"/>
                                <w:noProof/>
                                <w:color w:val="000000" w:themeColor="text1"/>
                                <w:vertAlign w:val="subscript"/>
                                <w:lang w:val="en-US"/>
                              </w:rPr>
                              <w:t>it</w:t>
                            </w:r>
                            <w:r w:rsidRPr="00B82C1A">
                              <w:rPr>
                                <w:rFonts w:cs="Arial"/>
                                <w:noProof/>
                                <w:color w:val="000000" w:themeColor="text1"/>
                                <w:lang w:val="en-US"/>
                              </w:rPr>
                              <w:t>: Subgroup weights of the richest decile’s budget at time t</w:t>
                            </w:r>
                          </w:p>
                          <w:p w14:paraId="4D0E971D" w14:textId="77777777" w:rsidR="00156D1F" w:rsidRPr="00B82C1A" w:rsidRDefault="00156D1F" w:rsidP="00B82C1A">
                            <w:pPr>
                              <w:tabs>
                                <w:tab w:val="left" w:pos="426"/>
                              </w:tabs>
                              <w:spacing w:after="0"/>
                              <w:ind w:left="426" w:right="668"/>
                              <w:rPr>
                                <w:rFonts w:cs="Arial"/>
                                <w:noProof/>
                                <w:color w:val="000000" w:themeColor="text1"/>
                                <w:highlight w:val="yellow"/>
                                <w:lang w:val="en-US"/>
                              </w:rPr>
                            </w:pPr>
                          </w:p>
                          <w:p w14:paraId="43C8135E" w14:textId="77777777" w:rsidR="00156D1F" w:rsidRPr="00B82C1A" w:rsidRDefault="00156D1F" w:rsidP="00B82C1A">
                            <w:pPr>
                              <w:spacing w:after="0"/>
                              <w:ind w:left="426"/>
                              <w:jc w:val="both"/>
                              <w:rPr>
                                <w:rFonts w:cs="Arial"/>
                                <w:lang w:val="en-US"/>
                              </w:rPr>
                            </w:pPr>
                            <w:r w:rsidRPr="00B82C1A">
                              <w:rPr>
                                <w:rFonts w:cs="Arial"/>
                                <w:color w:val="000000" w:themeColor="text1"/>
                                <w:lang w:val="en-US"/>
                              </w:rPr>
                              <w:t xml:space="preserve">These weights are specific to 2019 and we show subgroups indexes in the table below. </w:t>
                            </w:r>
                            <w:r w:rsidRPr="00B82C1A">
                              <w:rPr>
                                <w:rFonts w:cs="Arial"/>
                                <w:lang w:val="en-US"/>
                              </w:rPr>
                              <w:t>For instance, the calculation of CPI July 2021 for both the poorest and the richest households by using CPI December 2020 is as follows:</w:t>
                            </w:r>
                          </w:p>
                          <w:p w14:paraId="6D9BE333" w14:textId="77777777" w:rsidR="00156D1F" w:rsidRPr="00B82C1A" w:rsidRDefault="00156D1F" w:rsidP="00B82C1A">
                            <w:pPr>
                              <w:tabs>
                                <w:tab w:val="left" w:pos="0"/>
                              </w:tabs>
                              <w:spacing w:after="0"/>
                              <w:ind w:right="35"/>
                              <w:rPr>
                                <w:lang w:val="en-US"/>
                              </w:rPr>
                            </w:pPr>
                          </w:p>
                          <w:tbl>
                            <w:tblPr>
                              <w:tblW w:w="11385" w:type="dxa"/>
                              <w:tblLook w:val="04A0" w:firstRow="1" w:lastRow="0" w:firstColumn="1" w:lastColumn="0" w:noHBand="0" w:noVBand="1"/>
                            </w:tblPr>
                            <w:tblGrid>
                              <w:gridCol w:w="750"/>
                              <w:gridCol w:w="2085"/>
                              <w:gridCol w:w="645"/>
                              <w:gridCol w:w="648"/>
                              <w:gridCol w:w="648"/>
                              <w:gridCol w:w="648"/>
                              <w:gridCol w:w="648"/>
                              <w:gridCol w:w="648"/>
                              <w:gridCol w:w="648"/>
                              <w:gridCol w:w="648"/>
                              <w:gridCol w:w="648"/>
                              <w:gridCol w:w="648"/>
                              <w:gridCol w:w="648"/>
                              <w:gridCol w:w="648"/>
                              <w:gridCol w:w="949"/>
                            </w:tblGrid>
                            <w:tr w:rsidR="00156D1F" w:rsidRPr="00B82C1A" w14:paraId="165F966C" w14:textId="77777777" w:rsidTr="008C05D3">
                              <w:trPr>
                                <w:trHeight w:val="980"/>
                              </w:trPr>
                              <w:tc>
                                <w:tcPr>
                                  <w:tcW w:w="750" w:type="dxa"/>
                                  <w:tcBorders>
                                    <w:top w:val="nil"/>
                                    <w:left w:val="nil"/>
                                    <w:bottom w:val="nil"/>
                                    <w:right w:val="nil"/>
                                  </w:tcBorders>
                                  <w:shd w:val="clear" w:color="auto" w:fill="auto"/>
                                  <w:noWrap/>
                                  <w:vAlign w:val="bottom"/>
                                  <w:hideMark/>
                                </w:tcPr>
                                <w:p w14:paraId="10680481" w14:textId="77777777" w:rsidR="00156D1F" w:rsidRPr="00B82C1A" w:rsidRDefault="00156D1F" w:rsidP="008C05D3">
                                  <w:pPr>
                                    <w:spacing w:after="0" w:line="240" w:lineRule="auto"/>
                                    <w:rPr>
                                      <w:rFonts w:ascii="Arial" w:eastAsia="Times New Roman" w:hAnsi="Arial" w:cs="Arial"/>
                                      <w:sz w:val="12"/>
                                      <w:szCs w:val="12"/>
                                      <w:lang w:val="en-US" w:eastAsia="en-GB"/>
                                    </w:rPr>
                                  </w:pPr>
                                </w:p>
                              </w:tc>
                              <w:tc>
                                <w:tcPr>
                                  <w:tcW w:w="2085" w:type="dxa"/>
                                  <w:tcBorders>
                                    <w:top w:val="single" w:sz="8" w:space="0" w:color="auto"/>
                                    <w:left w:val="single" w:sz="8" w:space="0" w:color="auto"/>
                                    <w:bottom w:val="single" w:sz="8" w:space="0" w:color="auto"/>
                                    <w:right w:val="nil"/>
                                  </w:tcBorders>
                                  <w:shd w:val="clear" w:color="auto" w:fill="auto"/>
                                  <w:noWrap/>
                                  <w:vAlign w:val="center"/>
                                  <w:hideMark/>
                                </w:tcPr>
                                <w:p w14:paraId="01818EC7" w14:textId="77777777" w:rsidR="00156D1F" w:rsidRPr="00B82C1A" w:rsidRDefault="00156D1F" w:rsidP="008C05D3">
                                  <w:pPr>
                                    <w:spacing w:after="0" w:line="240" w:lineRule="auto"/>
                                    <w:jc w:val="center"/>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c>
                                <w:tcPr>
                                  <w:tcW w:w="473" w:type="dxa"/>
                                  <w:tcBorders>
                                    <w:top w:val="single" w:sz="8" w:space="0" w:color="auto"/>
                                    <w:left w:val="single" w:sz="8" w:space="0" w:color="auto"/>
                                    <w:bottom w:val="single" w:sz="8" w:space="0" w:color="auto"/>
                                    <w:right w:val="nil"/>
                                  </w:tcBorders>
                                  <w:shd w:val="clear" w:color="auto" w:fill="auto"/>
                                  <w:noWrap/>
                                  <w:vAlign w:val="center"/>
                                  <w:hideMark/>
                                </w:tcPr>
                                <w:p w14:paraId="624F077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CDE294A"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1E2BEA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2B893B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E0789C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23E71C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F1C1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3052E1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8C607B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023C04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693CC0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F0785A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2</w:t>
                                  </w:r>
                                </w:p>
                              </w:tc>
                              <w:tc>
                                <w:tcPr>
                                  <w:tcW w:w="648" w:type="dxa"/>
                                  <w:tcBorders>
                                    <w:top w:val="single" w:sz="8" w:space="0" w:color="auto"/>
                                    <w:left w:val="nil"/>
                                    <w:bottom w:val="single" w:sz="8" w:space="0" w:color="auto"/>
                                    <w:right w:val="nil"/>
                                  </w:tcBorders>
                                  <w:shd w:val="clear" w:color="auto" w:fill="auto"/>
                                  <w:noWrap/>
                                  <w:vAlign w:val="center"/>
                                  <w:hideMark/>
                                </w:tcPr>
                                <w:p w14:paraId="2E9F58B2"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21A764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C37BAC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1049D30"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90F05D0"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05EF26E"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3</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70EB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94CA1D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BEA1DD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F8754F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5D3406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4598902"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4</w:t>
                                  </w:r>
                                </w:p>
                              </w:tc>
                              <w:tc>
                                <w:tcPr>
                                  <w:tcW w:w="648" w:type="dxa"/>
                                  <w:tcBorders>
                                    <w:top w:val="single" w:sz="8" w:space="0" w:color="auto"/>
                                    <w:left w:val="nil"/>
                                    <w:bottom w:val="single" w:sz="8" w:space="0" w:color="auto"/>
                                    <w:right w:val="nil"/>
                                  </w:tcBorders>
                                  <w:shd w:val="clear" w:color="auto" w:fill="auto"/>
                                  <w:noWrap/>
                                  <w:vAlign w:val="center"/>
                                  <w:hideMark/>
                                </w:tcPr>
                                <w:p w14:paraId="79E9B4F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5CF69A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114048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7FD997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6F614F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98F4FA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5</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F802E"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4151544"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7DDA02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C55D8D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46BFCA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DC78E7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6</w:t>
                                  </w:r>
                                </w:p>
                              </w:tc>
                              <w:tc>
                                <w:tcPr>
                                  <w:tcW w:w="648" w:type="dxa"/>
                                  <w:tcBorders>
                                    <w:top w:val="single" w:sz="8" w:space="0" w:color="auto"/>
                                    <w:left w:val="nil"/>
                                    <w:bottom w:val="single" w:sz="8" w:space="0" w:color="auto"/>
                                    <w:right w:val="nil"/>
                                  </w:tcBorders>
                                  <w:shd w:val="clear" w:color="auto" w:fill="auto"/>
                                  <w:noWrap/>
                                  <w:vAlign w:val="center"/>
                                  <w:hideMark/>
                                </w:tcPr>
                                <w:p w14:paraId="0BB2681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6501EE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ABEA157"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E40787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A5B7D92"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2ED374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7</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EBEE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09EF737"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D7EDB8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6B804F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CA31914"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805C14C"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8</w:t>
                                  </w:r>
                                </w:p>
                              </w:tc>
                              <w:tc>
                                <w:tcPr>
                                  <w:tcW w:w="648" w:type="dxa"/>
                                  <w:tcBorders>
                                    <w:top w:val="single" w:sz="8" w:space="0" w:color="auto"/>
                                    <w:left w:val="nil"/>
                                    <w:bottom w:val="single" w:sz="8" w:space="0" w:color="auto"/>
                                    <w:right w:val="nil"/>
                                  </w:tcBorders>
                                  <w:shd w:val="clear" w:color="auto" w:fill="auto"/>
                                  <w:noWrap/>
                                  <w:vAlign w:val="center"/>
                                  <w:hideMark/>
                                </w:tcPr>
                                <w:p w14:paraId="3FD560D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7F01474"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04DA0D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D21793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834ADB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7F8304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9</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1BB0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B502F0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E29816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9552B8C"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3747460"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5A14A8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10</w:t>
                                  </w:r>
                                </w:p>
                              </w:tc>
                              <w:tc>
                                <w:tcPr>
                                  <w:tcW w:w="648" w:type="dxa"/>
                                  <w:tcBorders>
                                    <w:top w:val="single" w:sz="8" w:space="0" w:color="auto"/>
                                    <w:left w:val="nil"/>
                                    <w:bottom w:val="single" w:sz="8" w:space="0" w:color="auto"/>
                                    <w:right w:val="nil"/>
                                  </w:tcBorders>
                                  <w:shd w:val="clear" w:color="auto" w:fill="auto"/>
                                  <w:noWrap/>
                                  <w:vAlign w:val="center"/>
                                  <w:hideMark/>
                                </w:tcPr>
                                <w:p w14:paraId="47B5446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00F281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0811AE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3F1B3A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A86268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780AB2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229FE"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581CBA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F6F2327"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5A48CAC"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4B585E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2DF3D4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12</w:t>
                                  </w:r>
                                </w:p>
                              </w:tc>
                              <w:tc>
                                <w:tcPr>
                                  <w:tcW w:w="949" w:type="dxa"/>
                                  <w:tcBorders>
                                    <w:top w:val="single" w:sz="8" w:space="0" w:color="auto"/>
                                    <w:left w:val="nil"/>
                                    <w:bottom w:val="single" w:sz="8" w:space="0" w:color="auto"/>
                                    <w:right w:val="single" w:sz="8" w:space="0" w:color="auto"/>
                                  </w:tcBorders>
                                  <w:shd w:val="clear" w:color="auto" w:fill="auto"/>
                                  <w:noWrap/>
                                  <w:vAlign w:val="center"/>
                                  <w:hideMark/>
                                </w:tcPr>
                                <w:p w14:paraId="793E6332"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p w14:paraId="69705AFD" w14:textId="77777777" w:rsidR="00156D1F" w:rsidRPr="00B82C1A" w:rsidRDefault="00156D1F" w:rsidP="008C05D3">
                                  <w:pPr>
                                    <w:pStyle w:val="Default"/>
                                    <w:rPr>
                                      <w:rFonts w:ascii="Arial" w:eastAsia="Times New Roman" w:hAnsi="Arial" w:cs="Arial"/>
                                      <w:sz w:val="12"/>
                                      <w:szCs w:val="12"/>
                                      <w:lang w:eastAsia="en-GB"/>
                                    </w:rPr>
                                  </w:pPr>
                                </w:p>
                              </w:tc>
                            </w:tr>
                            <w:tr w:rsidR="00156D1F" w:rsidRPr="00B82C1A" w14:paraId="4DE2EA4E" w14:textId="77777777" w:rsidTr="008C05D3">
                              <w:trPr>
                                <w:trHeight w:val="57"/>
                              </w:trPr>
                              <w:tc>
                                <w:tcPr>
                                  <w:tcW w:w="750" w:type="dxa"/>
                                  <w:tcBorders>
                                    <w:top w:val="nil"/>
                                    <w:left w:val="nil"/>
                                    <w:bottom w:val="nil"/>
                                    <w:right w:val="nil"/>
                                  </w:tcBorders>
                                  <w:shd w:val="clear" w:color="auto" w:fill="auto"/>
                                  <w:noWrap/>
                                  <w:vAlign w:val="bottom"/>
                                  <w:hideMark/>
                                </w:tcPr>
                                <w:p w14:paraId="6C1A6009"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p>
                              </w:tc>
                              <w:tc>
                                <w:tcPr>
                                  <w:tcW w:w="2085" w:type="dxa"/>
                                  <w:tcBorders>
                                    <w:top w:val="single" w:sz="8" w:space="0" w:color="auto"/>
                                    <w:left w:val="single" w:sz="8" w:space="0" w:color="auto"/>
                                    <w:bottom w:val="nil"/>
                                    <w:right w:val="single" w:sz="8" w:space="0" w:color="auto"/>
                                  </w:tcBorders>
                                  <w:shd w:val="clear" w:color="auto" w:fill="auto"/>
                                  <w:noWrap/>
                                  <w:vAlign w:val="center"/>
                                  <w:hideMark/>
                                </w:tcPr>
                                <w:p w14:paraId="4AE318F4"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2020 December (Turkstat)</w:t>
                                  </w:r>
                                </w:p>
                              </w:tc>
                              <w:tc>
                                <w:tcPr>
                                  <w:tcW w:w="473" w:type="dxa"/>
                                  <w:tcBorders>
                                    <w:top w:val="nil"/>
                                    <w:left w:val="nil"/>
                                    <w:bottom w:val="nil"/>
                                    <w:right w:val="nil"/>
                                  </w:tcBorders>
                                  <w:shd w:val="clear" w:color="auto" w:fill="auto"/>
                                  <w:noWrap/>
                                  <w:vAlign w:val="center"/>
                                  <w:hideMark/>
                                </w:tcPr>
                                <w:p w14:paraId="054120D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608.06</w:t>
                                  </w:r>
                                </w:p>
                              </w:tc>
                              <w:tc>
                                <w:tcPr>
                                  <w:tcW w:w="648" w:type="dxa"/>
                                  <w:tcBorders>
                                    <w:top w:val="nil"/>
                                    <w:left w:val="single" w:sz="8" w:space="0" w:color="auto"/>
                                    <w:bottom w:val="nil"/>
                                    <w:right w:val="single" w:sz="8" w:space="0" w:color="auto"/>
                                  </w:tcBorders>
                                  <w:shd w:val="clear" w:color="auto" w:fill="auto"/>
                                  <w:noWrap/>
                                  <w:vAlign w:val="center"/>
                                  <w:hideMark/>
                                </w:tcPr>
                                <w:p w14:paraId="2E955D3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872.31</w:t>
                                  </w:r>
                                </w:p>
                              </w:tc>
                              <w:tc>
                                <w:tcPr>
                                  <w:tcW w:w="648" w:type="dxa"/>
                                  <w:tcBorders>
                                    <w:top w:val="nil"/>
                                    <w:left w:val="nil"/>
                                    <w:bottom w:val="nil"/>
                                    <w:right w:val="nil"/>
                                  </w:tcBorders>
                                  <w:shd w:val="clear" w:color="auto" w:fill="auto"/>
                                  <w:noWrap/>
                                  <w:vAlign w:val="center"/>
                                  <w:hideMark/>
                                </w:tcPr>
                                <w:p w14:paraId="332554D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264.54</w:t>
                                  </w:r>
                                </w:p>
                              </w:tc>
                              <w:tc>
                                <w:tcPr>
                                  <w:tcW w:w="648" w:type="dxa"/>
                                  <w:tcBorders>
                                    <w:top w:val="nil"/>
                                    <w:left w:val="single" w:sz="8" w:space="0" w:color="auto"/>
                                    <w:bottom w:val="nil"/>
                                    <w:right w:val="single" w:sz="8" w:space="0" w:color="auto"/>
                                  </w:tcBorders>
                                  <w:shd w:val="clear" w:color="auto" w:fill="auto"/>
                                  <w:noWrap/>
                                  <w:vAlign w:val="center"/>
                                  <w:hideMark/>
                                </w:tcPr>
                                <w:p w14:paraId="3A351B8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534.18</w:t>
                                  </w:r>
                                </w:p>
                              </w:tc>
                              <w:tc>
                                <w:tcPr>
                                  <w:tcW w:w="648" w:type="dxa"/>
                                  <w:tcBorders>
                                    <w:top w:val="nil"/>
                                    <w:left w:val="nil"/>
                                    <w:bottom w:val="nil"/>
                                    <w:right w:val="nil"/>
                                  </w:tcBorders>
                                  <w:shd w:val="clear" w:color="auto" w:fill="auto"/>
                                  <w:noWrap/>
                                  <w:vAlign w:val="center"/>
                                  <w:hideMark/>
                                </w:tcPr>
                                <w:p w14:paraId="226E700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440.4</w:t>
                                  </w:r>
                                </w:p>
                              </w:tc>
                              <w:tc>
                                <w:tcPr>
                                  <w:tcW w:w="648" w:type="dxa"/>
                                  <w:tcBorders>
                                    <w:top w:val="nil"/>
                                    <w:left w:val="single" w:sz="8" w:space="0" w:color="auto"/>
                                    <w:bottom w:val="nil"/>
                                    <w:right w:val="single" w:sz="8" w:space="0" w:color="auto"/>
                                  </w:tcBorders>
                                  <w:shd w:val="clear" w:color="auto" w:fill="auto"/>
                                  <w:noWrap/>
                                  <w:vAlign w:val="center"/>
                                  <w:hideMark/>
                                </w:tcPr>
                                <w:p w14:paraId="01CB74F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302.38</w:t>
                                  </w:r>
                                </w:p>
                              </w:tc>
                              <w:tc>
                                <w:tcPr>
                                  <w:tcW w:w="648" w:type="dxa"/>
                                  <w:tcBorders>
                                    <w:top w:val="nil"/>
                                    <w:left w:val="nil"/>
                                    <w:bottom w:val="nil"/>
                                    <w:right w:val="nil"/>
                                  </w:tcBorders>
                                  <w:shd w:val="clear" w:color="auto" w:fill="auto"/>
                                  <w:noWrap/>
                                  <w:vAlign w:val="center"/>
                                  <w:hideMark/>
                                </w:tcPr>
                                <w:p w14:paraId="7551D2D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514.86</w:t>
                                  </w:r>
                                </w:p>
                              </w:tc>
                              <w:tc>
                                <w:tcPr>
                                  <w:tcW w:w="648" w:type="dxa"/>
                                  <w:tcBorders>
                                    <w:top w:val="nil"/>
                                    <w:left w:val="single" w:sz="8" w:space="0" w:color="auto"/>
                                    <w:bottom w:val="nil"/>
                                    <w:right w:val="single" w:sz="8" w:space="0" w:color="auto"/>
                                  </w:tcBorders>
                                  <w:shd w:val="clear" w:color="auto" w:fill="auto"/>
                                  <w:noWrap/>
                                  <w:vAlign w:val="center"/>
                                  <w:hideMark/>
                                </w:tcPr>
                                <w:p w14:paraId="5F131A3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161.14</w:t>
                                  </w:r>
                                </w:p>
                              </w:tc>
                              <w:tc>
                                <w:tcPr>
                                  <w:tcW w:w="648" w:type="dxa"/>
                                  <w:tcBorders>
                                    <w:top w:val="nil"/>
                                    <w:left w:val="nil"/>
                                    <w:bottom w:val="nil"/>
                                    <w:right w:val="nil"/>
                                  </w:tcBorders>
                                  <w:shd w:val="clear" w:color="auto" w:fill="auto"/>
                                  <w:noWrap/>
                                  <w:vAlign w:val="center"/>
                                  <w:hideMark/>
                                </w:tcPr>
                                <w:p w14:paraId="7AE0934D"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318.72</w:t>
                                  </w:r>
                                </w:p>
                              </w:tc>
                              <w:tc>
                                <w:tcPr>
                                  <w:tcW w:w="648" w:type="dxa"/>
                                  <w:tcBorders>
                                    <w:top w:val="nil"/>
                                    <w:left w:val="single" w:sz="8" w:space="0" w:color="auto"/>
                                    <w:bottom w:val="nil"/>
                                    <w:right w:val="single" w:sz="8" w:space="0" w:color="auto"/>
                                  </w:tcBorders>
                                  <w:shd w:val="clear" w:color="auto" w:fill="auto"/>
                                  <w:noWrap/>
                                  <w:vAlign w:val="center"/>
                                  <w:hideMark/>
                                </w:tcPr>
                                <w:p w14:paraId="147FF87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437.14</w:t>
                                  </w:r>
                                </w:p>
                              </w:tc>
                              <w:tc>
                                <w:tcPr>
                                  <w:tcW w:w="648" w:type="dxa"/>
                                  <w:tcBorders>
                                    <w:top w:val="nil"/>
                                    <w:left w:val="nil"/>
                                    <w:bottom w:val="nil"/>
                                    <w:right w:val="nil"/>
                                  </w:tcBorders>
                                  <w:shd w:val="clear" w:color="auto" w:fill="auto"/>
                                  <w:noWrap/>
                                  <w:vAlign w:val="center"/>
                                  <w:hideMark/>
                                </w:tcPr>
                                <w:p w14:paraId="0C6AF07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737.25</w:t>
                                  </w:r>
                                </w:p>
                              </w:tc>
                              <w:tc>
                                <w:tcPr>
                                  <w:tcW w:w="648" w:type="dxa"/>
                                  <w:tcBorders>
                                    <w:top w:val="nil"/>
                                    <w:left w:val="single" w:sz="8" w:space="0" w:color="auto"/>
                                    <w:bottom w:val="nil"/>
                                    <w:right w:val="single" w:sz="8" w:space="0" w:color="auto"/>
                                  </w:tcBorders>
                                  <w:shd w:val="clear" w:color="auto" w:fill="auto"/>
                                  <w:noWrap/>
                                  <w:vAlign w:val="center"/>
                                  <w:hideMark/>
                                </w:tcPr>
                                <w:p w14:paraId="7D98419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738.27</w:t>
                                  </w:r>
                                </w:p>
                              </w:tc>
                              <w:tc>
                                <w:tcPr>
                                  <w:tcW w:w="949" w:type="dxa"/>
                                  <w:tcBorders>
                                    <w:top w:val="nil"/>
                                    <w:left w:val="nil"/>
                                    <w:bottom w:val="nil"/>
                                    <w:right w:val="single" w:sz="8" w:space="0" w:color="auto"/>
                                  </w:tcBorders>
                                  <w:shd w:val="clear" w:color="auto" w:fill="auto"/>
                                  <w:noWrap/>
                                  <w:vAlign w:val="bottom"/>
                                  <w:hideMark/>
                                </w:tcPr>
                                <w:p w14:paraId="55197D25"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39565423" w14:textId="77777777" w:rsidTr="008C05D3">
                              <w:trPr>
                                <w:trHeight w:val="331"/>
                              </w:trPr>
                              <w:tc>
                                <w:tcPr>
                                  <w:tcW w:w="750" w:type="dxa"/>
                                  <w:tcBorders>
                                    <w:top w:val="nil"/>
                                    <w:left w:val="nil"/>
                                    <w:bottom w:val="single" w:sz="8" w:space="0" w:color="auto"/>
                                    <w:right w:val="nil"/>
                                  </w:tcBorders>
                                  <w:shd w:val="clear" w:color="auto" w:fill="auto"/>
                                  <w:noWrap/>
                                  <w:vAlign w:val="bottom"/>
                                  <w:hideMark/>
                                </w:tcPr>
                                <w:p w14:paraId="15438177"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c>
                                <w:tcPr>
                                  <w:tcW w:w="2085" w:type="dxa"/>
                                  <w:tcBorders>
                                    <w:top w:val="nil"/>
                                    <w:left w:val="single" w:sz="8" w:space="0" w:color="auto"/>
                                    <w:bottom w:val="single" w:sz="8" w:space="0" w:color="auto"/>
                                    <w:right w:val="single" w:sz="8" w:space="0" w:color="auto"/>
                                  </w:tcBorders>
                                  <w:shd w:val="clear" w:color="auto" w:fill="auto"/>
                                  <w:noWrap/>
                                  <w:vAlign w:val="center"/>
                                  <w:hideMark/>
                                </w:tcPr>
                                <w:p w14:paraId="59CA5E83"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2021 July (Turkstat)</w:t>
                                  </w:r>
                                </w:p>
                              </w:tc>
                              <w:tc>
                                <w:tcPr>
                                  <w:tcW w:w="473" w:type="dxa"/>
                                  <w:tcBorders>
                                    <w:top w:val="nil"/>
                                    <w:left w:val="nil"/>
                                    <w:bottom w:val="single" w:sz="8" w:space="0" w:color="auto"/>
                                    <w:right w:val="single" w:sz="8" w:space="0" w:color="auto"/>
                                  </w:tcBorders>
                                  <w:shd w:val="clear" w:color="000000" w:fill="FFFFFF"/>
                                  <w:noWrap/>
                                  <w:vAlign w:val="center"/>
                                  <w:hideMark/>
                                </w:tcPr>
                                <w:p w14:paraId="4398AED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686.41</w:t>
                                  </w:r>
                                </w:p>
                              </w:tc>
                              <w:tc>
                                <w:tcPr>
                                  <w:tcW w:w="648" w:type="dxa"/>
                                  <w:tcBorders>
                                    <w:top w:val="nil"/>
                                    <w:left w:val="nil"/>
                                    <w:bottom w:val="single" w:sz="8" w:space="0" w:color="auto"/>
                                    <w:right w:val="single" w:sz="8" w:space="0" w:color="auto"/>
                                  </w:tcBorders>
                                  <w:shd w:val="clear" w:color="000000" w:fill="FFFFFF"/>
                                  <w:noWrap/>
                                  <w:vAlign w:val="center"/>
                                  <w:hideMark/>
                                </w:tcPr>
                                <w:p w14:paraId="5378537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886.10</w:t>
                                  </w:r>
                                </w:p>
                              </w:tc>
                              <w:tc>
                                <w:tcPr>
                                  <w:tcW w:w="648" w:type="dxa"/>
                                  <w:tcBorders>
                                    <w:top w:val="nil"/>
                                    <w:left w:val="nil"/>
                                    <w:bottom w:val="single" w:sz="8" w:space="0" w:color="auto"/>
                                    <w:right w:val="single" w:sz="8" w:space="0" w:color="auto"/>
                                  </w:tcBorders>
                                  <w:shd w:val="clear" w:color="000000" w:fill="FFFFFF"/>
                                  <w:noWrap/>
                                  <w:vAlign w:val="center"/>
                                  <w:hideMark/>
                                </w:tcPr>
                                <w:p w14:paraId="4A278CA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279.67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6A4C670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602.77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1019F28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480.72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4E7AF81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343.74</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E8C87A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566.77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03C46A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165.00</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336FC86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345.42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6268707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482.69</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BB0270D"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849.27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0FD70E0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798.23</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48427A30"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364E2726" w14:textId="77777777" w:rsidTr="008C05D3">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3FE68E3E"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1.Grup</w:t>
                                  </w:r>
                                </w:p>
                              </w:tc>
                              <w:tc>
                                <w:tcPr>
                                  <w:tcW w:w="2085" w:type="dxa"/>
                                  <w:tcBorders>
                                    <w:top w:val="single" w:sz="8" w:space="0" w:color="auto"/>
                                    <w:left w:val="single" w:sz="8" w:space="0" w:color="auto"/>
                                    <w:bottom w:val="nil"/>
                                    <w:right w:val="single" w:sz="8" w:space="0" w:color="auto"/>
                                  </w:tcBorders>
                                  <w:shd w:val="clear" w:color="auto" w:fill="auto"/>
                                  <w:noWrap/>
                                  <w:vAlign w:val="center"/>
                                  <w:hideMark/>
                                </w:tcPr>
                                <w:p w14:paraId="0AEBBDF6" w14:textId="77777777" w:rsidR="00156D1F" w:rsidRPr="00B82C1A" w:rsidRDefault="007240CF" w:rsidP="008C05D3">
                                  <w:pPr>
                                    <w:spacing w:after="0" w:line="240" w:lineRule="auto"/>
                                    <w:rPr>
                                      <w:rFonts w:ascii="Arial" w:eastAsia="Times New Roman" w:hAnsi="Arial" w:cs="Arial"/>
                                      <w:b/>
                                      <w:bCs/>
                                      <w:color w:val="000000"/>
                                      <w:sz w:val="14"/>
                                      <w:szCs w:val="14"/>
                                      <w:lang w:val="en-US" w:eastAsia="en-GB"/>
                                    </w:rPr>
                                  </w:pPr>
                                  <m:oMathPara>
                                    <m:oMathParaPr>
                                      <m:jc m:val="left"/>
                                    </m:oMathParaPr>
                                    <m:oMath>
                                      <m:sSub>
                                        <m:sSubPr>
                                          <m:ctrlPr>
                                            <w:rPr>
                                              <w:rFonts w:ascii="Cambria Math" w:eastAsia="Times New Roman" w:hAnsi="Cambria Math" w:cs="Arial"/>
                                              <w:b/>
                                              <w:bCs/>
                                              <w:i/>
                                              <w:color w:val="000000"/>
                                              <w:sz w:val="14"/>
                                              <w:szCs w:val="14"/>
                                              <w:lang w:val="en-US" w:eastAsia="en-GB"/>
                                            </w:rPr>
                                          </m:ctrlPr>
                                        </m:sSubPr>
                                        <m:e>
                                          <m:r>
                                            <m:rPr>
                                              <m:sty m:val="bi"/>
                                            </m:rPr>
                                            <w:rPr>
                                              <w:rFonts w:ascii="Cambria Math" w:eastAsia="Times New Roman" w:hAnsi="Cambria Math" w:cs="Arial"/>
                                              <w:color w:val="000000"/>
                                              <w:sz w:val="14"/>
                                              <w:szCs w:val="14"/>
                                              <w:lang w:val="en-US" w:eastAsia="en-GB"/>
                                            </w:rPr>
                                            <m:t>α</m:t>
                                          </m:r>
                                        </m:e>
                                        <m:sub>
                                          <m:r>
                                            <m:rPr>
                                              <m:sty m:val="bi"/>
                                            </m:rPr>
                                            <w:rPr>
                                              <w:rFonts w:ascii="Cambria Math" w:eastAsia="Times New Roman" w:hAnsi="Cambria Math" w:cs="Arial"/>
                                              <w:color w:val="000000"/>
                                              <w:sz w:val="14"/>
                                              <w:szCs w:val="14"/>
                                              <w:lang w:val="en-US" w:eastAsia="en-GB"/>
                                            </w:rPr>
                                            <m:t>i</m:t>
                                          </m:r>
                                        </m:sub>
                                      </m:sSub>
                                    </m:oMath>
                                  </m:oMathPara>
                                </w:p>
                              </w:tc>
                              <w:tc>
                                <w:tcPr>
                                  <w:tcW w:w="473" w:type="dxa"/>
                                  <w:tcBorders>
                                    <w:top w:val="single" w:sz="8" w:space="0" w:color="auto"/>
                                    <w:left w:val="single" w:sz="8" w:space="0" w:color="auto"/>
                                    <w:bottom w:val="nil"/>
                                    <w:right w:val="single" w:sz="8" w:space="0" w:color="auto"/>
                                  </w:tcBorders>
                                  <w:shd w:val="clear" w:color="auto" w:fill="auto"/>
                                  <w:noWrap/>
                                  <w:vAlign w:val="center"/>
                                  <w:hideMark/>
                                </w:tcPr>
                                <w:p w14:paraId="10E34D41"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35.5%</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B1763A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3.9%</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4B56912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2.2%</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30B415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40.1%</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1D6549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4.1%</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4678D2B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1.5%</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2439966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3.6%</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04C671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3.2%</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1E1B4CC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0.8%</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185E027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0.1%</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6991F063"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2.9%</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1EBFFFA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2.0%</w:t>
                                  </w:r>
                                </w:p>
                              </w:tc>
                              <w:tc>
                                <w:tcPr>
                                  <w:tcW w:w="949" w:type="dxa"/>
                                  <w:tcBorders>
                                    <w:top w:val="single" w:sz="8" w:space="0" w:color="auto"/>
                                    <w:left w:val="single" w:sz="8" w:space="0" w:color="auto"/>
                                    <w:bottom w:val="nil"/>
                                    <w:right w:val="single" w:sz="8" w:space="0" w:color="auto"/>
                                  </w:tcBorders>
                                  <w:shd w:val="clear" w:color="auto" w:fill="auto"/>
                                  <w:noWrap/>
                                  <w:vAlign w:val="bottom"/>
                                  <w:hideMark/>
                                </w:tcPr>
                                <w:p w14:paraId="46BF5C8B"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053D3AD3" w14:textId="77777777" w:rsidTr="008C05D3">
                              <w:trPr>
                                <w:trHeight w:val="344"/>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6F40B0CC"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10.Grup</w:t>
                                  </w: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1FCB73B4" w14:textId="77777777" w:rsidR="00156D1F" w:rsidRPr="00B82C1A" w:rsidRDefault="007240CF" w:rsidP="008C05D3">
                                  <w:pPr>
                                    <w:spacing w:after="0" w:line="240" w:lineRule="auto"/>
                                    <w:rPr>
                                      <w:rFonts w:ascii="Arial" w:eastAsia="Times New Roman" w:hAnsi="Arial" w:cs="Arial"/>
                                      <w:b/>
                                      <w:color w:val="000000"/>
                                      <w:sz w:val="14"/>
                                      <w:szCs w:val="14"/>
                                      <w:lang w:val="en-US" w:eastAsia="en-GB"/>
                                    </w:rPr>
                                  </w:pPr>
                                  <m:oMathPara>
                                    <m:oMathParaPr>
                                      <m:jc m:val="left"/>
                                    </m:oMathParaPr>
                                    <m:oMath>
                                      <m:sSub>
                                        <m:sSubPr>
                                          <m:ctrlPr>
                                            <w:rPr>
                                              <w:rFonts w:ascii="Cambria Math" w:eastAsia="Times New Roman" w:hAnsi="Cambria Math" w:cs="Arial"/>
                                              <w:b/>
                                              <w:i/>
                                              <w:color w:val="000000"/>
                                              <w:sz w:val="14"/>
                                              <w:szCs w:val="14"/>
                                              <w:lang w:val="en-US" w:eastAsia="en-GB"/>
                                            </w:rPr>
                                          </m:ctrlPr>
                                        </m:sSubPr>
                                        <m:e>
                                          <m:r>
                                            <m:rPr>
                                              <m:sty m:val="bi"/>
                                            </m:rPr>
                                            <w:rPr>
                                              <w:rFonts w:ascii="Cambria Math" w:eastAsia="Times New Roman" w:hAnsi="Cambria Math" w:cs="Arial"/>
                                              <w:color w:val="000000"/>
                                              <w:sz w:val="14"/>
                                              <w:szCs w:val="14"/>
                                              <w:lang w:val="en-US" w:eastAsia="en-GB"/>
                                            </w:rPr>
                                            <m:t>β</m:t>
                                          </m:r>
                                        </m:e>
                                        <m:sub>
                                          <m:r>
                                            <m:rPr>
                                              <m:sty m:val="bi"/>
                                            </m:rPr>
                                            <w:rPr>
                                              <w:rFonts w:ascii="Cambria Math" w:eastAsia="Times New Roman" w:hAnsi="Cambria Math" w:cs="Arial"/>
                                              <w:color w:val="000000"/>
                                              <w:sz w:val="14"/>
                                              <w:szCs w:val="14"/>
                                              <w:lang w:val="en-US" w:eastAsia="en-GB"/>
                                            </w:rPr>
                                            <m:t>i</m:t>
                                          </m:r>
                                        </m:sub>
                                      </m:sSub>
                                    </m:oMath>
                                  </m:oMathPara>
                                </w:p>
                                <w:p w14:paraId="5B2281F4"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p>
                              </w:tc>
                              <w:tc>
                                <w:tcPr>
                                  <w:tcW w:w="473" w:type="dxa"/>
                                  <w:tcBorders>
                                    <w:top w:val="nil"/>
                                    <w:left w:val="single" w:sz="8" w:space="0" w:color="auto"/>
                                    <w:bottom w:val="single" w:sz="8" w:space="0" w:color="auto"/>
                                    <w:right w:val="single" w:sz="8" w:space="0" w:color="auto"/>
                                  </w:tcBorders>
                                  <w:shd w:val="clear" w:color="auto" w:fill="auto"/>
                                  <w:noWrap/>
                                  <w:vAlign w:val="center"/>
                                  <w:hideMark/>
                                </w:tcPr>
                                <w:p w14:paraId="55E0450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11.8%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7C42FA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2.7%</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C63D50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7CF1624F"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14.6%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35563F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7.1%</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DE7D61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20DEDE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29.2%</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B6C88D1"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2.9%</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DC981D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68796C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AB069E5"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CDB5DF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8.1%</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46B0BC86"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4D43CB1F" w14:textId="77777777" w:rsidTr="008C05D3">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19065179"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1.Grup</w:t>
                                  </w:r>
                                </w:p>
                              </w:tc>
                              <w:tc>
                                <w:tcPr>
                                  <w:tcW w:w="2085" w:type="dxa"/>
                                  <w:tcBorders>
                                    <w:top w:val="single" w:sz="8" w:space="0" w:color="auto"/>
                                    <w:left w:val="single" w:sz="8" w:space="0" w:color="auto"/>
                                    <w:bottom w:val="nil"/>
                                    <w:right w:val="single" w:sz="8" w:space="0" w:color="auto"/>
                                  </w:tcBorders>
                                  <w:shd w:val="clear" w:color="auto" w:fill="auto"/>
                                  <w:noWrap/>
                                  <w:vAlign w:val="bottom"/>
                                  <w:hideMark/>
                                </w:tcPr>
                                <w:p w14:paraId="227057DD" w14:textId="77777777" w:rsidR="00156D1F" w:rsidRPr="00B82C1A" w:rsidRDefault="007240CF" w:rsidP="008C05D3">
                                  <w:pPr>
                                    <w:spacing w:after="0" w:line="240" w:lineRule="auto"/>
                                    <w:rPr>
                                      <w:rFonts w:ascii="Arial" w:eastAsia="Times New Roman" w:hAnsi="Arial" w:cs="Arial"/>
                                      <w:b/>
                                      <w:bCs/>
                                      <w:color w:val="000000"/>
                                      <w:sz w:val="14"/>
                                      <w:szCs w:val="14"/>
                                      <w:lang w:val="en-US" w:eastAsia="en-GB"/>
                                    </w:rPr>
                                  </w:pPr>
                                  <m:oMathPara>
                                    <m:oMathParaPr>
                                      <m:jc m:val="left"/>
                                    </m:oMathParaPr>
                                    <m:oMath>
                                      <m:nary>
                                        <m:naryPr>
                                          <m:chr m:val="∑"/>
                                          <m:limLoc m:val="undOvr"/>
                                          <m:ctrlPr>
                                            <w:rPr>
                                              <w:rFonts w:ascii="Cambria Math" w:eastAsia="Times New Roman" w:hAnsi="Cambria Math" w:cs="Arial"/>
                                              <w:b/>
                                              <w:bCs/>
                                              <w:i/>
                                              <w:color w:val="000000"/>
                                              <w:sz w:val="16"/>
                                              <w:szCs w:val="16"/>
                                              <w:lang w:val="en-US" w:eastAsia="en-GB"/>
                                            </w:rPr>
                                          </m:ctrlPr>
                                        </m:naryPr>
                                        <m:sub>
                                          <m:r>
                                            <m:rPr>
                                              <m:sty m:val="bi"/>
                                            </m:rPr>
                                            <w:rPr>
                                              <w:rFonts w:ascii="Cambria Math" w:eastAsia="Times New Roman" w:hAnsi="Cambria Math" w:cs="Arial"/>
                                              <w:color w:val="000000"/>
                                              <w:sz w:val="16"/>
                                              <w:szCs w:val="16"/>
                                              <w:lang w:val="en-US" w:eastAsia="en-GB"/>
                                            </w:rPr>
                                            <m:t>i=1</m:t>
                                          </m:r>
                                        </m:sub>
                                        <m:sup>
                                          <m:r>
                                            <m:rPr>
                                              <m:sty m:val="bi"/>
                                            </m:rPr>
                                            <w:rPr>
                                              <w:rFonts w:ascii="Cambria Math" w:eastAsia="Times New Roman" w:hAnsi="Cambria Math" w:cs="Arial"/>
                                              <w:color w:val="000000"/>
                                              <w:sz w:val="16"/>
                                              <w:szCs w:val="16"/>
                                              <w:lang w:val="en-US" w:eastAsia="en-GB"/>
                                            </w:rPr>
                                            <m:t>12</m:t>
                                          </m:r>
                                        </m:sup>
                                        <m:e>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α</m:t>
                                              </m:r>
                                            </m:e>
                                            <m:sub>
                                              <m:r>
                                                <m:rPr>
                                                  <m:sty m:val="bi"/>
                                                </m:rPr>
                                                <w:rPr>
                                                  <w:rFonts w:ascii="Cambria Math" w:eastAsia="Times New Roman" w:hAnsi="Cambria Math" w:cs="Arial"/>
                                                  <w:color w:val="000000"/>
                                                  <w:sz w:val="16"/>
                                                  <w:szCs w:val="16"/>
                                                  <w:lang w:val="en-US"/>
                                                </w:rPr>
                                                <m:t>i</m:t>
                                              </m:r>
                                            </m:sub>
                                          </m:sSub>
                                        </m:e>
                                      </m:nary>
                                    </m:oMath>
                                  </m:oMathPara>
                                </w:p>
                              </w:tc>
                              <w:tc>
                                <w:tcPr>
                                  <w:tcW w:w="473" w:type="dxa"/>
                                  <w:tcBorders>
                                    <w:top w:val="nil"/>
                                    <w:left w:val="single" w:sz="8" w:space="0" w:color="auto"/>
                                    <w:bottom w:val="nil"/>
                                    <w:right w:val="single" w:sz="8" w:space="0" w:color="auto"/>
                                  </w:tcBorders>
                                  <w:shd w:val="clear" w:color="auto" w:fill="auto"/>
                                  <w:noWrap/>
                                  <w:vAlign w:val="center"/>
                                  <w:hideMark/>
                                </w:tcPr>
                                <w:p w14:paraId="4AE7890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0.40</w:t>
                                  </w:r>
                                </w:p>
                              </w:tc>
                              <w:tc>
                                <w:tcPr>
                                  <w:tcW w:w="648" w:type="dxa"/>
                                  <w:tcBorders>
                                    <w:top w:val="nil"/>
                                    <w:left w:val="nil"/>
                                    <w:bottom w:val="nil"/>
                                    <w:right w:val="nil"/>
                                  </w:tcBorders>
                                  <w:shd w:val="clear" w:color="auto" w:fill="auto"/>
                                  <w:noWrap/>
                                  <w:vAlign w:val="center"/>
                                  <w:hideMark/>
                                </w:tcPr>
                                <w:p w14:paraId="2F7FF5C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0.04</w:t>
                                  </w:r>
                                </w:p>
                              </w:tc>
                              <w:tc>
                                <w:tcPr>
                                  <w:tcW w:w="648" w:type="dxa"/>
                                  <w:tcBorders>
                                    <w:top w:val="nil"/>
                                    <w:left w:val="single" w:sz="8" w:space="0" w:color="auto"/>
                                    <w:bottom w:val="nil"/>
                                    <w:right w:val="single" w:sz="8" w:space="0" w:color="auto"/>
                                  </w:tcBorders>
                                  <w:shd w:val="clear" w:color="auto" w:fill="auto"/>
                                  <w:noWrap/>
                                  <w:vAlign w:val="center"/>
                                  <w:hideMark/>
                                </w:tcPr>
                                <w:p w14:paraId="5B03D9C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0.02</w:t>
                                  </w:r>
                                </w:p>
                              </w:tc>
                              <w:tc>
                                <w:tcPr>
                                  <w:tcW w:w="648" w:type="dxa"/>
                                  <w:tcBorders>
                                    <w:top w:val="nil"/>
                                    <w:left w:val="nil"/>
                                    <w:bottom w:val="nil"/>
                                    <w:right w:val="nil"/>
                                  </w:tcBorders>
                                  <w:shd w:val="clear" w:color="auto" w:fill="auto"/>
                                  <w:noWrap/>
                                  <w:vAlign w:val="center"/>
                                  <w:hideMark/>
                                </w:tcPr>
                                <w:p w14:paraId="3DC5CFD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0.45</w:t>
                                  </w:r>
                                </w:p>
                              </w:tc>
                              <w:tc>
                                <w:tcPr>
                                  <w:tcW w:w="648" w:type="dxa"/>
                                  <w:tcBorders>
                                    <w:top w:val="nil"/>
                                    <w:left w:val="single" w:sz="8" w:space="0" w:color="auto"/>
                                    <w:bottom w:val="nil"/>
                                    <w:right w:val="single" w:sz="8" w:space="0" w:color="auto"/>
                                  </w:tcBorders>
                                  <w:shd w:val="clear" w:color="auto" w:fill="auto"/>
                                  <w:noWrap/>
                                  <w:vAlign w:val="center"/>
                                  <w:hideMark/>
                                </w:tcPr>
                                <w:p w14:paraId="68C3B90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0.04</w:t>
                                  </w:r>
                                </w:p>
                              </w:tc>
                              <w:tc>
                                <w:tcPr>
                                  <w:tcW w:w="648" w:type="dxa"/>
                                  <w:tcBorders>
                                    <w:top w:val="nil"/>
                                    <w:left w:val="nil"/>
                                    <w:bottom w:val="nil"/>
                                    <w:right w:val="nil"/>
                                  </w:tcBorders>
                                  <w:shd w:val="clear" w:color="auto" w:fill="auto"/>
                                  <w:noWrap/>
                                  <w:vAlign w:val="center"/>
                                  <w:hideMark/>
                                </w:tcPr>
                                <w:p w14:paraId="379D6143"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0.02</w:t>
                                  </w:r>
                                </w:p>
                              </w:tc>
                              <w:tc>
                                <w:tcPr>
                                  <w:tcW w:w="648" w:type="dxa"/>
                                  <w:tcBorders>
                                    <w:top w:val="nil"/>
                                    <w:left w:val="single" w:sz="8" w:space="0" w:color="auto"/>
                                    <w:bottom w:val="nil"/>
                                    <w:right w:val="single" w:sz="8" w:space="0" w:color="auto"/>
                                  </w:tcBorders>
                                  <w:shd w:val="clear" w:color="auto" w:fill="auto"/>
                                  <w:noWrap/>
                                  <w:vAlign w:val="center"/>
                                  <w:hideMark/>
                                </w:tcPr>
                                <w:p w14:paraId="2BA91185"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0.04</w:t>
                                  </w:r>
                                </w:p>
                              </w:tc>
                              <w:tc>
                                <w:tcPr>
                                  <w:tcW w:w="648" w:type="dxa"/>
                                  <w:tcBorders>
                                    <w:top w:val="nil"/>
                                    <w:left w:val="nil"/>
                                    <w:bottom w:val="nil"/>
                                    <w:right w:val="nil"/>
                                  </w:tcBorders>
                                  <w:shd w:val="clear" w:color="auto" w:fill="auto"/>
                                  <w:noWrap/>
                                  <w:vAlign w:val="center"/>
                                  <w:hideMark/>
                                </w:tcPr>
                                <w:p w14:paraId="1011EE6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nil"/>
                                    <w:right w:val="single" w:sz="8" w:space="0" w:color="auto"/>
                                  </w:tcBorders>
                                  <w:shd w:val="clear" w:color="auto" w:fill="auto"/>
                                  <w:noWrap/>
                                  <w:vAlign w:val="center"/>
                                  <w:hideMark/>
                                </w:tcPr>
                                <w:p w14:paraId="1AF41CD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0.01</w:t>
                                  </w:r>
                                </w:p>
                              </w:tc>
                              <w:tc>
                                <w:tcPr>
                                  <w:tcW w:w="648" w:type="dxa"/>
                                  <w:tcBorders>
                                    <w:top w:val="nil"/>
                                    <w:left w:val="nil"/>
                                    <w:bottom w:val="nil"/>
                                    <w:right w:val="nil"/>
                                  </w:tcBorders>
                                  <w:shd w:val="clear" w:color="auto" w:fill="auto"/>
                                  <w:noWrap/>
                                  <w:vAlign w:val="center"/>
                                  <w:hideMark/>
                                </w:tcPr>
                                <w:p w14:paraId="2203571F"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0.00</w:t>
                                  </w:r>
                                </w:p>
                              </w:tc>
                              <w:tc>
                                <w:tcPr>
                                  <w:tcW w:w="648" w:type="dxa"/>
                                  <w:tcBorders>
                                    <w:top w:val="nil"/>
                                    <w:left w:val="single" w:sz="8" w:space="0" w:color="auto"/>
                                    <w:bottom w:val="nil"/>
                                    <w:right w:val="single" w:sz="8" w:space="0" w:color="auto"/>
                                  </w:tcBorders>
                                  <w:shd w:val="clear" w:color="auto" w:fill="auto"/>
                                  <w:noWrap/>
                                  <w:vAlign w:val="center"/>
                                  <w:hideMark/>
                                </w:tcPr>
                                <w:p w14:paraId="75321321"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nil"/>
                                    <w:bottom w:val="nil"/>
                                    <w:right w:val="nil"/>
                                  </w:tcBorders>
                                  <w:shd w:val="clear" w:color="auto" w:fill="auto"/>
                                  <w:noWrap/>
                                  <w:vAlign w:val="center"/>
                                  <w:hideMark/>
                                </w:tcPr>
                                <w:p w14:paraId="1D14D52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0.02</w:t>
                                  </w:r>
                                </w:p>
                              </w:tc>
                              <w:tc>
                                <w:tcPr>
                                  <w:tcW w:w="949" w:type="dxa"/>
                                  <w:tcBorders>
                                    <w:top w:val="nil"/>
                                    <w:left w:val="single" w:sz="8" w:space="0" w:color="auto"/>
                                    <w:bottom w:val="nil"/>
                                    <w:right w:val="single" w:sz="8" w:space="0" w:color="auto"/>
                                  </w:tcBorders>
                                  <w:shd w:val="clear" w:color="auto" w:fill="auto"/>
                                  <w:noWrap/>
                                  <w:vAlign w:val="center"/>
                                  <w:hideMark/>
                                </w:tcPr>
                                <w:p w14:paraId="4341C588"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1.12</w:t>
                                  </w:r>
                                </w:p>
                              </w:tc>
                            </w:tr>
                            <w:tr w:rsidR="00156D1F" w:rsidRPr="00B82C1A" w14:paraId="68FB649E" w14:textId="77777777" w:rsidTr="008C05D3">
                              <w:trPr>
                                <w:trHeight w:val="44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3CD44080"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10.Grup</w:t>
                                  </w: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35BB38FB"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 </w:t>
                                  </w:r>
                                  <m:oMath>
                                    <m:r>
                                      <m:rPr>
                                        <m:sty m:val="p"/>
                                      </m:rPr>
                                      <w:rPr>
                                        <w:rFonts w:ascii="Cambria Math" w:eastAsia="Times New Roman" w:hAnsi="Cambria Math" w:cs="Arial"/>
                                        <w:color w:val="000000"/>
                                        <w:sz w:val="14"/>
                                        <w:szCs w:val="14"/>
                                        <w:lang w:val="en-US"/>
                                      </w:rPr>
                                      <w:br/>
                                    </m:r>
                                  </m:oMath>
                                  <m:oMathPara>
                                    <m:oMathParaPr>
                                      <m:jc m:val="left"/>
                                    </m:oMathParaPr>
                                    <m:oMath>
                                      <m:nary>
                                        <m:naryPr>
                                          <m:chr m:val="∑"/>
                                          <m:limLoc m:val="undOvr"/>
                                          <m:ctrlPr>
                                            <w:rPr>
                                              <w:rFonts w:ascii="Cambria Math" w:eastAsia="Times New Roman" w:hAnsi="Cambria Math" w:cs="Arial"/>
                                              <w:i/>
                                              <w:color w:val="000000"/>
                                              <w:sz w:val="16"/>
                                              <w:szCs w:val="16"/>
                                              <w:lang w:val="en-US" w:eastAsia="en-GB"/>
                                            </w:rPr>
                                          </m:ctrlPr>
                                        </m:naryPr>
                                        <m:sub>
                                          <m:r>
                                            <w:rPr>
                                              <w:rFonts w:ascii="Cambria Math" w:eastAsia="Times New Roman" w:hAnsi="Cambria Math" w:cs="Arial"/>
                                              <w:color w:val="000000"/>
                                              <w:sz w:val="16"/>
                                              <w:szCs w:val="16"/>
                                              <w:lang w:val="en-US" w:eastAsia="en-GB"/>
                                            </w:rPr>
                                            <m:t>i=1</m:t>
                                          </m:r>
                                        </m:sub>
                                        <m:sup>
                                          <m:r>
                                            <w:rPr>
                                              <w:rFonts w:ascii="Cambria Math" w:eastAsia="Times New Roman" w:hAnsi="Cambria Math" w:cs="Arial"/>
                                              <w:color w:val="000000"/>
                                              <w:sz w:val="16"/>
                                              <w:szCs w:val="16"/>
                                              <w:lang w:val="en-US" w:eastAsia="en-GB"/>
                                            </w:rPr>
                                            <m:t>12</m:t>
                                          </m:r>
                                        </m:sup>
                                        <m:e>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β</m:t>
                                              </m:r>
                                            </m:e>
                                            <m:sub>
                                              <m:r>
                                                <m:rPr>
                                                  <m:sty m:val="bi"/>
                                                </m:rPr>
                                                <w:rPr>
                                                  <w:rFonts w:ascii="Cambria Math" w:eastAsia="Times New Roman" w:hAnsi="Cambria Math" w:cs="Arial"/>
                                                  <w:color w:val="000000"/>
                                                  <w:sz w:val="16"/>
                                                  <w:szCs w:val="16"/>
                                                  <w:lang w:val="en-US"/>
                                                </w:rPr>
                                                <m:t>i</m:t>
                                              </m:r>
                                            </m:sub>
                                          </m:sSub>
                                        </m:e>
                                      </m:nary>
                                    </m:oMath>
                                  </m:oMathPara>
                                </w:p>
                              </w:tc>
                              <w:tc>
                                <w:tcPr>
                                  <w:tcW w:w="473" w:type="dxa"/>
                                  <w:tcBorders>
                                    <w:top w:val="nil"/>
                                    <w:left w:val="single" w:sz="8" w:space="0" w:color="auto"/>
                                    <w:bottom w:val="single" w:sz="8" w:space="0" w:color="auto"/>
                                    <w:right w:val="single" w:sz="8" w:space="0" w:color="auto"/>
                                  </w:tcBorders>
                                  <w:shd w:val="clear" w:color="auto" w:fill="auto"/>
                                  <w:noWrap/>
                                  <w:vAlign w:val="center"/>
                                  <w:hideMark/>
                                </w:tcPr>
                                <w:p w14:paraId="6A85BDC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0.13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7CEC89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2F263B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7E8E81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0.16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D1C3DB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F78E913"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C927C4F"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0.32</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AB7A6A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281719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AEEAF2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1C23F1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0.07</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3FB199D"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0.09</w:t>
                                  </w:r>
                                </w:p>
                              </w:tc>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33128815"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1.10</w:t>
                                  </w:r>
                                </w:p>
                              </w:tc>
                            </w:tr>
                          </w:tbl>
                          <w:p w14:paraId="0F4FFD2F" w14:textId="77777777" w:rsidR="00156D1F" w:rsidRPr="00B82C1A" w:rsidRDefault="00156D1F" w:rsidP="00B82C1A">
                            <w:pPr>
                              <w:tabs>
                                <w:tab w:val="left" w:pos="0"/>
                              </w:tabs>
                              <w:spacing w:after="0"/>
                              <w:ind w:right="35"/>
                              <w:rPr>
                                <w:lang w:val="en-US"/>
                              </w:rPr>
                            </w:pPr>
                          </w:p>
                          <w:p w14:paraId="0AB0AA40" w14:textId="77777777" w:rsidR="00156D1F" w:rsidRPr="00B82C1A" w:rsidRDefault="00156D1F" w:rsidP="00B82C1A">
                            <w:pPr>
                              <w:rPr>
                                <w:rFonts w:cs="Arial"/>
                                <w:color w:val="000000" w:themeColor="text1"/>
                                <w:lang w:val="en-US"/>
                              </w:rPr>
                            </w:pPr>
                            <w:r w:rsidRPr="00B82C1A">
                              <w:rPr>
                                <w:rFonts w:cs="Arial"/>
                                <w:color w:val="000000" w:themeColor="text1"/>
                                <w:lang w:val="en-US"/>
                              </w:rPr>
                              <w:t xml:space="preserve">To obtain July 2021 CPI for the poorest and the richest expenditure groups, we multiplied  </w:t>
                            </w:r>
                            <m:oMath>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α</m:t>
                                  </m:r>
                                </m:e>
                                <m:sub>
                                  <m:r>
                                    <m:rPr>
                                      <m:sty m:val="bi"/>
                                    </m:rPr>
                                    <w:rPr>
                                      <w:rFonts w:ascii="Cambria Math" w:eastAsia="Times New Roman" w:hAnsi="Cambria Math" w:cs="Arial"/>
                                      <w:color w:val="000000"/>
                                      <w:sz w:val="16"/>
                                      <w:szCs w:val="16"/>
                                      <w:lang w:val="en-US"/>
                                    </w:rPr>
                                    <m:t>i</m:t>
                                  </m:r>
                                </m:sub>
                              </m:sSub>
                            </m:oMath>
                            <w:r w:rsidRPr="00B82C1A">
                              <w:rPr>
                                <w:rFonts w:cs="Arial"/>
                                <w:color w:val="000000" w:themeColor="text1"/>
                                <w:lang w:val="en-US"/>
                              </w:rPr>
                              <w:t xml:space="preserve"> </w:t>
                            </w:r>
                            <w:r w:rsidRPr="00B82C1A">
                              <w:rPr>
                                <w:rFonts w:cs="Arial"/>
                                <w:noProof/>
                                <w:color w:val="000000" w:themeColor="text1"/>
                                <w:vertAlign w:val="subscript"/>
                                <w:lang w:val="en-US"/>
                              </w:rPr>
                              <w:t xml:space="preserve">    </w:t>
                            </w:r>
                            <w:r w:rsidRPr="00B82C1A">
                              <w:rPr>
                                <w:rFonts w:cs="Arial"/>
                                <w:noProof/>
                                <w:color w:val="000000" w:themeColor="text1"/>
                                <w:lang w:val="en-US"/>
                              </w:rPr>
                              <w:t xml:space="preserve"> and </w:t>
                            </w:r>
                            <m:oMath>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β</m:t>
                                  </m:r>
                                </m:e>
                                <m:sub>
                                  <m:r>
                                    <m:rPr>
                                      <m:sty m:val="bi"/>
                                    </m:rPr>
                                    <w:rPr>
                                      <w:rFonts w:ascii="Cambria Math" w:eastAsia="Times New Roman" w:hAnsi="Cambria Math" w:cs="Arial"/>
                                      <w:color w:val="000000"/>
                                      <w:sz w:val="16"/>
                                      <w:szCs w:val="16"/>
                                      <w:lang w:val="en-US"/>
                                    </w:rPr>
                                    <m:t>i</m:t>
                                  </m:r>
                                </m:sub>
                              </m:sSub>
                              <m:r>
                                <m:rPr>
                                  <m:sty m:val="bi"/>
                                </m:rPr>
                                <w:rPr>
                                  <w:rFonts w:ascii="Cambria Math" w:eastAsia="Times New Roman" w:hAnsi="Cambria Math" w:cs="Arial"/>
                                  <w:color w:val="000000"/>
                                  <w:sz w:val="16"/>
                                  <w:szCs w:val="16"/>
                                  <w:lang w:val="en-US"/>
                                </w:rPr>
                                <m:t xml:space="preserve"> </m:t>
                              </m:r>
                            </m:oMath>
                            <w:r w:rsidRPr="00B82C1A">
                              <w:rPr>
                                <w:rFonts w:cs="Arial"/>
                                <w:noProof/>
                                <w:color w:val="000000" w:themeColor="text1"/>
                                <w:lang w:val="en-US"/>
                              </w:rPr>
                              <w:t xml:space="preserve"> for each subgroups with the chained December 2020 CPI calcuted by Betam</w:t>
                            </w:r>
                          </w:p>
                          <w:p w14:paraId="3680193D" w14:textId="77777777" w:rsidR="00156D1F" w:rsidRPr="00B82C1A" w:rsidRDefault="00156D1F" w:rsidP="00B82C1A">
                            <w:pPr>
                              <w:spacing w:after="0"/>
                              <w:rPr>
                                <w:rFonts w:cs="Arial"/>
                                <w:color w:val="000000" w:themeColor="text1"/>
                                <w:lang w:val="en-US"/>
                              </w:rPr>
                            </w:pPr>
                            <w:r w:rsidRPr="00B82C1A">
                              <w:rPr>
                                <w:rFonts w:cs="Arial"/>
                                <w:color w:val="000000" w:themeColor="text1"/>
                                <w:lang w:val="en-US"/>
                              </w:rPr>
                              <w:t xml:space="preserve">TÜFE </w:t>
                            </w:r>
                            <w:r w:rsidRPr="00B82C1A">
                              <w:rPr>
                                <w:rFonts w:cs="Arial"/>
                                <w:color w:val="000000" w:themeColor="text1"/>
                                <w:vertAlign w:val="subscript"/>
                                <w:lang w:val="en-US"/>
                              </w:rPr>
                              <w:t>poorest</w:t>
                            </w:r>
                            <w:r w:rsidRPr="00B82C1A">
                              <w:rPr>
                                <w:rFonts w:cs="Arial"/>
                                <w:color w:val="000000" w:themeColor="text1"/>
                                <w:sz w:val="28"/>
                                <w:szCs w:val="28"/>
                                <w:vertAlign w:val="subscript"/>
                                <w:lang w:val="en-US"/>
                              </w:rPr>
                              <w:t xml:space="preserve"> </w:t>
                            </w:r>
                            <w:r w:rsidRPr="00B82C1A">
                              <w:rPr>
                                <w:rFonts w:cs="Arial"/>
                                <w:color w:val="000000" w:themeColor="text1"/>
                                <w:vertAlign w:val="subscript"/>
                                <w:lang w:val="en-US"/>
                              </w:rPr>
                              <w:t>(July  2021)</w:t>
                            </w:r>
                            <w:r w:rsidRPr="00B82C1A">
                              <w:rPr>
                                <w:rFonts w:cs="Arial"/>
                                <w:color w:val="000000" w:themeColor="text1"/>
                                <w:lang w:val="en-US"/>
                              </w:rPr>
                              <w:t xml:space="preserve"> = </w:t>
                            </w:r>
                            <m:oMath>
                              <m:d>
                                <m:dPr>
                                  <m:ctrlPr>
                                    <w:rPr>
                                      <w:rFonts w:ascii="Cambria Math" w:hAnsi="Cambria Math" w:cs="Arial"/>
                                      <w:i/>
                                      <w:color w:val="000000" w:themeColor="text1"/>
                                      <w:lang w:val="en-US"/>
                                    </w:rPr>
                                  </m:ctrlPr>
                                </m:dPr>
                                <m:e>
                                  <m:nary>
                                    <m:naryPr>
                                      <m:chr m:val="∑"/>
                                      <m:limLoc m:val="undOvr"/>
                                      <m:ctrlPr>
                                        <w:rPr>
                                          <w:rFonts w:ascii="Cambria Math" w:hAnsi="Cambria Math" w:cs="Arial"/>
                                          <w:i/>
                                          <w:color w:val="000000" w:themeColor="text1"/>
                                          <w:lang w:val="en-US"/>
                                        </w:rPr>
                                      </m:ctrlPr>
                                    </m:naryPr>
                                    <m:sub>
                                      <m:r>
                                        <w:rPr>
                                          <w:rFonts w:ascii="Cambria Math" w:hAnsi="Cambria Math" w:cs="Arial"/>
                                          <w:color w:val="000000" w:themeColor="text1"/>
                                          <w:lang w:val="en-US"/>
                                        </w:rPr>
                                        <m:t>i=1</m:t>
                                      </m:r>
                                    </m:sub>
                                    <m:sup>
                                      <m:r>
                                        <w:rPr>
                                          <w:rFonts w:ascii="Cambria Math" w:hAnsi="Cambria Math" w:cs="Arial"/>
                                          <w:color w:val="000000" w:themeColor="text1"/>
                                          <w:lang w:val="en-US"/>
                                        </w:rPr>
                                        <m:t>12</m:t>
                                      </m:r>
                                    </m:sup>
                                    <m:e>
                                      <m:f>
                                        <m:fPr>
                                          <m:type m:val="skw"/>
                                          <m:ctrlPr>
                                            <w:rPr>
                                              <w:rFonts w:ascii="Cambria Math" w:hAnsi="Cambria Math" w:cs="Arial"/>
                                              <w:i/>
                                              <w:color w:val="000000" w:themeColor="text1"/>
                                              <w:lang w:val="en-US"/>
                                            </w:rPr>
                                          </m:ctrlPr>
                                        </m:fPr>
                                        <m:num>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it</m:t>
                                              </m:r>
                                            </m:sub>
                                          </m:sSub>
                                        </m:num>
                                        <m:den>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 December(t-1)</m:t>
                                              </m:r>
                                            </m:sub>
                                          </m:sSub>
                                        </m:den>
                                      </m:f>
                                      <m:r>
                                        <w:rPr>
                                          <w:rFonts w:ascii="Cambria Math" w:hAnsi="Cambria Math" w:cs="Arial"/>
                                          <w:color w:val="000000" w:themeColor="text1"/>
                                          <w:lang w:val="en-US"/>
                                        </w:rPr>
                                        <m:t>×</m:t>
                                      </m:r>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α</m:t>
                                          </m:r>
                                        </m:e>
                                        <m:sub>
                                          <m:r>
                                            <w:rPr>
                                              <w:rFonts w:ascii="Cambria Math" w:hAnsi="Cambria Math" w:cs="Arial"/>
                                              <w:color w:val="000000" w:themeColor="text1"/>
                                              <w:lang w:val="en-US"/>
                                            </w:rPr>
                                            <m:t>i</m:t>
                                          </m:r>
                                        </m:sub>
                                      </m:sSub>
                                    </m:e>
                                  </m:nary>
                                </m:e>
                              </m:d>
                            </m:oMath>
                            <w:r w:rsidRPr="00B82C1A">
                              <w:rPr>
                                <w:rFonts w:cstheme="minorHAnsi"/>
                                <w:color w:val="000000" w:themeColor="text1"/>
                                <w:lang w:val="en-US"/>
                              </w:rPr>
                              <w:t>×</w:t>
                            </w: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December(t-1)</m:t>
                                  </m:r>
                                </m:sub>
                              </m:sSub>
                            </m:oMath>
                            <w:r w:rsidRPr="00B82C1A">
                              <w:rPr>
                                <w:rFonts w:cs="Arial"/>
                                <w:color w:val="000000" w:themeColor="text1"/>
                                <w:vertAlign w:val="subscript"/>
                                <w:lang w:val="en-US"/>
                              </w:rPr>
                              <w:t xml:space="preserve">  </w:t>
                            </w:r>
                            <w:r w:rsidRPr="00B82C1A">
                              <w:rPr>
                                <w:rFonts w:cs="Arial"/>
                                <w:color w:val="000000" w:themeColor="text1"/>
                                <w:lang w:val="en-US"/>
                              </w:rPr>
                              <w:t>=1,12 x 490,5=546,9</w:t>
                            </w:r>
                          </w:p>
                          <w:p w14:paraId="6B5517A4" w14:textId="77777777" w:rsidR="00156D1F" w:rsidRPr="00B82C1A" w:rsidRDefault="00156D1F" w:rsidP="00B82C1A">
                            <w:pPr>
                              <w:rPr>
                                <w:rFonts w:cs="Arial"/>
                                <w:color w:val="000000" w:themeColor="text1"/>
                                <w:lang w:val="en-US"/>
                              </w:rPr>
                            </w:pPr>
                            <w:r w:rsidRPr="00B82C1A">
                              <w:rPr>
                                <w:rFonts w:cs="Arial"/>
                                <w:color w:val="000000" w:themeColor="text1"/>
                                <w:lang w:val="en-US"/>
                              </w:rPr>
                              <w:t xml:space="preserve">TÜFE </w:t>
                            </w:r>
                            <w:r w:rsidRPr="00B82C1A">
                              <w:rPr>
                                <w:rFonts w:cs="Arial"/>
                                <w:color w:val="000000" w:themeColor="text1"/>
                                <w:vertAlign w:val="subscript"/>
                                <w:lang w:val="en-US"/>
                              </w:rPr>
                              <w:t>richest</w:t>
                            </w:r>
                            <w:r w:rsidRPr="00B82C1A">
                              <w:rPr>
                                <w:rFonts w:cs="Arial"/>
                                <w:color w:val="000000" w:themeColor="text1"/>
                                <w:sz w:val="28"/>
                                <w:szCs w:val="28"/>
                                <w:vertAlign w:val="subscript"/>
                                <w:lang w:val="en-US"/>
                              </w:rPr>
                              <w:t xml:space="preserve"> </w:t>
                            </w:r>
                            <w:r w:rsidRPr="00B82C1A">
                              <w:rPr>
                                <w:rFonts w:cs="Arial"/>
                                <w:color w:val="000000" w:themeColor="text1"/>
                                <w:vertAlign w:val="subscript"/>
                                <w:lang w:val="en-US"/>
                              </w:rPr>
                              <w:t>(July 2021)</w:t>
                            </w:r>
                            <w:r w:rsidRPr="00B82C1A">
                              <w:rPr>
                                <w:rFonts w:cs="Arial"/>
                                <w:color w:val="000000" w:themeColor="text1"/>
                                <w:lang w:val="en-US"/>
                              </w:rPr>
                              <w:t xml:space="preserve"> =</w:t>
                            </w:r>
                            <m:oMath>
                              <m:d>
                                <m:dPr>
                                  <m:ctrlPr>
                                    <w:rPr>
                                      <w:rFonts w:ascii="Cambria Math" w:hAnsi="Cambria Math" w:cs="Arial"/>
                                      <w:i/>
                                      <w:color w:val="000000" w:themeColor="text1"/>
                                      <w:lang w:val="en-US"/>
                                    </w:rPr>
                                  </m:ctrlPr>
                                </m:dPr>
                                <m:e>
                                  <m:nary>
                                    <m:naryPr>
                                      <m:chr m:val="∑"/>
                                      <m:limLoc m:val="undOvr"/>
                                      <m:ctrlPr>
                                        <w:rPr>
                                          <w:rFonts w:ascii="Cambria Math" w:hAnsi="Cambria Math" w:cs="Arial"/>
                                          <w:i/>
                                          <w:color w:val="000000" w:themeColor="text1"/>
                                          <w:lang w:val="en-US"/>
                                        </w:rPr>
                                      </m:ctrlPr>
                                    </m:naryPr>
                                    <m:sub>
                                      <m:r>
                                        <w:rPr>
                                          <w:rFonts w:ascii="Cambria Math" w:hAnsi="Cambria Math" w:cs="Arial"/>
                                          <w:color w:val="000000" w:themeColor="text1"/>
                                          <w:lang w:val="en-US"/>
                                        </w:rPr>
                                        <m:t>i=1</m:t>
                                      </m:r>
                                    </m:sub>
                                    <m:sup>
                                      <m:r>
                                        <w:rPr>
                                          <w:rFonts w:ascii="Cambria Math" w:hAnsi="Cambria Math" w:cs="Arial"/>
                                          <w:color w:val="000000" w:themeColor="text1"/>
                                          <w:lang w:val="en-US"/>
                                        </w:rPr>
                                        <m:t>12</m:t>
                                      </m:r>
                                    </m:sup>
                                    <m:e>
                                      <m:f>
                                        <m:fPr>
                                          <m:type m:val="skw"/>
                                          <m:ctrlPr>
                                            <w:rPr>
                                              <w:rFonts w:ascii="Cambria Math" w:hAnsi="Cambria Math" w:cs="Arial"/>
                                              <w:i/>
                                              <w:color w:val="000000" w:themeColor="text1"/>
                                              <w:lang w:val="en-US"/>
                                            </w:rPr>
                                          </m:ctrlPr>
                                        </m:fPr>
                                        <m:num>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it</m:t>
                                              </m:r>
                                            </m:sub>
                                          </m:sSub>
                                        </m:num>
                                        <m:den>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 December(t-1)</m:t>
                                              </m:r>
                                            </m:sub>
                                          </m:sSub>
                                        </m:den>
                                      </m:f>
                                      <m:r>
                                        <w:rPr>
                                          <w:rFonts w:ascii="Cambria Math" w:hAnsi="Cambria Math" w:cs="Arial"/>
                                          <w:color w:val="000000" w:themeColor="text1"/>
                                          <w:lang w:val="en-US"/>
                                        </w:rPr>
                                        <m:t>×</m:t>
                                      </m:r>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β</m:t>
                                          </m:r>
                                        </m:e>
                                        <m:sub>
                                          <m:r>
                                            <w:rPr>
                                              <w:rFonts w:ascii="Cambria Math" w:hAnsi="Cambria Math" w:cs="Arial"/>
                                              <w:color w:val="000000" w:themeColor="text1"/>
                                              <w:lang w:val="en-US"/>
                                            </w:rPr>
                                            <m:t>i</m:t>
                                          </m:r>
                                        </m:sub>
                                      </m:sSub>
                                    </m:e>
                                  </m:nary>
                                </m:e>
                              </m:d>
                            </m:oMath>
                            <w:r w:rsidRPr="00B82C1A">
                              <w:rPr>
                                <w:rFonts w:cstheme="minorHAnsi"/>
                                <w:color w:val="000000" w:themeColor="text1"/>
                                <w:lang w:val="en-US"/>
                              </w:rPr>
                              <w:t>×</w:t>
                            </w: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December(t-1)</m:t>
                                  </m:r>
                                </m:sub>
                              </m:sSub>
                            </m:oMath>
                            <w:r w:rsidRPr="00B82C1A">
                              <w:rPr>
                                <w:rFonts w:cs="Arial"/>
                                <w:color w:val="000000" w:themeColor="text1"/>
                                <w:vertAlign w:val="subscript"/>
                                <w:lang w:val="en-US"/>
                              </w:rPr>
                              <w:t xml:space="preserve">  </w:t>
                            </w:r>
                            <w:r w:rsidRPr="00B82C1A">
                              <w:rPr>
                                <w:rFonts w:cs="Arial"/>
                                <w:color w:val="000000" w:themeColor="text1"/>
                                <w:lang w:val="en-US"/>
                              </w:rPr>
                              <w:t xml:space="preserve"> = 1,10 x 507,4 = 560,6</w:t>
                            </w:r>
                          </w:p>
                          <w:p w14:paraId="3A78F0A8" w14:textId="77777777" w:rsidR="00156D1F" w:rsidRPr="00A32CCD" w:rsidRDefault="00156D1F" w:rsidP="00B82C1A">
                            <w:pPr>
                              <w:tabs>
                                <w:tab w:val="left" w:pos="0"/>
                              </w:tabs>
                              <w:spacing w:after="0"/>
                              <w:ind w:right="35"/>
                            </w:pPr>
                          </w:p>
                          <w:p w14:paraId="4CB51D18" w14:textId="77777777" w:rsidR="00156D1F" w:rsidRPr="00A32CCD" w:rsidRDefault="00156D1F" w:rsidP="00B82C1A">
                            <w:pPr>
                              <w:tabs>
                                <w:tab w:val="left" w:pos="0"/>
                              </w:tabs>
                              <w:spacing w:after="0"/>
                              <w:ind w:right="35"/>
                            </w:pPr>
                          </w:p>
                          <w:p w14:paraId="5B2A072C" w14:textId="77777777" w:rsidR="00156D1F" w:rsidRPr="00A32CCD" w:rsidRDefault="00156D1F" w:rsidP="00B82C1A">
                            <w:pPr>
                              <w:tabs>
                                <w:tab w:val="left" w:pos="0"/>
                              </w:tabs>
                              <w:spacing w:after="0"/>
                              <w:ind w:right="35"/>
                            </w:pPr>
                          </w:p>
                          <w:p w14:paraId="7661FA93" w14:textId="77777777" w:rsidR="00156D1F" w:rsidRPr="00A32CCD" w:rsidRDefault="00156D1F" w:rsidP="00B82C1A">
                            <w:pPr>
                              <w:tabs>
                                <w:tab w:val="left" w:pos="0"/>
                              </w:tabs>
                              <w:spacing w:after="0"/>
                              <w:ind w:right="35"/>
                            </w:pPr>
                          </w:p>
                          <w:p w14:paraId="27D6C035" w14:textId="77777777" w:rsidR="00156D1F" w:rsidRPr="00A32CCD" w:rsidRDefault="00156D1F" w:rsidP="00B82C1A">
                            <w:pPr>
                              <w:tabs>
                                <w:tab w:val="left" w:pos="0"/>
                              </w:tabs>
                              <w:spacing w:after="0"/>
                              <w:ind w:right="35"/>
                            </w:pPr>
                          </w:p>
                          <w:p w14:paraId="74986CD2" w14:textId="77777777" w:rsidR="00156D1F" w:rsidRPr="00A32CCD" w:rsidRDefault="00156D1F" w:rsidP="00B82C1A">
                            <w:pPr>
                              <w:tabs>
                                <w:tab w:val="left" w:pos="0"/>
                              </w:tabs>
                              <w:spacing w:after="0"/>
                              <w:ind w:right="35"/>
                            </w:pPr>
                          </w:p>
                          <w:p w14:paraId="16939DA4" w14:textId="77777777" w:rsidR="00156D1F" w:rsidRPr="00A32CCD" w:rsidRDefault="00156D1F" w:rsidP="00B82C1A">
                            <w:pPr>
                              <w:tabs>
                                <w:tab w:val="left" w:pos="0"/>
                              </w:tabs>
                              <w:spacing w:after="0"/>
                              <w:ind w:right="35"/>
                            </w:pPr>
                          </w:p>
                          <w:p w14:paraId="38135F0A" w14:textId="77777777" w:rsidR="00156D1F" w:rsidRPr="00A32CCD" w:rsidRDefault="00156D1F" w:rsidP="00B82C1A">
                            <w:pPr>
                              <w:tabs>
                                <w:tab w:val="left" w:pos="0"/>
                              </w:tabs>
                              <w:spacing w:after="0"/>
                              <w:ind w:right="35"/>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800" id="Text Box 21" o:spid="_x0000_s1028" type="#_x0000_t202" style="position:absolute;left:0;text-align:left;margin-left:14.4pt;margin-top:96.75pt;width:569.75pt;height:67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5UMAIAAFoEAAAOAAAAZHJzL2Uyb0RvYy54bWysVNuO2yAQfa/Uf0C8N07c3NaKs9pmm6rS&#10;9iLt9gMwxjEqMBRI7PTrd8BJmt5eqvoBATOcmTlnxqvbXityEM5LMCWdjMaUCMOhlmZX0i9P21dL&#10;SnxgpmYKjCjpUXh6u375YtXZQuTQgqqFIwhifNHZkrYh2CLLPG+FZn4EVhg0NuA0C3h0u6x2rEN0&#10;rbJ8PJ5nHbjaOuDCe7y9H4x0nfCbRvDwqWm8CESVFHMLaXVpreKarVes2DlmW8lPabB/yEIzaTDo&#10;BeqeBUb2Tv4GpSV34KEJIw46g6aRXKQasJrJ+JdqHltmRaoFyfH2QpP/f7D84+GzI7IuaT6hxDCN&#10;Gj2JPpA30BO8Qn466wt0e7ToGHq8R51Trd4+AP/qiYFNy8xO3DkHXStYjfmll9nV0wHHR5Cq+wA1&#10;xmH7AAmob5yO5CEdBNFRp+NFm5gLx8tF/no2Xy4o4WhbzvPpPE/qZaw4P7fOh3cCNImbkjoUP8Gz&#10;w4MPWAi6nl1iNA9K1lupVDq4XbVRjhwYNso2fbF2fPKTmzKkK+nNLJ8NDPwVYpy+P0FoGbDjldRY&#10;xsWJFZG3t6ZO/RiYVMMe4yuDaUQiI3cDi6Gv+kGzsz4V1Edk1sHQ4DiQuGnBfaekw+Yuqf+2Z05Q&#10;ot4bVOdmMp3GaUiH6WyBVBJ3bamuLcxwhCppoGTYbsIwQXvr5K7FSEM/GLhDRRuZuI4ZD1md0scG&#10;Tnyehi1OyPU5ef34JayfAQAA//8DAFBLAwQUAAYACAAAACEA3ZI1+uIAAAAMAQAADwAAAGRycy9k&#10;b3ducmV2LnhtbEyPwU7DMBBE70j8g7VIXBB10pA0DXEqhASCGxQEVzd2kwh7HWw3DX/P9gS33dnR&#10;zNt6M1vDJu3D4FBAukiAaWydGrAT8P72cF0CC1GiksahFvCjA2ya87NaVsod8VVP29gxCsFQSQF9&#10;jGPFeWh7bWVYuFEj3fbOWxlp9R1XXh4p3Bq+TJKCWzkgNfRy1Pe9br+2ByugvHmaPsNz9vLRFnuz&#10;jler6fHbC3F5Md/dAot6jn9mOOETOjTEtHMHVIEZAcuSyCPp6ywHdjKkRZkB29GU5+kKeFPz/080&#10;vwAAAP//AwBQSwECLQAUAAYACAAAACEAtoM4kv4AAADhAQAAEwAAAAAAAAAAAAAAAAAAAAAAW0Nv&#10;bnRlbnRfVHlwZXNdLnhtbFBLAQItABQABgAIAAAAIQA4/SH/1gAAAJQBAAALAAAAAAAAAAAAAAAA&#10;AC8BAABfcmVscy8ucmVsc1BLAQItABQABgAIAAAAIQCTID5UMAIAAFoEAAAOAAAAAAAAAAAAAAAA&#10;AC4CAABkcnMvZTJvRG9jLnhtbFBLAQItABQABgAIAAAAIQDdkjX64gAAAAwBAAAPAAAAAAAAAAAA&#10;AAAAAIoEAABkcnMvZG93bnJldi54bWxQSwUGAAAAAAQABADzAAAAmQUAAAAA&#10;">
                <v:textbox>
                  <w:txbxContent>
                    <w:p w14:paraId="4CE54B96" w14:textId="77777777" w:rsidR="00156D1F" w:rsidRPr="00A32CCD" w:rsidRDefault="00156D1F" w:rsidP="00B82C1A">
                      <w:pPr>
                        <w:tabs>
                          <w:tab w:val="left" w:pos="0"/>
                        </w:tabs>
                        <w:spacing w:after="0"/>
                        <w:ind w:right="35"/>
                        <w:jc w:val="both"/>
                        <w:rPr>
                          <w:rFonts w:ascii="Arial" w:hAnsi="Arial" w:cs="Arial"/>
                          <w:sz w:val="20"/>
                          <w:szCs w:val="20"/>
                        </w:rPr>
                      </w:pPr>
                    </w:p>
                    <w:p w14:paraId="1391913C" w14:textId="05CC50B0" w:rsidR="00156D1F" w:rsidRPr="00B82C1A" w:rsidRDefault="00156D1F" w:rsidP="00B82C1A">
                      <w:pPr>
                        <w:tabs>
                          <w:tab w:val="left" w:pos="426"/>
                        </w:tabs>
                        <w:spacing w:after="0"/>
                        <w:ind w:left="425" w:right="669"/>
                        <w:jc w:val="both"/>
                        <w:rPr>
                          <w:rFonts w:cs="Arial"/>
                          <w:color w:val="000000" w:themeColor="text1"/>
                          <w:lang w:val="en-US"/>
                        </w:rPr>
                      </w:pPr>
                      <w:r w:rsidRPr="00B82C1A">
                        <w:rPr>
                          <w:rFonts w:cs="Arial"/>
                          <w:color w:val="000000" w:themeColor="text1"/>
                          <w:lang w:val="en-US"/>
                        </w:rPr>
                        <w:t>We followed TurkStat’s methodology in calculating the price indexes of different expenditure groups. Choosing 2003 as the base year (2003=100) and weighting indices of sub-groups by deciles, we calculated a price index for each group. We used weights of expenditure groups calculated by B</w:t>
                      </w:r>
                      <w:r>
                        <w:rPr>
                          <w:rFonts w:cs="Arial"/>
                          <w:color w:val="000000" w:themeColor="text1"/>
                          <w:lang w:val="en-US"/>
                        </w:rPr>
                        <w:t>etam</w:t>
                      </w:r>
                      <w:r w:rsidRPr="00B82C1A">
                        <w:rPr>
                          <w:rFonts w:cs="Arial"/>
                          <w:color w:val="000000" w:themeColor="text1"/>
                          <w:lang w:val="en-US"/>
                        </w:rPr>
                        <w:t xml:space="preserve"> for years between 2003 and 2019. However, we used weights of 2019 for the last 19 months since Household Budget Survey micro data for 2020 and 2021 are not available. </w:t>
                      </w:r>
                    </w:p>
                    <w:p w14:paraId="527D792C" w14:textId="77777777" w:rsidR="00156D1F" w:rsidRPr="00B82C1A" w:rsidRDefault="00156D1F" w:rsidP="00B82C1A">
                      <w:pPr>
                        <w:tabs>
                          <w:tab w:val="left" w:pos="426"/>
                        </w:tabs>
                        <w:spacing w:after="0"/>
                        <w:ind w:left="425" w:right="669"/>
                        <w:rPr>
                          <w:rFonts w:cs="Arial"/>
                          <w:color w:val="000000" w:themeColor="text1"/>
                          <w:highlight w:val="yellow"/>
                          <w:lang w:val="en-US"/>
                        </w:rPr>
                      </w:pPr>
                    </w:p>
                    <w:p w14:paraId="329E66AD" w14:textId="77777777" w:rsidR="00156D1F" w:rsidRPr="00B82C1A" w:rsidRDefault="00156D1F" w:rsidP="00B82C1A">
                      <w:pPr>
                        <w:tabs>
                          <w:tab w:val="left" w:pos="426"/>
                        </w:tabs>
                        <w:spacing w:after="0"/>
                        <w:ind w:left="425" w:right="669"/>
                        <w:jc w:val="both"/>
                        <w:rPr>
                          <w:rFonts w:cs="Arial"/>
                          <w:color w:val="000000" w:themeColor="text1"/>
                          <w:lang w:val="en-US"/>
                        </w:rPr>
                      </w:pPr>
                      <w:r w:rsidRPr="00B82C1A">
                        <w:rPr>
                          <w:rFonts w:cs="Arial"/>
                          <w:color w:val="000000" w:themeColor="text1"/>
                          <w:lang w:val="en-US"/>
                        </w:rPr>
                        <w:t>We used Laspeyres formula to measure price indexes of each group. We modified the formula, which we present below, to separately calculate the inflation rates of the poorest and the richest.</w:t>
                      </w:r>
                    </w:p>
                    <w:p w14:paraId="01D5BE96" w14:textId="77777777" w:rsidR="00156D1F" w:rsidRPr="00B82C1A" w:rsidRDefault="00156D1F" w:rsidP="00B82C1A">
                      <w:pPr>
                        <w:tabs>
                          <w:tab w:val="left" w:pos="0"/>
                        </w:tabs>
                        <w:spacing w:after="0"/>
                        <w:ind w:right="35"/>
                        <w:jc w:val="both"/>
                        <w:rPr>
                          <w:rFonts w:cs="Arial"/>
                          <w:color w:val="000000" w:themeColor="text1"/>
                          <w:lang w:val="en-US"/>
                        </w:rPr>
                      </w:pPr>
                    </w:p>
                    <w:tbl>
                      <w:tblPr>
                        <w:tblStyle w:val="TableGrid"/>
                        <w:tblW w:w="0" w:type="auto"/>
                        <w:tblInd w:w="-5" w:type="dxa"/>
                        <w:tblLook w:val="04A0" w:firstRow="1" w:lastRow="0" w:firstColumn="1" w:lastColumn="0" w:noHBand="0" w:noVBand="1"/>
                      </w:tblPr>
                      <w:tblGrid>
                        <w:gridCol w:w="4927"/>
                        <w:gridCol w:w="4961"/>
                      </w:tblGrid>
                      <w:tr w:rsidR="00156D1F" w:rsidRPr="00B82C1A" w14:paraId="170368DF" w14:textId="77777777" w:rsidTr="008C05D3">
                        <w:trPr>
                          <w:trHeight w:hRule="exact" w:val="680"/>
                        </w:trPr>
                        <w:tc>
                          <w:tcPr>
                            <w:tcW w:w="4927" w:type="dxa"/>
                          </w:tcPr>
                          <w:p w14:paraId="7FFD3BC2" w14:textId="16B3E60C" w:rsidR="00156D1F" w:rsidRPr="00B82C1A" w:rsidRDefault="00156D1F" w:rsidP="008C05D3">
                            <w:pPr>
                              <w:tabs>
                                <w:tab w:val="left" w:pos="426"/>
                              </w:tabs>
                              <w:ind w:left="426" w:right="668"/>
                              <w:rPr>
                                <w:rFonts w:cs="Arial"/>
                                <w:color w:val="000000" w:themeColor="text1"/>
                                <w:lang w:val="en-US"/>
                              </w:rPr>
                            </w:pPr>
                            <w:r w:rsidRPr="00B82C1A">
                              <w:rPr>
                                <w:rFonts w:cs="Arial"/>
                                <w:color w:val="000000" w:themeColor="text1"/>
                                <w:lang w:val="en-US"/>
                              </w:rPr>
                              <w:t xml:space="preserve">Inflation of the poorest </w:t>
                            </w:r>
                            <w:r w:rsidR="00DF50EF">
                              <w:rPr>
                                <w:rFonts w:cs="Arial"/>
                                <w:color w:val="000000" w:themeColor="text1"/>
                                <w:lang w:val="en-US"/>
                              </w:rPr>
                              <w:t xml:space="preserve">expenditure </w:t>
                            </w:r>
                            <w:r w:rsidRPr="00B82C1A">
                              <w:rPr>
                                <w:rFonts w:cs="Arial"/>
                                <w:color w:val="000000" w:themeColor="text1"/>
                                <w:lang w:val="en-US"/>
                              </w:rPr>
                              <w:t>group</w:t>
                            </w:r>
                          </w:p>
                          <w:p w14:paraId="30EA7552" w14:textId="77777777" w:rsidR="00156D1F" w:rsidRPr="00B82C1A" w:rsidRDefault="00156D1F" w:rsidP="008C05D3">
                            <w:pPr>
                              <w:tabs>
                                <w:tab w:val="left" w:pos="0"/>
                              </w:tabs>
                              <w:spacing w:line="276" w:lineRule="auto"/>
                              <w:ind w:right="35"/>
                              <w:rPr>
                                <w:rFonts w:cs="Arial"/>
                                <w:b/>
                                <w:color w:val="000000" w:themeColor="text1"/>
                                <w:u w:val="single"/>
                                <w:lang w:val="en-US"/>
                              </w:rPr>
                            </w:pPr>
                          </w:p>
                        </w:tc>
                        <w:tc>
                          <w:tcPr>
                            <w:tcW w:w="4961" w:type="dxa"/>
                          </w:tcPr>
                          <w:p w14:paraId="2DA38E4D" w14:textId="176A4604" w:rsidR="00156D1F" w:rsidRPr="00B82C1A" w:rsidRDefault="00156D1F" w:rsidP="008C05D3">
                            <w:pPr>
                              <w:tabs>
                                <w:tab w:val="left" w:pos="426"/>
                              </w:tabs>
                              <w:ind w:left="426" w:right="668"/>
                              <w:rPr>
                                <w:rFonts w:cs="Arial"/>
                                <w:color w:val="000000" w:themeColor="text1"/>
                                <w:lang w:val="en-US"/>
                              </w:rPr>
                            </w:pPr>
                            <w:r w:rsidRPr="00B82C1A">
                              <w:rPr>
                                <w:rFonts w:cs="Arial"/>
                                <w:color w:val="000000" w:themeColor="text1"/>
                                <w:lang w:val="en-US"/>
                              </w:rPr>
                              <w:t xml:space="preserve">Inflation of the richest </w:t>
                            </w:r>
                            <w:r w:rsidR="0063031B">
                              <w:rPr>
                                <w:rFonts w:cs="Arial"/>
                                <w:lang w:val="en-US"/>
                              </w:rPr>
                              <w:t>expenditure</w:t>
                            </w:r>
                            <w:r w:rsidRPr="00B82C1A">
                              <w:rPr>
                                <w:rFonts w:cs="Arial"/>
                                <w:color w:val="000000" w:themeColor="text1"/>
                                <w:lang w:val="en-US"/>
                              </w:rPr>
                              <w:t xml:space="preserve"> group</w:t>
                            </w:r>
                          </w:p>
                          <w:p w14:paraId="7696ECB2" w14:textId="77777777" w:rsidR="00156D1F" w:rsidRPr="00B82C1A" w:rsidRDefault="00156D1F" w:rsidP="008C05D3">
                            <w:pPr>
                              <w:tabs>
                                <w:tab w:val="left" w:pos="0"/>
                              </w:tabs>
                              <w:spacing w:line="276" w:lineRule="auto"/>
                              <w:ind w:right="35"/>
                              <w:rPr>
                                <w:rFonts w:cs="Arial"/>
                                <w:b/>
                                <w:color w:val="000000" w:themeColor="text1"/>
                                <w:u w:val="single"/>
                                <w:lang w:val="en-US"/>
                              </w:rPr>
                            </w:pPr>
                          </w:p>
                        </w:tc>
                      </w:tr>
                      <w:tr w:rsidR="00156D1F" w:rsidRPr="00B82C1A" w14:paraId="27604DF6" w14:textId="77777777" w:rsidTr="008C05D3">
                        <w:trPr>
                          <w:trHeight w:hRule="exact" w:val="680"/>
                        </w:trPr>
                        <w:tc>
                          <w:tcPr>
                            <w:tcW w:w="4927" w:type="dxa"/>
                          </w:tcPr>
                          <w:p w14:paraId="78DADE64" w14:textId="77777777" w:rsidR="00156D1F" w:rsidRPr="00B82C1A" w:rsidRDefault="00156D1F" w:rsidP="008C05D3">
                            <w:pPr>
                              <w:tabs>
                                <w:tab w:val="left" w:pos="0"/>
                              </w:tabs>
                              <w:spacing w:line="276" w:lineRule="auto"/>
                              <w:ind w:right="35"/>
                              <w:rPr>
                                <w:rFonts w:cs="Arial"/>
                                <w:b/>
                                <w:color w:val="000000" w:themeColor="text1"/>
                                <w:u w:val="single"/>
                                <w:lang w:val="en-US"/>
                              </w:rPr>
                            </w:pPr>
                            <w:r w:rsidRPr="00B82C1A">
                              <w:rPr>
                                <w:rFonts w:cs="Arial"/>
                                <w:color w:val="000000" w:themeColor="text1"/>
                                <w:lang w:val="en-US"/>
                              </w:rPr>
                              <w:t>E</w:t>
                            </w:r>
                            <w:r w:rsidRPr="00B82C1A">
                              <w:rPr>
                                <w:rFonts w:cs="Arial"/>
                                <w:color w:val="000000" w:themeColor="text1"/>
                                <w:vertAlign w:val="subscript"/>
                                <w:lang w:val="en-US"/>
                              </w:rPr>
                              <w:t>t</w:t>
                            </w:r>
                            <w:r w:rsidRPr="00B82C1A">
                              <w:rPr>
                                <w:rFonts w:cs="Arial"/>
                                <w:color w:val="000000" w:themeColor="text1"/>
                                <w:lang w:val="en-US"/>
                              </w:rPr>
                              <w:t xml:space="preserve"> / E</w:t>
                            </w:r>
                            <w:r w:rsidRPr="00B82C1A">
                              <w:rPr>
                                <w:rFonts w:cs="Arial"/>
                                <w:color w:val="000000" w:themeColor="text1"/>
                                <w:vertAlign w:val="subscript"/>
                                <w:lang w:val="en-US"/>
                              </w:rPr>
                              <w:t xml:space="preserve">December(t-1)  </w:t>
                            </w:r>
                            <w:r w:rsidRPr="00B82C1A">
                              <w:rPr>
                                <w:rFonts w:cs="Arial"/>
                                <w:color w:val="000000" w:themeColor="text1"/>
                                <w:lang w:val="en-US"/>
                              </w:rPr>
                              <w:t xml:space="preserve">= </w:t>
                            </w:r>
                            <w:r w:rsidRPr="00B82C1A">
                              <w:rPr>
                                <w:rFonts w:cs="Arial"/>
                                <w:noProof/>
                                <w:color w:val="000000" w:themeColor="text1"/>
                                <w:position w:val="-28"/>
                                <w:lang w:val="en-US"/>
                              </w:rPr>
                              <w:object w:dxaOrig="440" w:dyaOrig="740" w14:anchorId="289919AE">
                                <v:shape id="_x0000_i1026" type="#_x0000_t75" alt="" style="width:22pt;height:37pt;mso-width-percent:0;mso-height-percent:0;mso-width-percent:0;mso-height-percent:0">
                                  <v:imagedata r:id="rId19" o:title=""/>
                                </v:shape>
                                <o:OLEObject Type="Embed" ProgID="Equation.3" ShapeID="_x0000_i1026" DrawAspect="Content" ObjectID="_1693771325" r:id="rId22"/>
                              </w:object>
                            </w:r>
                            <w:r w:rsidRPr="00B82C1A">
                              <w:rPr>
                                <w:rFonts w:cs="Arial"/>
                                <w:color w:val="000000" w:themeColor="text1"/>
                                <w:lang w:val="en-US"/>
                              </w:rPr>
                              <w:t>E</w:t>
                            </w:r>
                            <w:r w:rsidRPr="00B82C1A">
                              <w:rPr>
                                <w:rFonts w:cs="Arial"/>
                                <w:color w:val="000000" w:themeColor="text1"/>
                                <w:vertAlign w:val="subscript"/>
                                <w:lang w:val="en-US"/>
                              </w:rPr>
                              <w:t>it</w:t>
                            </w:r>
                            <w:r w:rsidRPr="00B82C1A">
                              <w:rPr>
                                <w:rFonts w:cs="Arial"/>
                                <w:color w:val="000000" w:themeColor="text1"/>
                                <w:lang w:val="en-US"/>
                              </w:rPr>
                              <w:t xml:space="preserve"> / E</w:t>
                            </w:r>
                            <w:r w:rsidRPr="00B82C1A">
                              <w:rPr>
                                <w:rFonts w:cs="Arial"/>
                                <w:color w:val="000000" w:themeColor="text1"/>
                                <w:vertAlign w:val="subscript"/>
                                <w:lang w:val="en-US"/>
                              </w:rPr>
                              <w:t xml:space="preserve">i December (t-1) </w:t>
                            </w:r>
                            <w:r w:rsidRPr="00B82C1A">
                              <w:rPr>
                                <w:rFonts w:cs="Arial"/>
                                <w:color w:val="000000" w:themeColor="text1"/>
                                <w:lang w:val="en-US"/>
                              </w:rPr>
                              <w:t xml:space="preserve">x </w:t>
                            </w:r>
                            <w:r w:rsidRPr="00B82C1A">
                              <w:rPr>
                                <w:rFonts w:ascii="Calibri" w:hAnsi="Calibri" w:cs="Arial"/>
                                <w:color w:val="000000" w:themeColor="text1"/>
                                <w:lang w:val="en-US"/>
                              </w:rPr>
                              <w:t>α</w:t>
                            </w:r>
                            <w:r w:rsidRPr="00B82C1A">
                              <w:rPr>
                                <w:rFonts w:cs="Arial"/>
                                <w:color w:val="000000" w:themeColor="text1"/>
                                <w:vertAlign w:val="subscript"/>
                                <w:lang w:val="en-US"/>
                              </w:rPr>
                              <w:t xml:space="preserve">it </w:t>
                            </w:r>
                          </w:p>
                        </w:tc>
                        <w:tc>
                          <w:tcPr>
                            <w:tcW w:w="4961" w:type="dxa"/>
                          </w:tcPr>
                          <w:p w14:paraId="7F92A90C" w14:textId="77777777" w:rsidR="00156D1F" w:rsidRPr="00B82C1A" w:rsidRDefault="00156D1F" w:rsidP="008C05D3">
                            <w:pPr>
                              <w:tabs>
                                <w:tab w:val="left" w:pos="0"/>
                              </w:tabs>
                              <w:spacing w:line="276" w:lineRule="auto"/>
                              <w:ind w:right="35"/>
                              <w:rPr>
                                <w:rFonts w:cs="Arial"/>
                                <w:color w:val="000000" w:themeColor="text1"/>
                                <w:vertAlign w:val="subscript"/>
                                <w:lang w:val="en-US"/>
                              </w:rPr>
                            </w:pPr>
                            <w:r w:rsidRPr="00B82C1A">
                              <w:rPr>
                                <w:rFonts w:cs="Arial"/>
                                <w:color w:val="000000" w:themeColor="text1"/>
                                <w:lang w:val="en-US"/>
                              </w:rPr>
                              <w:t>E</w:t>
                            </w:r>
                            <w:r w:rsidRPr="00B82C1A">
                              <w:rPr>
                                <w:rFonts w:cs="Arial"/>
                                <w:color w:val="000000" w:themeColor="text1"/>
                                <w:vertAlign w:val="subscript"/>
                                <w:lang w:val="en-US"/>
                              </w:rPr>
                              <w:t>t</w:t>
                            </w:r>
                            <w:r w:rsidRPr="00B82C1A">
                              <w:rPr>
                                <w:rFonts w:cs="Arial"/>
                                <w:color w:val="000000" w:themeColor="text1"/>
                                <w:lang w:val="en-US"/>
                              </w:rPr>
                              <w:t xml:space="preserve"> / E</w:t>
                            </w:r>
                            <w:r w:rsidRPr="00B82C1A">
                              <w:rPr>
                                <w:rFonts w:cs="Arial"/>
                                <w:color w:val="000000" w:themeColor="text1"/>
                                <w:vertAlign w:val="subscript"/>
                                <w:lang w:val="en-US"/>
                              </w:rPr>
                              <w:t xml:space="preserve">December(t-1)  </w:t>
                            </w:r>
                            <w:r w:rsidRPr="00B82C1A">
                              <w:rPr>
                                <w:rFonts w:cs="Arial"/>
                                <w:color w:val="000000" w:themeColor="text1"/>
                                <w:lang w:val="en-US"/>
                              </w:rPr>
                              <w:t xml:space="preserve">= </w:t>
                            </w:r>
                            <w:r w:rsidRPr="00B82C1A">
                              <w:rPr>
                                <w:rFonts w:cs="Arial"/>
                                <w:noProof/>
                                <w:color w:val="000000" w:themeColor="text1"/>
                                <w:position w:val="-28"/>
                                <w:lang w:val="en-US"/>
                              </w:rPr>
                              <w:object w:dxaOrig="440" w:dyaOrig="740" w14:anchorId="147AFA69">
                                <v:shape id="_x0000_i1028" type="#_x0000_t75" alt="" style="width:22pt;height:37pt;mso-width-percent:0;mso-height-percent:0;mso-width-percent:0;mso-height-percent:0">
                                  <v:imagedata r:id="rId19" o:title=""/>
                                </v:shape>
                                <o:OLEObject Type="Embed" ProgID="Equation.3" ShapeID="_x0000_i1028" DrawAspect="Content" ObjectID="_1693771326" r:id="rId23"/>
                              </w:object>
                            </w:r>
                            <w:r w:rsidRPr="00B82C1A">
                              <w:rPr>
                                <w:rFonts w:cs="Arial"/>
                                <w:color w:val="000000" w:themeColor="text1"/>
                                <w:lang w:val="en-US"/>
                              </w:rPr>
                              <w:t>E</w:t>
                            </w:r>
                            <w:r w:rsidRPr="00B82C1A">
                              <w:rPr>
                                <w:rFonts w:cs="Arial"/>
                                <w:color w:val="000000" w:themeColor="text1"/>
                                <w:vertAlign w:val="subscript"/>
                                <w:lang w:val="en-US"/>
                              </w:rPr>
                              <w:t>it</w:t>
                            </w:r>
                            <w:r w:rsidRPr="00B82C1A">
                              <w:rPr>
                                <w:rFonts w:cs="Arial"/>
                                <w:color w:val="000000" w:themeColor="text1"/>
                                <w:lang w:val="en-US"/>
                              </w:rPr>
                              <w:t xml:space="preserve"> / E</w:t>
                            </w:r>
                            <w:r w:rsidRPr="00B82C1A">
                              <w:rPr>
                                <w:rFonts w:cs="Arial"/>
                                <w:color w:val="000000" w:themeColor="text1"/>
                                <w:vertAlign w:val="subscript"/>
                                <w:lang w:val="en-US"/>
                              </w:rPr>
                              <w:t xml:space="preserve">i December (t-1) </w:t>
                            </w:r>
                            <w:r w:rsidRPr="00B82C1A">
                              <w:rPr>
                                <w:rFonts w:cs="Arial"/>
                                <w:color w:val="000000" w:themeColor="text1"/>
                                <w:lang w:val="en-US"/>
                              </w:rPr>
                              <w:t xml:space="preserve">x </w:t>
                            </w:r>
                            <w:r w:rsidRPr="00B82C1A">
                              <w:rPr>
                                <w:rFonts w:ascii="Calibri" w:hAnsi="Calibri" w:cs="Arial"/>
                                <w:color w:val="000000" w:themeColor="text1"/>
                                <w:lang w:val="en-US"/>
                              </w:rPr>
                              <w:t>β</w:t>
                            </w:r>
                            <w:r w:rsidRPr="00B82C1A">
                              <w:rPr>
                                <w:rFonts w:cs="Arial"/>
                                <w:color w:val="000000" w:themeColor="text1"/>
                                <w:vertAlign w:val="subscript"/>
                                <w:lang w:val="en-US"/>
                              </w:rPr>
                              <w:t>it</w:t>
                            </w:r>
                          </w:p>
                          <w:p w14:paraId="386C21FA" w14:textId="77777777" w:rsidR="00156D1F" w:rsidRPr="00B82C1A" w:rsidRDefault="00156D1F" w:rsidP="008C05D3">
                            <w:pPr>
                              <w:tabs>
                                <w:tab w:val="left" w:pos="0"/>
                              </w:tabs>
                              <w:spacing w:line="276" w:lineRule="auto"/>
                              <w:ind w:right="35"/>
                              <w:rPr>
                                <w:rFonts w:cs="Arial"/>
                                <w:b/>
                                <w:color w:val="000000" w:themeColor="text1"/>
                                <w:u w:val="single"/>
                                <w:lang w:val="en-US"/>
                              </w:rPr>
                            </w:pPr>
                          </w:p>
                        </w:tc>
                      </w:tr>
                    </w:tbl>
                    <w:p w14:paraId="349B9D8D" w14:textId="77777777" w:rsidR="00156D1F" w:rsidRPr="00B82C1A" w:rsidRDefault="00156D1F" w:rsidP="00B82C1A">
                      <w:pPr>
                        <w:tabs>
                          <w:tab w:val="left" w:pos="0"/>
                        </w:tabs>
                        <w:spacing w:after="0"/>
                        <w:ind w:right="35"/>
                        <w:rPr>
                          <w:rFonts w:cs="Arial"/>
                          <w:color w:val="000000" w:themeColor="text1"/>
                          <w:lang w:val="en-US"/>
                        </w:rPr>
                      </w:pPr>
                    </w:p>
                    <w:p w14:paraId="50F7F321" w14:textId="77777777" w:rsidR="00156D1F" w:rsidRPr="00B82C1A" w:rsidRDefault="00156D1F" w:rsidP="00B82C1A">
                      <w:pPr>
                        <w:tabs>
                          <w:tab w:val="left" w:pos="426"/>
                        </w:tabs>
                        <w:spacing w:after="0"/>
                        <w:ind w:left="426" w:right="668"/>
                        <w:rPr>
                          <w:rFonts w:cs="Arial"/>
                          <w:color w:val="000000" w:themeColor="text1"/>
                          <w:lang w:val="en-US"/>
                        </w:rPr>
                      </w:pPr>
                      <w:r w:rsidRPr="00B82C1A">
                        <w:rPr>
                          <w:rFonts w:cs="Arial"/>
                          <w:color w:val="000000" w:themeColor="text1"/>
                          <w:lang w:val="en-US"/>
                        </w:rPr>
                        <w:t>E</w:t>
                      </w:r>
                      <w:r w:rsidRPr="00B82C1A">
                        <w:rPr>
                          <w:rFonts w:cs="Arial"/>
                          <w:color w:val="000000" w:themeColor="text1"/>
                          <w:vertAlign w:val="subscript"/>
                          <w:lang w:val="en-US"/>
                        </w:rPr>
                        <w:t>t</w:t>
                      </w:r>
                      <w:r w:rsidRPr="00B82C1A">
                        <w:rPr>
                          <w:rFonts w:cs="Arial"/>
                          <w:color w:val="000000" w:themeColor="text1"/>
                          <w:lang w:val="en-US"/>
                        </w:rPr>
                        <w:t>: Index at time t</w:t>
                      </w:r>
                    </w:p>
                    <w:p w14:paraId="533708B6" w14:textId="77777777" w:rsidR="00156D1F" w:rsidRPr="00B82C1A" w:rsidRDefault="00156D1F" w:rsidP="00B82C1A">
                      <w:pPr>
                        <w:tabs>
                          <w:tab w:val="left" w:pos="426"/>
                        </w:tabs>
                        <w:spacing w:after="0"/>
                        <w:ind w:left="426" w:right="668"/>
                        <w:rPr>
                          <w:rFonts w:cs="Arial"/>
                          <w:noProof/>
                          <w:color w:val="000000" w:themeColor="text1"/>
                          <w:lang w:val="en-US"/>
                        </w:rPr>
                      </w:pPr>
                      <w:r w:rsidRPr="00B82C1A">
                        <w:rPr>
                          <w:rFonts w:cs="Arial"/>
                          <w:noProof/>
                          <w:color w:val="000000" w:themeColor="text1"/>
                          <w:lang w:val="en-US"/>
                        </w:rPr>
                        <w:t>E</w:t>
                      </w:r>
                      <w:r w:rsidRPr="00B82C1A">
                        <w:rPr>
                          <w:rFonts w:cs="Arial"/>
                          <w:noProof/>
                          <w:color w:val="000000" w:themeColor="text1"/>
                          <w:vertAlign w:val="subscript"/>
                          <w:lang w:val="en-US"/>
                        </w:rPr>
                        <w:t>December(t-1)</w:t>
                      </w:r>
                      <w:r w:rsidRPr="00B82C1A">
                        <w:rPr>
                          <w:rFonts w:cs="Arial"/>
                          <w:noProof/>
                          <w:color w:val="000000" w:themeColor="text1"/>
                          <w:lang w:val="en-US"/>
                        </w:rPr>
                        <w:t xml:space="preserve">: Index at December (t-1) </w:t>
                      </w:r>
                    </w:p>
                    <w:p w14:paraId="01561227" w14:textId="77777777" w:rsidR="00156D1F" w:rsidRPr="00B82C1A" w:rsidRDefault="00156D1F" w:rsidP="00B82C1A">
                      <w:pPr>
                        <w:spacing w:after="0"/>
                        <w:ind w:firstLine="426"/>
                        <w:rPr>
                          <w:rFonts w:cs="Arial"/>
                          <w:lang w:val="en-US"/>
                        </w:rPr>
                      </w:pPr>
                      <w:r w:rsidRPr="00B82C1A">
                        <w:rPr>
                          <w:rFonts w:cs="Arial"/>
                          <w:noProof/>
                          <w:color w:val="000000" w:themeColor="text1"/>
                          <w:lang w:val="en-US"/>
                        </w:rPr>
                        <w:t>E</w:t>
                      </w:r>
                      <w:r w:rsidRPr="00B82C1A">
                        <w:rPr>
                          <w:rFonts w:cs="Arial"/>
                          <w:noProof/>
                          <w:color w:val="000000" w:themeColor="text1"/>
                          <w:vertAlign w:val="subscript"/>
                          <w:lang w:val="en-US"/>
                        </w:rPr>
                        <w:t>it</w:t>
                      </w:r>
                      <w:r w:rsidRPr="00B82C1A">
                        <w:rPr>
                          <w:rFonts w:cs="Arial"/>
                          <w:noProof/>
                          <w:color w:val="000000" w:themeColor="text1"/>
                          <w:lang w:val="en-US"/>
                        </w:rPr>
                        <w:t xml:space="preserve">: </w:t>
                      </w:r>
                      <w:r w:rsidRPr="00B82C1A">
                        <w:rPr>
                          <w:rFonts w:cs="Arial"/>
                          <w:lang w:val="en-US"/>
                        </w:rPr>
                        <w:t>: Indexes for each item. For example i=1, denotes index of food and non-alcoholic beverages</w:t>
                      </w:r>
                    </w:p>
                    <w:p w14:paraId="5E030216" w14:textId="77777777" w:rsidR="00156D1F" w:rsidRPr="00B82C1A" w:rsidRDefault="00156D1F" w:rsidP="00B82C1A">
                      <w:pPr>
                        <w:spacing w:after="0"/>
                        <w:rPr>
                          <w:rFonts w:cs="Arial"/>
                          <w:lang w:val="en-US"/>
                        </w:rPr>
                      </w:pPr>
                    </w:p>
                    <w:p w14:paraId="3473EE5F" w14:textId="77777777" w:rsidR="00156D1F" w:rsidRPr="00B82C1A" w:rsidRDefault="00156D1F" w:rsidP="00B82C1A">
                      <w:pPr>
                        <w:tabs>
                          <w:tab w:val="left" w:pos="426"/>
                        </w:tabs>
                        <w:spacing w:after="0"/>
                        <w:ind w:left="426" w:right="668"/>
                        <w:rPr>
                          <w:rFonts w:cs="Arial"/>
                          <w:noProof/>
                          <w:color w:val="000000" w:themeColor="text1"/>
                          <w:lang w:val="en-US"/>
                        </w:rPr>
                      </w:pPr>
                      <w:r w:rsidRPr="00B82C1A">
                        <w:rPr>
                          <w:rFonts w:ascii="Calibri" w:hAnsi="Calibri" w:cs="Arial"/>
                          <w:noProof/>
                          <w:color w:val="000000" w:themeColor="text1"/>
                          <w:lang w:val="en-US"/>
                        </w:rPr>
                        <w:t>α</w:t>
                      </w:r>
                      <w:r w:rsidRPr="00B82C1A">
                        <w:rPr>
                          <w:rFonts w:cs="Arial"/>
                          <w:noProof/>
                          <w:color w:val="000000" w:themeColor="text1"/>
                          <w:vertAlign w:val="subscript"/>
                          <w:lang w:val="en-US"/>
                        </w:rPr>
                        <w:t>it</w:t>
                      </w:r>
                      <w:r w:rsidRPr="00B82C1A">
                        <w:rPr>
                          <w:rFonts w:cs="Arial"/>
                          <w:noProof/>
                          <w:color w:val="000000" w:themeColor="text1"/>
                          <w:lang w:val="en-US"/>
                        </w:rPr>
                        <w:t xml:space="preserve">: Subgroup weights of the poorest decile’s budget at time t </w:t>
                      </w:r>
                    </w:p>
                    <w:p w14:paraId="5E8C726D" w14:textId="77777777" w:rsidR="00156D1F" w:rsidRPr="00B82C1A" w:rsidRDefault="00156D1F" w:rsidP="00B82C1A">
                      <w:pPr>
                        <w:tabs>
                          <w:tab w:val="left" w:pos="426"/>
                        </w:tabs>
                        <w:spacing w:after="0"/>
                        <w:ind w:left="426" w:right="668"/>
                        <w:rPr>
                          <w:rFonts w:cs="Arial"/>
                          <w:noProof/>
                          <w:color w:val="000000" w:themeColor="text1"/>
                          <w:lang w:val="en-US"/>
                        </w:rPr>
                      </w:pPr>
                      <w:r w:rsidRPr="00B82C1A">
                        <w:rPr>
                          <w:rFonts w:ascii="Calibri" w:hAnsi="Calibri" w:cs="Arial"/>
                          <w:noProof/>
                          <w:color w:val="000000" w:themeColor="text1"/>
                          <w:lang w:val="en-US"/>
                        </w:rPr>
                        <w:t>β</w:t>
                      </w:r>
                      <w:r w:rsidRPr="00B82C1A">
                        <w:rPr>
                          <w:rFonts w:cs="Arial"/>
                          <w:noProof/>
                          <w:color w:val="000000" w:themeColor="text1"/>
                          <w:vertAlign w:val="subscript"/>
                          <w:lang w:val="en-US"/>
                        </w:rPr>
                        <w:t>it</w:t>
                      </w:r>
                      <w:r w:rsidRPr="00B82C1A">
                        <w:rPr>
                          <w:rFonts w:cs="Arial"/>
                          <w:noProof/>
                          <w:color w:val="000000" w:themeColor="text1"/>
                          <w:lang w:val="en-US"/>
                        </w:rPr>
                        <w:t>: Subgroup weights of the richest decile’s budget at time t</w:t>
                      </w:r>
                    </w:p>
                    <w:p w14:paraId="4D0E971D" w14:textId="77777777" w:rsidR="00156D1F" w:rsidRPr="00B82C1A" w:rsidRDefault="00156D1F" w:rsidP="00B82C1A">
                      <w:pPr>
                        <w:tabs>
                          <w:tab w:val="left" w:pos="426"/>
                        </w:tabs>
                        <w:spacing w:after="0"/>
                        <w:ind w:left="426" w:right="668"/>
                        <w:rPr>
                          <w:rFonts w:cs="Arial"/>
                          <w:noProof/>
                          <w:color w:val="000000" w:themeColor="text1"/>
                          <w:highlight w:val="yellow"/>
                          <w:lang w:val="en-US"/>
                        </w:rPr>
                      </w:pPr>
                    </w:p>
                    <w:p w14:paraId="43C8135E" w14:textId="77777777" w:rsidR="00156D1F" w:rsidRPr="00B82C1A" w:rsidRDefault="00156D1F" w:rsidP="00B82C1A">
                      <w:pPr>
                        <w:spacing w:after="0"/>
                        <w:ind w:left="426"/>
                        <w:jc w:val="both"/>
                        <w:rPr>
                          <w:rFonts w:cs="Arial"/>
                          <w:lang w:val="en-US"/>
                        </w:rPr>
                      </w:pPr>
                      <w:r w:rsidRPr="00B82C1A">
                        <w:rPr>
                          <w:rFonts w:cs="Arial"/>
                          <w:color w:val="000000" w:themeColor="text1"/>
                          <w:lang w:val="en-US"/>
                        </w:rPr>
                        <w:t xml:space="preserve">These weights are specific to 2019 and we show subgroups indexes in the table below. </w:t>
                      </w:r>
                      <w:r w:rsidRPr="00B82C1A">
                        <w:rPr>
                          <w:rFonts w:cs="Arial"/>
                          <w:lang w:val="en-US"/>
                        </w:rPr>
                        <w:t>For instance, the calculation of CPI July 2021 for both the poorest and the richest households by using CPI December 2020 is as follows:</w:t>
                      </w:r>
                    </w:p>
                    <w:p w14:paraId="6D9BE333" w14:textId="77777777" w:rsidR="00156D1F" w:rsidRPr="00B82C1A" w:rsidRDefault="00156D1F" w:rsidP="00B82C1A">
                      <w:pPr>
                        <w:tabs>
                          <w:tab w:val="left" w:pos="0"/>
                        </w:tabs>
                        <w:spacing w:after="0"/>
                        <w:ind w:right="35"/>
                        <w:rPr>
                          <w:lang w:val="en-US"/>
                        </w:rPr>
                      </w:pPr>
                    </w:p>
                    <w:tbl>
                      <w:tblPr>
                        <w:tblW w:w="11385" w:type="dxa"/>
                        <w:tblLook w:val="04A0" w:firstRow="1" w:lastRow="0" w:firstColumn="1" w:lastColumn="0" w:noHBand="0" w:noVBand="1"/>
                      </w:tblPr>
                      <w:tblGrid>
                        <w:gridCol w:w="750"/>
                        <w:gridCol w:w="2085"/>
                        <w:gridCol w:w="645"/>
                        <w:gridCol w:w="648"/>
                        <w:gridCol w:w="648"/>
                        <w:gridCol w:w="648"/>
                        <w:gridCol w:w="648"/>
                        <w:gridCol w:w="648"/>
                        <w:gridCol w:w="648"/>
                        <w:gridCol w:w="648"/>
                        <w:gridCol w:w="648"/>
                        <w:gridCol w:w="648"/>
                        <w:gridCol w:w="648"/>
                        <w:gridCol w:w="648"/>
                        <w:gridCol w:w="949"/>
                      </w:tblGrid>
                      <w:tr w:rsidR="00156D1F" w:rsidRPr="00B82C1A" w14:paraId="165F966C" w14:textId="77777777" w:rsidTr="008C05D3">
                        <w:trPr>
                          <w:trHeight w:val="980"/>
                        </w:trPr>
                        <w:tc>
                          <w:tcPr>
                            <w:tcW w:w="750" w:type="dxa"/>
                            <w:tcBorders>
                              <w:top w:val="nil"/>
                              <w:left w:val="nil"/>
                              <w:bottom w:val="nil"/>
                              <w:right w:val="nil"/>
                            </w:tcBorders>
                            <w:shd w:val="clear" w:color="auto" w:fill="auto"/>
                            <w:noWrap/>
                            <w:vAlign w:val="bottom"/>
                            <w:hideMark/>
                          </w:tcPr>
                          <w:p w14:paraId="10680481" w14:textId="77777777" w:rsidR="00156D1F" w:rsidRPr="00B82C1A" w:rsidRDefault="00156D1F" w:rsidP="008C05D3">
                            <w:pPr>
                              <w:spacing w:after="0" w:line="240" w:lineRule="auto"/>
                              <w:rPr>
                                <w:rFonts w:ascii="Arial" w:eastAsia="Times New Roman" w:hAnsi="Arial" w:cs="Arial"/>
                                <w:sz w:val="12"/>
                                <w:szCs w:val="12"/>
                                <w:lang w:val="en-US" w:eastAsia="en-GB"/>
                              </w:rPr>
                            </w:pPr>
                          </w:p>
                        </w:tc>
                        <w:tc>
                          <w:tcPr>
                            <w:tcW w:w="2085" w:type="dxa"/>
                            <w:tcBorders>
                              <w:top w:val="single" w:sz="8" w:space="0" w:color="auto"/>
                              <w:left w:val="single" w:sz="8" w:space="0" w:color="auto"/>
                              <w:bottom w:val="single" w:sz="8" w:space="0" w:color="auto"/>
                              <w:right w:val="nil"/>
                            </w:tcBorders>
                            <w:shd w:val="clear" w:color="auto" w:fill="auto"/>
                            <w:noWrap/>
                            <w:vAlign w:val="center"/>
                            <w:hideMark/>
                          </w:tcPr>
                          <w:p w14:paraId="01818EC7" w14:textId="77777777" w:rsidR="00156D1F" w:rsidRPr="00B82C1A" w:rsidRDefault="00156D1F" w:rsidP="008C05D3">
                            <w:pPr>
                              <w:spacing w:after="0" w:line="240" w:lineRule="auto"/>
                              <w:jc w:val="center"/>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c>
                          <w:tcPr>
                            <w:tcW w:w="473" w:type="dxa"/>
                            <w:tcBorders>
                              <w:top w:val="single" w:sz="8" w:space="0" w:color="auto"/>
                              <w:left w:val="single" w:sz="8" w:space="0" w:color="auto"/>
                              <w:bottom w:val="single" w:sz="8" w:space="0" w:color="auto"/>
                              <w:right w:val="nil"/>
                            </w:tcBorders>
                            <w:shd w:val="clear" w:color="auto" w:fill="auto"/>
                            <w:noWrap/>
                            <w:vAlign w:val="center"/>
                            <w:hideMark/>
                          </w:tcPr>
                          <w:p w14:paraId="624F077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CDE294A"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1E2BEA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2B893B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E0789C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23E71C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F1C1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3052E1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8C607B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023C04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693CC0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F0785A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2</w:t>
                            </w:r>
                          </w:p>
                        </w:tc>
                        <w:tc>
                          <w:tcPr>
                            <w:tcW w:w="648" w:type="dxa"/>
                            <w:tcBorders>
                              <w:top w:val="single" w:sz="8" w:space="0" w:color="auto"/>
                              <w:left w:val="nil"/>
                              <w:bottom w:val="single" w:sz="8" w:space="0" w:color="auto"/>
                              <w:right w:val="nil"/>
                            </w:tcBorders>
                            <w:shd w:val="clear" w:color="auto" w:fill="auto"/>
                            <w:noWrap/>
                            <w:vAlign w:val="center"/>
                            <w:hideMark/>
                          </w:tcPr>
                          <w:p w14:paraId="2E9F58B2"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21A764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C37BAC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1049D30"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90F05D0"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05EF26E"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3</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70EB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94CA1D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BEA1DD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F8754F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5D3406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4598902"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4</w:t>
                            </w:r>
                          </w:p>
                        </w:tc>
                        <w:tc>
                          <w:tcPr>
                            <w:tcW w:w="648" w:type="dxa"/>
                            <w:tcBorders>
                              <w:top w:val="single" w:sz="8" w:space="0" w:color="auto"/>
                              <w:left w:val="nil"/>
                              <w:bottom w:val="single" w:sz="8" w:space="0" w:color="auto"/>
                              <w:right w:val="nil"/>
                            </w:tcBorders>
                            <w:shd w:val="clear" w:color="auto" w:fill="auto"/>
                            <w:noWrap/>
                            <w:vAlign w:val="center"/>
                            <w:hideMark/>
                          </w:tcPr>
                          <w:p w14:paraId="79E9B4F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5CF69A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114048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7FD997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6F614F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98F4FA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5</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F802E"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4151544"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7DDA02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C55D8D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46BFCA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DC78E7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6</w:t>
                            </w:r>
                          </w:p>
                        </w:tc>
                        <w:tc>
                          <w:tcPr>
                            <w:tcW w:w="648" w:type="dxa"/>
                            <w:tcBorders>
                              <w:top w:val="single" w:sz="8" w:space="0" w:color="auto"/>
                              <w:left w:val="nil"/>
                              <w:bottom w:val="single" w:sz="8" w:space="0" w:color="auto"/>
                              <w:right w:val="nil"/>
                            </w:tcBorders>
                            <w:shd w:val="clear" w:color="auto" w:fill="auto"/>
                            <w:noWrap/>
                            <w:vAlign w:val="center"/>
                            <w:hideMark/>
                          </w:tcPr>
                          <w:p w14:paraId="0BB2681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6501EE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ABEA157"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E40787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A5B7D92"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2ED374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7</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EBEE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09EF737"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D7EDB8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6B804F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CA31914"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805C14C"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8</w:t>
                            </w:r>
                          </w:p>
                        </w:tc>
                        <w:tc>
                          <w:tcPr>
                            <w:tcW w:w="648" w:type="dxa"/>
                            <w:tcBorders>
                              <w:top w:val="single" w:sz="8" w:space="0" w:color="auto"/>
                              <w:left w:val="nil"/>
                              <w:bottom w:val="single" w:sz="8" w:space="0" w:color="auto"/>
                              <w:right w:val="nil"/>
                            </w:tcBorders>
                            <w:shd w:val="clear" w:color="auto" w:fill="auto"/>
                            <w:noWrap/>
                            <w:vAlign w:val="center"/>
                            <w:hideMark/>
                          </w:tcPr>
                          <w:p w14:paraId="3FD560D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7F01474"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504DA0D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D21793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834ADB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7F8304D"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9</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1BB0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0B502F0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E298161"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9552B8C"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3747460"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5A14A8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10</w:t>
                            </w:r>
                          </w:p>
                        </w:tc>
                        <w:tc>
                          <w:tcPr>
                            <w:tcW w:w="648" w:type="dxa"/>
                            <w:tcBorders>
                              <w:top w:val="single" w:sz="8" w:space="0" w:color="auto"/>
                              <w:left w:val="nil"/>
                              <w:bottom w:val="single" w:sz="8" w:space="0" w:color="auto"/>
                              <w:right w:val="nil"/>
                            </w:tcBorders>
                            <w:shd w:val="clear" w:color="auto" w:fill="auto"/>
                            <w:noWrap/>
                            <w:vAlign w:val="center"/>
                            <w:hideMark/>
                          </w:tcPr>
                          <w:p w14:paraId="47B5446F"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00F281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30811AE6"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3F1B3A8"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4A86268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1780AB23"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229FE"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2581CBAB"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F6F2327"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65A48CAC"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4B585E9"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p>
                          <w:p w14:paraId="72DF3D45" w14:textId="77777777" w:rsidR="00156D1F" w:rsidRPr="00B82C1A" w:rsidRDefault="00156D1F" w:rsidP="008C05D3">
                            <w:pPr>
                              <w:spacing w:after="0" w:line="240" w:lineRule="auto"/>
                              <w:jc w:val="center"/>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12</w:t>
                            </w:r>
                          </w:p>
                        </w:tc>
                        <w:tc>
                          <w:tcPr>
                            <w:tcW w:w="949" w:type="dxa"/>
                            <w:tcBorders>
                              <w:top w:val="single" w:sz="8" w:space="0" w:color="auto"/>
                              <w:left w:val="nil"/>
                              <w:bottom w:val="single" w:sz="8" w:space="0" w:color="auto"/>
                              <w:right w:val="single" w:sz="8" w:space="0" w:color="auto"/>
                            </w:tcBorders>
                            <w:shd w:val="clear" w:color="auto" w:fill="auto"/>
                            <w:noWrap/>
                            <w:vAlign w:val="center"/>
                            <w:hideMark/>
                          </w:tcPr>
                          <w:p w14:paraId="793E6332"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p w14:paraId="69705AFD" w14:textId="77777777" w:rsidR="00156D1F" w:rsidRPr="00B82C1A" w:rsidRDefault="00156D1F" w:rsidP="008C05D3">
                            <w:pPr>
                              <w:pStyle w:val="Default"/>
                              <w:rPr>
                                <w:rFonts w:ascii="Arial" w:eastAsia="Times New Roman" w:hAnsi="Arial" w:cs="Arial"/>
                                <w:sz w:val="12"/>
                                <w:szCs w:val="12"/>
                                <w:lang w:eastAsia="en-GB"/>
                              </w:rPr>
                            </w:pPr>
                          </w:p>
                        </w:tc>
                      </w:tr>
                      <w:tr w:rsidR="00156D1F" w:rsidRPr="00B82C1A" w14:paraId="4DE2EA4E" w14:textId="77777777" w:rsidTr="008C05D3">
                        <w:trPr>
                          <w:trHeight w:val="57"/>
                        </w:trPr>
                        <w:tc>
                          <w:tcPr>
                            <w:tcW w:w="750" w:type="dxa"/>
                            <w:tcBorders>
                              <w:top w:val="nil"/>
                              <w:left w:val="nil"/>
                              <w:bottom w:val="nil"/>
                              <w:right w:val="nil"/>
                            </w:tcBorders>
                            <w:shd w:val="clear" w:color="auto" w:fill="auto"/>
                            <w:noWrap/>
                            <w:vAlign w:val="bottom"/>
                            <w:hideMark/>
                          </w:tcPr>
                          <w:p w14:paraId="6C1A6009"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p>
                        </w:tc>
                        <w:tc>
                          <w:tcPr>
                            <w:tcW w:w="2085" w:type="dxa"/>
                            <w:tcBorders>
                              <w:top w:val="single" w:sz="8" w:space="0" w:color="auto"/>
                              <w:left w:val="single" w:sz="8" w:space="0" w:color="auto"/>
                              <w:bottom w:val="nil"/>
                              <w:right w:val="single" w:sz="8" w:space="0" w:color="auto"/>
                            </w:tcBorders>
                            <w:shd w:val="clear" w:color="auto" w:fill="auto"/>
                            <w:noWrap/>
                            <w:vAlign w:val="center"/>
                            <w:hideMark/>
                          </w:tcPr>
                          <w:p w14:paraId="4AE318F4"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2020 December (Turkstat)</w:t>
                            </w:r>
                          </w:p>
                        </w:tc>
                        <w:tc>
                          <w:tcPr>
                            <w:tcW w:w="473" w:type="dxa"/>
                            <w:tcBorders>
                              <w:top w:val="nil"/>
                              <w:left w:val="nil"/>
                              <w:bottom w:val="nil"/>
                              <w:right w:val="nil"/>
                            </w:tcBorders>
                            <w:shd w:val="clear" w:color="auto" w:fill="auto"/>
                            <w:noWrap/>
                            <w:vAlign w:val="center"/>
                            <w:hideMark/>
                          </w:tcPr>
                          <w:p w14:paraId="054120D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608.06</w:t>
                            </w:r>
                          </w:p>
                        </w:tc>
                        <w:tc>
                          <w:tcPr>
                            <w:tcW w:w="648" w:type="dxa"/>
                            <w:tcBorders>
                              <w:top w:val="nil"/>
                              <w:left w:val="single" w:sz="8" w:space="0" w:color="auto"/>
                              <w:bottom w:val="nil"/>
                              <w:right w:val="single" w:sz="8" w:space="0" w:color="auto"/>
                            </w:tcBorders>
                            <w:shd w:val="clear" w:color="auto" w:fill="auto"/>
                            <w:noWrap/>
                            <w:vAlign w:val="center"/>
                            <w:hideMark/>
                          </w:tcPr>
                          <w:p w14:paraId="2E955D3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872.31</w:t>
                            </w:r>
                          </w:p>
                        </w:tc>
                        <w:tc>
                          <w:tcPr>
                            <w:tcW w:w="648" w:type="dxa"/>
                            <w:tcBorders>
                              <w:top w:val="nil"/>
                              <w:left w:val="nil"/>
                              <w:bottom w:val="nil"/>
                              <w:right w:val="nil"/>
                            </w:tcBorders>
                            <w:shd w:val="clear" w:color="auto" w:fill="auto"/>
                            <w:noWrap/>
                            <w:vAlign w:val="center"/>
                            <w:hideMark/>
                          </w:tcPr>
                          <w:p w14:paraId="332554D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264.54</w:t>
                            </w:r>
                          </w:p>
                        </w:tc>
                        <w:tc>
                          <w:tcPr>
                            <w:tcW w:w="648" w:type="dxa"/>
                            <w:tcBorders>
                              <w:top w:val="nil"/>
                              <w:left w:val="single" w:sz="8" w:space="0" w:color="auto"/>
                              <w:bottom w:val="nil"/>
                              <w:right w:val="single" w:sz="8" w:space="0" w:color="auto"/>
                            </w:tcBorders>
                            <w:shd w:val="clear" w:color="auto" w:fill="auto"/>
                            <w:noWrap/>
                            <w:vAlign w:val="center"/>
                            <w:hideMark/>
                          </w:tcPr>
                          <w:p w14:paraId="3A351B8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534.18</w:t>
                            </w:r>
                          </w:p>
                        </w:tc>
                        <w:tc>
                          <w:tcPr>
                            <w:tcW w:w="648" w:type="dxa"/>
                            <w:tcBorders>
                              <w:top w:val="nil"/>
                              <w:left w:val="nil"/>
                              <w:bottom w:val="nil"/>
                              <w:right w:val="nil"/>
                            </w:tcBorders>
                            <w:shd w:val="clear" w:color="auto" w:fill="auto"/>
                            <w:noWrap/>
                            <w:vAlign w:val="center"/>
                            <w:hideMark/>
                          </w:tcPr>
                          <w:p w14:paraId="226E700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440.4</w:t>
                            </w:r>
                          </w:p>
                        </w:tc>
                        <w:tc>
                          <w:tcPr>
                            <w:tcW w:w="648" w:type="dxa"/>
                            <w:tcBorders>
                              <w:top w:val="nil"/>
                              <w:left w:val="single" w:sz="8" w:space="0" w:color="auto"/>
                              <w:bottom w:val="nil"/>
                              <w:right w:val="single" w:sz="8" w:space="0" w:color="auto"/>
                            </w:tcBorders>
                            <w:shd w:val="clear" w:color="auto" w:fill="auto"/>
                            <w:noWrap/>
                            <w:vAlign w:val="center"/>
                            <w:hideMark/>
                          </w:tcPr>
                          <w:p w14:paraId="01CB74F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302.38</w:t>
                            </w:r>
                          </w:p>
                        </w:tc>
                        <w:tc>
                          <w:tcPr>
                            <w:tcW w:w="648" w:type="dxa"/>
                            <w:tcBorders>
                              <w:top w:val="nil"/>
                              <w:left w:val="nil"/>
                              <w:bottom w:val="nil"/>
                              <w:right w:val="nil"/>
                            </w:tcBorders>
                            <w:shd w:val="clear" w:color="auto" w:fill="auto"/>
                            <w:noWrap/>
                            <w:vAlign w:val="center"/>
                            <w:hideMark/>
                          </w:tcPr>
                          <w:p w14:paraId="7551D2D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514.86</w:t>
                            </w:r>
                          </w:p>
                        </w:tc>
                        <w:tc>
                          <w:tcPr>
                            <w:tcW w:w="648" w:type="dxa"/>
                            <w:tcBorders>
                              <w:top w:val="nil"/>
                              <w:left w:val="single" w:sz="8" w:space="0" w:color="auto"/>
                              <w:bottom w:val="nil"/>
                              <w:right w:val="single" w:sz="8" w:space="0" w:color="auto"/>
                            </w:tcBorders>
                            <w:shd w:val="clear" w:color="auto" w:fill="auto"/>
                            <w:noWrap/>
                            <w:vAlign w:val="center"/>
                            <w:hideMark/>
                          </w:tcPr>
                          <w:p w14:paraId="5F131A3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161.14</w:t>
                            </w:r>
                          </w:p>
                        </w:tc>
                        <w:tc>
                          <w:tcPr>
                            <w:tcW w:w="648" w:type="dxa"/>
                            <w:tcBorders>
                              <w:top w:val="nil"/>
                              <w:left w:val="nil"/>
                              <w:bottom w:val="nil"/>
                              <w:right w:val="nil"/>
                            </w:tcBorders>
                            <w:shd w:val="clear" w:color="auto" w:fill="auto"/>
                            <w:noWrap/>
                            <w:vAlign w:val="center"/>
                            <w:hideMark/>
                          </w:tcPr>
                          <w:p w14:paraId="7AE0934D"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318.72</w:t>
                            </w:r>
                          </w:p>
                        </w:tc>
                        <w:tc>
                          <w:tcPr>
                            <w:tcW w:w="648" w:type="dxa"/>
                            <w:tcBorders>
                              <w:top w:val="nil"/>
                              <w:left w:val="single" w:sz="8" w:space="0" w:color="auto"/>
                              <w:bottom w:val="nil"/>
                              <w:right w:val="single" w:sz="8" w:space="0" w:color="auto"/>
                            </w:tcBorders>
                            <w:shd w:val="clear" w:color="auto" w:fill="auto"/>
                            <w:noWrap/>
                            <w:vAlign w:val="center"/>
                            <w:hideMark/>
                          </w:tcPr>
                          <w:p w14:paraId="147FF87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437.14</w:t>
                            </w:r>
                          </w:p>
                        </w:tc>
                        <w:tc>
                          <w:tcPr>
                            <w:tcW w:w="648" w:type="dxa"/>
                            <w:tcBorders>
                              <w:top w:val="nil"/>
                              <w:left w:val="nil"/>
                              <w:bottom w:val="nil"/>
                              <w:right w:val="nil"/>
                            </w:tcBorders>
                            <w:shd w:val="clear" w:color="auto" w:fill="auto"/>
                            <w:noWrap/>
                            <w:vAlign w:val="center"/>
                            <w:hideMark/>
                          </w:tcPr>
                          <w:p w14:paraId="0C6AF07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737.25</w:t>
                            </w:r>
                          </w:p>
                        </w:tc>
                        <w:tc>
                          <w:tcPr>
                            <w:tcW w:w="648" w:type="dxa"/>
                            <w:tcBorders>
                              <w:top w:val="nil"/>
                              <w:left w:val="single" w:sz="8" w:space="0" w:color="auto"/>
                              <w:bottom w:val="nil"/>
                              <w:right w:val="single" w:sz="8" w:space="0" w:color="auto"/>
                            </w:tcBorders>
                            <w:shd w:val="clear" w:color="auto" w:fill="auto"/>
                            <w:noWrap/>
                            <w:vAlign w:val="center"/>
                            <w:hideMark/>
                          </w:tcPr>
                          <w:p w14:paraId="7D98419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738.27</w:t>
                            </w:r>
                          </w:p>
                        </w:tc>
                        <w:tc>
                          <w:tcPr>
                            <w:tcW w:w="949" w:type="dxa"/>
                            <w:tcBorders>
                              <w:top w:val="nil"/>
                              <w:left w:val="nil"/>
                              <w:bottom w:val="nil"/>
                              <w:right w:val="single" w:sz="8" w:space="0" w:color="auto"/>
                            </w:tcBorders>
                            <w:shd w:val="clear" w:color="auto" w:fill="auto"/>
                            <w:noWrap/>
                            <w:vAlign w:val="bottom"/>
                            <w:hideMark/>
                          </w:tcPr>
                          <w:p w14:paraId="55197D25"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39565423" w14:textId="77777777" w:rsidTr="008C05D3">
                        <w:trPr>
                          <w:trHeight w:val="331"/>
                        </w:trPr>
                        <w:tc>
                          <w:tcPr>
                            <w:tcW w:w="750" w:type="dxa"/>
                            <w:tcBorders>
                              <w:top w:val="nil"/>
                              <w:left w:val="nil"/>
                              <w:bottom w:val="single" w:sz="8" w:space="0" w:color="auto"/>
                              <w:right w:val="nil"/>
                            </w:tcBorders>
                            <w:shd w:val="clear" w:color="auto" w:fill="auto"/>
                            <w:noWrap/>
                            <w:vAlign w:val="bottom"/>
                            <w:hideMark/>
                          </w:tcPr>
                          <w:p w14:paraId="15438177"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c>
                          <w:tcPr>
                            <w:tcW w:w="2085" w:type="dxa"/>
                            <w:tcBorders>
                              <w:top w:val="nil"/>
                              <w:left w:val="single" w:sz="8" w:space="0" w:color="auto"/>
                              <w:bottom w:val="single" w:sz="8" w:space="0" w:color="auto"/>
                              <w:right w:val="single" w:sz="8" w:space="0" w:color="auto"/>
                            </w:tcBorders>
                            <w:shd w:val="clear" w:color="auto" w:fill="auto"/>
                            <w:noWrap/>
                            <w:vAlign w:val="center"/>
                            <w:hideMark/>
                          </w:tcPr>
                          <w:p w14:paraId="59CA5E83"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2021 July (Turkstat)</w:t>
                            </w:r>
                          </w:p>
                        </w:tc>
                        <w:tc>
                          <w:tcPr>
                            <w:tcW w:w="473" w:type="dxa"/>
                            <w:tcBorders>
                              <w:top w:val="nil"/>
                              <w:left w:val="nil"/>
                              <w:bottom w:val="single" w:sz="8" w:space="0" w:color="auto"/>
                              <w:right w:val="single" w:sz="8" w:space="0" w:color="auto"/>
                            </w:tcBorders>
                            <w:shd w:val="clear" w:color="000000" w:fill="FFFFFF"/>
                            <w:noWrap/>
                            <w:vAlign w:val="center"/>
                            <w:hideMark/>
                          </w:tcPr>
                          <w:p w14:paraId="4398AED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686.41</w:t>
                            </w:r>
                          </w:p>
                        </w:tc>
                        <w:tc>
                          <w:tcPr>
                            <w:tcW w:w="648" w:type="dxa"/>
                            <w:tcBorders>
                              <w:top w:val="nil"/>
                              <w:left w:val="nil"/>
                              <w:bottom w:val="single" w:sz="8" w:space="0" w:color="auto"/>
                              <w:right w:val="single" w:sz="8" w:space="0" w:color="auto"/>
                            </w:tcBorders>
                            <w:shd w:val="clear" w:color="000000" w:fill="FFFFFF"/>
                            <w:noWrap/>
                            <w:vAlign w:val="center"/>
                            <w:hideMark/>
                          </w:tcPr>
                          <w:p w14:paraId="5378537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886.10</w:t>
                            </w:r>
                          </w:p>
                        </w:tc>
                        <w:tc>
                          <w:tcPr>
                            <w:tcW w:w="648" w:type="dxa"/>
                            <w:tcBorders>
                              <w:top w:val="nil"/>
                              <w:left w:val="nil"/>
                              <w:bottom w:val="single" w:sz="8" w:space="0" w:color="auto"/>
                              <w:right w:val="single" w:sz="8" w:space="0" w:color="auto"/>
                            </w:tcBorders>
                            <w:shd w:val="clear" w:color="000000" w:fill="FFFFFF"/>
                            <w:noWrap/>
                            <w:vAlign w:val="center"/>
                            <w:hideMark/>
                          </w:tcPr>
                          <w:p w14:paraId="4A278CA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279.67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6A4C670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602.77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1019F28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480.72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4E7AF81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343.74</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E8C87A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566.77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03C46A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165.00</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336FC86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345.42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6268707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482.69</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BB0270D"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849.27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0FD70E0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798.23</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48427A30"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364E2726" w14:textId="77777777" w:rsidTr="008C05D3">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3FE68E3E"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1.Grup</w:t>
                            </w:r>
                          </w:p>
                        </w:tc>
                        <w:tc>
                          <w:tcPr>
                            <w:tcW w:w="2085" w:type="dxa"/>
                            <w:tcBorders>
                              <w:top w:val="single" w:sz="8" w:space="0" w:color="auto"/>
                              <w:left w:val="single" w:sz="8" w:space="0" w:color="auto"/>
                              <w:bottom w:val="nil"/>
                              <w:right w:val="single" w:sz="8" w:space="0" w:color="auto"/>
                            </w:tcBorders>
                            <w:shd w:val="clear" w:color="auto" w:fill="auto"/>
                            <w:noWrap/>
                            <w:vAlign w:val="center"/>
                            <w:hideMark/>
                          </w:tcPr>
                          <w:p w14:paraId="0AEBBDF6" w14:textId="77777777" w:rsidR="00156D1F" w:rsidRPr="00B82C1A" w:rsidRDefault="007240CF" w:rsidP="008C05D3">
                            <w:pPr>
                              <w:spacing w:after="0" w:line="240" w:lineRule="auto"/>
                              <w:rPr>
                                <w:rFonts w:ascii="Arial" w:eastAsia="Times New Roman" w:hAnsi="Arial" w:cs="Arial"/>
                                <w:b/>
                                <w:bCs/>
                                <w:color w:val="000000"/>
                                <w:sz w:val="14"/>
                                <w:szCs w:val="14"/>
                                <w:lang w:val="en-US" w:eastAsia="en-GB"/>
                              </w:rPr>
                            </w:pPr>
                            <m:oMathPara>
                              <m:oMathParaPr>
                                <m:jc m:val="left"/>
                              </m:oMathParaPr>
                              <m:oMath>
                                <m:sSub>
                                  <m:sSubPr>
                                    <m:ctrlPr>
                                      <w:rPr>
                                        <w:rFonts w:ascii="Cambria Math" w:eastAsia="Times New Roman" w:hAnsi="Cambria Math" w:cs="Arial"/>
                                        <w:b/>
                                        <w:bCs/>
                                        <w:i/>
                                        <w:color w:val="000000"/>
                                        <w:sz w:val="14"/>
                                        <w:szCs w:val="14"/>
                                        <w:lang w:val="en-US" w:eastAsia="en-GB"/>
                                      </w:rPr>
                                    </m:ctrlPr>
                                  </m:sSubPr>
                                  <m:e>
                                    <m:r>
                                      <m:rPr>
                                        <m:sty m:val="bi"/>
                                      </m:rPr>
                                      <w:rPr>
                                        <w:rFonts w:ascii="Cambria Math" w:eastAsia="Times New Roman" w:hAnsi="Cambria Math" w:cs="Arial"/>
                                        <w:color w:val="000000"/>
                                        <w:sz w:val="14"/>
                                        <w:szCs w:val="14"/>
                                        <w:lang w:val="en-US" w:eastAsia="en-GB"/>
                                      </w:rPr>
                                      <m:t>α</m:t>
                                    </m:r>
                                  </m:e>
                                  <m:sub>
                                    <m:r>
                                      <m:rPr>
                                        <m:sty m:val="bi"/>
                                      </m:rPr>
                                      <w:rPr>
                                        <w:rFonts w:ascii="Cambria Math" w:eastAsia="Times New Roman" w:hAnsi="Cambria Math" w:cs="Arial"/>
                                        <w:color w:val="000000"/>
                                        <w:sz w:val="14"/>
                                        <w:szCs w:val="14"/>
                                        <w:lang w:val="en-US" w:eastAsia="en-GB"/>
                                      </w:rPr>
                                      <m:t>i</m:t>
                                    </m:r>
                                  </m:sub>
                                </m:sSub>
                              </m:oMath>
                            </m:oMathPara>
                          </w:p>
                        </w:tc>
                        <w:tc>
                          <w:tcPr>
                            <w:tcW w:w="473" w:type="dxa"/>
                            <w:tcBorders>
                              <w:top w:val="single" w:sz="8" w:space="0" w:color="auto"/>
                              <w:left w:val="single" w:sz="8" w:space="0" w:color="auto"/>
                              <w:bottom w:val="nil"/>
                              <w:right w:val="single" w:sz="8" w:space="0" w:color="auto"/>
                            </w:tcBorders>
                            <w:shd w:val="clear" w:color="auto" w:fill="auto"/>
                            <w:noWrap/>
                            <w:vAlign w:val="center"/>
                            <w:hideMark/>
                          </w:tcPr>
                          <w:p w14:paraId="10E34D41"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35.5%</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B1763A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3.9%</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4B56912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2.2%</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30B415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40.1%</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1D6549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4.1%</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4678D2B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1.5%</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2439966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3.6%</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04C671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3.2%</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1E1B4CCC"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0.8%</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185E027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0.1%</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6991F063"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2.9%</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1EBFFFA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2.0%</w:t>
                            </w:r>
                          </w:p>
                        </w:tc>
                        <w:tc>
                          <w:tcPr>
                            <w:tcW w:w="949" w:type="dxa"/>
                            <w:tcBorders>
                              <w:top w:val="single" w:sz="8" w:space="0" w:color="auto"/>
                              <w:left w:val="single" w:sz="8" w:space="0" w:color="auto"/>
                              <w:bottom w:val="nil"/>
                              <w:right w:val="single" w:sz="8" w:space="0" w:color="auto"/>
                            </w:tcBorders>
                            <w:shd w:val="clear" w:color="auto" w:fill="auto"/>
                            <w:noWrap/>
                            <w:vAlign w:val="bottom"/>
                            <w:hideMark/>
                          </w:tcPr>
                          <w:p w14:paraId="46BF5C8B"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053D3AD3" w14:textId="77777777" w:rsidTr="008C05D3">
                        <w:trPr>
                          <w:trHeight w:val="344"/>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6F40B0CC"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10.Grup</w:t>
                            </w: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1FCB73B4" w14:textId="77777777" w:rsidR="00156D1F" w:rsidRPr="00B82C1A" w:rsidRDefault="007240CF" w:rsidP="008C05D3">
                            <w:pPr>
                              <w:spacing w:after="0" w:line="240" w:lineRule="auto"/>
                              <w:rPr>
                                <w:rFonts w:ascii="Arial" w:eastAsia="Times New Roman" w:hAnsi="Arial" w:cs="Arial"/>
                                <w:b/>
                                <w:color w:val="000000"/>
                                <w:sz w:val="14"/>
                                <w:szCs w:val="14"/>
                                <w:lang w:val="en-US" w:eastAsia="en-GB"/>
                              </w:rPr>
                            </w:pPr>
                            <m:oMathPara>
                              <m:oMathParaPr>
                                <m:jc m:val="left"/>
                              </m:oMathParaPr>
                              <m:oMath>
                                <m:sSub>
                                  <m:sSubPr>
                                    <m:ctrlPr>
                                      <w:rPr>
                                        <w:rFonts w:ascii="Cambria Math" w:eastAsia="Times New Roman" w:hAnsi="Cambria Math" w:cs="Arial"/>
                                        <w:b/>
                                        <w:i/>
                                        <w:color w:val="000000"/>
                                        <w:sz w:val="14"/>
                                        <w:szCs w:val="14"/>
                                        <w:lang w:val="en-US" w:eastAsia="en-GB"/>
                                      </w:rPr>
                                    </m:ctrlPr>
                                  </m:sSubPr>
                                  <m:e>
                                    <m:r>
                                      <m:rPr>
                                        <m:sty m:val="bi"/>
                                      </m:rPr>
                                      <w:rPr>
                                        <w:rFonts w:ascii="Cambria Math" w:eastAsia="Times New Roman" w:hAnsi="Cambria Math" w:cs="Arial"/>
                                        <w:color w:val="000000"/>
                                        <w:sz w:val="14"/>
                                        <w:szCs w:val="14"/>
                                        <w:lang w:val="en-US" w:eastAsia="en-GB"/>
                                      </w:rPr>
                                      <m:t>β</m:t>
                                    </m:r>
                                  </m:e>
                                  <m:sub>
                                    <m:r>
                                      <m:rPr>
                                        <m:sty m:val="bi"/>
                                      </m:rPr>
                                      <w:rPr>
                                        <w:rFonts w:ascii="Cambria Math" w:eastAsia="Times New Roman" w:hAnsi="Cambria Math" w:cs="Arial"/>
                                        <w:color w:val="000000"/>
                                        <w:sz w:val="14"/>
                                        <w:szCs w:val="14"/>
                                        <w:lang w:val="en-US" w:eastAsia="en-GB"/>
                                      </w:rPr>
                                      <m:t>i</m:t>
                                    </m:r>
                                  </m:sub>
                                </m:sSub>
                              </m:oMath>
                            </m:oMathPara>
                          </w:p>
                          <w:p w14:paraId="5B2281F4"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p>
                        </w:tc>
                        <w:tc>
                          <w:tcPr>
                            <w:tcW w:w="473" w:type="dxa"/>
                            <w:tcBorders>
                              <w:top w:val="nil"/>
                              <w:left w:val="single" w:sz="8" w:space="0" w:color="auto"/>
                              <w:bottom w:val="single" w:sz="8" w:space="0" w:color="auto"/>
                              <w:right w:val="single" w:sz="8" w:space="0" w:color="auto"/>
                            </w:tcBorders>
                            <w:shd w:val="clear" w:color="auto" w:fill="auto"/>
                            <w:noWrap/>
                            <w:vAlign w:val="center"/>
                            <w:hideMark/>
                          </w:tcPr>
                          <w:p w14:paraId="55E0450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11.8%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7C42FA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2.7%</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C63D50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5.5%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7CF1624F"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14.6%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35563F0"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7.1%</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DE7D61E"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20DEDE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29.2%</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B6C88D1"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2.9%</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DC981D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68796C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4.8%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AB069E5"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6.5%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CDB5DF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8.1%</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46B0BC86" w14:textId="77777777" w:rsidR="00156D1F" w:rsidRPr="00B82C1A" w:rsidRDefault="00156D1F" w:rsidP="008C05D3">
                            <w:pPr>
                              <w:spacing w:after="0" w:line="240" w:lineRule="auto"/>
                              <w:rPr>
                                <w:rFonts w:ascii="Arial" w:eastAsia="Times New Roman" w:hAnsi="Arial" w:cs="Arial"/>
                                <w:color w:val="000000"/>
                                <w:sz w:val="12"/>
                                <w:szCs w:val="12"/>
                                <w:lang w:val="en-US" w:eastAsia="en-GB"/>
                              </w:rPr>
                            </w:pPr>
                            <w:r w:rsidRPr="00B82C1A">
                              <w:rPr>
                                <w:rFonts w:ascii="Arial" w:eastAsia="Times New Roman" w:hAnsi="Arial" w:cs="Arial"/>
                                <w:color w:val="000000"/>
                                <w:sz w:val="12"/>
                                <w:szCs w:val="12"/>
                                <w:lang w:val="en-US" w:eastAsia="en-GB"/>
                              </w:rPr>
                              <w:t> </w:t>
                            </w:r>
                          </w:p>
                        </w:tc>
                      </w:tr>
                      <w:tr w:rsidR="00156D1F" w:rsidRPr="00B82C1A" w14:paraId="4D43CB1F" w14:textId="77777777" w:rsidTr="008C05D3">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19065179"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1.Grup</w:t>
                            </w:r>
                          </w:p>
                        </w:tc>
                        <w:tc>
                          <w:tcPr>
                            <w:tcW w:w="2085" w:type="dxa"/>
                            <w:tcBorders>
                              <w:top w:val="single" w:sz="8" w:space="0" w:color="auto"/>
                              <w:left w:val="single" w:sz="8" w:space="0" w:color="auto"/>
                              <w:bottom w:val="nil"/>
                              <w:right w:val="single" w:sz="8" w:space="0" w:color="auto"/>
                            </w:tcBorders>
                            <w:shd w:val="clear" w:color="auto" w:fill="auto"/>
                            <w:noWrap/>
                            <w:vAlign w:val="bottom"/>
                            <w:hideMark/>
                          </w:tcPr>
                          <w:p w14:paraId="227057DD" w14:textId="77777777" w:rsidR="00156D1F" w:rsidRPr="00B82C1A" w:rsidRDefault="007240CF" w:rsidP="008C05D3">
                            <w:pPr>
                              <w:spacing w:after="0" w:line="240" w:lineRule="auto"/>
                              <w:rPr>
                                <w:rFonts w:ascii="Arial" w:eastAsia="Times New Roman" w:hAnsi="Arial" w:cs="Arial"/>
                                <w:b/>
                                <w:bCs/>
                                <w:color w:val="000000"/>
                                <w:sz w:val="14"/>
                                <w:szCs w:val="14"/>
                                <w:lang w:val="en-US" w:eastAsia="en-GB"/>
                              </w:rPr>
                            </w:pPr>
                            <m:oMathPara>
                              <m:oMathParaPr>
                                <m:jc m:val="left"/>
                              </m:oMathParaPr>
                              <m:oMath>
                                <m:nary>
                                  <m:naryPr>
                                    <m:chr m:val="∑"/>
                                    <m:limLoc m:val="undOvr"/>
                                    <m:ctrlPr>
                                      <w:rPr>
                                        <w:rFonts w:ascii="Cambria Math" w:eastAsia="Times New Roman" w:hAnsi="Cambria Math" w:cs="Arial"/>
                                        <w:b/>
                                        <w:bCs/>
                                        <w:i/>
                                        <w:color w:val="000000"/>
                                        <w:sz w:val="16"/>
                                        <w:szCs w:val="16"/>
                                        <w:lang w:val="en-US" w:eastAsia="en-GB"/>
                                      </w:rPr>
                                    </m:ctrlPr>
                                  </m:naryPr>
                                  <m:sub>
                                    <m:r>
                                      <m:rPr>
                                        <m:sty m:val="bi"/>
                                      </m:rPr>
                                      <w:rPr>
                                        <w:rFonts w:ascii="Cambria Math" w:eastAsia="Times New Roman" w:hAnsi="Cambria Math" w:cs="Arial"/>
                                        <w:color w:val="000000"/>
                                        <w:sz w:val="16"/>
                                        <w:szCs w:val="16"/>
                                        <w:lang w:val="en-US" w:eastAsia="en-GB"/>
                                      </w:rPr>
                                      <m:t>i=1</m:t>
                                    </m:r>
                                  </m:sub>
                                  <m:sup>
                                    <m:r>
                                      <m:rPr>
                                        <m:sty m:val="bi"/>
                                      </m:rPr>
                                      <w:rPr>
                                        <w:rFonts w:ascii="Cambria Math" w:eastAsia="Times New Roman" w:hAnsi="Cambria Math" w:cs="Arial"/>
                                        <w:color w:val="000000"/>
                                        <w:sz w:val="16"/>
                                        <w:szCs w:val="16"/>
                                        <w:lang w:val="en-US" w:eastAsia="en-GB"/>
                                      </w:rPr>
                                      <m:t>12</m:t>
                                    </m:r>
                                  </m:sup>
                                  <m:e>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α</m:t>
                                        </m:r>
                                      </m:e>
                                      <m:sub>
                                        <m:r>
                                          <m:rPr>
                                            <m:sty m:val="bi"/>
                                          </m:rPr>
                                          <w:rPr>
                                            <w:rFonts w:ascii="Cambria Math" w:eastAsia="Times New Roman" w:hAnsi="Cambria Math" w:cs="Arial"/>
                                            <w:color w:val="000000"/>
                                            <w:sz w:val="16"/>
                                            <w:szCs w:val="16"/>
                                            <w:lang w:val="en-US"/>
                                          </w:rPr>
                                          <m:t>i</m:t>
                                        </m:r>
                                      </m:sub>
                                    </m:sSub>
                                  </m:e>
                                </m:nary>
                              </m:oMath>
                            </m:oMathPara>
                          </w:p>
                        </w:tc>
                        <w:tc>
                          <w:tcPr>
                            <w:tcW w:w="473" w:type="dxa"/>
                            <w:tcBorders>
                              <w:top w:val="nil"/>
                              <w:left w:val="single" w:sz="8" w:space="0" w:color="auto"/>
                              <w:bottom w:val="nil"/>
                              <w:right w:val="single" w:sz="8" w:space="0" w:color="auto"/>
                            </w:tcBorders>
                            <w:shd w:val="clear" w:color="auto" w:fill="auto"/>
                            <w:noWrap/>
                            <w:vAlign w:val="center"/>
                            <w:hideMark/>
                          </w:tcPr>
                          <w:p w14:paraId="4AE7890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0.40</w:t>
                            </w:r>
                          </w:p>
                        </w:tc>
                        <w:tc>
                          <w:tcPr>
                            <w:tcW w:w="648" w:type="dxa"/>
                            <w:tcBorders>
                              <w:top w:val="nil"/>
                              <w:left w:val="nil"/>
                              <w:bottom w:val="nil"/>
                              <w:right w:val="nil"/>
                            </w:tcBorders>
                            <w:shd w:val="clear" w:color="auto" w:fill="auto"/>
                            <w:noWrap/>
                            <w:vAlign w:val="center"/>
                            <w:hideMark/>
                          </w:tcPr>
                          <w:p w14:paraId="2F7FF5C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0.04</w:t>
                            </w:r>
                          </w:p>
                        </w:tc>
                        <w:tc>
                          <w:tcPr>
                            <w:tcW w:w="648" w:type="dxa"/>
                            <w:tcBorders>
                              <w:top w:val="nil"/>
                              <w:left w:val="single" w:sz="8" w:space="0" w:color="auto"/>
                              <w:bottom w:val="nil"/>
                              <w:right w:val="single" w:sz="8" w:space="0" w:color="auto"/>
                            </w:tcBorders>
                            <w:shd w:val="clear" w:color="auto" w:fill="auto"/>
                            <w:noWrap/>
                            <w:vAlign w:val="center"/>
                            <w:hideMark/>
                          </w:tcPr>
                          <w:p w14:paraId="5B03D9C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0.02</w:t>
                            </w:r>
                          </w:p>
                        </w:tc>
                        <w:tc>
                          <w:tcPr>
                            <w:tcW w:w="648" w:type="dxa"/>
                            <w:tcBorders>
                              <w:top w:val="nil"/>
                              <w:left w:val="nil"/>
                              <w:bottom w:val="nil"/>
                              <w:right w:val="nil"/>
                            </w:tcBorders>
                            <w:shd w:val="clear" w:color="auto" w:fill="auto"/>
                            <w:noWrap/>
                            <w:vAlign w:val="center"/>
                            <w:hideMark/>
                          </w:tcPr>
                          <w:p w14:paraId="3DC5CFD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0.45</w:t>
                            </w:r>
                          </w:p>
                        </w:tc>
                        <w:tc>
                          <w:tcPr>
                            <w:tcW w:w="648" w:type="dxa"/>
                            <w:tcBorders>
                              <w:top w:val="nil"/>
                              <w:left w:val="single" w:sz="8" w:space="0" w:color="auto"/>
                              <w:bottom w:val="nil"/>
                              <w:right w:val="single" w:sz="8" w:space="0" w:color="auto"/>
                            </w:tcBorders>
                            <w:shd w:val="clear" w:color="auto" w:fill="auto"/>
                            <w:noWrap/>
                            <w:vAlign w:val="center"/>
                            <w:hideMark/>
                          </w:tcPr>
                          <w:p w14:paraId="68C3B90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0.04</w:t>
                            </w:r>
                          </w:p>
                        </w:tc>
                        <w:tc>
                          <w:tcPr>
                            <w:tcW w:w="648" w:type="dxa"/>
                            <w:tcBorders>
                              <w:top w:val="nil"/>
                              <w:left w:val="nil"/>
                              <w:bottom w:val="nil"/>
                              <w:right w:val="nil"/>
                            </w:tcBorders>
                            <w:shd w:val="clear" w:color="auto" w:fill="auto"/>
                            <w:noWrap/>
                            <w:vAlign w:val="center"/>
                            <w:hideMark/>
                          </w:tcPr>
                          <w:p w14:paraId="379D6143"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0.02</w:t>
                            </w:r>
                          </w:p>
                        </w:tc>
                        <w:tc>
                          <w:tcPr>
                            <w:tcW w:w="648" w:type="dxa"/>
                            <w:tcBorders>
                              <w:top w:val="nil"/>
                              <w:left w:val="single" w:sz="8" w:space="0" w:color="auto"/>
                              <w:bottom w:val="nil"/>
                              <w:right w:val="single" w:sz="8" w:space="0" w:color="auto"/>
                            </w:tcBorders>
                            <w:shd w:val="clear" w:color="auto" w:fill="auto"/>
                            <w:noWrap/>
                            <w:vAlign w:val="center"/>
                            <w:hideMark/>
                          </w:tcPr>
                          <w:p w14:paraId="2BA91185"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0.04</w:t>
                            </w:r>
                          </w:p>
                        </w:tc>
                        <w:tc>
                          <w:tcPr>
                            <w:tcW w:w="648" w:type="dxa"/>
                            <w:tcBorders>
                              <w:top w:val="nil"/>
                              <w:left w:val="nil"/>
                              <w:bottom w:val="nil"/>
                              <w:right w:val="nil"/>
                            </w:tcBorders>
                            <w:shd w:val="clear" w:color="auto" w:fill="auto"/>
                            <w:noWrap/>
                            <w:vAlign w:val="center"/>
                            <w:hideMark/>
                          </w:tcPr>
                          <w:p w14:paraId="1011EE6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nil"/>
                              <w:right w:val="single" w:sz="8" w:space="0" w:color="auto"/>
                            </w:tcBorders>
                            <w:shd w:val="clear" w:color="auto" w:fill="auto"/>
                            <w:noWrap/>
                            <w:vAlign w:val="center"/>
                            <w:hideMark/>
                          </w:tcPr>
                          <w:p w14:paraId="1AF41CD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0.01</w:t>
                            </w:r>
                          </w:p>
                        </w:tc>
                        <w:tc>
                          <w:tcPr>
                            <w:tcW w:w="648" w:type="dxa"/>
                            <w:tcBorders>
                              <w:top w:val="nil"/>
                              <w:left w:val="nil"/>
                              <w:bottom w:val="nil"/>
                              <w:right w:val="nil"/>
                            </w:tcBorders>
                            <w:shd w:val="clear" w:color="auto" w:fill="auto"/>
                            <w:noWrap/>
                            <w:vAlign w:val="center"/>
                            <w:hideMark/>
                          </w:tcPr>
                          <w:p w14:paraId="2203571F"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0.00</w:t>
                            </w:r>
                          </w:p>
                        </w:tc>
                        <w:tc>
                          <w:tcPr>
                            <w:tcW w:w="648" w:type="dxa"/>
                            <w:tcBorders>
                              <w:top w:val="nil"/>
                              <w:left w:val="single" w:sz="8" w:space="0" w:color="auto"/>
                              <w:bottom w:val="nil"/>
                              <w:right w:val="single" w:sz="8" w:space="0" w:color="auto"/>
                            </w:tcBorders>
                            <w:shd w:val="clear" w:color="auto" w:fill="auto"/>
                            <w:noWrap/>
                            <w:vAlign w:val="center"/>
                            <w:hideMark/>
                          </w:tcPr>
                          <w:p w14:paraId="75321321"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nil"/>
                              <w:bottom w:val="nil"/>
                              <w:right w:val="nil"/>
                            </w:tcBorders>
                            <w:shd w:val="clear" w:color="auto" w:fill="auto"/>
                            <w:noWrap/>
                            <w:vAlign w:val="center"/>
                            <w:hideMark/>
                          </w:tcPr>
                          <w:p w14:paraId="1D14D526"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0.02</w:t>
                            </w:r>
                          </w:p>
                        </w:tc>
                        <w:tc>
                          <w:tcPr>
                            <w:tcW w:w="949" w:type="dxa"/>
                            <w:tcBorders>
                              <w:top w:val="nil"/>
                              <w:left w:val="single" w:sz="8" w:space="0" w:color="auto"/>
                              <w:bottom w:val="nil"/>
                              <w:right w:val="single" w:sz="8" w:space="0" w:color="auto"/>
                            </w:tcBorders>
                            <w:shd w:val="clear" w:color="auto" w:fill="auto"/>
                            <w:noWrap/>
                            <w:vAlign w:val="center"/>
                            <w:hideMark/>
                          </w:tcPr>
                          <w:p w14:paraId="4341C588"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1.12</w:t>
                            </w:r>
                          </w:p>
                        </w:tc>
                      </w:tr>
                      <w:tr w:rsidR="00156D1F" w:rsidRPr="00B82C1A" w14:paraId="68FB649E" w14:textId="77777777" w:rsidTr="008C05D3">
                        <w:trPr>
                          <w:trHeight w:val="44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3CD44080" w14:textId="77777777" w:rsidR="00156D1F" w:rsidRPr="00B82C1A" w:rsidRDefault="00156D1F" w:rsidP="008C05D3">
                            <w:pPr>
                              <w:spacing w:after="0" w:line="240" w:lineRule="auto"/>
                              <w:rPr>
                                <w:rFonts w:ascii="Arial" w:eastAsia="Times New Roman" w:hAnsi="Arial" w:cs="Arial"/>
                                <w:b/>
                                <w:bCs/>
                                <w:color w:val="000000"/>
                                <w:sz w:val="14"/>
                                <w:szCs w:val="14"/>
                                <w:lang w:val="en-US" w:eastAsia="en-GB"/>
                              </w:rPr>
                            </w:pPr>
                            <w:r w:rsidRPr="00B82C1A">
                              <w:rPr>
                                <w:rFonts w:ascii="Arial" w:eastAsia="Times New Roman" w:hAnsi="Arial" w:cs="Arial"/>
                                <w:b/>
                                <w:bCs/>
                                <w:color w:val="000000"/>
                                <w:sz w:val="14"/>
                                <w:szCs w:val="14"/>
                                <w:lang w:val="en-US" w:eastAsia="en-GB"/>
                              </w:rPr>
                              <w:t>10.Grup</w:t>
                            </w:r>
                          </w:p>
                        </w:tc>
                        <w:tc>
                          <w:tcPr>
                            <w:tcW w:w="2085" w:type="dxa"/>
                            <w:tcBorders>
                              <w:top w:val="nil"/>
                              <w:left w:val="single" w:sz="8" w:space="0" w:color="auto"/>
                              <w:bottom w:val="single" w:sz="8" w:space="0" w:color="auto"/>
                              <w:right w:val="single" w:sz="8" w:space="0" w:color="auto"/>
                            </w:tcBorders>
                            <w:shd w:val="clear" w:color="auto" w:fill="auto"/>
                            <w:noWrap/>
                            <w:vAlign w:val="bottom"/>
                            <w:hideMark/>
                          </w:tcPr>
                          <w:p w14:paraId="35BB38FB"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 </w:t>
                            </w:r>
                            <m:oMath>
                              <m:r>
                                <m:rPr>
                                  <m:sty m:val="p"/>
                                </m:rPr>
                                <w:rPr>
                                  <w:rFonts w:ascii="Cambria Math" w:eastAsia="Times New Roman" w:hAnsi="Cambria Math" w:cs="Arial"/>
                                  <w:color w:val="000000"/>
                                  <w:sz w:val="14"/>
                                  <w:szCs w:val="14"/>
                                  <w:lang w:val="en-US"/>
                                </w:rPr>
                                <w:br/>
                              </m:r>
                            </m:oMath>
                            <m:oMathPara>
                              <m:oMathParaPr>
                                <m:jc m:val="left"/>
                              </m:oMathParaPr>
                              <m:oMath>
                                <m:nary>
                                  <m:naryPr>
                                    <m:chr m:val="∑"/>
                                    <m:limLoc m:val="undOvr"/>
                                    <m:ctrlPr>
                                      <w:rPr>
                                        <w:rFonts w:ascii="Cambria Math" w:eastAsia="Times New Roman" w:hAnsi="Cambria Math" w:cs="Arial"/>
                                        <w:i/>
                                        <w:color w:val="000000"/>
                                        <w:sz w:val="16"/>
                                        <w:szCs w:val="16"/>
                                        <w:lang w:val="en-US" w:eastAsia="en-GB"/>
                                      </w:rPr>
                                    </m:ctrlPr>
                                  </m:naryPr>
                                  <m:sub>
                                    <m:r>
                                      <w:rPr>
                                        <w:rFonts w:ascii="Cambria Math" w:eastAsia="Times New Roman" w:hAnsi="Cambria Math" w:cs="Arial"/>
                                        <w:color w:val="000000"/>
                                        <w:sz w:val="16"/>
                                        <w:szCs w:val="16"/>
                                        <w:lang w:val="en-US" w:eastAsia="en-GB"/>
                                      </w:rPr>
                                      <m:t>i=1</m:t>
                                    </m:r>
                                  </m:sub>
                                  <m:sup>
                                    <m:r>
                                      <w:rPr>
                                        <w:rFonts w:ascii="Cambria Math" w:eastAsia="Times New Roman" w:hAnsi="Cambria Math" w:cs="Arial"/>
                                        <w:color w:val="000000"/>
                                        <w:sz w:val="16"/>
                                        <w:szCs w:val="16"/>
                                        <w:lang w:val="en-US" w:eastAsia="en-GB"/>
                                      </w:rPr>
                                      <m:t>12</m:t>
                                    </m:r>
                                  </m:sup>
                                  <m:e>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β</m:t>
                                        </m:r>
                                      </m:e>
                                      <m:sub>
                                        <m:r>
                                          <m:rPr>
                                            <m:sty m:val="bi"/>
                                          </m:rPr>
                                          <w:rPr>
                                            <w:rFonts w:ascii="Cambria Math" w:eastAsia="Times New Roman" w:hAnsi="Cambria Math" w:cs="Arial"/>
                                            <w:color w:val="000000"/>
                                            <w:sz w:val="16"/>
                                            <w:szCs w:val="16"/>
                                            <w:lang w:val="en-US"/>
                                          </w:rPr>
                                          <m:t>i</m:t>
                                        </m:r>
                                      </m:sub>
                                    </m:sSub>
                                  </m:e>
                                </m:nary>
                              </m:oMath>
                            </m:oMathPara>
                          </w:p>
                        </w:tc>
                        <w:tc>
                          <w:tcPr>
                            <w:tcW w:w="473" w:type="dxa"/>
                            <w:tcBorders>
                              <w:top w:val="nil"/>
                              <w:left w:val="single" w:sz="8" w:space="0" w:color="auto"/>
                              <w:bottom w:val="single" w:sz="8" w:space="0" w:color="auto"/>
                              <w:right w:val="single" w:sz="8" w:space="0" w:color="auto"/>
                            </w:tcBorders>
                            <w:shd w:val="clear" w:color="auto" w:fill="auto"/>
                            <w:noWrap/>
                            <w:vAlign w:val="center"/>
                            <w:hideMark/>
                          </w:tcPr>
                          <w:p w14:paraId="6A85BDC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0.13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7CEC899"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2F263BB"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7E8E814"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0.16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D1C3DBA"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F78E913"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C927C4F"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0.32</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AB7A6A8"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2817192"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AEEAF2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1C23F17"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0.07</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3FB199D" w14:textId="77777777" w:rsidR="00156D1F" w:rsidRPr="00B82C1A" w:rsidRDefault="00156D1F" w:rsidP="008C05D3">
                            <w:pPr>
                              <w:spacing w:after="0" w:line="240" w:lineRule="auto"/>
                              <w:jc w:val="center"/>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0.09</w:t>
                            </w:r>
                          </w:p>
                        </w:tc>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33128815" w14:textId="77777777" w:rsidR="00156D1F" w:rsidRPr="00B82C1A" w:rsidRDefault="00156D1F" w:rsidP="008C05D3">
                            <w:pPr>
                              <w:spacing w:after="0" w:line="240" w:lineRule="auto"/>
                              <w:rPr>
                                <w:rFonts w:ascii="Arial" w:eastAsia="Times New Roman" w:hAnsi="Arial" w:cs="Arial"/>
                                <w:color w:val="000000"/>
                                <w:sz w:val="14"/>
                                <w:szCs w:val="14"/>
                                <w:lang w:val="en-US" w:eastAsia="en-GB"/>
                              </w:rPr>
                            </w:pPr>
                            <w:r w:rsidRPr="00B82C1A">
                              <w:rPr>
                                <w:rFonts w:ascii="Arial" w:eastAsia="Times New Roman" w:hAnsi="Arial" w:cs="Arial"/>
                                <w:color w:val="000000"/>
                                <w:sz w:val="14"/>
                                <w:szCs w:val="14"/>
                                <w:lang w:val="en-US" w:eastAsia="en-GB"/>
                              </w:rPr>
                              <w:t>1.10</w:t>
                            </w:r>
                          </w:p>
                        </w:tc>
                      </w:tr>
                    </w:tbl>
                    <w:p w14:paraId="0F4FFD2F" w14:textId="77777777" w:rsidR="00156D1F" w:rsidRPr="00B82C1A" w:rsidRDefault="00156D1F" w:rsidP="00B82C1A">
                      <w:pPr>
                        <w:tabs>
                          <w:tab w:val="left" w:pos="0"/>
                        </w:tabs>
                        <w:spacing w:after="0"/>
                        <w:ind w:right="35"/>
                        <w:rPr>
                          <w:lang w:val="en-US"/>
                        </w:rPr>
                      </w:pPr>
                    </w:p>
                    <w:p w14:paraId="0AB0AA40" w14:textId="77777777" w:rsidR="00156D1F" w:rsidRPr="00B82C1A" w:rsidRDefault="00156D1F" w:rsidP="00B82C1A">
                      <w:pPr>
                        <w:rPr>
                          <w:rFonts w:cs="Arial"/>
                          <w:color w:val="000000" w:themeColor="text1"/>
                          <w:lang w:val="en-US"/>
                        </w:rPr>
                      </w:pPr>
                      <w:r w:rsidRPr="00B82C1A">
                        <w:rPr>
                          <w:rFonts w:cs="Arial"/>
                          <w:color w:val="000000" w:themeColor="text1"/>
                          <w:lang w:val="en-US"/>
                        </w:rPr>
                        <w:t xml:space="preserve">To obtain July 2021 CPI for the poorest and the richest expenditure groups, we multiplied  </w:t>
                      </w:r>
                      <m:oMath>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α</m:t>
                            </m:r>
                          </m:e>
                          <m:sub>
                            <m:r>
                              <m:rPr>
                                <m:sty m:val="bi"/>
                              </m:rPr>
                              <w:rPr>
                                <w:rFonts w:ascii="Cambria Math" w:eastAsia="Times New Roman" w:hAnsi="Cambria Math" w:cs="Arial"/>
                                <w:color w:val="000000"/>
                                <w:sz w:val="16"/>
                                <w:szCs w:val="16"/>
                                <w:lang w:val="en-US"/>
                              </w:rPr>
                              <m:t>i</m:t>
                            </m:r>
                          </m:sub>
                        </m:sSub>
                      </m:oMath>
                      <w:r w:rsidRPr="00B82C1A">
                        <w:rPr>
                          <w:rFonts w:cs="Arial"/>
                          <w:color w:val="000000" w:themeColor="text1"/>
                          <w:lang w:val="en-US"/>
                        </w:rPr>
                        <w:t xml:space="preserve"> </w:t>
                      </w:r>
                      <w:r w:rsidRPr="00B82C1A">
                        <w:rPr>
                          <w:rFonts w:cs="Arial"/>
                          <w:noProof/>
                          <w:color w:val="000000" w:themeColor="text1"/>
                          <w:vertAlign w:val="subscript"/>
                          <w:lang w:val="en-US"/>
                        </w:rPr>
                        <w:t xml:space="preserve">    </w:t>
                      </w:r>
                      <w:r w:rsidRPr="00B82C1A">
                        <w:rPr>
                          <w:rFonts w:cs="Arial"/>
                          <w:noProof/>
                          <w:color w:val="000000" w:themeColor="text1"/>
                          <w:lang w:val="en-US"/>
                        </w:rPr>
                        <w:t xml:space="preserve"> and </w:t>
                      </w:r>
                      <m:oMath>
                        <m:f>
                          <m:fPr>
                            <m:type m:val="skw"/>
                            <m:ctrlPr>
                              <w:rPr>
                                <w:rFonts w:ascii="Cambria Math" w:eastAsia="Times New Roman" w:hAnsi="Cambria Math" w:cs="Arial"/>
                                <w:b/>
                                <w:bCs/>
                                <w:i/>
                                <w:color w:val="000000"/>
                                <w:sz w:val="16"/>
                                <w:szCs w:val="16"/>
                                <w:lang w:val="en-US"/>
                              </w:rPr>
                            </m:ctrlPr>
                          </m:fPr>
                          <m:num>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it</m:t>
                                </m:r>
                              </m:sub>
                            </m:sSub>
                          </m:num>
                          <m:den>
                            <m:sSub>
                              <m:sSubPr>
                                <m:ctrlPr>
                                  <w:rPr>
                                    <w:rFonts w:ascii="Cambria Math" w:eastAsia="Times New Roman" w:hAnsi="Cambria Math" w:cs="Arial"/>
                                    <w:b/>
                                    <w:bCs/>
                                    <w:i/>
                                    <w:color w:val="000000"/>
                                    <w:sz w:val="16"/>
                                    <w:szCs w:val="16"/>
                                    <w:lang w:val="en-US"/>
                                  </w:rPr>
                                </m:ctrlPr>
                              </m:sSubPr>
                              <m:e>
                                <m:r>
                                  <m:rPr>
                                    <m:sty m:val="bi"/>
                                  </m:rPr>
                                  <w:rPr>
                                    <w:rFonts w:ascii="Cambria Math" w:eastAsia="Times New Roman" w:hAnsi="Cambria Math" w:cs="Arial"/>
                                    <w:color w:val="000000"/>
                                    <w:sz w:val="16"/>
                                    <w:szCs w:val="16"/>
                                    <w:lang w:val="en-US"/>
                                  </w:rPr>
                                  <m:t>E</m:t>
                                </m:r>
                              </m:e>
                              <m:sub>
                                <m:r>
                                  <m:rPr>
                                    <m:sty m:val="bi"/>
                                  </m:rPr>
                                  <w:rPr>
                                    <w:rFonts w:ascii="Cambria Math" w:eastAsia="Times New Roman" w:hAnsi="Cambria Math" w:cs="Arial"/>
                                    <w:color w:val="000000"/>
                                    <w:sz w:val="16"/>
                                    <w:szCs w:val="16"/>
                                    <w:lang w:val="en-US"/>
                                  </w:rPr>
                                  <m:t>i,December(t-1)</m:t>
                                </m:r>
                              </m:sub>
                            </m:sSub>
                          </m:den>
                        </m:f>
                        <m:r>
                          <m:rPr>
                            <m:sty m:val="bi"/>
                          </m:rPr>
                          <w:rPr>
                            <w:rFonts w:ascii="Cambria Math" w:eastAsia="Times New Roman" w:hAnsi="Cambria Math" w:cs="Arial"/>
                            <w:color w:val="000000"/>
                            <w:sz w:val="16"/>
                            <w:szCs w:val="16"/>
                            <w:lang w:val="en-US"/>
                          </w:rPr>
                          <m:t>*</m:t>
                        </m:r>
                        <m:sSub>
                          <m:sSubPr>
                            <m:ctrlPr>
                              <w:rPr>
                                <w:rFonts w:ascii="Cambria Math" w:eastAsia="Times New Roman" w:hAnsi="Cambria Math" w:cs="Arial"/>
                                <w:b/>
                                <w:i/>
                                <w:color w:val="000000"/>
                                <w:sz w:val="16"/>
                                <w:szCs w:val="16"/>
                                <w:lang w:val="en-US"/>
                              </w:rPr>
                            </m:ctrlPr>
                          </m:sSubPr>
                          <m:e>
                            <m:r>
                              <m:rPr>
                                <m:sty m:val="bi"/>
                              </m:rPr>
                              <w:rPr>
                                <w:rFonts w:ascii="Cambria Math" w:eastAsia="Times New Roman" w:hAnsi="Cambria Math" w:cs="Arial"/>
                                <w:color w:val="000000"/>
                                <w:sz w:val="16"/>
                                <w:szCs w:val="16"/>
                                <w:lang w:val="en-US"/>
                              </w:rPr>
                              <m:t>β</m:t>
                            </m:r>
                          </m:e>
                          <m:sub>
                            <m:r>
                              <m:rPr>
                                <m:sty m:val="bi"/>
                              </m:rPr>
                              <w:rPr>
                                <w:rFonts w:ascii="Cambria Math" w:eastAsia="Times New Roman" w:hAnsi="Cambria Math" w:cs="Arial"/>
                                <w:color w:val="000000"/>
                                <w:sz w:val="16"/>
                                <w:szCs w:val="16"/>
                                <w:lang w:val="en-US"/>
                              </w:rPr>
                              <m:t>i</m:t>
                            </m:r>
                          </m:sub>
                        </m:sSub>
                        <m:r>
                          <m:rPr>
                            <m:sty m:val="bi"/>
                          </m:rPr>
                          <w:rPr>
                            <w:rFonts w:ascii="Cambria Math" w:eastAsia="Times New Roman" w:hAnsi="Cambria Math" w:cs="Arial"/>
                            <w:color w:val="000000"/>
                            <w:sz w:val="16"/>
                            <w:szCs w:val="16"/>
                            <w:lang w:val="en-US"/>
                          </w:rPr>
                          <m:t xml:space="preserve"> </m:t>
                        </m:r>
                      </m:oMath>
                      <w:r w:rsidRPr="00B82C1A">
                        <w:rPr>
                          <w:rFonts w:cs="Arial"/>
                          <w:noProof/>
                          <w:color w:val="000000" w:themeColor="text1"/>
                          <w:lang w:val="en-US"/>
                        </w:rPr>
                        <w:t xml:space="preserve"> for each subgroups with the chained December 2020 CPI calcuted by Betam</w:t>
                      </w:r>
                    </w:p>
                    <w:p w14:paraId="3680193D" w14:textId="77777777" w:rsidR="00156D1F" w:rsidRPr="00B82C1A" w:rsidRDefault="00156D1F" w:rsidP="00B82C1A">
                      <w:pPr>
                        <w:spacing w:after="0"/>
                        <w:rPr>
                          <w:rFonts w:cs="Arial"/>
                          <w:color w:val="000000" w:themeColor="text1"/>
                          <w:lang w:val="en-US"/>
                        </w:rPr>
                      </w:pPr>
                      <w:r w:rsidRPr="00B82C1A">
                        <w:rPr>
                          <w:rFonts w:cs="Arial"/>
                          <w:color w:val="000000" w:themeColor="text1"/>
                          <w:lang w:val="en-US"/>
                        </w:rPr>
                        <w:t xml:space="preserve">TÜFE </w:t>
                      </w:r>
                      <w:r w:rsidRPr="00B82C1A">
                        <w:rPr>
                          <w:rFonts w:cs="Arial"/>
                          <w:color w:val="000000" w:themeColor="text1"/>
                          <w:vertAlign w:val="subscript"/>
                          <w:lang w:val="en-US"/>
                        </w:rPr>
                        <w:t>poorest</w:t>
                      </w:r>
                      <w:r w:rsidRPr="00B82C1A">
                        <w:rPr>
                          <w:rFonts w:cs="Arial"/>
                          <w:color w:val="000000" w:themeColor="text1"/>
                          <w:sz w:val="28"/>
                          <w:szCs w:val="28"/>
                          <w:vertAlign w:val="subscript"/>
                          <w:lang w:val="en-US"/>
                        </w:rPr>
                        <w:t xml:space="preserve"> </w:t>
                      </w:r>
                      <w:r w:rsidRPr="00B82C1A">
                        <w:rPr>
                          <w:rFonts w:cs="Arial"/>
                          <w:color w:val="000000" w:themeColor="text1"/>
                          <w:vertAlign w:val="subscript"/>
                          <w:lang w:val="en-US"/>
                        </w:rPr>
                        <w:t>(July  2021)</w:t>
                      </w:r>
                      <w:r w:rsidRPr="00B82C1A">
                        <w:rPr>
                          <w:rFonts w:cs="Arial"/>
                          <w:color w:val="000000" w:themeColor="text1"/>
                          <w:lang w:val="en-US"/>
                        </w:rPr>
                        <w:t xml:space="preserve"> = </w:t>
                      </w:r>
                      <m:oMath>
                        <m:d>
                          <m:dPr>
                            <m:ctrlPr>
                              <w:rPr>
                                <w:rFonts w:ascii="Cambria Math" w:hAnsi="Cambria Math" w:cs="Arial"/>
                                <w:i/>
                                <w:color w:val="000000" w:themeColor="text1"/>
                                <w:lang w:val="en-US"/>
                              </w:rPr>
                            </m:ctrlPr>
                          </m:dPr>
                          <m:e>
                            <m:nary>
                              <m:naryPr>
                                <m:chr m:val="∑"/>
                                <m:limLoc m:val="undOvr"/>
                                <m:ctrlPr>
                                  <w:rPr>
                                    <w:rFonts w:ascii="Cambria Math" w:hAnsi="Cambria Math" w:cs="Arial"/>
                                    <w:i/>
                                    <w:color w:val="000000" w:themeColor="text1"/>
                                    <w:lang w:val="en-US"/>
                                  </w:rPr>
                                </m:ctrlPr>
                              </m:naryPr>
                              <m:sub>
                                <m:r>
                                  <w:rPr>
                                    <w:rFonts w:ascii="Cambria Math" w:hAnsi="Cambria Math" w:cs="Arial"/>
                                    <w:color w:val="000000" w:themeColor="text1"/>
                                    <w:lang w:val="en-US"/>
                                  </w:rPr>
                                  <m:t>i=1</m:t>
                                </m:r>
                              </m:sub>
                              <m:sup>
                                <m:r>
                                  <w:rPr>
                                    <w:rFonts w:ascii="Cambria Math" w:hAnsi="Cambria Math" w:cs="Arial"/>
                                    <w:color w:val="000000" w:themeColor="text1"/>
                                    <w:lang w:val="en-US"/>
                                  </w:rPr>
                                  <m:t>12</m:t>
                                </m:r>
                              </m:sup>
                              <m:e>
                                <m:f>
                                  <m:fPr>
                                    <m:type m:val="skw"/>
                                    <m:ctrlPr>
                                      <w:rPr>
                                        <w:rFonts w:ascii="Cambria Math" w:hAnsi="Cambria Math" w:cs="Arial"/>
                                        <w:i/>
                                        <w:color w:val="000000" w:themeColor="text1"/>
                                        <w:lang w:val="en-US"/>
                                      </w:rPr>
                                    </m:ctrlPr>
                                  </m:fPr>
                                  <m:num>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it</m:t>
                                        </m:r>
                                      </m:sub>
                                    </m:sSub>
                                  </m:num>
                                  <m:den>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 December(t-1)</m:t>
                                        </m:r>
                                      </m:sub>
                                    </m:sSub>
                                  </m:den>
                                </m:f>
                                <m:r>
                                  <w:rPr>
                                    <w:rFonts w:ascii="Cambria Math" w:hAnsi="Cambria Math" w:cs="Arial"/>
                                    <w:color w:val="000000" w:themeColor="text1"/>
                                    <w:lang w:val="en-US"/>
                                  </w:rPr>
                                  <m:t>×</m:t>
                                </m:r>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α</m:t>
                                    </m:r>
                                  </m:e>
                                  <m:sub>
                                    <m:r>
                                      <w:rPr>
                                        <w:rFonts w:ascii="Cambria Math" w:hAnsi="Cambria Math" w:cs="Arial"/>
                                        <w:color w:val="000000" w:themeColor="text1"/>
                                        <w:lang w:val="en-US"/>
                                      </w:rPr>
                                      <m:t>i</m:t>
                                    </m:r>
                                  </m:sub>
                                </m:sSub>
                              </m:e>
                            </m:nary>
                          </m:e>
                        </m:d>
                      </m:oMath>
                      <w:r w:rsidRPr="00B82C1A">
                        <w:rPr>
                          <w:rFonts w:cstheme="minorHAnsi"/>
                          <w:color w:val="000000" w:themeColor="text1"/>
                          <w:lang w:val="en-US"/>
                        </w:rPr>
                        <w:t>×</w:t>
                      </w: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December(t-1)</m:t>
                            </m:r>
                          </m:sub>
                        </m:sSub>
                      </m:oMath>
                      <w:r w:rsidRPr="00B82C1A">
                        <w:rPr>
                          <w:rFonts w:cs="Arial"/>
                          <w:color w:val="000000" w:themeColor="text1"/>
                          <w:vertAlign w:val="subscript"/>
                          <w:lang w:val="en-US"/>
                        </w:rPr>
                        <w:t xml:space="preserve">  </w:t>
                      </w:r>
                      <w:r w:rsidRPr="00B82C1A">
                        <w:rPr>
                          <w:rFonts w:cs="Arial"/>
                          <w:color w:val="000000" w:themeColor="text1"/>
                          <w:lang w:val="en-US"/>
                        </w:rPr>
                        <w:t>=1,12 x 490,5=546,9</w:t>
                      </w:r>
                    </w:p>
                    <w:p w14:paraId="6B5517A4" w14:textId="77777777" w:rsidR="00156D1F" w:rsidRPr="00B82C1A" w:rsidRDefault="00156D1F" w:rsidP="00B82C1A">
                      <w:pPr>
                        <w:rPr>
                          <w:rFonts w:cs="Arial"/>
                          <w:color w:val="000000" w:themeColor="text1"/>
                          <w:lang w:val="en-US"/>
                        </w:rPr>
                      </w:pPr>
                      <w:r w:rsidRPr="00B82C1A">
                        <w:rPr>
                          <w:rFonts w:cs="Arial"/>
                          <w:color w:val="000000" w:themeColor="text1"/>
                          <w:lang w:val="en-US"/>
                        </w:rPr>
                        <w:t xml:space="preserve">TÜFE </w:t>
                      </w:r>
                      <w:r w:rsidRPr="00B82C1A">
                        <w:rPr>
                          <w:rFonts w:cs="Arial"/>
                          <w:color w:val="000000" w:themeColor="text1"/>
                          <w:vertAlign w:val="subscript"/>
                          <w:lang w:val="en-US"/>
                        </w:rPr>
                        <w:t>richest</w:t>
                      </w:r>
                      <w:r w:rsidRPr="00B82C1A">
                        <w:rPr>
                          <w:rFonts w:cs="Arial"/>
                          <w:color w:val="000000" w:themeColor="text1"/>
                          <w:sz w:val="28"/>
                          <w:szCs w:val="28"/>
                          <w:vertAlign w:val="subscript"/>
                          <w:lang w:val="en-US"/>
                        </w:rPr>
                        <w:t xml:space="preserve"> </w:t>
                      </w:r>
                      <w:r w:rsidRPr="00B82C1A">
                        <w:rPr>
                          <w:rFonts w:cs="Arial"/>
                          <w:color w:val="000000" w:themeColor="text1"/>
                          <w:vertAlign w:val="subscript"/>
                          <w:lang w:val="en-US"/>
                        </w:rPr>
                        <w:t>(July 2021)</w:t>
                      </w:r>
                      <w:r w:rsidRPr="00B82C1A">
                        <w:rPr>
                          <w:rFonts w:cs="Arial"/>
                          <w:color w:val="000000" w:themeColor="text1"/>
                          <w:lang w:val="en-US"/>
                        </w:rPr>
                        <w:t xml:space="preserve"> =</w:t>
                      </w:r>
                      <m:oMath>
                        <m:d>
                          <m:dPr>
                            <m:ctrlPr>
                              <w:rPr>
                                <w:rFonts w:ascii="Cambria Math" w:hAnsi="Cambria Math" w:cs="Arial"/>
                                <w:i/>
                                <w:color w:val="000000" w:themeColor="text1"/>
                                <w:lang w:val="en-US"/>
                              </w:rPr>
                            </m:ctrlPr>
                          </m:dPr>
                          <m:e>
                            <m:nary>
                              <m:naryPr>
                                <m:chr m:val="∑"/>
                                <m:limLoc m:val="undOvr"/>
                                <m:ctrlPr>
                                  <w:rPr>
                                    <w:rFonts w:ascii="Cambria Math" w:hAnsi="Cambria Math" w:cs="Arial"/>
                                    <w:i/>
                                    <w:color w:val="000000" w:themeColor="text1"/>
                                    <w:lang w:val="en-US"/>
                                  </w:rPr>
                                </m:ctrlPr>
                              </m:naryPr>
                              <m:sub>
                                <m:r>
                                  <w:rPr>
                                    <w:rFonts w:ascii="Cambria Math" w:hAnsi="Cambria Math" w:cs="Arial"/>
                                    <w:color w:val="000000" w:themeColor="text1"/>
                                    <w:lang w:val="en-US"/>
                                  </w:rPr>
                                  <m:t>i=1</m:t>
                                </m:r>
                              </m:sub>
                              <m:sup>
                                <m:r>
                                  <w:rPr>
                                    <w:rFonts w:ascii="Cambria Math" w:hAnsi="Cambria Math" w:cs="Arial"/>
                                    <w:color w:val="000000" w:themeColor="text1"/>
                                    <w:lang w:val="en-US"/>
                                  </w:rPr>
                                  <m:t>12</m:t>
                                </m:r>
                              </m:sup>
                              <m:e>
                                <m:f>
                                  <m:fPr>
                                    <m:type m:val="skw"/>
                                    <m:ctrlPr>
                                      <w:rPr>
                                        <w:rFonts w:ascii="Cambria Math" w:hAnsi="Cambria Math" w:cs="Arial"/>
                                        <w:i/>
                                        <w:color w:val="000000" w:themeColor="text1"/>
                                        <w:lang w:val="en-US"/>
                                      </w:rPr>
                                    </m:ctrlPr>
                                  </m:fPr>
                                  <m:num>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it</m:t>
                                        </m:r>
                                      </m:sub>
                                    </m:sSub>
                                  </m:num>
                                  <m:den>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E</m:t>
                                        </m:r>
                                      </m:e>
                                      <m:sub>
                                        <m:r>
                                          <w:rPr>
                                            <w:rFonts w:ascii="Cambria Math" w:hAnsi="Cambria Math" w:cs="Arial"/>
                                            <w:color w:val="000000" w:themeColor="text1"/>
                                            <w:lang w:val="en-US"/>
                                          </w:rPr>
                                          <m:t>i, December(t-1)</m:t>
                                        </m:r>
                                      </m:sub>
                                    </m:sSub>
                                  </m:den>
                                </m:f>
                                <m:r>
                                  <w:rPr>
                                    <w:rFonts w:ascii="Cambria Math" w:hAnsi="Cambria Math" w:cs="Arial"/>
                                    <w:color w:val="000000" w:themeColor="text1"/>
                                    <w:lang w:val="en-US"/>
                                  </w:rPr>
                                  <m:t>×</m:t>
                                </m:r>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β</m:t>
                                    </m:r>
                                  </m:e>
                                  <m:sub>
                                    <m:r>
                                      <w:rPr>
                                        <w:rFonts w:ascii="Cambria Math" w:hAnsi="Cambria Math" w:cs="Arial"/>
                                        <w:color w:val="000000" w:themeColor="text1"/>
                                        <w:lang w:val="en-US"/>
                                      </w:rPr>
                                      <m:t>i</m:t>
                                    </m:r>
                                  </m:sub>
                                </m:sSub>
                              </m:e>
                            </m:nary>
                          </m:e>
                        </m:d>
                      </m:oMath>
                      <w:r w:rsidRPr="00B82C1A">
                        <w:rPr>
                          <w:rFonts w:cstheme="minorHAnsi"/>
                          <w:color w:val="000000" w:themeColor="text1"/>
                          <w:lang w:val="en-US"/>
                        </w:rPr>
                        <w:t>×</w:t>
                      </w:r>
                      <m:oMath>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E</m:t>
                            </m:r>
                          </m:e>
                          <m:sub>
                            <m:r>
                              <w:rPr>
                                <w:rFonts w:ascii="Cambria Math" w:hAnsi="Cambria Math" w:cstheme="minorHAnsi"/>
                                <w:color w:val="000000" w:themeColor="text1"/>
                                <w:lang w:val="en-US"/>
                              </w:rPr>
                              <m:t>December(t-1)</m:t>
                            </m:r>
                          </m:sub>
                        </m:sSub>
                      </m:oMath>
                      <w:r w:rsidRPr="00B82C1A">
                        <w:rPr>
                          <w:rFonts w:cs="Arial"/>
                          <w:color w:val="000000" w:themeColor="text1"/>
                          <w:vertAlign w:val="subscript"/>
                          <w:lang w:val="en-US"/>
                        </w:rPr>
                        <w:t xml:space="preserve">  </w:t>
                      </w:r>
                      <w:r w:rsidRPr="00B82C1A">
                        <w:rPr>
                          <w:rFonts w:cs="Arial"/>
                          <w:color w:val="000000" w:themeColor="text1"/>
                          <w:lang w:val="en-US"/>
                        </w:rPr>
                        <w:t xml:space="preserve"> = 1,10 x 507,4 = 560,6</w:t>
                      </w:r>
                    </w:p>
                    <w:p w14:paraId="3A78F0A8" w14:textId="77777777" w:rsidR="00156D1F" w:rsidRPr="00A32CCD" w:rsidRDefault="00156D1F" w:rsidP="00B82C1A">
                      <w:pPr>
                        <w:tabs>
                          <w:tab w:val="left" w:pos="0"/>
                        </w:tabs>
                        <w:spacing w:after="0"/>
                        <w:ind w:right="35"/>
                      </w:pPr>
                    </w:p>
                    <w:p w14:paraId="4CB51D18" w14:textId="77777777" w:rsidR="00156D1F" w:rsidRPr="00A32CCD" w:rsidRDefault="00156D1F" w:rsidP="00B82C1A">
                      <w:pPr>
                        <w:tabs>
                          <w:tab w:val="left" w:pos="0"/>
                        </w:tabs>
                        <w:spacing w:after="0"/>
                        <w:ind w:right="35"/>
                      </w:pPr>
                    </w:p>
                    <w:p w14:paraId="5B2A072C" w14:textId="77777777" w:rsidR="00156D1F" w:rsidRPr="00A32CCD" w:rsidRDefault="00156D1F" w:rsidP="00B82C1A">
                      <w:pPr>
                        <w:tabs>
                          <w:tab w:val="left" w:pos="0"/>
                        </w:tabs>
                        <w:spacing w:after="0"/>
                        <w:ind w:right="35"/>
                      </w:pPr>
                    </w:p>
                    <w:p w14:paraId="7661FA93" w14:textId="77777777" w:rsidR="00156D1F" w:rsidRPr="00A32CCD" w:rsidRDefault="00156D1F" w:rsidP="00B82C1A">
                      <w:pPr>
                        <w:tabs>
                          <w:tab w:val="left" w:pos="0"/>
                        </w:tabs>
                        <w:spacing w:after="0"/>
                        <w:ind w:right="35"/>
                      </w:pPr>
                    </w:p>
                    <w:p w14:paraId="27D6C035" w14:textId="77777777" w:rsidR="00156D1F" w:rsidRPr="00A32CCD" w:rsidRDefault="00156D1F" w:rsidP="00B82C1A">
                      <w:pPr>
                        <w:tabs>
                          <w:tab w:val="left" w:pos="0"/>
                        </w:tabs>
                        <w:spacing w:after="0"/>
                        <w:ind w:right="35"/>
                      </w:pPr>
                    </w:p>
                    <w:p w14:paraId="74986CD2" w14:textId="77777777" w:rsidR="00156D1F" w:rsidRPr="00A32CCD" w:rsidRDefault="00156D1F" w:rsidP="00B82C1A">
                      <w:pPr>
                        <w:tabs>
                          <w:tab w:val="left" w:pos="0"/>
                        </w:tabs>
                        <w:spacing w:after="0"/>
                        <w:ind w:right="35"/>
                      </w:pPr>
                    </w:p>
                    <w:p w14:paraId="16939DA4" w14:textId="77777777" w:rsidR="00156D1F" w:rsidRPr="00A32CCD" w:rsidRDefault="00156D1F" w:rsidP="00B82C1A">
                      <w:pPr>
                        <w:tabs>
                          <w:tab w:val="left" w:pos="0"/>
                        </w:tabs>
                        <w:spacing w:after="0"/>
                        <w:ind w:right="35"/>
                      </w:pPr>
                    </w:p>
                    <w:p w14:paraId="38135F0A" w14:textId="77777777" w:rsidR="00156D1F" w:rsidRPr="00A32CCD" w:rsidRDefault="00156D1F" w:rsidP="00B82C1A">
                      <w:pPr>
                        <w:tabs>
                          <w:tab w:val="left" w:pos="0"/>
                        </w:tabs>
                        <w:spacing w:after="0"/>
                        <w:ind w:right="35"/>
                        <w:rPr>
                          <w:rFonts w:cs="Arial"/>
                          <w:color w:val="000000" w:themeColor="text1"/>
                        </w:rPr>
                      </w:pPr>
                    </w:p>
                  </w:txbxContent>
                </v:textbox>
                <w10:wrap type="topAndBottom" anchorx="page" anchory="page"/>
              </v:shape>
            </w:pict>
          </mc:Fallback>
        </mc:AlternateContent>
      </w:r>
      <w:r w:rsidRPr="00B82C1A">
        <w:rPr>
          <w:rFonts w:ascii="Calibri" w:eastAsia="Times New Roman" w:hAnsi="Calibri" w:cs="Calibri"/>
          <w:b/>
          <w:iCs/>
          <w:color w:val="000000"/>
          <w:szCs w:val="20"/>
          <w:lang w:val="en-US" w:eastAsia="en-GB"/>
        </w:rPr>
        <w:t xml:space="preserve">Box 1: </w:t>
      </w:r>
      <w:r>
        <w:rPr>
          <w:rFonts w:ascii="Calibri" w:eastAsia="Times New Roman" w:hAnsi="Calibri" w:cs="Calibri"/>
          <w:b/>
          <w:iCs/>
          <w:color w:val="000000"/>
          <w:szCs w:val="20"/>
          <w:lang w:val="en-US" w:eastAsia="en-GB"/>
        </w:rPr>
        <w:t>The m</w:t>
      </w:r>
      <w:r w:rsidRPr="00B82C1A">
        <w:rPr>
          <w:b/>
          <w:lang w:val="en-US"/>
        </w:rPr>
        <w:t>ethodology</w:t>
      </w:r>
      <w:r w:rsidRPr="00B82C1A">
        <w:rPr>
          <w:rFonts w:cs="Arial"/>
          <w:b/>
          <w:lang w:val="en-US"/>
        </w:rPr>
        <w:t xml:space="preserve"> </w:t>
      </w:r>
      <w:r>
        <w:rPr>
          <w:rFonts w:cs="Arial"/>
          <w:b/>
          <w:lang w:val="en-US"/>
        </w:rPr>
        <w:t>of</w:t>
      </w:r>
      <w:r w:rsidRPr="00B82C1A">
        <w:rPr>
          <w:rFonts w:cs="Arial"/>
          <w:b/>
          <w:lang w:val="en-US"/>
        </w:rPr>
        <w:t xml:space="preserve"> calculati</w:t>
      </w:r>
      <w:r>
        <w:rPr>
          <w:rFonts w:cs="Arial"/>
          <w:b/>
          <w:lang w:val="en-US"/>
        </w:rPr>
        <w:t>ng</w:t>
      </w:r>
      <w:r w:rsidRPr="00B82C1A">
        <w:rPr>
          <w:rFonts w:cs="Arial"/>
          <w:b/>
          <w:lang w:val="en-US"/>
        </w:rPr>
        <w:t xml:space="preserve"> </w:t>
      </w:r>
      <w:r w:rsidR="005F04BC">
        <w:rPr>
          <w:rFonts w:cs="Arial"/>
          <w:b/>
          <w:lang w:val="en-US"/>
        </w:rPr>
        <w:t xml:space="preserve">the </w:t>
      </w:r>
      <w:r w:rsidRPr="00B82C1A">
        <w:rPr>
          <w:rFonts w:cs="Arial"/>
          <w:b/>
          <w:lang w:val="en-US"/>
        </w:rPr>
        <w:t>price index</w:t>
      </w:r>
      <w:r>
        <w:rPr>
          <w:rFonts w:cs="Arial"/>
          <w:b/>
          <w:lang w:val="en-US"/>
        </w:rPr>
        <w:t xml:space="preserve"> of</w:t>
      </w:r>
      <w:r w:rsidRPr="00B82C1A">
        <w:rPr>
          <w:rFonts w:cs="Arial"/>
          <w:b/>
          <w:lang w:val="en-US"/>
        </w:rPr>
        <w:t xml:space="preserve"> </w:t>
      </w:r>
      <w:r w:rsidR="00DF50EF">
        <w:rPr>
          <w:rFonts w:cs="Arial"/>
          <w:b/>
          <w:lang w:val="en-US"/>
        </w:rPr>
        <w:t>expenditure</w:t>
      </w:r>
      <w:r>
        <w:rPr>
          <w:rFonts w:cs="Arial"/>
          <w:b/>
          <w:lang w:val="en-US"/>
        </w:rPr>
        <w:t xml:space="preserve"> </w:t>
      </w:r>
      <w:r w:rsidRPr="00B82C1A">
        <w:rPr>
          <w:rFonts w:cs="Arial"/>
          <w:b/>
          <w:lang w:val="en-US"/>
        </w:rPr>
        <w:t>group</w:t>
      </w:r>
    </w:p>
    <w:sectPr w:rsidR="00B82C1A" w:rsidRPr="00B82C1A" w:rsidSect="00AB42B1">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1D4B" w14:textId="77777777" w:rsidR="007240CF" w:rsidRDefault="007240CF" w:rsidP="00315C56">
      <w:pPr>
        <w:spacing w:after="0" w:line="240" w:lineRule="auto"/>
      </w:pPr>
      <w:r>
        <w:separator/>
      </w:r>
    </w:p>
  </w:endnote>
  <w:endnote w:type="continuationSeparator" w:id="0">
    <w:p w14:paraId="0606909B" w14:textId="77777777" w:rsidR="007240CF" w:rsidRDefault="007240CF" w:rsidP="0031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454666"/>
      <w:docPartObj>
        <w:docPartGallery w:val="Page Numbers (Bottom of Page)"/>
        <w:docPartUnique/>
      </w:docPartObj>
    </w:sdtPr>
    <w:sdtEndPr>
      <w:rPr>
        <w:rStyle w:val="PageNumber"/>
      </w:rPr>
    </w:sdtEndPr>
    <w:sdtContent>
      <w:p w14:paraId="2AA8D4E6" w14:textId="4B574F8F" w:rsidR="00156D1F" w:rsidRDefault="00156D1F" w:rsidP="00BE1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44A07" w14:textId="77777777" w:rsidR="00156D1F" w:rsidRDefault="00156D1F" w:rsidP="00BE1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977846"/>
      <w:docPartObj>
        <w:docPartGallery w:val="Page Numbers (Bottom of Page)"/>
        <w:docPartUnique/>
      </w:docPartObj>
    </w:sdtPr>
    <w:sdtEndPr>
      <w:rPr>
        <w:rStyle w:val="PageNumber"/>
      </w:rPr>
    </w:sdtEndPr>
    <w:sdtContent>
      <w:p w14:paraId="5383503B" w14:textId="1240F7D6" w:rsidR="00156D1F" w:rsidRDefault="00156D1F" w:rsidP="00BE1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3448">
          <w:rPr>
            <w:rStyle w:val="PageNumber"/>
            <w:noProof/>
          </w:rPr>
          <w:t>2</w:t>
        </w:r>
        <w:r>
          <w:rPr>
            <w:rStyle w:val="PageNumber"/>
          </w:rPr>
          <w:fldChar w:fldCharType="end"/>
        </w:r>
      </w:p>
    </w:sdtContent>
  </w:sdt>
  <w:p w14:paraId="2A214AA7" w14:textId="77777777" w:rsidR="00156D1F" w:rsidRPr="00B604DA" w:rsidRDefault="00156D1F" w:rsidP="00BE1C94">
    <w:pPr>
      <w:pStyle w:val="Footer"/>
      <w:ind w:right="360"/>
      <w:jc w:val="center"/>
      <w:rPr>
        <w:rFonts w:ascii="Arial" w:hAnsi="Arial" w:cs="Arial"/>
        <w:b/>
        <w:i/>
        <w:sz w:val="20"/>
        <w:szCs w:val="20"/>
      </w:rPr>
    </w:pPr>
    <w:r w:rsidRPr="00B604DA">
      <w:rPr>
        <w:rFonts w:ascii="Arial" w:hAnsi="Arial" w:cs="Arial"/>
        <w:b/>
        <w:i/>
        <w:sz w:val="20"/>
        <w:szCs w:val="20"/>
      </w:rPr>
      <w:t>www.betam.bahcesehir.edu.tr</w:t>
    </w:r>
  </w:p>
  <w:p w14:paraId="5A39C0DB" w14:textId="77777777" w:rsidR="00156D1F" w:rsidRDefault="0015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8C82" w14:textId="77777777" w:rsidR="007240CF" w:rsidRDefault="007240CF" w:rsidP="00315C56">
      <w:pPr>
        <w:spacing w:after="0" w:line="240" w:lineRule="auto"/>
      </w:pPr>
      <w:r>
        <w:separator/>
      </w:r>
    </w:p>
  </w:footnote>
  <w:footnote w:type="continuationSeparator" w:id="0">
    <w:p w14:paraId="0B2F5CD0" w14:textId="77777777" w:rsidR="007240CF" w:rsidRDefault="007240CF" w:rsidP="00315C56">
      <w:pPr>
        <w:spacing w:after="0" w:line="240" w:lineRule="auto"/>
      </w:pPr>
      <w:r>
        <w:continuationSeparator/>
      </w:r>
    </w:p>
  </w:footnote>
  <w:footnote w:id="1">
    <w:p w14:paraId="45575A62" w14:textId="77FF79BD" w:rsidR="00156D1F" w:rsidRPr="00085EF7" w:rsidRDefault="00156D1F" w:rsidP="001822A1">
      <w:pPr>
        <w:pStyle w:val="FootnoteText"/>
        <w:rPr>
          <w:rFonts w:asciiTheme="minorHAnsi" w:hAnsiTheme="minorHAnsi" w:cs="Arial"/>
          <w:sz w:val="18"/>
          <w:szCs w:val="18"/>
          <w:lang w:val="en-US"/>
        </w:rPr>
      </w:pPr>
      <w:r w:rsidRPr="00085EF7">
        <w:rPr>
          <w:rStyle w:val="FootnoteReference"/>
          <w:rFonts w:asciiTheme="minorHAnsi" w:hAnsiTheme="minorHAnsi" w:cs="Arial"/>
          <w:b/>
          <w:sz w:val="18"/>
          <w:szCs w:val="18"/>
          <w:lang w:val="en-US"/>
        </w:rPr>
        <w:t>*</w:t>
      </w:r>
      <w:r w:rsidRPr="00085EF7">
        <w:rPr>
          <w:rFonts w:asciiTheme="minorHAnsi" w:hAnsiTheme="minorHAnsi" w:cs="Arial"/>
          <w:sz w:val="18"/>
          <w:szCs w:val="18"/>
          <w:lang w:val="en-US"/>
        </w:rPr>
        <w:t xml:space="preserve">Prof. Seyfettin Gürsel, </w:t>
      </w:r>
      <w:r w:rsidRPr="00085EF7">
        <w:rPr>
          <w:rFonts w:asciiTheme="minorHAnsi" w:hAnsiTheme="minorHAnsi" w:cs="Arial"/>
          <w:b/>
          <w:sz w:val="18"/>
          <w:szCs w:val="18"/>
          <w:lang w:val="en-US"/>
        </w:rPr>
        <w:t>Betam</w:t>
      </w:r>
      <w:r w:rsidRPr="00085EF7">
        <w:rPr>
          <w:rFonts w:asciiTheme="minorHAnsi" w:hAnsiTheme="minorHAnsi" w:cs="Arial"/>
          <w:sz w:val="18"/>
          <w:szCs w:val="18"/>
          <w:lang w:val="en-US"/>
        </w:rPr>
        <w:t xml:space="preserve">, Director, </w:t>
      </w:r>
      <w:hyperlink r:id="rId1" w:history="1">
        <w:r w:rsidRPr="00085EF7">
          <w:rPr>
            <w:rStyle w:val="Hyperlink"/>
            <w:rFonts w:asciiTheme="minorHAnsi" w:hAnsiTheme="minorHAnsi" w:cs="Arial"/>
            <w:sz w:val="18"/>
            <w:szCs w:val="18"/>
            <w:lang w:val="en-US"/>
          </w:rPr>
          <w:t>seyfettin.gursel@eas.bau.edu.tr</w:t>
        </w:r>
      </w:hyperlink>
    </w:p>
  </w:footnote>
  <w:footnote w:id="2">
    <w:p w14:paraId="362EC696" w14:textId="448F4FA3" w:rsidR="00156D1F" w:rsidRPr="00085EF7" w:rsidRDefault="00156D1F" w:rsidP="00085EF7">
      <w:pPr>
        <w:pStyle w:val="FootnoteText"/>
        <w:rPr>
          <w:rFonts w:asciiTheme="minorHAnsi" w:hAnsiTheme="minorHAnsi" w:cs="Arial"/>
          <w:sz w:val="18"/>
          <w:szCs w:val="18"/>
          <w:lang w:val="en-US"/>
        </w:rPr>
      </w:pPr>
      <w:r w:rsidRPr="00085EF7">
        <w:rPr>
          <w:rStyle w:val="FootnoteReference"/>
          <w:sz w:val="18"/>
          <w:lang w:val="en-US"/>
        </w:rPr>
        <w:t>**</w:t>
      </w:r>
      <w:r w:rsidRPr="00085EF7">
        <w:rPr>
          <w:sz w:val="18"/>
          <w:lang w:val="en-US"/>
        </w:rPr>
        <w:t xml:space="preserve"> </w:t>
      </w:r>
      <w:r w:rsidRPr="00085EF7">
        <w:rPr>
          <w:rFonts w:asciiTheme="minorHAnsi" w:hAnsiTheme="minorHAnsi" w:cs="Arial"/>
          <w:sz w:val="18"/>
          <w:szCs w:val="18"/>
          <w:lang w:val="en-US"/>
        </w:rPr>
        <w:t xml:space="preserve">Hamza Mutluay, </w:t>
      </w:r>
      <w:r w:rsidRPr="00085EF7">
        <w:rPr>
          <w:rFonts w:asciiTheme="minorHAnsi" w:hAnsiTheme="minorHAnsi" w:cs="Arial"/>
          <w:b/>
          <w:sz w:val="18"/>
          <w:szCs w:val="18"/>
          <w:lang w:val="en-US"/>
        </w:rPr>
        <w:t>Betam</w:t>
      </w:r>
      <w:r w:rsidRPr="00085EF7">
        <w:rPr>
          <w:rFonts w:asciiTheme="minorHAnsi" w:hAnsiTheme="minorHAnsi" w:cs="Arial"/>
          <w:sz w:val="18"/>
          <w:szCs w:val="18"/>
          <w:lang w:val="en-US"/>
        </w:rPr>
        <w:t xml:space="preserve">, </w:t>
      </w:r>
      <w:r>
        <w:rPr>
          <w:rFonts w:asciiTheme="minorHAnsi" w:hAnsiTheme="minorHAnsi" w:cs="Arial"/>
          <w:sz w:val="18"/>
          <w:szCs w:val="18"/>
          <w:lang w:val="en-US"/>
        </w:rPr>
        <w:t>Research Assistant</w:t>
      </w:r>
      <w:r w:rsidRPr="00085EF7">
        <w:rPr>
          <w:rFonts w:asciiTheme="minorHAnsi" w:hAnsiTheme="minorHAnsi" w:cs="Arial"/>
          <w:sz w:val="18"/>
          <w:szCs w:val="18"/>
          <w:lang w:val="en-US"/>
        </w:rPr>
        <w:t xml:space="preserve">, </w:t>
      </w:r>
      <w:hyperlink r:id="rId2" w:history="1">
        <w:r w:rsidRPr="00085EF7">
          <w:rPr>
            <w:rStyle w:val="Hyperlink"/>
            <w:rFonts w:asciiTheme="minorHAnsi" w:hAnsiTheme="minorHAnsi" w:cs="Arial"/>
            <w:sz w:val="18"/>
            <w:szCs w:val="18"/>
            <w:lang w:val="en-US"/>
          </w:rPr>
          <w:t>hamza.mutluay@eas.bau.edu.tr</w:t>
        </w:r>
      </w:hyperlink>
    </w:p>
    <w:p w14:paraId="73F70D70" w14:textId="0384C630" w:rsidR="00156D1F" w:rsidRPr="001822A1" w:rsidRDefault="00156D1F" w:rsidP="001822A1">
      <w:pPr>
        <w:pStyle w:val="FootnoteText"/>
        <w:rPr>
          <w:rFonts w:asciiTheme="minorHAnsi" w:hAnsiTheme="minorHAnsi" w:cs="Arial"/>
          <w:sz w:val="18"/>
          <w:szCs w:val="18"/>
        </w:rPr>
      </w:pPr>
    </w:p>
  </w:footnote>
  <w:footnote w:id="3">
    <w:p w14:paraId="6FB65AC9" w14:textId="3B654ABB" w:rsidR="00156D1F" w:rsidRDefault="00156D1F" w:rsidP="00C32424">
      <w:pPr>
        <w:pStyle w:val="FootnoteText"/>
        <w:jc w:val="both"/>
      </w:pPr>
      <w:r>
        <w:rPr>
          <w:rStyle w:val="FootnoteReference"/>
        </w:rPr>
        <w:footnoteRef/>
      </w:r>
      <w:r>
        <w:t xml:space="preserve"> </w:t>
      </w:r>
      <w:r w:rsidRPr="0095732B">
        <w:t>The reports are in Turkish and they are:</w:t>
      </w:r>
      <w:r>
        <w:t xml:space="preserve"> </w:t>
      </w:r>
      <w:r w:rsidRPr="00C32424">
        <w:t>Gıda Enflasyonu Yoksulu, Ulaştırma Enflasyonu Zengini Vurdu (2019), Yoksul ile Zengin Arasındaki Enflasyon Farkı Devam Ediyor (2017), Yoksul ile Zengin Arasındaki Enflasyon Farkı 8 Yılda 20 Puanı Geçti (2016), Yoksul ile Zengin Arasındaki Enflasyon Farkı Rekor Seviyede (2015), Yoksul ile Zengin Arasındaki Enflasyon Farkı Artıyor (2014), Yoksulun Enflasyonu Zenginin Enflasyonundan Yüksek (2012), Enflasyon Yoksulu Vuruyor (2010), Her Harcama Düzeyi İçin Farklı Enflasyon (2008).</w:t>
      </w:r>
    </w:p>
  </w:footnote>
  <w:footnote w:id="4">
    <w:p w14:paraId="3E99796D" w14:textId="6BA7B6F4" w:rsidR="00156D1F" w:rsidRDefault="00156D1F" w:rsidP="00E677EA">
      <w:pPr>
        <w:pStyle w:val="FootnoteText"/>
        <w:jc w:val="both"/>
      </w:pPr>
      <w:r>
        <w:rPr>
          <w:rStyle w:val="FootnoteReference"/>
        </w:rPr>
        <w:footnoteRef/>
      </w:r>
      <w:r>
        <w:t xml:space="preserve"> </w:t>
      </w:r>
      <w:r w:rsidRPr="00E677EA">
        <w:rPr>
          <w:lang w:val="en-US"/>
        </w:rPr>
        <w:t xml:space="preserve">We previously conducted the inflation analysis based on ventiles because Turkstat released the weights of each item in the consumption baskets of each </w:t>
      </w:r>
      <w:r w:rsidR="008D6E9B">
        <w:rPr>
          <w:rFonts w:cs="Arial"/>
          <w:lang w:val="en-US"/>
        </w:rPr>
        <w:t>expenditure</w:t>
      </w:r>
      <w:r w:rsidR="008D6E9B" w:rsidRPr="00E677EA">
        <w:rPr>
          <w:lang w:val="en-US"/>
        </w:rPr>
        <w:t xml:space="preserve"> </w:t>
      </w:r>
      <w:r w:rsidRPr="00E677EA">
        <w:rPr>
          <w:lang w:val="en-US"/>
        </w:rPr>
        <w:t xml:space="preserve">ventile but not deciles. In this research note, Betam calculated the shares of each item in the consumption basket of each </w:t>
      </w:r>
      <w:r w:rsidR="008D6E9B">
        <w:rPr>
          <w:rFonts w:cs="Arial"/>
          <w:lang w:val="en-US"/>
        </w:rPr>
        <w:t>expenditure</w:t>
      </w:r>
      <w:r w:rsidR="008D6E9B" w:rsidRPr="00E677EA">
        <w:rPr>
          <w:lang w:val="en-US"/>
        </w:rPr>
        <w:t xml:space="preserve"> </w:t>
      </w:r>
      <w:r w:rsidRPr="00E677EA">
        <w:rPr>
          <w:lang w:val="en-US"/>
        </w:rPr>
        <w:t xml:space="preserve">decile. We also calculated the shares of each item in the consumption basket of each </w:t>
      </w:r>
      <w:r w:rsidR="008D6E9B">
        <w:rPr>
          <w:rFonts w:cs="Arial"/>
          <w:lang w:val="en-US"/>
        </w:rPr>
        <w:t>expenditure</w:t>
      </w:r>
      <w:r w:rsidR="008D6E9B" w:rsidRPr="00E677EA">
        <w:rPr>
          <w:lang w:val="en-US"/>
        </w:rPr>
        <w:t xml:space="preserve"> </w:t>
      </w:r>
      <w:r w:rsidRPr="00E677EA">
        <w:rPr>
          <w:lang w:val="en-US"/>
        </w:rPr>
        <w:t>ventile to be consistent. In addition, we calculated the inflation rates by using the weights which Turkstat announces. The difference between these two indexes is ignorable. As of July 2021, the values of the price indexes (2003=100) of 5 ventiles are as follows: 599,4-601,8; 591,4-591,8; 584,5-585,1; 578,6-577,3; 562,0-560,6.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5C5"/>
    <w:multiLevelType w:val="hybridMultilevel"/>
    <w:tmpl w:val="0E44B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F27F4"/>
    <w:multiLevelType w:val="hybridMultilevel"/>
    <w:tmpl w:val="22A2F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C0442"/>
    <w:multiLevelType w:val="hybridMultilevel"/>
    <w:tmpl w:val="F168B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736B06"/>
    <w:multiLevelType w:val="hybridMultilevel"/>
    <w:tmpl w:val="4C3619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818B3"/>
    <w:multiLevelType w:val="hybridMultilevel"/>
    <w:tmpl w:val="FC167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C56"/>
    <w:rsid w:val="000016A9"/>
    <w:rsid w:val="00004489"/>
    <w:rsid w:val="00004957"/>
    <w:rsid w:val="00006BC6"/>
    <w:rsid w:val="0001027F"/>
    <w:rsid w:val="000114D1"/>
    <w:rsid w:val="00013C19"/>
    <w:rsid w:val="000142D6"/>
    <w:rsid w:val="00014340"/>
    <w:rsid w:val="000171C1"/>
    <w:rsid w:val="00024AF9"/>
    <w:rsid w:val="00026533"/>
    <w:rsid w:val="0002671E"/>
    <w:rsid w:val="00026796"/>
    <w:rsid w:val="00033BB1"/>
    <w:rsid w:val="00040393"/>
    <w:rsid w:val="000404FC"/>
    <w:rsid w:val="000415BA"/>
    <w:rsid w:val="00042C10"/>
    <w:rsid w:val="00043CF0"/>
    <w:rsid w:val="000454B6"/>
    <w:rsid w:val="00046447"/>
    <w:rsid w:val="000517E5"/>
    <w:rsid w:val="0005182E"/>
    <w:rsid w:val="00051BE4"/>
    <w:rsid w:val="00055B1E"/>
    <w:rsid w:val="00055C00"/>
    <w:rsid w:val="00055C60"/>
    <w:rsid w:val="00063079"/>
    <w:rsid w:val="00065CA8"/>
    <w:rsid w:val="00070D73"/>
    <w:rsid w:val="00072E1F"/>
    <w:rsid w:val="0007329E"/>
    <w:rsid w:val="00085EF7"/>
    <w:rsid w:val="00086C42"/>
    <w:rsid w:val="000878D1"/>
    <w:rsid w:val="00087FC0"/>
    <w:rsid w:val="00090FB2"/>
    <w:rsid w:val="000A2DD2"/>
    <w:rsid w:val="000A331C"/>
    <w:rsid w:val="000A6D95"/>
    <w:rsid w:val="000B18C0"/>
    <w:rsid w:val="000B1CF9"/>
    <w:rsid w:val="000B1EF7"/>
    <w:rsid w:val="000B2A8C"/>
    <w:rsid w:val="000B4300"/>
    <w:rsid w:val="000B50D3"/>
    <w:rsid w:val="000B6B54"/>
    <w:rsid w:val="000B74DA"/>
    <w:rsid w:val="000B7EC2"/>
    <w:rsid w:val="000C0669"/>
    <w:rsid w:val="000C267D"/>
    <w:rsid w:val="000C48FC"/>
    <w:rsid w:val="000C5C51"/>
    <w:rsid w:val="000C5E1D"/>
    <w:rsid w:val="000C6DD0"/>
    <w:rsid w:val="000C71D0"/>
    <w:rsid w:val="000D1837"/>
    <w:rsid w:val="000D2321"/>
    <w:rsid w:val="000D44D6"/>
    <w:rsid w:val="000D501C"/>
    <w:rsid w:val="000D6632"/>
    <w:rsid w:val="000D6C8B"/>
    <w:rsid w:val="000F1682"/>
    <w:rsid w:val="000F2913"/>
    <w:rsid w:val="000F3D63"/>
    <w:rsid w:val="000F436C"/>
    <w:rsid w:val="001003F1"/>
    <w:rsid w:val="00100A31"/>
    <w:rsid w:val="00100BC1"/>
    <w:rsid w:val="00100BE3"/>
    <w:rsid w:val="001026C3"/>
    <w:rsid w:val="00103194"/>
    <w:rsid w:val="00103B23"/>
    <w:rsid w:val="00103D57"/>
    <w:rsid w:val="001041FB"/>
    <w:rsid w:val="00104FAE"/>
    <w:rsid w:val="00106698"/>
    <w:rsid w:val="00110DDA"/>
    <w:rsid w:val="00112C00"/>
    <w:rsid w:val="00113243"/>
    <w:rsid w:val="0011495D"/>
    <w:rsid w:val="001159BB"/>
    <w:rsid w:val="00116313"/>
    <w:rsid w:val="00117D21"/>
    <w:rsid w:val="0012267C"/>
    <w:rsid w:val="0012366F"/>
    <w:rsid w:val="00125EB4"/>
    <w:rsid w:val="001261AD"/>
    <w:rsid w:val="00127AC1"/>
    <w:rsid w:val="00127FEC"/>
    <w:rsid w:val="0013066B"/>
    <w:rsid w:val="00132D44"/>
    <w:rsid w:val="001363BC"/>
    <w:rsid w:val="001415B1"/>
    <w:rsid w:val="00143B6C"/>
    <w:rsid w:val="001450C0"/>
    <w:rsid w:val="00145A18"/>
    <w:rsid w:val="00151AC7"/>
    <w:rsid w:val="001548DA"/>
    <w:rsid w:val="00155F75"/>
    <w:rsid w:val="00156D1F"/>
    <w:rsid w:val="00157824"/>
    <w:rsid w:val="00160C3B"/>
    <w:rsid w:val="00161620"/>
    <w:rsid w:val="00162CA7"/>
    <w:rsid w:val="00166FBE"/>
    <w:rsid w:val="001673FB"/>
    <w:rsid w:val="00170CC9"/>
    <w:rsid w:val="00173477"/>
    <w:rsid w:val="00173EFF"/>
    <w:rsid w:val="001747E0"/>
    <w:rsid w:val="001769B4"/>
    <w:rsid w:val="0017721A"/>
    <w:rsid w:val="00177419"/>
    <w:rsid w:val="00177F6A"/>
    <w:rsid w:val="0018049C"/>
    <w:rsid w:val="001822A1"/>
    <w:rsid w:val="001849A7"/>
    <w:rsid w:val="00185529"/>
    <w:rsid w:val="00187462"/>
    <w:rsid w:val="00187B27"/>
    <w:rsid w:val="00191526"/>
    <w:rsid w:val="00195114"/>
    <w:rsid w:val="0019513C"/>
    <w:rsid w:val="001A0645"/>
    <w:rsid w:val="001A0DEB"/>
    <w:rsid w:val="001A10AF"/>
    <w:rsid w:val="001A4015"/>
    <w:rsid w:val="001A4570"/>
    <w:rsid w:val="001B104F"/>
    <w:rsid w:val="001B39EC"/>
    <w:rsid w:val="001B502C"/>
    <w:rsid w:val="001B77F4"/>
    <w:rsid w:val="001C3454"/>
    <w:rsid w:val="001C359D"/>
    <w:rsid w:val="001C6BD3"/>
    <w:rsid w:val="001D0013"/>
    <w:rsid w:val="001D0296"/>
    <w:rsid w:val="001D02D7"/>
    <w:rsid w:val="001D3440"/>
    <w:rsid w:val="001E07EC"/>
    <w:rsid w:val="001E596C"/>
    <w:rsid w:val="001E62B7"/>
    <w:rsid w:val="001F0201"/>
    <w:rsid w:val="001F047C"/>
    <w:rsid w:val="001F6093"/>
    <w:rsid w:val="001F74E3"/>
    <w:rsid w:val="001F7921"/>
    <w:rsid w:val="00201455"/>
    <w:rsid w:val="00201519"/>
    <w:rsid w:val="00202209"/>
    <w:rsid w:val="00203264"/>
    <w:rsid w:val="002044F1"/>
    <w:rsid w:val="002054F3"/>
    <w:rsid w:val="00206ACD"/>
    <w:rsid w:val="002118D0"/>
    <w:rsid w:val="00217A2E"/>
    <w:rsid w:val="00217C2F"/>
    <w:rsid w:val="0022114D"/>
    <w:rsid w:val="00222441"/>
    <w:rsid w:val="00226F4B"/>
    <w:rsid w:val="0023056B"/>
    <w:rsid w:val="00231D57"/>
    <w:rsid w:val="00233F66"/>
    <w:rsid w:val="002342AB"/>
    <w:rsid w:val="00234EB3"/>
    <w:rsid w:val="002358DB"/>
    <w:rsid w:val="00237C87"/>
    <w:rsid w:val="00241222"/>
    <w:rsid w:val="0024289D"/>
    <w:rsid w:val="002434CD"/>
    <w:rsid w:val="00243F17"/>
    <w:rsid w:val="002452A8"/>
    <w:rsid w:val="00246F25"/>
    <w:rsid w:val="00253E60"/>
    <w:rsid w:val="002547DF"/>
    <w:rsid w:val="00254E2F"/>
    <w:rsid w:val="00260BC8"/>
    <w:rsid w:val="00264C5C"/>
    <w:rsid w:val="00264ECB"/>
    <w:rsid w:val="00266D42"/>
    <w:rsid w:val="00266E9E"/>
    <w:rsid w:val="00270BBA"/>
    <w:rsid w:val="00271740"/>
    <w:rsid w:val="00280064"/>
    <w:rsid w:val="002806AF"/>
    <w:rsid w:val="002809F5"/>
    <w:rsid w:val="00280E16"/>
    <w:rsid w:val="0028473E"/>
    <w:rsid w:val="00287C1F"/>
    <w:rsid w:val="0029129E"/>
    <w:rsid w:val="002915AB"/>
    <w:rsid w:val="002955AA"/>
    <w:rsid w:val="00295AE6"/>
    <w:rsid w:val="0029618F"/>
    <w:rsid w:val="00297D6F"/>
    <w:rsid w:val="00297FA9"/>
    <w:rsid w:val="002A0B20"/>
    <w:rsid w:val="002A2730"/>
    <w:rsid w:val="002A2E9F"/>
    <w:rsid w:val="002A3897"/>
    <w:rsid w:val="002A3E2D"/>
    <w:rsid w:val="002A4D31"/>
    <w:rsid w:val="002A642D"/>
    <w:rsid w:val="002A6EE8"/>
    <w:rsid w:val="002A748A"/>
    <w:rsid w:val="002B024C"/>
    <w:rsid w:val="002B0374"/>
    <w:rsid w:val="002B03C2"/>
    <w:rsid w:val="002B2161"/>
    <w:rsid w:val="002B5061"/>
    <w:rsid w:val="002B6074"/>
    <w:rsid w:val="002C2474"/>
    <w:rsid w:val="002C6586"/>
    <w:rsid w:val="002C6AB6"/>
    <w:rsid w:val="002D3C56"/>
    <w:rsid w:val="002E3326"/>
    <w:rsid w:val="002E3926"/>
    <w:rsid w:val="002F22C2"/>
    <w:rsid w:val="002F28CB"/>
    <w:rsid w:val="002F293C"/>
    <w:rsid w:val="002F3F09"/>
    <w:rsid w:val="002F5CDA"/>
    <w:rsid w:val="002F774A"/>
    <w:rsid w:val="002F7AC3"/>
    <w:rsid w:val="00300114"/>
    <w:rsid w:val="0030531F"/>
    <w:rsid w:val="00305D20"/>
    <w:rsid w:val="00311BEF"/>
    <w:rsid w:val="003127A6"/>
    <w:rsid w:val="0031347C"/>
    <w:rsid w:val="00314564"/>
    <w:rsid w:val="00314CC0"/>
    <w:rsid w:val="0031550F"/>
    <w:rsid w:val="00315C56"/>
    <w:rsid w:val="00316CE7"/>
    <w:rsid w:val="0031710D"/>
    <w:rsid w:val="0032196C"/>
    <w:rsid w:val="00325188"/>
    <w:rsid w:val="0032573F"/>
    <w:rsid w:val="003357BE"/>
    <w:rsid w:val="00335B30"/>
    <w:rsid w:val="00336C4B"/>
    <w:rsid w:val="00337479"/>
    <w:rsid w:val="00337D87"/>
    <w:rsid w:val="00340460"/>
    <w:rsid w:val="00342DA2"/>
    <w:rsid w:val="00342DD6"/>
    <w:rsid w:val="00343B21"/>
    <w:rsid w:val="00347E6D"/>
    <w:rsid w:val="00351803"/>
    <w:rsid w:val="00352B36"/>
    <w:rsid w:val="00353F07"/>
    <w:rsid w:val="00355E50"/>
    <w:rsid w:val="00360454"/>
    <w:rsid w:val="00360474"/>
    <w:rsid w:val="00360719"/>
    <w:rsid w:val="00361477"/>
    <w:rsid w:val="0036216D"/>
    <w:rsid w:val="0036238E"/>
    <w:rsid w:val="003623A7"/>
    <w:rsid w:val="00364C0B"/>
    <w:rsid w:val="003659C1"/>
    <w:rsid w:val="0036613A"/>
    <w:rsid w:val="003664C7"/>
    <w:rsid w:val="00370C8F"/>
    <w:rsid w:val="003711B7"/>
    <w:rsid w:val="003719D6"/>
    <w:rsid w:val="003739D2"/>
    <w:rsid w:val="003750C0"/>
    <w:rsid w:val="00375490"/>
    <w:rsid w:val="00376927"/>
    <w:rsid w:val="0038357F"/>
    <w:rsid w:val="00384D74"/>
    <w:rsid w:val="0039156C"/>
    <w:rsid w:val="0039755E"/>
    <w:rsid w:val="003978AB"/>
    <w:rsid w:val="003A2EA6"/>
    <w:rsid w:val="003A5677"/>
    <w:rsid w:val="003A5A7C"/>
    <w:rsid w:val="003A795D"/>
    <w:rsid w:val="003A7BA9"/>
    <w:rsid w:val="003B0312"/>
    <w:rsid w:val="003B1D4E"/>
    <w:rsid w:val="003B380F"/>
    <w:rsid w:val="003B6877"/>
    <w:rsid w:val="003B6E02"/>
    <w:rsid w:val="003C122A"/>
    <w:rsid w:val="003C159F"/>
    <w:rsid w:val="003C1CDA"/>
    <w:rsid w:val="003C2F8E"/>
    <w:rsid w:val="003C30DB"/>
    <w:rsid w:val="003C386C"/>
    <w:rsid w:val="003C5711"/>
    <w:rsid w:val="003C6EFA"/>
    <w:rsid w:val="003C7760"/>
    <w:rsid w:val="003D0AC2"/>
    <w:rsid w:val="003D1E51"/>
    <w:rsid w:val="003D3A2C"/>
    <w:rsid w:val="003D4806"/>
    <w:rsid w:val="003D71F7"/>
    <w:rsid w:val="003D7C37"/>
    <w:rsid w:val="003E1CDA"/>
    <w:rsid w:val="003E2F5C"/>
    <w:rsid w:val="003E6E81"/>
    <w:rsid w:val="003E7C1F"/>
    <w:rsid w:val="003F3995"/>
    <w:rsid w:val="003F424D"/>
    <w:rsid w:val="003F5638"/>
    <w:rsid w:val="003F730C"/>
    <w:rsid w:val="0040062F"/>
    <w:rsid w:val="00401406"/>
    <w:rsid w:val="00404813"/>
    <w:rsid w:val="00404A08"/>
    <w:rsid w:val="0041214B"/>
    <w:rsid w:val="00413BCA"/>
    <w:rsid w:val="00416F8B"/>
    <w:rsid w:val="00420B09"/>
    <w:rsid w:val="004241B8"/>
    <w:rsid w:val="004263AB"/>
    <w:rsid w:val="00426418"/>
    <w:rsid w:val="0043202C"/>
    <w:rsid w:val="00432126"/>
    <w:rsid w:val="004333F6"/>
    <w:rsid w:val="00434C3E"/>
    <w:rsid w:val="004359D6"/>
    <w:rsid w:val="00440983"/>
    <w:rsid w:val="004410F2"/>
    <w:rsid w:val="0044301B"/>
    <w:rsid w:val="00443466"/>
    <w:rsid w:val="004434B6"/>
    <w:rsid w:val="00450761"/>
    <w:rsid w:val="00451BEC"/>
    <w:rsid w:val="00454143"/>
    <w:rsid w:val="00454258"/>
    <w:rsid w:val="0045628B"/>
    <w:rsid w:val="004566B6"/>
    <w:rsid w:val="00456CC3"/>
    <w:rsid w:val="00457650"/>
    <w:rsid w:val="00461F30"/>
    <w:rsid w:val="0046217E"/>
    <w:rsid w:val="00462A68"/>
    <w:rsid w:val="00466D07"/>
    <w:rsid w:val="004704B2"/>
    <w:rsid w:val="0047109F"/>
    <w:rsid w:val="00472DD8"/>
    <w:rsid w:val="0047540D"/>
    <w:rsid w:val="0047775B"/>
    <w:rsid w:val="00481764"/>
    <w:rsid w:val="00482FAB"/>
    <w:rsid w:val="0048582B"/>
    <w:rsid w:val="004868FA"/>
    <w:rsid w:val="00486D6C"/>
    <w:rsid w:val="004928F0"/>
    <w:rsid w:val="0049498F"/>
    <w:rsid w:val="0049546A"/>
    <w:rsid w:val="0049605B"/>
    <w:rsid w:val="00496477"/>
    <w:rsid w:val="00496C59"/>
    <w:rsid w:val="0049759D"/>
    <w:rsid w:val="00497BD6"/>
    <w:rsid w:val="004A09E1"/>
    <w:rsid w:val="004A6F41"/>
    <w:rsid w:val="004A75D5"/>
    <w:rsid w:val="004A7609"/>
    <w:rsid w:val="004A7B00"/>
    <w:rsid w:val="004B1AAD"/>
    <w:rsid w:val="004B3ED5"/>
    <w:rsid w:val="004B5A1C"/>
    <w:rsid w:val="004C0C7B"/>
    <w:rsid w:val="004C35AB"/>
    <w:rsid w:val="004C697A"/>
    <w:rsid w:val="004C6D7C"/>
    <w:rsid w:val="004C738E"/>
    <w:rsid w:val="004D3C48"/>
    <w:rsid w:val="004D471B"/>
    <w:rsid w:val="004D568E"/>
    <w:rsid w:val="004E0EE4"/>
    <w:rsid w:val="004E16EE"/>
    <w:rsid w:val="004E3D6E"/>
    <w:rsid w:val="004E7C80"/>
    <w:rsid w:val="004F3BD4"/>
    <w:rsid w:val="004F3D51"/>
    <w:rsid w:val="004F4D15"/>
    <w:rsid w:val="004F64F6"/>
    <w:rsid w:val="00500070"/>
    <w:rsid w:val="005006DD"/>
    <w:rsid w:val="00501CCA"/>
    <w:rsid w:val="005047F1"/>
    <w:rsid w:val="00505207"/>
    <w:rsid w:val="00506228"/>
    <w:rsid w:val="005064E9"/>
    <w:rsid w:val="005066DB"/>
    <w:rsid w:val="00507F88"/>
    <w:rsid w:val="00516938"/>
    <w:rsid w:val="00516C7C"/>
    <w:rsid w:val="00517666"/>
    <w:rsid w:val="0051776D"/>
    <w:rsid w:val="005208A6"/>
    <w:rsid w:val="00520AB8"/>
    <w:rsid w:val="005215A8"/>
    <w:rsid w:val="00525C76"/>
    <w:rsid w:val="005308F3"/>
    <w:rsid w:val="00532B24"/>
    <w:rsid w:val="00532DA1"/>
    <w:rsid w:val="00533028"/>
    <w:rsid w:val="0054339F"/>
    <w:rsid w:val="00545685"/>
    <w:rsid w:val="00546B87"/>
    <w:rsid w:val="00560982"/>
    <w:rsid w:val="00565233"/>
    <w:rsid w:val="00565B3B"/>
    <w:rsid w:val="005666C3"/>
    <w:rsid w:val="00571DF6"/>
    <w:rsid w:val="005741C9"/>
    <w:rsid w:val="00575DA0"/>
    <w:rsid w:val="0057656F"/>
    <w:rsid w:val="005779B0"/>
    <w:rsid w:val="005813B9"/>
    <w:rsid w:val="005835CF"/>
    <w:rsid w:val="005849A2"/>
    <w:rsid w:val="0058515D"/>
    <w:rsid w:val="00585BE6"/>
    <w:rsid w:val="0058601C"/>
    <w:rsid w:val="005876BC"/>
    <w:rsid w:val="00591312"/>
    <w:rsid w:val="00594D5D"/>
    <w:rsid w:val="00597B09"/>
    <w:rsid w:val="005A03EB"/>
    <w:rsid w:val="005A0F46"/>
    <w:rsid w:val="005A2286"/>
    <w:rsid w:val="005A3793"/>
    <w:rsid w:val="005A5D51"/>
    <w:rsid w:val="005B043F"/>
    <w:rsid w:val="005B3A3F"/>
    <w:rsid w:val="005B5225"/>
    <w:rsid w:val="005B5922"/>
    <w:rsid w:val="005C0276"/>
    <w:rsid w:val="005C031D"/>
    <w:rsid w:val="005C0E4F"/>
    <w:rsid w:val="005C3E12"/>
    <w:rsid w:val="005C4C52"/>
    <w:rsid w:val="005C6B93"/>
    <w:rsid w:val="005D0484"/>
    <w:rsid w:val="005D0CB7"/>
    <w:rsid w:val="005D149E"/>
    <w:rsid w:val="005D30D4"/>
    <w:rsid w:val="005D503E"/>
    <w:rsid w:val="005D5ADE"/>
    <w:rsid w:val="005D5C22"/>
    <w:rsid w:val="005D5FB4"/>
    <w:rsid w:val="005D780C"/>
    <w:rsid w:val="005E0246"/>
    <w:rsid w:val="005E45CE"/>
    <w:rsid w:val="005E6441"/>
    <w:rsid w:val="005F04BC"/>
    <w:rsid w:val="005F470E"/>
    <w:rsid w:val="005F554D"/>
    <w:rsid w:val="005F6BA5"/>
    <w:rsid w:val="005F7574"/>
    <w:rsid w:val="00600F63"/>
    <w:rsid w:val="00603959"/>
    <w:rsid w:val="006056D5"/>
    <w:rsid w:val="0061381C"/>
    <w:rsid w:val="00615C76"/>
    <w:rsid w:val="0061666C"/>
    <w:rsid w:val="00617024"/>
    <w:rsid w:val="006201A3"/>
    <w:rsid w:val="00621EFD"/>
    <w:rsid w:val="00621FCE"/>
    <w:rsid w:val="00623512"/>
    <w:rsid w:val="0062469F"/>
    <w:rsid w:val="00626DA2"/>
    <w:rsid w:val="0063031B"/>
    <w:rsid w:val="00631358"/>
    <w:rsid w:val="0063178D"/>
    <w:rsid w:val="00631AD7"/>
    <w:rsid w:val="00632B9C"/>
    <w:rsid w:val="00633371"/>
    <w:rsid w:val="006337F4"/>
    <w:rsid w:val="0063421F"/>
    <w:rsid w:val="006346C1"/>
    <w:rsid w:val="006431E5"/>
    <w:rsid w:val="00643B3E"/>
    <w:rsid w:val="00643CB8"/>
    <w:rsid w:val="00644191"/>
    <w:rsid w:val="00644EBE"/>
    <w:rsid w:val="00645840"/>
    <w:rsid w:val="00645B6A"/>
    <w:rsid w:val="006506FB"/>
    <w:rsid w:val="00650910"/>
    <w:rsid w:val="00650CAF"/>
    <w:rsid w:val="006516BA"/>
    <w:rsid w:val="006519ED"/>
    <w:rsid w:val="00651E5F"/>
    <w:rsid w:val="00653A28"/>
    <w:rsid w:val="00654D98"/>
    <w:rsid w:val="00655779"/>
    <w:rsid w:val="0066262A"/>
    <w:rsid w:val="00662659"/>
    <w:rsid w:val="0066352C"/>
    <w:rsid w:val="006709AB"/>
    <w:rsid w:val="00671303"/>
    <w:rsid w:val="00672111"/>
    <w:rsid w:val="00672953"/>
    <w:rsid w:val="00674012"/>
    <w:rsid w:val="006740DB"/>
    <w:rsid w:val="00680262"/>
    <w:rsid w:val="0068174C"/>
    <w:rsid w:val="0068335C"/>
    <w:rsid w:val="00683A47"/>
    <w:rsid w:val="00684077"/>
    <w:rsid w:val="00685666"/>
    <w:rsid w:val="00686411"/>
    <w:rsid w:val="006876E4"/>
    <w:rsid w:val="00691F74"/>
    <w:rsid w:val="00694751"/>
    <w:rsid w:val="00694D69"/>
    <w:rsid w:val="006A2104"/>
    <w:rsid w:val="006A5583"/>
    <w:rsid w:val="006A55FB"/>
    <w:rsid w:val="006A7A79"/>
    <w:rsid w:val="006B141E"/>
    <w:rsid w:val="006B1C22"/>
    <w:rsid w:val="006B21A4"/>
    <w:rsid w:val="006B26BB"/>
    <w:rsid w:val="006B4C36"/>
    <w:rsid w:val="006C2AC7"/>
    <w:rsid w:val="006C2B1B"/>
    <w:rsid w:val="006C2E99"/>
    <w:rsid w:val="006C384B"/>
    <w:rsid w:val="006C4B2F"/>
    <w:rsid w:val="006C7208"/>
    <w:rsid w:val="006C7B51"/>
    <w:rsid w:val="006D0A49"/>
    <w:rsid w:val="006E0548"/>
    <w:rsid w:val="006E11FB"/>
    <w:rsid w:val="006E1B7B"/>
    <w:rsid w:val="006E6AEF"/>
    <w:rsid w:val="006F03A1"/>
    <w:rsid w:val="006F3A18"/>
    <w:rsid w:val="006F3EC7"/>
    <w:rsid w:val="006F59A6"/>
    <w:rsid w:val="00700F8F"/>
    <w:rsid w:val="00701681"/>
    <w:rsid w:val="007050D8"/>
    <w:rsid w:val="00707F85"/>
    <w:rsid w:val="00710738"/>
    <w:rsid w:val="00710755"/>
    <w:rsid w:val="00711E76"/>
    <w:rsid w:val="007122F7"/>
    <w:rsid w:val="00712C05"/>
    <w:rsid w:val="00714E96"/>
    <w:rsid w:val="00720AB3"/>
    <w:rsid w:val="007215F6"/>
    <w:rsid w:val="007240CF"/>
    <w:rsid w:val="0072422F"/>
    <w:rsid w:val="0072477B"/>
    <w:rsid w:val="00727CCE"/>
    <w:rsid w:val="007331D8"/>
    <w:rsid w:val="00733212"/>
    <w:rsid w:val="007332FD"/>
    <w:rsid w:val="0073370D"/>
    <w:rsid w:val="007337E3"/>
    <w:rsid w:val="007352BC"/>
    <w:rsid w:val="00735A82"/>
    <w:rsid w:val="0074090A"/>
    <w:rsid w:val="00740E2C"/>
    <w:rsid w:val="00742AD5"/>
    <w:rsid w:val="00743623"/>
    <w:rsid w:val="00744F98"/>
    <w:rsid w:val="00745091"/>
    <w:rsid w:val="00746817"/>
    <w:rsid w:val="00750681"/>
    <w:rsid w:val="00753489"/>
    <w:rsid w:val="00755197"/>
    <w:rsid w:val="00757084"/>
    <w:rsid w:val="007574C3"/>
    <w:rsid w:val="00757AC8"/>
    <w:rsid w:val="007635B0"/>
    <w:rsid w:val="007739CD"/>
    <w:rsid w:val="00774A82"/>
    <w:rsid w:val="00774D48"/>
    <w:rsid w:val="00775D45"/>
    <w:rsid w:val="00776D7A"/>
    <w:rsid w:val="0077722F"/>
    <w:rsid w:val="007772C5"/>
    <w:rsid w:val="0078032C"/>
    <w:rsid w:val="0078330D"/>
    <w:rsid w:val="007838D4"/>
    <w:rsid w:val="007839C7"/>
    <w:rsid w:val="00784CAE"/>
    <w:rsid w:val="00785C35"/>
    <w:rsid w:val="00786349"/>
    <w:rsid w:val="00786879"/>
    <w:rsid w:val="00792705"/>
    <w:rsid w:val="007931A7"/>
    <w:rsid w:val="00793A72"/>
    <w:rsid w:val="0079480F"/>
    <w:rsid w:val="00794C29"/>
    <w:rsid w:val="007955FD"/>
    <w:rsid w:val="007970C8"/>
    <w:rsid w:val="007979A4"/>
    <w:rsid w:val="007A0889"/>
    <w:rsid w:val="007A1B45"/>
    <w:rsid w:val="007A3BE0"/>
    <w:rsid w:val="007A6EF9"/>
    <w:rsid w:val="007B06E1"/>
    <w:rsid w:val="007B13C1"/>
    <w:rsid w:val="007B20D9"/>
    <w:rsid w:val="007B5732"/>
    <w:rsid w:val="007B6E75"/>
    <w:rsid w:val="007C234D"/>
    <w:rsid w:val="007C311D"/>
    <w:rsid w:val="007C5C3E"/>
    <w:rsid w:val="007C64F7"/>
    <w:rsid w:val="007C6D85"/>
    <w:rsid w:val="007C79C3"/>
    <w:rsid w:val="007D68D8"/>
    <w:rsid w:val="007E4EE3"/>
    <w:rsid w:val="007F258C"/>
    <w:rsid w:val="007F3BF7"/>
    <w:rsid w:val="007F5C22"/>
    <w:rsid w:val="007F5E82"/>
    <w:rsid w:val="008015B0"/>
    <w:rsid w:val="00801FF2"/>
    <w:rsid w:val="0080414A"/>
    <w:rsid w:val="00805A5E"/>
    <w:rsid w:val="008207CD"/>
    <w:rsid w:val="00820AB9"/>
    <w:rsid w:val="00820C89"/>
    <w:rsid w:val="00822635"/>
    <w:rsid w:val="00824CC0"/>
    <w:rsid w:val="00827811"/>
    <w:rsid w:val="008279F5"/>
    <w:rsid w:val="00827BA1"/>
    <w:rsid w:val="00830746"/>
    <w:rsid w:val="00832A23"/>
    <w:rsid w:val="008349BB"/>
    <w:rsid w:val="008366F6"/>
    <w:rsid w:val="00842029"/>
    <w:rsid w:val="0084239B"/>
    <w:rsid w:val="00844E6A"/>
    <w:rsid w:val="0084559B"/>
    <w:rsid w:val="00845825"/>
    <w:rsid w:val="00846D20"/>
    <w:rsid w:val="00851E9C"/>
    <w:rsid w:val="008521F1"/>
    <w:rsid w:val="00852E61"/>
    <w:rsid w:val="008553FD"/>
    <w:rsid w:val="00860020"/>
    <w:rsid w:val="00860035"/>
    <w:rsid w:val="00860826"/>
    <w:rsid w:val="00860BD2"/>
    <w:rsid w:val="00863557"/>
    <w:rsid w:val="0086371A"/>
    <w:rsid w:val="00865BEC"/>
    <w:rsid w:val="00874258"/>
    <w:rsid w:val="00874C3A"/>
    <w:rsid w:val="00876217"/>
    <w:rsid w:val="00880153"/>
    <w:rsid w:val="00880864"/>
    <w:rsid w:val="00881919"/>
    <w:rsid w:val="008825C9"/>
    <w:rsid w:val="008833D7"/>
    <w:rsid w:val="00886739"/>
    <w:rsid w:val="00887A80"/>
    <w:rsid w:val="00890F33"/>
    <w:rsid w:val="00891B16"/>
    <w:rsid w:val="00893B47"/>
    <w:rsid w:val="00894AB2"/>
    <w:rsid w:val="00894D46"/>
    <w:rsid w:val="008971AB"/>
    <w:rsid w:val="008971B1"/>
    <w:rsid w:val="008A15B4"/>
    <w:rsid w:val="008A424A"/>
    <w:rsid w:val="008A5A39"/>
    <w:rsid w:val="008A6A4C"/>
    <w:rsid w:val="008B0407"/>
    <w:rsid w:val="008B7599"/>
    <w:rsid w:val="008B7D8E"/>
    <w:rsid w:val="008C05D3"/>
    <w:rsid w:val="008C1901"/>
    <w:rsid w:val="008C359D"/>
    <w:rsid w:val="008D057A"/>
    <w:rsid w:val="008D656A"/>
    <w:rsid w:val="008D6A31"/>
    <w:rsid w:val="008D6E9B"/>
    <w:rsid w:val="008E0812"/>
    <w:rsid w:val="008E2F1A"/>
    <w:rsid w:val="008E3055"/>
    <w:rsid w:val="008E575B"/>
    <w:rsid w:val="008E583A"/>
    <w:rsid w:val="008E7FCD"/>
    <w:rsid w:val="008F0439"/>
    <w:rsid w:val="008F1406"/>
    <w:rsid w:val="008F1C44"/>
    <w:rsid w:val="008F1DD8"/>
    <w:rsid w:val="008F36A1"/>
    <w:rsid w:val="008F3F4C"/>
    <w:rsid w:val="008F428D"/>
    <w:rsid w:val="008F506C"/>
    <w:rsid w:val="008F55E5"/>
    <w:rsid w:val="008F6401"/>
    <w:rsid w:val="008F7D32"/>
    <w:rsid w:val="00900B1D"/>
    <w:rsid w:val="00901AE2"/>
    <w:rsid w:val="00901D30"/>
    <w:rsid w:val="00901F21"/>
    <w:rsid w:val="00902499"/>
    <w:rsid w:val="00907C12"/>
    <w:rsid w:val="009159F1"/>
    <w:rsid w:val="009238AF"/>
    <w:rsid w:val="00924721"/>
    <w:rsid w:val="00924E46"/>
    <w:rsid w:val="009254B2"/>
    <w:rsid w:val="00926902"/>
    <w:rsid w:val="009315C6"/>
    <w:rsid w:val="0093169F"/>
    <w:rsid w:val="009317E1"/>
    <w:rsid w:val="009356BC"/>
    <w:rsid w:val="009372AA"/>
    <w:rsid w:val="00942E60"/>
    <w:rsid w:val="00944BC6"/>
    <w:rsid w:val="0094542B"/>
    <w:rsid w:val="0095044B"/>
    <w:rsid w:val="009514CA"/>
    <w:rsid w:val="00952880"/>
    <w:rsid w:val="0095382B"/>
    <w:rsid w:val="009567AE"/>
    <w:rsid w:val="00956941"/>
    <w:rsid w:val="0095732B"/>
    <w:rsid w:val="009605BB"/>
    <w:rsid w:val="00961E69"/>
    <w:rsid w:val="00964B12"/>
    <w:rsid w:val="00965D88"/>
    <w:rsid w:val="00967BAB"/>
    <w:rsid w:val="0097090C"/>
    <w:rsid w:val="00970D2A"/>
    <w:rsid w:val="009732B0"/>
    <w:rsid w:val="00973D30"/>
    <w:rsid w:val="00975149"/>
    <w:rsid w:val="00980272"/>
    <w:rsid w:val="00982991"/>
    <w:rsid w:val="009833A0"/>
    <w:rsid w:val="009854D2"/>
    <w:rsid w:val="00987A73"/>
    <w:rsid w:val="00987F08"/>
    <w:rsid w:val="009935CF"/>
    <w:rsid w:val="00993CBA"/>
    <w:rsid w:val="00994D67"/>
    <w:rsid w:val="00995F0C"/>
    <w:rsid w:val="009A0721"/>
    <w:rsid w:val="009A19CA"/>
    <w:rsid w:val="009A2471"/>
    <w:rsid w:val="009A36C4"/>
    <w:rsid w:val="009A6960"/>
    <w:rsid w:val="009B623A"/>
    <w:rsid w:val="009B66C1"/>
    <w:rsid w:val="009C1E0D"/>
    <w:rsid w:val="009C5C94"/>
    <w:rsid w:val="009D3F95"/>
    <w:rsid w:val="009D74DE"/>
    <w:rsid w:val="009D7508"/>
    <w:rsid w:val="009D7A30"/>
    <w:rsid w:val="009E13AD"/>
    <w:rsid w:val="009E51EE"/>
    <w:rsid w:val="009E706F"/>
    <w:rsid w:val="009E7078"/>
    <w:rsid w:val="009F2F37"/>
    <w:rsid w:val="009F40EE"/>
    <w:rsid w:val="009F5654"/>
    <w:rsid w:val="009F7624"/>
    <w:rsid w:val="00A033BB"/>
    <w:rsid w:val="00A03D33"/>
    <w:rsid w:val="00A1102A"/>
    <w:rsid w:val="00A12C1A"/>
    <w:rsid w:val="00A13675"/>
    <w:rsid w:val="00A13CCE"/>
    <w:rsid w:val="00A145CF"/>
    <w:rsid w:val="00A14F12"/>
    <w:rsid w:val="00A1555F"/>
    <w:rsid w:val="00A17B9D"/>
    <w:rsid w:val="00A207CA"/>
    <w:rsid w:val="00A22F91"/>
    <w:rsid w:val="00A246CD"/>
    <w:rsid w:val="00A24ACA"/>
    <w:rsid w:val="00A263D9"/>
    <w:rsid w:val="00A273F8"/>
    <w:rsid w:val="00A2740A"/>
    <w:rsid w:val="00A30ECD"/>
    <w:rsid w:val="00A316A8"/>
    <w:rsid w:val="00A32039"/>
    <w:rsid w:val="00A3256E"/>
    <w:rsid w:val="00A32A43"/>
    <w:rsid w:val="00A32CCD"/>
    <w:rsid w:val="00A32EDE"/>
    <w:rsid w:val="00A338B5"/>
    <w:rsid w:val="00A350D1"/>
    <w:rsid w:val="00A36B39"/>
    <w:rsid w:val="00A3740D"/>
    <w:rsid w:val="00A37E4B"/>
    <w:rsid w:val="00A41946"/>
    <w:rsid w:val="00A4405D"/>
    <w:rsid w:val="00A476C9"/>
    <w:rsid w:val="00A5328F"/>
    <w:rsid w:val="00A53448"/>
    <w:rsid w:val="00A54C26"/>
    <w:rsid w:val="00A556E4"/>
    <w:rsid w:val="00A566F0"/>
    <w:rsid w:val="00A56955"/>
    <w:rsid w:val="00A615B7"/>
    <w:rsid w:val="00A6215C"/>
    <w:rsid w:val="00A64833"/>
    <w:rsid w:val="00A720C9"/>
    <w:rsid w:val="00A74125"/>
    <w:rsid w:val="00A75886"/>
    <w:rsid w:val="00A75B69"/>
    <w:rsid w:val="00A76785"/>
    <w:rsid w:val="00A83812"/>
    <w:rsid w:val="00A87A29"/>
    <w:rsid w:val="00A94E7C"/>
    <w:rsid w:val="00A96F9C"/>
    <w:rsid w:val="00AA3D92"/>
    <w:rsid w:val="00AB0F3B"/>
    <w:rsid w:val="00AB1600"/>
    <w:rsid w:val="00AB161A"/>
    <w:rsid w:val="00AB42B1"/>
    <w:rsid w:val="00AB510F"/>
    <w:rsid w:val="00AB5B0D"/>
    <w:rsid w:val="00AB5F49"/>
    <w:rsid w:val="00AB728F"/>
    <w:rsid w:val="00AC02E4"/>
    <w:rsid w:val="00AC13AA"/>
    <w:rsid w:val="00AC3ACC"/>
    <w:rsid w:val="00AC54AE"/>
    <w:rsid w:val="00AC56B1"/>
    <w:rsid w:val="00AC6407"/>
    <w:rsid w:val="00AC6B26"/>
    <w:rsid w:val="00AC738D"/>
    <w:rsid w:val="00AC7CEF"/>
    <w:rsid w:val="00AD0B06"/>
    <w:rsid w:val="00AD1AB6"/>
    <w:rsid w:val="00AD2CF3"/>
    <w:rsid w:val="00AD4CD2"/>
    <w:rsid w:val="00AD5130"/>
    <w:rsid w:val="00AD532F"/>
    <w:rsid w:val="00AD7CEE"/>
    <w:rsid w:val="00AE0920"/>
    <w:rsid w:val="00AE273D"/>
    <w:rsid w:val="00AE34B7"/>
    <w:rsid w:val="00AE5E79"/>
    <w:rsid w:val="00AF5A8A"/>
    <w:rsid w:val="00AF61A0"/>
    <w:rsid w:val="00AF64C5"/>
    <w:rsid w:val="00AF6F7F"/>
    <w:rsid w:val="00B01882"/>
    <w:rsid w:val="00B02BE5"/>
    <w:rsid w:val="00B03127"/>
    <w:rsid w:val="00B06773"/>
    <w:rsid w:val="00B12BB5"/>
    <w:rsid w:val="00B13BB2"/>
    <w:rsid w:val="00B13F2C"/>
    <w:rsid w:val="00B156E8"/>
    <w:rsid w:val="00B15779"/>
    <w:rsid w:val="00B161FF"/>
    <w:rsid w:val="00B16A3F"/>
    <w:rsid w:val="00B2194F"/>
    <w:rsid w:val="00B21BE7"/>
    <w:rsid w:val="00B25926"/>
    <w:rsid w:val="00B26D62"/>
    <w:rsid w:val="00B27BBC"/>
    <w:rsid w:val="00B314A4"/>
    <w:rsid w:val="00B31E4A"/>
    <w:rsid w:val="00B32EBE"/>
    <w:rsid w:val="00B34A51"/>
    <w:rsid w:val="00B35292"/>
    <w:rsid w:val="00B37FF0"/>
    <w:rsid w:val="00B406E6"/>
    <w:rsid w:val="00B40AF2"/>
    <w:rsid w:val="00B41B79"/>
    <w:rsid w:val="00B43698"/>
    <w:rsid w:val="00B4550A"/>
    <w:rsid w:val="00B459D0"/>
    <w:rsid w:val="00B5111B"/>
    <w:rsid w:val="00B5156B"/>
    <w:rsid w:val="00B54653"/>
    <w:rsid w:val="00B57F22"/>
    <w:rsid w:val="00B61248"/>
    <w:rsid w:val="00B67BF8"/>
    <w:rsid w:val="00B720EC"/>
    <w:rsid w:val="00B7222C"/>
    <w:rsid w:val="00B72B54"/>
    <w:rsid w:val="00B750FC"/>
    <w:rsid w:val="00B757AD"/>
    <w:rsid w:val="00B75D06"/>
    <w:rsid w:val="00B76665"/>
    <w:rsid w:val="00B76B07"/>
    <w:rsid w:val="00B8040F"/>
    <w:rsid w:val="00B82C1A"/>
    <w:rsid w:val="00B841A2"/>
    <w:rsid w:val="00B8469F"/>
    <w:rsid w:val="00B85F71"/>
    <w:rsid w:val="00B879FC"/>
    <w:rsid w:val="00B9019F"/>
    <w:rsid w:val="00B902D6"/>
    <w:rsid w:val="00B9136F"/>
    <w:rsid w:val="00B919E6"/>
    <w:rsid w:val="00B92CF1"/>
    <w:rsid w:val="00B932EE"/>
    <w:rsid w:val="00B93CAB"/>
    <w:rsid w:val="00B96D42"/>
    <w:rsid w:val="00BA5655"/>
    <w:rsid w:val="00BB78E1"/>
    <w:rsid w:val="00BC042F"/>
    <w:rsid w:val="00BC35C1"/>
    <w:rsid w:val="00BC7C31"/>
    <w:rsid w:val="00BD2ECE"/>
    <w:rsid w:val="00BD7B47"/>
    <w:rsid w:val="00BE15CB"/>
    <w:rsid w:val="00BE1C94"/>
    <w:rsid w:val="00BE20C0"/>
    <w:rsid w:val="00BE3A58"/>
    <w:rsid w:val="00BE78CE"/>
    <w:rsid w:val="00BF452F"/>
    <w:rsid w:val="00BF6FC8"/>
    <w:rsid w:val="00C00E3C"/>
    <w:rsid w:val="00C00E83"/>
    <w:rsid w:val="00C018CE"/>
    <w:rsid w:val="00C0437E"/>
    <w:rsid w:val="00C11275"/>
    <w:rsid w:val="00C12998"/>
    <w:rsid w:val="00C14434"/>
    <w:rsid w:val="00C161F6"/>
    <w:rsid w:val="00C20DBF"/>
    <w:rsid w:val="00C23E98"/>
    <w:rsid w:val="00C256AF"/>
    <w:rsid w:val="00C26450"/>
    <w:rsid w:val="00C26FEF"/>
    <w:rsid w:val="00C27386"/>
    <w:rsid w:val="00C3021B"/>
    <w:rsid w:val="00C304DF"/>
    <w:rsid w:val="00C32424"/>
    <w:rsid w:val="00C3329A"/>
    <w:rsid w:val="00C33A83"/>
    <w:rsid w:val="00C34FCE"/>
    <w:rsid w:val="00C40567"/>
    <w:rsid w:val="00C43586"/>
    <w:rsid w:val="00C465E6"/>
    <w:rsid w:val="00C46857"/>
    <w:rsid w:val="00C5141D"/>
    <w:rsid w:val="00C53FF9"/>
    <w:rsid w:val="00C5684A"/>
    <w:rsid w:val="00C57629"/>
    <w:rsid w:val="00C60146"/>
    <w:rsid w:val="00C61818"/>
    <w:rsid w:val="00C62F47"/>
    <w:rsid w:val="00C642B6"/>
    <w:rsid w:val="00C66372"/>
    <w:rsid w:val="00C7201C"/>
    <w:rsid w:val="00C7493D"/>
    <w:rsid w:val="00C75650"/>
    <w:rsid w:val="00C77C6B"/>
    <w:rsid w:val="00C8028D"/>
    <w:rsid w:val="00C806E0"/>
    <w:rsid w:val="00C85311"/>
    <w:rsid w:val="00C8564E"/>
    <w:rsid w:val="00C94A04"/>
    <w:rsid w:val="00C95A44"/>
    <w:rsid w:val="00C97DD0"/>
    <w:rsid w:val="00CA12B6"/>
    <w:rsid w:val="00CA1B20"/>
    <w:rsid w:val="00CA2891"/>
    <w:rsid w:val="00CA40A0"/>
    <w:rsid w:val="00CA589B"/>
    <w:rsid w:val="00CA5CD4"/>
    <w:rsid w:val="00CA5E8A"/>
    <w:rsid w:val="00CB050C"/>
    <w:rsid w:val="00CB1568"/>
    <w:rsid w:val="00CB2578"/>
    <w:rsid w:val="00CB44DC"/>
    <w:rsid w:val="00CB556C"/>
    <w:rsid w:val="00CB5B38"/>
    <w:rsid w:val="00CB5B3B"/>
    <w:rsid w:val="00CB78E8"/>
    <w:rsid w:val="00CC39B6"/>
    <w:rsid w:val="00CC43D0"/>
    <w:rsid w:val="00CC5AAF"/>
    <w:rsid w:val="00CC6286"/>
    <w:rsid w:val="00CC6D3D"/>
    <w:rsid w:val="00CC710D"/>
    <w:rsid w:val="00CD1053"/>
    <w:rsid w:val="00CD5D88"/>
    <w:rsid w:val="00CD6846"/>
    <w:rsid w:val="00CD6AE1"/>
    <w:rsid w:val="00CE25C7"/>
    <w:rsid w:val="00CF031A"/>
    <w:rsid w:val="00CF0BF2"/>
    <w:rsid w:val="00CF1480"/>
    <w:rsid w:val="00CF41F4"/>
    <w:rsid w:val="00CF5179"/>
    <w:rsid w:val="00CF7935"/>
    <w:rsid w:val="00D00EE3"/>
    <w:rsid w:val="00D00FFD"/>
    <w:rsid w:val="00D03BB1"/>
    <w:rsid w:val="00D05062"/>
    <w:rsid w:val="00D0569F"/>
    <w:rsid w:val="00D0624C"/>
    <w:rsid w:val="00D070E8"/>
    <w:rsid w:val="00D13219"/>
    <w:rsid w:val="00D1397D"/>
    <w:rsid w:val="00D15F66"/>
    <w:rsid w:val="00D21694"/>
    <w:rsid w:val="00D22B57"/>
    <w:rsid w:val="00D26884"/>
    <w:rsid w:val="00D26A1C"/>
    <w:rsid w:val="00D31026"/>
    <w:rsid w:val="00D32CFE"/>
    <w:rsid w:val="00D32EC2"/>
    <w:rsid w:val="00D33708"/>
    <w:rsid w:val="00D3599E"/>
    <w:rsid w:val="00D359C9"/>
    <w:rsid w:val="00D37640"/>
    <w:rsid w:val="00D46210"/>
    <w:rsid w:val="00D46E87"/>
    <w:rsid w:val="00D5309B"/>
    <w:rsid w:val="00D56345"/>
    <w:rsid w:val="00D56EBC"/>
    <w:rsid w:val="00D57216"/>
    <w:rsid w:val="00D57AB4"/>
    <w:rsid w:val="00D60844"/>
    <w:rsid w:val="00D653BF"/>
    <w:rsid w:val="00D66C1E"/>
    <w:rsid w:val="00D67B1E"/>
    <w:rsid w:val="00D67E24"/>
    <w:rsid w:val="00D730FC"/>
    <w:rsid w:val="00D73775"/>
    <w:rsid w:val="00D761BE"/>
    <w:rsid w:val="00D76C0F"/>
    <w:rsid w:val="00D77EA5"/>
    <w:rsid w:val="00D81614"/>
    <w:rsid w:val="00D83256"/>
    <w:rsid w:val="00D861AF"/>
    <w:rsid w:val="00D8738C"/>
    <w:rsid w:val="00D91F04"/>
    <w:rsid w:val="00D92C06"/>
    <w:rsid w:val="00D933B7"/>
    <w:rsid w:val="00D93779"/>
    <w:rsid w:val="00D9428D"/>
    <w:rsid w:val="00D969A1"/>
    <w:rsid w:val="00DA5314"/>
    <w:rsid w:val="00DA7137"/>
    <w:rsid w:val="00DA71E5"/>
    <w:rsid w:val="00DA7907"/>
    <w:rsid w:val="00DB007E"/>
    <w:rsid w:val="00DB1ED6"/>
    <w:rsid w:val="00DB5E23"/>
    <w:rsid w:val="00DB77B5"/>
    <w:rsid w:val="00DC123D"/>
    <w:rsid w:val="00DC3F30"/>
    <w:rsid w:val="00DC3FBC"/>
    <w:rsid w:val="00DC4233"/>
    <w:rsid w:val="00DC4B26"/>
    <w:rsid w:val="00DC4F65"/>
    <w:rsid w:val="00DD13E3"/>
    <w:rsid w:val="00DD2936"/>
    <w:rsid w:val="00DD3CFF"/>
    <w:rsid w:val="00DD5470"/>
    <w:rsid w:val="00DD659B"/>
    <w:rsid w:val="00DD6E87"/>
    <w:rsid w:val="00DD6F2D"/>
    <w:rsid w:val="00DD7B0B"/>
    <w:rsid w:val="00DE2EF0"/>
    <w:rsid w:val="00DE32A2"/>
    <w:rsid w:val="00DE5118"/>
    <w:rsid w:val="00DE5687"/>
    <w:rsid w:val="00DE6546"/>
    <w:rsid w:val="00DF04DE"/>
    <w:rsid w:val="00DF118E"/>
    <w:rsid w:val="00DF2841"/>
    <w:rsid w:val="00DF3898"/>
    <w:rsid w:val="00DF429C"/>
    <w:rsid w:val="00DF50EF"/>
    <w:rsid w:val="00DF5850"/>
    <w:rsid w:val="00DF640A"/>
    <w:rsid w:val="00DF66EE"/>
    <w:rsid w:val="00E010AC"/>
    <w:rsid w:val="00E03650"/>
    <w:rsid w:val="00E03EC5"/>
    <w:rsid w:val="00E0638D"/>
    <w:rsid w:val="00E149F0"/>
    <w:rsid w:val="00E15A15"/>
    <w:rsid w:val="00E16057"/>
    <w:rsid w:val="00E2144B"/>
    <w:rsid w:val="00E22186"/>
    <w:rsid w:val="00E22447"/>
    <w:rsid w:val="00E23613"/>
    <w:rsid w:val="00E248B9"/>
    <w:rsid w:val="00E24AC3"/>
    <w:rsid w:val="00E25EE1"/>
    <w:rsid w:val="00E27B04"/>
    <w:rsid w:val="00E31BD3"/>
    <w:rsid w:val="00E32D6B"/>
    <w:rsid w:val="00E344A0"/>
    <w:rsid w:val="00E371B3"/>
    <w:rsid w:val="00E40935"/>
    <w:rsid w:val="00E41635"/>
    <w:rsid w:val="00E41796"/>
    <w:rsid w:val="00E45569"/>
    <w:rsid w:val="00E4725B"/>
    <w:rsid w:val="00E477F0"/>
    <w:rsid w:val="00E50C09"/>
    <w:rsid w:val="00E51D56"/>
    <w:rsid w:val="00E523A8"/>
    <w:rsid w:val="00E527B0"/>
    <w:rsid w:val="00E533C1"/>
    <w:rsid w:val="00E559AC"/>
    <w:rsid w:val="00E57872"/>
    <w:rsid w:val="00E57E4E"/>
    <w:rsid w:val="00E601B7"/>
    <w:rsid w:val="00E607C3"/>
    <w:rsid w:val="00E629A2"/>
    <w:rsid w:val="00E62DB7"/>
    <w:rsid w:val="00E62E14"/>
    <w:rsid w:val="00E64334"/>
    <w:rsid w:val="00E677EA"/>
    <w:rsid w:val="00E67E15"/>
    <w:rsid w:val="00E67E38"/>
    <w:rsid w:val="00E67E53"/>
    <w:rsid w:val="00E71B0E"/>
    <w:rsid w:val="00E728CF"/>
    <w:rsid w:val="00E7348D"/>
    <w:rsid w:val="00E739BB"/>
    <w:rsid w:val="00E7587D"/>
    <w:rsid w:val="00E75A1B"/>
    <w:rsid w:val="00E75DB1"/>
    <w:rsid w:val="00E7617F"/>
    <w:rsid w:val="00E77FD6"/>
    <w:rsid w:val="00E81FD1"/>
    <w:rsid w:val="00E84FAA"/>
    <w:rsid w:val="00E85266"/>
    <w:rsid w:val="00E90FD9"/>
    <w:rsid w:val="00E92423"/>
    <w:rsid w:val="00E944BE"/>
    <w:rsid w:val="00EA298D"/>
    <w:rsid w:val="00EA32F1"/>
    <w:rsid w:val="00EA4FA9"/>
    <w:rsid w:val="00EA7F41"/>
    <w:rsid w:val="00EB0E2B"/>
    <w:rsid w:val="00EB3F3F"/>
    <w:rsid w:val="00EB48EF"/>
    <w:rsid w:val="00EB4BDB"/>
    <w:rsid w:val="00EB6514"/>
    <w:rsid w:val="00EB6F42"/>
    <w:rsid w:val="00EC300F"/>
    <w:rsid w:val="00EC4AAD"/>
    <w:rsid w:val="00EC6309"/>
    <w:rsid w:val="00EC74AA"/>
    <w:rsid w:val="00EC7D1A"/>
    <w:rsid w:val="00ED048F"/>
    <w:rsid w:val="00ED2255"/>
    <w:rsid w:val="00ED67C6"/>
    <w:rsid w:val="00ED722E"/>
    <w:rsid w:val="00EE0005"/>
    <w:rsid w:val="00EE1FF4"/>
    <w:rsid w:val="00EE5F91"/>
    <w:rsid w:val="00EE6D7E"/>
    <w:rsid w:val="00EF018C"/>
    <w:rsid w:val="00EF057E"/>
    <w:rsid w:val="00EF1237"/>
    <w:rsid w:val="00EF34FF"/>
    <w:rsid w:val="00EF4995"/>
    <w:rsid w:val="00EF76AD"/>
    <w:rsid w:val="00F014A2"/>
    <w:rsid w:val="00F0236B"/>
    <w:rsid w:val="00F038BB"/>
    <w:rsid w:val="00F0418D"/>
    <w:rsid w:val="00F05C13"/>
    <w:rsid w:val="00F10178"/>
    <w:rsid w:val="00F1082E"/>
    <w:rsid w:val="00F13C1F"/>
    <w:rsid w:val="00F13D3A"/>
    <w:rsid w:val="00F16231"/>
    <w:rsid w:val="00F22393"/>
    <w:rsid w:val="00F22C0E"/>
    <w:rsid w:val="00F24EAD"/>
    <w:rsid w:val="00F25719"/>
    <w:rsid w:val="00F2666C"/>
    <w:rsid w:val="00F26D63"/>
    <w:rsid w:val="00F31932"/>
    <w:rsid w:val="00F3421D"/>
    <w:rsid w:val="00F353B1"/>
    <w:rsid w:val="00F411DE"/>
    <w:rsid w:val="00F42ABD"/>
    <w:rsid w:val="00F46955"/>
    <w:rsid w:val="00F46BFB"/>
    <w:rsid w:val="00F46CE2"/>
    <w:rsid w:val="00F47619"/>
    <w:rsid w:val="00F50ABD"/>
    <w:rsid w:val="00F514AC"/>
    <w:rsid w:val="00F51B11"/>
    <w:rsid w:val="00F52387"/>
    <w:rsid w:val="00F52A0B"/>
    <w:rsid w:val="00F535C7"/>
    <w:rsid w:val="00F54CF2"/>
    <w:rsid w:val="00F60073"/>
    <w:rsid w:val="00F626E2"/>
    <w:rsid w:val="00F652E0"/>
    <w:rsid w:val="00F65EB0"/>
    <w:rsid w:val="00F66891"/>
    <w:rsid w:val="00F66DD4"/>
    <w:rsid w:val="00F70B33"/>
    <w:rsid w:val="00F71AC0"/>
    <w:rsid w:val="00F73552"/>
    <w:rsid w:val="00F74638"/>
    <w:rsid w:val="00F74E4E"/>
    <w:rsid w:val="00F82333"/>
    <w:rsid w:val="00F824C7"/>
    <w:rsid w:val="00F84316"/>
    <w:rsid w:val="00F84DE5"/>
    <w:rsid w:val="00F85214"/>
    <w:rsid w:val="00F87149"/>
    <w:rsid w:val="00F9163C"/>
    <w:rsid w:val="00F951B3"/>
    <w:rsid w:val="00F963A1"/>
    <w:rsid w:val="00F96484"/>
    <w:rsid w:val="00FA31A5"/>
    <w:rsid w:val="00FA581C"/>
    <w:rsid w:val="00FA61E2"/>
    <w:rsid w:val="00FB6AE3"/>
    <w:rsid w:val="00FC1A52"/>
    <w:rsid w:val="00FC3282"/>
    <w:rsid w:val="00FC50C3"/>
    <w:rsid w:val="00FC5428"/>
    <w:rsid w:val="00FC5904"/>
    <w:rsid w:val="00FC641B"/>
    <w:rsid w:val="00FC7A76"/>
    <w:rsid w:val="00FD05BB"/>
    <w:rsid w:val="00FD0A84"/>
    <w:rsid w:val="00FD1566"/>
    <w:rsid w:val="00FD33A7"/>
    <w:rsid w:val="00FD3A2D"/>
    <w:rsid w:val="00FD6743"/>
    <w:rsid w:val="00FE4240"/>
    <w:rsid w:val="00FE5014"/>
    <w:rsid w:val="00FE53D7"/>
    <w:rsid w:val="00FE591C"/>
    <w:rsid w:val="00FE6BED"/>
    <w:rsid w:val="00FF21E0"/>
    <w:rsid w:val="00FF2B5A"/>
    <w:rsid w:val="00FF3E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8A41"/>
  <w15:docId w15:val="{25698D35-7DC2-49CE-97B2-48C1385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0F"/>
  </w:style>
  <w:style w:type="paragraph" w:styleId="Heading3">
    <w:name w:val="heading 3"/>
    <w:basedOn w:val="Normal"/>
    <w:next w:val="Normal"/>
    <w:link w:val="Heading3Char"/>
    <w:qFormat/>
    <w:rsid w:val="00315C56"/>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C56"/>
    <w:rPr>
      <w:rFonts w:ascii="Arial" w:eastAsia="Times New Roman" w:hAnsi="Arial" w:cs="Arial"/>
      <w:b/>
      <w:bCs/>
      <w:sz w:val="26"/>
      <w:szCs w:val="26"/>
      <w:lang w:val="en-GB" w:eastAsia="en-GB"/>
    </w:rPr>
  </w:style>
  <w:style w:type="paragraph" w:styleId="FootnoteText">
    <w:name w:val="footnote text"/>
    <w:basedOn w:val="Normal"/>
    <w:link w:val="FootnoteTextChar"/>
    <w:uiPriority w:val="99"/>
    <w:semiHidden/>
    <w:rsid w:val="00315C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15C56"/>
    <w:rPr>
      <w:rFonts w:ascii="Times New Roman" w:eastAsia="Times New Roman" w:hAnsi="Times New Roman" w:cs="Times New Roman"/>
      <w:sz w:val="20"/>
      <w:szCs w:val="20"/>
      <w:lang w:eastAsia="tr-TR"/>
    </w:rPr>
  </w:style>
  <w:style w:type="character" w:styleId="FootnoteReference">
    <w:name w:val="footnote reference"/>
    <w:uiPriority w:val="99"/>
    <w:semiHidden/>
    <w:rsid w:val="00315C56"/>
    <w:rPr>
      <w:vertAlign w:val="superscript"/>
    </w:rPr>
  </w:style>
  <w:style w:type="paragraph" w:styleId="BalloonText">
    <w:name w:val="Balloon Text"/>
    <w:basedOn w:val="Normal"/>
    <w:link w:val="BalloonTextChar"/>
    <w:uiPriority w:val="99"/>
    <w:semiHidden/>
    <w:unhideWhenUsed/>
    <w:rsid w:val="002A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30"/>
    <w:rPr>
      <w:rFonts w:ascii="Tahoma" w:hAnsi="Tahoma" w:cs="Tahoma"/>
      <w:sz w:val="16"/>
      <w:szCs w:val="16"/>
    </w:rPr>
  </w:style>
  <w:style w:type="paragraph" w:styleId="Caption">
    <w:name w:val="caption"/>
    <w:basedOn w:val="Normal"/>
    <w:next w:val="Normal"/>
    <w:qFormat/>
    <w:rsid w:val="002A2730"/>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69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9A1"/>
  </w:style>
  <w:style w:type="paragraph" w:styleId="Footer">
    <w:name w:val="footer"/>
    <w:basedOn w:val="Normal"/>
    <w:link w:val="FooterChar"/>
    <w:uiPriority w:val="99"/>
    <w:unhideWhenUsed/>
    <w:rsid w:val="00D969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9A1"/>
  </w:style>
  <w:style w:type="character" w:styleId="Hyperlink">
    <w:name w:val="Hyperlink"/>
    <w:basedOn w:val="DefaultParagraphFont"/>
    <w:uiPriority w:val="99"/>
    <w:unhideWhenUsed/>
    <w:rsid w:val="000A331C"/>
    <w:rPr>
      <w:color w:val="0000FF" w:themeColor="hyperlink"/>
      <w:u w:val="single"/>
    </w:rPr>
  </w:style>
  <w:style w:type="table" w:styleId="LightShading">
    <w:name w:val="Light Shading"/>
    <w:basedOn w:val="TableNormal"/>
    <w:uiPriority w:val="60"/>
    <w:rsid w:val="000A331C"/>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7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DefaultParagraphFont"/>
    <w:rsid w:val="00654D98"/>
  </w:style>
  <w:style w:type="character" w:customStyle="1" w:styleId="UnresolvedMention1">
    <w:name w:val="Unresolved Mention1"/>
    <w:basedOn w:val="DefaultParagraphFont"/>
    <w:uiPriority w:val="99"/>
    <w:semiHidden/>
    <w:unhideWhenUsed/>
    <w:rsid w:val="001822A1"/>
    <w:rPr>
      <w:color w:val="605E5C"/>
      <w:shd w:val="clear" w:color="auto" w:fill="E1DFDD"/>
    </w:rPr>
  </w:style>
  <w:style w:type="paragraph" w:customStyle="1" w:styleId="Default">
    <w:name w:val="Default"/>
    <w:rsid w:val="00C256AF"/>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styleId="PlaceholderText">
    <w:name w:val="Placeholder Text"/>
    <w:basedOn w:val="DefaultParagraphFont"/>
    <w:uiPriority w:val="99"/>
    <w:semiHidden/>
    <w:rsid w:val="00C256AF"/>
    <w:rPr>
      <w:color w:val="808080"/>
    </w:rPr>
  </w:style>
  <w:style w:type="character" w:styleId="FollowedHyperlink">
    <w:name w:val="FollowedHyperlink"/>
    <w:basedOn w:val="DefaultParagraphFont"/>
    <w:uiPriority w:val="99"/>
    <w:semiHidden/>
    <w:unhideWhenUsed/>
    <w:rsid w:val="00C256AF"/>
    <w:rPr>
      <w:color w:val="954F72"/>
      <w:u w:val="single"/>
    </w:rPr>
  </w:style>
  <w:style w:type="paragraph" w:customStyle="1" w:styleId="msonormal0">
    <w:name w:val="msonormal"/>
    <w:basedOn w:val="Normal"/>
    <w:rsid w:val="00C256A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1">
    <w:name w:val="xl71"/>
    <w:basedOn w:val="Normal"/>
    <w:rsid w:val="00C256AF"/>
    <w:pP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72">
    <w:name w:val="xl72"/>
    <w:basedOn w:val="Normal"/>
    <w:rsid w:val="00C256AF"/>
    <w:pP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73">
    <w:name w:val="xl73"/>
    <w:basedOn w:val="Normal"/>
    <w:rsid w:val="00C256AF"/>
    <w:pPr>
      <w:pBdr>
        <w:top w:val="single" w:sz="8" w:space="0" w:color="auto"/>
      </w:pBdr>
      <w:spacing w:before="100" w:beforeAutospacing="1" w:after="100" w:afterAutospacing="1" w:line="240" w:lineRule="auto"/>
    </w:pPr>
    <w:rPr>
      <w:rFonts w:ascii="Arial" w:eastAsia="Times New Roman" w:hAnsi="Arial" w:cs="Arial"/>
      <w:b/>
      <w:bCs/>
      <w:color w:val="000000"/>
      <w:sz w:val="16"/>
      <w:szCs w:val="16"/>
      <w:lang w:val="en-US" w:eastAsia="en-US"/>
    </w:rPr>
  </w:style>
  <w:style w:type="paragraph" w:customStyle="1" w:styleId="xl74">
    <w:name w:val="xl74"/>
    <w:basedOn w:val="Normal"/>
    <w:rsid w:val="00C256AF"/>
    <w:pPr>
      <w:pBdr>
        <w:top w:val="single" w:sz="8" w:space="0" w:color="auto"/>
      </w:pBdr>
      <w:spacing w:before="100" w:beforeAutospacing="1" w:after="100" w:afterAutospacing="1" w:line="240" w:lineRule="auto"/>
    </w:pPr>
    <w:rPr>
      <w:rFonts w:ascii="Arial" w:eastAsia="Times New Roman" w:hAnsi="Arial" w:cs="Arial"/>
      <w:b/>
      <w:bCs/>
      <w:color w:val="000000"/>
      <w:sz w:val="16"/>
      <w:szCs w:val="16"/>
      <w:lang w:val="en-US" w:eastAsia="en-US"/>
    </w:rPr>
  </w:style>
  <w:style w:type="paragraph" w:customStyle="1" w:styleId="xl75">
    <w:name w:val="xl75"/>
    <w:basedOn w:val="Normal"/>
    <w:rsid w:val="00C256AF"/>
    <w:pPr>
      <w:pBdr>
        <w:top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76">
    <w:name w:val="xl76"/>
    <w:basedOn w:val="Normal"/>
    <w:rsid w:val="00C256A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77">
    <w:name w:val="xl77"/>
    <w:basedOn w:val="Normal"/>
    <w:rsid w:val="00C256A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78">
    <w:name w:val="xl78"/>
    <w:basedOn w:val="Normal"/>
    <w:rsid w:val="00C256AF"/>
    <w:pP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79">
    <w:name w:val="xl79"/>
    <w:basedOn w:val="Normal"/>
    <w:rsid w:val="00C256AF"/>
    <w:pP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0">
    <w:name w:val="xl80"/>
    <w:basedOn w:val="Normal"/>
    <w:rsid w:val="00C256AF"/>
    <w:pPr>
      <w:shd w:val="clear" w:color="000000" w:fill="D6DCE4"/>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81">
    <w:name w:val="xl81"/>
    <w:basedOn w:val="Normal"/>
    <w:rsid w:val="00C256A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82">
    <w:name w:val="xl82"/>
    <w:basedOn w:val="Normal"/>
    <w:rsid w:val="00C256AF"/>
    <w:pPr>
      <w:spacing w:before="100" w:beforeAutospacing="1" w:after="100" w:afterAutospacing="1" w:line="240" w:lineRule="auto"/>
      <w:textAlignment w:val="center"/>
    </w:pPr>
    <w:rPr>
      <w:rFonts w:ascii="Calibri" w:eastAsia="Times New Roman" w:hAnsi="Calibri" w:cs="Calibri"/>
      <w:sz w:val="24"/>
      <w:szCs w:val="24"/>
      <w:lang w:val="en-US" w:eastAsia="en-US"/>
    </w:rPr>
  </w:style>
  <w:style w:type="paragraph" w:customStyle="1" w:styleId="xl83">
    <w:name w:val="xl83"/>
    <w:basedOn w:val="Normal"/>
    <w:rsid w:val="00C256A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84">
    <w:name w:val="xl84"/>
    <w:basedOn w:val="Normal"/>
    <w:rsid w:val="00C256AF"/>
    <w:pPr>
      <w:pBdr>
        <w:bottom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85">
    <w:name w:val="xl85"/>
    <w:basedOn w:val="Normal"/>
    <w:rsid w:val="00C256AF"/>
    <w:pPr>
      <w:pBdr>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eastAsia="en-US"/>
    </w:rPr>
  </w:style>
  <w:style w:type="paragraph" w:customStyle="1" w:styleId="xl86">
    <w:name w:val="xl86"/>
    <w:basedOn w:val="Normal"/>
    <w:rsid w:val="00C256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7">
    <w:name w:val="xl87"/>
    <w:basedOn w:val="Normal"/>
    <w:rsid w:val="00C256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8">
    <w:name w:val="xl88"/>
    <w:basedOn w:val="Normal"/>
    <w:rsid w:val="00C256A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89">
    <w:name w:val="xl89"/>
    <w:basedOn w:val="Normal"/>
    <w:rsid w:val="00C256AF"/>
    <w:pP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0">
    <w:name w:val="xl90"/>
    <w:basedOn w:val="Normal"/>
    <w:rsid w:val="00C256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1">
    <w:name w:val="xl91"/>
    <w:basedOn w:val="Normal"/>
    <w:rsid w:val="00C256AF"/>
    <w:pPr>
      <w:pBdr>
        <w:top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2">
    <w:name w:val="xl92"/>
    <w:basedOn w:val="Normal"/>
    <w:rsid w:val="00C256AF"/>
    <w:pP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3">
    <w:name w:val="xl93"/>
    <w:basedOn w:val="Normal"/>
    <w:rsid w:val="00C256AF"/>
    <w:pPr>
      <w:pBdr>
        <w:bottom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4">
    <w:name w:val="xl94"/>
    <w:basedOn w:val="Normal"/>
    <w:rsid w:val="00C256A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95">
    <w:name w:val="xl95"/>
    <w:basedOn w:val="Normal"/>
    <w:rsid w:val="00C256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6">
    <w:name w:val="xl96"/>
    <w:basedOn w:val="Normal"/>
    <w:rsid w:val="00C256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7">
    <w:name w:val="xl97"/>
    <w:basedOn w:val="Normal"/>
    <w:rsid w:val="00C256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8">
    <w:name w:val="xl98"/>
    <w:basedOn w:val="Normal"/>
    <w:rsid w:val="00C256AF"/>
    <w:pPr>
      <w:pBdr>
        <w:top w:val="single" w:sz="4"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99">
    <w:name w:val="xl99"/>
    <w:basedOn w:val="Normal"/>
    <w:rsid w:val="00C256AF"/>
    <w:pP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0">
    <w:name w:val="xl100"/>
    <w:basedOn w:val="Normal"/>
    <w:rsid w:val="00C256AF"/>
    <w:pPr>
      <w:spacing w:before="100" w:beforeAutospacing="1" w:after="100" w:afterAutospacing="1" w:line="240" w:lineRule="auto"/>
      <w:textAlignment w:val="center"/>
    </w:pPr>
    <w:rPr>
      <w:rFonts w:ascii="Calibri" w:eastAsia="Times New Roman" w:hAnsi="Calibri" w:cs="Calibri"/>
      <w:b/>
      <w:bCs/>
      <w:sz w:val="24"/>
      <w:szCs w:val="24"/>
      <w:lang w:val="en-US" w:eastAsia="en-US"/>
    </w:rPr>
  </w:style>
  <w:style w:type="paragraph" w:customStyle="1" w:styleId="xl101">
    <w:name w:val="xl101"/>
    <w:basedOn w:val="Normal"/>
    <w:rsid w:val="00C256AF"/>
    <w:pPr>
      <w:pBdr>
        <w:bottom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eastAsia="en-US"/>
    </w:rPr>
  </w:style>
  <w:style w:type="paragraph" w:customStyle="1" w:styleId="xl102">
    <w:name w:val="xl102"/>
    <w:basedOn w:val="Normal"/>
    <w:rsid w:val="00C256AF"/>
    <w:pPr>
      <w:pBdr>
        <w:bottom w:val="single" w:sz="4"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3">
    <w:name w:val="xl103"/>
    <w:basedOn w:val="Normal"/>
    <w:rsid w:val="00C256AF"/>
    <w:pPr>
      <w:pBdr>
        <w:bottom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4">
    <w:name w:val="xl104"/>
    <w:basedOn w:val="Normal"/>
    <w:rsid w:val="00C256AF"/>
    <w:pPr>
      <w:pBdr>
        <w:top w:val="single" w:sz="4" w:space="0" w:color="auto"/>
        <w:left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5">
    <w:name w:val="xl105"/>
    <w:basedOn w:val="Normal"/>
    <w:rsid w:val="00C256AF"/>
    <w:pPr>
      <w:pBdr>
        <w:left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6">
    <w:name w:val="xl106"/>
    <w:basedOn w:val="Normal"/>
    <w:rsid w:val="00C256AF"/>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7">
    <w:name w:val="xl107"/>
    <w:basedOn w:val="Normal"/>
    <w:rsid w:val="00C256AF"/>
    <w:pPr>
      <w:pBdr>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styleId="ListParagraph">
    <w:name w:val="List Paragraph"/>
    <w:basedOn w:val="Normal"/>
    <w:uiPriority w:val="34"/>
    <w:qFormat/>
    <w:rsid w:val="001D02D7"/>
    <w:pPr>
      <w:ind w:left="720"/>
      <w:contextualSpacing/>
    </w:pPr>
  </w:style>
  <w:style w:type="paragraph" w:styleId="NormalWeb">
    <w:name w:val="Normal (Web)"/>
    <w:basedOn w:val="Normal"/>
    <w:uiPriority w:val="99"/>
    <w:semiHidden/>
    <w:unhideWhenUsed/>
    <w:rsid w:val="00DB5E23"/>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67">
    <w:name w:val="xl67"/>
    <w:basedOn w:val="Normal"/>
    <w:rsid w:val="00517666"/>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8">
    <w:name w:val="xl68"/>
    <w:basedOn w:val="Normal"/>
    <w:rsid w:val="00517666"/>
    <w:pPr>
      <w:spacing w:before="100" w:beforeAutospacing="1" w:after="100" w:afterAutospacing="1" w:line="240" w:lineRule="auto"/>
      <w:jc w:val="center"/>
    </w:pPr>
    <w:rPr>
      <w:rFonts w:ascii="Calibri" w:eastAsia="Times New Roman" w:hAnsi="Calibri" w:cs="Calibri"/>
      <w:sz w:val="20"/>
      <w:szCs w:val="20"/>
      <w:lang w:val="en-US" w:eastAsia="en-US"/>
    </w:rPr>
  </w:style>
  <w:style w:type="paragraph" w:customStyle="1" w:styleId="xl69">
    <w:name w:val="xl69"/>
    <w:basedOn w:val="Normal"/>
    <w:rsid w:val="00517666"/>
    <w:pPr>
      <w:spacing w:before="100" w:beforeAutospacing="1" w:after="100" w:afterAutospacing="1" w:line="240" w:lineRule="auto"/>
      <w:jc w:val="center"/>
      <w:textAlignment w:val="center"/>
    </w:pPr>
    <w:rPr>
      <w:rFonts w:ascii="Calibri" w:eastAsia="Times New Roman" w:hAnsi="Calibri" w:cs="Calibri"/>
      <w:sz w:val="20"/>
      <w:szCs w:val="20"/>
      <w:lang w:val="en-US" w:eastAsia="en-US"/>
    </w:rPr>
  </w:style>
  <w:style w:type="paragraph" w:customStyle="1" w:styleId="xl70">
    <w:name w:val="xl70"/>
    <w:basedOn w:val="Normal"/>
    <w:rsid w:val="00517666"/>
    <w:pPr>
      <w:spacing w:before="100" w:beforeAutospacing="1" w:after="100" w:afterAutospacing="1" w:line="240" w:lineRule="auto"/>
      <w:jc w:val="center"/>
    </w:pPr>
    <w:rPr>
      <w:rFonts w:ascii="Calibri" w:eastAsia="Times New Roman" w:hAnsi="Calibri" w:cs="Calibri"/>
      <w:sz w:val="20"/>
      <w:szCs w:val="20"/>
      <w:lang w:val="en-US" w:eastAsia="en-US"/>
    </w:rPr>
  </w:style>
  <w:style w:type="character" w:styleId="LineNumber">
    <w:name w:val="line number"/>
    <w:basedOn w:val="DefaultParagraphFont"/>
    <w:uiPriority w:val="99"/>
    <w:semiHidden/>
    <w:unhideWhenUsed/>
    <w:rsid w:val="00B161FF"/>
  </w:style>
  <w:style w:type="character" w:styleId="PageNumber">
    <w:name w:val="page number"/>
    <w:basedOn w:val="DefaultParagraphFont"/>
    <w:uiPriority w:val="99"/>
    <w:semiHidden/>
    <w:unhideWhenUsed/>
    <w:rsid w:val="00B161FF"/>
  </w:style>
  <w:style w:type="character" w:styleId="CommentReference">
    <w:name w:val="annotation reference"/>
    <w:basedOn w:val="DefaultParagraphFont"/>
    <w:uiPriority w:val="99"/>
    <w:semiHidden/>
    <w:unhideWhenUsed/>
    <w:rsid w:val="00185529"/>
    <w:rPr>
      <w:sz w:val="16"/>
      <w:szCs w:val="16"/>
    </w:rPr>
  </w:style>
  <w:style w:type="paragraph" w:styleId="CommentText">
    <w:name w:val="annotation text"/>
    <w:basedOn w:val="Normal"/>
    <w:link w:val="CommentTextChar"/>
    <w:uiPriority w:val="99"/>
    <w:semiHidden/>
    <w:unhideWhenUsed/>
    <w:rsid w:val="00185529"/>
    <w:pPr>
      <w:spacing w:line="240" w:lineRule="auto"/>
    </w:pPr>
    <w:rPr>
      <w:sz w:val="20"/>
      <w:szCs w:val="20"/>
    </w:rPr>
  </w:style>
  <w:style w:type="character" w:customStyle="1" w:styleId="CommentTextChar">
    <w:name w:val="Comment Text Char"/>
    <w:basedOn w:val="DefaultParagraphFont"/>
    <w:link w:val="CommentText"/>
    <w:uiPriority w:val="99"/>
    <w:semiHidden/>
    <w:rsid w:val="00185529"/>
    <w:rPr>
      <w:sz w:val="20"/>
      <w:szCs w:val="20"/>
    </w:rPr>
  </w:style>
  <w:style w:type="paragraph" w:styleId="CommentSubject">
    <w:name w:val="annotation subject"/>
    <w:basedOn w:val="CommentText"/>
    <w:next w:val="CommentText"/>
    <w:link w:val="CommentSubjectChar"/>
    <w:uiPriority w:val="99"/>
    <w:semiHidden/>
    <w:unhideWhenUsed/>
    <w:rsid w:val="00185529"/>
    <w:rPr>
      <w:b/>
      <w:bCs/>
    </w:rPr>
  </w:style>
  <w:style w:type="character" w:customStyle="1" w:styleId="CommentSubjectChar">
    <w:name w:val="Comment Subject Char"/>
    <w:basedOn w:val="CommentTextChar"/>
    <w:link w:val="CommentSubject"/>
    <w:uiPriority w:val="99"/>
    <w:semiHidden/>
    <w:rsid w:val="00185529"/>
    <w:rPr>
      <w:b/>
      <w:bCs/>
      <w:sz w:val="20"/>
      <w:szCs w:val="20"/>
    </w:rPr>
  </w:style>
  <w:style w:type="paragraph" w:customStyle="1" w:styleId="gmail-msofootnotetext">
    <w:name w:val="gmail-msofootnotetext"/>
    <w:basedOn w:val="Normal"/>
    <w:rsid w:val="006C2E99"/>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819">
      <w:bodyDiv w:val="1"/>
      <w:marLeft w:val="0"/>
      <w:marRight w:val="0"/>
      <w:marTop w:val="0"/>
      <w:marBottom w:val="0"/>
      <w:divBdr>
        <w:top w:val="none" w:sz="0" w:space="0" w:color="auto"/>
        <w:left w:val="none" w:sz="0" w:space="0" w:color="auto"/>
        <w:bottom w:val="none" w:sz="0" w:space="0" w:color="auto"/>
        <w:right w:val="none" w:sz="0" w:space="0" w:color="auto"/>
      </w:divBdr>
    </w:div>
    <w:div w:id="107160634">
      <w:bodyDiv w:val="1"/>
      <w:marLeft w:val="0"/>
      <w:marRight w:val="0"/>
      <w:marTop w:val="0"/>
      <w:marBottom w:val="0"/>
      <w:divBdr>
        <w:top w:val="none" w:sz="0" w:space="0" w:color="auto"/>
        <w:left w:val="none" w:sz="0" w:space="0" w:color="auto"/>
        <w:bottom w:val="none" w:sz="0" w:space="0" w:color="auto"/>
        <w:right w:val="none" w:sz="0" w:space="0" w:color="auto"/>
      </w:divBdr>
    </w:div>
    <w:div w:id="184447207">
      <w:bodyDiv w:val="1"/>
      <w:marLeft w:val="0"/>
      <w:marRight w:val="0"/>
      <w:marTop w:val="0"/>
      <w:marBottom w:val="0"/>
      <w:divBdr>
        <w:top w:val="none" w:sz="0" w:space="0" w:color="auto"/>
        <w:left w:val="none" w:sz="0" w:space="0" w:color="auto"/>
        <w:bottom w:val="none" w:sz="0" w:space="0" w:color="auto"/>
        <w:right w:val="none" w:sz="0" w:space="0" w:color="auto"/>
      </w:divBdr>
    </w:div>
    <w:div w:id="234777419">
      <w:bodyDiv w:val="1"/>
      <w:marLeft w:val="0"/>
      <w:marRight w:val="0"/>
      <w:marTop w:val="0"/>
      <w:marBottom w:val="0"/>
      <w:divBdr>
        <w:top w:val="none" w:sz="0" w:space="0" w:color="auto"/>
        <w:left w:val="none" w:sz="0" w:space="0" w:color="auto"/>
        <w:bottom w:val="none" w:sz="0" w:space="0" w:color="auto"/>
        <w:right w:val="none" w:sz="0" w:space="0" w:color="auto"/>
      </w:divBdr>
    </w:div>
    <w:div w:id="496969386">
      <w:bodyDiv w:val="1"/>
      <w:marLeft w:val="0"/>
      <w:marRight w:val="0"/>
      <w:marTop w:val="0"/>
      <w:marBottom w:val="0"/>
      <w:divBdr>
        <w:top w:val="none" w:sz="0" w:space="0" w:color="auto"/>
        <w:left w:val="none" w:sz="0" w:space="0" w:color="auto"/>
        <w:bottom w:val="none" w:sz="0" w:space="0" w:color="auto"/>
        <w:right w:val="none" w:sz="0" w:space="0" w:color="auto"/>
      </w:divBdr>
    </w:div>
    <w:div w:id="596982153">
      <w:bodyDiv w:val="1"/>
      <w:marLeft w:val="0"/>
      <w:marRight w:val="0"/>
      <w:marTop w:val="0"/>
      <w:marBottom w:val="0"/>
      <w:divBdr>
        <w:top w:val="none" w:sz="0" w:space="0" w:color="auto"/>
        <w:left w:val="none" w:sz="0" w:space="0" w:color="auto"/>
        <w:bottom w:val="none" w:sz="0" w:space="0" w:color="auto"/>
        <w:right w:val="none" w:sz="0" w:space="0" w:color="auto"/>
      </w:divBdr>
    </w:div>
    <w:div w:id="767431802">
      <w:bodyDiv w:val="1"/>
      <w:marLeft w:val="0"/>
      <w:marRight w:val="0"/>
      <w:marTop w:val="0"/>
      <w:marBottom w:val="0"/>
      <w:divBdr>
        <w:top w:val="none" w:sz="0" w:space="0" w:color="auto"/>
        <w:left w:val="none" w:sz="0" w:space="0" w:color="auto"/>
        <w:bottom w:val="none" w:sz="0" w:space="0" w:color="auto"/>
        <w:right w:val="none" w:sz="0" w:space="0" w:color="auto"/>
      </w:divBdr>
    </w:div>
    <w:div w:id="902062167">
      <w:bodyDiv w:val="1"/>
      <w:marLeft w:val="0"/>
      <w:marRight w:val="0"/>
      <w:marTop w:val="0"/>
      <w:marBottom w:val="0"/>
      <w:divBdr>
        <w:top w:val="none" w:sz="0" w:space="0" w:color="auto"/>
        <w:left w:val="none" w:sz="0" w:space="0" w:color="auto"/>
        <w:bottom w:val="none" w:sz="0" w:space="0" w:color="auto"/>
        <w:right w:val="none" w:sz="0" w:space="0" w:color="auto"/>
      </w:divBdr>
    </w:div>
    <w:div w:id="906451350">
      <w:bodyDiv w:val="1"/>
      <w:marLeft w:val="0"/>
      <w:marRight w:val="0"/>
      <w:marTop w:val="0"/>
      <w:marBottom w:val="0"/>
      <w:divBdr>
        <w:top w:val="none" w:sz="0" w:space="0" w:color="auto"/>
        <w:left w:val="none" w:sz="0" w:space="0" w:color="auto"/>
        <w:bottom w:val="none" w:sz="0" w:space="0" w:color="auto"/>
        <w:right w:val="none" w:sz="0" w:space="0" w:color="auto"/>
      </w:divBdr>
    </w:div>
    <w:div w:id="941643114">
      <w:bodyDiv w:val="1"/>
      <w:marLeft w:val="0"/>
      <w:marRight w:val="0"/>
      <w:marTop w:val="0"/>
      <w:marBottom w:val="0"/>
      <w:divBdr>
        <w:top w:val="none" w:sz="0" w:space="0" w:color="auto"/>
        <w:left w:val="none" w:sz="0" w:space="0" w:color="auto"/>
        <w:bottom w:val="none" w:sz="0" w:space="0" w:color="auto"/>
        <w:right w:val="none" w:sz="0" w:space="0" w:color="auto"/>
      </w:divBdr>
    </w:div>
    <w:div w:id="1076167639">
      <w:bodyDiv w:val="1"/>
      <w:marLeft w:val="0"/>
      <w:marRight w:val="0"/>
      <w:marTop w:val="0"/>
      <w:marBottom w:val="0"/>
      <w:divBdr>
        <w:top w:val="none" w:sz="0" w:space="0" w:color="auto"/>
        <w:left w:val="none" w:sz="0" w:space="0" w:color="auto"/>
        <w:bottom w:val="none" w:sz="0" w:space="0" w:color="auto"/>
        <w:right w:val="none" w:sz="0" w:space="0" w:color="auto"/>
      </w:divBdr>
    </w:div>
    <w:div w:id="2055613348">
      <w:bodyDiv w:val="1"/>
      <w:marLeft w:val="0"/>
      <w:marRight w:val="0"/>
      <w:marTop w:val="0"/>
      <w:marBottom w:val="0"/>
      <w:divBdr>
        <w:top w:val="none" w:sz="0" w:space="0" w:color="auto"/>
        <w:left w:val="none" w:sz="0" w:space="0" w:color="auto"/>
        <w:bottom w:val="none" w:sz="0" w:space="0" w:color="auto"/>
        <w:right w:val="none" w:sz="0" w:space="0" w:color="auto"/>
      </w:divBdr>
      <w:divsChild>
        <w:div w:id="374743833">
          <w:marLeft w:val="0"/>
          <w:marRight w:val="0"/>
          <w:marTop w:val="0"/>
          <w:marBottom w:val="0"/>
          <w:divBdr>
            <w:top w:val="none" w:sz="0" w:space="0" w:color="auto"/>
            <w:left w:val="none" w:sz="0" w:space="0" w:color="auto"/>
            <w:bottom w:val="none" w:sz="0" w:space="0" w:color="auto"/>
            <w:right w:val="none" w:sz="0" w:space="0" w:color="auto"/>
          </w:divBdr>
          <w:divsChild>
            <w:div w:id="1279098129">
              <w:marLeft w:val="0"/>
              <w:marRight w:val="0"/>
              <w:marTop w:val="0"/>
              <w:marBottom w:val="0"/>
              <w:divBdr>
                <w:top w:val="none" w:sz="0" w:space="0" w:color="auto"/>
                <w:left w:val="none" w:sz="0" w:space="0" w:color="auto"/>
                <w:bottom w:val="none" w:sz="0" w:space="0" w:color="auto"/>
                <w:right w:val="none" w:sz="0" w:space="0" w:color="auto"/>
              </w:divBdr>
              <w:divsChild>
                <w:div w:id="8846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oleObject" Target="embeddings/oleObject4.bin"/><Relationship Id="rId10" Type="http://schemas.openxmlformats.org/officeDocument/2006/relationships/chart" Target="charts/chart2.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3.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Enflasyon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4744-45AF-BC69-4495C864538A}"/>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4744-45AF-BC69-4495C864538A}"/>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4744-45AF-BC69-4495C864538A}"/>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4744-45AF-BC69-4495C864538A}"/>
              </c:ext>
            </c:extLst>
          </c:dPt>
          <c:dPt>
            <c:idx val="4"/>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9-4744-45AF-BC69-4495C86453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Şekil!$C$4:$C$8</c:f>
              <c:strCache>
                <c:ptCount val="5"/>
                <c:pt idx="0">
                  <c:v>q1</c:v>
                </c:pt>
                <c:pt idx="1">
                  <c:v>q2</c:v>
                </c:pt>
                <c:pt idx="2">
                  <c:v>q3</c:v>
                </c:pt>
                <c:pt idx="3">
                  <c:v>q4</c:v>
                </c:pt>
                <c:pt idx="4">
                  <c:v>q5</c:v>
                </c:pt>
              </c:strCache>
            </c:strRef>
          </c:cat>
          <c:val>
            <c:numRef>
              <c:f>Şekil!$D$4:$D$8</c:f>
              <c:numCache>
                <c:formatCode>0.0</c:formatCode>
                <c:ptCount val="5"/>
                <c:pt idx="0">
                  <c:v>601.79995526999392</c:v>
                </c:pt>
                <c:pt idx="1">
                  <c:v>591.84098450120109</c:v>
                </c:pt>
                <c:pt idx="2">
                  <c:v>585.12595387035833</c:v>
                </c:pt>
                <c:pt idx="3">
                  <c:v>577.33595282642841</c:v>
                </c:pt>
                <c:pt idx="4">
                  <c:v>560.63674611941985</c:v>
                </c:pt>
              </c:numCache>
            </c:numRef>
          </c:val>
          <c:extLst>
            <c:ext xmlns:c16="http://schemas.microsoft.com/office/drawing/2014/chart" uri="{C3380CC4-5D6E-409C-BE32-E72D297353CC}">
              <c16:uniqueId val="{0000000A-4744-45AF-BC69-4495C864538A}"/>
            </c:ext>
          </c:extLst>
        </c:ser>
        <c:dLbls>
          <c:showLegendKey val="0"/>
          <c:showVal val="0"/>
          <c:showCatName val="0"/>
          <c:showSerName val="0"/>
          <c:showPercent val="0"/>
          <c:showBubbleSize val="0"/>
        </c:dLbls>
        <c:gapWidth val="219"/>
        <c:overlap val="-27"/>
        <c:axId val="153347584"/>
        <c:axId val="153349504"/>
      </c:barChart>
      <c:catAx>
        <c:axId val="153347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Ventile </a:t>
                </a:r>
                <a:r>
                  <a:rPr lang="en-GB"/>
                  <a:t>ordered by consumption expenditures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49504"/>
        <c:crosses val="autoZero"/>
        <c:auto val="1"/>
        <c:lblAlgn val="ctr"/>
        <c:lblOffset val="100"/>
        <c:noMultiLvlLbl val="0"/>
      </c:catAx>
      <c:valAx>
        <c:axId val="153349504"/>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47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q10-q9</a:t>
            </a:r>
            <a:endParaRPr lang="en-GB"/>
          </a:p>
        </c:rich>
      </c:tx>
      <c:overlay val="0"/>
      <c:spPr>
        <a:noFill/>
        <a:ln>
          <a:noFill/>
        </a:ln>
        <a:effectLst/>
      </c:spPr>
    </c:title>
    <c:autoTitleDeleted val="0"/>
    <c:plotArea>
      <c:layout/>
      <c:lineChart>
        <c:grouping val="standard"/>
        <c:varyColors val="0"/>
        <c:ser>
          <c:idx val="0"/>
          <c:order val="0"/>
          <c:tx>
            <c:v>Inflation difference between q10 and q9</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'Şekil-6'!$X$3:$X$213</c:f>
              <c:numCache>
                <c:formatCode>0.0</c:formatCode>
                <c:ptCount val="211"/>
                <c:pt idx="0">
                  <c:v>0.21614656220127415</c:v>
                </c:pt>
                <c:pt idx="1">
                  <c:v>0.15067295744867693</c:v>
                </c:pt>
                <c:pt idx="2">
                  <c:v>-8.9203616088866511E-2</c:v>
                </c:pt>
                <c:pt idx="3">
                  <c:v>-8.073833387173579E-2</c:v>
                </c:pt>
                <c:pt idx="4">
                  <c:v>0.17539564165365107</c:v>
                </c:pt>
                <c:pt idx="5">
                  <c:v>0.5544076133938205</c:v>
                </c:pt>
                <c:pt idx="6">
                  <c:v>0.66743133092059281</c:v>
                </c:pt>
                <c:pt idx="7">
                  <c:v>0.87698483828413032</c:v>
                </c:pt>
                <c:pt idx="8">
                  <c:v>1.0169244013591197</c:v>
                </c:pt>
                <c:pt idx="9">
                  <c:v>0.95358137161881018</c:v>
                </c:pt>
                <c:pt idx="10">
                  <c:v>0.99493451385923493</c:v>
                </c:pt>
                <c:pt idx="11">
                  <c:v>0.89151160226651882</c:v>
                </c:pt>
                <c:pt idx="12">
                  <c:v>0.94114860238400411</c:v>
                </c:pt>
                <c:pt idx="13">
                  <c:v>0.90994321662417121</c:v>
                </c:pt>
                <c:pt idx="14">
                  <c:v>0.97787000231082288</c:v>
                </c:pt>
                <c:pt idx="15">
                  <c:v>1.3637742566954643</c:v>
                </c:pt>
                <c:pt idx="16">
                  <c:v>1.3887697907973404</c:v>
                </c:pt>
                <c:pt idx="17">
                  <c:v>1.7811667720584126</c:v>
                </c:pt>
                <c:pt idx="18">
                  <c:v>2.0786199833325583</c:v>
                </c:pt>
                <c:pt idx="19">
                  <c:v>2.0985473872502922</c:v>
                </c:pt>
                <c:pt idx="20">
                  <c:v>2.1354971923040296</c:v>
                </c:pt>
                <c:pt idx="21">
                  <c:v>1.8145173216291539</c:v>
                </c:pt>
                <c:pt idx="22">
                  <c:v>1.1981943450127659</c:v>
                </c:pt>
                <c:pt idx="23">
                  <c:v>1.1381981430596539</c:v>
                </c:pt>
                <c:pt idx="24">
                  <c:v>1.2785244294829567</c:v>
                </c:pt>
                <c:pt idx="25">
                  <c:v>1.0131725080189824</c:v>
                </c:pt>
                <c:pt idx="26">
                  <c:v>0.87724229313081992</c:v>
                </c:pt>
                <c:pt idx="27">
                  <c:v>1.1084273753796623</c:v>
                </c:pt>
                <c:pt idx="28">
                  <c:v>1.3436849947246969</c:v>
                </c:pt>
                <c:pt idx="29">
                  <c:v>2.2308238773761389</c:v>
                </c:pt>
                <c:pt idx="30">
                  <c:v>2.6028689152237234</c:v>
                </c:pt>
                <c:pt idx="31">
                  <c:v>2.6139991943370262</c:v>
                </c:pt>
                <c:pt idx="32">
                  <c:v>1.8437018353634755</c:v>
                </c:pt>
                <c:pt idx="33">
                  <c:v>1.6467523848974679</c:v>
                </c:pt>
                <c:pt idx="34">
                  <c:v>1.18482577645986</c:v>
                </c:pt>
                <c:pt idx="35">
                  <c:v>1.140074257824665</c:v>
                </c:pt>
                <c:pt idx="36">
                  <c:v>0.95303472416233603</c:v>
                </c:pt>
                <c:pt idx="37">
                  <c:v>0.75146753259394927</c:v>
                </c:pt>
                <c:pt idx="38">
                  <c:v>0.68329864513543725</c:v>
                </c:pt>
                <c:pt idx="39">
                  <c:v>0.81901184790444859</c:v>
                </c:pt>
                <c:pt idx="40">
                  <c:v>1.0802399048056373</c:v>
                </c:pt>
                <c:pt idx="41">
                  <c:v>1.3067346586602184</c:v>
                </c:pt>
                <c:pt idx="42">
                  <c:v>1.2592179443340115</c:v>
                </c:pt>
                <c:pt idx="43">
                  <c:v>0.99685783829482943</c:v>
                </c:pt>
                <c:pt idx="44">
                  <c:v>0.8703060835171641</c:v>
                </c:pt>
                <c:pt idx="45">
                  <c:v>0.54299799699967366</c:v>
                </c:pt>
                <c:pt idx="46">
                  <c:v>0.30782981869734272</c:v>
                </c:pt>
                <c:pt idx="47">
                  <c:v>0.10297504861495099</c:v>
                </c:pt>
                <c:pt idx="48">
                  <c:v>-0.15847043479723766</c:v>
                </c:pt>
                <c:pt idx="49">
                  <c:v>-0.61513762967334173</c:v>
                </c:pt>
                <c:pt idx="50">
                  <c:v>-0.51077218415454695</c:v>
                </c:pt>
                <c:pt idx="51">
                  <c:v>-0.29707178715455029</c:v>
                </c:pt>
                <c:pt idx="52">
                  <c:v>-0.12186808204990029</c:v>
                </c:pt>
                <c:pt idx="53">
                  <c:v>0.54321795656451854</c:v>
                </c:pt>
                <c:pt idx="54">
                  <c:v>-7.9716762340922287E-3</c:v>
                </c:pt>
                <c:pt idx="55">
                  <c:v>-0.52308749887401973</c:v>
                </c:pt>
                <c:pt idx="56">
                  <c:v>-0.56251508792124127</c:v>
                </c:pt>
                <c:pt idx="57">
                  <c:v>-1.4646884447131185</c:v>
                </c:pt>
                <c:pt idx="58">
                  <c:v>-2.0366624403979188</c:v>
                </c:pt>
                <c:pt idx="59">
                  <c:v>-2.4767001411044305</c:v>
                </c:pt>
                <c:pt idx="60">
                  <c:v>-6.8075799417051996</c:v>
                </c:pt>
                <c:pt idx="61">
                  <c:v>-4.0236396077430641</c:v>
                </c:pt>
                <c:pt idx="62">
                  <c:v>-4.9134978191601704</c:v>
                </c:pt>
                <c:pt idx="63">
                  <c:v>1.5068969287761149</c:v>
                </c:pt>
                <c:pt idx="64">
                  <c:v>1.8108888990512639</c:v>
                </c:pt>
                <c:pt idx="65">
                  <c:v>2.7034105614972646</c:v>
                </c:pt>
                <c:pt idx="66">
                  <c:v>-0.19101951096595826</c:v>
                </c:pt>
                <c:pt idx="67">
                  <c:v>-1.1312200852187573</c:v>
                </c:pt>
                <c:pt idx="68">
                  <c:v>-3.7756054274992152</c:v>
                </c:pt>
                <c:pt idx="69">
                  <c:v>-3.428424943063618</c:v>
                </c:pt>
                <c:pt idx="70">
                  <c:v>1.6393894641420559</c:v>
                </c:pt>
                <c:pt idx="71">
                  <c:v>4.8642570983365374</c:v>
                </c:pt>
                <c:pt idx="72">
                  <c:v>4.8980424383709646</c:v>
                </c:pt>
                <c:pt idx="73">
                  <c:v>4.2994203084407445</c:v>
                </c:pt>
                <c:pt idx="74">
                  <c:v>4.3804579809748247</c:v>
                </c:pt>
                <c:pt idx="75">
                  <c:v>4.4988908711873705</c:v>
                </c:pt>
                <c:pt idx="76">
                  <c:v>5.0772502213940811</c:v>
                </c:pt>
                <c:pt idx="77">
                  <c:v>5.2234764428491758</c:v>
                </c:pt>
                <c:pt idx="78">
                  <c:v>5.2647949786484389</c:v>
                </c:pt>
                <c:pt idx="79">
                  <c:v>4.932605600982356</c:v>
                </c:pt>
                <c:pt idx="80">
                  <c:v>4.6447587539338429</c:v>
                </c:pt>
                <c:pt idx="81">
                  <c:v>4.3754697543107568</c:v>
                </c:pt>
                <c:pt idx="82">
                  <c:v>4.5691233611410667</c:v>
                </c:pt>
                <c:pt idx="83">
                  <c:v>4.9345739484676869</c:v>
                </c:pt>
                <c:pt idx="84">
                  <c:v>5.2182200410016435</c:v>
                </c:pt>
                <c:pt idx="85">
                  <c:v>5.3561440872533126</c:v>
                </c:pt>
                <c:pt idx="86">
                  <c:v>5.7750044370945659</c:v>
                </c:pt>
                <c:pt idx="87">
                  <c:v>6.1002848907095313</c:v>
                </c:pt>
                <c:pt idx="88">
                  <c:v>5.8065568948741486</c:v>
                </c:pt>
                <c:pt idx="89">
                  <c:v>6.6951963501726368</c:v>
                </c:pt>
                <c:pt idx="90">
                  <c:v>7.0690191784823071</c:v>
                </c:pt>
                <c:pt idx="91">
                  <c:v>7.5129580778922218</c:v>
                </c:pt>
                <c:pt idx="92">
                  <c:v>7.9680790539840984</c:v>
                </c:pt>
                <c:pt idx="93">
                  <c:v>6.8659450000878905</c:v>
                </c:pt>
                <c:pt idx="94">
                  <c:v>6.2441306060702857</c:v>
                </c:pt>
                <c:pt idx="95">
                  <c:v>6.0064933047094371</c:v>
                </c:pt>
                <c:pt idx="96">
                  <c:v>6.2027238386809813</c:v>
                </c:pt>
                <c:pt idx="97">
                  <c:v>5.9884228224324829</c:v>
                </c:pt>
                <c:pt idx="98">
                  <c:v>6.2418027057073573</c:v>
                </c:pt>
                <c:pt idx="99">
                  <c:v>6.174541217220991</c:v>
                </c:pt>
                <c:pt idx="100">
                  <c:v>6.2851739757037421</c:v>
                </c:pt>
                <c:pt idx="101">
                  <c:v>6.4915177774514916</c:v>
                </c:pt>
                <c:pt idx="102">
                  <c:v>6.5600347541495125</c:v>
                </c:pt>
                <c:pt idx="103">
                  <c:v>6.6960389298283474</c:v>
                </c:pt>
                <c:pt idx="104">
                  <c:v>6.6614451169361075</c:v>
                </c:pt>
                <c:pt idx="105">
                  <c:v>6.6121367941621827</c:v>
                </c:pt>
                <c:pt idx="106">
                  <c:v>6.4166122123567675</c:v>
                </c:pt>
                <c:pt idx="107">
                  <c:v>6.1381292990567147</c:v>
                </c:pt>
                <c:pt idx="108">
                  <c:v>4.8074782004560177</c:v>
                </c:pt>
                <c:pt idx="109">
                  <c:v>5.0287299460272266</c:v>
                </c:pt>
                <c:pt idx="110">
                  <c:v>4.7525091051599873</c:v>
                </c:pt>
                <c:pt idx="111">
                  <c:v>4.7408247285623588</c:v>
                </c:pt>
                <c:pt idx="112">
                  <c:v>5.0877002957031721</c:v>
                </c:pt>
                <c:pt idx="113">
                  <c:v>5.3172241868722949</c:v>
                </c:pt>
                <c:pt idx="114">
                  <c:v>5.840751940972865</c:v>
                </c:pt>
                <c:pt idx="115">
                  <c:v>6.175532761516962</c:v>
                </c:pt>
                <c:pt idx="116">
                  <c:v>6.6451186139770471</c:v>
                </c:pt>
                <c:pt idx="117">
                  <c:v>6.2114134243843466</c:v>
                </c:pt>
                <c:pt idx="118">
                  <c:v>6.3691713871569959</c:v>
                </c:pt>
                <c:pt idx="119">
                  <c:v>6.5117612937116007</c:v>
                </c:pt>
                <c:pt idx="120">
                  <c:v>5.8456420793176562</c:v>
                </c:pt>
                <c:pt idx="121">
                  <c:v>6.458215528765038</c:v>
                </c:pt>
                <c:pt idx="122">
                  <c:v>6.4414219007300346</c:v>
                </c:pt>
                <c:pt idx="123">
                  <c:v>6.1028462117254207</c:v>
                </c:pt>
                <c:pt idx="124">
                  <c:v>6.1794791093125525</c:v>
                </c:pt>
                <c:pt idx="125">
                  <c:v>6.3264383411453764</c:v>
                </c:pt>
                <c:pt idx="126">
                  <c:v>6.355070623802618</c:v>
                </c:pt>
                <c:pt idx="127">
                  <c:v>6.1982218113258511</c:v>
                </c:pt>
                <c:pt idx="128">
                  <c:v>6.2454373301797546</c:v>
                </c:pt>
                <c:pt idx="129">
                  <c:v>5.5954820319646785</c:v>
                </c:pt>
                <c:pt idx="130">
                  <c:v>4.9827803333038787</c:v>
                </c:pt>
                <c:pt idx="131">
                  <c:v>4.425851357668563</c:v>
                </c:pt>
                <c:pt idx="132">
                  <c:v>3.423949284372668</c:v>
                </c:pt>
                <c:pt idx="133">
                  <c:v>3.4863874828882331</c:v>
                </c:pt>
                <c:pt idx="134">
                  <c:v>3.2865700275296206</c:v>
                </c:pt>
                <c:pt idx="135">
                  <c:v>3.1506694576943062</c:v>
                </c:pt>
                <c:pt idx="136">
                  <c:v>4.0039427008846928</c:v>
                </c:pt>
                <c:pt idx="137">
                  <c:v>4.5459132231673891</c:v>
                </c:pt>
                <c:pt idx="138">
                  <c:v>4.5444994333019224</c:v>
                </c:pt>
                <c:pt idx="139">
                  <c:v>4.3360356418060064</c:v>
                </c:pt>
                <c:pt idx="140">
                  <c:v>4.7553087552175271</c:v>
                </c:pt>
                <c:pt idx="141">
                  <c:v>4.9705944351114795</c:v>
                </c:pt>
                <c:pt idx="142">
                  <c:v>4.4521178190851742</c:v>
                </c:pt>
                <c:pt idx="143">
                  <c:v>4.0700328127142598</c:v>
                </c:pt>
                <c:pt idx="144">
                  <c:v>2.5079856259016537</c:v>
                </c:pt>
                <c:pt idx="145">
                  <c:v>2.7677240178569491</c:v>
                </c:pt>
                <c:pt idx="146">
                  <c:v>3.2951443628844004</c:v>
                </c:pt>
                <c:pt idx="147">
                  <c:v>3.6323599627703516</c:v>
                </c:pt>
                <c:pt idx="148">
                  <c:v>4.2114822379240877</c:v>
                </c:pt>
                <c:pt idx="149">
                  <c:v>4.2341236970244154</c:v>
                </c:pt>
                <c:pt idx="150">
                  <c:v>3.4416694192829596</c:v>
                </c:pt>
                <c:pt idx="151">
                  <c:v>3.7732670967336048</c:v>
                </c:pt>
                <c:pt idx="152">
                  <c:v>4.8816367400891636</c:v>
                </c:pt>
                <c:pt idx="153">
                  <c:v>5.2236462038686113</c:v>
                </c:pt>
                <c:pt idx="154">
                  <c:v>5.3946490761621249</c:v>
                </c:pt>
                <c:pt idx="155">
                  <c:v>5.1295577389284404</c:v>
                </c:pt>
                <c:pt idx="156">
                  <c:v>4.9693125726040535</c:v>
                </c:pt>
                <c:pt idx="157">
                  <c:v>5.8737950374292041</c:v>
                </c:pt>
                <c:pt idx="158">
                  <c:v>5.6720619984730547</c:v>
                </c:pt>
                <c:pt idx="159">
                  <c:v>5.8833600082845123</c:v>
                </c:pt>
                <c:pt idx="160">
                  <c:v>5.5642945013586882</c:v>
                </c:pt>
                <c:pt idx="161">
                  <c:v>5.4045431353319486</c:v>
                </c:pt>
                <c:pt idx="162">
                  <c:v>5.9823991516655042</c:v>
                </c:pt>
                <c:pt idx="163">
                  <c:v>6.9579991356188202</c:v>
                </c:pt>
                <c:pt idx="164">
                  <c:v>7.7738130071865044</c:v>
                </c:pt>
                <c:pt idx="165">
                  <c:v>8.4791344451228952</c:v>
                </c:pt>
                <c:pt idx="166">
                  <c:v>8.900419895388552</c:v>
                </c:pt>
                <c:pt idx="167">
                  <c:v>9.2140517273006708</c:v>
                </c:pt>
                <c:pt idx="168">
                  <c:v>8.0020759434426054</c:v>
                </c:pt>
                <c:pt idx="169">
                  <c:v>7.7012521185275773</c:v>
                </c:pt>
                <c:pt idx="170">
                  <c:v>7.5816295563371909</c:v>
                </c:pt>
                <c:pt idx="171">
                  <c:v>8.9879251092104369</c:v>
                </c:pt>
                <c:pt idx="172">
                  <c:v>9.6739065498423429</c:v>
                </c:pt>
                <c:pt idx="173">
                  <c:v>9.487378220797666</c:v>
                </c:pt>
                <c:pt idx="174">
                  <c:v>9.8934188730862616</c:v>
                </c:pt>
                <c:pt idx="175">
                  <c:v>11.706530111382051</c:v>
                </c:pt>
                <c:pt idx="176">
                  <c:v>14.266565869119745</c:v>
                </c:pt>
                <c:pt idx="177">
                  <c:v>12.369360744384892</c:v>
                </c:pt>
                <c:pt idx="178">
                  <c:v>9.2394201327099381</c:v>
                </c:pt>
                <c:pt idx="179">
                  <c:v>7.9767471967393249</c:v>
                </c:pt>
                <c:pt idx="180">
                  <c:v>8.6021318396884681</c:v>
                </c:pt>
                <c:pt idx="181">
                  <c:v>8.7594488504279866</c:v>
                </c:pt>
                <c:pt idx="182">
                  <c:v>8.5806821677509788</c:v>
                </c:pt>
                <c:pt idx="183">
                  <c:v>8.6874196808244051</c:v>
                </c:pt>
                <c:pt idx="184">
                  <c:v>9.8387938643871848</c:v>
                </c:pt>
                <c:pt idx="185">
                  <c:v>10.740947419761312</c:v>
                </c:pt>
                <c:pt idx="186">
                  <c:v>12.539107370122395</c:v>
                </c:pt>
                <c:pt idx="187">
                  <c:v>10.771025086927239</c:v>
                </c:pt>
                <c:pt idx="188">
                  <c:v>11.327686837687963</c:v>
                </c:pt>
                <c:pt idx="189">
                  <c:v>10.419725151846421</c:v>
                </c:pt>
                <c:pt idx="190">
                  <c:v>10.349025609448177</c:v>
                </c:pt>
                <c:pt idx="191">
                  <c:v>9.8348329069208376</c:v>
                </c:pt>
                <c:pt idx="192">
                  <c:v>10.420610022567871</c:v>
                </c:pt>
                <c:pt idx="193">
                  <c:v>9.709302236469739</c:v>
                </c:pt>
                <c:pt idx="194">
                  <c:v>8.3674694389351885</c:v>
                </c:pt>
                <c:pt idx="195">
                  <c:v>7.4835796183566003</c:v>
                </c:pt>
                <c:pt idx="196">
                  <c:v>9.1430265468277412</c:v>
                </c:pt>
                <c:pt idx="197">
                  <c:v>11.950018387233911</c:v>
                </c:pt>
                <c:pt idx="198">
                  <c:v>13.87902352481052</c:v>
                </c:pt>
                <c:pt idx="199">
                  <c:v>15.361135933397179</c:v>
                </c:pt>
                <c:pt idx="200">
                  <c:v>16.010441662408425</c:v>
                </c:pt>
                <c:pt idx="201">
                  <c:v>15.903401510119977</c:v>
                </c:pt>
                <c:pt idx="202">
                  <c:v>17.070490056326719</c:v>
                </c:pt>
                <c:pt idx="203">
                  <c:v>17.466596960193328</c:v>
                </c:pt>
                <c:pt idx="204">
                  <c:v>17.823575154728985</c:v>
                </c:pt>
                <c:pt idx="205">
                  <c:v>16.688776930886775</c:v>
                </c:pt>
                <c:pt idx="206">
                  <c:v>16.746460070992953</c:v>
                </c:pt>
                <c:pt idx="207">
                  <c:v>17.283629827146456</c:v>
                </c:pt>
                <c:pt idx="208">
                  <c:v>18.703470601412278</c:v>
                </c:pt>
                <c:pt idx="209">
                  <c:v>20.639991357095255</c:v>
                </c:pt>
                <c:pt idx="210">
                  <c:v>18.93992194250302</c:v>
                </c:pt>
              </c:numCache>
            </c:numRef>
          </c:val>
          <c:smooth val="0"/>
          <c:extLst>
            <c:ext xmlns:c16="http://schemas.microsoft.com/office/drawing/2014/chart" uri="{C3380CC4-5D6E-409C-BE32-E72D297353CC}">
              <c16:uniqueId val="{00000000-6F8D-4D66-B03F-8B85BA4F8748}"/>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'Şekil-6'!$Y$3:$Y$213</c:f>
              <c:numCache>
                <c:formatCode>0.0</c:formatCode>
                <c:ptCount val="211"/>
                <c:pt idx="0">
                  <c:v>0.64794998356906341</c:v>
                </c:pt>
                <c:pt idx="1">
                  <c:v>0.65251278918099309</c:v>
                </c:pt>
                <c:pt idx="2">
                  <c:v>0.65707226297639987</c:v>
                </c:pt>
                <c:pt idx="3">
                  <c:v>0.66162120091783705</c:v>
                </c:pt>
                <c:pt idx="4">
                  <c:v>0.66614664066632179</c:v>
                </c:pt>
                <c:pt idx="5">
                  <c:v>0.67062989180004107</c:v>
                </c:pt>
                <c:pt idx="6">
                  <c:v>0.67504847723823891</c:v>
                </c:pt>
                <c:pt idx="7">
                  <c:v>0.67937902312331977</c:v>
                </c:pt>
                <c:pt idx="8">
                  <c:v>0.68359809682341077</c:v>
                </c:pt>
                <c:pt idx="9">
                  <c:v>0.68768379044286709</c:v>
                </c:pt>
                <c:pt idx="10">
                  <c:v>0.69161676804827021</c:v>
                </c:pt>
                <c:pt idx="11">
                  <c:v>0.69537974538506886</c:v>
                </c:pt>
                <c:pt idx="12">
                  <c:v>0.69895777861341712</c:v>
                </c:pt>
                <c:pt idx="13">
                  <c:v>0.70233743725656239</c:v>
                </c:pt>
                <c:pt idx="14">
                  <c:v>0.70550715959410826</c:v>
                </c:pt>
                <c:pt idx="15">
                  <c:v>0.70845698580210414</c:v>
                </c:pt>
                <c:pt idx="16">
                  <c:v>0.71117905762174383</c:v>
                </c:pt>
                <c:pt idx="17">
                  <c:v>0.71367057325464478</c:v>
                </c:pt>
                <c:pt idx="18">
                  <c:v>0.71593395922598302</c:v>
                </c:pt>
                <c:pt idx="19">
                  <c:v>0.71797987891432047</c:v>
                </c:pt>
                <c:pt idx="20">
                  <c:v>0.71982951025087416</c:v>
                </c:pt>
                <c:pt idx="21">
                  <c:v>0.72151468369393168</c:v>
                </c:pt>
                <c:pt idx="22">
                  <c:v>0.72307815306352474</c:v>
                </c:pt>
                <c:pt idx="23">
                  <c:v>0.72457110584201478</c:v>
                </c:pt>
                <c:pt idx="24">
                  <c:v>0.7260483955317627</c:v>
                </c:pt>
                <c:pt idx="25">
                  <c:v>0.72756806720177458</c:v>
                </c:pt>
                <c:pt idx="26">
                  <c:v>0.72919242885341695</c:v>
                </c:pt>
                <c:pt idx="27">
                  <c:v>0.73098599222602567</c:v>
                </c:pt>
                <c:pt idx="28">
                  <c:v>0.73301441141900037</c:v>
                </c:pt>
                <c:pt idx="29">
                  <c:v>0.7353462528880923</c:v>
                </c:pt>
                <c:pt idx="30">
                  <c:v>0.73805479505343019</c:v>
                </c:pt>
                <c:pt idx="31">
                  <c:v>0.74122485551434425</c:v>
                </c:pt>
                <c:pt idx="32">
                  <c:v>0.74495564086800525</c:v>
                </c:pt>
                <c:pt idx="33">
                  <c:v>0.74936080813086514</c:v>
                </c:pt>
                <c:pt idx="34">
                  <c:v>0.75456249229927164</c:v>
                </c:pt>
                <c:pt idx="35">
                  <c:v>0.76068975268729466</c:v>
                </c:pt>
                <c:pt idx="36">
                  <c:v>0.76787496854175219</c:v>
                </c:pt>
                <c:pt idx="37">
                  <c:v>0.77625344645903904</c:v>
                </c:pt>
                <c:pt idx="38">
                  <c:v>0.78596192173736823</c:v>
                </c:pt>
                <c:pt idx="39">
                  <c:v>0.79713693842561728</c:v>
                </c:pt>
                <c:pt idx="40">
                  <c:v>0.80991424841775161</c:v>
                </c:pt>
                <c:pt idx="41">
                  <c:v>0.82442977239561832</c:v>
                </c:pt>
                <c:pt idx="42">
                  <c:v>0.84082151688717854</c:v>
                </c:pt>
                <c:pt idx="43">
                  <c:v>0.85923120990871316</c:v>
                </c:pt>
                <c:pt idx="44">
                  <c:v>0.87980380784399892</c:v>
                </c:pt>
                <c:pt idx="45">
                  <c:v>0.90268532901067366</c:v>
                </c:pt>
                <c:pt idx="46">
                  <c:v>0.92802171844146519</c:v>
                </c:pt>
                <c:pt idx="47">
                  <c:v>0.95595614580388533</c:v>
                </c:pt>
                <c:pt idx="48">
                  <c:v>0.98662699533412079</c:v>
                </c:pt>
                <c:pt idx="49">
                  <c:v>1.0201660696240897</c:v>
                </c:pt>
                <c:pt idx="50">
                  <c:v>1.0566963356373913</c:v>
                </c:pt>
                <c:pt idx="51">
                  <c:v>1.0963281422535254</c:v>
                </c:pt>
                <c:pt idx="52">
                  <c:v>1.139159743687487</c:v>
                </c:pt>
                <c:pt idx="53">
                  <c:v>1.1852786426116062</c:v>
                </c:pt>
                <c:pt idx="54">
                  <c:v>1.2347626115452368</c:v>
                </c:pt>
                <c:pt idx="55">
                  <c:v>1.287684468835772</c:v>
                </c:pt>
                <c:pt idx="56">
                  <c:v>1.3441074438314706</c:v>
                </c:pt>
                <c:pt idx="57">
                  <c:v>1.4040807938746676</c:v>
                </c:pt>
                <c:pt idx="58">
                  <c:v>1.4676390647140887</c:v>
                </c:pt>
                <c:pt idx="59">
                  <c:v>1.5347946665333472</c:v>
                </c:pt>
                <c:pt idx="60">
                  <c:v>1.6055329701525909</c:v>
                </c:pt>
                <c:pt idx="61">
                  <c:v>1.6798083934999326</c:v>
                </c:pt>
                <c:pt idx="62">
                  <c:v>1.7575104385087954</c:v>
                </c:pt>
                <c:pt idx="63">
                  <c:v>1.8384845990261736</c:v>
                </c:pt>
                <c:pt idx="64">
                  <c:v>1.9225248950699121</c:v>
                </c:pt>
                <c:pt idx="65">
                  <c:v>2.009422788111018</c:v>
                </c:pt>
                <c:pt idx="66">
                  <c:v>2.0989688782316405</c:v>
                </c:pt>
                <c:pt idx="67">
                  <c:v>2.1909591203578591</c:v>
                </c:pt>
                <c:pt idx="68">
                  <c:v>2.2851717997522565</c:v>
                </c:pt>
                <c:pt idx="69">
                  <c:v>2.381359567578607</c:v>
                </c:pt>
                <c:pt idx="70">
                  <c:v>2.4792283097443013</c:v>
                </c:pt>
                <c:pt idx="71">
                  <c:v>2.5784390835725435</c:v>
                </c:pt>
                <c:pt idx="72">
                  <c:v>2.6786464661485305</c:v>
                </c:pt>
                <c:pt idx="73">
                  <c:v>2.7795226720421411</c:v>
                </c:pt>
                <c:pt idx="74">
                  <c:v>2.8807570407921754</c:v>
                </c:pt>
                <c:pt idx="75">
                  <c:v>2.9820506395426527</c:v>
                </c:pt>
                <c:pt idx="76">
                  <c:v>3.0831161072041064</c:v>
                </c:pt>
                <c:pt idx="77">
                  <c:v>3.1836777867012032</c:v>
                </c:pt>
                <c:pt idx="78">
                  <c:v>3.2834754077959114</c:v>
                </c:pt>
                <c:pt idx="79">
                  <c:v>3.3822644394373604</c:v>
                </c:pt>
                <c:pt idx="80">
                  <c:v>3.4798156385343315</c:v>
                </c:pt>
                <c:pt idx="81">
                  <c:v>3.5759117245045693</c:v>
                </c:pt>
                <c:pt idx="82">
                  <c:v>3.6703444055244243</c:v>
                </c:pt>
                <c:pt idx="83">
                  <c:v>3.7629115591994897</c:v>
                </c:pt>
                <c:pt idx="84">
                  <c:v>3.8534179981581644</c:v>
                </c:pt>
                <c:pt idx="85">
                  <c:v>3.9416775756337037</c:v>
                </c:pt>
                <c:pt idx="86">
                  <c:v>4.0275146757393232</c:v>
                </c:pt>
                <c:pt idx="87">
                  <c:v>4.110764596681693</c:v>
                </c:pt>
                <c:pt idx="88">
                  <c:v>4.1912761203847779</c:v>
                </c:pt>
                <c:pt idx="89">
                  <c:v>4.2689133800093799</c:v>
                </c:pt>
                <c:pt idx="90">
                  <c:v>4.3435529723025228</c:v>
                </c:pt>
                <c:pt idx="91">
                  <c:v>4.4150902153304452</c:v>
                </c:pt>
                <c:pt idx="92">
                  <c:v>4.4834414569912227</c:v>
                </c:pt>
                <c:pt idx="93">
                  <c:v>4.548546948484339</c:v>
                </c:pt>
                <c:pt idx="94">
                  <c:v>4.6103738286450584</c:v>
                </c:pt>
                <c:pt idx="95">
                  <c:v>4.6689071174664498</c:v>
                </c:pt>
                <c:pt idx="96">
                  <c:v>4.7241444410895577</c:v>
                </c:pt>
                <c:pt idx="97">
                  <c:v>4.7760937465365005</c:v>
                </c:pt>
                <c:pt idx="98">
                  <c:v>4.8247743896210435</c:v>
                </c:pt>
                <c:pt idx="99">
                  <c:v>4.8702150805479709</c:v>
                </c:pt>
                <c:pt idx="100">
                  <c:v>4.9124554633825284</c:v>
                </c:pt>
                <c:pt idx="101">
                  <c:v>4.9515452464348435</c:v>
                </c:pt>
                <c:pt idx="102">
                  <c:v>4.9875447299788735</c:v>
                </c:pt>
                <c:pt idx="103">
                  <c:v>5.0205260967926746</c:v>
                </c:pt>
                <c:pt idx="104">
                  <c:v>5.0505736630649833</c:v>
                </c:pt>
                <c:pt idx="105">
                  <c:v>5.0777846733242979</c:v>
                </c:pt>
                <c:pt idx="106">
                  <c:v>5.1022688016628033</c:v>
                </c:pt>
                <c:pt idx="107">
                  <c:v>5.1241475613094201</c:v>
                </c:pt>
                <c:pt idx="108">
                  <c:v>5.1435526070317312</c:v>
                </c:pt>
                <c:pt idx="109">
                  <c:v>5.1606234175304815</c:v>
                </c:pt>
                <c:pt idx="110">
                  <c:v>5.1754968783396968</c:v>
                </c:pt>
                <c:pt idx="111">
                  <c:v>5.1883088572968648</c:v>
                </c:pt>
                <c:pt idx="112">
                  <c:v>5.199191958444926</c:v>
                </c:pt>
                <c:pt idx="113">
                  <c:v>5.2082753330171876</c:v>
                </c:pt>
                <c:pt idx="114">
                  <c:v>5.2156872719717819</c:v>
                </c:pt>
                <c:pt idx="115">
                  <c:v>5.2215569069215793</c:v>
                </c:pt>
                <c:pt idx="116">
                  <c:v>5.2260181925093017</c:v>
                </c:pt>
                <c:pt idx="117">
                  <c:v>5.2292124443024735</c:v>
                </c:pt>
                <c:pt idx="118">
                  <c:v>5.2312919277175496</c:v>
                </c:pt>
                <c:pt idx="119">
                  <c:v>5.2324164868822507</c:v>
                </c:pt>
                <c:pt idx="120">
                  <c:v>5.2327547458583998</c:v>
                </c:pt>
                <c:pt idx="121">
                  <c:v>5.2324852001955282</c:v>
                </c:pt>
                <c:pt idx="122">
                  <c:v>5.2317910745120981</c:v>
                </c:pt>
                <c:pt idx="123">
                  <c:v>5.2308650512223185</c:v>
                </c:pt>
                <c:pt idx="124">
                  <c:v>5.2299091463115879</c:v>
                </c:pt>
                <c:pt idx="125">
                  <c:v>5.2291321040150018</c:v>
                </c:pt>
                <c:pt idx="126">
                  <c:v>5.2287499954963819</c:v>
                </c:pt>
                <c:pt idx="127">
                  <c:v>5.2289873587886646</c:v>
                </c:pt>
                <c:pt idx="128">
                  <c:v>5.2300774226703748</c:v>
                </c:pt>
                <c:pt idx="129">
                  <c:v>5.2322608945809375</c:v>
                </c:pt>
                <c:pt idx="130">
                  <c:v>5.2357863165269665</c:v>
                </c:pt>
                <c:pt idx="131">
                  <c:v>5.2409050331473086</c:v>
                </c:pt>
                <c:pt idx="132">
                  <c:v>5.2478664368741503</c:v>
                </c:pt>
                <c:pt idx="133">
                  <c:v>5.2569136311452684</c:v>
                </c:pt>
                <c:pt idx="134">
                  <c:v>5.2682756459636195</c:v>
                </c:pt>
                <c:pt idx="135">
                  <c:v>5.2821678498649645</c:v>
                </c:pt>
                <c:pt idx="136">
                  <c:v>5.29879032044665</c:v>
                </c:pt>
                <c:pt idx="137">
                  <c:v>5.3183266885591713</c:v>
                </c:pt>
                <c:pt idx="138">
                  <c:v>5.3409505939448474</c:v>
                </c:pt>
                <c:pt idx="139">
                  <c:v>5.3668297163655545</c:v>
                </c:pt>
                <c:pt idx="140">
                  <c:v>5.396125590126684</c:v>
                </c:pt>
                <c:pt idx="141">
                  <c:v>5.4289917958756444</c:v>
                </c:pt>
                <c:pt idx="142">
                  <c:v>5.4655769696854994</c:v>
                </c:pt>
                <c:pt idx="143">
                  <c:v>5.5060262106126396</c:v>
                </c:pt>
                <c:pt idx="144">
                  <c:v>5.5504767978126024</c:v>
                </c:pt>
                <c:pt idx="145">
                  <c:v>5.5990549302449555</c:v>
                </c:pt>
                <c:pt idx="146">
                  <c:v>5.6518633308571387</c:v>
                </c:pt>
                <c:pt idx="147">
                  <c:v>5.7089828759074539</c:v>
                </c:pt>
                <c:pt idx="148">
                  <c:v>5.7704762570942663</c:v>
                </c:pt>
                <c:pt idx="149">
                  <c:v>5.836390142790993</c:v>
                </c:pt>
                <c:pt idx="150">
                  <c:v>5.9067591720962112</c:v>
                </c:pt>
                <c:pt idx="151">
                  <c:v>5.981605620941477</c:v>
                </c:pt>
                <c:pt idx="152">
                  <c:v>6.0609327445040826</c:v>
                </c:pt>
                <c:pt idx="153">
                  <c:v>6.1447267583122143</c:v>
                </c:pt>
                <c:pt idx="154">
                  <c:v>6.2329647783878501</c:v>
                </c:pt>
                <c:pt idx="155">
                  <c:v>6.3256168136499236</c:v>
                </c:pt>
                <c:pt idx="156">
                  <c:v>6.4226464045320117</c:v>
                </c:pt>
                <c:pt idx="157">
                  <c:v>6.5240078626168048</c:v>
                </c:pt>
                <c:pt idx="158">
                  <c:v>6.6296442854913753</c:v>
                </c:pt>
                <c:pt idx="159">
                  <c:v>6.739493753668528</c:v>
                </c:pt>
                <c:pt idx="160">
                  <c:v>6.8534869589088521</c:v>
                </c:pt>
                <c:pt idx="161">
                  <c:v>6.9715479870026797</c:v>
                </c:pt>
                <c:pt idx="162">
                  <c:v>7.0935909762676763</c:v>
                </c:pt>
                <c:pt idx="163">
                  <c:v>7.2195179739346873</c:v>
                </c:pt>
                <c:pt idx="164">
                  <c:v>7.3492224532235673</c:v>
                </c:pt>
                <c:pt idx="165">
                  <c:v>7.4825958694618997</c:v>
                </c:pt>
                <c:pt idx="166">
                  <c:v>7.6195329541389514</c:v>
                </c:pt>
                <c:pt idx="167">
                  <c:v>7.7599361280848491</c:v>
                </c:pt>
                <c:pt idx="168">
                  <c:v>7.9037176955166109</c:v>
                </c:pt>
                <c:pt idx="169">
                  <c:v>8.0508011806790272</c:v>
                </c:pt>
                <c:pt idx="170">
                  <c:v>8.2011108667539894</c:v>
                </c:pt>
                <c:pt idx="171">
                  <c:v>8.3545683397855637</c:v>
                </c:pt>
                <c:pt idx="172">
                  <c:v>8.5110904058694317</c:v>
                </c:pt>
                <c:pt idx="173">
                  <c:v>8.6705987581133819</c:v>
                </c:pt>
                <c:pt idx="174">
                  <c:v>8.8330240619719937</c:v>
                </c:pt>
                <c:pt idx="175">
                  <c:v>8.9983032852105165</c:v>
                </c:pt>
                <c:pt idx="176">
                  <c:v>9.1663815776529258</c:v>
                </c:pt>
                <c:pt idx="177">
                  <c:v>9.33722498593513</c:v>
                </c:pt>
                <c:pt idx="178">
                  <c:v>9.5108389099668926</c:v>
                </c:pt>
                <c:pt idx="179">
                  <c:v>9.6872521457672249</c:v>
                </c:pt>
                <c:pt idx="180">
                  <c:v>9.8664913950744495</c:v>
                </c:pt>
                <c:pt idx="181">
                  <c:v>10.048570161286236</c:v>
                </c:pt>
                <c:pt idx="182">
                  <c:v>10.233492191939487</c:v>
                </c:pt>
                <c:pt idx="183">
                  <c:v>10.421251287647411</c:v>
                </c:pt>
                <c:pt idx="184">
                  <c:v>10.611828495859449</c:v>
                </c:pt>
                <c:pt idx="185">
                  <c:v>10.80519148569474</c:v>
                </c:pt>
                <c:pt idx="186">
                  <c:v>11.001301961499035</c:v>
                </c:pt>
                <c:pt idx="187">
                  <c:v>11.200121131907698</c:v>
                </c:pt>
                <c:pt idx="188">
                  <c:v>11.401622071338572</c:v>
                </c:pt>
                <c:pt idx="189">
                  <c:v>11.605774543283223</c:v>
                </c:pt>
                <c:pt idx="190">
                  <c:v>11.812547740745305</c:v>
                </c:pt>
                <c:pt idx="191">
                  <c:v>12.021901705112796</c:v>
                </c:pt>
                <c:pt idx="192">
                  <c:v>12.233785185164631</c:v>
                </c:pt>
                <c:pt idx="193">
                  <c:v>12.448130054148898</c:v>
                </c:pt>
                <c:pt idx="194">
                  <c:v>12.664854194764585</c:v>
                </c:pt>
                <c:pt idx="195">
                  <c:v>12.883854356779992</c:v>
                </c:pt>
                <c:pt idx="196">
                  <c:v>13.10499413113042</c:v>
                </c:pt>
                <c:pt idx="197">
                  <c:v>13.328095439964606</c:v>
                </c:pt>
                <c:pt idx="198">
                  <c:v>13.552949634693759</c:v>
                </c:pt>
                <c:pt idx="199">
                  <c:v>13.779337433418496</c:v>
                </c:pt>
                <c:pt idx="200">
                  <c:v>14.007042070241672</c:v>
                </c:pt>
                <c:pt idx="201">
                  <c:v>14.235858984501476</c:v>
                </c:pt>
                <c:pt idx="202">
                  <c:v>14.465599073866283</c:v>
                </c:pt>
                <c:pt idx="203">
                  <c:v>14.696086102844944</c:v>
                </c:pt>
                <c:pt idx="204">
                  <c:v>14.927163935413768</c:v>
                </c:pt>
                <c:pt idx="205">
                  <c:v>15.158697812947654</c:v>
                </c:pt>
                <c:pt idx="206">
                  <c:v>15.390575325673504</c:v>
                </c:pt>
                <c:pt idx="207">
                  <c:v>15.622695869984254</c:v>
                </c:pt>
                <c:pt idx="208">
                  <c:v>15.85496930434649</c:v>
                </c:pt>
                <c:pt idx="209">
                  <c:v>16.087318303075236</c:v>
                </c:pt>
                <c:pt idx="210">
                  <c:v>16.319687519662182</c:v>
                </c:pt>
              </c:numCache>
            </c:numRef>
          </c:val>
          <c:smooth val="0"/>
          <c:extLst>
            <c:ext xmlns:c16="http://schemas.microsoft.com/office/drawing/2014/chart" uri="{C3380CC4-5D6E-409C-BE32-E72D297353CC}">
              <c16:uniqueId val="{00000001-6F8D-4D66-B03F-8B85BA4F8748}"/>
            </c:ext>
          </c:extLst>
        </c:ser>
        <c:dLbls>
          <c:showLegendKey val="0"/>
          <c:showVal val="0"/>
          <c:showCatName val="0"/>
          <c:showSerName val="0"/>
          <c:showPercent val="0"/>
          <c:showBubbleSize val="0"/>
        </c:dLbls>
        <c:smooth val="0"/>
        <c:axId val="268260096"/>
        <c:axId val="268261632"/>
      </c:lineChart>
      <c:dateAx>
        <c:axId val="268260096"/>
        <c:scaling>
          <c:orientation val="minMax"/>
        </c:scaling>
        <c:delete val="0"/>
        <c:axPos val="b"/>
        <c:numFmt formatCode="[$-409]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261632"/>
        <c:crosses val="autoZero"/>
        <c:auto val="1"/>
        <c:lblOffset val="100"/>
        <c:baseTimeUnit val="months"/>
        <c:majorUnit val="7"/>
        <c:majorTimeUnit val="months"/>
      </c:dateAx>
      <c:valAx>
        <c:axId val="2682616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26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Harcamaya göre sıralı %10'luk gruplar</c:v>
          </c:tx>
          <c:spPr>
            <a:solidFill>
              <a:schemeClr val="accent1">
                <a:lumMod val="60000"/>
                <a:lumOff val="40000"/>
              </a:schemeClr>
            </a:solidFill>
            <a:ln>
              <a:noFill/>
            </a:ln>
            <a:effectLst/>
          </c:spPr>
          <c:invertIfNegative val="0"/>
          <c:dLbls>
            <c:dLbl>
              <c:idx val="0"/>
              <c:layout>
                <c:manualLayout>
                  <c:x val="-1.3867716753062624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5-4180-9CC0-84EE84B174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'Şekil-1'!$B$3:$B$12</c:f>
              <c:strCache>
                <c:ptCount val="10"/>
                <c:pt idx="0">
                  <c:v>q1</c:v>
                </c:pt>
                <c:pt idx="1">
                  <c:v>q2</c:v>
                </c:pt>
                <c:pt idx="2">
                  <c:v>q3</c:v>
                </c:pt>
                <c:pt idx="3">
                  <c:v>q4</c:v>
                </c:pt>
                <c:pt idx="4">
                  <c:v>q5</c:v>
                </c:pt>
                <c:pt idx="5">
                  <c:v>q6</c:v>
                </c:pt>
                <c:pt idx="6">
                  <c:v>q7</c:v>
                </c:pt>
                <c:pt idx="7">
                  <c:v>q8</c:v>
                </c:pt>
                <c:pt idx="8">
                  <c:v>q9</c:v>
                </c:pt>
                <c:pt idx="9">
                  <c:v>q10</c:v>
                </c:pt>
              </c:strCache>
            </c:strRef>
          </c:cat>
          <c:val>
            <c:numRef>
              <c:f>'Şekil-1'!$C$3:$C$12</c:f>
              <c:numCache>
                <c:formatCode>0.0</c:formatCode>
                <c:ptCount val="10"/>
                <c:pt idx="0">
                  <c:v>546.92559045030623</c:v>
                </c:pt>
                <c:pt idx="1">
                  <c:v>599.55817271460637</c:v>
                </c:pt>
                <c:pt idx="2">
                  <c:v>576.57169082237078</c:v>
                </c:pt>
                <c:pt idx="3">
                  <c:v>590.29392413788548</c:v>
                </c:pt>
                <c:pt idx="4">
                  <c:v>589.03774840467815</c:v>
                </c:pt>
                <c:pt idx="5">
                  <c:v>559.74310504038772</c:v>
                </c:pt>
                <c:pt idx="6">
                  <c:v>567.9023960765669</c:v>
                </c:pt>
                <c:pt idx="7">
                  <c:v>576.62201977195264</c:v>
                </c:pt>
                <c:pt idx="8">
                  <c:v>541.62647002157257</c:v>
                </c:pt>
                <c:pt idx="9">
                  <c:v>560.56639196407559</c:v>
                </c:pt>
              </c:numCache>
            </c:numRef>
          </c:val>
          <c:extLst>
            <c:ext xmlns:c16="http://schemas.microsoft.com/office/drawing/2014/chart" uri="{C3380CC4-5D6E-409C-BE32-E72D297353CC}">
              <c16:uniqueId val="{00000001-BD05-4180-9CC0-84EE84B17484}"/>
            </c:ext>
          </c:extLst>
        </c:ser>
        <c:dLbls>
          <c:showLegendKey val="0"/>
          <c:showVal val="0"/>
          <c:showCatName val="0"/>
          <c:showSerName val="0"/>
          <c:showPercent val="0"/>
          <c:showBubbleSize val="0"/>
        </c:dLbls>
        <c:gapWidth val="219"/>
        <c:axId val="263729536"/>
        <c:axId val="263731456"/>
      </c:barChart>
      <c:catAx>
        <c:axId val="26372953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tr-TR" sz="1000" b="0" i="0" baseline="0">
                    <a:effectLst/>
                    <a:latin typeface="+mn-lt"/>
                  </a:rPr>
                  <a:t>Deciles</a:t>
                </a:r>
                <a:r>
                  <a:rPr lang="en-GB" sz="1000" b="0" i="0" baseline="0">
                    <a:effectLst/>
                    <a:latin typeface="+mn-lt"/>
                  </a:rPr>
                  <a:t> ordered by consumption expenditures</a:t>
                </a:r>
                <a:endParaRPr lang="en-GB" sz="1000">
                  <a:effectLst/>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layout>
            <c:manualLayout>
              <c:xMode val="edge"/>
              <c:yMode val="edge"/>
              <c:x val="0.19168546821208624"/>
              <c:y val="0.8385990338164250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731456"/>
        <c:crosses val="autoZero"/>
        <c:auto val="1"/>
        <c:lblAlgn val="ctr"/>
        <c:lblOffset val="100"/>
        <c:noMultiLvlLbl val="0"/>
      </c:catAx>
      <c:valAx>
        <c:axId val="263731456"/>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729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q1-q10</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B1C7-4A28-976B-05301D0F42CB}"/>
              </c:ext>
            </c:extLst>
          </c:dPt>
          <c:dPt>
            <c:idx val="1"/>
            <c:invertIfNegative val="0"/>
            <c:bubble3D val="0"/>
            <c:spPr>
              <a:solidFill>
                <a:srgbClr val="FF0000"/>
              </a:solidFill>
              <a:ln>
                <a:noFill/>
              </a:ln>
              <a:effectLst/>
            </c:spPr>
            <c:extLst>
              <c:ext xmlns:c16="http://schemas.microsoft.com/office/drawing/2014/chart" uri="{C3380CC4-5D6E-409C-BE32-E72D297353CC}">
                <c16:uniqueId val="{00000003-B1C7-4A28-976B-05301D0F42CB}"/>
              </c:ext>
            </c:extLst>
          </c:dPt>
          <c:dPt>
            <c:idx val="3"/>
            <c:invertIfNegative val="0"/>
            <c:bubble3D val="0"/>
            <c:spPr>
              <a:solidFill>
                <a:srgbClr val="FF0000"/>
              </a:solidFill>
              <a:ln>
                <a:noFill/>
              </a:ln>
              <a:effectLst/>
            </c:spPr>
            <c:extLst>
              <c:ext xmlns:c16="http://schemas.microsoft.com/office/drawing/2014/chart" uri="{C3380CC4-5D6E-409C-BE32-E72D297353CC}">
                <c16:uniqueId val="{00000005-B1C7-4A28-976B-05301D0F42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'Şekil-2'!$AG$59:$AJ$70</c:f>
              <c:strCache>
                <c:ptCount val="12"/>
                <c:pt idx="0">
                  <c:v>Food and non-alcoholic beverages</c:v>
                </c:pt>
                <c:pt idx="1">
                  <c:v>Alcoholic beverages, cigarette </c:v>
                </c:pt>
                <c:pt idx="2">
                  <c:v>Clothing and foot wear </c:v>
                </c:pt>
                <c:pt idx="3">
                  <c:v>Housing and rent</c:v>
                </c:pt>
                <c:pt idx="4">
                  <c:v>Furniture, house appliances</c:v>
                </c:pt>
                <c:pt idx="5">
                  <c:v>Health</c:v>
                </c:pt>
                <c:pt idx="6">
                  <c:v>Transportation</c:v>
                </c:pt>
                <c:pt idx="7">
                  <c:v>Communication</c:v>
                </c:pt>
                <c:pt idx="8">
                  <c:v>Entertainment and culture</c:v>
                </c:pt>
                <c:pt idx="9">
                  <c:v>Educational services</c:v>
                </c:pt>
                <c:pt idx="10">
                  <c:v>Restaurant and food services, hotels</c:v>
                </c:pt>
                <c:pt idx="11">
                  <c:v>Various goods and services</c:v>
                </c:pt>
              </c:strCache>
            </c:strRef>
          </c:cat>
          <c:val>
            <c:numRef>
              <c:f>'Şekil-2'!$AM$59:$AM$70</c:f>
              <c:numCache>
                <c:formatCode>0.0</c:formatCode>
                <c:ptCount val="12"/>
                <c:pt idx="0">
                  <c:v>128.96379996678743</c:v>
                </c:pt>
                <c:pt idx="1">
                  <c:v>5.5145141284343229</c:v>
                </c:pt>
                <c:pt idx="2">
                  <c:v>-18.094911905747438</c:v>
                </c:pt>
                <c:pt idx="3">
                  <c:v>138.3396926200821</c:v>
                </c:pt>
                <c:pt idx="4">
                  <c:v>-17.374406564030728</c:v>
                </c:pt>
                <c:pt idx="5">
                  <c:v>-6.0564008056978036</c:v>
                </c:pt>
                <c:pt idx="6">
                  <c:v>-143.65728102332747</c:v>
                </c:pt>
                <c:pt idx="7">
                  <c:v>1.0041660002678121</c:v>
                </c:pt>
                <c:pt idx="8">
                  <c:v>-20.492654996063862</c:v>
                </c:pt>
                <c:pt idx="9">
                  <c:v>-26.350668040216579</c:v>
                </c:pt>
                <c:pt idx="10">
                  <c:v>-21.606525415436863</c:v>
                </c:pt>
                <c:pt idx="11">
                  <c:v>-33.830125478820328</c:v>
                </c:pt>
              </c:numCache>
            </c:numRef>
          </c:val>
          <c:extLst>
            <c:ext xmlns:c16="http://schemas.microsoft.com/office/drawing/2014/chart" uri="{C3380CC4-5D6E-409C-BE32-E72D297353CC}">
              <c16:uniqueId val="{00000006-B1C7-4A28-976B-05301D0F42CB}"/>
            </c:ext>
          </c:extLst>
        </c:ser>
        <c:dLbls>
          <c:dLblPos val="outEnd"/>
          <c:showLegendKey val="0"/>
          <c:showVal val="1"/>
          <c:showCatName val="0"/>
          <c:showSerName val="0"/>
          <c:showPercent val="0"/>
          <c:showBubbleSize val="0"/>
        </c:dLbls>
        <c:gapWidth val="197"/>
        <c:overlap val="-12"/>
        <c:axId val="264071424"/>
        <c:axId val="264902912"/>
      </c:barChart>
      <c:catAx>
        <c:axId val="26407142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902912"/>
        <c:crosses val="autoZero"/>
        <c:auto val="1"/>
        <c:lblAlgn val="ctr"/>
        <c:lblOffset val="100"/>
        <c:noMultiLvlLbl val="0"/>
      </c:catAx>
      <c:valAx>
        <c:axId val="264902912"/>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07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q10</a:t>
            </a:r>
            <a:r>
              <a:rPr lang="tr-TR" sz="1200"/>
              <a:t>-q1</a:t>
            </a:r>
            <a:endParaRPr lang="en-US"/>
          </a:p>
        </c:rich>
      </c:tx>
      <c:overlay val="0"/>
      <c:spPr>
        <a:noFill/>
        <a:ln>
          <a:noFill/>
        </a:ln>
        <a:effectLst/>
      </c:spPr>
    </c:title>
    <c:autoTitleDeleted val="0"/>
    <c:plotArea>
      <c:layout/>
      <c:lineChart>
        <c:grouping val="standard"/>
        <c:varyColors val="0"/>
        <c:ser>
          <c:idx val="0"/>
          <c:order val="0"/>
          <c:tx>
            <c:v>Inflation difference between q10 and q1</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'Şekil-6'!$U$3:$U$213</c:f>
              <c:numCache>
                <c:formatCode>0.0</c:formatCode>
                <c:ptCount val="211"/>
                <c:pt idx="0">
                  <c:v>7.3086350884111084E-2</c:v>
                </c:pt>
                <c:pt idx="1">
                  <c:v>-0.31280659111223486</c:v>
                </c:pt>
                <c:pt idx="2">
                  <c:v>-1.0406474741136833</c:v>
                </c:pt>
                <c:pt idx="3">
                  <c:v>-0.92089723080938768</c:v>
                </c:pt>
                <c:pt idx="4">
                  <c:v>1.9351200474872599E-2</c:v>
                </c:pt>
                <c:pt idx="5">
                  <c:v>1.1694231749181228</c:v>
                </c:pt>
                <c:pt idx="6">
                  <c:v>1.1997849158795617</c:v>
                </c:pt>
                <c:pt idx="7">
                  <c:v>1.3824629859720403</c:v>
                </c:pt>
                <c:pt idx="8">
                  <c:v>1.7221799855983591</c:v>
                </c:pt>
                <c:pt idx="9">
                  <c:v>1.6541817337873539</c:v>
                </c:pt>
                <c:pt idx="10">
                  <c:v>1.8125588463527862</c:v>
                </c:pt>
                <c:pt idx="11">
                  <c:v>1.563197248195479</c:v>
                </c:pt>
                <c:pt idx="12">
                  <c:v>3.2849040601025621</c:v>
                </c:pt>
                <c:pt idx="13">
                  <c:v>5.3582100461651407</c:v>
                </c:pt>
                <c:pt idx="14">
                  <c:v>6.5226158827266545</c:v>
                </c:pt>
                <c:pt idx="15">
                  <c:v>4.7795689787590732</c:v>
                </c:pt>
                <c:pt idx="16">
                  <c:v>2.3933790200323557</c:v>
                </c:pt>
                <c:pt idx="17">
                  <c:v>2.6009685656368617</c:v>
                </c:pt>
                <c:pt idx="18">
                  <c:v>5.2315745442435144</c:v>
                </c:pt>
                <c:pt idx="19">
                  <c:v>6.6608100738803699</c:v>
                </c:pt>
                <c:pt idx="20">
                  <c:v>6.7900110526633028</c:v>
                </c:pt>
                <c:pt idx="21">
                  <c:v>5.0776352589186331</c:v>
                </c:pt>
                <c:pt idx="22">
                  <c:v>3.8797262608835155</c:v>
                </c:pt>
                <c:pt idx="23">
                  <c:v>4.0676551371666392</c:v>
                </c:pt>
                <c:pt idx="24">
                  <c:v>6.638054052472981</c:v>
                </c:pt>
                <c:pt idx="25">
                  <c:v>9.4504895492380996</c:v>
                </c:pt>
                <c:pt idx="26">
                  <c:v>10.378997988486262</c:v>
                </c:pt>
                <c:pt idx="27">
                  <c:v>8.245837163315926</c:v>
                </c:pt>
                <c:pt idx="28">
                  <c:v>5.4419727832786009</c:v>
                </c:pt>
                <c:pt idx="29">
                  <c:v>6.4352013613491721</c:v>
                </c:pt>
                <c:pt idx="30">
                  <c:v>10.118052790394401</c:v>
                </c:pt>
                <c:pt idx="31">
                  <c:v>12.570023445855128</c:v>
                </c:pt>
                <c:pt idx="32">
                  <c:v>11.440156845607135</c:v>
                </c:pt>
                <c:pt idx="33">
                  <c:v>8.6288243927696726</c:v>
                </c:pt>
                <c:pt idx="34">
                  <c:v>7.0549774022968563</c:v>
                </c:pt>
                <c:pt idx="35">
                  <c:v>7.9881299538824067</c:v>
                </c:pt>
                <c:pt idx="36">
                  <c:v>11.170271078005229</c:v>
                </c:pt>
                <c:pt idx="37">
                  <c:v>13.401618696973415</c:v>
                </c:pt>
                <c:pt idx="38">
                  <c:v>13.541600729017347</c:v>
                </c:pt>
                <c:pt idx="39">
                  <c:v>10.326129614304023</c:v>
                </c:pt>
                <c:pt idx="40">
                  <c:v>6.6414468328999874</c:v>
                </c:pt>
                <c:pt idx="41">
                  <c:v>6.3582064720334017</c:v>
                </c:pt>
                <c:pt idx="42">
                  <c:v>9.3576299527616982</c:v>
                </c:pt>
                <c:pt idx="43">
                  <c:v>11.909619726853236</c:v>
                </c:pt>
                <c:pt idx="44">
                  <c:v>11.674078647766834</c:v>
                </c:pt>
                <c:pt idx="45">
                  <c:v>9.0526064213167672</c:v>
                </c:pt>
                <c:pt idx="46">
                  <c:v>8.5102620517933758</c:v>
                </c:pt>
                <c:pt idx="47">
                  <c:v>9.150057770522892</c:v>
                </c:pt>
                <c:pt idx="48">
                  <c:v>7.8178364183083318</c:v>
                </c:pt>
                <c:pt idx="49">
                  <c:v>6.082803588619214</c:v>
                </c:pt>
                <c:pt idx="50">
                  <c:v>6.4021476693790476</c:v>
                </c:pt>
                <c:pt idx="51">
                  <c:v>7.3508639504131565</c:v>
                </c:pt>
                <c:pt idx="52">
                  <c:v>8.5034895155257573</c:v>
                </c:pt>
                <c:pt idx="53">
                  <c:v>10.276716384246384</c:v>
                </c:pt>
                <c:pt idx="54">
                  <c:v>8.909061706979287</c:v>
                </c:pt>
                <c:pt idx="55">
                  <c:v>7.6943665331597231</c:v>
                </c:pt>
                <c:pt idx="56">
                  <c:v>7.7457643902974382</c:v>
                </c:pt>
                <c:pt idx="57">
                  <c:v>6.2927629136010239</c:v>
                </c:pt>
                <c:pt idx="58">
                  <c:v>5.5374570446464872</c:v>
                </c:pt>
                <c:pt idx="59">
                  <c:v>4.5792050035732927</c:v>
                </c:pt>
                <c:pt idx="60">
                  <c:v>4.2286567759128388</c:v>
                </c:pt>
                <c:pt idx="61">
                  <c:v>4.7931037902863523</c:v>
                </c:pt>
                <c:pt idx="62">
                  <c:v>2.6985340712700747</c:v>
                </c:pt>
                <c:pt idx="63">
                  <c:v>2.8706299605009917</c:v>
                </c:pt>
                <c:pt idx="64">
                  <c:v>4.1860223447090448</c:v>
                </c:pt>
                <c:pt idx="65">
                  <c:v>5.6050679141482078</c:v>
                </c:pt>
                <c:pt idx="66">
                  <c:v>5.5343288612387767</c:v>
                </c:pt>
                <c:pt idx="67">
                  <c:v>6.1872235085822354</c:v>
                </c:pt>
                <c:pt idx="68">
                  <c:v>6.4134540558499396</c:v>
                </c:pt>
                <c:pt idx="69">
                  <c:v>6.3600407906377256</c:v>
                </c:pt>
                <c:pt idx="70">
                  <c:v>6.2196259805413376</c:v>
                </c:pt>
                <c:pt idx="71">
                  <c:v>5.0921152299959829</c:v>
                </c:pt>
                <c:pt idx="72">
                  <c:v>4.253476357603148</c:v>
                </c:pt>
                <c:pt idx="73">
                  <c:v>2.1114327951403311</c:v>
                </c:pt>
                <c:pt idx="74">
                  <c:v>2.2970597848131433</c:v>
                </c:pt>
                <c:pt idx="75">
                  <c:v>2.7261300261938004</c:v>
                </c:pt>
                <c:pt idx="76">
                  <c:v>4.9650243741377551</c:v>
                </c:pt>
                <c:pt idx="77">
                  <c:v>5.6920280834895891</c:v>
                </c:pt>
                <c:pt idx="78">
                  <c:v>5.6967984605893776</c:v>
                </c:pt>
                <c:pt idx="79">
                  <c:v>4.3428336942270391</c:v>
                </c:pt>
                <c:pt idx="80">
                  <c:v>2.8765023227939253</c:v>
                </c:pt>
                <c:pt idx="81">
                  <c:v>1.827318766048478</c:v>
                </c:pt>
                <c:pt idx="82">
                  <c:v>2.7720556808972106</c:v>
                </c:pt>
                <c:pt idx="83">
                  <c:v>3.8929023633251632</c:v>
                </c:pt>
                <c:pt idx="84">
                  <c:v>3.7404501502824132</c:v>
                </c:pt>
                <c:pt idx="85">
                  <c:v>3.5703526321672996</c:v>
                </c:pt>
                <c:pt idx="86">
                  <c:v>4.5900556059029611</c:v>
                </c:pt>
                <c:pt idx="87">
                  <c:v>5.7962649523912546</c:v>
                </c:pt>
                <c:pt idx="88">
                  <c:v>5.026420161691675</c:v>
                </c:pt>
                <c:pt idx="89">
                  <c:v>7.9574479289542523</c:v>
                </c:pt>
                <c:pt idx="90">
                  <c:v>8.735833152924215</c:v>
                </c:pt>
                <c:pt idx="91">
                  <c:v>9.2782929482033296</c:v>
                </c:pt>
                <c:pt idx="92">
                  <c:v>9.9729023246507893</c:v>
                </c:pt>
                <c:pt idx="93">
                  <c:v>7.3332390137830714</c:v>
                </c:pt>
                <c:pt idx="94">
                  <c:v>5.9224587833684268</c:v>
                </c:pt>
                <c:pt idx="95">
                  <c:v>4.9935686435745197</c:v>
                </c:pt>
                <c:pt idx="96">
                  <c:v>4.6808773501181804</c:v>
                </c:pt>
                <c:pt idx="97">
                  <c:v>3.4226270461856814</c:v>
                </c:pt>
                <c:pt idx="98">
                  <c:v>4.169131588575226</c:v>
                </c:pt>
                <c:pt idx="99">
                  <c:v>4.1990924710333104</c:v>
                </c:pt>
                <c:pt idx="100">
                  <c:v>5.5041509446733698</c:v>
                </c:pt>
                <c:pt idx="101">
                  <c:v>6.7016147844136924</c:v>
                </c:pt>
                <c:pt idx="102">
                  <c:v>6.7086266990797867</c:v>
                </c:pt>
                <c:pt idx="103">
                  <c:v>6.4254599528274241</c:v>
                </c:pt>
                <c:pt idx="104">
                  <c:v>5.9314985769796351</c:v>
                </c:pt>
                <c:pt idx="105">
                  <c:v>5.3826884197342224</c:v>
                </c:pt>
                <c:pt idx="106">
                  <c:v>5.2353895782565587</c:v>
                </c:pt>
                <c:pt idx="107">
                  <c:v>4.1666881670633131</c:v>
                </c:pt>
                <c:pt idx="108">
                  <c:v>1.6026619893651457</c:v>
                </c:pt>
                <c:pt idx="109">
                  <c:v>1.5578824109563527</c:v>
                </c:pt>
                <c:pt idx="110">
                  <c:v>0.6510353464115326</c:v>
                </c:pt>
                <c:pt idx="111">
                  <c:v>1.7538307056331348</c:v>
                </c:pt>
                <c:pt idx="112">
                  <c:v>3.6609986801556715</c:v>
                </c:pt>
                <c:pt idx="113">
                  <c:v>3.7382410288640813</c:v>
                </c:pt>
                <c:pt idx="114">
                  <c:v>4.4542931632243778</c:v>
                </c:pt>
                <c:pt idx="115">
                  <c:v>5.0646475903190549</c:v>
                </c:pt>
                <c:pt idx="116">
                  <c:v>5.846378544046388</c:v>
                </c:pt>
                <c:pt idx="117">
                  <c:v>4.9568592552425628</c:v>
                </c:pt>
                <c:pt idx="118">
                  <c:v>5.7425875845512451</c:v>
                </c:pt>
                <c:pt idx="119">
                  <c:v>5.2691478012289963</c:v>
                </c:pt>
                <c:pt idx="120">
                  <c:v>4.1402099877316232</c:v>
                </c:pt>
                <c:pt idx="121">
                  <c:v>5.2739302990464978</c:v>
                </c:pt>
                <c:pt idx="122">
                  <c:v>5.2437997377085424</c:v>
                </c:pt>
                <c:pt idx="123">
                  <c:v>5.2284046895836127</c:v>
                </c:pt>
                <c:pt idx="124">
                  <c:v>6.2971369309316003</c:v>
                </c:pt>
                <c:pt idx="125">
                  <c:v>6.5752454875971011</c:v>
                </c:pt>
                <c:pt idx="126">
                  <c:v>6.6486746418110556</c:v>
                </c:pt>
                <c:pt idx="127">
                  <c:v>5.9350456904130624</c:v>
                </c:pt>
                <c:pt idx="128">
                  <c:v>5.801929421926161</c:v>
                </c:pt>
                <c:pt idx="129">
                  <c:v>3.681104782701766</c:v>
                </c:pt>
                <c:pt idx="130">
                  <c:v>2.6266482264705644</c:v>
                </c:pt>
                <c:pt idx="131">
                  <c:v>1.2077886073188893</c:v>
                </c:pt>
                <c:pt idx="132">
                  <c:v>-1.7396010186391209</c:v>
                </c:pt>
                <c:pt idx="133">
                  <c:v>-2.6501165024423301</c:v>
                </c:pt>
                <c:pt idx="134">
                  <c:v>-3.485852549855224</c:v>
                </c:pt>
                <c:pt idx="135">
                  <c:v>-2.9468756013455106</c:v>
                </c:pt>
                <c:pt idx="136">
                  <c:v>0.63072232671387951</c:v>
                </c:pt>
                <c:pt idx="137">
                  <c:v>2.3557333353812453</c:v>
                </c:pt>
                <c:pt idx="138">
                  <c:v>2.0025276663871807</c:v>
                </c:pt>
                <c:pt idx="139">
                  <c:v>1.0711664661382088</c:v>
                </c:pt>
                <c:pt idx="140">
                  <c:v>1.5946604866130656</c:v>
                </c:pt>
                <c:pt idx="141">
                  <c:v>2.9706294300100353</c:v>
                </c:pt>
                <c:pt idx="142">
                  <c:v>2.1078834030237772</c:v>
                </c:pt>
                <c:pt idx="143">
                  <c:v>0.70684651441945334</c:v>
                </c:pt>
                <c:pt idx="144">
                  <c:v>-3.3668552721290439</c:v>
                </c:pt>
                <c:pt idx="145">
                  <c:v>-3.2880624466629911</c:v>
                </c:pt>
                <c:pt idx="146">
                  <c:v>-1.6852592409460954</c:v>
                </c:pt>
                <c:pt idx="147">
                  <c:v>0.5168240775213917</c:v>
                </c:pt>
                <c:pt idx="148">
                  <c:v>2.9683314306284956</c:v>
                </c:pt>
                <c:pt idx="149">
                  <c:v>2.6002317750979955</c:v>
                </c:pt>
                <c:pt idx="150">
                  <c:v>0.42991546294757654</c:v>
                </c:pt>
                <c:pt idx="151">
                  <c:v>1.2602970922181953</c:v>
                </c:pt>
                <c:pt idx="152">
                  <c:v>3.449831394308319</c:v>
                </c:pt>
                <c:pt idx="153">
                  <c:v>5.0606606604411013</c:v>
                </c:pt>
                <c:pt idx="154">
                  <c:v>5.7990410119425064</c:v>
                </c:pt>
                <c:pt idx="155">
                  <c:v>4.5426010352587127</c:v>
                </c:pt>
                <c:pt idx="156">
                  <c:v>2.7227804540669354</c:v>
                </c:pt>
                <c:pt idx="157">
                  <c:v>3.6750531404085223</c:v>
                </c:pt>
                <c:pt idx="158">
                  <c:v>3.1452830671627225</c:v>
                </c:pt>
                <c:pt idx="159">
                  <c:v>4.1867585162876253</c:v>
                </c:pt>
                <c:pt idx="160">
                  <c:v>4.4999093418042548</c:v>
                </c:pt>
                <c:pt idx="161">
                  <c:v>4.4352229300107524</c:v>
                </c:pt>
                <c:pt idx="162">
                  <c:v>5.6563235537768151</c:v>
                </c:pt>
                <c:pt idx="163">
                  <c:v>7.4443217079541455</c:v>
                </c:pt>
                <c:pt idx="164">
                  <c:v>9.1110573514705493</c:v>
                </c:pt>
                <c:pt idx="165">
                  <c:v>10.943761711121454</c:v>
                </c:pt>
                <c:pt idx="166">
                  <c:v>11.306498197682629</c:v>
                </c:pt>
                <c:pt idx="167">
                  <c:v>11.144166594034857</c:v>
                </c:pt>
                <c:pt idx="168">
                  <c:v>9.2514984324643592</c:v>
                </c:pt>
                <c:pt idx="169">
                  <c:v>7.9598588371894152</c:v>
                </c:pt>
                <c:pt idx="170">
                  <c:v>7.5214261224865595</c:v>
                </c:pt>
                <c:pt idx="171">
                  <c:v>11.627643646826243</c:v>
                </c:pt>
                <c:pt idx="172">
                  <c:v>13.390001371867527</c:v>
                </c:pt>
                <c:pt idx="173">
                  <c:v>12.154979782629198</c:v>
                </c:pt>
                <c:pt idx="174">
                  <c:v>13.03701819867041</c:v>
                </c:pt>
                <c:pt idx="175">
                  <c:v>16.332772554392875</c:v>
                </c:pt>
                <c:pt idx="176">
                  <c:v>21.340317270645244</c:v>
                </c:pt>
                <c:pt idx="177">
                  <c:v>16.135849160502516</c:v>
                </c:pt>
                <c:pt idx="178">
                  <c:v>8.2200689981401069</c:v>
                </c:pt>
                <c:pt idx="179">
                  <c:v>4.504130875646581</c:v>
                </c:pt>
                <c:pt idx="180">
                  <c:v>3.696376575394936</c:v>
                </c:pt>
                <c:pt idx="181">
                  <c:v>3.3365910103760257</c:v>
                </c:pt>
                <c:pt idx="182">
                  <c:v>2.2391911263756015</c:v>
                </c:pt>
                <c:pt idx="183">
                  <c:v>3.3945604276396466</c:v>
                </c:pt>
                <c:pt idx="184">
                  <c:v>7.4664136150514082</c:v>
                </c:pt>
                <c:pt idx="185">
                  <c:v>10.4196671574569</c:v>
                </c:pt>
                <c:pt idx="186">
                  <c:v>14.14504631474415</c:v>
                </c:pt>
                <c:pt idx="187">
                  <c:v>10.910822043890107</c:v>
                </c:pt>
                <c:pt idx="188">
                  <c:v>12.20093860015163</c:v>
                </c:pt>
                <c:pt idx="189">
                  <c:v>9.8678341565362189</c:v>
                </c:pt>
                <c:pt idx="190">
                  <c:v>9.9771115901418739</c:v>
                </c:pt>
                <c:pt idx="191">
                  <c:v>7.4363285318412977</c:v>
                </c:pt>
                <c:pt idx="192">
                  <c:v>4.6961929362366277</c:v>
                </c:pt>
                <c:pt idx="193">
                  <c:v>1.3158536156602736</c:v>
                </c:pt>
                <c:pt idx="194">
                  <c:v>-2.1574394101741063</c:v>
                </c:pt>
                <c:pt idx="195">
                  <c:v>-4.5839405456150644</c:v>
                </c:pt>
                <c:pt idx="196">
                  <c:v>0.18777530268215514</c:v>
                </c:pt>
                <c:pt idx="197">
                  <c:v>8.17339156120903</c:v>
                </c:pt>
                <c:pt idx="198">
                  <c:v>12.796221030365416</c:v>
                </c:pt>
                <c:pt idx="199">
                  <c:v>15.756438739581426</c:v>
                </c:pt>
                <c:pt idx="200">
                  <c:v>17.162150239778725</c:v>
                </c:pt>
                <c:pt idx="201">
                  <c:v>16.167726159316715</c:v>
                </c:pt>
                <c:pt idx="202">
                  <c:v>17.238022679828873</c:v>
                </c:pt>
                <c:pt idx="203">
                  <c:v>16.921299635849437</c:v>
                </c:pt>
                <c:pt idx="204">
                  <c:v>14.383162694537305</c:v>
                </c:pt>
                <c:pt idx="205">
                  <c:v>10.82874471079441</c:v>
                </c:pt>
                <c:pt idx="206">
                  <c:v>11.322032468370821</c:v>
                </c:pt>
                <c:pt idx="207">
                  <c:v>12.657016772483416</c:v>
                </c:pt>
                <c:pt idx="208">
                  <c:v>15.823408553485706</c:v>
                </c:pt>
                <c:pt idx="209">
                  <c:v>21.368099423615377</c:v>
                </c:pt>
                <c:pt idx="210">
                  <c:v>13.640801513769361</c:v>
                </c:pt>
              </c:numCache>
            </c:numRef>
          </c:val>
          <c:smooth val="0"/>
          <c:extLst>
            <c:ext xmlns:c16="http://schemas.microsoft.com/office/drawing/2014/chart" uri="{C3380CC4-5D6E-409C-BE32-E72D297353CC}">
              <c16:uniqueId val="{00000000-6C8E-4782-AC1B-827FF6F9481D}"/>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'Şekil-6'!$V$3:$V$213</c:f>
              <c:numCache>
                <c:formatCode>0.0</c:formatCode>
                <c:ptCount val="211"/>
                <c:pt idx="0">
                  <c:v>2.2920013946035045</c:v>
                </c:pt>
                <c:pt idx="1">
                  <c:v>2.4540268015067701</c:v>
                </c:pt>
                <c:pt idx="2">
                  <c:v>2.6160350871519822</c:v>
                </c:pt>
                <c:pt idx="3">
                  <c:v>2.7779877812579965</c:v>
                </c:pt>
                <c:pt idx="4">
                  <c:v>2.9398181984004488</c:v>
                </c:pt>
                <c:pt idx="5">
                  <c:v>3.1014311123755602</c:v>
                </c:pt>
                <c:pt idx="6">
                  <c:v>3.2627087625119757</c:v>
                </c:pt>
                <c:pt idx="7">
                  <c:v>3.4235184806696863</c:v>
                </c:pt>
                <c:pt idx="8">
                  <c:v>3.5837116810864096</c:v>
                </c:pt>
                <c:pt idx="9">
                  <c:v>3.7431240291148726</c:v>
                </c:pt>
                <c:pt idx="10">
                  <c:v>3.9015768264373127</c:v>
                </c:pt>
                <c:pt idx="11">
                  <c:v>4.0588752563540593</c:v>
                </c:pt>
                <c:pt idx="12">
                  <c:v>4.2148083831995464</c:v>
                </c:pt>
                <c:pt idx="13">
                  <c:v>4.3691460145334533</c:v>
                </c:pt>
                <c:pt idx="14">
                  <c:v>4.5216507827277814</c:v>
                </c:pt>
                <c:pt idx="15">
                  <c:v>4.672092951821444</c:v>
                </c:pt>
                <c:pt idx="16">
                  <c:v>4.8202582253988782</c:v>
                </c:pt>
                <c:pt idx="17">
                  <c:v>4.9659331363348533</c:v>
                </c:pt>
                <c:pt idx="18">
                  <c:v>5.1088854915843447</c:v>
                </c:pt>
                <c:pt idx="19">
                  <c:v>5.2488648499189123</c:v>
                </c:pt>
                <c:pt idx="20">
                  <c:v>5.3856217167849056</c:v>
                </c:pt>
                <c:pt idx="21">
                  <c:v>5.5189174922677475</c:v>
                </c:pt>
                <c:pt idx="22">
                  <c:v>5.6485244127903282</c:v>
                </c:pt>
                <c:pt idx="23">
                  <c:v>5.7742113098200338</c:v>
                </c:pt>
                <c:pt idx="24">
                  <c:v>5.8957333666903606</c:v>
                </c:pt>
                <c:pt idx="25">
                  <c:v>6.0128325988631026</c:v>
                </c:pt>
                <c:pt idx="26">
                  <c:v>6.1252567495831203</c:v>
                </c:pt>
                <c:pt idx="27">
                  <c:v>6.2327800872260655</c:v>
                </c:pt>
                <c:pt idx="28">
                  <c:v>6.3352097022450495</c:v>
                </c:pt>
                <c:pt idx="29">
                  <c:v>6.4323682179409944</c:v>
                </c:pt>
                <c:pt idx="30">
                  <c:v>6.5240713653546454</c:v>
                </c:pt>
                <c:pt idx="31">
                  <c:v>6.6101348973874234</c:v>
                </c:pt>
                <c:pt idx="32">
                  <c:v>6.6904022982789053</c:v>
                </c:pt>
                <c:pt idx="33">
                  <c:v>6.7647630390630225</c:v>
                </c:pt>
                <c:pt idx="34">
                  <c:v>6.8331432401143495</c:v>
                </c:pt>
                <c:pt idx="35">
                  <c:v>6.8954834049969209</c:v>
                </c:pt>
                <c:pt idx="36">
                  <c:v>6.951725748958121</c:v>
                </c:pt>
                <c:pt idx="37">
                  <c:v>7.0018209181600648</c:v>
                </c:pt>
                <c:pt idx="38">
                  <c:v>7.0457521092689488</c:v>
                </c:pt>
                <c:pt idx="39">
                  <c:v>7.0835519001066718</c:v>
                </c:pt>
                <c:pt idx="40">
                  <c:v>7.1153029907838627</c:v>
                </c:pt>
                <c:pt idx="41">
                  <c:v>7.1411131013009204</c:v>
                </c:pt>
                <c:pt idx="42">
                  <c:v>7.1610862953607288</c:v>
                </c:pt>
                <c:pt idx="43">
                  <c:v>7.1753205957199562</c:v>
                </c:pt>
                <c:pt idx="44">
                  <c:v>7.1839309737746042</c:v>
                </c:pt>
                <c:pt idx="45">
                  <c:v>7.1870689310065625</c:v>
                </c:pt>
                <c:pt idx="46">
                  <c:v>7.1849206150989096</c:v>
                </c:pt>
                <c:pt idx="47">
                  <c:v>7.1776865683141242</c:v>
                </c:pt>
                <c:pt idx="48">
                  <c:v>7.165577559314662</c:v>
                </c:pt>
                <c:pt idx="49">
                  <c:v>7.1488195756765736</c:v>
                </c:pt>
                <c:pt idx="50">
                  <c:v>7.1276436378374761</c:v>
                </c:pt>
                <c:pt idx="51">
                  <c:v>7.1022725408029883</c:v>
                </c:pt>
                <c:pt idx="52">
                  <c:v>7.0729234816160087</c:v>
                </c:pt>
                <c:pt idx="53">
                  <c:v>7.0398155754630301</c:v>
                </c:pt>
                <c:pt idx="54">
                  <c:v>7.0031789758487069</c:v>
                </c:pt>
                <c:pt idx="55">
                  <c:v>6.9632688123641806</c:v>
                </c:pt>
                <c:pt idx="56">
                  <c:v>6.9203549204858623</c:v>
                </c:pt>
                <c:pt idx="57">
                  <c:v>6.8747127768762777</c:v>
                </c:pt>
                <c:pt idx="58">
                  <c:v>6.8266242270981845</c:v>
                </c:pt>
                <c:pt idx="59">
                  <c:v>6.7763666263604563</c:v>
                </c:pt>
                <c:pt idx="60">
                  <c:v>6.724207382594324</c:v>
                </c:pt>
                <c:pt idx="61">
                  <c:v>6.6703969503234326</c:v>
                </c:pt>
                <c:pt idx="62">
                  <c:v>6.615166528279711</c:v>
                </c:pt>
                <c:pt idx="63">
                  <c:v>6.5587328299083607</c:v>
                </c:pt>
                <c:pt idx="64">
                  <c:v>6.5012823477251294</c:v>
                </c:pt>
                <c:pt idx="65">
                  <c:v>6.4429731166618973</c:v>
                </c:pt>
                <c:pt idx="66">
                  <c:v>6.3839453069900278</c:v>
                </c:pt>
                <c:pt idx="67">
                  <c:v>6.3243326236629649</c:v>
                </c:pt>
                <c:pt idx="68">
                  <c:v>6.2642622159517005</c:v>
                </c:pt>
                <c:pt idx="69">
                  <c:v>6.2038601751865228</c:v>
                </c:pt>
                <c:pt idx="70">
                  <c:v>6.143253743869324</c:v>
                </c:pt>
                <c:pt idx="71">
                  <c:v>6.0825713695993384</c:v>
                </c:pt>
                <c:pt idx="72">
                  <c:v>6.021942089267748</c:v>
                </c:pt>
                <c:pt idx="73">
                  <c:v>5.961487297357249</c:v>
                </c:pt>
                <c:pt idx="74">
                  <c:v>5.9013147427816213</c:v>
                </c:pt>
                <c:pt idx="75">
                  <c:v>5.8415024672439788</c:v>
                </c:pt>
                <c:pt idx="76">
                  <c:v>5.7821007018381936</c:v>
                </c:pt>
                <c:pt idx="77">
                  <c:v>5.723135639290537</c:v>
                </c:pt>
                <c:pt idx="78">
                  <c:v>5.6646271677259881</c:v>
                </c:pt>
                <c:pt idx="79">
                  <c:v>5.6065949352420876</c:v>
                </c:pt>
                <c:pt idx="80">
                  <c:v>5.5490588381716615</c:v>
                </c:pt>
                <c:pt idx="81">
                  <c:v>5.4920290216033933</c:v>
                </c:pt>
                <c:pt idx="82">
                  <c:v>5.4354950090479157</c:v>
                </c:pt>
                <c:pt idx="83">
                  <c:v>5.3794180469305548</c:v>
                </c:pt>
                <c:pt idx="84">
                  <c:v>5.3237388304472546</c:v>
                </c:pt>
                <c:pt idx="85">
                  <c:v>5.2683865847655369</c:v>
                </c:pt>
                <c:pt idx="86">
                  <c:v>5.213278318319281</c:v>
                </c:pt>
                <c:pt idx="87">
                  <c:v>5.1583179374285342</c:v>
                </c:pt>
                <c:pt idx="88">
                  <c:v>5.1034045395961192</c:v>
                </c:pt>
                <c:pt idx="89">
                  <c:v>5.0484421447555308</c:v>
                </c:pt>
                <c:pt idx="90">
                  <c:v>4.993334178825001</c:v>
                </c:pt>
                <c:pt idx="91">
                  <c:v>4.9380065137550471</c:v>
                </c:pt>
                <c:pt idx="92">
                  <c:v>4.8824138988030841</c:v>
                </c:pt>
                <c:pt idx="93">
                  <c:v>4.8265445730909917</c:v>
                </c:pt>
                <c:pt idx="94">
                  <c:v>4.7704260542007253</c:v>
                </c:pt>
                <c:pt idx="95">
                  <c:v>4.7141052014923321</c:v>
                </c:pt>
                <c:pt idx="96">
                  <c:v>4.6576377634672879</c:v>
                </c:pt>
                <c:pt idx="97">
                  <c:v>4.6010816449807894</c:v>
                </c:pt>
                <c:pt idx="98">
                  <c:v>4.5444949302058308</c:v>
                </c:pt>
                <c:pt idx="99">
                  <c:v>4.4879266103015265</c:v>
                </c:pt>
                <c:pt idx="100">
                  <c:v>4.4314227801049091</c:v>
                </c:pt>
                <c:pt idx="101">
                  <c:v>4.3750273057945295</c:v>
                </c:pt>
                <c:pt idx="102">
                  <c:v>4.3187923307724301</c:v>
                </c:pt>
                <c:pt idx="103">
                  <c:v>4.2627879505045332</c:v>
                </c:pt>
                <c:pt idx="104">
                  <c:v>4.2071027005367636</c:v>
                </c:pt>
                <c:pt idx="105">
                  <c:v>4.151841803699015</c:v>
                </c:pt>
                <c:pt idx="106">
                  <c:v>4.097123788344919</c:v>
                </c:pt>
                <c:pt idx="107">
                  <c:v>4.0430766801013789</c:v>
                </c:pt>
                <c:pt idx="108">
                  <c:v>3.9898372875103436</c:v>
                </c:pt>
                <c:pt idx="109">
                  <c:v>3.9375433729061005</c:v>
                </c:pt>
                <c:pt idx="110">
                  <c:v>3.8863142790604495</c:v>
                </c:pt>
                <c:pt idx="111">
                  <c:v>3.8362509871636949</c:v>
                </c:pt>
                <c:pt idx="112">
                  <c:v>3.7874295148341299</c:v>
                </c:pt>
                <c:pt idx="113">
                  <c:v>3.7399098116323204</c:v>
                </c:pt>
                <c:pt idx="114">
                  <c:v>3.6937508515722692</c:v>
                </c:pt>
                <c:pt idx="115">
                  <c:v>3.6490115957915696</c:v>
                </c:pt>
                <c:pt idx="116">
                  <c:v>3.605756873809848</c:v>
                </c:pt>
                <c:pt idx="117">
                  <c:v>3.5640624382639716</c:v>
                </c:pt>
                <c:pt idx="118">
                  <c:v>3.5240213305382628</c:v>
                </c:pt>
                <c:pt idx="119">
                  <c:v>3.485737338906064</c:v>
                </c:pt>
                <c:pt idx="120">
                  <c:v>3.449331370207493</c:v>
                </c:pt>
                <c:pt idx="121">
                  <c:v>3.4149380921658659</c:v>
                </c:pt>
                <c:pt idx="122">
                  <c:v>3.3826975033580289</c:v>
                </c:pt>
                <c:pt idx="123">
                  <c:v>3.3527639464364989</c:v>
                </c:pt>
                <c:pt idx="124">
                  <c:v>3.32530612441054</c:v>
                </c:pt>
                <c:pt idx="125">
                  <c:v>3.3005072128260151</c:v>
                </c:pt>
                <c:pt idx="126">
                  <c:v>3.2785733180220475</c:v>
                </c:pt>
                <c:pt idx="127">
                  <c:v>3.2597358143800044</c:v>
                </c:pt>
                <c:pt idx="128">
                  <c:v>3.2442520801494918</c:v>
                </c:pt>
                <c:pt idx="129">
                  <c:v>3.2324001364032342</c:v>
                </c:pt>
                <c:pt idx="130">
                  <c:v>3.2244777393786306</c:v>
                </c:pt>
                <c:pt idx="131">
                  <c:v>3.2207861075402895</c:v>
                </c:pt>
                <c:pt idx="132">
                  <c:v>3.2216218464707755</c:v>
                </c:pt>
                <c:pt idx="133">
                  <c:v>3.2272660293645345</c:v>
                </c:pt>
                <c:pt idx="134">
                  <c:v>3.2379614483753851</c:v>
                </c:pt>
                <c:pt idx="135">
                  <c:v>3.2539055454832884</c:v>
                </c:pt>
                <c:pt idx="136">
                  <c:v>3.2752438813873543</c:v>
                </c:pt>
                <c:pt idx="137">
                  <c:v>3.3020741712531532</c:v>
                </c:pt>
                <c:pt idx="138">
                  <c:v>3.3344737249873462</c:v>
                </c:pt>
                <c:pt idx="139">
                  <c:v>3.3725125504839717</c:v>
                </c:pt>
                <c:pt idx="140">
                  <c:v>3.4162503782755054</c:v>
                </c:pt>
                <c:pt idx="141">
                  <c:v>3.4657291815943898</c:v>
                </c:pt>
                <c:pt idx="142">
                  <c:v>3.5209768781955075</c:v>
                </c:pt>
                <c:pt idx="143">
                  <c:v>3.582017565619608</c:v>
                </c:pt>
                <c:pt idx="144">
                  <c:v>3.6488644379084043</c:v>
                </c:pt>
                <c:pt idx="145">
                  <c:v>3.7215085041417955</c:v>
                </c:pt>
                <c:pt idx="146">
                  <c:v>3.7998866397599431</c:v>
                </c:pt>
                <c:pt idx="147">
                  <c:v>3.8838816340074023</c:v>
                </c:pt>
                <c:pt idx="148">
                  <c:v>3.9733339524722409</c:v>
                </c:pt>
                <c:pt idx="149">
                  <c:v>4.0680580803601467</c:v>
                </c:pt>
                <c:pt idx="150">
                  <c:v>4.1678607482277181</c:v>
                </c:pt>
                <c:pt idx="151">
                  <c:v>4.2725373608112962</c:v>
                </c:pt>
                <c:pt idx="152">
                  <c:v>4.3818544806768118</c:v>
                </c:pt>
                <c:pt idx="153">
                  <c:v>4.4955554277955319</c:v>
                </c:pt>
                <c:pt idx="154">
                  <c:v>4.6133763306025619</c:v>
                </c:pt>
                <c:pt idx="155">
                  <c:v>4.7350576779128879</c:v>
                </c:pt>
                <c:pt idx="156">
                  <c:v>4.8603491071887284</c:v>
                </c:pt>
                <c:pt idx="157">
                  <c:v>4.9889987708873429</c:v>
                </c:pt>
                <c:pt idx="158">
                  <c:v>5.1207383278807024</c:v>
                </c:pt>
                <c:pt idx="159">
                  <c:v>5.2552892985714088</c:v>
                </c:pt>
                <c:pt idx="160">
                  <c:v>5.3923579606517178</c:v>
                </c:pt>
                <c:pt idx="161">
                  <c:v>5.5316423469776019</c:v>
                </c:pt>
                <c:pt idx="162">
                  <c:v>5.672833604227419</c:v>
                </c:pt>
                <c:pt idx="163">
                  <c:v>5.8156144190531602</c:v>
                </c:pt>
                <c:pt idx="164">
                  <c:v>5.9596673507144535</c:v>
                </c:pt>
                <c:pt idx="165">
                  <c:v>6.1046875256567974</c:v>
                </c:pt>
                <c:pt idx="166">
                  <c:v>6.2503943866065619</c:v>
                </c:pt>
                <c:pt idx="167">
                  <c:v>6.3965447148254979</c:v>
                </c:pt>
                <c:pt idx="168">
                  <c:v>6.5429343047220456</c:v>
                </c:pt>
                <c:pt idx="169">
                  <c:v>6.6893955835895165</c:v>
                </c:pt>
                <c:pt idx="170">
                  <c:v>6.8357818781357889</c:v>
                </c:pt>
                <c:pt idx="171">
                  <c:v>6.9819563180259454</c:v>
                </c:pt>
                <c:pt idx="172">
                  <c:v>7.1277873233899163</c:v>
                </c:pt>
                <c:pt idx="173">
                  <c:v>7.273179160710475</c:v>
                </c:pt>
                <c:pt idx="174">
                  <c:v>7.4180844160232384</c:v>
                </c:pt>
                <c:pt idx="175">
                  <c:v>7.5624933435784998</c:v>
                </c:pt>
                <c:pt idx="176">
                  <c:v>7.7064395535970966</c:v>
                </c:pt>
                <c:pt idx="177">
                  <c:v>7.8500243282073594</c:v>
                </c:pt>
                <c:pt idx="178">
                  <c:v>7.9934541492113622</c:v>
                </c:pt>
                <c:pt idx="179">
                  <c:v>8.1369994322447621</c:v>
                </c:pt>
                <c:pt idx="180">
                  <c:v>8.2809323415145801</c:v>
                </c:pt>
                <c:pt idx="181">
                  <c:v>8.4254970098346575</c:v>
                </c:pt>
                <c:pt idx="182">
                  <c:v>8.5709021953601461</c:v>
                </c:pt>
                <c:pt idx="183">
                  <c:v>8.717317389996202</c:v>
                </c:pt>
                <c:pt idx="184">
                  <c:v>8.8648632298526948</c:v>
                </c:pt>
                <c:pt idx="185">
                  <c:v>9.0136192803839208</c:v>
                </c:pt>
                <c:pt idx="186">
                  <c:v>9.1636543165378903</c:v>
                </c:pt>
                <c:pt idx="187">
                  <c:v>9.3150479623974665</c:v>
                </c:pt>
                <c:pt idx="188">
                  <c:v>9.4679182787121672</c:v>
                </c:pt>
                <c:pt idx="189">
                  <c:v>9.6223956393031269</c:v>
                </c:pt>
                <c:pt idx="190">
                  <c:v>9.7786315061112443</c:v>
                </c:pt>
                <c:pt idx="191">
                  <c:v>9.9367792348931356</c:v>
                </c:pt>
                <c:pt idx="192">
                  <c:v>10.096993712887544</c:v>
                </c:pt>
                <c:pt idx="193">
                  <c:v>10.25941053373211</c:v>
                </c:pt>
                <c:pt idx="194">
                  <c:v>10.424123618218973</c:v>
                </c:pt>
                <c:pt idx="195">
                  <c:v>10.591157878213435</c:v>
                </c:pt>
                <c:pt idx="196">
                  <c:v>10.760441145619158</c:v>
                </c:pt>
                <c:pt idx="197">
                  <c:v>10.931784160530974</c:v>
                </c:pt>
                <c:pt idx="198">
                  <c:v>11.104916083831968</c:v>
                </c:pt>
                <c:pt idx="199">
                  <c:v>11.279544792511713</c:v>
                </c:pt>
                <c:pt idx="200">
                  <c:v>11.455391213752268</c:v>
                </c:pt>
                <c:pt idx="201">
                  <c:v>11.632210818670467</c:v>
                </c:pt>
                <c:pt idx="202">
                  <c:v>11.809803112017603</c:v>
                </c:pt>
                <c:pt idx="203">
                  <c:v>11.988002594805314</c:v>
                </c:pt>
                <c:pt idx="204">
                  <c:v>12.166685652455483</c:v>
                </c:pt>
                <c:pt idx="205">
                  <c:v>12.345766735953582</c:v>
                </c:pt>
                <c:pt idx="206">
                  <c:v>12.525177398731396</c:v>
                </c:pt>
                <c:pt idx="207">
                  <c:v>12.70483748880385</c:v>
                </c:pt>
                <c:pt idx="208">
                  <c:v>12.884657570660172</c:v>
                </c:pt>
                <c:pt idx="209">
                  <c:v>13.06454783980258</c:v>
                </c:pt>
                <c:pt idx="210">
                  <c:v>13.244441167280996</c:v>
                </c:pt>
              </c:numCache>
            </c:numRef>
          </c:val>
          <c:smooth val="0"/>
          <c:extLst>
            <c:ext xmlns:c16="http://schemas.microsoft.com/office/drawing/2014/chart" uri="{C3380CC4-5D6E-409C-BE32-E72D297353CC}">
              <c16:uniqueId val="{00000001-6C8E-4782-AC1B-827FF6F9481D}"/>
            </c:ext>
          </c:extLst>
        </c:ser>
        <c:dLbls>
          <c:showLegendKey val="0"/>
          <c:showVal val="0"/>
          <c:showCatName val="0"/>
          <c:showSerName val="0"/>
          <c:showPercent val="0"/>
          <c:showBubbleSize val="0"/>
        </c:dLbls>
        <c:smooth val="0"/>
        <c:axId val="264953856"/>
        <c:axId val="264955392"/>
      </c:lineChart>
      <c:dateAx>
        <c:axId val="264953856"/>
        <c:scaling>
          <c:orientation val="minMax"/>
        </c:scaling>
        <c:delete val="0"/>
        <c:axPos val="b"/>
        <c:numFmt formatCode="[$-409]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955392"/>
        <c:crosses val="autoZero"/>
        <c:auto val="1"/>
        <c:lblOffset val="100"/>
        <c:baseTimeUnit val="months"/>
        <c:majorUnit val="10"/>
        <c:majorTimeUnit val="months"/>
      </c:dateAx>
      <c:valAx>
        <c:axId val="264955392"/>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95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q1-q2</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F41F-43D0-91E2-38300F7FF3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'Şekil-2'!$AG$45:$AJ$56</c:f>
              <c:strCache>
                <c:ptCount val="12"/>
                <c:pt idx="0">
                  <c:v>Food and non-alcoholic beverages</c:v>
                </c:pt>
                <c:pt idx="1">
                  <c:v>Alcoholic beverages, cigarette </c:v>
                </c:pt>
                <c:pt idx="2">
                  <c:v>Clothing and foot wear </c:v>
                </c:pt>
                <c:pt idx="3">
                  <c:v>Housing and rent</c:v>
                </c:pt>
                <c:pt idx="4">
                  <c:v>Furniture, house appliances</c:v>
                </c:pt>
                <c:pt idx="5">
                  <c:v>Health</c:v>
                </c:pt>
                <c:pt idx="6">
                  <c:v>Transportation</c:v>
                </c:pt>
                <c:pt idx="7">
                  <c:v>Communication</c:v>
                </c:pt>
                <c:pt idx="8">
                  <c:v>Entertainment and culture</c:v>
                </c:pt>
                <c:pt idx="9">
                  <c:v>Educational services</c:v>
                </c:pt>
                <c:pt idx="10">
                  <c:v>Restaurant and food services, hotels</c:v>
                </c:pt>
                <c:pt idx="11">
                  <c:v>Various goods and services</c:v>
                </c:pt>
              </c:strCache>
            </c:strRef>
          </c:cat>
          <c:val>
            <c:numRef>
              <c:f>'Şekil-2'!$AM$45:$AM$56</c:f>
              <c:numCache>
                <c:formatCode>0.0</c:formatCode>
                <c:ptCount val="12"/>
                <c:pt idx="0">
                  <c:v>4.8657919694275336</c:v>
                </c:pt>
                <c:pt idx="1">
                  <c:v>-6.8535095594539612</c:v>
                </c:pt>
                <c:pt idx="2">
                  <c:v>-6.2593217827998213</c:v>
                </c:pt>
                <c:pt idx="3">
                  <c:v>-9.1781444596307438E-2</c:v>
                </c:pt>
                <c:pt idx="4">
                  <c:v>-3.9406018132721101</c:v>
                </c:pt>
                <c:pt idx="5">
                  <c:v>-1.4414642595934914</c:v>
                </c:pt>
                <c:pt idx="6">
                  <c:v>-14.980951453850412</c:v>
                </c:pt>
                <c:pt idx="7">
                  <c:v>-3.2482910400965359</c:v>
                </c:pt>
                <c:pt idx="8">
                  <c:v>-3.9266684416325122</c:v>
                </c:pt>
                <c:pt idx="9">
                  <c:v>-0.64889293398933767</c:v>
                </c:pt>
                <c:pt idx="10">
                  <c:v>-11.558950962419633</c:v>
                </c:pt>
                <c:pt idx="11">
                  <c:v>-4.5479405420234649</c:v>
                </c:pt>
              </c:numCache>
            </c:numRef>
          </c:val>
          <c:extLst>
            <c:ext xmlns:c16="http://schemas.microsoft.com/office/drawing/2014/chart" uri="{C3380CC4-5D6E-409C-BE32-E72D297353CC}">
              <c16:uniqueId val="{00000002-F41F-43D0-91E2-38300F7FF367}"/>
            </c:ext>
          </c:extLst>
        </c:ser>
        <c:dLbls>
          <c:showLegendKey val="0"/>
          <c:showVal val="0"/>
          <c:showCatName val="0"/>
          <c:showSerName val="0"/>
          <c:showPercent val="0"/>
          <c:showBubbleSize val="0"/>
        </c:dLbls>
        <c:gapWidth val="182"/>
        <c:axId val="265096576"/>
        <c:axId val="265098368"/>
      </c:barChart>
      <c:catAx>
        <c:axId val="2650965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098368"/>
        <c:crosses val="autoZero"/>
        <c:auto val="1"/>
        <c:lblAlgn val="ctr"/>
        <c:lblOffset val="100"/>
        <c:noMultiLvlLbl val="0"/>
      </c:catAx>
      <c:valAx>
        <c:axId val="265098368"/>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09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q2</a:t>
            </a:r>
            <a:r>
              <a:rPr lang="tr-TR" sz="1200"/>
              <a:t>-q1</a:t>
            </a:r>
            <a:endParaRPr lang="en-US" sz="1200"/>
          </a:p>
        </c:rich>
      </c:tx>
      <c:layout>
        <c:manualLayout>
          <c:xMode val="edge"/>
          <c:yMode val="edge"/>
          <c:x val="0.45796876097250022"/>
          <c:y val="2.7518671707663589E-2"/>
        </c:manualLayout>
      </c:layout>
      <c:overlay val="0"/>
      <c:spPr>
        <a:noFill/>
        <a:ln>
          <a:noFill/>
        </a:ln>
        <a:effectLst/>
      </c:spPr>
    </c:title>
    <c:autoTitleDeleted val="0"/>
    <c:plotArea>
      <c:layout/>
      <c:lineChart>
        <c:grouping val="standard"/>
        <c:varyColors val="0"/>
        <c:ser>
          <c:idx val="0"/>
          <c:order val="0"/>
          <c:tx>
            <c:v>Inflation difference between q2 and q1</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'Şekil-6'!$R$3:$R$213</c:f>
              <c:numCache>
                <c:formatCode>0.0</c:formatCode>
                <c:ptCount val="211"/>
                <c:pt idx="0">
                  <c:v>0.1750599733423428</c:v>
                </c:pt>
                <c:pt idx="1">
                  <c:v>0.11926179164620976</c:v>
                </c:pt>
                <c:pt idx="2">
                  <c:v>0.1309844932427211</c:v>
                </c:pt>
                <c:pt idx="3">
                  <c:v>0.15860683304789802</c:v>
                </c:pt>
                <c:pt idx="4">
                  <c:v>0.30930054142412189</c:v>
                </c:pt>
                <c:pt idx="5">
                  <c:v>0.47356951425820171</c:v>
                </c:pt>
                <c:pt idx="6">
                  <c:v>0.44646108832654363</c:v>
                </c:pt>
                <c:pt idx="7">
                  <c:v>0.39841701012227304</c:v>
                </c:pt>
                <c:pt idx="8">
                  <c:v>0.42129118598025173</c:v>
                </c:pt>
                <c:pt idx="9">
                  <c:v>0.40283350256930817</c:v>
                </c:pt>
                <c:pt idx="10">
                  <c:v>0.41170466412913242</c:v>
                </c:pt>
                <c:pt idx="11">
                  <c:v>0.3736849001296747</c:v>
                </c:pt>
                <c:pt idx="12">
                  <c:v>2.2476402476074213</c:v>
                </c:pt>
                <c:pt idx="13">
                  <c:v>4.7806970567249465</c:v>
                </c:pt>
                <c:pt idx="14">
                  <c:v>5.9414732259193954</c:v>
                </c:pt>
                <c:pt idx="15">
                  <c:v>3.2031746494382816</c:v>
                </c:pt>
                <c:pt idx="16">
                  <c:v>0.33052709870817409</c:v>
                </c:pt>
                <c:pt idx="17">
                  <c:v>-0.42599236027808729</c:v>
                </c:pt>
                <c:pt idx="18">
                  <c:v>1.9995322066883858</c:v>
                </c:pt>
                <c:pt idx="19">
                  <c:v>3.8193982149706613</c:v>
                </c:pt>
                <c:pt idx="20">
                  <c:v>4.0314594229555922</c:v>
                </c:pt>
                <c:pt idx="21">
                  <c:v>2.6702007473868576</c:v>
                </c:pt>
                <c:pt idx="22">
                  <c:v>2.5832551925232963</c:v>
                </c:pt>
                <c:pt idx="23">
                  <c:v>2.8241558686877823</c:v>
                </c:pt>
                <c:pt idx="24">
                  <c:v>5.8057961199124719</c:v>
                </c:pt>
                <c:pt idx="25">
                  <c:v>9.6251961319193384</c:v>
                </c:pt>
                <c:pt idx="26">
                  <c:v>11.033167124556371</c:v>
                </c:pt>
                <c:pt idx="27">
                  <c:v>8.285501994822809</c:v>
                </c:pt>
                <c:pt idx="28">
                  <c:v>4.6891136163616807</c:v>
                </c:pt>
                <c:pt idx="29">
                  <c:v>3.9987575193812717</c:v>
                </c:pt>
                <c:pt idx="30">
                  <c:v>7.4146649901046686</c:v>
                </c:pt>
                <c:pt idx="31">
                  <c:v>9.7642197389696435</c:v>
                </c:pt>
                <c:pt idx="32">
                  <c:v>9.8025808744637288</c:v>
                </c:pt>
                <c:pt idx="33">
                  <c:v>7.064465656508645</c:v>
                </c:pt>
                <c:pt idx="34">
                  <c:v>6.4287762025869881</c:v>
                </c:pt>
                <c:pt idx="35">
                  <c:v>7.5625701073444986</c:v>
                </c:pt>
                <c:pt idx="36">
                  <c:v>12.298433796077333</c:v>
                </c:pt>
                <c:pt idx="37">
                  <c:v>15.215117730184559</c:v>
                </c:pt>
                <c:pt idx="38">
                  <c:v>15.581254011591085</c:v>
                </c:pt>
                <c:pt idx="39">
                  <c:v>12.003528668618571</c:v>
                </c:pt>
                <c:pt idx="40">
                  <c:v>7.3165763170939613</c:v>
                </c:pt>
                <c:pt idx="41">
                  <c:v>6.3163241305739177</c:v>
                </c:pt>
                <c:pt idx="42">
                  <c:v>9.5153719070434306</c:v>
                </c:pt>
                <c:pt idx="43">
                  <c:v>12.902120665182423</c:v>
                </c:pt>
                <c:pt idx="44">
                  <c:v>13.125141189894407</c:v>
                </c:pt>
                <c:pt idx="45">
                  <c:v>11.219718941562093</c:v>
                </c:pt>
                <c:pt idx="46">
                  <c:v>10.972335609439227</c:v>
                </c:pt>
                <c:pt idx="47">
                  <c:v>11.992222450891717</c:v>
                </c:pt>
                <c:pt idx="48">
                  <c:v>12.080328157303455</c:v>
                </c:pt>
                <c:pt idx="49">
                  <c:v>12.019426899022989</c:v>
                </c:pt>
                <c:pt idx="50">
                  <c:v>12.128021427969742</c:v>
                </c:pt>
                <c:pt idx="51">
                  <c:v>12.360574178600217</c:v>
                </c:pt>
                <c:pt idx="52">
                  <c:v>12.596647225408702</c:v>
                </c:pt>
                <c:pt idx="53">
                  <c:v>12.742905555327212</c:v>
                </c:pt>
                <c:pt idx="54">
                  <c:v>12.910132274200919</c:v>
                </c:pt>
                <c:pt idx="55">
                  <c:v>12.917066018733976</c:v>
                </c:pt>
                <c:pt idx="56">
                  <c:v>13.004104249297171</c:v>
                </c:pt>
                <c:pt idx="57">
                  <c:v>13.343290588851346</c:v>
                </c:pt>
                <c:pt idx="58">
                  <c:v>13.509849114389993</c:v>
                </c:pt>
                <c:pt idx="59">
                  <c:v>13.433301008742745</c:v>
                </c:pt>
                <c:pt idx="60">
                  <c:v>13.554152562908513</c:v>
                </c:pt>
                <c:pt idx="61">
                  <c:v>13.517180060589197</c:v>
                </c:pt>
                <c:pt idx="62">
                  <c:v>13.582981273571534</c:v>
                </c:pt>
                <c:pt idx="63">
                  <c:v>13.619321618490147</c:v>
                </c:pt>
                <c:pt idx="64">
                  <c:v>13.748017870693047</c:v>
                </c:pt>
                <c:pt idx="65">
                  <c:v>13.919053908765221</c:v>
                </c:pt>
                <c:pt idx="66">
                  <c:v>14.313208562876895</c:v>
                </c:pt>
                <c:pt idx="67">
                  <c:v>14.446907027535019</c:v>
                </c:pt>
                <c:pt idx="68">
                  <c:v>14.518214859182166</c:v>
                </c:pt>
                <c:pt idx="69">
                  <c:v>14.759254960346198</c:v>
                </c:pt>
                <c:pt idx="70">
                  <c:v>14.838710749537455</c:v>
                </c:pt>
                <c:pt idx="71">
                  <c:v>14.762413030305993</c:v>
                </c:pt>
                <c:pt idx="72">
                  <c:v>15.403475261337491</c:v>
                </c:pt>
                <c:pt idx="73">
                  <c:v>15.451760423302034</c:v>
                </c:pt>
                <c:pt idx="74">
                  <c:v>15.594732619643906</c:v>
                </c:pt>
                <c:pt idx="75">
                  <c:v>15.617242674536328</c:v>
                </c:pt>
                <c:pt idx="76">
                  <c:v>15.745162575951639</c:v>
                </c:pt>
                <c:pt idx="77">
                  <c:v>15.76871589972572</c:v>
                </c:pt>
                <c:pt idx="78">
                  <c:v>15.718467007952881</c:v>
                </c:pt>
                <c:pt idx="79">
                  <c:v>15.688822379424209</c:v>
                </c:pt>
                <c:pt idx="80">
                  <c:v>15.731402440917719</c:v>
                </c:pt>
                <c:pt idx="81">
                  <c:v>15.883007220051979</c:v>
                </c:pt>
                <c:pt idx="82">
                  <c:v>15.99210961645457</c:v>
                </c:pt>
                <c:pt idx="83">
                  <c:v>16.122753736527329</c:v>
                </c:pt>
                <c:pt idx="84">
                  <c:v>16.072615867157793</c:v>
                </c:pt>
                <c:pt idx="85">
                  <c:v>16.073915326155486</c:v>
                </c:pt>
                <c:pt idx="86">
                  <c:v>16.233669136996497</c:v>
                </c:pt>
                <c:pt idx="87">
                  <c:v>16.529515461368135</c:v>
                </c:pt>
                <c:pt idx="88">
                  <c:v>16.791822434412012</c:v>
                </c:pt>
                <c:pt idx="89">
                  <c:v>16.992805913713653</c:v>
                </c:pt>
                <c:pt idx="90">
                  <c:v>16.99558150875302</c:v>
                </c:pt>
                <c:pt idx="91">
                  <c:v>17.072600227553039</c:v>
                </c:pt>
                <c:pt idx="92">
                  <c:v>17.199858344017088</c:v>
                </c:pt>
                <c:pt idx="93">
                  <c:v>17.696339080807491</c:v>
                </c:pt>
                <c:pt idx="94">
                  <c:v>17.896162188160218</c:v>
                </c:pt>
                <c:pt idx="95">
                  <c:v>17.85313716758381</c:v>
                </c:pt>
                <c:pt idx="96">
                  <c:v>17.575211619744948</c:v>
                </c:pt>
                <c:pt idx="97">
                  <c:v>17.411693863962597</c:v>
                </c:pt>
                <c:pt idx="98">
                  <c:v>17.578650772958014</c:v>
                </c:pt>
                <c:pt idx="99">
                  <c:v>18.065897780980322</c:v>
                </c:pt>
                <c:pt idx="100">
                  <c:v>18.436912940052963</c:v>
                </c:pt>
                <c:pt idx="101">
                  <c:v>18.684884145643139</c:v>
                </c:pt>
                <c:pt idx="102">
                  <c:v>18.581326846655884</c:v>
                </c:pt>
                <c:pt idx="103">
                  <c:v>18.508111491740721</c:v>
                </c:pt>
                <c:pt idx="104">
                  <c:v>18.551841830381989</c:v>
                </c:pt>
                <c:pt idx="105">
                  <c:v>18.90505432375403</c:v>
                </c:pt>
                <c:pt idx="106">
                  <c:v>19.094009651948966</c:v>
                </c:pt>
                <c:pt idx="107">
                  <c:v>19.001741882195631</c:v>
                </c:pt>
                <c:pt idx="108">
                  <c:v>19.798763097222604</c:v>
                </c:pt>
                <c:pt idx="109">
                  <c:v>19.821673248583153</c:v>
                </c:pt>
                <c:pt idx="110">
                  <c:v>19.842055633772191</c:v>
                </c:pt>
                <c:pt idx="111">
                  <c:v>20.106052955703319</c:v>
                </c:pt>
                <c:pt idx="112">
                  <c:v>20.363756498307822</c:v>
                </c:pt>
                <c:pt idx="113">
                  <c:v>20.433316896590327</c:v>
                </c:pt>
                <c:pt idx="114">
                  <c:v>20.462657658808865</c:v>
                </c:pt>
                <c:pt idx="115">
                  <c:v>20.476928956177346</c:v>
                </c:pt>
                <c:pt idx="116">
                  <c:v>20.623798049040261</c:v>
                </c:pt>
                <c:pt idx="117">
                  <c:v>20.832728369975371</c:v>
                </c:pt>
                <c:pt idx="118">
                  <c:v>20.910649987424762</c:v>
                </c:pt>
                <c:pt idx="119">
                  <c:v>20.759935161404087</c:v>
                </c:pt>
                <c:pt idx="120">
                  <c:v>21.233154010112372</c:v>
                </c:pt>
                <c:pt idx="121">
                  <c:v>21.397821855569617</c:v>
                </c:pt>
                <c:pt idx="122">
                  <c:v>21.634679905502253</c:v>
                </c:pt>
                <c:pt idx="123">
                  <c:v>21.986464586165368</c:v>
                </c:pt>
                <c:pt idx="124">
                  <c:v>22.265612762603695</c:v>
                </c:pt>
                <c:pt idx="125">
                  <c:v>22.354684237018915</c:v>
                </c:pt>
                <c:pt idx="126">
                  <c:v>22.508232885799202</c:v>
                </c:pt>
                <c:pt idx="127">
                  <c:v>22.510481427283167</c:v>
                </c:pt>
                <c:pt idx="128">
                  <c:v>22.539404347968798</c:v>
                </c:pt>
                <c:pt idx="129">
                  <c:v>22.739484368135237</c:v>
                </c:pt>
                <c:pt idx="130">
                  <c:v>22.795699711385254</c:v>
                </c:pt>
                <c:pt idx="131">
                  <c:v>22.657517123432314</c:v>
                </c:pt>
                <c:pt idx="132">
                  <c:v>22.512199967391155</c:v>
                </c:pt>
                <c:pt idx="133">
                  <c:v>22.55169034031718</c:v>
                </c:pt>
                <c:pt idx="134">
                  <c:v>22.788774649307669</c:v>
                </c:pt>
                <c:pt idx="135">
                  <c:v>23.330258190212021</c:v>
                </c:pt>
                <c:pt idx="136">
                  <c:v>23.686885554276159</c:v>
                </c:pt>
                <c:pt idx="137">
                  <c:v>23.615811113545107</c:v>
                </c:pt>
                <c:pt idx="138">
                  <c:v>23.583568820995254</c:v>
                </c:pt>
                <c:pt idx="139">
                  <c:v>23.637695965578644</c:v>
                </c:pt>
                <c:pt idx="140">
                  <c:v>23.835939746170254</c:v>
                </c:pt>
                <c:pt idx="141">
                  <c:v>24.359644688924391</c:v>
                </c:pt>
                <c:pt idx="142">
                  <c:v>24.547762769316876</c:v>
                </c:pt>
                <c:pt idx="143">
                  <c:v>24.522100870618829</c:v>
                </c:pt>
                <c:pt idx="144">
                  <c:v>25.161217152293716</c:v>
                </c:pt>
                <c:pt idx="145">
                  <c:v>25.079266079473712</c:v>
                </c:pt>
                <c:pt idx="146">
                  <c:v>25.206865792373605</c:v>
                </c:pt>
                <c:pt idx="147">
                  <c:v>25.780883222418311</c:v>
                </c:pt>
                <c:pt idx="148">
                  <c:v>26.265250894147698</c:v>
                </c:pt>
                <c:pt idx="149">
                  <c:v>26.271917909226659</c:v>
                </c:pt>
                <c:pt idx="150">
                  <c:v>26.621612001782808</c:v>
                </c:pt>
                <c:pt idx="151">
                  <c:v>26.693510485766183</c:v>
                </c:pt>
                <c:pt idx="152">
                  <c:v>26.765371926332023</c:v>
                </c:pt>
                <c:pt idx="153">
                  <c:v>27.390191346693996</c:v>
                </c:pt>
                <c:pt idx="154">
                  <c:v>27.650441895510369</c:v>
                </c:pt>
                <c:pt idx="155">
                  <c:v>28.166506636131146</c:v>
                </c:pt>
                <c:pt idx="156">
                  <c:v>29.54258298216854</c:v>
                </c:pt>
                <c:pt idx="157">
                  <c:v>29.683299328040732</c:v>
                </c:pt>
                <c:pt idx="158">
                  <c:v>29.949380043340739</c:v>
                </c:pt>
                <c:pt idx="159">
                  <c:v>30.502070350325596</c:v>
                </c:pt>
                <c:pt idx="160">
                  <c:v>30.738129020745419</c:v>
                </c:pt>
                <c:pt idx="161">
                  <c:v>30.62839033909404</c:v>
                </c:pt>
                <c:pt idx="162">
                  <c:v>30.674551234121907</c:v>
                </c:pt>
                <c:pt idx="163">
                  <c:v>30.800782682910835</c:v>
                </c:pt>
                <c:pt idx="164">
                  <c:v>31.026417683169257</c:v>
                </c:pt>
                <c:pt idx="165">
                  <c:v>31.802150548735142</c:v>
                </c:pt>
                <c:pt idx="166">
                  <c:v>32.251360233452431</c:v>
                </c:pt>
                <c:pt idx="167">
                  <c:v>32.339259441230126</c:v>
                </c:pt>
                <c:pt idx="168">
                  <c:v>32.385477262722077</c:v>
                </c:pt>
                <c:pt idx="169">
                  <c:v>32.448776360213003</c:v>
                </c:pt>
                <c:pt idx="170">
                  <c:v>32.689419446496572</c:v>
                </c:pt>
                <c:pt idx="171">
                  <c:v>33.580525882453401</c:v>
                </c:pt>
                <c:pt idx="172">
                  <c:v>34.198137127903237</c:v>
                </c:pt>
                <c:pt idx="173">
                  <c:v>34.838218744582264</c:v>
                </c:pt>
                <c:pt idx="174">
                  <c:v>35.064234488380464</c:v>
                </c:pt>
                <c:pt idx="175">
                  <c:v>35.873378581890222</c:v>
                </c:pt>
                <c:pt idx="176">
                  <c:v>38.06537369030741</c:v>
                </c:pt>
                <c:pt idx="177">
                  <c:v>38.886407259162809</c:v>
                </c:pt>
                <c:pt idx="178">
                  <c:v>38.098607253382397</c:v>
                </c:pt>
                <c:pt idx="179">
                  <c:v>37.733744360991636</c:v>
                </c:pt>
                <c:pt idx="180">
                  <c:v>37.523000800675561</c:v>
                </c:pt>
                <c:pt idx="181">
                  <c:v>37.437017166062162</c:v>
                </c:pt>
                <c:pt idx="182">
                  <c:v>37.567414034492572</c:v>
                </c:pt>
                <c:pt idx="183">
                  <c:v>38.489269948259732</c:v>
                </c:pt>
                <c:pt idx="184">
                  <c:v>39.657413838431637</c:v>
                </c:pt>
                <c:pt idx="185">
                  <c:v>40.03088217983219</c:v>
                </c:pt>
                <c:pt idx="186">
                  <c:v>40.820795935249805</c:v>
                </c:pt>
                <c:pt idx="187">
                  <c:v>41.909466586848282</c:v>
                </c:pt>
                <c:pt idx="188">
                  <c:v>42.564633488683342</c:v>
                </c:pt>
                <c:pt idx="189">
                  <c:v>43.245630033464238</c:v>
                </c:pt>
                <c:pt idx="190">
                  <c:v>43.408873851348062</c:v>
                </c:pt>
                <c:pt idx="191">
                  <c:v>43.332805641488108</c:v>
                </c:pt>
                <c:pt idx="192">
                  <c:v>43.241171954751564</c:v>
                </c:pt>
                <c:pt idx="193">
                  <c:v>42.920546067193754</c:v>
                </c:pt>
                <c:pt idx="194">
                  <c:v>42.860834843129624</c:v>
                </c:pt>
                <c:pt idx="195">
                  <c:v>42.919841380173921</c:v>
                </c:pt>
                <c:pt idx="196">
                  <c:v>43.864913972281556</c:v>
                </c:pt>
                <c:pt idx="197">
                  <c:v>45.083753867652547</c:v>
                </c:pt>
                <c:pt idx="198">
                  <c:v>45.682608400002152</c:v>
                </c:pt>
                <c:pt idx="199">
                  <c:v>46.271459708312477</c:v>
                </c:pt>
                <c:pt idx="200">
                  <c:v>46.741000797778383</c:v>
                </c:pt>
                <c:pt idx="201">
                  <c:v>47.500546039259632</c:v>
                </c:pt>
                <c:pt idx="202">
                  <c:v>48.315467476459844</c:v>
                </c:pt>
                <c:pt idx="203">
                  <c:v>48.597383577568905</c:v>
                </c:pt>
                <c:pt idx="204">
                  <c:v>48.834109070427303</c:v>
                </c:pt>
                <c:pt idx="205">
                  <c:v>48.817294479571217</c:v>
                </c:pt>
                <c:pt idx="206">
                  <c:v>49.400845639007912</c:v>
                </c:pt>
                <c:pt idx="207">
                  <c:v>50.307366156709236</c:v>
                </c:pt>
                <c:pt idx="208">
                  <c:v>50.938009538642632</c:v>
                </c:pt>
                <c:pt idx="209">
                  <c:v>52.354357725694399</c:v>
                </c:pt>
                <c:pt idx="210">
                  <c:v>52.63258226430014</c:v>
                </c:pt>
              </c:numCache>
            </c:numRef>
          </c:val>
          <c:smooth val="0"/>
          <c:extLst>
            <c:ext xmlns:c16="http://schemas.microsoft.com/office/drawing/2014/chart" uri="{C3380CC4-5D6E-409C-BE32-E72D297353CC}">
              <c16:uniqueId val="{00000000-AE33-470E-834C-A178A05DE394}"/>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'Şekil-6'!$S$3:$S$213</c:f>
              <c:numCache>
                <c:formatCode>0.0</c:formatCode>
                <c:ptCount val="211"/>
                <c:pt idx="0">
                  <c:v>-0.42215642358064298</c:v>
                </c:pt>
                <c:pt idx="1">
                  <c:v>-0.16250779815722033</c:v>
                </c:pt>
                <c:pt idx="2">
                  <c:v>9.714543541741312E-2</c:v>
                </c:pt>
                <c:pt idx="3">
                  <c:v>0.35681005944253769</c:v>
                </c:pt>
                <c:pt idx="4">
                  <c:v>0.61649311732127487</c:v>
                </c:pt>
                <c:pt idx="5">
                  <c:v>0.87620012311086348</c:v>
                </c:pt>
                <c:pt idx="6">
                  <c:v>1.1359342205554568</c:v>
                </c:pt>
                <c:pt idx="7">
                  <c:v>1.395695446681547</c:v>
                </c:pt>
                <c:pt idx="8">
                  <c:v>1.6554785185068897</c:v>
                </c:pt>
                <c:pt idx="9">
                  <c:v>1.9152704579995756</c:v>
                </c:pt>
                <c:pt idx="10">
                  <c:v>2.1750487640772906</c:v>
                </c:pt>
                <c:pt idx="11">
                  <c:v>2.434779265619484</c:v>
                </c:pt>
                <c:pt idx="12">
                  <c:v>2.6944141854554515</c:v>
                </c:pt>
                <c:pt idx="13">
                  <c:v>2.9538898429085823</c:v>
                </c:pt>
                <c:pt idx="14">
                  <c:v>3.2131391099724982</c:v>
                </c:pt>
                <c:pt idx="15">
                  <c:v>3.4721089543754959</c:v>
                </c:pt>
                <c:pt idx="16">
                  <c:v>3.7307673958066436</c:v>
                </c:pt>
                <c:pt idx="17">
                  <c:v>3.9890803788446316</c:v>
                </c:pt>
                <c:pt idx="18">
                  <c:v>4.2469876116461052</c:v>
                </c:pt>
                <c:pt idx="19">
                  <c:v>4.5043947354484271</c:v>
                </c:pt>
                <c:pt idx="20">
                  <c:v>4.7611900500120701</c:v>
                </c:pt>
                <c:pt idx="21">
                  <c:v>5.0172565696305282</c:v>
                </c:pt>
                <c:pt idx="22">
                  <c:v>5.2724716779597403</c:v>
                </c:pt>
                <c:pt idx="23">
                  <c:v>5.5266946486570161</c:v>
                </c:pt>
                <c:pt idx="24">
                  <c:v>5.7797640052524617</c:v>
                </c:pt>
                <c:pt idx="25">
                  <c:v>6.0314974183534984</c:v>
                </c:pt>
                <c:pt idx="26">
                  <c:v>6.2817127594326276</c:v>
                </c:pt>
                <c:pt idx="27">
                  <c:v>6.5302556291190914</c:v>
                </c:pt>
                <c:pt idx="28">
                  <c:v>6.7770082904986531</c:v>
                </c:pt>
                <c:pt idx="29">
                  <c:v>7.0218665502247122</c:v>
                </c:pt>
                <c:pt idx="30">
                  <c:v>7.2647101046522593</c:v>
                </c:pt>
                <c:pt idx="31">
                  <c:v>7.505395323677714</c:v>
                </c:pt>
                <c:pt idx="32">
                  <c:v>7.7437797342567958</c:v>
                </c:pt>
                <c:pt idx="33">
                  <c:v>7.9797382925459601</c:v>
                </c:pt>
                <c:pt idx="34">
                  <c:v>8.2131618405129299</c:v>
                </c:pt>
                <c:pt idx="35">
                  <c:v>8.443934157836571</c:v>
                </c:pt>
                <c:pt idx="36">
                  <c:v>8.6719252557880502</c:v>
                </c:pt>
                <c:pt idx="37">
                  <c:v>8.8969983449899956</c:v>
                </c:pt>
                <c:pt idx="38">
                  <c:v>9.1190446183840219</c:v>
                </c:pt>
                <c:pt idx="39">
                  <c:v>9.3380040198329262</c:v>
                </c:pt>
                <c:pt idx="40">
                  <c:v>9.5538663559263011</c:v>
                </c:pt>
                <c:pt idx="41">
                  <c:v>9.7666420005735617</c:v>
                </c:pt>
                <c:pt idx="42">
                  <c:v>9.9763240646436984</c:v>
                </c:pt>
                <c:pt idx="43">
                  <c:v>10.182879036182626</c:v>
                </c:pt>
                <c:pt idx="44">
                  <c:v>10.386269846506654</c:v>
                </c:pt>
                <c:pt idx="45">
                  <c:v>10.586480408734781</c:v>
                </c:pt>
                <c:pt idx="46">
                  <c:v>10.783515769252547</c:v>
                </c:pt>
                <c:pt idx="47">
                  <c:v>10.977385860545283</c:v>
                </c:pt>
                <c:pt idx="48">
                  <c:v>11.168102072041531</c:v>
                </c:pt>
                <c:pt idx="49">
                  <c:v>11.355683623699079</c:v>
                </c:pt>
                <c:pt idx="50">
                  <c:v>11.540156774257236</c:v>
                </c:pt>
                <c:pt idx="51">
                  <c:v>11.721552903931203</c:v>
                </c:pt>
                <c:pt idx="52">
                  <c:v>11.899907928928878</c:v>
                </c:pt>
                <c:pt idx="53">
                  <c:v>12.075262696177871</c:v>
                </c:pt>
                <c:pt idx="54">
                  <c:v>12.247663428680614</c:v>
                </c:pt>
                <c:pt idx="55">
                  <c:v>12.417161501004804</c:v>
                </c:pt>
                <c:pt idx="56">
                  <c:v>12.583813399360464</c:v>
                </c:pt>
                <c:pt idx="57">
                  <c:v>12.747679467245559</c:v>
                </c:pt>
                <c:pt idx="58">
                  <c:v>12.908823291143008</c:v>
                </c:pt>
                <c:pt idx="59">
                  <c:v>13.067313053300559</c:v>
                </c:pt>
                <c:pt idx="60">
                  <c:v>13.223221573510889</c:v>
                </c:pt>
                <c:pt idx="61">
                  <c:v>13.376624495547809</c:v>
                </c:pt>
                <c:pt idx="62">
                  <c:v>13.527600016664989</c:v>
                </c:pt>
                <c:pt idx="63">
                  <c:v>13.676227418649784</c:v>
                </c:pt>
                <c:pt idx="64">
                  <c:v>13.822586410614059</c:v>
                </c:pt>
                <c:pt idx="65">
                  <c:v>13.96675626258172</c:v>
                </c:pt>
                <c:pt idx="66">
                  <c:v>14.108815669202132</c:v>
                </c:pt>
                <c:pt idx="67">
                  <c:v>14.248842957050947</c:v>
                </c:pt>
                <c:pt idx="68">
                  <c:v>14.386918029809477</c:v>
                </c:pt>
                <c:pt idx="69">
                  <c:v>14.523122319431184</c:v>
                </c:pt>
                <c:pt idx="70">
                  <c:v>14.657538270962347</c:v>
                </c:pt>
                <c:pt idx="71">
                  <c:v>14.790250151460361</c:v>
                </c:pt>
                <c:pt idx="72">
                  <c:v>14.921343625918414</c:v>
                </c:pt>
                <c:pt idx="73">
                  <c:v>15.050904144537087</c:v>
                </c:pt>
                <c:pt idx="74">
                  <c:v>15.179020877668469</c:v>
                </c:pt>
                <c:pt idx="75">
                  <c:v>15.305786088691491</c:v>
                </c:pt>
                <c:pt idx="76">
                  <c:v>15.431295248637419</c:v>
                </c:pt>
                <c:pt idx="77">
                  <c:v>15.555646231751915</c:v>
                </c:pt>
                <c:pt idx="78">
                  <c:v>15.678939334096443</c:v>
                </c:pt>
                <c:pt idx="79">
                  <c:v>15.801276495788544</c:v>
                </c:pt>
                <c:pt idx="80">
                  <c:v>15.922759961943244</c:v>
                </c:pt>
                <c:pt idx="81">
                  <c:v>16.043491109974056</c:v>
                </c:pt>
                <c:pt idx="82">
                  <c:v>16.16356984077041</c:v>
                </c:pt>
                <c:pt idx="83">
                  <c:v>16.283094816920116</c:v>
                </c:pt>
                <c:pt idx="84">
                  <c:v>16.402163378015427</c:v>
                </c:pt>
                <c:pt idx="85">
                  <c:v>16.520871626448905</c:v>
                </c:pt>
                <c:pt idx="86">
                  <c:v>16.63931312180825</c:v>
                </c:pt>
                <c:pt idx="87">
                  <c:v>16.757577974944272</c:v>
                </c:pt>
                <c:pt idx="88">
                  <c:v>16.875753166738768</c:v>
                </c:pt>
                <c:pt idx="89">
                  <c:v>16.99392391833192</c:v>
                </c:pt>
                <c:pt idx="90">
                  <c:v>17.11217480325023</c:v>
                </c:pt>
                <c:pt idx="91">
                  <c:v>17.230590386393622</c:v>
                </c:pt>
                <c:pt idx="92">
                  <c:v>17.349254333022397</c:v>
                </c:pt>
                <c:pt idx="93">
                  <c:v>17.468249089336993</c:v>
                </c:pt>
                <c:pt idx="94">
                  <c:v>17.587655948791021</c:v>
                </c:pt>
                <c:pt idx="95">
                  <c:v>17.707557964791725</c:v>
                </c:pt>
                <c:pt idx="96">
                  <c:v>17.828040571195732</c:v>
                </c:pt>
                <c:pt idx="97">
                  <c:v>17.949190325155985</c:v>
                </c:pt>
                <c:pt idx="98">
                  <c:v>18.071091832984752</c:v>
                </c:pt>
                <c:pt idx="99">
                  <c:v>18.193825553645063</c:v>
                </c:pt>
                <c:pt idx="100">
                  <c:v>18.317468146400405</c:v>
                </c:pt>
                <c:pt idx="101">
                  <c:v>18.442095283417252</c:v>
                </c:pt>
                <c:pt idx="102">
                  <c:v>18.567783558504011</c:v>
                </c:pt>
                <c:pt idx="103">
                  <c:v>18.694611438839939</c:v>
                </c:pt>
                <c:pt idx="104">
                  <c:v>18.822657496104974</c:v>
                </c:pt>
                <c:pt idx="105">
                  <c:v>18.951998862936254</c:v>
                </c:pt>
                <c:pt idx="106">
                  <c:v>19.082710582343868</c:v>
                </c:pt>
                <c:pt idx="107">
                  <c:v>19.214867335111524</c:v>
                </c:pt>
                <c:pt idx="108">
                  <c:v>19.348543889207107</c:v>
                </c:pt>
                <c:pt idx="109">
                  <c:v>19.483813368111985</c:v>
                </c:pt>
                <c:pt idx="110">
                  <c:v>19.620752369221158</c:v>
                </c:pt>
                <c:pt idx="111">
                  <c:v>19.759440096873156</c:v>
                </c:pt>
                <c:pt idx="112">
                  <c:v>19.899957462993427</c:v>
                </c:pt>
                <c:pt idx="113">
                  <c:v>20.042388053989356</c:v>
                </c:pt>
                <c:pt idx="114">
                  <c:v>20.186819034964593</c:v>
                </c:pt>
                <c:pt idx="115">
                  <c:v>20.333340587449047</c:v>
                </c:pt>
                <c:pt idx="116">
                  <c:v>20.482045021357063</c:v>
                </c:pt>
                <c:pt idx="117">
                  <c:v>20.633025754537922</c:v>
                </c:pt>
                <c:pt idx="118">
                  <c:v>20.786377298614269</c:v>
                </c:pt>
                <c:pt idx="119">
                  <c:v>20.942195706123989</c:v>
                </c:pt>
                <c:pt idx="120">
                  <c:v>21.100577988499179</c:v>
                </c:pt>
                <c:pt idx="121">
                  <c:v>21.261619750840573</c:v>
                </c:pt>
                <c:pt idx="122">
                  <c:v>21.425417621212041</c:v>
                </c:pt>
                <c:pt idx="123">
                  <c:v>21.592069278619618</c:v>
                </c:pt>
                <c:pt idx="124">
                  <c:v>21.76167401674746</c:v>
                </c:pt>
                <c:pt idx="125">
                  <c:v>21.934334172453397</c:v>
                </c:pt>
                <c:pt idx="126">
                  <c:v>22.110155971011512</c:v>
                </c:pt>
                <c:pt idx="127">
                  <c:v>22.289248881137745</c:v>
                </c:pt>
                <c:pt idx="128">
                  <c:v>22.471725443129163</c:v>
                </c:pt>
                <c:pt idx="129">
                  <c:v>22.657699904324094</c:v>
                </c:pt>
                <c:pt idx="130">
                  <c:v>22.84728703427464</c:v>
                </c:pt>
                <c:pt idx="131">
                  <c:v>23.040602233585869</c:v>
                </c:pt>
                <c:pt idx="132">
                  <c:v>23.237760504812517</c:v>
                </c:pt>
                <c:pt idx="133">
                  <c:v>23.438873894605692</c:v>
                </c:pt>
                <c:pt idx="134">
                  <c:v>23.644048851155556</c:v>
                </c:pt>
                <c:pt idx="135">
                  <c:v>23.853384977100148</c:v>
                </c:pt>
                <c:pt idx="136">
                  <c:v>24.066975275739527</c:v>
                </c:pt>
                <c:pt idx="137">
                  <c:v>24.284908713901633</c:v>
                </c:pt>
                <c:pt idx="138">
                  <c:v>24.50727132562335</c:v>
                </c:pt>
                <c:pt idx="139">
                  <c:v>24.734143982151434</c:v>
                </c:pt>
                <c:pt idx="140">
                  <c:v>24.965600427398506</c:v>
                </c:pt>
                <c:pt idx="141">
                  <c:v>25.201705945030145</c:v>
                </c:pt>
                <c:pt idx="142">
                  <c:v>25.442517102194323</c:v>
                </c:pt>
                <c:pt idx="143">
                  <c:v>25.688083968652773</c:v>
                </c:pt>
                <c:pt idx="144">
                  <c:v>25.938449710198615</c:v>
                </c:pt>
                <c:pt idx="145">
                  <c:v>26.19364849584181</c:v>
                </c:pt>
                <c:pt idx="146">
                  <c:v>26.453708497427524</c:v>
                </c:pt>
                <c:pt idx="147">
                  <c:v>26.718649288171175</c:v>
                </c:pt>
                <c:pt idx="148">
                  <c:v>26.988480820588297</c:v>
                </c:pt>
                <c:pt idx="149">
                  <c:v>27.263205811345149</c:v>
                </c:pt>
                <c:pt idx="150">
                  <c:v>27.54282139663016</c:v>
                </c:pt>
                <c:pt idx="151">
                  <c:v>27.827317063805349</c:v>
                </c:pt>
                <c:pt idx="152">
                  <c:v>28.11667519213556</c:v>
                </c:pt>
                <c:pt idx="153">
                  <c:v>28.410869412378091</c:v>
                </c:pt>
                <c:pt idx="154">
                  <c:v>28.709862928567503</c:v>
                </c:pt>
                <c:pt idx="155">
                  <c:v>29.013611069135997</c:v>
                </c:pt>
                <c:pt idx="156">
                  <c:v>29.322060987970765</c:v>
                </c:pt>
                <c:pt idx="157">
                  <c:v>29.635153302659358</c:v>
                </c:pt>
                <c:pt idx="158">
                  <c:v>29.952830332347911</c:v>
                </c:pt>
                <c:pt idx="159">
                  <c:v>30.275034767679681</c:v>
                </c:pt>
                <c:pt idx="160">
                  <c:v>30.601709272675315</c:v>
                </c:pt>
                <c:pt idx="161">
                  <c:v>30.932798263173233</c:v>
                </c:pt>
                <c:pt idx="162">
                  <c:v>31.268247207633365</c:v>
                </c:pt>
                <c:pt idx="163">
                  <c:v>31.60799922568906</c:v>
                </c:pt>
                <c:pt idx="164">
                  <c:v>31.951992855986216</c:v>
                </c:pt>
                <c:pt idx="165">
                  <c:v>32.300160408648033</c:v>
                </c:pt>
                <c:pt idx="166">
                  <c:v>32.652427052013969</c:v>
                </c:pt>
                <c:pt idx="167">
                  <c:v>33.008714111754813</c:v>
                </c:pt>
                <c:pt idx="168">
                  <c:v>33.368939818889963</c:v>
                </c:pt>
                <c:pt idx="169">
                  <c:v>33.733017238893531</c:v>
                </c:pt>
                <c:pt idx="170">
                  <c:v>34.10085184879398</c:v>
                </c:pt>
                <c:pt idx="171">
                  <c:v>34.472339216353738</c:v>
                </c:pt>
                <c:pt idx="172">
                  <c:v>34.84736401865311</c:v>
                </c:pt>
                <c:pt idx="173">
                  <c:v>35.225804051496674</c:v>
                </c:pt>
                <c:pt idx="174">
                  <c:v>35.607532101222247</c:v>
                </c:pt>
                <c:pt idx="175">
                  <c:v>35.992417963540291</c:v>
                </c:pt>
                <c:pt idx="176">
                  <c:v>36.380327242050051</c:v>
                </c:pt>
                <c:pt idx="177">
                  <c:v>36.771124621837032</c:v>
                </c:pt>
                <c:pt idx="178">
                  <c:v>37.164687789888355</c:v>
                </c:pt>
                <c:pt idx="179">
                  <c:v>37.560910754816426</c:v>
                </c:pt>
                <c:pt idx="180">
                  <c:v>37.959694731402358</c:v>
                </c:pt>
                <c:pt idx="181">
                  <c:v>38.360942268019912</c:v>
                </c:pt>
                <c:pt idx="182">
                  <c:v>38.764552543490908</c:v>
                </c:pt>
                <c:pt idx="183">
                  <c:v>39.170417607585463</c:v>
                </c:pt>
                <c:pt idx="184">
                  <c:v>39.57842027289383</c:v>
                </c:pt>
                <c:pt idx="185">
                  <c:v>39.988438096237296</c:v>
                </c:pt>
                <c:pt idx="186">
                  <c:v>40.400349243955397</c:v>
                </c:pt>
                <c:pt idx="187">
                  <c:v>40.81403220988831</c:v>
                </c:pt>
                <c:pt idx="188">
                  <c:v>41.229368732063655</c:v>
                </c:pt>
                <c:pt idx="189">
                  <c:v>41.646249000934802</c:v>
                </c:pt>
                <c:pt idx="190">
                  <c:v>42.064573509923918</c:v>
                </c:pt>
                <c:pt idx="191">
                  <c:v>42.48425509335619</c:v>
                </c:pt>
                <c:pt idx="192">
                  <c:v>42.905216958244623</c:v>
                </c:pt>
                <c:pt idx="193">
                  <c:v>43.32738885906015</c:v>
                </c:pt>
                <c:pt idx="194">
                  <c:v>43.750703142519043</c:v>
                </c:pt>
                <c:pt idx="195">
                  <c:v>44.175089016118498</c:v>
                </c:pt>
                <c:pt idx="196">
                  <c:v>44.600468821087951</c:v>
                </c:pt>
                <c:pt idx="197">
                  <c:v>45.026755213104096</c:v>
                </c:pt>
                <c:pt idx="198">
                  <c:v>45.453855172266088</c:v>
                </c:pt>
                <c:pt idx="199">
                  <c:v>45.881676118477536</c:v>
                </c:pt>
                <c:pt idx="200">
                  <c:v>46.310127236713235</c:v>
                </c:pt>
                <c:pt idx="201">
                  <c:v>46.739120719537389</c:v>
                </c:pt>
                <c:pt idx="202">
                  <c:v>47.168572084155883</c:v>
                </c:pt>
                <c:pt idx="203">
                  <c:v>47.598402722969972</c:v>
                </c:pt>
                <c:pt idx="204">
                  <c:v>48.028542877882387</c:v>
                </c:pt>
                <c:pt idx="205">
                  <c:v>48.458930498981481</c:v>
                </c:pt>
                <c:pt idx="206">
                  <c:v>48.889509752144122</c:v>
                </c:pt>
                <c:pt idx="207">
                  <c:v>49.32022756840135</c:v>
                </c:pt>
                <c:pt idx="208">
                  <c:v>49.751034824277163</c:v>
                </c:pt>
                <c:pt idx="209">
                  <c:v>50.181890013105651</c:v>
                </c:pt>
                <c:pt idx="210">
                  <c:v>50.612760786976402</c:v>
                </c:pt>
              </c:numCache>
            </c:numRef>
          </c:val>
          <c:smooth val="0"/>
          <c:extLst>
            <c:ext xmlns:c16="http://schemas.microsoft.com/office/drawing/2014/chart" uri="{C3380CC4-5D6E-409C-BE32-E72D297353CC}">
              <c16:uniqueId val="{00000001-AE33-470E-834C-A178A05DE394}"/>
            </c:ext>
          </c:extLst>
        </c:ser>
        <c:dLbls>
          <c:showLegendKey val="0"/>
          <c:showVal val="0"/>
          <c:showCatName val="0"/>
          <c:showSerName val="0"/>
          <c:showPercent val="0"/>
          <c:showBubbleSize val="0"/>
        </c:dLbls>
        <c:smooth val="0"/>
        <c:axId val="265120384"/>
        <c:axId val="265126272"/>
      </c:lineChart>
      <c:dateAx>
        <c:axId val="265120384"/>
        <c:scaling>
          <c:orientation val="minMax"/>
        </c:scaling>
        <c:delete val="0"/>
        <c:axPos val="b"/>
        <c:numFmt formatCode="[$-409]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126272"/>
        <c:crosses val="autoZero"/>
        <c:auto val="1"/>
        <c:lblOffset val="100"/>
        <c:baseTimeUnit val="months"/>
        <c:majorUnit val="10"/>
        <c:majorTimeUnit val="months"/>
      </c:dateAx>
      <c:valAx>
        <c:axId val="265126272"/>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1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q2-q10</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861E-4633-8AD6-F3DDA67B3227}"/>
              </c:ext>
            </c:extLst>
          </c:dPt>
          <c:dPt>
            <c:idx val="1"/>
            <c:invertIfNegative val="0"/>
            <c:bubble3D val="0"/>
            <c:spPr>
              <a:solidFill>
                <a:srgbClr val="FF0000"/>
              </a:solidFill>
              <a:ln>
                <a:noFill/>
              </a:ln>
              <a:effectLst/>
            </c:spPr>
            <c:extLst>
              <c:ext xmlns:c16="http://schemas.microsoft.com/office/drawing/2014/chart" uri="{C3380CC4-5D6E-409C-BE32-E72D297353CC}">
                <c16:uniqueId val="{00000003-861E-4633-8AD6-F3DDA67B3227}"/>
              </c:ext>
            </c:extLst>
          </c:dPt>
          <c:dPt>
            <c:idx val="3"/>
            <c:invertIfNegative val="0"/>
            <c:bubble3D val="0"/>
            <c:spPr>
              <a:solidFill>
                <a:srgbClr val="FF0000"/>
              </a:solidFill>
              <a:ln>
                <a:noFill/>
              </a:ln>
              <a:effectLst/>
            </c:spPr>
            <c:extLst>
              <c:ext xmlns:c16="http://schemas.microsoft.com/office/drawing/2014/chart" uri="{C3380CC4-5D6E-409C-BE32-E72D297353CC}">
                <c16:uniqueId val="{00000005-861E-4633-8AD6-F3DDA67B3227}"/>
              </c:ext>
            </c:extLst>
          </c:dPt>
          <c:dPt>
            <c:idx val="7"/>
            <c:invertIfNegative val="0"/>
            <c:bubble3D val="0"/>
            <c:spPr>
              <a:solidFill>
                <a:srgbClr val="FF0000"/>
              </a:solidFill>
              <a:ln>
                <a:noFill/>
              </a:ln>
              <a:effectLst/>
            </c:spPr>
            <c:extLst>
              <c:ext xmlns:c16="http://schemas.microsoft.com/office/drawing/2014/chart" uri="{C3380CC4-5D6E-409C-BE32-E72D297353CC}">
                <c16:uniqueId val="{00000007-861E-4633-8AD6-F3DDA67B3227}"/>
              </c:ext>
            </c:extLst>
          </c:dPt>
          <c:dLbls>
            <c:dLbl>
              <c:idx val="6"/>
              <c:layout>
                <c:manualLayout>
                  <c:x val="-2.777777777777777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1E-4633-8AD6-F3DDA67B32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'Şekil-2'!$AG$45:$AJ$56</c:f>
              <c:strCache>
                <c:ptCount val="12"/>
                <c:pt idx="0">
                  <c:v>Food and non-alcoholic beverages</c:v>
                </c:pt>
                <c:pt idx="1">
                  <c:v>Alcoholic beverages, cigarette </c:v>
                </c:pt>
                <c:pt idx="2">
                  <c:v>Clothing and foot wear </c:v>
                </c:pt>
                <c:pt idx="3">
                  <c:v>Housing and rent</c:v>
                </c:pt>
                <c:pt idx="4">
                  <c:v>Furniture, house appliances</c:v>
                </c:pt>
                <c:pt idx="5">
                  <c:v>Health</c:v>
                </c:pt>
                <c:pt idx="6">
                  <c:v>Transportation</c:v>
                </c:pt>
                <c:pt idx="7">
                  <c:v>Communication</c:v>
                </c:pt>
                <c:pt idx="8">
                  <c:v>Entertainment and culture</c:v>
                </c:pt>
                <c:pt idx="9">
                  <c:v>Educational services</c:v>
                </c:pt>
                <c:pt idx="10">
                  <c:v>Restaurant and food services, hotels</c:v>
                </c:pt>
                <c:pt idx="11">
                  <c:v>Various goods and services</c:v>
                </c:pt>
              </c:strCache>
            </c:strRef>
          </c:cat>
          <c:val>
            <c:numRef>
              <c:f>'Şekil-2'!$AQ$45:$AQ$56</c:f>
              <c:numCache>
                <c:formatCode>0.0</c:formatCode>
                <c:ptCount val="12"/>
                <c:pt idx="0">
                  <c:v>124.0980079973599</c:v>
                </c:pt>
                <c:pt idx="1">
                  <c:v>12.368023687888284</c:v>
                </c:pt>
                <c:pt idx="2">
                  <c:v>-11.835590122947618</c:v>
                </c:pt>
                <c:pt idx="3">
                  <c:v>138.43147406467841</c:v>
                </c:pt>
                <c:pt idx="4">
                  <c:v>-13.433804750758618</c:v>
                </c:pt>
                <c:pt idx="5">
                  <c:v>-4.6149365461043121</c:v>
                </c:pt>
                <c:pt idx="6">
                  <c:v>-128.67632956947705</c:v>
                </c:pt>
                <c:pt idx="7">
                  <c:v>4.252457040364348</c:v>
                </c:pt>
                <c:pt idx="8">
                  <c:v>-16.565986554431351</c:v>
                </c:pt>
                <c:pt idx="9">
                  <c:v>-25.701775106227242</c:v>
                </c:pt>
                <c:pt idx="10">
                  <c:v>-10.04757445301723</c:v>
                </c:pt>
                <c:pt idx="11">
                  <c:v>-29.28218493679686</c:v>
                </c:pt>
              </c:numCache>
            </c:numRef>
          </c:val>
          <c:extLst>
            <c:ext xmlns:c16="http://schemas.microsoft.com/office/drawing/2014/chart" uri="{C3380CC4-5D6E-409C-BE32-E72D297353CC}">
              <c16:uniqueId val="{00000009-861E-4633-8AD6-F3DDA67B3227}"/>
            </c:ext>
          </c:extLst>
        </c:ser>
        <c:dLbls>
          <c:showLegendKey val="0"/>
          <c:showVal val="0"/>
          <c:showCatName val="0"/>
          <c:showSerName val="0"/>
          <c:showPercent val="0"/>
          <c:showBubbleSize val="0"/>
        </c:dLbls>
        <c:gapWidth val="182"/>
        <c:axId val="265143424"/>
        <c:axId val="265144960"/>
      </c:barChart>
      <c:catAx>
        <c:axId val="26514342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144960"/>
        <c:crosses val="autoZero"/>
        <c:auto val="1"/>
        <c:lblAlgn val="ctr"/>
        <c:lblOffset val="100"/>
        <c:noMultiLvlLbl val="0"/>
      </c:catAx>
      <c:valAx>
        <c:axId val="265144960"/>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14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q2-q10</a:t>
            </a:r>
            <a:endParaRPr lang="en-GB"/>
          </a:p>
        </c:rich>
      </c:tx>
      <c:overlay val="0"/>
      <c:spPr>
        <a:noFill/>
        <a:ln>
          <a:noFill/>
        </a:ln>
        <a:effectLst/>
      </c:spPr>
    </c:title>
    <c:autoTitleDeleted val="0"/>
    <c:plotArea>
      <c:layout/>
      <c:lineChart>
        <c:grouping val="standard"/>
        <c:varyColors val="0"/>
        <c:ser>
          <c:idx val="0"/>
          <c:order val="0"/>
          <c:tx>
            <c:v>Inflation difference between q2 and q10</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'Şekil-6'!$AA$3:$AA$213</c:f>
              <c:numCache>
                <c:formatCode>0.0</c:formatCode>
                <c:ptCount val="211"/>
                <c:pt idx="0">
                  <c:v>0.10197362245823172</c:v>
                </c:pt>
                <c:pt idx="1">
                  <c:v>0.43206838275844461</c:v>
                </c:pt>
                <c:pt idx="2">
                  <c:v>1.1716319673564044</c:v>
                </c:pt>
                <c:pt idx="3">
                  <c:v>1.0795040638572857</c:v>
                </c:pt>
                <c:pt idx="4">
                  <c:v>0.28994934094924929</c:v>
                </c:pt>
                <c:pt idx="5">
                  <c:v>-0.69585366065992105</c:v>
                </c:pt>
                <c:pt idx="6">
                  <c:v>-0.75332382755301808</c:v>
                </c:pt>
                <c:pt idx="7">
                  <c:v>-0.98404597584976727</c:v>
                </c:pt>
                <c:pt idx="8">
                  <c:v>-1.3008887996181073</c:v>
                </c:pt>
                <c:pt idx="9">
                  <c:v>-1.2513482312180457</c:v>
                </c:pt>
                <c:pt idx="10">
                  <c:v>-1.4008541822236538</c:v>
                </c:pt>
                <c:pt idx="11">
                  <c:v>-1.1895123480658043</c:v>
                </c:pt>
                <c:pt idx="12">
                  <c:v>-1.0372638124951408</c:v>
                </c:pt>
                <c:pt idx="13">
                  <c:v>-0.57751298944019425</c:v>
                </c:pt>
                <c:pt idx="14">
                  <c:v>-0.58114265680725907</c:v>
                </c:pt>
                <c:pt idx="15">
                  <c:v>-1.5763943293207916</c:v>
                </c:pt>
                <c:pt idx="16">
                  <c:v>-2.0628519213241816</c:v>
                </c:pt>
                <c:pt idx="17">
                  <c:v>-3.026960925914949</c:v>
                </c:pt>
                <c:pt idx="18">
                  <c:v>-3.2320423375551286</c:v>
                </c:pt>
                <c:pt idx="19">
                  <c:v>-2.8414118589097086</c:v>
                </c:pt>
                <c:pt idx="20">
                  <c:v>-2.7585516297077106</c:v>
                </c:pt>
                <c:pt idx="21">
                  <c:v>-2.4074345115317755</c:v>
                </c:pt>
                <c:pt idx="22">
                  <c:v>-1.2964710683602192</c:v>
                </c:pt>
                <c:pt idx="23">
                  <c:v>-1.2434992684788568</c:v>
                </c:pt>
                <c:pt idx="24">
                  <c:v>-0.83225793256050906</c:v>
                </c:pt>
                <c:pt idx="25">
                  <c:v>0.17470658268123884</c:v>
                </c:pt>
                <c:pt idx="26">
                  <c:v>0.6541691360701094</c:v>
                </c:pt>
                <c:pt idx="27">
                  <c:v>3.9664831506883047E-2</c:v>
                </c:pt>
                <c:pt idx="28">
                  <c:v>-0.75285916691692023</c:v>
                </c:pt>
                <c:pt idx="29">
                  <c:v>-2.4364438419679004</c:v>
                </c:pt>
                <c:pt idx="30">
                  <c:v>-2.7033878002897325</c:v>
                </c:pt>
                <c:pt idx="31">
                  <c:v>-2.8058037068854844</c:v>
                </c:pt>
                <c:pt idx="32">
                  <c:v>-1.6375759711434057</c:v>
                </c:pt>
                <c:pt idx="33">
                  <c:v>-1.5643587362610276</c:v>
                </c:pt>
                <c:pt idx="34">
                  <c:v>-0.62620119970986821</c:v>
                </c:pt>
                <c:pt idx="35">
                  <c:v>-0.42555984653790802</c:v>
                </c:pt>
                <c:pt idx="36">
                  <c:v>1.1281627180721046</c:v>
                </c:pt>
                <c:pt idx="37">
                  <c:v>1.8134990332111443</c:v>
                </c:pt>
                <c:pt idx="38">
                  <c:v>2.0396532825737381</c:v>
                </c:pt>
                <c:pt idx="39">
                  <c:v>1.6773990543145487</c:v>
                </c:pt>
                <c:pt idx="40">
                  <c:v>0.67512948419397389</c:v>
                </c:pt>
                <c:pt idx="41">
                  <c:v>-4.1882341459483996E-2</c:v>
                </c:pt>
                <c:pt idx="42">
                  <c:v>0.15774195428173243</c:v>
                </c:pt>
                <c:pt idx="43">
                  <c:v>0.99250093832918651</c:v>
                </c:pt>
                <c:pt idx="44">
                  <c:v>1.4510625421275734</c:v>
                </c:pt>
                <c:pt idx="45">
                  <c:v>2.1671125202453254</c:v>
                </c:pt>
                <c:pt idx="46">
                  <c:v>2.4620735576458515</c:v>
                </c:pt>
                <c:pt idx="47">
                  <c:v>2.8421646803688247</c:v>
                </c:pt>
                <c:pt idx="48">
                  <c:v>4.2624917389951236</c:v>
                </c:pt>
                <c:pt idx="49">
                  <c:v>5.9366233104037747</c:v>
                </c:pt>
                <c:pt idx="50">
                  <c:v>5.7258737585906943</c:v>
                </c:pt>
                <c:pt idx="51">
                  <c:v>5.0097102281870605</c:v>
                </c:pt>
                <c:pt idx="52">
                  <c:v>4.093157709882945</c:v>
                </c:pt>
                <c:pt idx="53">
                  <c:v>2.4661891710808277</c:v>
                </c:pt>
                <c:pt idx="54">
                  <c:v>4.0010705672216318</c:v>
                </c:pt>
                <c:pt idx="55">
                  <c:v>5.2226994855742532</c:v>
                </c:pt>
                <c:pt idx="56">
                  <c:v>5.258339858999733</c:v>
                </c:pt>
                <c:pt idx="57">
                  <c:v>7.0505276752503221</c:v>
                </c:pt>
                <c:pt idx="58">
                  <c:v>7.9723920697435062</c:v>
                </c:pt>
                <c:pt idx="59">
                  <c:v>8.8540960051694526</c:v>
                </c:pt>
                <c:pt idx="60">
                  <c:v>9.3254957869956741</c:v>
                </c:pt>
                <c:pt idx="61">
                  <c:v>8.7240762703028452</c:v>
                </c:pt>
                <c:pt idx="62">
                  <c:v>10.884447202301459</c:v>
                </c:pt>
                <c:pt idx="63">
                  <c:v>10.748691657989156</c:v>
                </c:pt>
                <c:pt idx="64">
                  <c:v>9.5619955259840026</c:v>
                </c:pt>
                <c:pt idx="65">
                  <c:v>8.3139859946170134</c:v>
                </c:pt>
                <c:pt idx="66">
                  <c:v>8.7788797016381181</c:v>
                </c:pt>
                <c:pt idx="67">
                  <c:v>8.2596835189527837</c:v>
                </c:pt>
                <c:pt idx="68">
                  <c:v>8.1047608033322263</c:v>
                </c:pt>
                <c:pt idx="69">
                  <c:v>8.3992141697084719</c:v>
                </c:pt>
                <c:pt idx="70">
                  <c:v>8.6190847689961174</c:v>
                </c:pt>
                <c:pt idx="71">
                  <c:v>9.67029780031001</c:v>
                </c:pt>
                <c:pt idx="72">
                  <c:v>11.149998903734343</c:v>
                </c:pt>
                <c:pt idx="73">
                  <c:v>13.340327628161702</c:v>
                </c:pt>
                <c:pt idx="74">
                  <c:v>13.297672834830763</c:v>
                </c:pt>
                <c:pt idx="75">
                  <c:v>12.891112648342528</c:v>
                </c:pt>
                <c:pt idx="76">
                  <c:v>10.780138201813884</c:v>
                </c:pt>
                <c:pt idx="77">
                  <c:v>10.076687816236131</c:v>
                </c:pt>
                <c:pt idx="78">
                  <c:v>10.021668547363504</c:v>
                </c:pt>
                <c:pt idx="79">
                  <c:v>11.34598868519717</c:v>
                </c:pt>
                <c:pt idx="80">
                  <c:v>12.854900118123794</c:v>
                </c:pt>
                <c:pt idx="81">
                  <c:v>14.055688454003501</c:v>
                </c:pt>
                <c:pt idx="82">
                  <c:v>13.22005393555736</c:v>
                </c:pt>
                <c:pt idx="83">
                  <c:v>12.229851373202166</c:v>
                </c:pt>
                <c:pt idx="84">
                  <c:v>12.33216571687538</c:v>
                </c:pt>
                <c:pt idx="85">
                  <c:v>12.503562693988187</c:v>
                </c:pt>
                <c:pt idx="86">
                  <c:v>11.643613531093536</c:v>
                </c:pt>
                <c:pt idx="87">
                  <c:v>10.73325050897688</c:v>
                </c:pt>
                <c:pt idx="88">
                  <c:v>11.765402272720337</c:v>
                </c:pt>
                <c:pt idx="89">
                  <c:v>9.0353579847594006</c:v>
                </c:pt>
                <c:pt idx="90">
                  <c:v>8.2597483558288047</c:v>
                </c:pt>
                <c:pt idx="91">
                  <c:v>7.7943072793497095</c:v>
                </c:pt>
                <c:pt idx="92">
                  <c:v>7.2269560193662983</c:v>
                </c:pt>
                <c:pt idx="93">
                  <c:v>10.363100067024419</c:v>
                </c:pt>
                <c:pt idx="94">
                  <c:v>11.973703404791792</c:v>
                </c:pt>
                <c:pt idx="95">
                  <c:v>12.859568524009291</c:v>
                </c:pt>
                <c:pt idx="96">
                  <c:v>12.894334269626768</c:v>
                </c:pt>
                <c:pt idx="97">
                  <c:v>13.989066817776916</c:v>
                </c:pt>
                <c:pt idx="98">
                  <c:v>13.409519184382788</c:v>
                </c:pt>
                <c:pt idx="99">
                  <c:v>13.866805309947011</c:v>
                </c:pt>
                <c:pt idx="100">
                  <c:v>12.932761995379593</c:v>
                </c:pt>
                <c:pt idx="101">
                  <c:v>11.983269361229446</c:v>
                </c:pt>
                <c:pt idx="102">
                  <c:v>11.872700147576097</c:v>
                </c:pt>
                <c:pt idx="103">
                  <c:v>12.082651538913296</c:v>
                </c:pt>
                <c:pt idx="104">
                  <c:v>12.620343253402353</c:v>
                </c:pt>
                <c:pt idx="105">
                  <c:v>13.522365904019807</c:v>
                </c:pt>
                <c:pt idx="106">
                  <c:v>13.858620073692407</c:v>
                </c:pt>
                <c:pt idx="107">
                  <c:v>14.835053715132318</c:v>
                </c:pt>
                <c:pt idx="108">
                  <c:v>18.196101107857459</c:v>
                </c:pt>
                <c:pt idx="109">
                  <c:v>18.2637908376268</c:v>
                </c:pt>
                <c:pt idx="110">
                  <c:v>19.191020287360658</c:v>
                </c:pt>
                <c:pt idx="111">
                  <c:v>18.352222250070184</c:v>
                </c:pt>
                <c:pt idx="112">
                  <c:v>16.702757818152151</c:v>
                </c:pt>
                <c:pt idx="113">
                  <c:v>16.695075867726246</c:v>
                </c:pt>
                <c:pt idx="114">
                  <c:v>16.008364495584487</c:v>
                </c:pt>
                <c:pt idx="115">
                  <c:v>15.412281365858291</c:v>
                </c:pt>
                <c:pt idx="116">
                  <c:v>14.777419504993873</c:v>
                </c:pt>
                <c:pt idx="117">
                  <c:v>15.875869114732808</c:v>
                </c:pt>
                <c:pt idx="118">
                  <c:v>15.168062402873517</c:v>
                </c:pt>
                <c:pt idx="119">
                  <c:v>15.490787360175091</c:v>
                </c:pt>
                <c:pt idx="120">
                  <c:v>17.092944022380749</c:v>
                </c:pt>
                <c:pt idx="121">
                  <c:v>16.12389155652312</c:v>
                </c:pt>
                <c:pt idx="122">
                  <c:v>16.390880167793711</c:v>
                </c:pt>
                <c:pt idx="123">
                  <c:v>16.758059896581756</c:v>
                </c:pt>
                <c:pt idx="124">
                  <c:v>15.968475831672095</c:v>
                </c:pt>
                <c:pt idx="125">
                  <c:v>15.779438749421814</c:v>
                </c:pt>
                <c:pt idx="126">
                  <c:v>15.859558243988147</c:v>
                </c:pt>
                <c:pt idx="127">
                  <c:v>16.575435736870105</c:v>
                </c:pt>
                <c:pt idx="128">
                  <c:v>16.737474926042637</c:v>
                </c:pt>
                <c:pt idx="129">
                  <c:v>19.058379585433471</c:v>
                </c:pt>
                <c:pt idx="130">
                  <c:v>20.169051484914689</c:v>
                </c:pt>
                <c:pt idx="131">
                  <c:v>21.449728516113424</c:v>
                </c:pt>
                <c:pt idx="132">
                  <c:v>24.251800986030275</c:v>
                </c:pt>
                <c:pt idx="133">
                  <c:v>25.20180684275951</c:v>
                </c:pt>
                <c:pt idx="134">
                  <c:v>26.274627199162893</c:v>
                </c:pt>
                <c:pt idx="135">
                  <c:v>26.277133791557532</c:v>
                </c:pt>
                <c:pt idx="136">
                  <c:v>23.05616322756228</c:v>
                </c:pt>
                <c:pt idx="137">
                  <c:v>21.260077778163861</c:v>
                </c:pt>
                <c:pt idx="138">
                  <c:v>21.581041154608073</c:v>
                </c:pt>
                <c:pt idx="139">
                  <c:v>22.566529499440435</c:v>
                </c:pt>
                <c:pt idx="140">
                  <c:v>22.241279259557189</c:v>
                </c:pt>
                <c:pt idx="141">
                  <c:v>21.389015258914355</c:v>
                </c:pt>
                <c:pt idx="142">
                  <c:v>22.439879366293098</c:v>
                </c:pt>
                <c:pt idx="143">
                  <c:v>23.815254356199375</c:v>
                </c:pt>
                <c:pt idx="144">
                  <c:v>28.52807242442276</c:v>
                </c:pt>
                <c:pt idx="145">
                  <c:v>28.367328526136703</c:v>
                </c:pt>
                <c:pt idx="146">
                  <c:v>26.892125033319701</c:v>
                </c:pt>
                <c:pt idx="147">
                  <c:v>25.264059144896919</c:v>
                </c:pt>
                <c:pt idx="148">
                  <c:v>23.296919463519203</c:v>
                </c:pt>
                <c:pt idx="149">
                  <c:v>23.671686134128663</c:v>
                </c:pt>
                <c:pt idx="150">
                  <c:v>26.191696538835231</c:v>
                </c:pt>
                <c:pt idx="151">
                  <c:v>25.433213393547987</c:v>
                </c:pt>
                <c:pt idx="152">
                  <c:v>23.315540532023704</c:v>
                </c:pt>
                <c:pt idx="153">
                  <c:v>22.329530686252895</c:v>
                </c:pt>
                <c:pt idx="154">
                  <c:v>21.851400883567862</c:v>
                </c:pt>
                <c:pt idx="155">
                  <c:v>23.623905600872433</c:v>
                </c:pt>
                <c:pt idx="156">
                  <c:v>26.819802528101604</c:v>
                </c:pt>
                <c:pt idx="157">
                  <c:v>26.00824618763221</c:v>
                </c:pt>
                <c:pt idx="158">
                  <c:v>26.804096976178016</c:v>
                </c:pt>
                <c:pt idx="159">
                  <c:v>26.315311834037971</c:v>
                </c:pt>
                <c:pt idx="160">
                  <c:v>26.238219678941164</c:v>
                </c:pt>
                <c:pt idx="161">
                  <c:v>26.193167409083287</c:v>
                </c:pt>
                <c:pt idx="162">
                  <c:v>25.018227680345092</c:v>
                </c:pt>
                <c:pt idx="163">
                  <c:v>23.35646097495669</c:v>
                </c:pt>
                <c:pt idx="164">
                  <c:v>21.915360331698707</c:v>
                </c:pt>
                <c:pt idx="165">
                  <c:v>20.858388837613688</c:v>
                </c:pt>
                <c:pt idx="166">
                  <c:v>20.944862035769802</c:v>
                </c:pt>
                <c:pt idx="167">
                  <c:v>21.195092847195269</c:v>
                </c:pt>
                <c:pt idx="168">
                  <c:v>23.133978830257718</c:v>
                </c:pt>
                <c:pt idx="169">
                  <c:v>24.488917523023588</c:v>
                </c:pt>
                <c:pt idx="170">
                  <c:v>25.167993324010013</c:v>
                </c:pt>
                <c:pt idx="171">
                  <c:v>21.952882235627158</c:v>
                </c:pt>
                <c:pt idx="172">
                  <c:v>20.808135756035711</c:v>
                </c:pt>
                <c:pt idx="173">
                  <c:v>22.683238961953066</c:v>
                </c:pt>
                <c:pt idx="174">
                  <c:v>22.027216289710054</c:v>
                </c:pt>
                <c:pt idx="175">
                  <c:v>19.540606027497347</c:v>
                </c:pt>
                <c:pt idx="176">
                  <c:v>16.725056419662167</c:v>
                </c:pt>
                <c:pt idx="177">
                  <c:v>22.750558098660292</c:v>
                </c:pt>
                <c:pt idx="178">
                  <c:v>29.87853825524229</c:v>
                </c:pt>
                <c:pt idx="179">
                  <c:v>33.229613485345055</c:v>
                </c:pt>
                <c:pt idx="180">
                  <c:v>33.826624225280625</c:v>
                </c:pt>
                <c:pt idx="181">
                  <c:v>34.100426155686137</c:v>
                </c:pt>
                <c:pt idx="182">
                  <c:v>35.32822290811697</c:v>
                </c:pt>
                <c:pt idx="183">
                  <c:v>35.094709520620086</c:v>
                </c:pt>
                <c:pt idx="184">
                  <c:v>32.191000223380229</c:v>
                </c:pt>
                <c:pt idx="185">
                  <c:v>29.611215022375291</c:v>
                </c:pt>
                <c:pt idx="186">
                  <c:v>26.675749620505655</c:v>
                </c:pt>
                <c:pt idx="187">
                  <c:v>30.998644542958175</c:v>
                </c:pt>
                <c:pt idx="188">
                  <c:v>30.363694888531711</c:v>
                </c:pt>
                <c:pt idx="189">
                  <c:v>33.377795876928019</c:v>
                </c:pt>
                <c:pt idx="190">
                  <c:v>33.431762261206188</c:v>
                </c:pt>
                <c:pt idx="191">
                  <c:v>35.89647710964681</c:v>
                </c:pt>
                <c:pt idx="192">
                  <c:v>38.544979018514937</c:v>
                </c:pt>
                <c:pt idx="193">
                  <c:v>41.604692451533481</c:v>
                </c:pt>
                <c:pt idx="194">
                  <c:v>45.01827425330373</c:v>
                </c:pt>
                <c:pt idx="195">
                  <c:v>47.503781925788985</c:v>
                </c:pt>
                <c:pt idx="196">
                  <c:v>43.677138669599401</c:v>
                </c:pt>
                <c:pt idx="197">
                  <c:v>36.910362306443517</c:v>
                </c:pt>
                <c:pt idx="198">
                  <c:v>32.886387369636736</c:v>
                </c:pt>
                <c:pt idx="199">
                  <c:v>30.515020968731051</c:v>
                </c:pt>
                <c:pt idx="200">
                  <c:v>29.578850557999658</c:v>
                </c:pt>
                <c:pt idx="201">
                  <c:v>31.332819879942917</c:v>
                </c:pt>
                <c:pt idx="202">
                  <c:v>31.077444796630971</c:v>
                </c:pt>
                <c:pt idx="203">
                  <c:v>31.676083941719469</c:v>
                </c:pt>
                <c:pt idx="204">
                  <c:v>34.450946375889998</c:v>
                </c:pt>
                <c:pt idx="205">
                  <c:v>37.988549768776807</c:v>
                </c:pt>
                <c:pt idx="206">
                  <c:v>38.07881317063709</c:v>
                </c:pt>
                <c:pt idx="207">
                  <c:v>37.650349384225819</c:v>
                </c:pt>
                <c:pt idx="208">
                  <c:v>35.114600985156926</c:v>
                </c:pt>
                <c:pt idx="209">
                  <c:v>30.986258302079023</c:v>
                </c:pt>
                <c:pt idx="210">
                  <c:v>38.991780750530779</c:v>
                </c:pt>
              </c:numCache>
            </c:numRef>
          </c:val>
          <c:smooth val="0"/>
          <c:extLst>
            <c:ext xmlns:c16="http://schemas.microsoft.com/office/drawing/2014/chart" uri="{C3380CC4-5D6E-409C-BE32-E72D297353CC}">
              <c16:uniqueId val="{00000000-A2EA-45B3-8282-66ED81020878}"/>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'Şekil-6'!$AB$3:$AB$213</c:f>
              <c:numCache>
                <c:formatCode>0.0</c:formatCode>
                <c:ptCount val="211"/>
                <c:pt idx="0">
                  <c:v>-2.7141578181841792</c:v>
                </c:pt>
                <c:pt idx="1">
                  <c:v>-2.6165345996640199</c:v>
                </c:pt>
                <c:pt idx="2">
                  <c:v>-2.5188896517345967</c:v>
                </c:pt>
                <c:pt idx="3">
                  <c:v>-2.4211777218154844</c:v>
                </c:pt>
                <c:pt idx="4">
                  <c:v>-2.3233250810791972</c:v>
                </c:pt>
                <c:pt idx="5">
                  <c:v>-2.2252309892647175</c:v>
                </c:pt>
                <c:pt idx="6">
                  <c:v>-2.1267745419565371</c:v>
                </c:pt>
                <c:pt idx="7">
                  <c:v>-2.0278230339881551</c:v>
                </c:pt>
                <c:pt idx="8">
                  <c:v>-1.9282331625795333</c:v>
                </c:pt>
                <c:pt idx="9">
                  <c:v>-1.8278535711153079</c:v>
                </c:pt>
                <c:pt idx="10">
                  <c:v>-1.7265280623600308</c:v>
                </c:pt>
                <c:pt idx="11">
                  <c:v>-1.6240959907345818</c:v>
                </c:pt>
                <c:pt idx="12">
                  <c:v>-1.5203941977440991</c:v>
                </c:pt>
                <c:pt idx="13">
                  <c:v>-1.4152561716248733</c:v>
                </c:pt>
                <c:pt idx="14">
                  <c:v>-1.3085116727552839</c:v>
                </c:pt>
                <c:pt idx="15">
                  <c:v>-1.199983997445947</c:v>
                </c:pt>
                <c:pt idx="16">
                  <c:v>-1.0894908295922321</c:v>
                </c:pt>
                <c:pt idx="17">
                  <c:v>-0.97685275749021794</c:v>
                </c:pt>
                <c:pt idx="18">
                  <c:v>-0.86189787993823397</c:v>
                </c:pt>
                <c:pt idx="19">
                  <c:v>-0.74447011447047762</c:v>
                </c:pt>
                <c:pt idx="20">
                  <c:v>-0.62443166677282536</c:v>
                </c:pt>
                <c:pt idx="21">
                  <c:v>-0.50166092263720641</c:v>
                </c:pt>
                <c:pt idx="22">
                  <c:v>-0.37605273483057261</c:v>
                </c:pt>
                <c:pt idx="23">
                  <c:v>-0.247516661163</c:v>
                </c:pt>
                <c:pt idx="24">
                  <c:v>-0.11596936143787874</c:v>
                </c:pt>
                <c:pt idx="25">
                  <c:v>1.8664819490418608E-2</c:v>
                </c:pt>
                <c:pt idx="26">
                  <c:v>0.15645600984953248</c:v>
                </c:pt>
                <c:pt idx="27">
                  <c:v>0.29747554189305381</c:v>
                </c:pt>
                <c:pt idx="28">
                  <c:v>0.44179858825363388</c:v>
                </c:pt>
                <c:pt idx="29">
                  <c:v>0.58949833228375126</c:v>
                </c:pt>
                <c:pt idx="30">
                  <c:v>0.74063873929765023</c:v>
                </c:pt>
                <c:pt idx="31">
                  <c:v>0.89526042629032943</c:v>
                </c:pt>
                <c:pt idx="32">
                  <c:v>1.0533774359779324</c:v>
                </c:pt>
                <c:pt idx="33">
                  <c:v>1.2149752534829827</c:v>
                </c:pt>
                <c:pt idx="34">
                  <c:v>1.3800186003986279</c:v>
                </c:pt>
                <c:pt idx="35">
                  <c:v>1.5484507528396998</c:v>
                </c:pt>
                <c:pt idx="36">
                  <c:v>1.7201995068299802</c:v>
                </c:pt>
                <c:pt idx="37">
                  <c:v>1.8951774268299841</c:v>
                </c:pt>
                <c:pt idx="38">
                  <c:v>2.0732925091151282</c:v>
                </c:pt>
                <c:pt idx="39">
                  <c:v>2.2544521197263108</c:v>
                </c:pt>
                <c:pt idx="40">
                  <c:v>2.4385633651424961</c:v>
                </c:pt>
                <c:pt idx="41">
                  <c:v>2.6255288992726995</c:v>
                </c:pt>
                <c:pt idx="42">
                  <c:v>2.8152377692830277</c:v>
                </c:pt>
                <c:pt idx="43">
                  <c:v>3.0075584404627289</c:v>
                </c:pt>
                <c:pt idx="44">
                  <c:v>3.2023388727321089</c:v>
                </c:pt>
                <c:pt idx="45">
                  <c:v>3.3994114777282785</c:v>
                </c:pt>
                <c:pt idx="46">
                  <c:v>3.5985951541536982</c:v>
                </c:pt>
                <c:pt idx="47">
                  <c:v>3.7996992922312192</c:v>
                </c:pt>
                <c:pt idx="48">
                  <c:v>4.0025245127269296</c:v>
                </c:pt>
                <c:pt idx="49">
                  <c:v>4.2068640480225659</c:v>
                </c:pt>
                <c:pt idx="50">
                  <c:v>4.4125131364198209</c:v>
                </c:pt>
                <c:pt idx="51">
                  <c:v>4.6192803631282757</c:v>
                </c:pt>
                <c:pt idx="52">
                  <c:v>4.8269844473129293</c:v>
                </c:pt>
                <c:pt idx="53">
                  <c:v>5.0354471207149016</c:v>
                </c:pt>
                <c:pt idx="54">
                  <c:v>5.2444844528319665</c:v>
                </c:pt>
                <c:pt idx="55">
                  <c:v>5.453892688640682</c:v>
                </c:pt>
                <c:pt idx="56">
                  <c:v>5.6634584788746594</c:v>
                </c:pt>
                <c:pt idx="57">
                  <c:v>5.8729666903693376</c:v>
                </c:pt>
                <c:pt idx="58">
                  <c:v>6.0821990640448789</c:v>
                </c:pt>
                <c:pt idx="59">
                  <c:v>6.290946426940156</c:v>
                </c:pt>
                <c:pt idx="60">
                  <c:v>6.4990141909166166</c:v>
                </c:pt>
                <c:pt idx="61">
                  <c:v>6.7062275452244258</c:v>
                </c:pt>
                <c:pt idx="62">
                  <c:v>6.912433488385326</c:v>
                </c:pt>
                <c:pt idx="63">
                  <c:v>7.1174945887414705</c:v>
                </c:pt>
                <c:pt idx="64">
                  <c:v>7.3213040628889763</c:v>
                </c:pt>
                <c:pt idx="65">
                  <c:v>7.5237831459198672</c:v>
                </c:pt>
                <c:pt idx="66">
                  <c:v>7.7248703622121466</c:v>
                </c:pt>
                <c:pt idx="67">
                  <c:v>7.9245103333880227</c:v>
                </c:pt>
                <c:pt idx="68">
                  <c:v>8.1226558138578167</c:v>
                </c:pt>
                <c:pt idx="69">
                  <c:v>8.3192621442446999</c:v>
                </c:pt>
                <c:pt idx="70">
                  <c:v>8.5142845270930589</c:v>
                </c:pt>
                <c:pt idx="71">
                  <c:v>8.7076787818610573</c:v>
                </c:pt>
                <c:pt idx="72">
                  <c:v>8.8994015366506982</c:v>
                </c:pt>
                <c:pt idx="73">
                  <c:v>9.0894168471798675</c:v>
                </c:pt>
                <c:pt idx="74">
                  <c:v>9.2777061348868752</c:v>
                </c:pt>
                <c:pt idx="75">
                  <c:v>9.4642836214475388</c:v>
                </c:pt>
                <c:pt idx="76">
                  <c:v>9.6491945467992508</c:v>
                </c:pt>
                <c:pt idx="77">
                  <c:v>9.8325105924614018</c:v>
                </c:pt>
                <c:pt idx="78">
                  <c:v>10.014312166370477</c:v>
                </c:pt>
                <c:pt idx="79">
                  <c:v>10.194681560546476</c:v>
                </c:pt>
                <c:pt idx="80">
                  <c:v>10.3737011237716</c:v>
                </c:pt>
                <c:pt idx="81">
                  <c:v>10.551462088370677</c:v>
                </c:pt>
                <c:pt idx="82">
                  <c:v>10.728074831722507</c:v>
                </c:pt>
                <c:pt idx="83">
                  <c:v>10.903676769989573</c:v>
                </c:pt>
                <c:pt idx="84">
                  <c:v>11.078424547568185</c:v>
                </c:pt>
                <c:pt idx="85">
                  <c:v>11.252485041683382</c:v>
                </c:pt>
                <c:pt idx="86">
                  <c:v>11.426034803488983</c:v>
                </c:pt>
                <c:pt idx="87">
                  <c:v>11.599260037515753</c:v>
                </c:pt>
                <c:pt idx="88">
                  <c:v>11.772348627142664</c:v>
                </c:pt>
                <c:pt idx="89">
                  <c:v>11.945481773576404</c:v>
                </c:pt>
                <c:pt idx="90">
                  <c:v>12.118840624425244</c:v>
                </c:pt>
                <c:pt idx="91">
                  <c:v>12.292583872638589</c:v>
                </c:pt>
                <c:pt idx="92">
                  <c:v>12.466840434219327</c:v>
                </c:pt>
                <c:pt idx="93">
                  <c:v>12.641704516246014</c:v>
                </c:pt>
                <c:pt idx="94">
                  <c:v>12.817229894590305</c:v>
                </c:pt>
                <c:pt idx="95">
                  <c:v>12.993452763299398</c:v>
                </c:pt>
                <c:pt idx="96">
                  <c:v>13.170402807728443</c:v>
                </c:pt>
                <c:pt idx="97">
                  <c:v>13.348108680175189</c:v>
                </c:pt>
                <c:pt idx="98">
                  <c:v>13.526596902778909</c:v>
                </c:pt>
                <c:pt idx="99">
                  <c:v>13.705898943343518</c:v>
                </c:pt>
                <c:pt idx="100">
                  <c:v>13.886045366295473</c:v>
                </c:pt>
                <c:pt idx="101">
                  <c:v>14.067067977622697</c:v>
                </c:pt>
                <c:pt idx="102">
                  <c:v>14.248991227731551</c:v>
                </c:pt>
                <c:pt idx="103">
                  <c:v>14.431823488335372</c:v>
                </c:pt>
                <c:pt idx="104">
                  <c:v>14.615554795568173</c:v>
                </c:pt>
                <c:pt idx="105">
                  <c:v>14.800157059237199</c:v>
                </c:pt>
                <c:pt idx="106">
                  <c:v>14.985586793998907</c:v>
                </c:pt>
                <c:pt idx="107">
                  <c:v>15.171790655010103</c:v>
                </c:pt>
                <c:pt idx="108">
                  <c:v>15.358706601696721</c:v>
                </c:pt>
                <c:pt idx="109">
                  <c:v>15.54626999520584</c:v>
                </c:pt>
                <c:pt idx="110">
                  <c:v>15.734438090160664</c:v>
                </c:pt>
                <c:pt idx="111">
                  <c:v>15.923189109709417</c:v>
                </c:pt>
                <c:pt idx="112">
                  <c:v>16.112527948159254</c:v>
                </c:pt>
                <c:pt idx="113">
                  <c:v>16.302478242356994</c:v>
                </c:pt>
                <c:pt idx="114">
                  <c:v>16.493068183392282</c:v>
                </c:pt>
                <c:pt idx="115">
                  <c:v>16.684328991657434</c:v>
                </c:pt>
                <c:pt idx="116">
                  <c:v>16.876288147547168</c:v>
                </c:pt>
                <c:pt idx="117">
                  <c:v>17.068963316273898</c:v>
                </c:pt>
                <c:pt idx="118">
                  <c:v>17.262355968075948</c:v>
                </c:pt>
                <c:pt idx="119">
                  <c:v>17.456458367217863</c:v>
                </c:pt>
                <c:pt idx="120">
                  <c:v>17.651246618291619</c:v>
                </c:pt>
                <c:pt idx="121">
                  <c:v>17.846681658674637</c:v>
                </c:pt>
                <c:pt idx="122">
                  <c:v>18.042720117853936</c:v>
                </c:pt>
                <c:pt idx="123">
                  <c:v>18.239305332183037</c:v>
                </c:pt>
                <c:pt idx="124">
                  <c:v>18.436367892336833</c:v>
                </c:pt>
                <c:pt idx="125">
                  <c:v>18.633826959627292</c:v>
                </c:pt>
                <c:pt idx="126">
                  <c:v>18.831582652989372</c:v>
                </c:pt>
                <c:pt idx="127">
                  <c:v>19.029513066757644</c:v>
                </c:pt>
                <c:pt idx="128">
                  <c:v>19.227473362979573</c:v>
                </c:pt>
                <c:pt idx="129">
                  <c:v>19.425299767920762</c:v>
                </c:pt>
                <c:pt idx="130">
                  <c:v>19.622809294895912</c:v>
                </c:pt>
                <c:pt idx="131">
                  <c:v>19.819816126045481</c:v>
                </c:pt>
                <c:pt idx="132">
                  <c:v>20.016138658341642</c:v>
                </c:pt>
                <c:pt idx="133">
                  <c:v>20.211607865241056</c:v>
                </c:pt>
                <c:pt idx="134">
                  <c:v>20.40608740278007</c:v>
                </c:pt>
                <c:pt idx="135">
                  <c:v>20.599479431616761</c:v>
                </c:pt>
                <c:pt idx="136">
                  <c:v>20.791731394352077</c:v>
                </c:pt>
                <c:pt idx="137">
                  <c:v>20.982834542648387</c:v>
                </c:pt>
                <c:pt idx="138">
                  <c:v>21.172797600635917</c:v>
                </c:pt>
                <c:pt idx="139">
                  <c:v>21.361631431667384</c:v>
                </c:pt>
                <c:pt idx="140">
                  <c:v>21.549350049122928</c:v>
                </c:pt>
                <c:pt idx="141">
                  <c:v>21.735976763435691</c:v>
                </c:pt>
                <c:pt idx="142">
                  <c:v>21.921540223998758</c:v>
                </c:pt>
                <c:pt idx="143">
                  <c:v>22.106066403033115</c:v>
                </c:pt>
                <c:pt idx="144">
                  <c:v>22.289585272290168</c:v>
                </c:pt>
                <c:pt idx="145">
                  <c:v>22.472139991699979</c:v>
                </c:pt>
                <c:pt idx="146">
                  <c:v>22.653821857667552</c:v>
                </c:pt>
                <c:pt idx="147">
                  <c:v>22.834767654163748</c:v>
                </c:pt>
                <c:pt idx="148">
                  <c:v>23.015146868116034</c:v>
                </c:pt>
                <c:pt idx="149">
                  <c:v>23.195147730984985</c:v>
                </c:pt>
                <c:pt idx="150">
                  <c:v>23.374960648402428</c:v>
                </c:pt>
                <c:pt idx="151">
                  <c:v>23.554779702994043</c:v>
                </c:pt>
                <c:pt idx="152">
                  <c:v>23.734820711458742</c:v>
                </c:pt>
                <c:pt idx="153">
                  <c:v>23.915313984582554</c:v>
                </c:pt>
                <c:pt idx="154">
                  <c:v>24.096486597964937</c:v>
                </c:pt>
                <c:pt idx="155">
                  <c:v>24.278553391223106</c:v>
                </c:pt>
                <c:pt idx="156">
                  <c:v>24.461711880782033</c:v>
                </c:pt>
                <c:pt idx="157">
                  <c:v>24.646154531772012</c:v>
                </c:pt>
                <c:pt idx="158">
                  <c:v>24.83209200446721</c:v>
                </c:pt>
                <c:pt idx="159">
                  <c:v>25.01974546910828</c:v>
                </c:pt>
                <c:pt idx="160">
                  <c:v>25.209351312023614</c:v>
                </c:pt>
                <c:pt idx="161">
                  <c:v>25.401155916195659</c:v>
                </c:pt>
                <c:pt idx="162">
                  <c:v>25.595413603405984</c:v>
                </c:pt>
                <c:pt idx="163">
                  <c:v>25.792384806635944</c:v>
                </c:pt>
                <c:pt idx="164">
                  <c:v>25.992325505271815</c:v>
                </c:pt>
                <c:pt idx="165">
                  <c:v>26.195472882991293</c:v>
                </c:pt>
                <c:pt idx="166">
                  <c:v>26.402032665407472</c:v>
                </c:pt>
                <c:pt idx="167">
                  <c:v>26.612169396929385</c:v>
                </c:pt>
                <c:pt idx="168">
                  <c:v>26.826005514167992</c:v>
                </c:pt>
                <c:pt idx="169">
                  <c:v>27.04362165530409</c:v>
                </c:pt>
                <c:pt idx="170">
                  <c:v>27.265069970658271</c:v>
                </c:pt>
                <c:pt idx="171">
                  <c:v>27.490382898327876</c:v>
                </c:pt>
                <c:pt idx="172">
                  <c:v>27.719576695263282</c:v>
                </c:pt>
                <c:pt idx="173">
                  <c:v>27.952624890786286</c:v>
                </c:pt>
                <c:pt idx="174">
                  <c:v>28.189447685199095</c:v>
                </c:pt>
                <c:pt idx="175">
                  <c:v>28.429924619961874</c:v>
                </c:pt>
                <c:pt idx="176">
                  <c:v>28.673887688453032</c:v>
                </c:pt>
                <c:pt idx="177">
                  <c:v>28.921100293629749</c:v>
                </c:pt>
                <c:pt idx="178">
                  <c:v>29.17123364067707</c:v>
                </c:pt>
                <c:pt idx="179">
                  <c:v>29.423911322571744</c:v>
                </c:pt>
                <c:pt idx="180">
                  <c:v>29.678762389887858</c:v>
                </c:pt>
                <c:pt idx="181">
                  <c:v>29.935445258185332</c:v>
                </c:pt>
                <c:pt idx="182">
                  <c:v>30.193650348130841</c:v>
                </c:pt>
                <c:pt idx="183">
                  <c:v>30.453100217589341</c:v>
                </c:pt>
                <c:pt idx="184">
                  <c:v>30.713557043041217</c:v>
                </c:pt>
                <c:pt idx="185">
                  <c:v>30.974818815853457</c:v>
                </c:pt>
                <c:pt idx="186">
                  <c:v>31.236694927417584</c:v>
                </c:pt>
                <c:pt idx="187">
                  <c:v>31.49898424749092</c:v>
                </c:pt>
                <c:pt idx="188">
                  <c:v>31.761450453351564</c:v>
                </c:pt>
                <c:pt idx="189">
                  <c:v>32.023853361631751</c:v>
                </c:pt>
                <c:pt idx="190">
                  <c:v>32.28594200381275</c:v>
                </c:pt>
                <c:pt idx="191">
                  <c:v>32.54747585846313</c:v>
                </c:pt>
                <c:pt idx="192">
                  <c:v>32.808223245357155</c:v>
                </c:pt>
                <c:pt idx="193">
                  <c:v>33.06797832532812</c:v>
                </c:pt>
                <c:pt idx="194">
                  <c:v>33.326579524300151</c:v>
                </c:pt>
                <c:pt idx="195">
                  <c:v>33.583931137905147</c:v>
                </c:pt>
                <c:pt idx="196">
                  <c:v>33.840027675468882</c:v>
                </c:pt>
                <c:pt idx="197">
                  <c:v>34.094971052573214</c:v>
                </c:pt>
                <c:pt idx="198">
                  <c:v>34.348939088434221</c:v>
                </c:pt>
                <c:pt idx="199">
                  <c:v>34.602131325965928</c:v>
                </c:pt>
                <c:pt idx="200">
                  <c:v>34.85473602296107</c:v>
                </c:pt>
                <c:pt idx="201">
                  <c:v>35.106909900867024</c:v>
                </c:pt>
                <c:pt idx="202">
                  <c:v>35.358768972138378</c:v>
                </c:pt>
                <c:pt idx="203">
                  <c:v>35.610400128164756</c:v>
                </c:pt>
                <c:pt idx="204">
                  <c:v>35.861857225427002</c:v>
                </c:pt>
                <c:pt idx="205">
                  <c:v>36.113163763027998</c:v>
                </c:pt>
                <c:pt idx="206">
                  <c:v>36.36433235341282</c:v>
                </c:pt>
                <c:pt idx="207">
                  <c:v>36.615390079597589</c:v>
                </c:pt>
                <c:pt idx="208">
                  <c:v>36.866377253617074</c:v>
                </c:pt>
                <c:pt idx="209">
                  <c:v>37.11734217330315</c:v>
                </c:pt>
                <c:pt idx="210">
                  <c:v>37.368319619695484</c:v>
                </c:pt>
              </c:numCache>
            </c:numRef>
          </c:val>
          <c:smooth val="0"/>
          <c:extLst>
            <c:ext xmlns:c16="http://schemas.microsoft.com/office/drawing/2014/chart" uri="{C3380CC4-5D6E-409C-BE32-E72D297353CC}">
              <c16:uniqueId val="{00000001-A2EA-45B3-8282-66ED81020878}"/>
            </c:ext>
          </c:extLst>
        </c:ser>
        <c:dLbls>
          <c:showLegendKey val="0"/>
          <c:showVal val="0"/>
          <c:showCatName val="0"/>
          <c:showSerName val="0"/>
          <c:showPercent val="0"/>
          <c:showBubbleSize val="0"/>
        </c:dLbls>
        <c:smooth val="0"/>
        <c:axId val="268185600"/>
        <c:axId val="268187136"/>
      </c:lineChart>
      <c:dateAx>
        <c:axId val="268185600"/>
        <c:scaling>
          <c:orientation val="minMax"/>
        </c:scaling>
        <c:delete val="0"/>
        <c:axPos val="b"/>
        <c:numFmt formatCode="[$-409]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187136"/>
        <c:crosses val="autoZero"/>
        <c:auto val="1"/>
        <c:lblOffset val="100"/>
        <c:baseTimeUnit val="months"/>
        <c:majorUnit val="7"/>
        <c:majorTimeUnit val="months"/>
      </c:dateAx>
      <c:valAx>
        <c:axId val="2681871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18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q9-q10</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8F37-49AC-B9AE-AF6A3F18B5E2}"/>
              </c:ext>
            </c:extLst>
          </c:dPt>
          <c:dPt>
            <c:idx val="1"/>
            <c:invertIfNegative val="0"/>
            <c:bubble3D val="0"/>
            <c:spPr>
              <a:solidFill>
                <a:srgbClr val="FF0000"/>
              </a:solidFill>
              <a:ln>
                <a:noFill/>
              </a:ln>
              <a:effectLst/>
            </c:spPr>
            <c:extLst>
              <c:ext xmlns:c16="http://schemas.microsoft.com/office/drawing/2014/chart" uri="{C3380CC4-5D6E-409C-BE32-E72D297353CC}">
                <c16:uniqueId val="{00000003-8F37-49AC-B9AE-AF6A3F18B5E2}"/>
              </c:ext>
            </c:extLst>
          </c:dPt>
          <c:dPt>
            <c:idx val="2"/>
            <c:invertIfNegative val="0"/>
            <c:bubble3D val="0"/>
            <c:spPr>
              <a:solidFill>
                <a:srgbClr val="FF0000"/>
              </a:solidFill>
              <a:ln>
                <a:noFill/>
              </a:ln>
              <a:effectLst/>
            </c:spPr>
            <c:extLst>
              <c:ext xmlns:c16="http://schemas.microsoft.com/office/drawing/2014/chart" uri="{C3380CC4-5D6E-409C-BE32-E72D297353CC}">
                <c16:uniqueId val="{00000005-8F37-49AC-B9AE-AF6A3F18B5E2}"/>
              </c:ext>
            </c:extLst>
          </c:dPt>
          <c:dPt>
            <c:idx val="3"/>
            <c:invertIfNegative val="0"/>
            <c:bubble3D val="0"/>
            <c:spPr>
              <a:solidFill>
                <a:srgbClr val="FF0000"/>
              </a:solidFill>
              <a:ln>
                <a:noFill/>
              </a:ln>
              <a:effectLst/>
            </c:spPr>
            <c:extLst>
              <c:ext xmlns:c16="http://schemas.microsoft.com/office/drawing/2014/chart" uri="{C3380CC4-5D6E-409C-BE32-E72D297353CC}">
                <c16:uniqueId val="{00000007-8F37-49AC-B9AE-AF6A3F18B5E2}"/>
              </c:ext>
            </c:extLst>
          </c:dPt>
          <c:dPt>
            <c:idx val="4"/>
            <c:invertIfNegative val="0"/>
            <c:bubble3D val="0"/>
            <c:spPr>
              <a:solidFill>
                <a:srgbClr val="FF0000"/>
              </a:solidFill>
              <a:ln>
                <a:noFill/>
              </a:ln>
              <a:effectLst/>
            </c:spPr>
            <c:extLst>
              <c:ext xmlns:c16="http://schemas.microsoft.com/office/drawing/2014/chart" uri="{C3380CC4-5D6E-409C-BE32-E72D297353CC}">
                <c16:uniqueId val="{00000009-8F37-49AC-B9AE-AF6A3F18B5E2}"/>
              </c:ext>
            </c:extLst>
          </c:dPt>
          <c:dPt>
            <c:idx val="7"/>
            <c:invertIfNegative val="0"/>
            <c:bubble3D val="0"/>
            <c:spPr>
              <a:solidFill>
                <a:srgbClr val="FF0000"/>
              </a:solidFill>
              <a:ln>
                <a:noFill/>
              </a:ln>
              <a:effectLst/>
            </c:spPr>
            <c:extLst>
              <c:ext xmlns:c16="http://schemas.microsoft.com/office/drawing/2014/chart" uri="{C3380CC4-5D6E-409C-BE32-E72D297353CC}">
                <c16:uniqueId val="{0000000B-8F37-49AC-B9AE-AF6A3F18B5E2}"/>
              </c:ext>
            </c:extLst>
          </c:dPt>
          <c:dPt>
            <c:idx val="10"/>
            <c:invertIfNegative val="0"/>
            <c:bubble3D val="0"/>
            <c:spPr>
              <a:solidFill>
                <a:srgbClr val="FF0000"/>
              </a:solidFill>
              <a:ln>
                <a:noFill/>
              </a:ln>
              <a:effectLst/>
            </c:spPr>
            <c:extLst>
              <c:ext xmlns:c16="http://schemas.microsoft.com/office/drawing/2014/chart" uri="{C3380CC4-5D6E-409C-BE32-E72D297353CC}">
                <c16:uniqueId val="{0000000D-8F37-49AC-B9AE-AF6A3F18B5E2}"/>
              </c:ext>
            </c:extLst>
          </c:dPt>
          <c:dLbls>
            <c:dLbl>
              <c:idx val="0"/>
              <c:tx>
                <c:rich>
                  <a:bodyPr/>
                  <a:lstStyle/>
                  <a:p>
                    <a:r>
                      <a:rPr lang="en-US"/>
                      <a:t>35.2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8F37-49AC-B9AE-AF6A3F18B5E2}"/>
                </c:ext>
              </c:extLst>
            </c:dLbl>
            <c:dLbl>
              <c:idx val="3"/>
              <c:tx>
                <c:rich>
                  <a:bodyPr/>
                  <a:lstStyle/>
                  <a:p>
                    <a:r>
                      <a:rPr lang="en-US"/>
                      <a:t>34.1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7-8F37-49AC-B9AE-AF6A3F18B5E2}"/>
                </c:ext>
              </c:extLst>
            </c:dLbl>
            <c:dLbl>
              <c:idx val="4"/>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9-8F37-49AC-B9AE-AF6A3F18B5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'Şekil-2'!$AG$74:$AJ$85</c:f>
              <c:strCache>
                <c:ptCount val="12"/>
                <c:pt idx="0">
                  <c:v>Food and non-alcoholic beverages</c:v>
                </c:pt>
                <c:pt idx="1">
                  <c:v>Alcoholic beverages, cigarette </c:v>
                </c:pt>
                <c:pt idx="2">
                  <c:v>Clothing and foot wear </c:v>
                </c:pt>
                <c:pt idx="3">
                  <c:v>Housing and rent</c:v>
                </c:pt>
                <c:pt idx="4">
                  <c:v>Furniture, house appliances</c:v>
                </c:pt>
                <c:pt idx="5">
                  <c:v>Health</c:v>
                </c:pt>
                <c:pt idx="6">
                  <c:v>Transportation</c:v>
                </c:pt>
                <c:pt idx="7">
                  <c:v>Communication</c:v>
                </c:pt>
                <c:pt idx="8">
                  <c:v>Entertainment and culture</c:v>
                </c:pt>
                <c:pt idx="9">
                  <c:v>Educational services</c:v>
                </c:pt>
                <c:pt idx="10">
                  <c:v>Restaurant and food services, hotels</c:v>
                </c:pt>
                <c:pt idx="11">
                  <c:v>Various goods and services</c:v>
                </c:pt>
              </c:strCache>
            </c:strRef>
          </c:cat>
          <c:val>
            <c:numRef>
              <c:f>'Şekil-2'!$AM$74:$AM$85</c:f>
              <c:numCache>
                <c:formatCode>0.0</c:formatCode>
                <c:ptCount val="12"/>
                <c:pt idx="0">
                  <c:v>35.280498603975218</c:v>
                </c:pt>
                <c:pt idx="1">
                  <c:v>5.4929113376776595</c:v>
                </c:pt>
                <c:pt idx="2">
                  <c:v>0.53821046989972388</c:v>
                </c:pt>
                <c:pt idx="3">
                  <c:v>34.161747059481741</c:v>
                </c:pt>
                <c:pt idx="4">
                  <c:v>0.25067963977544139</c:v>
                </c:pt>
                <c:pt idx="5">
                  <c:v>-1.0533232660750542</c:v>
                </c:pt>
                <c:pt idx="6">
                  <c:v>-65.478340663408019</c:v>
                </c:pt>
                <c:pt idx="7">
                  <c:v>4.4978798131808126</c:v>
                </c:pt>
                <c:pt idx="8">
                  <c:v>-7.2233686562258157</c:v>
                </c:pt>
                <c:pt idx="9">
                  <c:v>-10.66318794640463</c:v>
                </c:pt>
                <c:pt idx="10">
                  <c:v>3.2070342764762358</c:v>
                </c:pt>
                <c:pt idx="11">
                  <c:v>-17.950662610856316</c:v>
                </c:pt>
              </c:numCache>
            </c:numRef>
          </c:val>
          <c:extLst>
            <c:ext xmlns:c16="http://schemas.microsoft.com/office/drawing/2014/chart" uri="{C3380CC4-5D6E-409C-BE32-E72D297353CC}">
              <c16:uniqueId val="{0000000E-8F37-49AC-B9AE-AF6A3F18B5E2}"/>
            </c:ext>
          </c:extLst>
        </c:ser>
        <c:dLbls>
          <c:showLegendKey val="0"/>
          <c:showVal val="0"/>
          <c:showCatName val="0"/>
          <c:showSerName val="0"/>
          <c:showPercent val="0"/>
          <c:showBubbleSize val="0"/>
        </c:dLbls>
        <c:gapWidth val="182"/>
        <c:axId val="268220288"/>
        <c:axId val="268221824"/>
      </c:barChart>
      <c:catAx>
        <c:axId val="26822028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221824"/>
        <c:crosses val="autoZero"/>
        <c:auto val="1"/>
        <c:lblAlgn val="ctr"/>
        <c:lblOffset val="100"/>
        <c:noMultiLvlLbl val="0"/>
      </c:catAx>
      <c:valAx>
        <c:axId val="268221824"/>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22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A306B-8ECD-4715-930F-596F61B4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3654</Words>
  <Characters>20832</Characters>
  <Application>Microsoft Office Word</Application>
  <DocSecurity>0</DocSecurity>
  <Lines>173</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duygu.guner</dc:creator>
  <cp:lastModifiedBy>Gokhan  SAHIN GUNES</cp:lastModifiedBy>
  <cp:revision>43</cp:revision>
  <dcterms:created xsi:type="dcterms:W3CDTF">2021-09-21T13:36:00Z</dcterms:created>
  <dcterms:modified xsi:type="dcterms:W3CDTF">2021-09-21T20:16:00Z</dcterms:modified>
</cp:coreProperties>
</file>