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rPr>
        <mc:AlternateContent>
          <mc:Choice Requires="wps">
            <w:drawing>
              <wp:anchor distT="0" distB="0" distL="114935" distR="114935" simplePos="0" relativeHeight="251659264"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3F4956AF" w:rsidR="00D07713" w:rsidRPr="00D07713" w:rsidRDefault="008505DA"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27</w:t>
                            </w:r>
                            <w:r w:rsidR="006F0FC6">
                              <w:rPr>
                                <w:rFonts w:ascii="Arial" w:eastAsia="Times New Roman" w:hAnsi="Arial" w:cs="Arial"/>
                                <w:b/>
                                <w:bCs/>
                                <w:color w:val="FFFFFF"/>
                                <w:sz w:val="22"/>
                                <w:szCs w:val="22"/>
                                <w:lang w:eastAsia="ar-SA"/>
                              </w:rPr>
                              <w:t xml:space="preserve"> </w:t>
                            </w:r>
                            <w:r w:rsidR="000F75B9">
                              <w:rPr>
                                <w:rFonts w:ascii="Arial" w:eastAsia="Times New Roman" w:hAnsi="Arial" w:cs="Arial"/>
                                <w:b/>
                                <w:bCs/>
                                <w:color w:val="FFFFFF"/>
                                <w:sz w:val="22"/>
                                <w:szCs w:val="22"/>
                                <w:lang w:eastAsia="ar-SA"/>
                              </w:rPr>
                              <w:t>Eylül</w:t>
                            </w:r>
                            <w:r w:rsidR="00E37C95">
                              <w:rPr>
                                <w:rFonts w:ascii="Arial" w:eastAsia="Times New Roman" w:hAnsi="Arial" w:cs="Arial"/>
                                <w:b/>
                                <w:bCs/>
                                <w:color w:val="FFFFFF"/>
                                <w:sz w:val="22"/>
                                <w:szCs w:val="22"/>
                                <w:lang w:eastAsia="ar-SA"/>
                              </w:rPr>
                              <w:t xml:space="preserve"> 202</w:t>
                            </w:r>
                            <w:r w:rsidR="00E265D5">
                              <w:rPr>
                                <w:rFonts w:ascii="Arial" w:eastAsia="Times New Roman" w:hAnsi="Arial" w:cs="Arial"/>
                                <w:b/>
                                <w:bCs/>
                                <w:color w:val="FFFFFF"/>
                                <w:sz w:val="22"/>
                                <w:szCs w:val="22"/>
                                <w:lang w:eastAsia="ar-SA"/>
                              </w:rPr>
                              <w:t>1</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" stroked="f">
                <v:fill opacity="0"/>
                <v:textbox inset="0,0,0,0">
                  <w:txbxContent>
                    <w:p w14:paraId="5B0CFDC6" w14:textId="3F4956AF" w:rsidR="00D07713" w:rsidRPr="00D07713" w:rsidRDefault="008505DA"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27</w:t>
                      </w:r>
                      <w:r w:rsidR="006F0FC6">
                        <w:rPr>
                          <w:rFonts w:ascii="Arial" w:eastAsia="Times New Roman" w:hAnsi="Arial" w:cs="Arial"/>
                          <w:b/>
                          <w:bCs/>
                          <w:color w:val="FFFFFF"/>
                          <w:sz w:val="22"/>
                          <w:szCs w:val="22"/>
                          <w:lang w:eastAsia="ar-SA"/>
                        </w:rPr>
                        <w:t xml:space="preserve"> </w:t>
                      </w:r>
                      <w:r w:rsidR="000F75B9">
                        <w:rPr>
                          <w:rFonts w:ascii="Arial" w:eastAsia="Times New Roman" w:hAnsi="Arial" w:cs="Arial"/>
                          <w:b/>
                          <w:bCs/>
                          <w:color w:val="FFFFFF"/>
                          <w:sz w:val="22"/>
                          <w:szCs w:val="22"/>
                          <w:lang w:eastAsia="ar-SA"/>
                        </w:rPr>
                        <w:t>Eylül</w:t>
                      </w:r>
                      <w:r w:rsidR="00E37C95">
                        <w:rPr>
                          <w:rFonts w:ascii="Arial" w:eastAsia="Times New Roman" w:hAnsi="Arial" w:cs="Arial"/>
                          <w:b/>
                          <w:bCs/>
                          <w:color w:val="FFFFFF"/>
                          <w:sz w:val="22"/>
                          <w:szCs w:val="22"/>
                          <w:lang w:eastAsia="ar-SA"/>
                        </w:rPr>
                        <w:t xml:space="preserve"> 202</w:t>
                      </w:r>
                      <w:r w:rsidR="00E265D5">
                        <w:rPr>
                          <w:rFonts w:ascii="Arial" w:eastAsia="Times New Roman" w:hAnsi="Arial" w:cs="Arial"/>
                          <w:b/>
                          <w:bCs/>
                          <w:color w:val="FFFFFF"/>
                          <w:sz w:val="22"/>
                          <w:szCs w:val="22"/>
                          <w:lang w:eastAsia="ar-SA"/>
                        </w:rPr>
                        <w:t>1</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7A192883"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8949E0">
                              <w:rPr>
                                <w:rFonts w:ascii="Times New Roman" w:hAnsi="Times New Roman" w:cs="Times New Roman"/>
                                <w:sz w:val="40"/>
                                <w:szCs w:val="40"/>
                              </w:rPr>
                              <w:t>1</w:t>
                            </w:r>
                            <w:r>
                              <w:rPr>
                                <w:rFonts w:ascii="Times New Roman" w:hAnsi="Times New Roman" w:cs="Times New Roman"/>
                                <w:sz w:val="40"/>
                                <w:szCs w:val="40"/>
                              </w:rPr>
                              <w:t xml:space="preserve"> </w:t>
                            </w:r>
                            <w:r w:rsidR="000F75B9">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wOigIAACQ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&#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7A192883"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8949E0">
                        <w:rPr>
                          <w:rFonts w:ascii="Times New Roman" w:hAnsi="Times New Roman" w:cs="Times New Roman"/>
                          <w:sz w:val="40"/>
                          <w:szCs w:val="40"/>
                        </w:rPr>
                        <w:t>1</w:t>
                      </w:r>
                      <w:r>
                        <w:rPr>
                          <w:rFonts w:ascii="Times New Roman" w:hAnsi="Times New Roman" w:cs="Times New Roman"/>
                          <w:sz w:val="40"/>
                          <w:szCs w:val="40"/>
                        </w:rPr>
                        <w:t xml:space="preserve"> </w:t>
                      </w:r>
                      <w:r w:rsidR="000F75B9">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CC0355" w:rsidRDefault="00D07713">
      <w:pPr>
        <w:rPr>
          <w:rFonts w:ascii="Palatino Linotype" w:hAnsi="Palatino Linotype" w:cstheme="minorHAnsi"/>
        </w:rPr>
      </w:pPr>
    </w:p>
    <w:p w14:paraId="1A2A657A" w14:textId="77777777" w:rsidR="00D07713" w:rsidRPr="00CC0355" w:rsidRDefault="00D07713" w:rsidP="00D07713">
      <w:pPr>
        <w:spacing w:line="288" w:lineRule="auto"/>
        <w:ind w:right="-319"/>
        <w:jc w:val="center"/>
        <w:outlineLvl w:val="0"/>
        <w:rPr>
          <w:rFonts w:ascii="Palatino Linotype" w:hAnsi="Palatino Linotype" w:cstheme="minorHAnsi"/>
          <w:b/>
          <w:bCs/>
          <w:sz w:val="28"/>
          <w:szCs w:val="28"/>
        </w:rPr>
      </w:pPr>
    </w:p>
    <w:p w14:paraId="6D031923" w14:textId="77777777" w:rsidR="0002466A" w:rsidRPr="0002466A" w:rsidRDefault="0002466A" w:rsidP="0002466A">
      <w:pPr>
        <w:spacing w:line="288" w:lineRule="auto"/>
        <w:ind w:right="-319"/>
        <w:jc w:val="center"/>
        <w:outlineLvl w:val="0"/>
        <w:rPr>
          <w:rFonts w:ascii="Palatino Linotype" w:hAnsi="Palatino Linotype" w:cstheme="minorHAnsi"/>
          <w:b/>
          <w:bCs/>
          <w:sz w:val="28"/>
          <w:szCs w:val="28"/>
        </w:rPr>
      </w:pPr>
      <w:r w:rsidRPr="0002466A">
        <w:rPr>
          <w:rFonts w:ascii="Palatino Linotype" w:hAnsi="Palatino Linotype" w:cstheme="minorHAnsi"/>
          <w:b/>
          <w:bCs/>
          <w:sz w:val="28"/>
          <w:szCs w:val="28"/>
        </w:rPr>
        <w:t>BÜYÜMEYİ İHRACAT SIRTLADI</w:t>
      </w:r>
    </w:p>
    <w:p w14:paraId="428E7403" w14:textId="5430D498" w:rsidR="00D07713" w:rsidRPr="0002466A" w:rsidRDefault="00D07713" w:rsidP="004623F2">
      <w:pPr>
        <w:spacing w:line="288" w:lineRule="auto"/>
        <w:ind w:right="-319"/>
        <w:jc w:val="center"/>
        <w:outlineLvl w:val="0"/>
        <w:rPr>
          <w:rFonts w:ascii="Palatino Linotype" w:hAnsi="Palatino Linotype" w:cstheme="minorHAnsi"/>
        </w:rPr>
      </w:pPr>
      <w:r w:rsidRPr="0002466A">
        <w:rPr>
          <w:rFonts w:ascii="Palatino Linotype" w:hAnsi="Palatino Linotype" w:cstheme="minorHAnsi"/>
          <w:b/>
          <w:bCs/>
          <w:sz w:val="22"/>
          <w:szCs w:val="22"/>
        </w:rPr>
        <w:t>Ozan Bakış</w:t>
      </w:r>
      <w:r w:rsidR="00C32789" w:rsidRPr="0002466A">
        <w:rPr>
          <w:rStyle w:val="FootnoteReference"/>
          <w:rFonts w:ascii="Palatino Linotype" w:hAnsi="Palatino Linotype" w:cstheme="minorHAnsi"/>
          <w:b/>
          <w:bCs/>
          <w:sz w:val="22"/>
          <w:szCs w:val="22"/>
        </w:rPr>
        <w:footnoteReference w:id="1"/>
      </w:r>
      <w:r w:rsidR="001537D8" w:rsidRPr="0002466A">
        <w:rPr>
          <w:rFonts w:ascii="Palatino Linotype" w:hAnsi="Palatino Linotype" w:cstheme="minorHAnsi"/>
          <w:b/>
          <w:bCs/>
          <w:sz w:val="22"/>
          <w:szCs w:val="22"/>
        </w:rPr>
        <w:t xml:space="preserve"> ve </w:t>
      </w:r>
      <w:r w:rsidR="008B0385" w:rsidRPr="0002466A">
        <w:rPr>
          <w:rFonts w:ascii="Palatino Linotype" w:hAnsi="Palatino Linotype" w:cstheme="minorHAnsi"/>
          <w:b/>
          <w:bCs/>
          <w:sz w:val="22"/>
          <w:szCs w:val="22"/>
        </w:rPr>
        <w:t>Gökhan Dilek</w:t>
      </w:r>
      <w:r w:rsidR="001537D8" w:rsidRPr="0002466A">
        <w:rPr>
          <w:rStyle w:val="FootnoteReference"/>
          <w:rFonts w:ascii="Palatino Linotype" w:hAnsi="Palatino Linotype" w:cstheme="minorHAnsi"/>
          <w:b/>
          <w:bCs/>
          <w:sz w:val="22"/>
          <w:szCs w:val="22"/>
        </w:rPr>
        <w:footnoteReference w:id="2"/>
      </w:r>
    </w:p>
    <w:p w14:paraId="6E057918" w14:textId="77777777" w:rsidR="00405BD8" w:rsidRPr="0002466A" w:rsidRDefault="00405BD8" w:rsidP="00751F72">
      <w:pPr>
        <w:jc w:val="center"/>
        <w:rPr>
          <w:rFonts w:ascii="Palatino Linotype" w:hAnsi="Palatino Linotype" w:cstheme="minorHAnsi"/>
          <w:b/>
          <w:sz w:val="22"/>
          <w:szCs w:val="22"/>
        </w:rPr>
      </w:pPr>
    </w:p>
    <w:p w14:paraId="180703E7" w14:textId="77777777" w:rsidR="00111CED" w:rsidRPr="0002466A" w:rsidRDefault="00D257C1" w:rsidP="00405BD8">
      <w:pPr>
        <w:spacing w:line="360" w:lineRule="auto"/>
        <w:jc w:val="center"/>
        <w:rPr>
          <w:rFonts w:ascii="Palatino Linotype" w:hAnsi="Palatino Linotype" w:cstheme="minorHAnsi"/>
          <w:b/>
          <w:sz w:val="22"/>
          <w:szCs w:val="22"/>
        </w:rPr>
      </w:pPr>
      <w:r w:rsidRPr="0002466A">
        <w:rPr>
          <w:rFonts w:ascii="Palatino Linotype" w:hAnsi="Palatino Linotype" w:cstheme="minorHAnsi"/>
          <w:b/>
          <w:sz w:val="22"/>
          <w:szCs w:val="22"/>
        </w:rPr>
        <w:t>Yönetici</w:t>
      </w:r>
      <w:r w:rsidR="00C86475" w:rsidRPr="0002466A">
        <w:rPr>
          <w:rFonts w:ascii="Palatino Linotype" w:hAnsi="Palatino Linotype" w:cstheme="minorHAnsi"/>
          <w:b/>
          <w:sz w:val="22"/>
          <w:szCs w:val="22"/>
        </w:rPr>
        <w:t xml:space="preserve"> </w:t>
      </w:r>
      <w:r w:rsidRPr="0002466A">
        <w:rPr>
          <w:rFonts w:ascii="Palatino Linotype" w:hAnsi="Palatino Linotype" w:cstheme="minorHAnsi"/>
          <w:b/>
          <w:sz w:val="22"/>
          <w:szCs w:val="22"/>
        </w:rPr>
        <w:t>Özeti</w:t>
      </w:r>
    </w:p>
    <w:p w14:paraId="755C1EDE" w14:textId="38BD369A" w:rsidR="00DA618C" w:rsidRDefault="00AC59ED" w:rsidP="00AC59ED">
      <w:pPr>
        <w:spacing w:line="300" w:lineRule="auto"/>
        <w:ind w:left="567" w:right="567"/>
        <w:jc w:val="both"/>
        <w:rPr>
          <w:rFonts w:ascii="Palatino Linotype" w:hAnsi="Palatino Linotype" w:cstheme="minorHAnsi"/>
          <w:sz w:val="22"/>
          <w:szCs w:val="22"/>
        </w:rPr>
      </w:pPr>
      <w:bookmarkStart w:id="0" w:name="OLE_LINK5"/>
      <w:bookmarkStart w:id="1" w:name="OLE_LINK6"/>
      <w:r w:rsidRPr="0002466A">
        <w:rPr>
          <w:rFonts w:ascii="Palatino Linotype" w:hAnsi="Palatino Linotype" w:cstheme="minorHAnsi"/>
          <w:sz w:val="22"/>
          <w:szCs w:val="22"/>
        </w:rPr>
        <w:t xml:space="preserve">2021 yılının </w:t>
      </w:r>
      <w:r w:rsidR="001B584B" w:rsidRPr="0002466A">
        <w:rPr>
          <w:rFonts w:ascii="Palatino Linotype" w:hAnsi="Palatino Linotype" w:cstheme="minorHAnsi"/>
          <w:sz w:val="22"/>
          <w:szCs w:val="22"/>
        </w:rPr>
        <w:t>ikinci</w:t>
      </w:r>
      <w:r w:rsidRPr="0002466A">
        <w:rPr>
          <w:rFonts w:ascii="Palatino Linotype" w:hAnsi="Palatino Linotype" w:cstheme="minorHAnsi"/>
          <w:sz w:val="22"/>
          <w:szCs w:val="22"/>
        </w:rPr>
        <w:t xml:space="preserve"> çeyreği</w:t>
      </w:r>
      <w:r w:rsidR="001B584B" w:rsidRPr="0002466A">
        <w:rPr>
          <w:rFonts w:ascii="Palatino Linotype" w:hAnsi="Palatino Linotype" w:cstheme="minorHAnsi"/>
          <w:sz w:val="22"/>
          <w:szCs w:val="22"/>
        </w:rPr>
        <w:t>nde yıldan yıla büyüme baz etkisinin de katkısıyla rekor seviye</w:t>
      </w:r>
      <w:r w:rsidR="0002466A" w:rsidRPr="0002466A">
        <w:rPr>
          <w:rFonts w:ascii="Palatino Linotype" w:hAnsi="Palatino Linotype" w:cstheme="minorHAnsi"/>
          <w:sz w:val="22"/>
          <w:szCs w:val="22"/>
        </w:rPr>
        <w:t>de gerçekleşti</w:t>
      </w:r>
      <w:r w:rsidR="001B584B" w:rsidRPr="0002466A">
        <w:rPr>
          <w:rFonts w:ascii="Palatino Linotype" w:hAnsi="Palatino Linotype" w:cstheme="minorHAnsi"/>
          <w:sz w:val="22"/>
          <w:szCs w:val="22"/>
        </w:rPr>
        <w:t>.</w:t>
      </w:r>
      <w:r w:rsidRPr="0002466A">
        <w:rPr>
          <w:rFonts w:ascii="Palatino Linotype" w:hAnsi="Palatino Linotype" w:cstheme="minorHAnsi"/>
          <w:sz w:val="22"/>
          <w:szCs w:val="22"/>
        </w:rPr>
        <w:t xml:space="preserve"> </w:t>
      </w:r>
      <w:r w:rsidR="0002466A" w:rsidRPr="0002466A">
        <w:rPr>
          <w:rFonts w:ascii="Palatino Linotype" w:hAnsi="Palatino Linotype" w:cstheme="minorHAnsi"/>
          <w:sz w:val="22"/>
          <w:szCs w:val="22"/>
        </w:rPr>
        <w:t>B</w:t>
      </w:r>
      <w:r w:rsidR="00F36F06" w:rsidRPr="0002466A">
        <w:rPr>
          <w:rFonts w:ascii="Palatino Linotype" w:hAnsi="Palatino Linotype" w:cstheme="minorHAnsi"/>
          <w:sz w:val="22"/>
          <w:szCs w:val="22"/>
        </w:rPr>
        <w:t>ir önceki</w:t>
      </w:r>
      <w:r w:rsidRPr="0002466A">
        <w:rPr>
          <w:rFonts w:ascii="Palatino Linotype" w:hAnsi="Palatino Linotype" w:cstheme="minorHAnsi"/>
          <w:sz w:val="22"/>
          <w:szCs w:val="22"/>
        </w:rPr>
        <w:t xml:space="preserve"> yılın aynı çeyreğine kıyasla</w:t>
      </w:r>
      <w:r w:rsidR="0002466A" w:rsidRPr="0002466A">
        <w:rPr>
          <w:rFonts w:ascii="Palatino Linotype" w:hAnsi="Palatino Linotype" w:cstheme="minorHAnsi"/>
          <w:sz w:val="22"/>
          <w:szCs w:val="22"/>
        </w:rPr>
        <w:t xml:space="preserve"> GSYH</w:t>
      </w:r>
      <w:r w:rsidRPr="0002466A">
        <w:rPr>
          <w:rFonts w:ascii="Palatino Linotype" w:hAnsi="Palatino Linotype" w:cstheme="minorHAnsi"/>
          <w:sz w:val="22"/>
          <w:szCs w:val="22"/>
        </w:rPr>
        <w:t xml:space="preserve"> yüzde </w:t>
      </w:r>
      <w:r w:rsidR="001B584B" w:rsidRPr="0002466A">
        <w:rPr>
          <w:rFonts w:ascii="Palatino Linotype" w:hAnsi="Palatino Linotype" w:cstheme="minorHAnsi"/>
          <w:sz w:val="22"/>
          <w:szCs w:val="22"/>
        </w:rPr>
        <w:t>21,7</w:t>
      </w:r>
      <w:r w:rsidRPr="0002466A">
        <w:rPr>
          <w:rFonts w:ascii="Palatino Linotype" w:hAnsi="Palatino Linotype" w:cstheme="minorHAnsi"/>
          <w:sz w:val="22"/>
          <w:szCs w:val="22"/>
        </w:rPr>
        <w:t xml:space="preserve"> büyürken en büyük katkı </w:t>
      </w:r>
      <w:r w:rsidR="00693FB8" w:rsidRPr="0002466A">
        <w:rPr>
          <w:rFonts w:ascii="Palatino Linotype" w:hAnsi="Palatino Linotype" w:cstheme="minorHAnsi"/>
          <w:sz w:val="22"/>
          <w:szCs w:val="22"/>
        </w:rPr>
        <w:t xml:space="preserve">ihracat ve özel tüketim harcamalarından </w:t>
      </w:r>
      <w:r w:rsidRPr="0002466A">
        <w:rPr>
          <w:rFonts w:ascii="Palatino Linotype" w:hAnsi="Palatino Linotype" w:cstheme="minorHAnsi"/>
          <w:sz w:val="22"/>
          <w:szCs w:val="22"/>
        </w:rPr>
        <w:t xml:space="preserve">geldi. Mevsim ve takvim etkisinden arındırılmış serilere baktığımızda ise GSYH’nin bir önceki çeyreğe kıyasla yüzde </w:t>
      </w:r>
      <w:r w:rsidR="001B584B" w:rsidRPr="0002466A">
        <w:rPr>
          <w:rFonts w:ascii="Palatino Linotype" w:hAnsi="Palatino Linotype" w:cstheme="minorHAnsi"/>
          <w:sz w:val="22"/>
          <w:szCs w:val="22"/>
        </w:rPr>
        <w:t>0,9</w:t>
      </w:r>
      <w:r w:rsidRPr="0002466A">
        <w:rPr>
          <w:rFonts w:ascii="Palatino Linotype" w:hAnsi="Palatino Linotype" w:cstheme="minorHAnsi"/>
          <w:sz w:val="22"/>
          <w:szCs w:val="22"/>
        </w:rPr>
        <w:t xml:space="preserve"> büyüdüğünü ve </w:t>
      </w:r>
      <w:r w:rsidR="001B584B" w:rsidRPr="0002466A">
        <w:rPr>
          <w:rFonts w:ascii="Palatino Linotype" w:hAnsi="Palatino Linotype" w:cstheme="minorHAnsi"/>
          <w:sz w:val="22"/>
          <w:szCs w:val="22"/>
        </w:rPr>
        <w:t>stok değişimi dışındaki bütün kalemlerin bu büyümeye katkı yaptığını</w:t>
      </w:r>
      <w:r w:rsidR="00693FB8" w:rsidRPr="0002466A">
        <w:rPr>
          <w:rFonts w:ascii="Palatino Linotype" w:hAnsi="Palatino Linotype" w:cstheme="minorHAnsi"/>
          <w:sz w:val="22"/>
          <w:szCs w:val="22"/>
        </w:rPr>
        <w:t xml:space="preserve"> görüyoruz</w:t>
      </w:r>
      <w:r w:rsidRPr="0002466A">
        <w:rPr>
          <w:rFonts w:ascii="Palatino Linotype" w:hAnsi="Palatino Linotype" w:cstheme="minorHAnsi"/>
          <w:sz w:val="22"/>
          <w:szCs w:val="22"/>
        </w:rPr>
        <w:t xml:space="preserve">. </w:t>
      </w:r>
      <w:r w:rsidR="00693FB8" w:rsidRPr="0002466A">
        <w:rPr>
          <w:rFonts w:ascii="Palatino Linotype" w:hAnsi="Palatino Linotype" w:cstheme="minorHAnsi"/>
          <w:sz w:val="22"/>
          <w:szCs w:val="22"/>
        </w:rPr>
        <w:t>Hem yıldan yıla hem de çeyreklik büyüme rakamları</w:t>
      </w:r>
      <w:r w:rsidR="00F36F06" w:rsidRPr="0002466A">
        <w:rPr>
          <w:rFonts w:ascii="Palatino Linotype" w:hAnsi="Palatino Linotype" w:cstheme="minorHAnsi"/>
          <w:sz w:val="22"/>
          <w:szCs w:val="22"/>
        </w:rPr>
        <w:t xml:space="preserve"> Türkiye ekonomisinin </w:t>
      </w:r>
      <w:r w:rsidR="001F4E3D" w:rsidRPr="0002466A">
        <w:rPr>
          <w:rFonts w:ascii="Palatino Linotype" w:hAnsi="Palatino Linotype" w:cstheme="minorHAnsi"/>
          <w:sz w:val="22"/>
          <w:szCs w:val="22"/>
        </w:rPr>
        <w:t>bu dönem içerisinde uygulanan kapanmaya rağmen</w:t>
      </w:r>
      <w:r w:rsidR="00F36F06" w:rsidRPr="0002466A">
        <w:rPr>
          <w:rFonts w:ascii="Palatino Linotype" w:hAnsi="Palatino Linotype" w:cstheme="minorHAnsi"/>
          <w:sz w:val="22"/>
          <w:szCs w:val="22"/>
        </w:rPr>
        <w:t xml:space="preserve"> toparlanmaya devam ettiğini gösteriyor.</w:t>
      </w:r>
      <w:r w:rsidR="00693FB8" w:rsidRPr="0002466A">
        <w:rPr>
          <w:rFonts w:ascii="Palatino Linotype" w:hAnsi="Palatino Linotype" w:cstheme="minorHAnsi"/>
          <w:sz w:val="22"/>
          <w:szCs w:val="22"/>
        </w:rPr>
        <w:t xml:space="preserve"> </w:t>
      </w:r>
      <w:r w:rsidR="00F36F06" w:rsidRPr="0002466A">
        <w:rPr>
          <w:rFonts w:ascii="Palatino Linotype" w:hAnsi="Palatino Linotype" w:cstheme="minorHAnsi"/>
          <w:sz w:val="22"/>
          <w:szCs w:val="22"/>
        </w:rPr>
        <w:t xml:space="preserve">Aşılamada </w:t>
      </w:r>
      <w:r w:rsidR="00E27199" w:rsidRPr="0002466A">
        <w:rPr>
          <w:rFonts w:ascii="Palatino Linotype" w:hAnsi="Palatino Linotype" w:cstheme="minorHAnsi"/>
          <w:sz w:val="22"/>
          <w:szCs w:val="22"/>
        </w:rPr>
        <w:t>gerçekleşen</w:t>
      </w:r>
      <w:r w:rsidR="00F36F06" w:rsidRPr="0002466A">
        <w:rPr>
          <w:rFonts w:ascii="Palatino Linotype" w:hAnsi="Palatino Linotype" w:cstheme="minorHAnsi"/>
          <w:sz w:val="22"/>
          <w:szCs w:val="22"/>
        </w:rPr>
        <w:t xml:space="preserve"> hızlanmanın </w:t>
      </w:r>
      <w:r w:rsidR="00E27199" w:rsidRPr="0002466A">
        <w:rPr>
          <w:rFonts w:ascii="Palatino Linotype" w:hAnsi="Palatino Linotype" w:cstheme="minorHAnsi"/>
          <w:sz w:val="22"/>
          <w:szCs w:val="22"/>
        </w:rPr>
        <w:t>bu toparlanmayı sürdürmesi kuvvetle muhtemel gözüküyor.</w:t>
      </w:r>
      <w:r w:rsidR="00F36F06" w:rsidRPr="0002466A">
        <w:rPr>
          <w:rFonts w:ascii="Palatino Linotype" w:hAnsi="Palatino Linotype" w:cstheme="minorHAnsi"/>
          <w:sz w:val="22"/>
          <w:szCs w:val="22"/>
        </w:rPr>
        <w:t xml:space="preserve"> </w:t>
      </w:r>
    </w:p>
    <w:p w14:paraId="0B12BC6F" w14:textId="250A42E8" w:rsidR="00AC59ED" w:rsidRPr="00CC0355" w:rsidRDefault="00AC59ED" w:rsidP="00AC59ED">
      <w:pPr>
        <w:spacing w:line="300" w:lineRule="auto"/>
        <w:ind w:left="567" w:right="567"/>
        <w:jc w:val="both"/>
        <w:rPr>
          <w:rFonts w:ascii="Palatino Linotype" w:hAnsi="Palatino Linotype" w:cstheme="minorHAnsi"/>
          <w:sz w:val="22"/>
          <w:szCs w:val="22"/>
        </w:rPr>
      </w:pPr>
    </w:p>
    <w:bookmarkEnd w:id="0"/>
    <w:bookmarkEnd w:id="1"/>
    <w:p w14:paraId="225AD36F" w14:textId="4F4B484A" w:rsidR="00C1422A" w:rsidRPr="00CC0355" w:rsidRDefault="0001081A" w:rsidP="00C1422A">
      <w:pPr>
        <w:keepNext/>
        <w:ind w:right="77"/>
        <w:jc w:val="both"/>
        <w:rPr>
          <w:rFonts w:ascii="Palatino Linotype" w:hAnsi="Palatino Linotype" w:cstheme="minorHAnsi"/>
          <w:b/>
          <w:bCs/>
          <w:sz w:val="22"/>
          <w:szCs w:val="22"/>
        </w:rPr>
      </w:pPr>
      <w:r>
        <w:rPr>
          <w:rFonts w:ascii="Palatino Linotype" w:hAnsi="Palatino Linotype" w:cstheme="minorHAnsi"/>
          <w:noProof/>
        </w:rPr>
        <w:drawing>
          <wp:anchor distT="0" distB="0" distL="114300" distR="114300" simplePos="0" relativeHeight="251660288" behindDoc="1" locked="0" layoutInCell="1" allowOverlap="1" wp14:anchorId="6A449752" wp14:editId="09520464">
            <wp:simplePos x="0" y="0"/>
            <wp:positionH relativeFrom="margin">
              <wp:align>left</wp:align>
            </wp:positionH>
            <wp:positionV relativeFrom="paragraph">
              <wp:posOffset>715010</wp:posOffset>
            </wp:positionV>
            <wp:extent cx="3188335" cy="2420620"/>
            <wp:effectExtent l="0" t="0" r="0" b="0"/>
            <wp:wrapTight wrapText="bothSides">
              <wp:wrapPolygon edited="0">
                <wp:start x="0" y="0"/>
                <wp:lineTo x="0" y="21419"/>
                <wp:lineTo x="21424" y="21419"/>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2420620"/>
                    </a:xfrm>
                    <a:prstGeom prst="rect">
                      <a:avLst/>
                    </a:prstGeom>
                    <a:noFill/>
                  </pic:spPr>
                </pic:pic>
              </a:graphicData>
            </a:graphic>
            <wp14:sizeRelV relativeFrom="margin">
              <wp14:pctHeight>0</wp14:pctHeight>
            </wp14:sizeRelV>
          </wp:anchor>
        </w:drawing>
      </w:r>
      <w:r>
        <w:rPr>
          <w:rFonts w:ascii="Palatino Linotype" w:hAnsi="Palatino Linotype" w:cstheme="minorHAnsi"/>
          <w:noProof/>
        </w:rPr>
        <w:drawing>
          <wp:anchor distT="0" distB="0" distL="114300" distR="114300" simplePos="0" relativeHeight="251661312" behindDoc="1" locked="0" layoutInCell="1" allowOverlap="1" wp14:anchorId="66876E8D" wp14:editId="5ED736E6">
            <wp:simplePos x="0" y="0"/>
            <wp:positionH relativeFrom="column">
              <wp:posOffset>3262630</wp:posOffset>
            </wp:positionH>
            <wp:positionV relativeFrom="paragraph">
              <wp:posOffset>710565</wp:posOffset>
            </wp:positionV>
            <wp:extent cx="3188335" cy="2420620"/>
            <wp:effectExtent l="0" t="0" r="0" b="0"/>
            <wp:wrapTight wrapText="bothSides">
              <wp:wrapPolygon edited="0">
                <wp:start x="0" y="0"/>
                <wp:lineTo x="0" y="21419"/>
                <wp:lineTo x="21424" y="21419"/>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335" cy="2420620"/>
                    </a:xfrm>
                    <a:prstGeom prst="rect">
                      <a:avLst/>
                    </a:prstGeom>
                    <a:noFill/>
                  </pic:spPr>
                </pic:pic>
              </a:graphicData>
            </a:graphic>
          </wp:anchor>
        </w:drawing>
      </w:r>
      <w:r w:rsidR="00DA618C">
        <w:rPr>
          <w:rFonts w:ascii="Palatino Linotype" w:hAnsi="Palatino Linotype" w:cstheme="minorHAnsi"/>
          <w:sz w:val="22"/>
          <w:szCs w:val="22"/>
        </w:rPr>
        <w:t xml:space="preserve"> </w:t>
      </w:r>
      <w:r w:rsidR="001004FF" w:rsidRPr="00CC0355">
        <w:rPr>
          <w:rFonts w:ascii="Palatino Linotype" w:hAnsi="Palatino Linotype" w:cstheme="minorHAnsi"/>
          <w:sz w:val="22"/>
          <w:szCs w:val="22"/>
        </w:rPr>
        <w:br/>
      </w:r>
      <w:r w:rsidR="00C1422A" w:rsidRPr="00CC0355">
        <w:rPr>
          <w:rFonts w:ascii="Palatino Linotype" w:hAnsi="Palatino Linotype" w:cstheme="minorHAnsi"/>
          <w:b/>
          <w:bCs/>
          <w:sz w:val="22"/>
          <w:szCs w:val="22"/>
        </w:rPr>
        <w:t>Şekil 1: GSYH alt kalemlerinin 20</w:t>
      </w:r>
      <w:r w:rsidR="00BB0912">
        <w:rPr>
          <w:rFonts w:ascii="Palatino Linotype" w:hAnsi="Palatino Linotype" w:cstheme="minorHAnsi"/>
          <w:b/>
          <w:bCs/>
          <w:sz w:val="22"/>
          <w:szCs w:val="22"/>
        </w:rPr>
        <w:t>2</w:t>
      </w:r>
      <w:r w:rsidR="008949E0">
        <w:rPr>
          <w:rFonts w:ascii="Palatino Linotype" w:hAnsi="Palatino Linotype" w:cstheme="minorHAnsi"/>
          <w:b/>
          <w:bCs/>
          <w:sz w:val="22"/>
          <w:szCs w:val="22"/>
        </w:rPr>
        <w:t>1</w:t>
      </w:r>
      <w:r w:rsidR="00C1422A" w:rsidRPr="00CC0355">
        <w:rPr>
          <w:rFonts w:ascii="Palatino Linotype" w:hAnsi="Palatino Linotype" w:cstheme="minorHAnsi"/>
          <w:b/>
          <w:bCs/>
          <w:sz w:val="22"/>
          <w:szCs w:val="22"/>
        </w:rPr>
        <w:t xml:space="preserve"> </w:t>
      </w:r>
      <w:r w:rsidR="000F75B9">
        <w:rPr>
          <w:rFonts w:ascii="Palatino Linotype" w:hAnsi="Palatino Linotype" w:cstheme="minorHAnsi"/>
          <w:b/>
          <w:bCs/>
          <w:sz w:val="22"/>
          <w:szCs w:val="22"/>
        </w:rPr>
        <w:t>2</w:t>
      </w:r>
      <w:r w:rsidR="00C1422A" w:rsidRPr="00CC0355">
        <w:rPr>
          <w:rFonts w:ascii="Palatino Linotype" w:hAnsi="Palatino Linotype" w:cstheme="minorHAnsi"/>
          <w:b/>
          <w:bCs/>
          <w:sz w:val="22"/>
          <w:szCs w:val="22"/>
        </w:rPr>
        <w:t xml:space="preserve">. çeyrekte bir önceki yılın aynı çeyreğine göre büyümeye katkıları (sol şekil) ve büyüme oranları (sağ şekil) </w:t>
      </w:r>
    </w:p>
    <w:p w14:paraId="74B3CC38" w14:textId="4785EA9E" w:rsidR="008949E0" w:rsidRDefault="008949E0" w:rsidP="00E265D5">
      <w:pPr>
        <w:keepNext/>
        <w:ind w:right="-567"/>
        <w:rPr>
          <w:noProof/>
          <w:lang w:eastAsia="en-GB"/>
        </w:rPr>
      </w:pPr>
    </w:p>
    <w:p w14:paraId="27DDFB67" w14:textId="5A9B34E4" w:rsidR="00C1422A" w:rsidRPr="00CC0355" w:rsidRDefault="00C1422A" w:rsidP="00E265D5">
      <w:pPr>
        <w:keepNext/>
        <w:ind w:right="-567"/>
        <w:rPr>
          <w:rFonts w:ascii="Palatino Linotype" w:hAnsi="Palatino Linotype" w:cstheme="minorHAnsi"/>
        </w:rPr>
      </w:pPr>
      <w:r w:rsidRPr="00CC0355">
        <w:rPr>
          <w:rFonts w:ascii="Palatino Linotype" w:hAnsi="Palatino Linotype" w:cstheme="minorHAnsi"/>
          <w:sz w:val="18"/>
          <w:szCs w:val="18"/>
        </w:rPr>
        <w:t>Kaynak: TÜİK, Betam</w:t>
      </w:r>
      <w:r w:rsidRPr="00CC0355">
        <w:rPr>
          <w:rFonts w:ascii="Palatino Linotype" w:hAnsi="Palatino Linotype" w:cstheme="minorHAnsi"/>
          <w:sz w:val="16"/>
          <w:szCs w:val="16"/>
        </w:rPr>
        <w:t xml:space="preserve">. </w:t>
      </w:r>
    </w:p>
    <w:p w14:paraId="24C6C2F1" w14:textId="5A1C7A2D" w:rsidR="0033649B" w:rsidRPr="00CC0355"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7F5FEE1D" w:rsidR="006C3EE6" w:rsidRPr="00CC0355"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CC0355">
        <w:rPr>
          <w:rFonts w:ascii="Palatino Linotype" w:hAnsi="Palatino Linotype" w:cstheme="minorHAnsi"/>
          <w:b/>
          <w:bCs/>
          <w:sz w:val="22"/>
          <w:szCs w:val="22"/>
        </w:rPr>
        <w:lastRenderedPageBreak/>
        <w:t>Özel</w:t>
      </w:r>
      <w:r w:rsidR="00C11B5A" w:rsidRPr="00CC0355">
        <w:rPr>
          <w:rFonts w:ascii="Palatino Linotype" w:hAnsi="Palatino Linotype" w:cstheme="minorHAnsi"/>
          <w:b/>
          <w:bCs/>
          <w:sz w:val="22"/>
          <w:szCs w:val="22"/>
        </w:rPr>
        <w:t xml:space="preserve"> t</w:t>
      </w:r>
      <w:r w:rsidR="00D1282D" w:rsidRPr="00CC0355">
        <w:rPr>
          <w:rFonts w:ascii="Palatino Linotype" w:hAnsi="Palatino Linotype" w:cstheme="minorHAnsi"/>
          <w:b/>
          <w:bCs/>
          <w:sz w:val="22"/>
          <w:szCs w:val="22"/>
        </w:rPr>
        <w:t>üketim</w:t>
      </w:r>
      <w:r w:rsidR="00BB3FE6">
        <w:rPr>
          <w:rFonts w:ascii="Palatino Linotype" w:hAnsi="Palatino Linotype" w:cstheme="minorHAnsi"/>
          <w:b/>
          <w:bCs/>
          <w:sz w:val="22"/>
          <w:szCs w:val="22"/>
        </w:rPr>
        <w:t>de artış</w:t>
      </w:r>
    </w:p>
    <w:p w14:paraId="3D67829E" w14:textId="235292C3" w:rsidR="00044AF3"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2021 yılının ikinci çeyreğinde, GSYH alt kalemlerinin yıldan yıla artışlarında önemli bir baz etkisi göze çarpmaktadır. Bu çeyrekte özel tüketim yıllık yüzde 22,9 büyüyerek büyümeye 13,1 yüzde puan katkı yaptı</w:t>
      </w:r>
      <w:r w:rsidR="003C267D">
        <w:rPr>
          <w:rFonts w:ascii="Palatino Linotype" w:hAnsi="Palatino Linotype" w:cstheme="minorHAnsi"/>
          <w:sz w:val="22"/>
          <w:szCs w:val="22"/>
        </w:rPr>
        <w:t xml:space="preserve"> (</w:t>
      </w:r>
      <w:r w:rsidR="003F00A9" w:rsidRPr="00CC0355">
        <w:rPr>
          <w:rFonts w:ascii="Palatino Linotype" w:hAnsi="Palatino Linotype" w:cstheme="minorHAnsi"/>
          <w:sz w:val="22"/>
          <w:szCs w:val="22"/>
        </w:rPr>
        <w:t>Tablo 1). Mevsim ve takvim etkilerinden arındırılmış rakamlara baktığımızda ise özel tüketim</w:t>
      </w:r>
      <w:r w:rsidR="0061333E" w:rsidRPr="00CC0355">
        <w:rPr>
          <w:rFonts w:ascii="Palatino Linotype" w:hAnsi="Palatino Linotype" w:cstheme="minorHAnsi"/>
          <w:sz w:val="22"/>
          <w:szCs w:val="22"/>
        </w:rPr>
        <w:t>in</w:t>
      </w:r>
      <w:r w:rsidR="003F00A9" w:rsidRPr="00CC0355">
        <w:rPr>
          <w:rFonts w:ascii="Palatino Linotype" w:hAnsi="Palatino Linotype" w:cstheme="minorHAnsi"/>
          <w:sz w:val="22"/>
          <w:szCs w:val="22"/>
        </w:rPr>
        <w:t xml:space="preserve"> </w:t>
      </w:r>
      <w:r w:rsidR="00BD7F4E">
        <w:rPr>
          <w:rFonts w:ascii="Palatino Linotype" w:hAnsi="Palatino Linotype" w:cstheme="minorHAnsi"/>
          <w:sz w:val="22"/>
          <w:szCs w:val="22"/>
        </w:rPr>
        <w:t xml:space="preserve">yüzde </w:t>
      </w:r>
      <w:r w:rsidR="008949E0">
        <w:rPr>
          <w:rFonts w:ascii="Palatino Linotype" w:hAnsi="Palatino Linotype" w:cstheme="minorHAnsi"/>
          <w:sz w:val="22"/>
          <w:szCs w:val="22"/>
        </w:rPr>
        <w:t>1</w:t>
      </w:r>
      <w:r w:rsidR="003C267D">
        <w:rPr>
          <w:rFonts w:ascii="Palatino Linotype" w:hAnsi="Palatino Linotype" w:cstheme="minorHAnsi"/>
          <w:sz w:val="22"/>
          <w:szCs w:val="22"/>
        </w:rPr>
        <w:t>,</w:t>
      </w:r>
      <w:r w:rsidR="001D37D1">
        <w:rPr>
          <w:rFonts w:ascii="Palatino Linotype" w:hAnsi="Palatino Linotype" w:cstheme="minorHAnsi"/>
          <w:sz w:val="22"/>
          <w:szCs w:val="22"/>
        </w:rPr>
        <w:t>6</w:t>
      </w:r>
      <w:r w:rsidR="00BD7F4E">
        <w:rPr>
          <w:rFonts w:ascii="Palatino Linotype" w:hAnsi="Palatino Linotype" w:cstheme="minorHAnsi"/>
          <w:sz w:val="22"/>
          <w:szCs w:val="22"/>
        </w:rPr>
        <w:t xml:space="preserve"> </w:t>
      </w:r>
      <w:r w:rsidR="004D1A55">
        <w:rPr>
          <w:rFonts w:ascii="Palatino Linotype" w:hAnsi="Palatino Linotype" w:cstheme="minorHAnsi"/>
          <w:sz w:val="22"/>
          <w:szCs w:val="22"/>
        </w:rPr>
        <w:t>artışla</w:t>
      </w:r>
      <w:r w:rsidR="008949E0">
        <w:rPr>
          <w:rFonts w:ascii="Palatino Linotype" w:hAnsi="Palatino Linotype" w:cstheme="minorHAnsi"/>
          <w:sz w:val="22"/>
          <w:szCs w:val="22"/>
        </w:rPr>
        <w:t xml:space="preserve"> </w:t>
      </w:r>
      <w:r w:rsidR="00BD7F4E">
        <w:rPr>
          <w:rFonts w:ascii="Palatino Linotype" w:hAnsi="Palatino Linotype" w:cstheme="minorHAnsi"/>
          <w:sz w:val="22"/>
          <w:szCs w:val="22"/>
        </w:rPr>
        <w:t>büyümey</w:t>
      </w:r>
      <w:r w:rsidR="008949E0">
        <w:rPr>
          <w:rFonts w:ascii="Palatino Linotype" w:hAnsi="Palatino Linotype" w:cstheme="minorHAnsi"/>
          <w:sz w:val="22"/>
          <w:szCs w:val="22"/>
        </w:rPr>
        <w:t>i</w:t>
      </w:r>
      <w:r w:rsidR="00BD7F4E">
        <w:rPr>
          <w:rFonts w:ascii="Palatino Linotype" w:hAnsi="Palatino Linotype" w:cstheme="minorHAnsi"/>
          <w:sz w:val="22"/>
          <w:szCs w:val="22"/>
        </w:rPr>
        <w:t xml:space="preserve"> </w:t>
      </w:r>
      <w:r w:rsidR="001D37D1">
        <w:rPr>
          <w:rFonts w:ascii="Palatino Linotype" w:hAnsi="Palatino Linotype" w:cstheme="minorHAnsi"/>
          <w:sz w:val="22"/>
          <w:szCs w:val="22"/>
        </w:rPr>
        <w:t>0</w:t>
      </w:r>
      <w:r w:rsidR="003C267D">
        <w:rPr>
          <w:rFonts w:ascii="Palatino Linotype" w:hAnsi="Palatino Linotype" w:cstheme="minorHAnsi"/>
          <w:sz w:val="22"/>
          <w:szCs w:val="22"/>
        </w:rPr>
        <w:t>,</w:t>
      </w:r>
      <w:r w:rsidR="001D37D1">
        <w:rPr>
          <w:rFonts w:ascii="Palatino Linotype" w:hAnsi="Palatino Linotype" w:cstheme="minorHAnsi"/>
          <w:sz w:val="22"/>
          <w:szCs w:val="22"/>
        </w:rPr>
        <w:t>9</w:t>
      </w:r>
      <w:r w:rsidR="0061333E" w:rsidRPr="00CC0355">
        <w:rPr>
          <w:rFonts w:ascii="Palatino Linotype" w:hAnsi="Palatino Linotype" w:cstheme="minorHAnsi"/>
          <w:sz w:val="22"/>
          <w:szCs w:val="22"/>
        </w:rPr>
        <w:t xml:space="preserve"> yüzde puan</w:t>
      </w:r>
      <w:r w:rsidR="00DB5EFB">
        <w:rPr>
          <w:rFonts w:ascii="Palatino Linotype" w:hAnsi="Palatino Linotype" w:cstheme="minorHAnsi"/>
          <w:sz w:val="22"/>
          <w:szCs w:val="22"/>
        </w:rPr>
        <w:t xml:space="preserve"> </w:t>
      </w:r>
      <w:r w:rsidR="001D37D1">
        <w:rPr>
          <w:rFonts w:ascii="Palatino Linotype" w:hAnsi="Palatino Linotype" w:cstheme="minorHAnsi"/>
          <w:sz w:val="22"/>
          <w:szCs w:val="22"/>
        </w:rPr>
        <w:t xml:space="preserve">desteklediğini </w:t>
      </w:r>
      <w:r w:rsidR="003C267D">
        <w:rPr>
          <w:rFonts w:ascii="Palatino Linotype" w:hAnsi="Palatino Linotype" w:cstheme="minorHAnsi"/>
          <w:sz w:val="22"/>
          <w:szCs w:val="22"/>
        </w:rPr>
        <w:t>görüyoruz</w:t>
      </w:r>
      <w:r w:rsidR="003F00A9" w:rsidRPr="00CC0355">
        <w:rPr>
          <w:rFonts w:ascii="Palatino Linotype" w:hAnsi="Palatino Linotype" w:cstheme="minorHAnsi"/>
          <w:sz w:val="22"/>
          <w:szCs w:val="22"/>
        </w:rPr>
        <w:t xml:space="preserve"> (Tablo 2</w:t>
      </w:r>
      <w:r w:rsidR="00087011">
        <w:rPr>
          <w:rFonts w:ascii="Palatino Linotype" w:hAnsi="Palatino Linotype" w:cstheme="minorHAnsi"/>
          <w:sz w:val="22"/>
          <w:szCs w:val="22"/>
        </w:rPr>
        <w:t xml:space="preserve">). </w:t>
      </w:r>
      <w:r w:rsidR="001D37D1">
        <w:rPr>
          <w:rFonts w:ascii="Palatino Linotype" w:hAnsi="Palatino Linotype" w:cstheme="minorHAnsi"/>
          <w:sz w:val="22"/>
          <w:szCs w:val="22"/>
        </w:rPr>
        <w:t>İthalattaki daralma</w:t>
      </w:r>
      <w:r w:rsidR="000E3436">
        <w:rPr>
          <w:rFonts w:ascii="Palatino Linotype" w:hAnsi="Palatino Linotype" w:cstheme="minorHAnsi"/>
          <w:sz w:val="22"/>
          <w:szCs w:val="22"/>
        </w:rPr>
        <w:t xml:space="preserve"> ile </w:t>
      </w:r>
      <w:r w:rsidR="001D37D1">
        <w:rPr>
          <w:rFonts w:ascii="Palatino Linotype" w:hAnsi="Palatino Linotype" w:cstheme="minorHAnsi"/>
          <w:sz w:val="22"/>
          <w:szCs w:val="22"/>
        </w:rPr>
        <w:t>özel tüketim</w:t>
      </w:r>
      <w:r w:rsidR="000E3436">
        <w:rPr>
          <w:rFonts w:ascii="Palatino Linotype" w:hAnsi="Palatino Linotype" w:cstheme="minorHAnsi"/>
          <w:sz w:val="22"/>
          <w:szCs w:val="22"/>
        </w:rPr>
        <w:t xml:space="preserve"> artışı</w:t>
      </w:r>
      <w:r w:rsidR="001D37D1">
        <w:rPr>
          <w:rFonts w:ascii="Palatino Linotype" w:hAnsi="Palatino Linotype" w:cstheme="minorHAnsi"/>
          <w:sz w:val="22"/>
          <w:szCs w:val="22"/>
        </w:rPr>
        <w:t>, 2021 ikinci çeyrekte ekonomik büyümenin en önemli kayna</w:t>
      </w:r>
      <w:r w:rsidR="000E3436">
        <w:rPr>
          <w:rFonts w:ascii="Palatino Linotype" w:hAnsi="Palatino Linotype" w:cstheme="minorHAnsi"/>
          <w:sz w:val="22"/>
          <w:szCs w:val="22"/>
        </w:rPr>
        <w:t>kları</w:t>
      </w:r>
      <w:r w:rsidR="001D37D1">
        <w:rPr>
          <w:rFonts w:ascii="Palatino Linotype" w:hAnsi="Palatino Linotype" w:cstheme="minorHAnsi"/>
          <w:sz w:val="22"/>
          <w:szCs w:val="22"/>
        </w:rPr>
        <w:t xml:space="preserve"> oldu.</w:t>
      </w:r>
    </w:p>
    <w:p w14:paraId="376793DA" w14:textId="77777777" w:rsidR="0000013E" w:rsidRPr="00CC0355"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334A3C97" w:rsidR="004647F0"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1: </w:t>
      </w:r>
      <w:r w:rsidR="00D53424" w:rsidRPr="00CC0355">
        <w:rPr>
          <w:rFonts w:ascii="Palatino Linotype" w:hAnsi="Palatino Linotype" w:cstheme="minorHAnsi"/>
          <w:b/>
          <w:bCs/>
          <w:sz w:val="22"/>
          <w:szCs w:val="22"/>
        </w:rPr>
        <w:t xml:space="preserve">GSYH alt kalemlerinin </w:t>
      </w:r>
      <w:bookmarkStart w:id="2" w:name="OLE_LINK1"/>
      <w:bookmarkStart w:id="3" w:name="OLE_LINK2"/>
      <w:r w:rsidR="009F2483" w:rsidRPr="00CC0355">
        <w:rPr>
          <w:rFonts w:ascii="Palatino Linotype" w:hAnsi="Palatino Linotype" w:cstheme="minorHAnsi"/>
          <w:b/>
          <w:bCs/>
          <w:sz w:val="22"/>
          <w:szCs w:val="22"/>
        </w:rPr>
        <w:t>20</w:t>
      </w:r>
      <w:r w:rsidR="0001081A">
        <w:rPr>
          <w:rFonts w:ascii="Palatino Linotype" w:hAnsi="Palatino Linotype" w:cstheme="minorHAnsi"/>
          <w:b/>
          <w:bCs/>
          <w:sz w:val="22"/>
          <w:szCs w:val="22"/>
        </w:rPr>
        <w:t>21</w:t>
      </w:r>
      <w:r w:rsidR="009F2483" w:rsidRPr="00CC0355">
        <w:rPr>
          <w:rFonts w:ascii="Palatino Linotype" w:hAnsi="Palatino Linotype" w:cstheme="minorHAnsi"/>
          <w:b/>
          <w:bCs/>
          <w:sz w:val="22"/>
          <w:szCs w:val="22"/>
        </w:rPr>
        <w:t xml:space="preserve"> </w:t>
      </w:r>
      <w:r w:rsidR="0001081A">
        <w:rPr>
          <w:rFonts w:ascii="Palatino Linotype" w:hAnsi="Palatino Linotype" w:cstheme="minorHAnsi"/>
          <w:b/>
          <w:bCs/>
          <w:sz w:val="22"/>
          <w:szCs w:val="22"/>
        </w:rPr>
        <w:t>1</w:t>
      </w:r>
      <w:r w:rsidR="00632CF6" w:rsidRPr="00CC0355">
        <w:rPr>
          <w:rFonts w:ascii="Palatino Linotype" w:hAnsi="Palatino Linotype" w:cstheme="minorHAnsi"/>
          <w:b/>
          <w:bCs/>
          <w:sz w:val="22"/>
          <w:szCs w:val="22"/>
        </w:rPr>
        <w:t>. ve 20</w:t>
      </w:r>
      <w:r w:rsidR="00BB0912">
        <w:rPr>
          <w:rFonts w:ascii="Palatino Linotype" w:hAnsi="Palatino Linotype" w:cstheme="minorHAnsi"/>
          <w:b/>
          <w:bCs/>
          <w:sz w:val="22"/>
          <w:szCs w:val="22"/>
        </w:rPr>
        <w:t>2</w:t>
      </w:r>
      <w:r w:rsidR="008949E0">
        <w:rPr>
          <w:rFonts w:ascii="Palatino Linotype" w:hAnsi="Palatino Linotype" w:cstheme="minorHAnsi"/>
          <w:b/>
          <w:bCs/>
          <w:sz w:val="22"/>
          <w:szCs w:val="22"/>
        </w:rPr>
        <w:t>1</w:t>
      </w:r>
      <w:r w:rsidR="00632CF6" w:rsidRPr="00CC0355">
        <w:rPr>
          <w:rFonts w:ascii="Palatino Linotype" w:hAnsi="Palatino Linotype" w:cstheme="minorHAnsi"/>
          <w:b/>
          <w:bCs/>
          <w:sz w:val="22"/>
          <w:szCs w:val="22"/>
        </w:rPr>
        <w:t xml:space="preserve"> </w:t>
      </w:r>
      <w:r w:rsidR="0001081A">
        <w:rPr>
          <w:rFonts w:ascii="Palatino Linotype" w:hAnsi="Palatino Linotype" w:cstheme="minorHAnsi"/>
          <w:b/>
          <w:bCs/>
          <w:sz w:val="22"/>
          <w:szCs w:val="22"/>
        </w:rPr>
        <w:t>2</w:t>
      </w:r>
      <w:r w:rsidR="009F2483" w:rsidRPr="00CC0355">
        <w:rPr>
          <w:rFonts w:ascii="Palatino Linotype" w:hAnsi="Palatino Linotype" w:cstheme="minorHAnsi"/>
          <w:b/>
          <w:bCs/>
          <w:sz w:val="22"/>
          <w:szCs w:val="22"/>
        </w:rPr>
        <w:t>. çeyrekte</w:t>
      </w:r>
      <w:bookmarkEnd w:id="2"/>
      <w:bookmarkEnd w:id="3"/>
      <w:r w:rsidR="009F2483"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yılın aynı çeyreğine göre büyüme oranları ve büyümeye katkıları</w:t>
      </w:r>
    </w:p>
    <w:p w14:paraId="3BD50814" w14:textId="77777777" w:rsidR="008949E0" w:rsidRDefault="008949E0" w:rsidP="006C3EE6">
      <w:pPr>
        <w:keepNext/>
        <w:ind w:right="77"/>
        <w:jc w:val="both"/>
        <w:rPr>
          <w:rFonts w:ascii="Palatino Linotype" w:hAnsi="Palatino Linotype" w:cstheme="minorHAnsi"/>
          <w:b/>
          <w:bCs/>
          <w:sz w:val="22"/>
          <w:szCs w:val="22"/>
        </w:rPr>
      </w:pPr>
    </w:p>
    <w:tbl>
      <w:tblPr>
        <w:tblW w:w="5920" w:type="dxa"/>
        <w:tblCellMar>
          <w:left w:w="70" w:type="dxa"/>
          <w:right w:w="70" w:type="dxa"/>
        </w:tblCellMar>
        <w:tblLook w:val="04A0" w:firstRow="1" w:lastRow="0" w:firstColumn="1" w:lastColumn="0" w:noHBand="0" w:noVBand="1"/>
      </w:tblPr>
      <w:tblGrid>
        <w:gridCol w:w="1480"/>
        <w:gridCol w:w="1259"/>
        <w:gridCol w:w="961"/>
        <w:gridCol w:w="1259"/>
        <w:gridCol w:w="961"/>
      </w:tblGrid>
      <w:tr w:rsidR="0001081A" w:rsidRPr="0001081A" w14:paraId="3AEC81DC" w14:textId="77777777" w:rsidTr="0001081A">
        <w:trPr>
          <w:trHeight w:val="282"/>
        </w:trPr>
        <w:tc>
          <w:tcPr>
            <w:tcW w:w="1480" w:type="dxa"/>
            <w:tcBorders>
              <w:top w:val="nil"/>
              <w:left w:val="nil"/>
              <w:bottom w:val="nil"/>
              <w:right w:val="nil"/>
            </w:tcBorders>
            <w:shd w:val="clear" w:color="000000" w:fill="FFFFFF"/>
            <w:noWrap/>
            <w:vAlign w:val="bottom"/>
            <w:hideMark/>
          </w:tcPr>
          <w:p w14:paraId="31DB8915"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E26C3F1"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2021Q1</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037E22C"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2021Q2</w:t>
            </w:r>
          </w:p>
        </w:tc>
      </w:tr>
      <w:tr w:rsidR="0001081A" w:rsidRPr="0001081A" w14:paraId="755F4B4E" w14:textId="77777777" w:rsidTr="0001081A">
        <w:trPr>
          <w:trHeight w:val="282"/>
        </w:trPr>
        <w:tc>
          <w:tcPr>
            <w:tcW w:w="1480" w:type="dxa"/>
            <w:tcBorders>
              <w:top w:val="nil"/>
              <w:left w:val="nil"/>
              <w:bottom w:val="nil"/>
              <w:right w:val="nil"/>
            </w:tcBorders>
            <w:shd w:val="clear" w:color="000000" w:fill="FFFFFF"/>
            <w:noWrap/>
            <w:vAlign w:val="bottom"/>
            <w:hideMark/>
          </w:tcPr>
          <w:p w14:paraId="1E3EA087"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63A11915"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364C23C1"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220476E3"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205198CA"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Katkı (%)</w:t>
            </w:r>
          </w:p>
        </w:tc>
      </w:tr>
      <w:tr w:rsidR="0001081A" w:rsidRPr="0001081A" w14:paraId="6A5B5B9F" w14:textId="77777777" w:rsidTr="0001081A">
        <w:trPr>
          <w:trHeight w:val="282"/>
        </w:trPr>
        <w:tc>
          <w:tcPr>
            <w:tcW w:w="1480" w:type="dxa"/>
            <w:tcBorders>
              <w:top w:val="single" w:sz="4" w:space="0" w:color="auto"/>
              <w:left w:val="nil"/>
              <w:bottom w:val="nil"/>
              <w:right w:val="nil"/>
            </w:tcBorders>
            <w:shd w:val="clear" w:color="000000" w:fill="FFFFFF"/>
            <w:noWrap/>
            <w:vAlign w:val="bottom"/>
            <w:hideMark/>
          </w:tcPr>
          <w:p w14:paraId="63D8EBF1"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Özel Tüketim</w:t>
            </w:r>
          </w:p>
        </w:tc>
        <w:tc>
          <w:tcPr>
            <w:tcW w:w="1259" w:type="dxa"/>
            <w:tcBorders>
              <w:top w:val="nil"/>
              <w:left w:val="single" w:sz="4" w:space="0" w:color="auto"/>
              <w:bottom w:val="nil"/>
              <w:right w:val="nil"/>
            </w:tcBorders>
            <w:shd w:val="clear" w:color="000000" w:fill="FFFFFF"/>
            <w:noWrap/>
            <w:vAlign w:val="bottom"/>
            <w:hideMark/>
          </w:tcPr>
          <w:p w14:paraId="13E05917"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7,0</w:t>
            </w:r>
          </w:p>
        </w:tc>
        <w:tc>
          <w:tcPr>
            <w:tcW w:w="961" w:type="dxa"/>
            <w:tcBorders>
              <w:top w:val="single" w:sz="4" w:space="0" w:color="auto"/>
              <w:left w:val="nil"/>
              <w:bottom w:val="nil"/>
              <w:right w:val="single" w:sz="4" w:space="0" w:color="auto"/>
            </w:tcBorders>
            <w:shd w:val="clear" w:color="000000" w:fill="FFFFFF"/>
            <w:noWrap/>
            <w:vAlign w:val="bottom"/>
            <w:hideMark/>
          </w:tcPr>
          <w:p w14:paraId="20C68759"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4,0</w:t>
            </w:r>
          </w:p>
        </w:tc>
        <w:tc>
          <w:tcPr>
            <w:tcW w:w="1259" w:type="dxa"/>
            <w:tcBorders>
              <w:top w:val="single" w:sz="4" w:space="0" w:color="auto"/>
              <w:left w:val="nil"/>
              <w:bottom w:val="nil"/>
              <w:right w:val="nil"/>
            </w:tcBorders>
            <w:shd w:val="clear" w:color="000000" w:fill="FFFFFF"/>
            <w:noWrap/>
            <w:vAlign w:val="bottom"/>
            <w:hideMark/>
          </w:tcPr>
          <w:p w14:paraId="7B431973"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22,9</w:t>
            </w:r>
          </w:p>
        </w:tc>
        <w:tc>
          <w:tcPr>
            <w:tcW w:w="961" w:type="dxa"/>
            <w:tcBorders>
              <w:top w:val="single" w:sz="4" w:space="0" w:color="auto"/>
              <w:left w:val="nil"/>
              <w:bottom w:val="nil"/>
              <w:right w:val="single" w:sz="4" w:space="0" w:color="auto"/>
            </w:tcBorders>
            <w:shd w:val="clear" w:color="000000" w:fill="FFFFFF"/>
            <w:noWrap/>
            <w:vAlign w:val="bottom"/>
            <w:hideMark/>
          </w:tcPr>
          <w:p w14:paraId="583452DA"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13,1</w:t>
            </w:r>
          </w:p>
        </w:tc>
      </w:tr>
      <w:tr w:rsidR="0001081A" w:rsidRPr="0001081A" w14:paraId="404309F2" w14:textId="77777777" w:rsidTr="0001081A">
        <w:trPr>
          <w:trHeight w:val="282"/>
        </w:trPr>
        <w:tc>
          <w:tcPr>
            <w:tcW w:w="1480" w:type="dxa"/>
            <w:tcBorders>
              <w:top w:val="nil"/>
              <w:left w:val="nil"/>
              <w:bottom w:val="nil"/>
              <w:right w:val="nil"/>
            </w:tcBorders>
            <w:shd w:val="clear" w:color="000000" w:fill="FFFFFF"/>
            <w:noWrap/>
            <w:vAlign w:val="bottom"/>
            <w:hideMark/>
          </w:tcPr>
          <w:p w14:paraId="4DD6C837"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43CBBD92"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0,7</w:t>
            </w:r>
          </w:p>
        </w:tc>
        <w:tc>
          <w:tcPr>
            <w:tcW w:w="961" w:type="dxa"/>
            <w:tcBorders>
              <w:top w:val="nil"/>
              <w:left w:val="nil"/>
              <w:bottom w:val="nil"/>
              <w:right w:val="single" w:sz="4" w:space="0" w:color="auto"/>
            </w:tcBorders>
            <w:shd w:val="clear" w:color="000000" w:fill="FFFFFF"/>
            <w:noWrap/>
            <w:vAlign w:val="bottom"/>
            <w:hideMark/>
          </w:tcPr>
          <w:p w14:paraId="7A3470D6"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0,1</w:t>
            </w:r>
          </w:p>
        </w:tc>
        <w:tc>
          <w:tcPr>
            <w:tcW w:w="1259" w:type="dxa"/>
            <w:tcBorders>
              <w:top w:val="nil"/>
              <w:left w:val="nil"/>
              <w:bottom w:val="nil"/>
              <w:right w:val="nil"/>
            </w:tcBorders>
            <w:shd w:val="clear" w:color="000000" w:fill="FFFFFF"/>
            <w:noWrap/>
            <w:vAlign w:val="bottom"/>
            <w:hideMark/>
          </w:tcPr>
          <w:p w14:paraId="48D9CA09"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4,2</w:t>
            </w:r>
          </w:p>
        </w:tc>
        <w:tc>
          <w:tcPr>
            <w:tcW w:w="961" w:type="dxa"/>
            <w:tcBorders>
              <w:top w:val="nil"/>
              <w:left w:val="nil"/>
              <w:bottom w:val="nil"/>
              <w:right w:val="single" w:sz="4" w:space="0" w:color="auto"/>
            </w:tcBorders>
            <w:shd w:val="clear" w:color="000000" w:fill="FFFFFF"/>
            <w:noWrap/>
            <w:vAlign w:val="bottom"/>
            <w:hideMark/>
          </w:tcPr>
          <w:p w14:paraId="6628A4B1"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0,7</w:t>
            </w:r>
          </w:p>
        </w:tc>
      </w:tr>
      <w:tr w:rsidR="0001081A" w:rsidRPr="0001081A" w14:paraId="364AF69A" w14:textId="77777777" w:rsidTr="0001081A">
        <w:trPr>
          <w:trHeight w:val="282"/>
        </w:trPr>
        <w:tc>
          <w:tcPr>
            <w:tcW w:w="1480" w:type="dxa"/>
            <w:tcBorders>
              <w:top w:val="nil"/>
              <w:left w:val="nil"/>
              <w:bottom w:val="nil"/>
              <w:right w:val="nil"/>
            </w:tcBorders>
            <w:shd w:val="clear" w:color="000000" w:fill="FFFFFF"/>
            <w:noWrap/>
            <w:vAlign w:val="bottom"/>
            <w:hideMark/>
          </w:tcPr>
          <w:p w14:paraId="66E1551D"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6D8B2F52"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12,4</w:t>
            </w:r>
          </w:p>
        </w:tc>
        <w:tc>
          <w:tcPr>
            <w:tcW w:w="961" w:type="dxa"/>
            <w:tcBorders>
              <w:top w:val="nil"/>
              <w:left w:val="nil"/>
              <w:bottom w:val="nil"/>
              <w:right w:val="single" w:sz="4" w:space="0" w:color="auto"/>
            </w:tcBorders>
            <w:shd w:val="clear" w:color="000000" w:fill="FFFFFF"/>
            <w:noWrap/>
            <w:vAlign w:val="bottom"/>
            <w:hideMark/>
          </w:tcPr>
          <w:p w14:paraId="0FA34B50"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3,2</w:t>
            </w:r>
          </w:p>
        </w:tc>
        <w:tc>
          <w:tcPr>
            <w:tcW w:w="1259" w:type="dxa"/>
            <w:tcBorders>
              <w:top w:val="nil"/>
              <w:left w:val="nil"/>
              <w:bottom w:val="nil"/>
              <w:right w:val="nil"/>
            </w:tcBorders>
            <w:shd w:val="clear" w:color="000000" w:fill="FFFFFF"/>
            <w:noWrap/>
            <w:vAlign w:val="bottom"/>
            <w:hideMark/>
          </w:tcPr>
          <w:p w14:paraId="068CEC8C"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20,3</w:t>
            </w:r>
          </w:p>
        </w:tc>
        <w:tc>
          <w:tcPr>
            <w:tcW w:w="961" w:type="dxa"/>
            <w:tcBorders>
              <w:top w:val="nil"/>
              <w:left w:val="nil"/>
              <w:bottom w:val="nil"/>
              <w:right w:val="single" w:sz="4" w:space="0" w:color="auto"/>
            </w:tcBorders>
            <w:shd w:val="clear" w:color="000000" w:fill="FFFFFF"/>
            <w:noWrap/>
            <w:vAlign w:val="bottom"/>
            <w:hideMark/>
          </w:tcPr>
          <w:p w14:paraId="675B57FA"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5,6</w:t>
            </w:r>
          </w:p>
        </w:tc>
      </w:tr>
      <w:tr w:rsidR="0001081A" w:rsidRPr="0001081A" w14:paraId="28920240" w14:textId="77777777" w:rsidTr="0001081A">
        <w:trPr>
          <w:trHeight w:val="282"/>
        </w:trPr>
        <w:tc>
          <w:tcPr>
            <w:tcW w:w="1480" w:type="dxa"/>
            <w:tcBorders>
              <w:top w:val="nil"/>
              <w:left w:val="nil"/>
              <w:bottom w:val="nil"/>
              <w:right w:val="nil"/>
            </w:tcBorders>
            <w:shd w:val="clear" w:color="000000" w:fill="FFFFFF"/>
            <w:noWrap/>
            <w:vAlign w:val="bottom"/>
            <w:hideMark/>
          </w:tcPr>
          <w:p w14:paraId="74E3312F"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4AE2BD9A"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77909B94"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-1,8</w:t>
            </w:r>
          </w:p>
        </w:tc>
        <w:tc>
          <w:tcPr>
            <w:tcW w:w="1259" w:type="dxa"/>
            <w:tcBorders>
              <w:top w:val="nil"/>
              <w:left w:val="nil"/>
              <w:bottom w:val="nil"/>
              <w:right w:val="nil"/>
            </w:tcBorders>
            <w:shd w:val="clear" w:color="000000" w:fill="FFFFFF"/>
            <w:noWrap/>
            <w:vAlign w:val="bottom"/>
            <w:hideMark/>
          </w:tcPr>
          <w:p w14:paraId="01AD666B"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743ECED7"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-6,3</w:t>
            </w:r>
          </w:p>
        </w:tc>
      </w:tr>
      <w:tr w:rsidR="0001081A" w:rsidRPr="0001081A" w14:paraId="63BD4446" w14:textId="77777777" w:rsidTr="0001081A">
        <w:trPr>
          <w:trHeight w:val="282"/>
        </w:trPr>
        <w:tc>
          <w:tcPr>
            <w:tcW w:w="1480" w:type="dxa"/>
            <w:tcBorders>
              <w:top w:val="nil"/>
              <w:left w:val="nil"/>
              <w:bottom w:val="nil"/>
              <w:right w:val="nil"/>
            </w:tcBorders>
            <w:shd w:val="clear" w:color="000000" w:fill="FFFFFF"/>
            <w:noWrap/>
            <w:vAlign w:val="bottom"/>
            <w:hideMark/>
          </w:tcPr>
          <w:p w14:paraId="046D0A46"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662FDBAC"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3,0</w:t>
            </w:r>
          </w:p>
        </w:tc>
        <w:tc>
          <w:tcPr>
            <w:tcW w:w="961" w:type="dxa"/>
            <w:tcBorders>
              <w:top w:val="nil"/>
              <w:left w:val="nil"/>
              <w:bottom w:val="nil"/>
              <w:right w:val="single" w:sz="4" w:space="0" w:color="auto"/>
            </w:tcBorders>
            <w:shd w:val="clear" w:color="000000" w:fill="FFFFFF"/>
            <w:noWrap/>
            <w:vAlign w:val="bottom"/>
            <w:hideMark/>
          </w:tcPr>
          <w:p w14:paraId="550B30D2"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1,2</w:t>
            </w:r>
          </w:p>
        </w:tc>
        <w:tc>
          <w:tcPr>
            <w:tcW w:w="1259" w:type="dxa"/>
            <w:tcBorders>
              <w:top w:val="nil"/>
              <w:left w:val="nil"/>
              <w:bottom w:val="nil"/>
              <w:right w:val="nil"/>
            </w:tcBorders>
            <w:shd w:val="clear" w:color="000000" w:fill="FFFFFF"/>
            <w:noWrap/>
            <w:vAlign w:val="bottom"/>
            <w:hideMark/>
          </w:tcPr>
          <w:p w14:paraId="295CD23D"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59,9</w:t>
            </w:r>
          </w:p>
        </w:tc>
        <w:tc>
          <w:tcPr>
            <w:tcW w:w="961" w:type="dxa"/>
            <w:tcBorders>
              <w:top w:val="nil"/>
              <w:left w:val="nil"/>
              <w:bottom w:val="nil"/>
              <w:right w:val="single" w:sz="4" w:space="0" w:color="auto"/>
            </w:tcBorders>
            <w:shd w:val="clear" w:color="000000" w:fill="FFFFFF"/>
            <w:noWrap/>
            <w:vAlign w:val="bottom"/>
            <w:hideMark/>
          </w:tcPr>
          <w:p w14:paraId="68FA41DA"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14,3</w:t>
            </w:r>
          </w:p>
        </w:tc>
      </w:tr>
      <w:tr w:rsidR="0001081A" w:rsidRPr="0001081A" w14:paraId="2E43521E" w14:textId="77777777" w:rsidTr="0001081A">
        <w:trPr>
          <w:trHeight w:val="282"/>
        </w:trPr>
        <w:tc>
          <w:tcPr>
            <w:tcW w:w="1480" w:type="dxa"/>
            <w:tcBorders>
              <w:top w:val="nil"/>
              <w:left w:val="nil"/>
              <w:bottom w:val="nil"/>
              <w:right w:val="nil"/>
            </w:tcBorders>
            <w:shd w:val="clear" w:color="000000" w:fill="FFFFFF"/>
            <w:noWrap/>
            <w:vAlign w:val="bottom"/>
            <w:hideMark/>
          </w:tcPr>
          <w:p w14:paraId="6EF129D6"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14:paraId="34DEF2F9"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-1,8</w:t>
            </w:r>
          </w:p>
        </w:tc>
        <w:tc>
          <w:tcPr>
            <w:tcW w:w="961" w:type="dxa"/>
            <w:tcBorders>
              <w:top w:val="nil"/>
              <w:left w:val="nil"/>
              <w:bottom w:val="nil"/>
              <w:right w:val="single" w:sz="4" w:space="0" w:color="auto"/>
            </w:tcBorders>
            <w:shd w:val="clear" w:color="000000" w:fill="FFFFFF"/>
            <w:noWrap/>
            <w:vAlign w:val="bottom"/>
            <w:hideMark/>
          </w:tcPr>
          <w:p w14:paraId="681C1A97"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0,6</w:t>
            </w:r>
          </w:p>
        </w:tc>
        <w:tc>
          <w:tcPr>
            <w:tcW w:w="1259" w:type="dxa"/>
            <w:tcBorders>
              <w:top w:val="nil"/>
              <w:left w:val="nil"/>
              <w:bottom w:val="nil"/>
              <w:right w:val="nil"/>
            </w:tcBorders>
            <w:shd w:val="clear" w:color="000000" w:fill="FFFFFF"/>
            <w:noWrap/>
            <w:vAlign w:val="bottom"/>
            <w:hideMark/>
          </w:tcPr>
          <w:p w14:paraId="1934EE6C"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19,2</w:t>
            </w:r>
          </w:p>
        </w:tc>
        <w:tc>
          <w:tcPr>
            <w:tcW w:w="961" w:type="dxa"/>
            <w:tcBorders>
              <w:top w:val="nil"/>
              <w:left w:val="nil"/>
              <w:bottom w:val="nil"/>
              <w:right w:val="single" w:sz="4" w:space="0" w:color="auto"/>
            </w:tcBorders>
            <w:shd w:val="clear" w:color="000000" w:fill="FFFFFF"/>
            <w:noWrap/>
            <w:vAlign w:val="bottom"/>
            <w:hideMark/>
          </w:tcPr>
          <w:p w14:paraId="1EAB575D"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-5,6</w:t>
            </w:r>
          </w:p>
        </w:tc>
      </w:tr>
      <w:tr w:rsidR="0001081A" w:rsidRPr="0001081A" w14:paraId="784475B8" w14:textId="77777777" w:rsidTr="0001081A">
        <w:trPr>
          <w:trHeight w:val="315"/>
        </w:trPr>
        <w:tc>
          <w:tcPr>
            <w:tcW w:w="1480" w:type="dxa"/>
            <w:tcBorders>
              <w:top w:val="nil"/>
              <w:left w:val="nil"/>
              <w:bottom w:val="double" w:sz="6" w:space="0" w:color="auto"/>
              <w:right w:val="nil"/>
            </w:tcBorders>
            <w:shd w:val="clear" w:color="000000" w:fill="FFFFFF"/>
            <w:noWrap/>
            <w:vAlign w:val="bottom"/>
            <w:hideMark/>
          </w:tcPr>
          <w:p w14:paraId="67B21FBD"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37788382"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7,2</w:t>
            </w:r>
          </w:p>
        </w:tc>
        <w:tc>
          <w:tcPr>
            <w:tcW w:w="961" w:type="dxa"/>
            <w:tcBorders>
              <w:top w:val="nil"/>
              <w:left w:val="nil"/>
              <w:bottom w:val="double" w:sz="6" w:space="0" w:color="auto"/>
              <w:right w:val="single" w:sz="4" w:space="0" w:color="auto"/>
            </w:tcBorders>
            <w:shd w:val="clear" w:color="000000" w:fill="FFFFFF"/>
            <w:noWrap/>
            <w:vAlign w:val="bottom"/>
            <w:hideMark/>
          </w:tcPr>
          <w:p w14:paraId="2559D0A5"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14:paraId="01A6092F"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21,7</w:t>
            </w:r>
          </w:p>
        </w:tc>
        <w:tc>
          <w:tcPr>
            <w:tcW w:w="961" w:type="dxa"/>
            <w:tcBorders>
              <w:top w:val="nil"/>
              <w:left w:val="nil"/>
              <w:bottom w:val="double" w:sz="6" w:space="0" w:color="auto"/>
              <w:right w:val="single" w:sz="4" w:space="0" w:color="auto"/>
            </w:tcBorders>
            <w:shd w:val="clear" w:color="000000" w:fill="FFFFFF"/>
            <w:noWrap/>
            <w:vAlign w:val="bottom"/>
            <w:hideMark/>
          </w:tcPr>
          <w:p w14:paraId="59BB0F3D"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 </w:t>
            </w:r>
          </w:p>
        </w:tc>
      </w:tr>
    </w:tbl>
    <w:p w14:paraId="68ED2418" w14:textId="664BD983" w:rsidR="00405BD8" w:rsidRDefault="003D44CE"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1168EB3F"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01081A">
        <w:rPr>
          <w:rFonts w:ascii="Palatino Linotype" w:hAnsi="Palatino Linotype" w:cstheme="minorHAnsi"/>
          <w:b/>
          <w:bCs/>
          <w:sz w:val="22"/>
          <w:szCs w:val="22"/>
        </w:rPr>
        <w:t>21</w:t>
      </w:r>
      <w:r w:rsidR="00CC0355">
        <w:rPr>
          <w:rFonts w:ascii="Palatino Linotype" w:hAnsi="Palatino Linotype" w:cstheme="minorHAnsi"/>
          <w:b/>
          <w:bCs/>
          <w:sz w:val="22"/>
          <w:szCs w:val="22"/>
        </w:rPr>
        <w:t xml:space="preserve"> </w:t>
      </w:r>
      <w:r w:rsidR="0001081A">
        <w:rPr>
          <w:rFonts w:ascii="Palatino Linotype" w:hAnsi="Palatino Linotype" w:cstheme="minorHAnsi"/>
          <w:b/>
          <w:bCs/>
          <w:sz w:val="22"/>
          <w:szCs w:val="22"/>
        </w:rPr>
        <w:t>1</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8949E0">
        <w:rPr>
          <w:rFonts w:ascii="Palatino Linotype" w:hAnsi="Palatino Linotype" w:cstheme="minorHAnsi"/>
          <w:b/>
          <w:bCs/>
          <w:sz w:val="22"/>
          <w:szCs w:val="22"/>
        </w:rPr>
        <w:t>1</w:t>
      </w:r>
      <w:r w:rsidR="00CC0355">
        <w:rPr>
          <w:rFonts w:ascii="Palatino Linotype" w:hAnsi="Palatino Linotype" w:cstheme="minorHAnsi"/>
          <w:b/>
          <w:bCs/>
          <w:sz w:val="22"/>
          <w:szCs w:val="22"/>
        </w:rPr>
        <w:t xml:space="preserve"> </w:t>
      </w:r>
      <w:r w:rsidR="0001081A">
        <w:rPr>
          <w:rFonts w:ascii="Palatino Linotype" w:hAnsi="Palatino Linotype" w:cstheme="minorHAnsi"/>
          <w:b/>
          <w:bCs/>
          <w:sz w:val="22"/>
          <w:szCs w:val="22"/>
        </w:rPr>
        <w:t>2</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CellMar>
          <w:left w:w="70" w:type="dxa"/>
          <w:right w:w="70" w:type="dxa"/>
        </w:tblCellMar>
        <w:tblLook w:val="04A0" w:firstRow="1" w:lastRow="0" w:firstColumn="1" w:lastColumn="0" w:noHBand="0" w:noVBand="1"/>
      </w:tblPr>
      <w:tblGrid>
        <w:gridCol w:w="1480"/>
        <w:gridCol w:w="1259"/>
        <w:gridCol w:w="961"/>
        <w:gridCol w:w="1259"/>
        <w:gridCol w:w="961"/>
      </w:tblGrid>
      <w:tr w:rsidR="0001081A" w:rsidRPr="0001081A" w14:paraId="4763D472" w14:textId="77777777" w:rsidTr="0001081A">
        <w:trPr>
          <w:trHeight w:val="282"/>
        </w:trPr>
        <w:tc>
          <w:tcPr>
            <w:tcW w:w="1480" w:type="dxa"/>
            <w:tcBorders>
              <w:top w:val="nil"/>
              <w:left w:val="nil"/>
              <w:bottom w:val="nil"/>
              <w:right w:val="nil"/>
            </w:tcBorders>
            <w:shd w:val="clear" w:color="000000" w:fill="FFFFFF"/>
            <w:noWrap/>
            <w:vAlign w:val="bottom"/>
            <w:hideMark/>
          </w:tcPr>
          <w:p w14:paraId="215DC5C4"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578A674"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2021Q1</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096771A"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2021Q2</w:t>
            </w:r>
          </w:p>
        </w:tc>
      </w:tr>
      <w:tr w:rsidR="0001081A" w:rsidRPr="0001081A" w14:paraId="47EFBB60" w14:textId="77777777" w:rsidTr="0001081A">
        <w:trPr>
          <w:trHeight w:val="282"/>
        </w:trPr>
        <w:tc>
          <w:tcPr>
            <w:tcW w:w="1480" w:type="dxa"/>
            <w:tcBorders>
              <w:top w:val="nil"/>
              <w:left w:val="nil"/>
              <w:bottom w:val="nil"/>
              <w:right w:val="nil"/>
            </w:tcBorders>
            <w:shd w:val="clear" w:color="000000" w:fill="FFFFFF"/>
            <w:noWrap/>
            <w:vAlign w:val="bottom"/>
            <w:hideMark/>
          </w:tcPr>
          <w:p w14:paraId="5BD9F580"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 </w:t>
            </w:r>
          </w:p>
        </w:tc>
        <w:tc>
          <w:tcPr>
            <w:tcW w:w="1259" w:type="dxa"/>
            <w:tcBorders>
              <w:top w:val="nil"/>
              <w:left w:val="single" w:sz="4" w:space="0" w:color="auto"/>
              <w:bottom w:val="nil"/>
              <w:right w:val="nil"/>
            </w:tcBorders>
            <w:shd w:val="clear" w:color="000000" w:fill="FFFFFF"/>
            <w:noWrap/>
            <w:vAlign w:val="bottom"/>
            <w:hideMark/>
          </w:tcPr>
          <w:p w14:paraId="53AC1268"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0B4AF0A2"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54FE29F4"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359C4AD6" w14:textId="77777777" w:rsidR="0001081A" w:rsidRPr="0001081A" w:rsidRDefault="0001081A" w:rsidP="0001081A">
            <w:pPr>
              <w:jc w:val="center"/>
              <w:rPr>
                <w:rFonts w:ascii="Calibri" w:hAnsi="Calibri"/>
                <w:b/>
                <w:bCs/>
                <w:color w:val="000000"/>
                <w:sz w:val="20"/>
                <w:szCs w:val="20"/>
              </w:rPr>
            </w:pPr>
            <w:r w:rsidRPr="0001081A">
              <w:rPr>
                <w:rFonts w:ascii="Calibri" w:hAnsi="Calibri"/>
                <w:b/>
                <w:bCs/>
                <w:color w:val="000000"/>
                <w:sz w:val="20"/>
                <w:szCs w:val="20"/>
              </w:rPr>
              <w:t>Katkı (%)</w:t>
            </w:r>
          </w:p>
        </w:tc>
      </w:tr>
      <w:tr w:rsidR="0001081A" w:rsidRPr="0001081A" w14:paraId="2D443028" w14:textId="77777777" w:rsidTr="0001081A">
        <w:trPr>
          <w:trHeight w:val="282"/>
        </w:trPr>
        <w:tc>
          <w:tcPr>
            <w:tcW w:w="1480" w:type="dxa"/>
            <w:tcBorders>
              <w:top w:val="single" w:sz="4" w:space="0" w:color="auto"/>
              <w:left w:val="nil"/>
              <w:bottom w:val="nil"/>
              <w:right w:val="nil"/>
            </w:tcBorders>
            <w:shd w:val="clear" w:color="000000" w:fill="FFFFFF"/>
            <w:noWrap/>
            <w:vAlign w:val="bottom"/>
            <w:hideMark/>
          </w:tcPr>
          <w:p w14:paraId="52F41E3A"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7A38746E"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-0,7</w:t>
            </w:r>
          </w:p>
        </w:tc>
        <w:tc>
          <w:tcPr>
            <w:tcW w:w="961" w:type="dxa"/>
            <w:tcBorders>
              <w:top w:val="single" w:sz="4" w:space="0" w:color="auto"/>
              <w:left w:val="nil"/>
              <w:bottom w:val="nil"/>
              <w:right w:val="single" w:sz="4" w:space="0" w:color="auto"/>
            </w:tcBorders>
            <w:shd w:val="clear" w:color="000000" w:fill="FFFFFF"/>
            <w:noWrap/>
            <w:vAlign w:val="bottom"/>
            <w:hideMark/>
          </w:tcPr>
          <w:p w14:paraId="62D7863C"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-0,4</w:t>
            </w:r>
          </w:p>
        </w:tc>
        <w:tc>
          <w:tcPr>
            <w:tcW w:w="1259" w:type="dxa"/>
            <w:tcBorders>
              <w:top w:val="single" w:sz="4" w:space="0" w:color="auto"/>
              <w:left w:val="nil"/>
              <w:bottom w:val="nil"/>
              <w:right w:val="nil"/>
            </w:tcBorders>
            <w:shd w:val="clear" w:color="000000" w:fill="FFFFFF"/>
            <w:noWrap/>
            <w:vAlign w:val="bottom"/>
            <w:hideMark/>
          </w:tcPr>
          <w:p w14:paraId="0145A9C1"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1,6</w:t>
            </w:r>
          </w:p>
        </w:tc>
        <w:tc>
          <w:tcPr>
            <w:tcW w:w="961" w:type="dxa"/>
            <w:tcBorders>
              <w:top w:val="single" w:sz="4" w:space="0" w:color="auto"/>
              <w:left w:val="nil"/>
              <w:bottom w:val="nil"/>
              <w:right w:val="single" w:sz="4" w:space="0" w:color="auto"/>
            </w:tcBorders>
            <w:shd w:val="clear" w:color="000000" w:fill="FFFFFF"/>
            <w:noWrap/>
            <w:vAlign w:val="bottom"/>
            <w:hideMark/>
          </w:tcPr>
          <w:p w14:paraId="688E118D"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0,9</w:t>
            </w:r>
          </w:p>
        </w:tc>
      </w:tr>
      <w:tr w:rsidR="0001081A" w:rsidRPr="0001081A" w14:paraId="287D6911" w14:textId="77777777" w:rsidTr="0001081A">
        <w:trPr>
          <w:trHeight w:val="282"/>
        </w:trPr>
        <w:tc>
          <w:tcPr>
            <w:tcW w:w="1480" w:type="dxa"/>
            <w:tcBorders>
              <w:top w:val="nil"/>
              <w:left w:val="nil"/>
              <w:bottom w:val="nil"/>
              <w:right w:val="nil"/>
            </w:tcBorders>
            <w:shd w:val="clear" w:color="000000" w:fill="FFFFFF"/>
            <w:noWrap/>
            <w:vAlign w:val="bottom"/>
            <w:hideMark/>
          </w:tcPr>
          <w:p w14:paraId="2BF83CFC"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6D4849D7"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-0,8</w:t>
            </w:r>
          </w:p>
        </w:tc>
        <w:tc>
          <w:tcPr>
            <w:tcW w:w="961" w:type="dxa"/>
            <w:tcBorders>
              <w:top w:val="nil"/>
              <w:left w:val="nil"/>
              <w:bottom w:val="nil"/>
              <w:right w:val="single" w:sz="4" w:space="0" w:color="auto"/>
            </w:tcBorders>
            <w:shd w:val="clear" w:color="000000" w:fill="FFFFFF"/>
            <w:noWrap/>
            <w:vAlign w:val="bottom"/>
            <w:hideMark/>
          </w:tcPr>
          <w:p w14:paraId="0945A316"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-0,1</w:t>
            </w:r>
          </w:p>
        </w:tc>
        <w:tc>
          <w:tcPr>
            <w:tcW w:w="1259" w:type="dxa"/>
            <w:tcBorders>
              <w:top w:val="nil"/>
              <w:left w:val="nil"/>
              <w:bottom w:val="nil"/>
              <w:right w:val="nil"/>
            </w:tcBorders>
            <w:shd w:val="clear" w:color="000000" w:fill="FFFFFF"/>
            <w:noWrap/>
            <w:vAlign w:val="bottom"/>
            <w:hideMark/>
          </w:tcPr>
          <w:p w14:paraId="4F8E3EB6"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0,7</w:t>
            </w:r>
          </w:p>
        </w:tc>
        <w:tc>
          <w:tcPr>
            <w:tcW w:w="961" w:type="dxa"/>
            <w:tcBorders>
              <w:top w:val="nil"/>
              <w:left w:val="nil"/>
              <w:bottom w:val="nil"/>
              <w:right w:val="single" w:sz="4" w:space="0" w:color="auto"/>
            </w:tcBorders>
            <w:shd w:val="clear" w:color="000000" w:fill="FFFFFF"/>
            <w:noWrap/>
            <w:vAlign w:val="bottom"/>
            <w:hideMark/>
          </w:tcPr>
          <w:p w14:paraId="1F089D0B"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0,1</w:t>
            </w:r>
          </w:p>
        </w:tc>
      </w:tr>
      <w:tr w:rsidR="0001081A" w:rsidRPr="0001081A" w14:paraId="55A5BDBF" w14:textId="77777777" w:rsidTr="0001081A">
        <w:trPr>
          <w:trHeight w:val="282"/>
        </w:trPr>
        <w:tc>
          <w:tcPr>
            <w:tcW w:w="1480" w:type="dxa"/>
            <w:tcBorders>
              <w:top w:val="nil"/>
              <w:left w:val="nil"/>
              <w:bottom w:val="nil"/>
              <w:right w:val="nil"/>
            </w:tcBorders>
            <w:shd w:val="clear" w:color="000000" w:fill="FFFFFF"/>
            <w:noWrap/>
            <w:vAlign w:val="bottom"/>
            <w:hideMark/>
          </w:tcPr>
          <w:p w14:paraId="6E34823F"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6F759941"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1,4</w:t>
            </w:r>
          </w:p>
        </w:tc>
        <w:tc>
          <w:tcPr>
            <w:tcW w:w="961" w:type="dxa"/>
            <w:tcBorders>
              <w:top w:val="nil"/>
              <w:left w:val="nil"/>
              <w:bottom w:val="nil"/>
              <w:right w:val="single" w:sz="4" w:space="0" w:color="auto"/>
            </w:tcBorders>
            <w:shd w:val="clear" w:color="000000" w:fill="FFFFFF"/>
            <w:noWrap/>
            <w:vAlign w:val="bottom"/>
            <w:hideMark/>
          </w:tcPr>
          <w:p w14:paraId="0D8541E3"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0,4</w:t>
            </w:r>
          </w:p>
        </w:tc>
        <w:tc>
          <w:tcPr>
            <w:tcW w:w="1259" w:type="dxa"/>
            <w:tcBorders>
              <w:top w:val="nil"/>
              <w:left w:val="nil"/>
              <w:bottom w:val="nil"/>
              <w:right w:val="nil"/>
            </w:tcBorders>
            <w:shd w:val="clear" w:color="000000" w:fill="FFFFFF"/>
            <w:noWrap/>
            <w:vAlign w:val="bottom"/>
            <w:hideMark/>
          </w:tcPr>
          <w:p w14:paraId="4C3D4AE6"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0,7</w:t>
            </w:r>
          </w:p>
        </w:tc>
        <w:tc>
          <w:tcPr>
            <w:tcW w:w="961" w:type="dxa"/>
            <w:tcBorders>
              <w:top w:val="nil"/>
              <w:left w:val="nil"/>
              <w:bottom w:val="nil"/>
              <w:right w:val="single" w:sz="4" w:space="0" w:color="auto"/>
            </w:tcBorders>
            <w:shd w:val="clear" w:color="000000" w:fill="FFFFFF"/>
            <w:noWrap/>
            <w:vAlign w:val="bottom"/>
            <w:hideMark/>
          </w:tcPr>
          <w:p w14:paraId="666F448D"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0,2</w:t>
            </w:r>
          </w:p>
        </w:tc>
      </w:tr>
      <w:tr w:rsidR="0001081A" w:rsidRPr="0001081A" w14:paraId="16713F16" w14:textId="77777777" w:rsidTr="0001081A">
        <w:trPr>
          <w:trHeight w:val="282"/>
        </w:trPr>
        <w:tc>
          <w:tcPr>
            <w:tcW w:w="1480" w:type="dxa"/>
            <w:tcBorders>
              <w:top w:val="nil"/>
              <w:left w:val="nil"/>
              <w:bottom w:val="nil"/>
              <w:right w:val="nil"/>
            </w:tcBorders>
            <w:shd w:val="clear" w:color="000000" w:fill="FFFFFF"/>
            <w:noWrap/>
            <w:vAlign w:val="bottom"/>
            <w:hideMark/>
          </w:tcPr>
          <w:p w14:paraId="526D3123"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4202E302"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03CB8EA9"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-0,2</w:t>
            </w:r>
          </w:p>
        </w:tc>
        <w:tc>
          <w:tcPr>
            <w:tcW w:w="1259" w:type="dxa"/>
            <w:tcBorders>
              <w:top w:val="nil"/>
              <w:left w:val="nil"/>
              <w:bottom w:val="nil"/>
              <w:right w:val="nil"/>
            </w:tcBorders>
            <w:shd w:val="clear" w:color="000000" w:fill="FFFFFF"/>
            <w:noWrap/>
            <w:vAlign w:val="bottom"/>
            <w:hideMark/>
          </w:tcPr>
          <w:p w14:paraId="332C8F16"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4F7A007B"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-1,9</w:t>
            </w:r>
          </w:p>
        </w:tc>
      </w:tr>
      <w:tr w:rsidR="0001081A" w:rsidRPr="0001081A" w14:paraId="493769DF" w14:textId="77777777" w:rsidTr="0001081A">
        <w:trPr>
          <w:trHeight w:val="282"/>
        </w:trPr>
        <w:tc>
          <w:tcPr>
            <w:tcW w:w="1480" w:type="dxa"/>
            <w:tcBorders>
              <w:top w:val="nil"/>
              <w:left w:val="nil"/>
              <w:bottom w:val="nil"/>
              <w:right w:val="nil"/>
            </w:tcBorders>
            <w:shd w:val="clear" w:color="000000" w:fill="FFFFFF"/>
            <w:noWrap/>
            <w:vAlign w:val="bottom"/>
            <w:hideMark/>
          </w:tcPr>
          <w:p w14:paraId="118DDEA6"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0AA34DDD"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-2,8</w:t>
            </w:r>
          </w:p>
        </w:tc>
        <w:tc>
          <w:tcPr>
            <w:tcW w:w="961" w:type="dxa"/>
            <w:tcBorders>
              <w:top w:val="nil"/>
              <w:left w:val="nil"/>
              <w:bottom w:val="nil"/>
              <w:right w:val="single" w:sz="4" w:space="0" w:color="auto"/>
            </w:tcBorders>
            <w:shd w:val="clear" w:color="000000" w:fill="FFFFFF"/>
            <w:noWrap/>
            <w:vAlign w:val="bottom"/>
            <w:hideMark/>
          </w:tcPr>
          <w:p w14:paraId="35EEDCAB"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-0,7</w:t>
            </w:r>
          </w:p>
        </w:tc>
        <w:tc>
          <w:tcPr>
            <w:tcW w:w="1259" w:type="dxa"/>
            <w:tcBorders>
              <w:top w:val="nil"/>
              <w:left w:val="nil"/>
              <w:bottom w:val="nil"/>
              <w:right w:val="nil"/>
            </w:tcBorders>
            <w:shd w:val="clear" w:color="000000" w:fill="FFFFFF"/>
            <w:noWrap/>
            <w:vAlign w:val="bottom"/>
            <w:hideMark/>
          </w:tcPr>
          <w:p w14:paraId="27946D9B"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2,2</w:t>
            </w:r>
          </w:p>
        </w:tc>
        <w:tc>
          <w:tcPr>
            <w:tcW w:w="961" w:type="dxa"/>
            <w:tcBorders>
              <w:top w:val="nil"/>
              <w:left w:val="nil"/>
              <w:bottom w:val="nil"/>
              <w:right w:val="single" w:sz="4" w:space="0" w:color="auto"/>
            </w:tcBorders>
            <w:shd w:val="clear" w:color="000000" w:fill="FFFFFF"/>
            <w:noWrap/>
            <w:vAlign w:val="bottom"/>
            <w:hideMark/>
          </w:tcPr>
          <w:p w14:paraId="043D92DA"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0,7</w:t>
            </w:r>
          </w:p>
        </w:tc>
      </w:tr>
      <w:tr w:rsidR="0001081A" w:rsidRPr="0001081A" w14:paraId="7D3C53B7" w14:textId="77777777" w:rsidTr="0001081A">
        <w:trPr>
          <w:trHeight w:val="282"/>
        </w:trPr>
        <w:tc>
          <w:tcPr>
            <w:tcW w:w="1480" w:type="dxa"/>
            <w:tcBorders>
              <w:top w:val="nil"/>
              <w:left w:val="nil"/>
              <w:bottom w:val="nil"/>
              <w:right w:val="nil"/>
            </w:tcBorders>
            <w:shd w:val="clear" w:color="000000" w:fill="FFFFFF"/>
            <w:noWrap/>
            <w:vAlign w:val="bottom"/>
            <w:hideMark/>
          </w:tcPr>
          <w:p w14:paraId="6DE55E16"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14:paraId="1357562D"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-9,7</w:t>
            </w:r>
          </w:p>
        </w:tc>
        <w:tc>
          <w:tcPr>
            <w:tcW w:w="961" w:type="dxa"/>
            <w:tcBorders>
              <w:top w:val="nil"/>
              <w:left w:val="nil"/>
              <w:bottom w:val="nil"/>
              <w:right w:val="single" w:sz="4" w:space="0" w:color="auto"/>
            </w:tcBorders>
            <w:shd w:val="clear" w:color="000000" w:fill="FFFFFF"/>
            <w:noWrap/>
            <w:vAlign w:val="bottom"/>
            <w:hideMark/>
          </w:tcPr>
          <w:p w14:paraId="1891AA48"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3,2</w:t>
            </w:r>
          </w:p>
        </w:tc>
        <w:tc>
          <w:tcPr>
            <w:tcW w:w="1259" w:type="dxa"/>
            <w:tcBorders>
              <w:top w:val="nil"/>
              <w:left w:val="nil"/>
              <w:bottom w:val="nil"/>
              <w:right w:val="nil"/>
            </w:tcBorders>
            <w:shd w:val="clear" w:color="000000" w:fill="FFFFFF"/>
            <w:noWrap/>
            <w:vAlign w:val="bottom"/>
            <w:hideMark/>
          </w:tcPr>
          <w:p w14:paraId="273E4CE5"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-3,3</w:t>
            </w:r>
          </w:p>
        </w:tc>
        <w:tc>
          <w:tcPr>
            <w:tcW w:w="961" w:type="dxa"/>
            <w:tcBorders>
              <w:top w:val="nil"/>
              <w:left w:val="nil"/>
              <w:bottom w:val="nil"/>
              <w:right w:val="single" w:sz="4" w:space="0" w:color="auto"/>
            </w:tcBorders>
            <w:shd w:val="clear" w:color="000000" w:fill="FFFFFF"/>
            <w:noWrap/>
            <w:vAlign w:val="bottom"/>
            <w:hideMark/>
          </w:tcPr>
          <w:p w14:paraId="1C18C4A3"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1,0</w:t>
            </w:r>
          </w:p>
        </w:tc>
      </w:tr>
      <w:tr w:rsidR="0001081A" w:rsidRPr="0001081A" w14:paraId="3E0F32E4" w14:textId="77777777" w:rsidTr="0001081A">
        <w:trPr>
          <w:trHeight w:val="315"/>
        </w:trPr>
        <w:tc>
          <w:tcPr>
            <w:tcW w:w="1480" w:type="dxa"/>
            <w:tcBorders>
              <w:top w:val="nil"/>
              <w:left w:val="nil"/>
              <w:bottom w:val="double" w:sz="6" w:space="0" w:color="auto"/>
              <w:right w:val="nil"/>
            </w:tcBorders>
            <w:shd w:val="clear" w:color="000000" w:fill="FFFFFF"/>
            <w:noWrap/>
            <w:vAlign w:val="bottom"/>
            <w:hideMark/>
          </w:tcPr>
          <w:p w14:paraId="0E647DA8" w14:textId="77777777" w:rsidR="0001081A" w:rsidRPr="0001081A" w:rsidRDefault="0001081A" w:rsidP="0001081A">
            <w:pPr>
              <w:rPr>
                <w:rFonts w:ascii="Calibri" w:hAnsi="Calibri"/>
                <w:b/>
                <w:bCs/>
                <w:color w:val="000000"/>
                <w:sz w:val="20"/>
                <w:szCs w:val="20"/>
              </w:rPr>
            </w:pPr>
            <w:r w:rsidRPr="0001081A">
              <w:rPr>
                <w:rFonts w:ascii="Calibri" w:hAnsi="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40355858"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2,2</w:t>
            </w:r>
          </w:p>
        </w:tc>
        <w:tc>
          <w:tcPr>
            <w:tcW w:w="961" w:type="dxa"/>
            <w:tcBorders>
              <w:top w:val="nil"/>
              <w:left w:val="nil"/>
              <w:bottom w:val="double" w:sz="6" w:space="0" w:color="auto"/>
              <w:right w:val="single" w:sz="4" w:space="0" w:color="auto"/>
            </w:tcBorders>
            <w:shd w:val="clear" w:color="000000" w:fill="FFFFFF"/>
            <w:noWrap/>
            <w:vAlign w:val="bottom"/>
            <w:hideMark/>
          </w:tcPr>
          <w:p w14:paraId="598AF84A"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14:paraId="4364244C"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0,9</w:t>
            </w:r>
          </w:p>
        </w:tc>
        <w:tc>
          <w:tcPr>
            <w:tcW w:w="961" w:type="dxa"/>
            <w:tcBorders>
              <w:top w:val="nil"/>
              <w:left w:val="nil"/>
              <w:bottom w:val="double" w:sz="6" w:space="0" w:color="auto"/>
              <w:right w:val="single" w:sz="4" w:space="0" w:color="auto"/>
            </w:tcBorders>
            <w:shd w:val="clear" w:color="000000" w:fill="FFFFFF"/>
            <w:noWrap/>
            <w:vAlign w:val="bottom"/>
            <w:hideMark/>
          </w:tcPr>
          <w:p w14:paraId="73D14349" w14:textId="77777777" w:rsidR="0001081A" w:rsidRPr="0001081A" w:rsidRDefault="0001081A" w:rsidP="0001081A">
            <w:pPr>
              <w:jc w:val="center"/>
              <w:rPr>
                <w:rFonts w:ascii="Calibri" w:hAnsi="Calibri"/>
                <w:color w:val="000000"/>
                <w:sz w:val="20"/>
                <w:szCs w:val="20"/>
              </w:rPr>
            </w:pPr>
            <w:r w:rsidRPr="0001081A">
              <w:rPr>
                <w:rFonts w:ascii="Calibri" w:hAnsi="Calibri"/>
                <w:color w:val="000000"/>
                <w:sz w:val="20"/>
                <w:szCs w:val="20"/>
              </w:rPr>
              <w:t> </w:t>
            </w:r>
          </w:p>
        </w:tc>
      </w:tr>
    </w:tbl>
    <w:p w14:paraId="04FC8E76" w14:textId="76A3C0F4" w:rsidR="00F46A54" w:rsidRPr="00CC0355" w:rsidRDefault="003D44CE" w:rsidP="00F46A54">
      <w:pPr>
        <w:keepNext/>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47A8471A"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Yatırım</w:t>
      </w:r>
      <w:r w:rsidR="003C267D">
        <w:rPr>
          <w:rFonts w:ascii="Palatino Linotype" w:hAnsi="Palatino Linotype" w:cstheme="minorHAnsi"/>
          <w:b/>
          <w:sz w:val="22"/>
          <w:szCs w:val="22"/>
        </w:rPr>
        <w:t xml:space="preserve"> harcamaları</w:t>
      </w:r>
      <w:r w:rsidR="00007C3F">
        <w:rPr>
          <w:rFonts w:ascii="Palatino Linotype" w:hAnsi="Palatino Linotype" w:cstheme="minorHAnsi"/>
          <w:b/>
          <w:sz w:val="22"/>
          <w:szCs w:val="22"/>
        </w:rPr>
        <w:t xml:space="preserve"> büyümeye devam ediyor</w:t>
      </w:r>
    </w:p>
    <w:p w14:paraId="1EDCC445" w14:textId="67E6CC95" w:rsidR="00062A8A" w:rsidRDefault="001D37D1"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2020 yılının üçüncü çeyreğinden itibaren sürekli artan yatırım harcamaları, 2021 ikinci çeyrekte de yıldan yıla yüzde 20,3 büyüdü ve büyümeye 5,6 yüzde puan katkı verdi (Tablo 1).</w:t>
      </w:r>
      <w:r w:rsidR="006324E3">
        <w:rPr>
          <w:rFonts w:ascii="Palatino Linotype" w:hAnsi="Palatino Linotype" w:cstheme="minorHAnsi"/>
          <w:sz w:val="22"/>
          <w:szCs w:val="22"/>
        </w:rPr>
        <w:t xml:space="preserve"> </w:t>
      </w:r>
      <w:r w:rsidR="00F30329" w:rsidRPr="00CC0355">
        <w:rPr>
          <w:rFonts w:ascii="Palatino Linotype" w:hAnsi="Palatino Linotype" w:cstheme="minorHAnsi"/>
          <w:sz w:val="22"/>
          <w:szCs w:val="22"/>
        </w:rPr>
        <w:t xml:space="preserve">Mevsim ve takvim etkilerinden arındırılmış rakamlara baktığımızda </w:t>
      </w:r>
      <w:r w:rsidR="00007C3F">
        <w:rPr>
          <w:rFonts w:ascii="Palatino Linotype" w:hAnsi="Palatino Linotype" w:cstheme="minorHAnsi"/>
          <w:sz w:val="22"/>
          <w:szCs w:val="22"/>
        </w:rPr>
        <w:t>da yatırım harcamalarının</w:t>
      </w:r>
      <w:r>
        <w:rPr>
          <w:rFonts w:ascii="Palatino Linotype" w:hAnsi="Palatino Linotype" w:cstheme="minorHAnsi"/>
          <w:sz w:val="22"/>
          <w:szCs w:val="22"/>
        </w:rPr>
        <w:t xml:space="preserve"> bir önceki çeyreğe göre yüzde 0,7</w:t>
      </w:r>
      <w:r w:rsidR="00007C3F">
        <w:rPr>
          <w:rFonts w:ascii="Palatino Linotype" w:hAnsi="Palatino Linotype" w:cstheme="minorHAnsi"/>
          <w:sz w:val="22"/>
          <w:szCs w:val="22"/>
        </w:rPr>
        <w:t xml:space="preserve"> büyüdüğünü</w:t>
      </w:r>
      <w:r w:rsidR="00EE1BE5">
        <w:rPr>
          <w:rFonts w:ascii="Palatino Linotype" w:hAnsi="Palatino Linotype" w:cstheme="minorHAnsi"/>
          <w:sz w:val="22"/>
          <w:szCs w:val="22"/>
        </w:rPr>
        <w:t xml:space="preserve"> görüyoruz</w:t>
      </w:r>
      <w:r w:rsidR="006324E3">
        <w:rPr>
          <w:rFonts w:ascii="Palatino Linotype" w:hAnsi="Palatino Linotype" w:cstheme="minorHAnsi"/>
          <w:sz w:val="22"/>
          <w:szCs w:val="22"/>
        </w:rPr>
        <w:t xml:space="preserve">. </w:t>
      </w:r>
      <w:r w:rsidR="00EE1BE5">
        <w:rPr>
          <w:rFonts w:ascii="Palatino Linotype" w:hAnsi="Palatino Linotype" w:cstheme="minorHAnsi"/>
          <w:sz w:val="22"/>
          <w:szCs w:val="22"/>
        </w:rPr>
        <w:t xml:space="preserve">Böylece yatırım </w:t>
      </w:r>
      <w:r w:rsidR="00EE1BE5">
        <w:rPr>
          <w:rFonts w:ascii="Palatino Linotype" w:hAnsi="Palatino Linotype" w:cstheme="minorHAnsi"/>
          <w:sz w:val="22"/>
          <w:szCs w:val="22"/>
        </w:rPr>
        <w:lastRenderedPageBreak/>
        <w:t>harcamaları 202</w:t>
      </w:r>
      <w:r w:rsidR="00007C3F">
        <w:rPr>
          <w:rFonts w:ascii="Palatino Linotype" w:hAnsi="Palatino Linotype" w:cstheme="minorHAnsi"/>
          <w:sz w:val="22"/>
          <w:szCs w:val="22"/>
        </w:rPr>
        <w:t>1</w:t>
      </w:r>
      <w:r w:rsidR="00EE1BE5">
        <w:rPr>
          <w:rFonts w:ascii="Palatino Linotype" w:hAnsi="Palatino Linotype" w:cstheme="minorHAnsi"/>
          <w:sz w:val="22"/>
          <w:szCs w:val="22"/>
        </w:rPr>
        <w:t xml:space="preserve"> yılının </w:t>
      </w:r>
      <w:r w:rsidR="00007C3F">
        <w:rPr>
          <w:rFonts w:ascii="Palatino Linotype" w:hAnsi="Palatino Linotype" w:cstheme="minorHAnsi"/>
          <w:sz w:val="22"/>
          <w:szCs w:val="22"/>
        </w:rPr>
        <w:t xml:space="preserve">ilk </w:t>
      </w:r>
      <w:r w:rsidR="00EE1BE5">
        <w:rPr>
          <w:rFonts w:ascii="Palatino Linotype" w:hAnsi="Palatino Linotype" w:cstheme="minorHAnsi"/>
          <w:sz w:val="22"/>
          <w:szCs w:val="22"/>
        </w:rPr>
        <w:t>çeyreğinde çeyreklik büyümeyi 0,</w:t>
      </w:r>
      <w:r>
        <w:rPr>
          <w:rFonts w:ascii="Palatino Linotype" w:hAnsi="Palatino Linotype" w:cstheme="minorHAnsi"/>
          <w:sz w:val="22"/>
          <w:szCs w:val="22"/>
        </w:rPr>
        <w:t>2</w:t>
      </w:r>
      <w:r w:rsidR="00EE1BE5">
        <w:rPr>
          <w:rFonts w:ascii="Palatino Linotype" w:hAnsi="Palatino Linotype" w:cstheme="minorHAnsi"/>
          <w:sz w:val="22"/>
          <w:szCs w:val="22"/>
        </w:rPr>
        <w:t xml:space="preserve"> yüzde puan </w:t>
      </w:r>
      <w:r w:rsidR="00007C3F">
        <w:rPr>
          <w:rFonts w:ascii="Palatino Linotype" w:hAnsi="Palatino Linotype" w:cstheme="minorHAnsi"/>
          <w:sz w:val="22"/>
          <w:szCs w:val="22"/>
        </w:rPr>
        <w:t xml:space="preserve">destekledi </w:t>
      </w:r>
      <w:r w:rsidR="00480684" w:rsidRPr="00CC0355">
        <w:rPr>
          <w:rFonts w:ascii="Palatino Linotype" w:hAnsi="Palatino Linotype" w:cstheme="minorHAnsi"/>
          <w:sz w:val="22"/>
          <w:szCs w:val="22"/>
        </w:rPr>
        <w:t xml:space="preserve">(Tablo 2). </w:t>
      </w:r>
    </w:p>
    <w:p w14:paraId="526B7713" w14:textId="77777777" w:rsidR="00450CEA" w:rsidRPr="00CC0355"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1A4BB587" w:rsidR="00681AD9" w:rsidRPr="00CC0355"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Stok</w:t>
      </w:r>
      <w:r w:rsidR="001D37D1">
        <w:rPr>
          <w:rFonts w:ascii="Palatino Linotype" w:hAnsi="Palatino Linotype" w:cstheme="minorHAnsi"/>
          <w:b/>
          <w:sz w:val="22"/>
          <w:szCs w:val="22"/>
        </w:rPr>
        <w:t xml:space="preserve"> değişimleri büyümeyi baskıladı</w:t>
      </w:r>
      <w:r w:rsidR="00494926" w:rsidRPr="00CC0355">
        <w:rPr>
          <w:rStyle w:val="FootnoteReference"/>
          <w:rFonts w:ascii="Palatino Linotype" w:hAnsi="Palatino Linotype" w:cstheme="minorHAnsi"/>
          <w:b/>
          <w:sz w:val="22"/>
          <w:szCs w:val="22"/>
        </w:rPr>
        <w:footnoteReference w:id="3"/>
      </w:r>
    </w:p>
    <w:p w14:paraId="7912D79A" w14:textId="7D2F0C49" w:rsidR="006138F0" w:rsidRDefault="00BE280E"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4" w:name="OLE_LINK7"/>
      <w:bookmarkStart w:id="5" w:name="OLE_LINK8"/>
      <w:r>
        <w:rPr>
          <w:rFonts w:ascii="Palatino Linotype" w:hAnsi="Palatino Linotype" w:cstheme="minorHAnsi"/>
          <w:sz w:val="22"/>
          <w:szCs w:val="22"/>
        </w:rPr>
        <w:t>202</w:t>
      </w:r>
      <w:r w:rsidR="00007C3F">
        <w:rPr>
          <w:rFonts w:ascii="Palatino Linotype" w:hAnsi="Palatino Linotype" w:cstheme="minorHAnsi"/>
          <w:sz w:val="22"/>
          <w:szCs w:val="22"/>
        </w:rPr>
        <w:t>1</w:t>
      </w:r>
      <w:r>
        <w:rPr>
          <w:rFonts w:ascii="Palatino Linotype" w:hAnsi="Palatino Linotype" w:cstheme="minorHAnsi"/>
          <w:sz w:val="22"/>
          <w:szCs w:val="22"/>
        </w:rPr>
        <w:t xml:space="preserve"> yılının</w:t>
      </w:r>
      <w:r w:rsidR="00B25D14">
        <w:rPr>
          <w:rFonts w:ascii="Palatino Linotype" w:hAnsi="Palatino Linotype" w:cstheme="minorHAnsi"/>
          <w:sz w:val="22"/>
          <w:szCs w:val="22"/>
        </w:rPr>
        <w:t xml:space="preserve"> ikinci</w:t>
      </w:r>
      <w:r>
        <w:rPr>
          <w:rFonts w:ascii="Palatino Linotype" w:hAnsi="Palatino Linotype" w:cstheme="minorHAnsi"/>
          <w:sz w:val="22"/>
          <w:szCs w:val="22"/>
        </w:rPr>
        <w:t xml:space="preserve"> çeyreğinde yıllık bazda stok artışları büyümey</w:t>
      </w:r>
      <w:r w:rsidR="00007C3F">
        <w:rPr>
          <w:rFonts w:ascii="Palatino Linotype" w:hAnsi="Palatino Linotype" w:cstheme="minorHAnsi"/>
          <w:sz w:val="22"/>
          <w:szCs w:val="22"/>
        </w:rPr>
        <w:t>i</w:t>
      </w:r>
      <w:r>
        <w:rPr>
          <w:rFonts w:ascii="Palatino Linotype" w:hAnsi="Palatino Linotype" w:cstheme="minorHAnsi"/>
          <w:sz w:val="22"/>
          <w:szCs w:val="22"/>
        </w:rPr>
        <w:t xml:space="preserve"> </w:t>
      </w:r>
      <w:r w:rsidR="00EE1BE5">
        <w:rPr>
          <w:rFonts w:ascii="Palatino Linotype" w:hAnsi="Palatino Linotype" w:cstheme="minorHAnsi"/>
          <w:sz w:val="22"/>
          <w:szCs w:val="22"/>
        </w:rPr>
        <w:t xml:space="preserve">eksi </w:t>
      </w:r>
      <w:r w:rsidR="00B25D14">
        <w:rPr>
          <w:rFonts w:ascii="Palatino Linotype" w:hAnsi="Palatino Linotype" w:cstheme="minorHAnsi"/>
          <w:sz w:val="22"/>
          <w:szCs w:val="22"/>
        </w:rPr>
        <w:t>6</w:t>
      </w:r>
      <w:r w:rsidR="00AA678E">
        <w:rPr>
          <w:rFonts w:ascii="Palatino Linotype" w:hAnsi="Palatino Linotype" w:cstheme="minorHAnsi"/>
          <w:sz w:val="22"/>
          <w:szCs w:val="22"/>
        </w:rPr>
        <w:t>,</w:t>
      </w:r>
      <w:r w:rsidR="00B25D14">
        <w:rPr>
          <w:rFonts w:ascii="Palatino Linotype" w:hAnsi="Palatino Linotype" w:cstheme="minorHAnsi"/>
          <w:sz w:val="22"/>
          <w:szCs w:val="22"/>
        </w:rPr>
        <w:t>3</w:t>
      </w:r>
      <w:r w:rsidR="005C51D9">
        <w:rPr>
          <w:rFonts w:ascii="Palatino Linotype" w:hAnsi="Palatino Linotype" w:cstheme="minorHAnsi"/>
          <w:sz w:val="22"/>
          <w:szCs w:val="22"/>
        </w:rPr>
        <w:t xml:space="preserve"> yüzde puan </w:t>
      </w:r>
      <w:r w:rsidR="00007C3F">
        <w:rPr>
          <w:rFonts w:ascii="Palatino Linotype" w:hAnsi="Palatino Linotype" w:cstheme="minorHAnsi"/>
          <w:sz w:val="22"/>
          <w:szCs w:val="22"/>
        </w:rPr>
        <w:t xml:space="preserve">baskılarken </w:t>
      </w:r>
      <w:r w:rsidR="005C51D9">
        <w:rPr>
          <w:rFonts w:ascii="Palatino Linotype" w:hAnsi="Palatino Linotype" w:cstheme="minorHAnsi"/>
          <w:sz w:val="22"/>
          <w:szCs w:val="22"/>
        </w:rPr>
        <w:t>(Tablo 1) mevsim ve takvim etkisinden arındırılmış veriye göre ise stok değişimlerinin çeyreklik büyümeye katkısı</w:t>
      </w:r>
      <w:r w:rsidR="00AA678E">
        <w:rPr>
          <w:rFonts w:ascii="Palatino Linotype" w:hAnsi="Palatino Linotype" w:cstheme="minorHAnsi"/>
          <w:sz w:val="22"/>
          <w:szCs w:val="22"/>
        </w:rPr>
        <w:t xml:space="preserve"> </w:t>
      </w:r>
      <w:r w:rsidR="00B25D14">
        <w:rPr>
          <w:rFonts w:ascii="Palatino Linotype" w:hAnsi="Palatino Linotype" w:cstheme="minorHAnsi"/>
          <w:sz w:val="22"/>
          <w:szCs w:val="22"/>
        </w:rPr>
        <w:t>eksi 1</w:t>
      </w:r>
      <w:r w:rsidR="005C51D9">
        <w:rPr>
          <w:rFonts w:ascii="Palatino Linotype" w:hAnsi="Palatino Linotype" w:cstheme="minorHAnsi"/>
          <w:sz w:val="22"/>
          <w:szCs w:val="22"/>
        </w:rPr>
        <w:t>,</w:t>
      </w:r>
      <w:r w:rsidR="00B25D14">
        <w:rPr>
          <w:rFonts w:ascii="Palatino Linotype" w:hAnsi="Palatino Linotype" w:cstheme="minorHAnsi"/>
          <w:sz w:val="22"/>
          <w:szCs w:val="22"/>
        </w:rPr>
        <w:t>9</w:t>
      </w:r>
      <w:r w:rsidR="005C51D9">
        <w:rPr>
          <w:rFonts w:ascii="Palatino Linotype" w:hAnsi="Palatino Linotype" w:cstheme="minorHAnsi"/>
          <w:sz w:val="22"/>
          <w:szCs w:val="22"/>
        </w:rPr>
        <w:t xml:space="preserve"> yüzde puan oldu (Tablo 2).</w:t>
      </w:r>
      <w:bookmarkEnd w:id="4"/>
      <w:bookmarkEnd w:id="5"/>
      <w:r w:rsidR="006E09D6">
        <w:rPr>
          <w:rFonts w:ascii="Palatino Linotype" w:hAnsi="Palatino Linotype" w:cstheme="minorHAnsi"/>
          <w:sz w:val="22"/>
          <w:szCs w:val="22"/>
        </w:rPr>
        <w:t xml:space="preserve"> Stok değişiminin yıllık büyümeyi baskılamasında da baz etkisi olduğunu söylemek mümkün. 2020 ikinci çeyrekte ekonominin durma noktasına gelmesi stokları artırmıştı.</w:t>
      </w:r>
    </w:p>
    <w:p w14:paraId="2F77854E" w14:textId="77777777" w:rsidR="00450CEA" w:rsidRPr="00CC0355" w:rsidRDefault="00450CEA" w:rsidP="002A037D">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761C7F27" w:rsidR="00F46A54" w:rsidRPr="00CC0355" w:rsidRDefault="00A94E9C" w:rsidP="00F30329">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b/>
          <w:sz w:val="22"/>
          <w:szCs w:val="22"/>
        </w:rPr>
        <w:t>İthalatta yıllık büyüme, çeyreklik daralma</w:t>
      </w:r>
    </w:p>
    <w:p w14:paraId="142C0302" w14:textId="2DAFC981" w:rsidR="00062A8A" w:rsidRDefault="005C51D9"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202</w:t>
      </w:r>
      <w:r w:rsidR="00DB5024">
        <w:rPr>
          <w:rFonts w:ascii="Palatino Linotype" w:hAnsi="Palatino Linotype" w:cstheme="minorHAnsi"/>
          <w:sz w:val="22"/>
          <w:szCs w:val="22"/>
        </w:rPr>
        <w:t>1</w:t>
      </w:r>
      <w:r>
        <w:rPr>
          <w:rFonts w:ascii="Palatino Linotype" w:hAnsi="Palatino Linotype" w:cstheme="minorHAnsi"/>
          <w:sz w:val="22"/>
          <w:szCs w:val="22"/>
        </w:rPr>
        <w:t xml:space="preserve"> yılının</w:t>
      </w:r>
      <w:r w:rsidR="00A94E9C">
        <w:rPr>
          <w:rFonts w:ascii="Palatino Linotype" w:hAnsi="Palatino Linotype" w:cstheme="minorHAnsi"/>
          <w:sz w:val="22"/>
          <w:szCs w:val="22"/>
        </w:rPr>
        <w:t xml:space="preserve"> ikinci</w:t>
      </w:r>
      <w:r w:rsidR="00DB5024">
        <w:rPr>
          <w:rFonts w:ascii="Palatino Linotype" w:hAnsi="Palatino Linotype" w:cstheme="minorHAnsi"/>
          <w:sz w:val="22"/>
          <w:szCs w:val="22"/>
        </w:rPr>
        <w:t xml:space="preserve"> </w:t>
      </w:r>
      <w:r>
        <w:rPr>
          <w:rFonts w:ascii="Palatino Linotype" w:hAnsi="Palatino Linotype" w:cstheme="minorHAnsi"/>
          <w:sz w:val="22"/>
          <w:szCs w:val="22"/>
        </w:rPr>
        <w:t>çeyreğinde ihracat</w:t>
      </w:r>
      <w:r w:rsidR="00416A4B">
        <w:rPr>
          <w:rFonts w:ascii="Palatino Linotype" w:hAnsi="Palatino Linotype" w:cstheme="minorHAnsi"/>
          <w:sz w:val="22"/>
          <w:szCs w:val="22"/>
        </w:rPr>
        <w:t xml:space="preserve"> </w:t>
      </w:r>
      <w:r w:rsidR="00A94E9C">
        <w:rPr>
          <w:rFonts w:ascii="Palatino Linotype" w:hAnsi="Palatino Linotype" w:cstheme="minorHAnsi"/>
          <w:sz w:val="22"/>
          <w:szCs w:val="22"/>
        </w:rPr>
        <w:t>bir önceki yılın aynı dönemine göre yüzde 59,9 ile çok yüksek bir artış kaydetti ve yıllık GSYH büyümesine katkısı 14,3 yüzde puan oldu. İthalattaki yaşanan yıldan yıla yüzde 19,2 artış ise büyümeyi 5,6 yüzde puan azalttı</w:t>
      </w:r>
      <w:r w:rsidR="004D1A55">
        <w:rPr>
          <w:rFonts w:ascii="Palatino Linotype" w:hAnsi="Palatino Linotype" w:cstheme="minorHAnsi"/>
          <w:sz w:val="22"/>
          <w:szCs w:val="22"/>
        </w:rPr>
        <w:t xml:space="preserve"> (Tablo 1). Ç</w:t>
      </w:r>
      <w:r w:rsidR="00A94E9C">
        <w:rPr>
          <w:rFonts w:ascii="Palatino Linotype" w:hAnsi="Palatino Linotype" w:cstheme="minorHAnsi"/>
          <w:sz w:val="22"/>
          <w:szCs w:val="22"/>
        </w:rPr>
        <w:t>eyrekten çeyreğe GSYH büyümesine ise hem ihracat hem de ithalattan destek geldi. İthalatın bir önceki çeyreğe göre yüzde 3,3 azalması GSYH büyümesine yüzde 1,0 katkı yaptı (Tablo 2).</w:t>
      </w:r>
      <w:r w:rsidR="0064747F">
        <w:rPr>
          <w:rFonts w:ascii="Palatino Linotype" w:hAnsi="Palatino Linotype" w:cstheme="minorHAnsi"/>
          <w:sz w:val="22"/>
          <w:szCs w:val="22"/>
        </w:rPr>
        <w:t xml:space="preserve"> </w:t>
      </w:r>
    </w:p>
    <w:p w14:paraId="2B8DE216" w14:textId="642AB2AC" w:rsidR="00450CEA" w:rsidRPr="00CC0355"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70FA50EC" w:rsidR="006C3EE6" w:rsidRPr="00CC0355"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CC0355">
        <w:rPr>
          <w:rFonts w:ascii="Palatino Linotype" w:hAnsi="Palatino Linotype" w:cstheme="minorHAnsi"/>
          <w:b/>
          <w:bCs/>
          <w:sz w:val="22"/>
          <w:szCs w:val="22"/>
        </w:rPr>
        <w:t>Kamu harcamaları</w:t>
      </w:r>
      <w:r w:rsidR="00A94E9C">
        <w:rPr>
          <w:rFonts w:ascii="Palatino Linotype" w:hAnsi="Palatino Linotype" w:cstheme="minorHAnsi"/>
          <w:b/>
          <w:bCs/>
          <w:sz w:val="22"/>
          <w:szCs w:val="22"/>
        </w:rPr>
        <w:t xml:space="preserve"> “normal” seyrinde</w:t>
      </w:r>
    </w:p>
    <w:p w14:paraId="6D5A1000" w14:textId="48CDEF04" w:rsidR="00370FEE" w:rsidRPr="00CC0355" w:rsidRDefault="00A94E9C" w:rsidP="00BD6EC8">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Geçen yılın ikinci çeyreğinde yıllık bazda sabit kalan kamu harcamaları, 2021 ikinci çeyreğinde diğer alt kalemlerden farklı olarak daha ılımlı artışlar yakaladı (yıldan yıla yüzde 4,2) ve yıllık GSYH büyümesine katkısı 0,7 yüzde puan oldu. Mevsimsellikten arındırılmış rakamlarda ise, kamu tüketiminin bir önceki çeyreğe kıyasla yüzde 0,7 arttığını ve büyümeye 0,1 yüzde puan katkı yaptığını </w:t>
      </w:r>
      <w:r w:rsidR="00944ED5">
        <w:rPr>
          <w:rFonts w:ascii="Palatino Linotype" w:hAnsi="Palatino Linotype" w:cstheme="minorHAnsi"/>
          <w:sz w:val="22"/>
          <w:szCs w:val="22"/>
        </w:rPr>
        <w:t>görüyoruz (Tablo 2).</w:t>
      </w:r>
      <w:r>
        <w:rPr>
          <w:rFonts w:ascii="Palatino Linotype" w:hAnsi="Palatino Linotype" w:cstheme="minorHAnsi"/>
          <w:sz w:val="22"/>
          <w:szCs w:val="22"/>
        </w:rPr>
        <w:t xml:space="preserve"> </w:t>
      </w:r>
    </w:p>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1F364D3A" w14:textId="77777777" w:rsidR="00311EFF" w:rsidRDefault="00311EFF"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72449C03" w14:textId="77777777" w:rsidR="00944ED5" w:rsidRDefault="00944ED5">
      <w:pPr>
        <w:spacing w:after="160" w:line="259" w:lineRule="auto"/>
        <w:rPr>
          <w:rFonts w:ascii="Palatino Linotype" w:hAnsi="Palatino Linotype" w:cstheme="minorHAnsi"/>
          <w:b/>
          <w:bCs/>
          <w:sz w:val="22"/>
          <w:szCs w:val="22"/>
        </w:rPr>
      </w:pPr>
      <w:r>
        <w:rPr>
          <w:rFonts w:ascii="Palatino Linotype" w:hAnsi="Palatino Linotype" w:cstheme="minorHAnsi"/>
          <w:b/>
          <w:bCs/>
          <w:sz w:val="22"/>
          <w:szCs w:val="22"/>
        </w:rPr>
        <w:br w:type="page"/>
      </w:r>
    </w:p>
    <w:p w14:paraId="4C5F10E3" w14:textId="1F5746D2" w:rsidR="00955E90" w:rsidRPr="001C566F"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1C566F">
        <w:rPr>
          <w:rFonts w:ascii="Palatino Linotype" w:hAnsi="Palatino Linotype" w:cstheme="minorHAnsi"/>
          <w:b/>
          <w:bCs/>
          <w:sz w:val="22"/>
          <w:szCs w:val="22"/>
        </w:rPr>
        <w:lastRenderedPageBreak/>
        <w:t>B</w:t>
      </w:r>
      <w:r w:rsidR="00B27C9F" w:rsidRPr="001C566F">
        <w:rPr>
          <w:rFonts w:ascii="Palatino Linotype" w:hAnsi="Palatino Linotype" w:cstheme="minorHAnsi"/>
          <w:b/>
          <w:bCs/>
          <w:sz w:val="22"/>
          <w:szCs w:val="22"/>
        </w:rPr>
        <w:t>üyümenin geleceği</w:t>
      </w:r>
      <w:r w:rsidR="00955E90" w:rsidRPr="001C566F">
        <w:rPr>
          <w:rFonts w:ascii="Palatino Linotype" w:hAnsi="Palatino Linotype" w:cstheme="minorHAnsi"/>
          <w:bCs/>
          <w:sz w:val="22"/>
          <w:szCs w:val="22"/>
        </w:rPr>
        <w:t xml:space="preserve"> </w:t>
      </w:r>
    </w:p>
    <w:p w14:paraId="193A0CC4" w14:textId="5559065C" w:rsidR="00E265D5" w:rsidRDefault="00173CB3" w:rsidP="00513359">
      <w:pPr>
        <w:pStyle w:val="NormalWeb"/>
        <w:spacing w:before="0" w:beforeAutospacing="0" w:after="0" w:afterAutospacing="0" w:line="360" w:lineRule="auto"/>
        <w:ind w:right="77"/>
        <w:jc w:val="both"/>
        <w:rPr>
          <w:rFonts w:ascii="Palatino Linotype" w:hAnsi="Palatino Linotype" w:cstheme="minorHAnsi"/>
          <w:bCs/>
          <w:sz w:val="22"/>
          <w:szCs w:val="22"/>
        </w:rPr>
      </w:pPr>
      <w:r w:rsidRPr="001C566F">
        <w:rPr>
          <w:rFonts w:ascii="Palatino Linotype" w:hAnsi="Palatino Linotype" w:cstheme="minorHAnsi"/>
          <w:bCs/>
          <w:sz w:val="22"/>
          <w:szCs w:val="22"/>
        </w:rPr>
        <w:t>2020 yılının ikinci çeyreğinde GSYH yıllık bazda yüzde 10’un</w:t>
      </w:r>
      <w:r w:rsidR="00FA1A2D" w:rsidRPr="001C566F">
        <w:rPr>
          <w:rFonts w:ascii="Palatino Linotype" w:hAnsi="Palatino Linotype" w:cstheme="minorHAnsi"/>
          <w:bCs/>
          <w:sz w:val="22"/>
          <w:szCs w:val="22"/>
        </w:rPr>
        <w:t xml:space="preserve"> </w:t>
      </w:r>
      <w:r w:rsidRPr="001C566F">
        <w:rPr>
          <w:rFonts w:ascii="Palatino Linotype" w:hAnsi="Palatino Linotype" w:cstheme="minorHAnsi"/>
          <w:bCs/>
          <w:sz w:val="22"/>
          <w:szCs w:val="22"/>
        </w:rPr>
        <w:t>üzerinde düşüş gösterdiği için 2021 yılı büyümesini geçen yılın aynı çeyreği ile kıyaslamak ekonomik konjonktür</w:t>
      </w:r>
      <w:r w:rsidR="00FA1A2D" w:rsidRPr="001C566F">
        <w:rPr>
          <w:rFonts w:ascii="Palatino Linotype" w:hAnsi="Palatino Linotype" w:cstheme="minorHAnsi"/>
          <w:bCs/>
          <w:sz w:val="22"/>
          <w:szCs w:val="22"/>
        </w:rPr>
        <w:t>ü anlamak açısından</w:t>
      </w:r>
      <w:r w:rsidRPr="001C566F">
        <w:rPr>
          <w:rFonts w:ascii="Palatino Linotype" w:hAnsi="Palatino Linotype" w:cstheme="minorHAnsi"/>
          <w:bCs/>
          <w:sz w:val="22"/>
          <w:szCs w:val="22"/>
        </w:rPr>
        <w:t xml:space="preserve"> sağlıksız sonuçlar verecektir. Bu sebeple baz etkisini</w:t>
      </w:r>
      <w:r w:rsidR="00FA1A2D" w:rsidRPr="001C566F">
        <w:rPr>
          <w:rFonts w:ascii="Palatino Linotype" w:hAnsi="Palatino Linotype" w:cstheme="minorHAnsi"/>
          <w:bCs/>
          <w:sz w:val="22"/>
          <w:szCs w:val="22"/>
        </w:rPr>
        <w:t>n güçlü olduğu dönemlerde baz etkisini</w:t>
      </w:r>
      <w:r w:rsidRPr="001C566F">
        <w:rPr>
          <w:rFonts w:ascii="Palatino Linotype" w:hAnsi="Palatino Linotype" w:cstheme="minorHAnsi"/>
          <w:bCs/>
          <w:sz w:val="22"/>
          <w:szCs w:val="22"/>
        </w:rPr>
        <w:t xml:space="preserve"> içermeyen mevsim ve takvim etkilerinden arındırılmış rakamlara odaklanmak </w:t>
      </w:r>
      <w:r w:rsidR="00FA1A2D" w:rsidRPr="001C566F">
        <w:rPr>
          <w:rFonts w:ascii="Palatino Linotype" w:hAnsi="Palatino Linotype" w:cstheme="minorHAnsi"/>
          <w:bCs/>
          <w:sz w:val="22"/>
          <w:szCs w:val="22"/>
        </w:rPr>
        <w:t>uygun</w:t>
      </w:r>
      <w:r w:rsidRPr="001C566F">
        <w:rPr>
          <w:rFonts w:ascii="Palatino Linotype" w:hAnsi="Palatino Linotype" w:cstheme="minorHAnsi"/>
          <w:bCs/>
          <w:sz w:val="22"/>
          <w:szCs w:val="22"/>
        </w:rPr>
        <w:t xml:space="preserve"> olacaktır. </w:t>
      </w:r>
      <w:r w:rsidR="00FA1A2D" w:rsidRPr="001C566F">
        <w:rPr>
          <w:rFonts w:ascii="Palatino Linotype" w:hAnsi="Palatino Linotype" w:cstheme="minorHAnsi"/>
          <w:bCs/>
          <w:sz w:val="22"/>
          <w:szCs w:val="22"/>
        </w:rPr>
        <w:t xml:space="preserve">Bir önceki çeyreğe kıyasla GSYH büyümesinin sadece yüzde 0,9 olması da bu önermeyi doğrulamaktadır. Yılın geri kalanı için çeyreklik büyüme rakamlarının </w:t>
      </w:r>
      <w:r w:rsidRPr="001C566F">
        <w:rPr>
          <w:rFonts w:ascii="Palatino Linotype" w:hAnsi="Palatino Linotype" w:cstheme="minorHAnsi"/>
          <w:bCs/>
          <w:sz w:val="22"/>
          <w:szCs w:val="22"/>
        </w:rPr>
        <w:t xml:space="preserve">çok yüksek olmasını beklemiyoruz. Bunda </w:t>
      </w:r>
      <w:r w:rsidR="000404B3" w:rsidRPr="001C566F">
        <w:rPr>
          <w:rFonts w:ascii="Palatino Linotype" w:hAnsi="Palatino Linotype" w:cstheme="minorHAnsi"/>
          <w:bCs/>
          <w:sz w:val="22"/>
          <w:szCs w:val="22"/>
        </w:rPr>
        <w:t>iki</w:t>
      </w:r>
      <w:r w:rsidRPr="001C566F">
        <w:rPr>
          <w:rFonts w:ascii="Palatino Linotype" w:hAnsi="Palatino Linotype" w:cstheme="minorHAnsi"/>
          <w:bCs/>
          <w:sz w:val="22"/>
          <w:szCs w:val="22"/>
        </w:rPr>
        <w:t xml:space="preserve"> </w:t>
      </w:r>
      <w:r w:rsidR="001C566F" w:rsidRPr="001C566F">
        <w:rPr>
          <w:rFonts w:ascii="Palatino Linotype" w:hAnsi="Palatino Linotype" w:cstheme="minorHAnsi"/>
          <w:bCs/>
          <w:sz w:val="22"/>
          <w:szCs w:val="22"/>
        </w:rPr>
        <w:t>belirsizliğin</w:t>
      </w:r>
      <w:r w:rsidRPr="001C566F">
        <w:rPr>
          <w:rFonts w:ascii="Palatino Linotype" w:hAnsi="Palatino Linotype" w:cstheme="minorHAnsi"/>
          <w:bCs/>
          <w:sz w:val="22"/>
          <w:szCs w:val="22"/>
        </w:rPr>
        <w:t xml:space="preserve"> etkili olduğunu belirtmek isteriz. İlk</w:t>
      </w:r>
      <w:r w:rsidR="001C566F" w:rsidRPr="001C566F">
        <w:rPr>
          <w:rFonts w:ascii="Palatino Linotype" w:hAnsi="Palatino Linotype" w:cstheme="minorHAnsi"/>
          <w:bCs/>
          <w:sz w:val="22"/>
          <w:szCs w:val="22"/>
        </w:rPr>
        <w:t xml:space="preserve">i Merkez Bankası’nın izleyeceği faiz politikasına ilişkin belirsizlik. İkincisi ise salgının yılın geri kalanında göstereceği seyre ilişkin belirsizlik. Bu iki belirsizlik sebebiyle özel sektörün hedeflediği yatırım miktarını düşürmesi veya ertelemesi muhtemeldir. </w:t>
      </w:r>
    </w:p>
    <w:p w14:paraId="12200A18" w14:textId="77777777" w:rsidR="00513359" w:rsidRPr="00513359" w:rsidRDefault="00513359"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512CE98B" w:rsidR="0001081A" w:rsidRDefault="0001081A"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rPr>
        <w:drawing>
          <wp:inline distT="0" distB="0" distL="0" distR="0" wp14:anchorId="43084C97" wp14:editId="0FC4BE0C">
            <wp:extent cx="5760720" cy="3312160"/>
            <wp:effectExtent l="0" t="0" r="11430" b="2540"/>
            <wp:docPr id="8" name="Chart 8">
              <a:extLst xmlns:a="http://schemas.openxmlformats.org/drawingml/2006/main">
                <a:ext uri="{FF2B5EF4-FFF2-40B4-BE49-F238E27FC236}">
                  <a16:creationId xmlns:a16="http://schemas.microsoft.com/office/drawing/2014/main" id="{F7EE9F57-C77A-4FB4-9702-3089968EC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526E" w14:textId="77777777" w:rsidR="0097116F" w:rsidRDefault="0097116F" w:rsidP="00DA0C5D">
      <w:r>
        <w:separator/>
      </w:r>
    </w:p>
  </w:endnote>
  <w:endnote w:type="continuationSeparator" w:id="0">
    <w:p w14:paraId="0E8A2C80" w14:textId="77777777" w:rsidR="0097116F" w:rsidRDefault="0097116F"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1CED" w14:textId="77777777" w:rsidR="0097116F" w:rsidRDefault="0097116F" w:rsidP="00DA0C5D">
      <w:r>
        <w:separator/>
      </w:r>
    </w:p>
  </w:footnote>
  <w:footnote w:type="continuationSeparator" w:id="0">
    <w:p w14:paraId="59B3B203" w14:textId="77777777" w:rsidR="0097116F" w:rsidRDefault="0097116F"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183F5C82"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8B0385">
        <w:rPr>
          <w:rFonts w:ascii="Palatino Linotype" w:hAnsi="Palatino Linotype"/>
          <w:sz w:val="18"/>
          <w:szCs w:val="18"/>
        </w:rPr>
        <w:t>gokhan.dilek</w:t>
      </w:r>
      <w:r w:rsidRPr="001866FC">
        <w:rPr>
          <w:rFonts w:ascii="Palatino Linotype" w:hAnsi="Palatino Linotype"/>
          <w:sz w:val="18"/>
          <w:szCs w:val="18"/>
        </w:rPr>
        <w:t>@eas.bau.edu.tr</w:t>
      </w:r>
      <w:r>
        <w:t xml:space="preserve"> </w:t>
      </w:r>
    </w:p>
  </w:footnote>
  <w:footnote w:id="3">
    <w:p w14:paraId="02E4FAD1" w14:textId="77777777" w:rsidR="00494926" w:rsidRPr="00E22DFD" w:rsidRDefault="00494926">
      <w:pPr>
        <w:pStyle w:val="FootnoteText"/>
        <w:rPr>
          <w:rFonts w:ascii="Palatino Linotype" w:hAnsi="Palatino Linotype"/>
          <w:sz w:val="18"/>
          <w:szCs w:val="18"/>
        </w:rPr>
      </w:pPr>
      <w:r w:rsidRPr="00E22DFD">
        <w:rPr>
          <w:rStyle w:val="FootnoteReference"/>
          <w:rFonts w:ascii="Palatino Linotype" w:hAnsi="Palatino Linotype"/>
          <w:sz w:val="18"/>
          <w:szCs w:val="18"/>
        </w:rPr>
        <w:footnoteRef/>
      </w:r>
      <w:r w:rsidRPr="00E22DFD">
        <w:rPr>
          <w:rFonts w:ascii="Palatino Linotype" w:hAnsi="Palatino Linotype"/>
          <w:sz w:val="18"/>
          <w:szCs w:val="18"/>
        </w:rPr>
        <w:t xml:space="preserve"> 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0013E"/>
    <w:rsid w:val="0000228F"/>
    <w:rsid w:val="00007C3F"/>
    <w:rsid w:val="0001081A"/>
    <w:rsid w:val="0001392F"/>
    <w:rsid w:val="000141C7"/>
    <w:rsid w:val="00017B51"/>
    <w:rsid w:val="0002466A"/>
    <w:rsid w:val="00030A2C"/>
    <w:rsid w:val="00036770"/>
    <w:rsid w:val="000404B3"/>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25DB"/>
    <w:rsid w:val="00073415"/>
    <w:rsid w:val="000753CE"/>
    <w:rsid w:val="00080211"/>
    <w:rsid w:val="00080336"/>
    <w:rsid w:val="00085271"/>
    <w:rsid w:val="00087011"/>
    <w:rsid w:val="000905E5"/>
    <w:rsid w:val="00091F3E"/>
    <w:rsid w:val="00096CDA"/>
    <w:rsid w:val="00097794"/>
    <w:rsid w:val="000978C8"/>
    <w:rsid w:val="000A05ED"/>
    <w:rsid w:val="000A3019"/>
    <w:rsid w:val="000A612E"/>
    <w:rsid w:val="000B0D12"/>
    <w:rsid w:val="000B0FC1"/>
    <w:rsid w:val="000B45D6"/>
    <w:rsid w:val="000C1672"/>
    <w:rsid w:val="000C5C80"/>
    <w:rsid w:val="000C634D"/>
    <w:rsid w:val="000D5FD3"/>
    <w:rsid w:val="000D6E6C"/>
    <w:rsid w:val="000D70D1"/>
    <w:rsid w:val="000E2388"/>
    <w:rsid w:val="000E3436"/>
    <w:rsid w:val="000E445D"/>
    <w:rsid w:val="000F0B6B"/>
    <w:rsid w:val="000F2C7A"/>
    <w:rsid w:val="000F378E"/>
    <w:rsid w:val="000F6529"/>
    <w:rsid w:val="000F75B9"/>
    <w:rsid w:val="001004FF"/>
    <w:rsid w:val="0010209C"/>
    <w:rsid w:val="00111CED"/>
    <w:rsid w:val="0011613D"/>
    <w:rsid w:val="001239F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3CB3"/>
    <w:rsid w:val="001744CD"/>
    <w:rsid w:val="00177002"/>
    <w:rsid w:val="001777A4"/>
    <w:rsid w:val="00183AFA"/>
    <w:rsid w:val="00184174"/>
    <w:rsid w:val="00184B02"/>
    <w:rsid w:val="001851FE"/>
    <w:rsid w:val="001855BC"/>
    <w:rsid w:val="001866FC"/>
    <w:rsid w:val="00190944"/>
    <w:rsid w:val="00194FF2"/>
    <w:rsid w:val="001978A0"/>
    <w:rsid w:val="001A080D"/>
    <w:rsid w:val="001A42FF"/>
    <w:rsid w:val="001A5699"/>
    <w:rsid w:val="001B371C"/>
    <w:rsid w:val="001B3A44"/>
    <w:rsid w:val="001B584B"/>
    <w:rsid w:val="001C2763"/>
    <w:rsid w:val="001C2C68"/>
    <w:rsid w:val="001C566F"/>
    <w:rsid w:val="001C65BF"/>
    <w:rsid w:val="001C7370"/>
    <w:rsid w:val="001D0150"/>
    <w:rsid w:val="001D2107"/>
    <w:rsid w:val="001D36E7"/>
    <w:rsid w:val="001D37D1"/>
    <w:rsid w:val="001D420E"/>
    <w:rsid w:val="001D5B02"/>
    <w:rsid w:val="001D6465"/>
    <w:rsid w:val="001D7073"/>
    <w:rsid w:val="001D7513"/>
    <w:rsid w:val="001E181B"/>
    <w:rsid w:val="001E2E49"/>
    <w:rsid w:val="001E495B"/>
    <w:rsid w:val="001E514D"/>
    <w:rsid w:val="001E72E4"/>
    <w:rsid w:val="001F12E3"/>
    <w:rsid w:val="001F1554"/>
    <w:rsid w:val="001F2DE9"/>
    <w:rsid w:val="001F4E3D"/>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43A8"/>
    <w:rsid w:val="00235DBE"/>
    <w:rsid w:val="00242C10"/>
    <w:rsid w:val="00247A3C"/>
    <w:rsid w:val="0025111C"/>
    <w:rsid w:val="00253E19"/>
    <w:rsid w:val="00265553"/>
    <w:rsid w:val="002663FD"/>
    <w:rsid w:val="00267F48"/>
    <w:rsid w:val="00270A75"/>
    <w:rsid w:val="002714F9"/>
    <w:rsid w:val="002729B4"/>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A7C37"/>
    <w:rsid w:val="002B2172"/>
    <w:rsid w:val="002B2A1B"/>
    <w:rsid w:val="002B3C10"/>
    <w:rsid w:val="002B4A1A"/>
    <w:rsid w:val="002C00A1"/>
    <w:rsid w:val="002C4CC7"/>
    <w:rsid w:val="002C4E2F"/>
    <w:rsid w:val="002C5C24"/>
    <w:rsid w:val="002C64BB"/>
    <w:rsid w:val="002D1797"/>
    <w:rsid w:val="002D4D2D"/>
    <w:rsid w:val="002F2245"/>
    <w:rsid w:val="002F26B4"/>
    <w:rsid w:val="002F2D70"/>
    <w:rsid w:val="002F3163"/>
    <w:rsid w:val="002F63B2"/>
    <w:rsid w:val="00302EDD"/>
    <w:rsid w:val="003061DC"/>
    <w:rsid w:val="003079ED"/>
    <w:rsid w:val="00310C5C"/>
    <w:rsid w:val="00311EFF"/>
    <w:rsid w:val="003172DB"/>
    <w:rsid w:val="0032176F"/>
    <w:rsid w:val="00321D78"/>
    <w:rsid w:val="0032280F"/>
    <w:rsid w:val="0032324A"/>
    <w:rsid w:val="00324C51"/>
    <w:rsid w:val="00326195"/>
    <w:rsid w:val="00326678"/>
    <w:rsid w:val="00327CFB"/>
    <w:rsid w:val="00334E27"/>
    <w:rsid w:val="0033649B"/>
    <w:rsid w:val="00344A74"/>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D4202"/>
    <w:rsid w:val="003D44CE"/>
    <w:rsid w:val="003D4627"/>
    <w:rsid w:val="003E1EED"/>
    <w:rsid w:val="003E3299"/>
    <w:rsid w:val="003E5C0F"/>
    <w:rsid w:val="003F00A9"/>
    <w:rsid w:val="003F4E89"/>
    <w:rsid w:val="004017B2"/>
    <w:rsid w:val="00401813"/>
    <w:rsid w:val="004040C3"/>
    <w:rsid w:val="00405BD8"/>
    <w:rsid w:val="00407C84"/>
    <w:rsid w:val="00416A4B"/>
    <w:rsid w:val="00417F6E"/>
    <w:rsid w:val="00424382"/>
    <w:rsid w:val="00431236"/>
    <w:rsid w:val="00431C38"/>
    <w:rsid w:val="00433A75"/>
    <w:rsid w:val="004426B4"/>
    <w:rsid w:val="004435E3"/>
    <w:rsid w:val="00443C08"/>
    <w:rsid w:val="00443D50"/>
    <w:rsid w:val="00447743"/>
    <w:rsid w:val="00450CEA"/>
    <w:rsid w:val="00451A8A"/>
    <w:rsid w:val="004623F2"/>
    <w:rsid w:val="004647F0"/>
    <w:rsid w:val="00476131"/>
    <w:rsid w:val="00476E22"/>
    <w:rsid w:val="00477AED"/>
    <w:rsid w:val="00480684"/>
    <w:rsid w:val="00483EC5"/>
    <w:rsid w:val="0048774D"/>
    <w:rsid w:val="00490AAE"/>
    <w:rsid w:val="00492020"/>
    <w:rsid w:val="004931A5"/>
    <w:rsid w:val="00494926"/>
    <w:rsid w:val="004B0D97"/>
    <w:rsid w:val="004B130D"/>
    <w:rsid w:val="004B6E05"/>
    <w:rsid w:val="004B7166"/>
    <w:rsid w:val="004C548E"/>
    <w:rsid w:val="004D1A55"/>
    <w:rsid w:val="004D1FAD"/>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4145E"/>
    <w:rsid w:val="00542345"/>
    <w:rsid w:val="005438B0"/>
    <w:rsid w:val="00544773"/>
    <w:rsid w:val="005600E7"/>
    <w:rsid w:val="00570C1B"/>
    <w:rsid w:val="00572FD8"/>
    <w:rsid w:val="005748A8"/>
    <w:rsid w:val="005824BD"/>
    <w:rsid w:val="0058588C"/>
    <w:rsid w:val="00586424"/>
    <w:rsid w:val="005A2246"/>
    <w:rsid w:val="005A3B33"/>
    <w:rsid w:val="005A617F"/>
    <w:rsid w:val="005B35F3"/>
    <w:rsid w:val="005B67B3"/>
    <w:rsid w:val="005C00FE"/>
    <w:rsid w:val="005C08B0"/>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25B95"/>
    <w:rsid w:val="006268DA"/>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7B23"/>
    <w:rsid w:val="0067008D"/>
    <w:rsid w:val="0067066F"/>
    <w:rsid w:val="006761BB"/>
    <w:rsid w:val="0067693E"/>
    <w:rsid w:val="00680AE4"/>
    <w:rsid w:val="00680E36"/>
    <w:rsid w:val="00681022"/>
    <w:rsid w:val="006813D8"/>
    <w:rsid w:val="00681AD9"/>
    <w:rsid w:val="00693FB8"/>
    <w:rsid w:val="00694B4D"/>
    <w:rsid w:val="00694F52"/>
    <w:rsid w:val="00695471"/>
    <w:rsid w:val="006A201E"/>
    <w:rsid w:val="006A308B"/>
    <w:rsid w:val="006B0633"/>
    <w:rsid w:val="006C122C"/>
    <w:rsid w:val="006C3EE6"/>
    <w:rsid w:val="006C49A7"/>
    <w:rsid w:val="006D02FD"/>
    <w:rsid w:val="006D1DD6"/>
    <w:rsid w:val="006D32A0"/>
    <w:rsid w:val="006E07BA"/>
    <w:rsid w:val="006E09D6"/>
    <w:rsid w:val="006F0FC6"/>
    <w:rsid w:val="006F1912"/>
    <w:rsid w:val="006F2CD8"/>
    <w:rsid w:val="006F49E7"/>
    <w:rsid w:val="006F5E82"/>
    <w:rsid w:val="006F615A"/>
    <w:rsid w:val="007011B6"/>
    <w:rsid w:val="007014CD"/>
    <w:rsid w:val="0070188F"/>
    <w:rsid w:val="00707FBD"/>
    <w:rsid w:val="00711A8A"/>
    <w:rsid w:val="007135FC"/>
    <w:rsid w:val="007201BD"/>
    <w:rsid w:val="00720250"/>
    <w:rsid w:val="007224AF"/>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3FC0"/>
    <w:rsid w:val="007B5A28"/>
    <w:rsid w:val="007B70AD"/>
    <w:rsid w:val="007C1995"/>
    <w:rsid w:val="007C462A"/>
    <w:rsid w:val="007D4953"/>
    <w:rsid w:val="007F13F2"/>
    <w:rsid w:val="007F39BB"/>
    <w:rsid w:val="007F3B7C"/>
    <w:rsid w:val="007F3C9B"/>
    <w:rsid w:val="008063E6"/>
    <w:rsid w:val="0081114C"/>
    <w:rsid w:val="008151D2"/>
    <w:rsid w:val="0081589C"/>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05DA"/>
    <w:rsid w:val="00856B55"/>
    <w:rsid w:val="0086495E"/>
    <w:rsid w:val="00865CE6"/>
    <w:rsid w:val="00867DEE"/>
    <w:rsid w:val="0087023B"/>
    <w:rsid w:val="00870A3F"/>
    <w:rsid w:val="008753B3"/>
    <w:rsid w:val="0088079F"/>
    <w:rsid w:val="00881E18"/>
    <w:rsid w:val="0088270D"/>
    <w:rsid w:val="00884819"/>
    <w:rsid w:val="0089048A"/>
    <w:rsid w:val="008914E6"/>
    <w:rsid w:val="0089158B"/>
    <w:rsid w:val="00893320"/>
    <w:rsid w:val="008945AE"/>
    <w:rsid w:val="008949E0"/>
    <w:rsid w:val="008A3BD9"/>
    <w:rsid w:val="008B0385"/>
    <w:rsid w:val="008B29F8"/>
    <w:rsid w:val="008B6FC3"/>
    <w:rsid w:val="008C51CA"/>
    <w:rsid w:val="008C56F9"/>
    <w:rsid w:val="008C70C5"/>
    <w:rsid w:val="008C73E6"/>
    <w:rsid w:val="008D7AA2"/>
    <w:rsid w:val="008F1741"/>
    <w:rsid w:val="008F2BCD"/>
    <w:rsid w:val="00912A8A"/>
    <w:rsid w:val="00914D26"/>
    <w:rsid w:val="00916142"/>
    <w:rsid w:val="0091617E"/>
    <w:rsid w:val="00916533"/>
    <w:rsid w:val="00916C78"/>
    <w:rsid w:val="00917330"/>
    <w:rsid w:val="009204AA"/>
    <w:rsid w:val="00920DA2"/>
    <w:rsid w:val="0092349F"/>
    <w:rsid w:val="009247BA"/>
    <w:rsid w:val="00924CD9"/>
    <w:rsid w:val="00927D28"/>
    <w:rsid w:val="00935D6E"/>
    <w:rsid w:val="00936595"/>
    <w:rsid w:val="009400E0"/>
    <w:rsid w:val="00940150"/>
    <w:rsid w:val="00940DA9"/>
    <w:rsid w:val="0094295F"/>
    <w:rsid w:val="00944ED5"/>
    <w:rsid w:val="009455F2"/>
    <w:rsid w:val="00945950"/>
    <w:rsid w:val="00955DC8"/>
    <w:rsid w:val="00955E90"/>
    <w:rsid w:val="00957FE5"/>
    <w:rsid w:val="00961F5B"/>
    <w:rsid w:val="00963B04"/>
    <w:rsid w:val="009663D6"/>
    <w:rsid w:val="0097116F"/>
    <w:rsid w:val="00982B22"/>
    <w:rsid w:val="0098310A"/>
    <w:rsid w:val="00983612"/>
    <w:rsid w:val="0098616F"/>
    <w:rsid w:val="00990E34"/>
    <w:rsid w:val="00996151"/>
    <w:rsid w:val="00996EBD"/>
    <w:rsid w:val="00997694"/>
    <w:rsid w:val="00997713"/>
    <w:rsid w:val="00997C54"/>
    <w:rsid w:val="009A71AF"/>
    <w:rsid w:val="009B1546"/>
    <w:rsid w:val="009B16AD"/>
    <w:rsid w:val="009B2E56"/>
    <w:rsid w:val="009B3197"/>
    <w:rsid w:val="009B385A"/>
    <w:rsid w:val="009B651F"/>
    <w:rsid w:val="009C40EF"/>
    <w:rsid w:val="009C66C3"/>
    <w:rsid w:val="009D62AC"/>
    <w:rsid w:val="009D71BF"/>
    <w:rsid w:val="009E0348"/>
    <w:rsid w:val="009E25DA"/>
    <w:rsid w:val="009E5241"/>
    <w:rsid w:val="009E68C6"/>
    <w:rsid w:val="009F23C4"/>
    <w:rsid w:val="009F2483"/>
    <w:rsid w:val="009F42CC"/>
    <w:rsid w:val="009F603E"/>
    <w:rsid w:val="00A0130D"/>
    <w:rsid w:val="00A03316"/>
    <w:rsid w:val="00A0483D"/>
    <w:rsid w:val="00A04EFA"/>
    <w:rsid w:val="00A06A3E"/>
    <w:rsid w:val="00A10891"/>
    <w:rsid w:val="00A109C3"/>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94E9C"/>
    <w:rsid w:val="00AA1706"/>
    <w:rsid w:val="00AA678E"/>
    <w:rsid w:val="00AB1006"/>
    <w:rsid w:val="00AB36F7"/>
    <w:rsid w:val="00AC2B3D"/>
    <w:rsid w:val="00AC59ED"/>
    <w:rsid w:val="00AD01B6"/>
    <w:rsid w:val="00AD7ADC"/>
    <w:rsid w:val="00AE59EE"/>
    <w:rsid w:val="00AF3D11"/>
    <w:rsid w:val="00B01508"/>
    <w:rsid w:val="00B01533"/>
    <w:rsid w:val="00B02076"/>
    <w:rsid w:val="00B02D74"/>
    <w:rsid w:val="00B119E3"/>
    <w:rsid w:val="00B17241"/>
    <w:rsid w:val="00B17B6A"/>
    <w:rsid w:val="00B24D13"/>
    <w:rsid w:val="00B25D14"/>
    <w:rsid w:val="00B27C9F"/>
    <w:rsid w:val="00B31FC9"/>
    <w:rsid w:val="00B34132"/>
    <w:rsid w:val="00B35FDB"/>
    <w:rsid w:val="00B366B7"/>
    <w:rsid w:val="00B36BFA"/>
    <w:rsid w:val="00B45DFF"/>
    <w:rsid w:val="00B4685F"/>
    <w:rsid w:val="00B56D03"/>
    <w:rsid w:val="00B62037"/>
    <w:rsid w:val="00B703DE"/>
    <w:rsid w:val="00B76782"/>
    <w:rsid w:val="00B82B92"/>
    <w:rsid w:val="00B9319A"/>
    <w:rsid w:val="00B95E66"/>
    <w:rsid w:val="00BA3C62"/>
    <w:rsid w:val="00BA5FF0"/>
    <w:rsid w:val="00BA7E44"/>
    <w:rsid w:val="00BB05D5"/>
    <w:rsid w:val="00BB0912"/>
    <w:rsid w:val="00BB3448"/>
    <w:rsid w:val="00BB3FE6"/>
    <w:rsid w:val="00BB5725"/>
    <w:rsid w:val="00BC1EF8"/>
    <w:rsid w:val="00BC42E1"/>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167CC"/>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4700"/>
    <w:rsid w:val="00D65AAD"/>
    <w:rsid w:val="00D67F66"/>
    <w:rsid w:val="00D732A9"/>
    <w:rsid w:val="00D76361"/>
    <w:rsid w:val="00D803A1"/>
    <w:rsid w:val="00D90931"/>
    <w:rsid w:val="00D92A1A"/>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D2D75"/>
    <w:rsid w:val="00DD4D85"/>
    <w:rsid w:val="00DE57B8"/>
    <w:rsid w:val="00DF08BD"/>
    <w:rsid w:val="00DF1057"/>
    <w:rsid w:val="00DF44DE"/>
    <w:rsid w:val="00E04EFE"/>
    <w:rsid w:val="00E05DE7"/>
    <w:rsid w:val="00E0602A"/>
    <w:rsid w:val="00E109EA"/>
    <w:rsid w:val="00E122C5"/>
    <w:rsid w:val="00E21E9E"/>
    <w:rsid w:val="00E22DFD"/>
    <w:rsid w:val="00E23E54"/>
    <w:rsid w:val="00E25A25"/>
    <w:rsid w:val="00E265D5"/>
    <w:rsid w:val="00E27199"/>
    <w:rsid w:val="00E306CB"/>
    <w:rsid w:val="00E3778C"/>
    <w:rsid w:val="00E37C95"/>
    <w:rsid w:val="00E40BEF"/>
    <w:rsid w:val="00E40CBC"/>
    <w:rsid w:val="00E40DD5"/>
    <w:rsid w:val="00E41840"/>
    <w:rsid w:val="00E4681E"/>
    <w:rsid w:val="00E540BC"/>
    <w:rsid w:val="00E565C5"/>
    <w:rsid w:val="00E57043"/>
    <w:rsid w:val="00E5723B"/>
    <w:rsid w:val="00E631F0"/>
    <w:rsid w:val="00E634D2"/>
    <w:rsid w:val="00E667CB"/>
    <w:rsid w:val="00E67DCD"/>
    <w:rsid w:val="00E750CC"/>
    <w:rsid w:val="00E77CAA"/>
    <w:rsid w:val="00E82940"/>
    <w:rsid w:val="00E83A84"/>
    <w:rsid w:val="00E85F3F"/>
    <w:rsid w:val="00EA0ED2"/>
    <w:rsid w:val="00EA7527"/>
    <w:rsid w:val="00EB2C83"/>
    <w:rsid w:val="00EB3A96"/>
    <w:rsid w:val="00EB476F"/>
    <w:rsid w:val="00EB52B3"/>
    <w:rsid w:val="00EC136E"/>
    <w:rsid w:val="00EC2814"/>
    <w:rsid w:val="00EC37CB"/>
    <w:rsid w:val="00ED0762"/>
    <w:rsid w:val="00ED266F"/>
    <w:rsid w:val="00ED5E21"/>
    <w:rsid w:val="00ED7C53"/>
    <w:rsid w:val="00EE0633"/>
    <w:rsid w:val="00EE150B"/>
    <w:rsid w:val="00EE1BE5"/>
    <w:rsid w:val="00EE4795"/>
    <w:rsid w:val="00EF09A7"/>
    <w:rsid w:val="00EF29EC"/>
    <w:rsid w:val="00F0076E"/>
    <w:rsid w:val="00F00FB7"/>
    <w:rsid w:val="00F0654E"/>
    <w:rsid w:val="00F118B1"/>
    <w:rsid w:val="00F136EE"/>
    <w:rsid w:val="00F22A71"/>
    <w:rsid w:val="00F259FE"/>
    <w:rsid w:val="00F27D86"/>
    <w:rsid w:val="00F30329"/>
    <w:rsid w:val="00F31726"/>
    <w:rsid w:val="00F31E52"/>
    <w:rsid w:val="00F33EED"/>
    <w:rsid w:val="00F36F06"/>
    <w:rsid w:val="00F41E19"/>
    <w:rsid w:val="00F441A2"/>
    <w:rsid w:val="00F44E44"/>
    <w:rsid w:val="00F46A54"/>
    <w:rsid w:val="00F50705"/>
    <w:rsid w:val="00F5130C"/>
    <w:rsid w:val="00F5534B"/>
    <w:rsid w:val="00F65C09"/>
    <w:rsid w:val="00F676BF"/>
    <w:rsid w:val="00F67B66"/>
    <w:rsid w:val="00F70EC7"/>
    <w:rsid w:val="00F72AAB"/>
    <w:rsid w:val="00F80F23"/>
    <w:rsid w:val="00F823F7"/>
    <w:rsid w:val="00F87405"/>
    <w:rsid w:val="00F9160B"/>
    <w:rsid w:val="00F94113"/>
    <w:rsid w:val="00F9530C"/>
    <w:rsid w:val="00FA1A2D"/>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erve.akgul\Dropbox\buyume_degerlendirme\buy_deg_tablolar%20(Furk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'2021Q2'!$E$29</c:f>
              <c:strCache>
                <c:ptCount val="1"/>
                <c:pt idx="0">
                  <c:v>Yıllık değişim</c:v>
                </c:pt>
              </c:strCache>
            </c:strRef>
          </c:tx>
          <c:spPr>
            <a:solidFill>
              <a:schemeClr val="accent1"/>
            </a:solidFill>
            <a:ln>
              <a:noFill/>
            </a:ln>
            <a:effectLst/>
          </c:spPr>
          <c:invertIfNegative val="0"/>
          <c:cat>
            <c:strRef>
              <c:f>'2021Q2'!$A$44:$A$67</c:f>
              <c:strCache>
                <c:ptCount val="24"/>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strCache>
            </c:strRef>
          </c:cat>
          <c:val>
            <c:numRef>
              <c:f>'2021Q2'!$E$44:$E$67</c:f>
              <c:numCache>
                <c:formatCode>0.0</c:formatCode>
                <c:ptCount val="24"/>
                <c:pt idx="0">
                  <c:v>5.7233615896785439</c:v>
                </c:pt>
                <c:pt idx="1">
                  <c:v>7.5914723414915564</c:v>
                </c:pt>
                <c:pt idx="2">
                  <c:v>4.9433773007159898</c:v>
                </c:pt>
                <c:pt idx="3">
                  <c:v>5.0029753620884909</c:v>
                </c:pt>
                <c:pt idx="4">
                  <c:v>-0.66916264507136392</c:v>
                </c:pt>
                <c:pt idx="5">
                  <c:v>4.4311945804893726</c:v>
                </c:pt>
                <c:pt idx="6">
                  <c:v>5.290842542771812</c:v>
                </c:pt>
                <c:pt idx="7">
                  <c:v>5.3018811861632154</c:v>
                </c:pt>
                <c:pt idx="8">
                  <c:v>11.790057801796539</c:v>
                </c:pt>
                <c:pt idx="9">
                  <c:v>7.2684533948389474</c:v>
                </c:pt>
                <c:pt idx="10">
                  <c:v>7.4790849571938711</c:v>
                </c:pt>
                <c:pt idx="11">
                  <c:v>5.8373529628849452</c:v>
                </c:pt>
                <c:pt idx="12">
                  <c:v>2.4970675549802257</c:v>
                </c:pt>
                <c:pt idx="13">
                  <c:v>-2.6385699021428621</c:v>
                </c:pt>
                <c:pt idx="14">
                  <c:v>-2.4614408734691562</c:v>
                </c:pt>
                <c:pt idx="15">
                  <c:v>-1.5675408223277398</c:v>
                </c:pt>
                <c:pt idx="16">
                  <c:v>1.0169684355669562</c:v>
                </c:pt>
                <c:pt idx="17">
                  <c:v>6.047931047689592</c:v>
                </c:pt>
                <c:pt idx="18">
                  <c:v>4.3526826235374072</c:v>
                </c:pt>
                <c:pt idx="19">
                  <c:v>-10.404267872382389</c:v>
                </c:pt>
                <c:pt idx="20">
                  <c:v>6.3336040005636418</c:v>
                </c:pt>
                <c:pt idx="21">
                  <c:v>6.1618906191605483</c:v>
                </c:pt>
                <c:pt idx="22">
                  <c:v>7.2276668994912363</c:v>
                </c:pt>
                <c:pt idx="23">
                  <c:v>21.727905459581631</c:v>
                </c:pt>
              </c:numCache>
            </c:numRef>
          </c:val>
          <c:extLst>
            <c:ext xmlns:c16="http://schemas.microsoft.com/office/drawing/2014/chart" uri="{C3380CC4-5D6E-409C-BE32-E72D297353CC}">
              <c16:uniqueId val="{00000000-49A0-4941-A8CF-3590E7D8B34C}"/>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'2021Q2'!$F$29</c:f>
              <c:strCache>
                <c:ptCount val="1"/>
                <c:pt idx="0">
                  <c:v>Çeyreklik değişim</c:v>
                </c:pt>
              </c:strCache>
            </c:strRef>
          </c:tx>
          <c:spPr>
            <a:ln w="25400" cap="rnd">
              <a:solidFill>
                <a:schemeClr val="tx1"/>
              </a:solidFill>
              <a:round/>
            </a:ln>
            <a:effectLst/>
          </c:spPr>
          <c:marker>
            <c:symbol val="none"/>
          </c:marker>
          <c:cat>
            <c:strRef>
              <c:f>'2021Q2'!$A$44:$A$67</c:f>
              <c:strCache>
                <c:ptCount val="24"/>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pt idx="22">
                  <c:v>2021Q1</c:v>
                </c:pt>
                <c:pt idx="23">
                  <c:v>2021Q2</c:v>
                </c:pt>
              </c:strCache>
            </c:strRef>
          </c:cat>
          <c:val>
            <c:numRef>
              <c:f>'2021Q2'!$F$44:$F$67</c:f>
              <c:numCache>
                <c:formatCode>0.0</c:formatCode>
                <c:ptCount val="24"/>
                <c:pt idx="0">
                  <c:v>1.4015138865474563</c:v>
                </c:pt>
                <c:pt idx="1">
                  <c:v>1.1668668433829188</c:v>
                </c:pt>
                <c:pt idx="2">
                  <c:v>0.36153799868852143</c:v>
                </c:pt>
                <c:pt idx="3">
                  <c:v>1.4308864147070777</c:v>
                </c:pt>
                <c:pt idx="4">
                  <c:v>-2.8676734615405208</c:v>
                </c:pt>
                <c:pt idx="5">
                  <c:v>5.5096116443521304</c:v>
                </c:pt>
                <c:pt idx="6">
                  <c:v>1.3688652591548722</c:v>
                </c:pt>
                <c:pt idx="7">
                  <c:v>2.2803188215367642</c:v>
                </c:pt>
                <c:pt idx="8">
                  <c:v>1.5159185578088596</c:v>
                </c:pt>
                <c:pt idx="9">
                  <c:v>1.8827611319900406</c:v>
                </c:pt>
                <c:pt idx="10">
                  <c:v>1.4687431305278054</c:v>
                </c:pt>
                <c:pt idx="11">
                  <c:v>0.65752178739311162</c:v>
                </c:pt>
                <c:pt idx="12">
                  <c:v>-1.6279355142683194</c:v>
                </c:pt>
                <c:pt idx="13">
                  <c:v>-3.1841153369860153</c:v>
                </c:pt>
                <c:pt idx="14">
                  <c:v>1.9010266536326759</c:v>
                </c:pt>
                <c:pt idx="15">
                  <c:v>2.3799511321986433</c:v>
                </c:pt>
                <c:pt idx="16">
                  <c:v>5.0625443416385529E-2</c:v>
                </c:pt>
                <c:pt idx="17">
                  <c:v>1.3646299665604822</c:v>
                </c:pt>
                <c:pt idx="18">
                  <c:v>0.44624293734141229</c:v>
                </c:pt>
                <c:pt idx="19">
                  <c:v>-10.769850737664399</c:v>
                </c:pt>
                <c:pt idx="20">
                  <c:v>16.400501824935088</c:v>
                </c:pt>
                <c:pt idx="21">
                  <c:v>1.2025247567660768</c:v>
                </c:pt>
                <c:pt idx="22">
                  <c:v>2.1708994983952179</c:v>
                </c:pt>
                <c:pt idx="23">
                  <c:v>0.9006185196226868</c:v>
                </c:pt>
              </c:numCache>
            </c:numRef>
          </c:val>
          <c:smooth val="0"/>
          <c:extLst>
            <c:ext xmlns:c16="http://schemas.microsoft.com/office/drawing/2014/chart" uri="{C3380CC4-5D6E-409C-BE32-E72D297353CC}">
              <c16:uniqueId val="{00000001-49A0-4941-A8CF-3590E7D8B34C}"/>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A145-5150-4274-8E06-4E7A01C2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4</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Ozan BAKIS</cp:lastModifiedBy>
  <cp:revision>98</cp:revision>
  <cp:lastPrinted>2019-12-05T12:09:00Z</cp:lastPrinted>
  <dcterms:created xsi:type="dcterms:W3CDTF">2019-12-05T12:09:00Z</dcterms:created>
  <dcterms:modified xsi:type="dcterms:W3CDTF">2021-09-26T21:36:00Z</dcterms:modified>
</cp:coreProperties>
</file>