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77777777" w:rsidR="00917330" w:rsidRPr="00155A64" w:rsidRDefault="00917330">
      <w:pPr>
        <w:rPr>
          <w:rFonts w:ascii="Palatino Linotype" w:hAnsi="Palatino Linotype" w:cstheme="minorHAnsi"/>
          <w:lang w:val="en-US"/>
        </w:rPr>
      </w:pPr>
    </w:p>
    <w:p w14:paraId="4E745BEF" w14:textId="77777777" w:rsidR="00D07713" w:rsidRPr="00155A64" w:rsidRDefault="00062A8A">
      <w:pPr>
        <w:rPr>
          <w:rFonts w:ascii="Palatino Linotype" w:hAnsi="Palatino Linotype" w:cstheme="minorHAnsi"/>
          <w:lang w:val="en-US"/>
        </w:rPr>
      </w:pPr>
      <w:r w:rsidRPr="00155A64">
        <w:rPr>
          <w:rFonts w:ascii="Palatino Linotype" w:hAnsi="Palatino Linotype" w:cstheme="minorHAnsi"/>
          <w:noProof/>
          <w:lang w:val="en-US" w:eastAsia="en-GB"/>
        </w:rPr>
        <mc:AlternateContent>
          <mc:Choice Requires="wps">
            <w:drawing>
              <wp:anchor distT="0" distB="0" distL="114935" distR="114935" simplePos="0" relativeHeight="251659264"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352D6BE5" w:rsidR="00D07713" w:rsidRPr="00D07713" w:rsidRDefault="00B02076"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11</w:t>
                            </w:r>
                            <w:r w:rsidR="006F0FC6">
                              <w:rPr>
                                <w:rFonts w:ascii="Arial" w:eastAsia="Times New Roman" w:hAnsi="Arial" w:cs="Arial"/>
                                <w:b/>
                                <w:bCs/>
                                <w:color w:val="FFFFFF"/>
                                <w:sz w:val="22"/>
                                <w:szCs w:val="22"/>
                                <w:lang w:eastAsia="ar-SA"/>
                              </w:rPr>
                              <w:t xml:space="preserve"> </w:t>
                            </w:r>
                            <w:r w:rsidR="00E265D5">
                              <w:rPr>
                                <w:rFonts w:ascii="Arial" w:eastAsia="Times New Roman" w:hAnsi="Arial" w:cs="Arial"/>
                                <w:b/>
                                <w:bCs/>
                                <w:color w:val="FFFFFF"/>
                                <w:sz w:val="22"/>
                                <w:szCs w:val="22"/>
                                <w:lang w:eastAsia="ar-SA"/>
                              </w:rPr>
                              <w:t>Ma</w:t>
                            </w:r>
                            <w:r w:rsidR="009F4054">
                              <w:rPr>
                                <w:rFonts w:ascii="Arial" w:eastAsia="Times New Roman" w:hAnsi="Arial" w:cs="Arial"/>
                                <w:b/>
                                <w:bCs/>
                                <w:color w:val="FFFFFF"/>
                                <w:sz w:val="22"/>
                                <w:szCs w:val="22"/>
                                <w:lang w:eastAsia="ar-SA"/>
                              </w:rPr>
                              <w:t>rch</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" stroked="f">
                <v:fill opacity="0"/>
                <v:textbox inset="0,0,0,0">
                  <w:txbxContent>
                    <w:p w14:paraId="5B0CFDC6" w14:textId="352D6BE5" w:rsidR="00D07713" w:rsidRPr="00D07713" w:rsidRDefault="00B02076"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11</w:t>
                      </w:r>
                      <w:r w:rsidR="006F0FC6">
                        <w:rPr>
                          <w:rFonts w:ascii="Arial" w:eastAsia="Times New Roman" w:hAnsi="Arial" w:cs="Arial"/>
                          <w:b/>
                          <w:bCs/>
                          <w:color w:val="FFFFFF"/>
                          <w:sz w:val="22"/>
                          <w:szCs w:val="22"/>
                          <w:lang w:eastAsia="ar-SA"/>
                        </w:rPr>
                        <w:t xml:space="preserve"> </w:t>
                      </w:r>
                      <w:proofErr w:type="spellStart"/>
                      <w:r w:rsidR="00E265D5">
                        <w:rPr>
                          <w:rFonts w:ascii="Arial" w:eastAsia="Times New Roman" w:hAnsi="Arial" w:cs="Arial"/>
                          <w:b/>
                          <w:bCs/>
                          <w:color w:val="FFFFFF"/>
                          <w:sz w:val="22"/>
                          <w:szCs w:val="22"/>
                          <w:lang w:eastAsia="ar-SA"/>
                        </w:rPr>
                        <w:t>Ma</w:t>
                      </w:r>
                      <w:r w:rsidR="009F4054">
                        <w:rPr>
                          <w:rFonts w:ascii="Arial" w:eastAsia="Times New Roman" w:hAnsi="Arial" w:cs="Arial"/>
                          <w:b/>
                          <w:bCs/>
                          <w:color w:val="FFFFFF"/>
                          <w:sz w:val="22"/>
                          <w:szCs w:val="22"/>
                          <w:lang w:eastAsia="ar-SA"/>
                        </w:rPr>
                        <w:t>rch</w:t>
                      </w:r>
                      <w:proofErr w:type="spellEnd"/>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v:textbox>
              </v:shape>
            </w:pict>
          </mc:Fallback>
        </mc:AlternateContent>
      </w:r>
      <w:r w:rsidR="007F39BB" w:rsidRPr="00155A64">
        <w:rPr>
          <w:rFonts w:ascii="Palatino Linotype" w:hAnsi="Palatino Linotype" w:cstheme="minorHAnsi"/>
          <w:noProof/>
          <w:lang w:val="en-US"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BAE83" w14:textId="77777777" w:rsidR="009F4054" w:rsidRPr="00D83B56" w:rsidRDefault="009F4054" w:rsidP="009F4054">
                            <w:pPr>
                              <w:pStyle w:val="Balk1"/>
                              <w:rPr>
                                <w:rFonts w:ascii="Times New Roman" w:hAnsi="Times New Roman" w:cs="Times New Roman"/>
                                <w:sz w:val="40"/>
                                <w:szCs w:val="40"/>
                                <w:lang w:val="en-US"/>
                              </w:rPr>
                            </w:pPr>
                            <w:r w:rsidRPr="00D83B56">
                              <w:rPr>
                                <w:rFonts w:ascii="Times New Roman" w:hAnsi="Times New Roman" w:cs="Times New Roman"/>
                                <w:sz w:val="40"/>
                                <w:szCs w:val="40"/>
                                <w:lang w:val="en-US"/>
                              </w:rPr>
                              <w:t>Growth Eval</w:t>
                            </w:r>
                            <w:r>
                              <w:rPr>
                                <w:rFonts w:ascii="Times New Roman" w:hAnsi="Times New Roman" w:cs="Times New Roman"/>
                                <w:sz w:val="40"/>
                                <w:szCs w:val="40"/>
                                <w:lang w:val="en-US"/>
                              </w:rPr>
                              <w:t>ua</w:t>
                            </w:r>
                            <w:r w:rsidRPr="00D83B56">
                              <w:rPr>
                                <w:rFonts w:ascii="Times New Roman" w:hAnsi="Times New Roman" w:cs="Times New Roman"/>
                                <w:sz w:val="40"/>
                                <w:szCs w:val="40"/>
                                <w:lang w:val="en-US"/>
                              </w:rPr>
                              <w:t>tion:</w:t>
                            </w:r>
                          </w:p>
                          <w:p w14:paraId="32C2A4D8" w14:textId="0996BEEC" w:rsidR="009F4054" w:rsidRPr="00D83B56" w:rsidRDefault="009F4054" w:rsidP="009F4054">
                            <w:pPr>
                              <w:pStyle w:val="Balk1"/>
                              <w:rPr>
                                <w:b w:val="0"/>
                                <w:bCs w:val="0"/>
                                <w:i/>
                                <w:iCs/>
                                <w:lang w:val="en-US"/>
                              </w:rPr>
                            </w:pPr>
                            <w:r w:rsidRPr="00D83B56">
                              <w:rPr>
                                <w:rFonts w:ascii="Times New Roman" w:hAnsi="Times New Roman" w:cs="Times New Roman"/>
                                <w:sz w:val="40"/>
                                <w:szCs w:val="40"/>
                                <w:lang w:val="en-US"/>
                              </w:rPr>
                              <w:t xml:space="preserve">2020 </w:t>
                            </w:r>
                            <w:r>
                              <w:rPr>
                                <w:rFonts w:ascii="Times New Roman" w:hAnsi="Times New Roman" w:cs="Times New Roman"/>
                                <w:sz w:val="40"/>
                                <w:szCs w:val="40"/>
                                <w:lang w:val="en-US"/>
                              </w:rPr>
                              <w:t>4</w:t>
                            </w:r>
                            <w:r>
                              <w:rPr>
                                <w:rFonts w:ascii="Times New Roman" w:hAnsi="Times New Roman" w:cs="Times New Roman"/>
                                <w:sz w:val="40"/>
                                <w:szCs w:val="40"/>
                                <w:vertAlign w:val="superscript"/>
                                <w:lang w:val="en-US"/>
                              </w:rPr>
                              <w:t>th</w:t>
                            </w:r>
                            <w:r w:rsidRPr="00D83B56">
                              <w:rPr>
                                <w:rFonts w:ascii="Times New Roman" w:hAnsi="Times New Roman" w:cs="Times New Roman"/>
                                <w:sz w:val="40"/>
                                <w:szCs w:val="40"/>
                                <w:lang w:val="en-US"/>
                              </w:rPr>
                              <w:t xml:space="preserve"> Quarter</w:t>
                            </w:r>
                          </w:p>
                          <w:p w14:paraId="28E5CBD4" w14:textId="5D0B7D88" w:rsidR="00D07713" w:rsidRPr="00526178" w:rsidRDefault="00D07713" w:rsidP="00D07713">
                            <w:pPr>
                              <w:pStyle w:val="Balk1"/>
                              <w:rPr>
                                <w:b w:val="0"/>
                                <w:bCs w:val="0"/>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" stroked="f">
                <v:fill opacity="0"/>
                <v:textbox inset="0,0,0,0">
                  <w:txbxContent>
                    <w:p w14:paraId="1CDBAE83" w14:textId="77777777" w:rsidR="009F4054" w:rsidRPr="00D83B56" w:rsidRDefault="009F4054" w:rsidP="009F4054">
                      <w:pPr>
                        <w:pStyle w:val="Balk1"/>
                        <w:rPr>
                          <w:rFonts w:ascii="Times New Roman" w:hAnsi="Times New Roman" w:cs="Times New Roman"/>
                          <w:sz w:val="40"/>
                          <w:szCs w:val="40"/>
                          <w:lang w:val="en-US"/>
                        </w:rPr>
                      </w:pPr>
                      <w:r w:rsidRPr="00D83B56">
                        <w:rPr>
                          <w:rFonts w:ascii="Times New Roman" w:hAnsi="Times New Roman" w:cs="Times New Roman"/>
                          <w:sz w:val="40"/>
                          <w:szCs w:val="40"/>
                          <w:lang w:val="en-US"/>
                        </w:rPr>
                        <w:t>Growth Eval</w:t>
                      </w:r>
                      <w:r>
                        <w:rPr>
                          <w:rFonts w:ascii="Times New Roman" w:hAnsi="Times New Roman" w:cs="Times New Roman"/>
                          <w:sz w:val="40"/>
                          <w:szCs w:val="40"/>
                          <w:lang w:val="en-US"/>
                        </w:rPr>
                        <w:t>ua</w:t>
                      </w:r>
                      <w:r w:rsidRPr="00D83B56">
                        <w:rPr>
                          <w:rFonts w:ascii="Times New Roman" w:hAnsi="Times New Roman" w:cs="Times New Roman"/>
                          <w:sz w:val="40"/>
                          <w:szCs w:val="40"/>
                          <w:lang w:val="en-US"/>
                        </w:rPr>
                        <w:t>tion:</w:t>
                      </w:r>
                    </w:p>
                    <w:p w14:paraId="32C2A4D8" w14:textId="0996BEEC" w:rsidR="009F4054" w:rsidRPr="00D83B56" w:rsidRDefault="009F4054" w:rsidP="009F4054">
                      <w:pPr>
                        <w:pStyle w:val="Balk1"/>
                        <w:rPr>
                          <w:b w:val="0"/>
                          <w:bCs w:val="0"/>
                          <w:i/>
                          <w:iCs/>
                          <w:lang w:val="en-US"/>
                        </w:rPr>
                      </w:pPr>
                      <w:r w:rsidRPr="00D83B56">
                        <w:rPr>
                          <w:rFonts w:ascii="Times New Roman" w:hAnsi="Times New Roman" w:cs="Times New Roman"/>
                          <w:sz w:val="40"/>
                          <w:szCs w:val="40"/>
                          <w:lang w:val="en-US"/>
                        </w:rPr>
                        <w:t xml:space="preserve">2020 </w:t>
                      </w:r>
                      <w:r>
                        <w:rPr>
                          <w:rFonts w:ascii="Times New Roman" w:hAnsi="Times New Roman" w:cs="Times New Roman"/>
                          <w:sz w:val="40"/>
                          <w:szCs w:val="40"/>
                          <w:lang w:val="en-US"/>
                        </w:rPr>
                        <w:t>4</w:t>
                      </w:r>
                      <w:r>
                        <w:rPr>
                          <w:rFonts w:ascii="Times New Roman" w:hAnsi="Times New Roman" w:cs="Times New Roman"/>
                          <w:sz w:val="40"/>
                          <w:szCs w:val="40"/>
                          <w:vertAlign w:val="superscript"/>
                          <w:lang w:val="en-US"/>
                        </w:rPr>
                        <w:t>th</w:t>
                      </w:r>
                      <w:r w:rsidRPr="00D83B56">
                        <w:rPr>
                          <w:rFonts w:ascii="Times New Roman" w:hAnsi="Times New Roman" w:cs="Times New Roman"/>
                          <w:sz w:val="40"/>
                          <w:szCs w:val="40"/>
                          <w:lang w:val="en-US"/>
                        </w:rPr>
                        <w:t xml:space="preserve"> Quarter</w:t>
                      </w:r>
                    </w:p>
                    <w:p w14:paraId="28E5CBD4" w14:textId="5D0B7D88" w:rsidR="00D07713" w:rsidRPr="00526178" w:rsidRDefault="00D07713" w:rsidP="00D07713">
                      <w:pPr>
                        <w:pStyle w:val="Balk1"/>
                        <w:rPr>
                          <w:b w:val="0"/>
                          <w:bCs w:val="0"/>
                          <w:i/>
                          <w:iCs/>
                        </w:rPr>
                      </w:pPr>
                    </w:p>
                  </w:txbxContent>
                </v:textbox>
              </v:shape>
            </w:pict>
          </mc:Fallback>
        </mc:AlternateContent>
      </w:r>
      <w:r w:rsidR="00D07713" w:rsidRPr="00155A64">
        <w:rPr>
          <w:rFonts w:ascii="Palatino Linotype" w:hAnsi="Palatino Linotype" w:cstheme="minorHAnsi"/>
          <w:noProof/>
          <w:lang w:val="en-US"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155A64" w:rsidRDefault="00D07713">
      <w:pPr>
        <w:rPr>
          <w:rFonts w:ascii="Palatino Linotype" w:hAnsi="Palatino Linotype" w:cstheme="minorHAnsi"/>
          <w:lang w:val="en-US"/>
        </w:rPr>
      </w:pPr>
    </w:p>
    <w:p w14:paraId="1A2A657A" w14:textId="77777777" w:rsidR="00D07713" w:rsidRPr="00155A64" w:rsidRDefault="00D07713" w:rsidP="00D07713">
      <w:pPr>
        <w:spacing w:line="288" w:lineRule="auto"/>
        <w:ind w:right="-319"/>
        <w:jc w:val="center"/>
        <w:outlineLvl w:val="0"/>
        <w:rPr>
          <w:rFonts w:ascii="Palatino Linotype" w:hAnsi="Palatino Linotype" w:cstheme="minorHAnsi"/>
          <w:b/>
          <w:bCs/>
          <w:sz w:val="28"/>
          <w:szCs w:val="28"/>
          <w:lang w:val="en-US"/>
        </w:rPr>
      </w:pPr>
    </w:p>
    <w:p w14:paraId="6783B39D" w14:textId="7CC9B2A8" w:rsidR="00D34702" w:rsidRPr="00155A64" w:rsidRDefault="00155A64" w:rsidP="00D34702">
      <w:pPr>
        <w:spacing w:line="288" w:lineRule="auto"/>
        <w:ind w:right="-319"/>
        <w:jc w:val="center"/>
        <w:outlineLvl w:val="0"/>
        <w:rPr>
          <w:rFonts w:ascii="Palatino Linotype" w:hAnsi="Palatino Linotype" w:cstheme="minorHAnsi"/>
          <w:b/>
          <w:bCs/>
          <w:sz w:val="28"/>
          <w:szCs w:val="28"/>
          <w:lang w:val="en-US"/>
        </w:rPr>
      </w:pPr>
      <w:r w:rsidRPr="00155A64">
        <w:rPr>
          <w:rFonts w:ascii="Palatino Linotype" w:hAnsi="Palatino Linotype" w:cstheme="minorHAnsi"/>
          <w:b/>
          <w:bCs/>
          <w:sz w:val="28"/>
          <w:szCs w:val="28"/>
          <w:lang w:val="en-US"/>
        </w:rPr>
        <w:t>HIGH GROWTH DESPITE QUARANTINE MEASURES</w:t>
      </w:r>
    </w:p>
    <w:p w14:paraId="428E7403" w14:textId="5430D498" w:rsidR="00D07713" w:rsidRPr="00155A64" w:rsidRDefault="00D07713" w:rsidP="004623F2">
      <w:pPr>
        <w:spacing w:line="288" w:lineRule="auto"/>
        <w:ind w:right="-319"/>
        <w:jc w:val="center"/>
        <w:outlineLvl w:val="0"/>
        <w:rPr>
          <w:rFonts w:ascii="Palatino Linotype" w:hAnsi="Palatino Linotype" w:cstheme="minorHAnsi"/>
          <w:lang w:val="en-US"/>
        </w:rPr>
      </w:pPr>
      <w:r w:rsidRPr="00155A64">
        <w:rPr>
          <w:rFonts w:ascii="Palatino Linotype" w:hAnsi="Palatino Linotype" w:cstheme="minorHAnsi"/>
          <w:b/>
          <w:bCs/>
          <w:sz w:val="22"/>
          <w:szCs w:val="22"/>
          <w:lang w:val="en-US"/>
        </w:rPr>
        <w:t>Ozan Bakış</w:t>
      </w:r>
      <w:r w:rsidR="00C32789" w:rsidRPr="00155A64">
        <w:rPr>
          <w:rStyle w:val="DipnotBavurusu"/>
          <w:rFonts w:ascii="Palatino Linotype" w:hAnsi="Palatino Linotype" w:cstheme="minorHAnsi"/>
          <w:b/>
          <w:bCs/>
          <w:sz w:val="22"/>
          <w:szCs w:val="22"/>
          <w:lang w:val="en-US"/>
        </w:rPr>
        <w:footnoteReference w:id="1"/>
      </w:r>
      <w:r w:rsidR="001537D8" w:rsidRPr="00155A64">
        <w:rPr>
          <w:rFonts w:ascii="Palatino Linotype" w:hAnsi="Palatino Linotype" w:cstheme="minorHAnsi"/>
          <w:b/>
          <w:bCs/>
          <w:sz w:val="22"/>
          <w:szCs w:val="22"/>
          <w:lang w:val="en-US"/>
        </w:rPr>
        <w:t xml:space="preserve"> ve </w:t>
      </w:r>
      <w:r w:rsidR="008B0385" w:rsidRPr="00155A64">
        <w:rPr>
          <w:rFonts w:ascii="Palatino Linotype" w:hAnsi="Palatino Linotype" w:cstheme="minorHAnsi"/>
          <w:b/>
          <w:bCs/>
          <w:sz w:val="22"/>
          <w:szCs w:val="22"/>
          <w:lang w:val="en-US"/>
        </w:rPr>
        <w:t>Gökhan Dilek</w:t>
      </w:r>
      <w:r w:rsidR="001537D8" w:rsidRPr="00155A64">
        <w:rPr>
          <w:rStyle w:val="DipnotBavurusu"/>
          <w:rFonts w:ascii="Palatino Linotype" w:hAnsi="Palatino Linotype" w:cstheme="minorHAnsi"/>
          <w:b/>
          <w:bCs/>
          <w:sz w:val="22"/>
          <w:szCs w:val="22"/>
          <w:lang w:val="en-US"/>
        </w:rPr>
        <w:footnoteReference w:id="2"/>
      </w:r>
    </w:p>
    <w:p w14:paraId="6E057918" w14:textId="77777777" w:rsidR="00405BD8" w:rsidRPr="00155A64" w:rsidRDefault="00405BD8" w:rsidP="00751F72">
      <w:pPr>
        <w:jc w:val="center"/>
        <w:rPr>
          <w:rFonts w:ascii="Palatino Linotype" w:hAnsi="Palatino Linotype" w:cstheme="minorHAnsi"/>
          <w:b/>
          <w:sz w:val="22"/>
          <w:szCs w:val="22"/>
          <w:lang w:val="en-US"/>
        </w:rPr>
      </w:pPr>
    </w:p>
    <w:p w14:paraId="180703E7" w14:textId="3866F599" w:rsidR="00111CED" w:rsidRPr="00155A64" w:rsidRDefault="00155A64" w:rsidP="00405BD8">
      <w:pPr>
        <w:spacing w:line="360" w:lineRule="auto"/>
        <w:jc w:val="center"/>
        <w:rPr>
          <w:rFonts w:ascii="Palatino Linotype" w:hAnsi="Palatino Linotype" w:cstheme="minorHAnsi"/>
          <w:b/>
          <w:sz w:val="22"/>
          <w:szCs w:val="22"/>
          <w:lang w:val="en-US"/>
        </w:rPr>
      </w:pPr>
      <w:r w:rsidRPr="00155A64">
        <w:rPr>
          <w:rFonts w:ascii="Palatino Linotype" w:hAnsi="Palatino Linotype" w:cstheme="minorHAnsi"/>
          <w:b/>
          <w:sz w:val="22"/>
          <w:szCs w:val="22"/>
          <w:lang w:val="en-US"/>
        </w:rPr>
        <w:t>Executive Summary</w:t>
      </w:r>
    </w:p>
    <w:p w14:paraId="1EB182F9" w14:textId="70059F47" w:rsidR="00155A64" w:rsidRDefault="00155A64" w:rsidP="004426B4">
      <w:pPr>
        <w:spacing w:line="300" w:lineRule="auto"/>
        <w:ind w:left="567" w:right="567"/>
        <w:jc w:val="both"/>
        <w:rPr>
          <w:rFonts w:ascii="Palatino Linotype" w:hAnsi="Palatino Linotype" w:cstheme="minorHAnsi"/>
          <w:sz w:val="22"/>
          <w:szCs w:val="22"/>
          <w:lang w:val="en-US"/>
        </w:rPr>
      </w:pPr>
      <w:bookmarkStart w:id="0" w:name="OLE_LINK5"/>
      <w:bookmarkStart w:id="1" w:name="OLE_LINK6"/>
      <w:r w:rsidRPr="00155A64">
        <w:rPr>
          <w:rFonts w:ascii="Palatino Linotype" w:hAnsi="Palatino Linotype" w:cstheme="minorHAnsi"/>
          <w:sz w:val="22"/>
          <w:szCs w:val="22"/>
          <w:lang w:val="en-US"/>
        </w:rPr>
        <w:t xml:space="preserve">In the last month of the fourth quarter of 2020, </w:t>
      </w:r>
      <w:r w:rsidR="00201DEB">
        <w:rPr>
          <w:rFonts w:ascii="Palatino Linotype" w:hAnsi="Palatino Linotype" w:cstheme="minorHAnsi"/>
          <w:sz w:val="22"/>
          <w:szCs w:val="22"/>
          <w:lang w:val="en-US"/>
        </w:rPr>
        <w:t>quarantine</w:t>
      </w:r>
      <w:r w:rsidRPr="00155A64">
        <w:rPr>
          <w:rFonts w:ascii="Palatino Linotype" w:hAnsi="Palatino Linotype" w:cstheme="minorHAnsi"/>
          <w:sz w:val="22"/>
          <w:szCs w:val="22"/>
          <w:lang w:val="en-US"/>
        </w:rPr>
        <w:t xml:space="preserve"> measures started to be implemented again. The fact that economic activities were not included in the bans ensured that economic growth was not affected by these measures in this quarter.</w:t>
      </w:r>
      <w:r>
        <w:rPr>
          <w:rFonts w:ascii="Palatino Linotype" w:hAnsi="Palatino Linotype" w:cstheme="minorHAnsi"/>
          <w:sz w:val="22"/>
          <w:szCs w:val="22"/>
          <w:lang w:val="en-US"/>
        </w:rPr>
        <w:t xml:space="preserve"> Except exports, all GDP expenditure components increase considerably. </w:t>
      </w:r>
      <w:r w:rsidRPr="00155A64">
        <w:rPr>
          <w:rFonts w:ascii="Palatino Linotype" w:hAnsi="Palatino Linotype" w:cstheme="minorHAnsi"/>
          <w:sz w:val="22"/>
          <w:szCs w:val="22"/>
          <w:lang w:val="en-US"/>
        </w:rPr>
        <w:t xml:space="preserve">In the fourth quarter of 2020, compared to the same period of the previous year, private consumption increased by 8.2 percent, public expenditures by 6.6 percent and investments by 10.3 percent, while exports remained stable and did not contribute to </w:t>
      </w:r>
      <w:r>
        <w:rPr>
          <w:rFonts w:ascii="Palatino Linotype" w:hAnsi="Palatino Linotype" w:cstheme="minorHAnsi"/>
          <w:sz w:val="22"/>
          <w:szCs w:val="22"/>
          <w:lang w:val="en-US"/>
        </w:rPr>
        <w:t xml:space="preserve">the GDP </w:t>
      </w:r>
      <w:r w:rsidRPr="00155A64">
        <w:rPr>
          <w:rFonts w:ascii="Palatino Linotype" w:hAnsi="Palatino Linotype" w:cstheme="minorHAnsi"/>
          <w:sz w:val="22"/>
          <w:szCs w:val="22"/>
          <w:lang w:val="en-US"/>
        </w:rPr>
        <w:t>growth</w:t>
      </w:r>
      <w:r w:rsidR="00201DEB">
        <w:rPr>
          <w:rFonts w:ascii="Palatino Linotype" w:hAnsi="Palatino Linotype" w:cstheme="minorHAnsi"/>
          <w:sz w:val="22"/>
          <w:szCs w:val="22"/>
          <w:lang w:val="en-US"/>
        </w:rPr>
        <w:t xml:space="preserve"> and</w:t>
      </w:r>
      <w:r w:rsidRPr="00155A64">
        <w:rPr>
          <w:rFonts w:ascii="Palatino Linotype" w:hAnsi="Palatino Linotype" w:cstheme="minorHAnsi"/>
          <w:sz w:val="22"/>
          <w:szCs w:val="22"/>
          <w:lang w:val="en-US"/>
        </w:rPr>
        <w:t xml:space="preserve"> 2.5 percent increase in imports suppressed </w:t>
      </w:r>
      <w:r w:rsidR="00201DEB">
        <w:rPr>
          <w:rFonts w:ascii="Palatino Linotype" w:hAnsi="Palatino Linotype" w:cstheme="minorHAnsi"/>
          <w:sz w:val="22"/>
          <w:szCs w:val="22"/>
          <w:lang w:val="en-US"/>
        </w:rPr>
        <w:t>it</w:t>
      </w:r>
      <w:r w:rsidRPr="00155A64">
        <w:rPr>
          <w:rFonts w:ascii="Palatino Linotype" w:hAnsi="Palatino Linotype" w:cstheme="minorHAnsi"/>
          <w:sz w:val="22"/>
          <w:szCs w:val="22"/>
          <w:lang w:val="en-US"/>
        </w:rPr>
        <w:t xml:space="preserve">. Thus, GDP grew by 5.9 percent on an annual basis. According to the seasonally and calendar adjusted </w:t>
      </w:r>
      <w:r w:rsidR="00201DEB">
        <w:rPr>
          <w:rFonts w:ascii="Palatino Linotype" w:hAnsi="Palatino Linotype" w:cstheme="minorHAnsi"/>
          <w:sz w:val="22"/>
          <w:szCs w:val="22"/>
          <w:lang w:val="en-US"/>
        </w:rPr>
        <w:t>data</w:t>
      </w:r>
      <w:r w:rsidRPr="00155A64">
        <w:rPr>
          <w:rFonts w:ascii="Palatino Linotype" w:hAnsi="Palatino Linotype" w:cstheme="minorHAnsi"/>
          <w:sz w:val="22"/>
          <w:szCs w:val="22"/>
          <w:lang w:val="en-US"/>
        </w:rPr>
        <w:t>, private consumption (0.8 percent), public expenditures (3.6 percent), exports (18.9 percent) and imports (0.2 percent) record increases compared to the previous quarter, while investments (minus 2.7</w:t>
      </w:r>
      <w:r w:rsidR="00201DEB">
        <w:rPr>
          <w:rFonts w:ascii="Palatino Linotype" w:hAnsi="Palatino Linotype" w:cstheme="minorHAnsi"/>
          <w:sz w:val="22"/>
          <w:szCs w:val="22"/>
          <w:lang w:val="en-US"/>
        </w:rPr>
        <w:t xml:space="preserve"> percent</w:t>
      </w:r>
      <w:r w:rsidRPr="00155A64">
        <w:rPr>
          <w:rFonts w:ascii="Palatino Linotype" w:hAnsi="Palatino Linotype" w:cstheme="minorHAnsi"/>
          <w:sz w:val="22"/>
          <w:szCs w:val="22"/>
          <w:lang w:val="en-US"/>
        </w:rPr>
        <w:t xml:space="preserve">), on the other hand, </w:t>
      </w:r>
      <w:r w:rsidR="00CA4E7E">
        <w:rPr>
          <w:rFonts w:ascii="Palatino Linotype" w:hAnsi="Palatino Linotype" w:cstheme="minorHAnsi"/>
          <w:sz w:val="22"/>
          <w:szCs w:val="22"/>
          <w:lang w:val="en-US"/>
        </w:rPr>
        <w:t>decline</w:t>
      </w:r>
      <w:r w:rsidRPr="00155A64">
        <w:rPr>
          <w:rFonts w:ascii="Palatino Linotype" w:hAnsi="Palatino Linotype" w:cstheme="minorHAnsi"/>
          <w:sz w:val="22"/>
          <w:szCs w:val="22"/>
          <w:lang w:val="en-US"/>
        </w:rPr>
        <w:t>.</w:t>
      </w:r>
    </w:p>
    <w:p w14:paraId="195B2FC0" w14:textId="57E1CA08" w:rsidR="00201DEB" w:rsidRDefault="00201DEB" w:rsidP="004426B4">
      <w:pPr>
        <w:spacing w:line="300" w:lineRule="auto"/>
        <w:ind w:left="567" w:right="567"/>
        <w:jc w:val="both"/>
        <w:rPr>
          <w:rFonts w:ascii="Palatino Linotype" w:hAnsi="Palatino Linotype" w:cstheme="minorHAnsi"/>
          <w:sz w:val="22"/>
          <w:szCs w:val="22"/>
          <w:lang w:val="en-US"/>
        </w:rPr>
      </w:pPr>
      <w:r w:rsidRPr="00201DEB">
        <w:rPr>
          <w:rFonts w:ascii="Palatino Linotype" w:hAnsi="Palatino Linotype" w:cstheme="minorHAnsi"/>
          <w:sz w:val="22"/>
          <w:szCs w:val="22"/>
          <w:lang w:val="en-US"/>
        </w:rPr>
        <w:t xml:space="preserve">Significant growth was achieved in the fourth quarter because of the absence of any </w:t>
      </w:r>
      <w:r>
        <w:rPr>
          <w:rFonts w:ascii="Palatino Linotype" w:hAnsi="Palatino Linotype" w:cstheme="minorHAnsi"/>
          <w:sz w:val="22"/>
          <w:szCs w:val="22"/>
          <w:lang w:val="en-US"/>
        </w:rPr>
        <w:t>lockdown</w:t>
      </w:r>
      <w:r w:rsidRPr="00201DEB">
        <w:rPr>
          <w:rFonts w:ascii="Palatino Linotype" w:hAnsi="Palatino Linotype" w:cstheme="minorHAnsi"/>
          <w:sz w:val="22"/>
          <w:szCs w:val="22"/>
          <w:lang w:val="en-US"/>
        </w:rPr>
        <w:t xml:space="preserve"> measures in October and November and the exemption of economic activities from the new measures taken at the beginning of December. Turkey was one of the few countries that recorded economic growth in 2020 (1.8% in 2020 compared to the previous year). We expect the economic recovery to continue in the first quarter of 2021, with the gradual re-normalization process starting in March.</w:t>
      </w:r>
    </w:p>
    <w:bookmarkEnd w:id="0"/>
    <w:bookmarkEnd w:id="1"/>
    <w:p w14:paraId="225AD36F" w14:textId="6E94DA20" w:rsidR="00C1422A" w:rsidRPr="00155A64" w:rsidRDefault="009F4054" w:rsidP="009F4054">
      <w:pPr>
        <w:keepNext/>
        <w:rPr>
          <w:rFonts w:ascii="Palatino Linotype" w:hAnsi="Palatino Linotype" w:cstheme="minorHAnsi"/>
          <w:lang w:val="en-US"/>
        </w:rPr>
      </w:pPr>
      <w:r w:rsidRPr="00155A64">
        <w:rPr>
          <w:rFonts w:ascii="Palatino Linotype" w:hAnsi="Palatino Linotype" w:cstheme="minorHAnsi"/>
          <w:b/>
          <w:bCs/>
          <w:sz w:val="22"/>
          <w:szCs w:val="22"/>
          <w:lang w:val="en-US"/>
        </w:rPr>
        <w:lastRenderedPageBreak/>
        <w:t>Figure 1: Contributions to growth (left) and year-on-year growth rates (right) of GDP components in 2020 Q4</w:t>
      </w:r>
    </w:p>
    <w:p w14:paraId="116E1D3F" w14:textId="2ABAC249" w:rsidR="00C1422A" w:rsidRPr="00155A64" w:rsidRDefault="0027421E" w:rsidP="00C1422A">
      <w:pPr>
        <w:keepNext/>
        <w:rPr>
          <w:rFonts w:ascii="Palatino Linotype" w:hAnsi="Palatino Linotype" w:cstheme="minorHAnsi"/>
          <w:lang w:val="en-US"/>
        </w:rPr>
      </w:pPr>
      <w:r w:rsidRPr="00155A64">
        <w:rPr>
          <w:rFonts w:ascii="Palatino Linotype" w:hAnsi="Palatino Linotype" w:cstheme="minorHAnsi"/>
          <w:noProof/>
          <w:lang w:val="en-US"/>
        </w:rPr>
        <w:drawing>
          <wp:anchor distT="0" distB="0" distL="114300" distR="114300" simplePos="0" relativeHeight="251663360" behindDoc="1" locked="0" layoutInCell="1" allowOverlap="1" wp14:anchorId="315E6C90" wp14:editId="570857AA">
            <wp:simplePos x="0" y="0"/>
            <wp:positionH relativeFrom="margin">
              <wp:posOffset>2938780</wp:posOffset>
            </wp:positionH>
            <wp:positionV relativeFrom="paragraph">
              <wp:posOffset>229870</wp:posOffset>
            </wp:positionV>
            <wp:extent cx="3381375" cy="2428875"/>
            <wp:effectExtent l="0" t="0" r="9525" b="9525"/>
            <wp:wrapTight wrapText="bothSides">
              <wp:wrapPolygon edited="0">
                <wp:start x="0" y="0"/>
                <wp:lineTo x="0" y="21515"/>
                <wp:lineTo x="21539" y="21515"/>
                <wp:lineTo x="21539"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428875"/>
                    </a:xfrm>
                    <a:prstGeom prst="rect">
                      <a:avLst/>
                    </a:prstGeom>
                    <a:noFill/>
                  </pic:spPr>
                </pic:pic>
              </a:graphicData>
            </a:graphic>
            <wp14:sizeRelH relativeFrom="margin">
              <wp14:pctWidth>0</wp14:pctWidth>
            </wp14:sizeRelH>
            <wp14:sizeRelV relativeFrom="margin">
              <wp14:pctHeight>0</wp14:pctHeight>
            </wp14:sizeRelV>
          </wp:anchor>
        </w:drawing>
      </w:r>
      <w:r w:rsidRPr="00155A64">
        <w:rPr>
          <w:rFonts w:ascii="Palatino Linotype" w:hAnsi="Palatino Linotype" w:cstheme="minorHAnsi"/>
          <w:noProof/>
          <w:lang w:val="en-US"/>
        </w:rPr>
        <w:drawing>
          <wp:anchor distT="0" distB="0" distL="114300" distR="114300" simplePos="0" relativeHeight="251662336" behindDoc="1" locked="0" layoutInCell="1" allowOverlap="1" wp14:anchorId="3BE984DA" wp14:editId="39905F40">
            <wp:simplePos x="0" y="0"/>
            <wp:positionH relativeFrom="page">
              <wp:posOffset>400050</wp:posOffset>
            </wp:positionH>
            <wp:positionV relativeFrom="paragraph">
              <wp:posOffset>230505</wp:posOffset>
            </wp:positionV>
            <wp:extent cx="3381375" cy="2419350"/>
            <wp:effectExtent l="0" t="0" r="9525" b="0"/>
            <wp:wrapTight wrapText="bothSides">
              <wp:wrapPolygon edited="0">
                <wp:start x="0" y="0"/>
                <wp:lineTo x="0" y="21430"/>
                <wp:lineTo x="21539" y="21430"/>
                <wp:lineTo x="2153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419350"/>
                    </a:xfrm>
                    <a:prstGeom prst="rect">
                      <a:avLst/>
                    </a:prstGeom>
                    <a:noFill/>
                  </pic:spPr>
                </pic:pic>
              </a:graphicData>
            </a:graphic>
            <wp14:sizeRelH relativeFrom="margin">
              <wp14:pctWidth>0</wp14:pctWidth>
            </wp14:sizeRelH>
            <wp14:sizeRelV relativeFrom="margin">
              <wp14:pctHeight>0</wp14:pctHeight>
            </wp14:sizeRelV>
          </wp:anchor>
        </w:drawing>
      </w:r>
    </w:p>
    <w:p w14:paraId="27DDFB67" w14:textId="3F5C30B2" w:rsidR="00C1422A" w:rsidRPr="00155A64" w:rsidRDefault="009F4054" w:rsidP="00E265D5">
      <w:pPr>
        <w:keepNext/>
        <w:ind w:right="-567"/>
        <w:rPr>
          <w:rFonts w:ascii="Palatino Linotype" w:hAnsi="Palatino Linotype" w:cstheme="minorHAnsi"/>
          <w:lang w:val="en-US"/>
        </w:rPr>
      </w:pPr>
      <w:r w:rsidRPr="00155A64">
        <w:rPr>
          <w:rFonts w:ascii="Palatino Linotype" w:hAnsi="Palatino Linotype" w:cstheme="minorHAnsi"/>
          <w:sz w:val="18"/>
          <w:szCs w:val="18"/>
          <w:lang w:val="en-US"/>
        </w:rPr>
        <w:t>Source: TurkStat, Betam</w:t>
      </w:r>
      <w:r w:rsidR="00C1422A" w:rsidRPr="00155A64">
        <w:rPr>
          <w:rFonts w:ascii="Palatino Linotype" w:hAnsi="Palatino Linotype" w:cstheme="minorHAnsi"/>
          <w:sz w:val="16"/>
          <w:szCs w:val="16"/>
          <w:lang w:val="en-US"/>
        </w:rPr>
        <w:t xml:space="preserve"> </w:t>
      </w:r>
    </w:p>
    <w:p w14:paraId="24C6C2F1" w14:textId="0EDE9273" w:rsidR="0033649B" w:rsidRPr="00155A64"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2781E629" w14:textId="5E52A720" w:rsidR="006C3EE6" w:rsidRPr="00155A64" w:rsidRDefault="00201DEB" w:rsidP="006C3EE6">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t>Increase in private consumption</w:t>
      </w:r>
    </w:p>
    <w:p w14:paraId="2479FDFA" w14:textId="3A37AE35" w:rsidR="00201DEB" w:rsidRDefault="00201DEB" w:rsidP="003F00A9">
      <w:pPr>
        <w:pStyle w:val="NormalWeb"/>
        <w:spacing w:before="0" w:beforeAutospacing="0" w:after="0" w:afterAutospacing="0" w:line="360" w:lineRule="auto"/>
        <w:ind w:right="77"/>
        <w:jc w:val="both"/>
        <w:rPr>
          <w:rFonts w:ascii="Palatino Linotype" w:hAnsi="Palatino Linotype" w:cstheme="minorHAnsi"/>
          <w:sz w:val="22"/>
          <w:szCs w:val="22"/>
          <w:lang w:val="en-US"/>
        </w:rPr>
      </w:pPr>
      <w:r>
        <w:rPr>
          <w:rFonts w:ascii="Palatino Linotype" w:hAnsi="Palatino Linotype" w:cstheme="minorHAnsi"/>
          <w:sz w:val="22"/>
          <w:szCs w:val="22"/>
          <w:lang w:val="en-US"/>
        </w:rPr>
        <w:t>Private consumption</w:t>
      </w:r>
      <w:r w:rsidR="00AA71E2">
        <w:rPr>
          <w:rFonts w:ascii="Palatino Linotype" w:hAnsi="Palatino Linotype" w:cstheme="minorHAnsi"/>
          <w:sz w:val="22"/>
          <w:szCs w:val="22"/>
          <w:lang w:val="en-US"/>
        </w:rPr>
        <w:t>,</w:t>
      </w:r>
      <w:r>
        <w:rPr>
          <w:rFonts w:ascii="Palatino Linotype" w:hAnsi="Palatino Linotype" w:cstheme="minorHAnsi"/>
          <w:sz w:val="22"/>
          <w:szCs w:val="22"/>
          <w:lang w:val="en-US"/>
        </w:rPr>
        <w:t xml:space="preserve"> which grew by 8.5 percent annually in the third quarter of 2020</w:t>
      </w:r>
      <w:r w:rsidR="00AA71E2">
        <w:rPr>
          <w:rFonts w:ascii="Palatino Linotype" w:hAnsi="Palatino Linotype" w:cstheme="minorHAnsi"/>
          <w:sz w:val="22"/>
          <w:szCs w:val="22"/>
          <w:lang w:val="en-US"/>
        </w:rPr>
        <w:t>,</w:t>
      </w:r>
      <w:r>
        <w:rPr>
          <w:rFonts w:ascii="Palatino Linotype" w:hAnsi="Palatino Linotype" w:cstheme="minorHAnsi"/>
          <w:sz w:val="22"/>
          <w:szCs w:val="22"/>
          <w:lang w:val="en-US"/>
        </w:rPr>
        <w:t xml:space="preserve"> sustains its pace in the fourth quarter and increases by 8.2 percent in the last quarter. Hence, p</w:t>
      </w:r>
      <w:r w:rsidRPr="00201DEB">
        <w:rPr>
          <w:rFonts w:ascii="Palatino Linotype" w:hAnsi="Palatino Linotype" w:cstheme="minorHAnsi"/>
          <w:sz w:val="22"/>
          <w:szCs w:val="22"/>
          <w:lang w:val="en-US"/>
        </w:rPr>
        <w:t xml:space="preserve">rivate consumption supported growth by 4.6 percentage points in </w:t>
      </w:r>
      <w:r>
        <w:rPr>
          <w:rFonts w:ascii="Palatino Linotype" w:hAnsi="Palatino Linotype" w:cstheme="minorHAnsi"/>
          <w:sz w:val="22"/>
          <w:szCs w:val="22"/>
          <w:lang w:val="en-US"/>
        </w:rPr>
        <w:t xml:space="preserve">this quarter </w:t>
      </w:r>
      <w:r w:rsidRPr="00201DEB">
        <w:rPr>
          <w:rFonts w:ascii="Palatino Linotype" w:hAnsi="Palatino Linotype" w:cstheme="minorHAnsi"/>
          <w:sz w:val="22"/>
          <w:szCs w:val="22"/>
          <w:lang w:val="en-US"/>
        </w:rPr>
        <w:t xml:space="preserve">(Table 1). When we look at the seasonally and calendar adjusted figures, we see that private consumption increased by 0.8 percent and contributed 0.5 percentage points to growth (Table 2). The reason for this difference </w:t>
      </w:r>
      <w:r>
        <w:rPr>
          <w:rFonts w:ascii="Palatino Linotype" w:hAnsi="Palatino Linotype" w:cstheme="minorHAnsi"/>
          <w:sz w:val="22"/>
          <w:szCs w:val="22"/>
          <w:lang w:val="en-US"/>
        </w:rPr>
        <w:t>between</w:t>
      </w:r>
      <w:r w:rsidRPr="00201DEB">
        <w:rPr>
          <w:rFonts w:ascii="Palatino Linotype" w:hAnsi="Palatino Linotype" w:cstheme="minorHAnsi"/>
          <w:sz w:val="22"/>
          <w:szCs w:val="22"/>
          <w:lang w:val="en-US"/>
        </w:rPr>
        <w:t xml:space="preserve"> annual and quarterly growth is the base effect of annual growth. It is reasonable to expect a more moderate increase in private consumption expenditures in the next quarter.</w:t>
      </w:r>
    </w:p>
    <w:p w14:paraId="5C46529E" w14:textId="392A99CC" w:rsidR="009F4054" w:rsidRPr="00155A64" w:rsidRDefault="009F4054" w:rsidP="009F4054">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Table 1: Growth rates and contributions to the growth of GDP components in 2020 Q3 and 2020 Q4 compared to the same quarter of the previous year</w:t>
      </w:r>
    </w:p>
    <w:tbl>
      <w:tblPr>
        <w:tblW w:w="8539" w:type="dxa"/>
        <w:tblLook w:val="04A0" w:firstRow="1" w:lastRow="0" w:firstColumn="1" w:lastColumn="0" w:noHBand="0" w:noVBand="1"/>
      </w:tblPr>
      <w:tblGrid>
        <w:gridCol w:w="2082"/>
        <w:gridCol w:w="1316"/>
        <w:gridCol w:w="1923"/>
        <w:gridCol w:w="1307"/>
        <w:gridCol w:w="1911"/>
      </w:tblGrid>
      <w:tr w:rsidR="00854419" w:rsidRPr="00854419" w14:paraId="67D68036" w14:textId="77777777" w:rsidTr="00CA4E7E">
        <w:trPr>
          <w:trHeight w:val="295"/>
        </w:trPr>
        <w:tc>
          <w:tcPr>
            <w:tcW w:w="2082" w:type="dxa"/>
            <w:tcBorders>
              <w:top w:val="nil"/>
              <w:left w:val="nil"/>
              <w:bottom w:val="nil"/>
              <w:right w:val="nil"/>
            </w:tcBorders>
            <w:shd w:val="clear" w:color="000000" w:fill="FFFFFF"/>
            <w:noWrap/>
            <w:vAlign w:val="bottom"/>
            <w:hideMark/>
          </w:tcPr>
          <w:p w14:paraId="0C55A018"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 </w:t>
            </w:r>
          </w:p>
        </w:tc>
        <w:tc>
          <w:tcPr>
            <w:tcW w:w="323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EB745C"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2020Q3</w:t>
            </w:r>
          </w:p>
        </w:tc>
        <w:tc>
          <w:tcPr>
            <w:tcW w:w="321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2DBDDBE"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2020Q4</w:t>
            </w:r>
          </w:p>
        </w:tc>
      </w:tr>
      <w:tr w:rsidR="00854419" w:rsidRPr="00854419" w14:paraId="499A41B9" w14:textId="77777777" w:rsidTr="00CA4E7E">
        <w:trPr>
          <w:trHeight w:val="295"/>
        </w:trPr>
        <w:tc>
          <w:tcPr>
            <w:tcW w:w="2082" w:type="dxa"/>
            <w:tcBorders>
              <w:top w:val="nil"/>
              <w:left w:val="nil"/>
              <w:bottom w:val="nil"/>
              <w:right w:val="nil"/>
            </w:tcBorders>
            <w:shd w:val="clear" w:color="000000" w:fill="FFFFFF"/>
            <w:noWrap/>
            <w:vAlign w:val="bottom"/>
            <w:hideMark/>
          </w:tcPr>
          <w:p w14:paraId="2B018EAE"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 </w:t>
            </w:r>
          </w:p>
        </w:tc>
        <w:tc>
          <w:tcPr>
            <w:tcW w:w="1316" w:type="dxa"/>
            <w:tcBorders>
              <w:top w:val="nil"/>
              <w:left w:val="single" w:sz="4" w:space="0" w:color="auto"/>
              <w:bottom w:val="single" w:sz="4" w:space="0" w:color="auto"/>
              <w:right w:val="nil"/>
            </w:tcBorders>
            <w:shd w:val="clear" w:color="000000" w:fill="FFFFFF"/>
            <w:noWrap/>
            <w:vAlign w:val="bottom"/>
            <w:hideMark/>
          </w:tcPr>
          <w:p w14:paraId="75CB74BC"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Change (%)</w:t>
            </w:r>
          </w:p>
        </w:tc>
        <w:tc>
          <w:tcPr>
            <w:tcW w:w="1922" w:type="dxa"/>
            <w:tcBorders>
              <w:top w:val="nil"/>
              <w:left w:val="nil"/>
              <w:bottom w:val="nil"/>
              <w:right w:val="single" w:sz="4" w:space="0" w:color="auto"/>
            </w:tcBorders>
            <w:shd w:val="clear" w:color="000000" w:fill="FFFFFF"/>
            <w:noWrap/>
            <w:vAlign w:val="bottom"/>
            <w:hideMark/>
          </w:tcPr>
          <w:p w14:paraId="194A5419"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Contribution (%)</w:t>
            </w:r>
          </w:p>
        </w:tc>
        <w:tc>
          <w:tcPr>
            <w:tcW w:w="1307" w:type="dxa"/>
            <w:tcBorders>
              <w:top w:val="nil"/>
              <w:left w:val="nil"/>
              <w:bottom w:val="nil"/>
              <w:right w:val="nil"/>
            </w:tcBorders>
            <w:shd w:val="clear" w:color="000000" w:fill="FFFFFF"/>
            <w:noWrap/>
            <w:vAlign w:val="bottom"/>
            <w:hideMark/>
          </w:tcPr>
          <w:p w14:paraId="53890A0A"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Change (%)</w:t>
            </w:r>
          </w:p>
        </w:tc>
        <w:tc>
          <w:tcPr>
            <w:tcW w:w="1911" w:type="dxa"/>
            <w:tcBorders>
              <w:top w:val="nil"/>
              <w:left w:val="nil"/>
              <w:bottom w:val="nil"/>
              <w:right w:val="single" w:sz="4" w:space="0" w:color="auto"/>
            </w:tcBorders>
            <w:shd w:val="clear" w:color="000000" w:fill="FFFFFF"/>
            <w:noWrap/>
            <w:vAlign w:val="bottom"/>
            <w:hideMark/>
          </w:tcPr>
          <w:p w14:paraId="4B52FBFF"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Contribution (%)</w:t>
            </w:r>
          </w:p>
        </w:tc>
      </w:tr>
      <w:tr w:rsidR="00854419" w:rsidRPr="00854419" w14:paraId="4E46DFCB" w14:textId="77777777" w:rsidTr="00CA4E7E">
        <w:trPr>
          <w:trHeight w:val="295"/>
        </w:trPr>
        <w:tc>
          <w:tcPr>
            <w:tcW w:w="2082" w:type="dxa"/>
            <w:tcBorders>
              <w:top w:val="single" w:sz="4" w:space="0" w:color="auto"/>
              <w:left w:val="nil"/>
              <w:bottom w:val="nil"/>
              <w:right w:val="nil"/>
            </w:tcBorders>
            <w:shd w:val="clear" w:color="000000" w:fill="FFFFFF"/>
            <w:noWrap/>
            <w:vAlign w:val="bottom"/>
            <w:hideMark/>
          </w:tcPr>
          <w:p w14:paraId="3DD8391D"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Consumption</w:t>
            </w:r>
          </w:p>
        </w:tc>
        <w:tc>
          <w:tcPr>
            <w:tcW w:w="1316" w:type="dxa"/>
            <w:tcBorders>
              <w:top w:val="nil"/>
              <w:left w:val="single" w:sz="4" w:space="0" w:color="auto"/>
              <w:bottom w:val="nil"/>
              <w:right w:val="nil"/>
            </w:tcBorders>
            <w:shd w:val="clear" w:color="000000" w:fill="FFFFFF"/>
            <w:noWrap/>
            <w:vAlign w:val="bottom"/>
            <w:hideMark/>
          </w:tcPr>
          <w:p w14:paraId="2B13DE62"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8.5</w:t>
            </w:r>
          </w:p>
        </w:tc>
        <w:tc>
          <w:tcPr>
            <w:tcW w:w="1922" w:type="dxa"/>
            <w:tcBorders>
              <w:top w:val="single" w:sz="4" w:space="0" w:color="auto"/>
              <w:left w:val="nil"/>
              <w:bottom w:val="nil"/>
              <w:right w:val="single" w:sz="4" w:space="0" w:color="auto"/>
            </w:tcBorders>
            <w:shd w:val="clear" w:color="000000" w:fill="FFFFFF"/>
            <w:noWrap/>
            <w:vAlign w:val="bottom"/>
            <w:hideMark/>
          </w:tcPr>
          <w:p w14:paraId="34472F1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4.8</w:t>
            </w:r>
          </w:p>
        </w:tc>
        <w:tc>
          <w:tcPr>
            <w:tcW w:w="1307" w:type="dxa"/>
            <w:tcBorders>
              <w:top w:val="single" w:sz="4" w:space="0" w:color="auto"/>
              <w:left w:val="nil"/>
              <w:bottom w:val="nil"/>
              <w:right w:val="nil"/>
            </w:tcBorders>
            <w:shd w:val="clear" w:color="000000" w:fill="FFFFFF"/>
            <w:noWrap/>
            <w:vAlign w:val="bottom"/>
            <w:hideMark/>
          </w:tcPr>
          <w:p w14:paraId="29E5745F"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8.2</w:t>
            </w:r>
          </w:p>
        </w:tc>
        <w:tc>
          <w:tcPr>
            <w:tcW w:w="1911" w:type="dxa"/>
            <w:tcBorders>
              <w:top w:val="single" w:sz="4" w:space="0" w:color="auto"/>
              <w:left w:val="nil"/>
              <w:bottom w:val="nil"/>
              <w:right w:val="single" w:sz="4" w:space="0" w:color="auto"/>
            </w:tcBorders>
            <w:shd w:val="clear" w:color="000000" w:fill="FFFFFF"/>
            <w:noWrap/>
            <w:vAlign w:val="bottom"/>
            <w:hideMark/>
          </w:tcPr>
          <w:p w14:paraId="62AE2824"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4.6</w:t>
            </w:r>
          </w:p>
        </w:tc>
      </w:tr>
      <w:tr w:rsidR="00854419" w:rsidRPr="00854419" w14:paraId="0D5B98A1" w14:textId="77777777" w:rsidTr="00CA4E7E">
        <w:trPr>
          <w:trHeight w:val="295"/>
        </w:trPr>
        <w:tc>
          <w:tcPr>
            <w:tcW w:w="2082" w:type="dxa"/>
            <w:tcBorders>
              <w:top w:val="nil"/>
              <w:left w:val="nil"/>
              <w:bottom w:val="nil"/>
              <w:right w:val="nil"/>
            </w:tcBorders>
            <w:shd w:val="clear" w:color="000000" w:fill="FFFFFF"/>
            <w:noWrap/>
            <w:vAlign w:val="bottom"/>
            <w:hideMark/>
          </w:tcPr>
          <w:p w14:paraId="10044C1C"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Government Spending</w:t>
            </w:r>
          </w:p>
        </w:tc>
        <w:tc>
          <w:tcPr>
            <w:tcW w:w="1316" w:type="dxa"/>
            <w:tcBorders>
              <w:top w:val="nil"/>
              <w:left w:val="single" w:sz="4" w:space="0" w:color="auto"/>
              <w:bottom w:val="nil"/>
              <w:right w:val="nil"/>
            </w:tcBorders>
            <w:shd w:val="clear" w:color="000000" w:fill="FFFFFF"/>
            <w:noWrap/>
            <w:vAlign w:val="bottom"/>
            <w:hideMark/>
          </w:tcPr>
          <w:p w14:paraId="0FE88E17"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0.8</w:t>
            </w:r>
          </w:p>
        </w:tc>
        <w:tc>
          <w:tcPr>
            <w:tcW w:w="1922" w:type="dxa"/>
            <w:tcBorders>
              <w:top w:val="nil"/>
              <w:left w:val="nil"/>
              <w:bottom w:val="nil"/>
              <w:right w:val="single" w:sz="4" w:space="0" w:color="auto"/>
            </w:tcBorders>
            <w:shd w:val="clear" w:color="000000" w:fill="FFFFFF"/>
            <w:noWrap/>
            <w:vAlign w:val="bottom"/>
            <w:hideMark/>
          </w:tcPr>
          <w:p w14:paraId="679FB982"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0.1</w:t>
            </w:r>
          </w:p>
        </w:tc>
        <w:tc>
          <w:tcPr>
            <w:tcW w:w="1307" w:type="dxa"/>
            <w:tcBorders>
              <w:top w:val="nil"/>
              <w:left w:val="nil"/>
              <w:bottom w:val="nil"/>
              <w:right w:val="nil"/>
            </w:tcBorders>
            <w:shd w:val="clear" w:color="000000" w:fill="FFFFFF"/>
            <w:noWrap/>
            <w:vAlign w:val="bottom"/>
            <w:hideMark/>
          </w:tcPr>
          <w:p w14:paraId="759C900F"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6.6</w:t>
            </w:r>
          </w:p>
        </w:tc>
        <w:tc>
          <w:tcPr>
            <w:tcW w:w="1911" w:type="dxa"/>
            <w:tcBorders>
              <w:top w:val="nil"/>
              <w:left w:val="nil"/>
              <w:bottom w:val="nil"/>
              <w:right w:val="single" w:sz="4" w:space="0" w:color="auto"/>
            </w:tcBorders>
            <w:shd w:val="clear" w:color="000000" w:fill="FFFFFF"/>
            <w:noWrap/>
            <w:vAlign w:val="bottom"/>
            <w:hideMark/>
          </w:tcPr>
          <w:p w14:paraId="124F758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1.1</w:t>
            </w:r>
          </w:p>
        </w:tc>
      </w:tr>
      <w:tr w:rsidR="00854419" w:rsidRPr="00854419" w14:paraId="1C164141" w14:textId="77777777" w:rsidTr="00CA4E7E">
        <w:trPr>
          <w:trHeight w:val="295"/>
        </w:trPr>
        <w:tc>
          <w:tcPr>
            <w:tcW w:w="2082" w:type="dxa"/>
            <w:tcBorders>
              <w:top w:val="nil"/>
              <w:left w:val="nil"/>
              <w:bottom w:val="nil"/>
              <w:right w:val="nil"/>
            </w:tcBorders>
            <w:shd w:val="clear" w:color="000000" w:fill="FFFFFF"/>
            <w:noWrap/>
            <w:vAlign w:val="bottom"/>
            <w:hideMark/>
          </w:tcPr>
          <w:p w14:paraId="0DFB05E6"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Investment</w:t>
            </w:r>
          </w:p>
        </w:tc>
        <w:tc>
          <w:tcPr>
            <w:tcW w:w="1316" w:type="dxa"/>
            <w:tcBorders>
              <w:top w:val="nil"/>
              <w:left w:val="single" w:sz="4" w:space="0" w:color="auto"/>
              <w:bottom w:val="nil"/>
              <w:right w:val="nil"/>
            </w:tcBorders>
            <w:shd w:val="clear" w:color="000000" w:fill="FFFFFF"/>
            <w:noWrap/>
            <w:vAlign w:val="bottom"/>
            <w:hideMark/>
          </w:tcPr>
          <w:p w14:paraId="721DFEE0"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21.9</w:t>
            </w:r>
          </w:p>
        </w:tc>
        <w:tc>
          <w:tcPr>
            <w:tcW w:w="1922" w:type="dxa"/>
            <w:tcBorders>
              <w:top w:val="nil"/>
              <w:left w:val="nil"/>
              <w:bottom w:val="nil"/>
              <w:right w:val="single" w:sz="4" w:space="0" w:color="auto"/>
            </w:tcBorders>
            <w:shd w:val="clear" w:color="000000" w:fill="FFFFFF"/>
            <w:noWrap/>
            <w:vAlign w:val="bottom"/>
            <w:hideMark/>
          </w:tcPr>
          <w:p w14:paraId="03C7CBAB"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5.3</w:t>
            </w:r>
          </w:p>
        </w:tc>
        <w:tc>
          <w:tcPr>
            <w:tcW w:w="1307" w:type="dxa"/>
            <w:tcBorders>
              <w:top w:val="nil"/>
              <w:left w:val="nil"/>
              <w:bottom w:val="nil"/>
              <w:right w:val="nil"/>
            </w:tcBorders>
            <w:shd w:val="clear" w:color="000000" w:fill="FFFFFF"/>
            <w:noWrap/>
            <w:vAlign w:val="bottom"/>
            <w:hideMark/>
          </w:tcPr>
          <w:p w14:paraId="22DD0F0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10.3</w:t>
            </w:r>
          </w:p>
        </w:tc>
        <w:tc>
          <w:tcPr>
            <w:tcW w:w="1911" w:type="dxa"/>
            <w:tcBorders>
              <w:top w:val="nil"/>
              <w:left w:val="nil"/>
              <w:bottom w:val="nil"/>
              <w:right w:val="single" w:sz="4" w:space="0" w:color="auto"/>
            </w:tcBorders>
            <w:shd w:val="clear" w:color="000000" w:fill="FFFFFF"/>
            <w:noWrap/>
            <w:vAlign w:val="bottom"/>
            <w:hideMark/>
          </w:tcPr>
          <w:p w14:paraId="15954F77"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2.7</w:t>
            </w:r>
          </w:p>
        </w:tc>
      </w:tr>
      <w:tr w:rsidR="00854419" w:rsidRPr="00854419" w14:paraId="4F8A785A" w14:textId="77777777" w:rsidTr="00CA4E7E">
        <w:trPr>
          <w:trHeight w:val="295"/>
        </w:trPr>
        <w:tc>
          <w:tcPr>
            <w:tcW w:w="2082" w:type="dxa"/>
            <w:tcBorders>
              <w:top w:val="nil"/>
              <w:left w:val="nil"/>
              <w:bottom w:val="nil"/>
              <w:right w:val="nil"/>
            </w:tcBorders>
            <w:shd w:val="clear" w:color="000000" w:fill="FFFFFF"/>
            <w:noWrap/>
            <w:vAlign w:val="bottom"/>
            <w:hideMark/>
          </w:tcPr>
          <w:p w14:paraId="1CD216DC"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Change in Inventories</w:t>
            </w:r>
          </w:p>
        </w:tc>
        <w:tc>
          <w:tcPr>
            <w:tcW w:w="1316" w:type="dxa"/>
            <w:tcBorders>
              <w:top w:val="nil"/>
              <w:left w:val="single" w:sz="4" w:space="0" w:color="auto"/>
              <w:bottom w:val="nil"/>
              <w:right w:val="nil"/>
            </w:tcBorders>
            <w:shd w:val="clear" w:color="000000" w:fill="FFFFFF"/>
            <w:noWrap/>
            <w:vAlign w:val="bottom"/>
            <w:hideMark/>
          </w:tcPr>
          <w:p w14:paraId="42C3AAE5"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c>
          <w:tcPr>
            <w:tcW w:w="1922" w:type="dxa"/>
            <w:tcBorders>
              <w:top w:val="nil"/>
              <w:left w:val="nil"/>
              <w:bottom w:val="nil"/>
              <w:right w:val="single" w:sz="4" w:space="0" w:color="auto"/>
            </w:tcBorders>
            <w:shd w:val="clear" w:color="000000" w:fill="FFFFFF"/>
            <w:noWrap/>
            <w:vAlign w:val="bottom"/>
            <w:hideMark/>
          </w:tcPr>
          <w:p w14:paraId="677FFD23"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8.3</w:t>
            </w:r>
          </w:p>
        </w:tc>
        <w:tc>
          <w:tcPr>
            <w:tcW w:w="1307" w:type="dxa"/>
            <w:tcBorders>
              <w:top w:val="nil"/>
              <w:left w:val="nil"/>
              <w:bottom w:val="nil"/>
              <w:right w:val="nil"/>
            </w:tcBorders>
            <w:shd w:val="clear" w:color="000000" w:fill="FFFFFF"/>
            <w:noWrap/>
            <w:vAlign w:val="bottom"/>
            <w:hideMark/>
          </w:tcPr>
          <w:p w14:paraId="341F21C6"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c>
          <w:tcPr>
            <w:tcW w:w="1911" w:type="dxa"/>
            <w:tcBorders>
              <w:top w:val="nil"/>
              <w:left w:val="nil"/>
              <w:bottom w:val="nil"/>
              <w:right w:val="single" w:sz="4" w:space="0" w:color="auto"/>
            </w:tcBorders>
            <w:shd w:val="clear" w:color="000000" w:fill="FFFFFF"/>
            <w:noWrap/>
            <w:vAlign w:val="bottom"/>
            <w:hideMark/>
          </w:tcPr>
          <w:p w14:paraId="295F7EA6"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-1.5</w:t>
            </w:r>
          </w:p>
        </w:tc>
      </w:tr>
      <w:tr w:rsidR="00854419" w:rsidRPr="00854419" w14:paraId="07428BCD" w14:textId="77777777" w:rsidTr="00CA4E7E">
        <w:trPr>
          <w:trHeight w:val="295"/>
        </w:trPr>
        <w:tc>
          <w:tcPr>
            <w:tcW w:w="2082" w:type="dxa"/>
            <w:tcBorders>
              <w:top w:val="nil"/>
              <w:left w:val="nil"/>
              <w:bottom w:val="nil"/>
              <w:right w:val="nil"/>
            </w:tcBorders>
            <w:shd w:val="clear" w:color="000000" w:fill="FFFFFF"/>
            <w:noWrap/>
            <w:vAlign w:val="bottom"/>
            <w:hideMark/>
          </w:tcPr>
          <w:p w14:paraId="0E37EA91"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Export</w:t>
            </w:r>
          </w:p>
        </w:tc>
        <w:tc>
          <w:tcPr>
            <w:tcW w:w="1316" w:type="dxa"/>
            <w:tcBorders>
              <w:top w:val="nil"/>
              <w:left w:val="single" w:sz="4" w:space="0" w:color="auto"/>
              <w:bottom w:val="nil"/>
              <w:right w:val="nil"/>
            </w:tcBorders>
            <w:shd w:val="clear" w:color="000000" w:fill="FFFFFF"/>
            <w:noWrap/>
            <w:vAlign w:val="bottom"/>
            <w:hideMark/>
          </w:tcPr>
          <w:p w14:paraId="122E764C"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-22.1</w:t>
            </w:r>
          </w:p>
        </w:tc>
        <w:tc>
          <w:tcPr>
            <w:tcW w:w="1922" w:type="dxa"/>
            <w:tcBorders>
              <w:top w:val="nil"/>
              <w:left w:val="nil"/>
              <w:bottom w:val="nil"/>
              <w:right w:val="single" w:sz="4" w:space="0" w:color="auto"/>
            </w:tcBorders>
            <w:shd w:val="clear" w:color="000000" w:fill="FFFFFF"/>
            <w:noWrap/>
            <w:vAlign w:val="bottom"/>
            <w:hideMark/>
          </w:tcPr>
          <w:p w14:paraId="1B7D0F3D"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-7.5</w:t>
            </w:r>
          </w:p>
        </w:tc>
        <w:tc>
          <w:tcPr>
            <w:tcW w:w="1307" w:type="dxa"/>
            <w:tcBorders>
              <w:top w:val="nil"/>
              <w:left w:val="nil"/>
              <w:bottom w:val="nil"/>
              <w:right w:val="nil"/>
            </w:tcBorders>
            <w:shd w:val="clear" w:color="000000" w:fill="FFFFFF"/>
            <w:noWrap/>
            <w:vAlign w:val="bottom"/>
            <w:hideMark/>
          </w:tcPr>
          <w:p w14:paraId="27BE518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0.0</w:t>
            </w:r>
          </w:p>
        </w:tc>
        <w:tc>
          <w:tcPr>
            <w:tcW w:w="1911" w:type="dxa"/>
            <w:tcBorders>
              <w:top w:val="nil"/>
              <w:left w:val="nil"/>
              <w:bottom w:val="nil"/>
              <w:right w:val="single" w:sz="4" w:space="0" w:color="auto"/>
            </w:tcBorders>
            <w:shd w:val="clear" w:color="000000" w:fill="FFFFFF"/>
            <w:noWrap/>
            <w:vAlign w:val="bottom"/>
            <w:hideMark/>
          </w:tcPr>
          <w:p w14:paraId="4B4A94FD"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0.0</w:t>
            </w:r>
          </w:p>
        </w:tc>
      </w:tr>
      <w:tr w:rsidR="00854419" w:rsidRPr="00854419" w14:paraId="494BA61E" w14:textId="77777777" w:rsidTr="00CA4E7E">
        <w:trPr>
          <w:trHeight w:val="295"/>
        </w:trPr>
        <w:tc>
          <w:tcPr>
            <w:tcW w:w="2082" w:type="dxa"/>
            <w:tcBorders>
              <w:top w:val="nil"/>
              <w:left w:val="nil"/>
              <w:bottom w:val="nil"/>
              <w:right w:val="nil"/>
            </w:tcBorders>
            <w:shd w:val="clear" w:color="000000" w:fill="FFFFFF"/>
            <w:noWrap/>
            <w:vAlign w:val="bottom"/>
            <w:hideMark/>
          </w:tcPr>
          <w:p w14:paraId="1EF9DB71"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Import</w:t>
            </w:r>
          </w:p>
        </w:tc>
        <w:tc>
          <w:tcPr>
            <w:tcW w:w="1316" w:type="dxa"/>
            <w:tcBorders>
              <w:top w:val="nil"/>
              <w:left w:val="single" w:sz="4" w:space="0" w:color="auto"/>
              <w:bottom w:val="nil"/>
              <w:right w:val="nil"/>
            </w:tcBorders>
            <w:shd w:val="clear" w:color="000000" w:fill="FFFFFF"/>
            <w:noWrap/>
            <w:vAlign w:val="bottom"/>
            <w:hideMark/>
          </w:tcPr>
          <w:p w14:paraId="726438B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16.4</w:t>
            </w:r>
          </w:p>
        </w:tc>
        <w:tc>
          <w:tcPr>
            <w:tcW w:w="1922" w:type="dxa"/>
            <w:tcBorders>
              <w:top w:val="nil"/>
              <w:left w:val="nil"/>
              <w:bottom w:val="nil"/>
              <w:right w:val="single" w:sz="4" w:space="0" w:color="auto"/>
            </w:tcBorders>
            <w:shd w:val="clear" w:color="000000" w:fill="FFFFFF"/>
            <w:noWrap/>
            <w:vAlign w:val="bottom"/>
            <w:hideMark/>
          </w:tcPr>
          <w:p w14:paraId="09E0CD4E"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-4.7</w:t>
            </w:r>
          </w:p>
        </w:tc>
        <w:tc>
          <w:tcPr>
            <w:tcW w:w="1307" w:type="dxa"/>
            <w:tcBorders>
              <w:top w:val="nil"/>
              <w:left w:val="nil"/>
              <w:bottom w:val="nil"/>
              <w:right w:val="nil"/>
            </w:tcBorders>
            <w:shd w:val="clear" w:color="000000" w:fill="FFFFFF"/>
            <w:noWrap/>
            <w:vAlign w:val="bottom"/>
            <w:hideMark/>
          </w:tcPr>
          <w:p w14:paraId="1030D087"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2.5</w:t>
            </w:r>
          </w:p>
        </w:tc>
        <w:tc>
          <w:tcPr>
            <w:tcW w:w="1911" w:type="dxa"/>
            <w:tcBorders>
              <w:top w:val="nil"/>
              <w:left w:val="nil"/>
              <w:bottom w:val="nil"/>
              <w:right w:val="single" w:sz="4" w:space="0" w:color="auto"/>
            </w:tcBorders>
            <w:shd w:val="clear" w:color="000000" w:fill="FFFFFF"/>
            <w:noWrap/>
            <w:vAlign w:val="bottom"/>
            <w:hideMark/>
          </w:tcPr>
          <w:p w14:paraId="3BBC7E72"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-1.0</w:t>
            </w:r>
          </w:p>
        </w:tc>
      </w:tr>
      <w:tr w:rsidR="00854419" w:rsidRPr="00854419" w14:paraId="332E3C99" w14:textId="77777777" w:rsidTr="00CA4E7E">
        <w:trPr>
          <w:trHeight w:val="330"/>
        </w:trPr>
        <w:tc>
          <w:tcPr>
            <w:tcW w:w="2082" w:type="dxa"/>
            <w:tcBorders>
              <w:top w:val="nil"/>
              <w:left w:val="nil"/>
              <w:bottom w:val="double" w:sz="6" w:space="0" w:color="auto"/>
              <w:right w:val="nil"/>
            </w:tcBorders>
            <w:shd w:val="clear" w:color="000000" w:fill="FFFFFF"/>
            <w:noWrap/>
            <w:vAlign w:val="bottom"/>
            <w:hideMark/>
          </w:tcPr>
          <w:p w14:paraId="7630AA68"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GDP</w:t>
            </w:r>
          </w:p>
        </w:tc>
        <w:tc>
          <w:tcPr>
            <w:tcW w:w="1316" w:type="dxa"/>
            <w:tcBorders>
              <w:top w:val="nil"/>
              <w:left w:val="single" w:sz="4" w:space="0" w:color="auto"/>
              <w:bottom w:val="double" w:sz="6" w:space="0" w:color="auto"/>
              <w:right w:val="nil"/>
            </w:tcBorders>
            <w:shd w:val="clear" w:color="000000" w:fill="FFFFFF"/>
            <w:noWrap/>
            <w:vAlign w:val="bottom"/>
            <w:hideMark/>
          </w:tcPr>
          <w:p w14:paraId="44064BFF"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6.3</w:t>
            </w:r>
          </w:p>
        </w:tc>
        <w:tc>
          <w:tcPr>
            <w:tcW w:w="1922" w:type="dxa"/>
            <w:tcBorders>
              <w:top w:val="nil"/>
              <w:left w:val="nil"/>
              <w:bottom w:val="double" w:sz="6" w:space="0" w:color="auto"/>
              <w:right w:val="single" w:sz="4" w:space="0" w:color="auto"/>
            </w:tcBorders>
            <w:shd w:val="clear" w:color="000000" w:fill="FFFFFF"/>
            <w:noWrap/>
            <w:vAlign w:val="bottom"/>
            <w:hideMark/>
          </w:tcPr>
          <w:p w14:paraId="409E44FC"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c>
          <w:tcPr>
            <w:tcW w:w="1307" w:type="dxa"/>
            <w:tcBorders>
              <w:top w:val="nil"/>
              <w:left w:val="nil"/>
              <w:bottom w:val="double" w:sz="6" w:space="0" w:color="auto"/>
              <w:right w:val="nil"/>
            </w:tcBorders>
            <w:shd w:val="clear" w:color="000000" w:fill="FFFFFF"/>
            <w:noWrap/>
            <w:vAlign w:val="bottom"/>
            <w:hideMark/>
          </w:tcPr>
          <w:p w14:paraId="12C95F1A"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5.9</w:t>
            </w:r>
          </w:p>
        </w:tc>
        <w:tc>
          <w:tcPr>
            <w:tcW w:w="1911" w:type="dxa"/>
            <w:tcBorders>
              <w:top w:val="nil"/>
              <w:left w:val="nil"/>
              <w:bottom w:val="double" w:sz="6" w:space="0" w:color="auto"/>
              <w:right w:val="single" w:sz="4" w:space="0" w:color="auto"/>
            </w:tcBorders>
            <w:shd w:val="clear" w:color="000000" w:fill="FFFFFF"/>
            <w:noWrap/>
            <w:vAlign w:val="bottom"/>
            <w:hideMark/>
          </w:tcPr>
          <w:p w14:paraId="52521CF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r>
    </w:tbl>
    <w:p w14:paraId="68ED2418" w14:textId="7D980CF7" w:rsidR="00405BD8" w:rsidRPr="00155A64" w:rsidRDefault="009F4054"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Source: TurkStat, Betam</w:t>
      </w:r>
    </w:p>
    <w:p w14:paraId="6C8EA5E0" w14:textId="77777777" w:rsidR="00FE385C" w:rsidRPr="00155A64" w:rsidRDefault="00FE385C" w:rsidP="00405BD8">
      <w:pPr>
        <w:keepLines/>
        <w:widowControl w:val="0"/>
        <w:rPr>
          <w:rFonts w:ascii="Palatino Linotype" w:hAnsi="Palatino Linotype" w:cstheme="minorHAnsi"/>
          <w:sz w:val="18"/>
          <w:szCs w:val="18"/>
          <w:lang w:val="en-US"/>
        </w:rPr>
      </w:pPr>
    </w:p>
    <w:p w14:paraId="5CF707F2" w14:textId="77777777" w:rsidR="00CA4E7E" w:rsidRDefault="00CA4E7E">
      <w:pPr>
        <w:spacing w:after="160" w:line="259" w:lineRule="auto"/>
        <w:rPr>
          <w:rFonts w:ascii="Palatino Linotype" w:hAnsi="Palatino Linotype" w:cstheme="minorHAnsi"/>
          <w:b/>
          <w:bCs/>
          <w:sz w:val="22"/>
          <w:szCs w:val="22"/>
          <w:lang w:val="en-US"/>
        </w:rPr>
      </w:pPr>
      <w:r>
        <w:rPr>
          <w:rFonts w:ascii="Palatino Linotype" w:hAnsi="Palatino Linotype" w:cstheme="minorHAnsi"/>
          <w:b/>
          <w:bCs/>
          <w:sz w:val="22"/>
          <w:szCs w:val="22"/>
          <w:lang w:val="en-US"/>
        </w:rPr>
        <w:br w:type="page"/>
      </w:r>
    </w:p>
    <w:p w14:paraId="689957F0" w14:textId="68FD6ACC" w:rsidR="009F4054" w:rsidRPr="00155A64" w:rsidRDefault="009F4054" w:rsidP="009F4054">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lastRenderedPageBreak/>
        <w:t>Table 2: Growth rates and contributions to the growth of GDP components in 2020 Q3 and 2020 Q4 compared to the previous quarter</w:t>
      </w:r>
    </w:p>
    <w:tbl>
      <w:tblPr>
        <w:tblW w:w="8629" w:type="dxa"/>
        <w:tblLook w:val="04A0" w:firstRow="1" w:lastRow="0" w:firstColumn="1" w:lastColumn="0" w:noHBand="0" w:noVBand="1"/>
      </w:tblPr>
      <w:tblGrid>
        <w:gridCol w:w="2104"/>
        <w:gridCol w:w="1330"/>
        <w:gridCol w:w="1943"/>
        <w:gridCol w:w="1321"/>
        <w:gridCol w:w="1931"/>
      </w:tblGrid>
      <w:tr w:rsidR="00854419" w:rsidRPr="00854419" w14:paraId="1AC7C495" w14:textId="77777777" w:rsidTr="00CA4E7E">
        <w:trPr>
          <w:trHeight w:val="302"/>
        </w:trPr>
        <w:tc>
          <w:tcPr>
            <w:tcW w:w="2104" w:type="dxa"/>
            <w:tcBorders>
              <w:top w:val="nil"/>
              <w:left w:val="nil"/>
              <w:bottom w:val="nil"/>
              <w:right w:val="nil"/>
            </w:tcBorders>
            <w:shd w:val="clear" w:color="000000" w:fill="FFFFFF"/>
            <w:noWrap/>
            <w:vAlign w:val="bottom"/>
            <w:hideMark/>
          </w:tcPr>
          <w:p w14:paraId="3A9D070D"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 </w:t>
            </w:r>
          </w:p>
        </w:tc>
        <w:tc>
          <w:tcPr>
            <w:tcW w:w="327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243F23"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2020Q3</w:t>
            </w:r>
          </w:p>
        </w:tc>
        <w:tc>
          <w:tcPr>
            <w:tcW w:w="325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A96EB25"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2020Q4</w:t>
            </w:r>
          </w:p>
        </w:tc>
      </w:tr>
      <w:tr w:rsidR="00854419" w:rsidRPr="00854419" w14:paraId="501D6DFD" w14:textId="77777777" w:rsidTr="00CA4E7E">
        <w:trPr>
          <w:trHeight w:val="302"/>
        </w:trPr>
        <w:tc>
          <w:tcPr>
            <w:tcW w:w="2104" w:type="dxa"/>
            <w:tcBorders>
              <w:top w:val="nil"/>
              <w:left w:val="nil"/>
              <w:bottom w:val="nil"/>
              <w:right w:val="nil"/>
            </w:tcBorders>
            <w:shd w:val="clear" w:color="000000" w:fill="FFFFFF"/>
            <w:noWrap/>
            <w:vAlign w:val="bottom"/>
            <w:hideMark/>
          </w:tcPr>
          <w:p w14:paraId="7CCD4F4F"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 </w:t>
            </w:r>
          </w:p>
        </w:tc>
        <w:tc>
          <w:tcPr>
            <w:tcW w:w="1330" w:type="dxa"/>
            <w:tcBorders>
              <w:top w:val="nil"/>
              <w:left w:val="single" w:sz="4" w:space="0" w:color="auto"/>
              <w:bottom w:val="single" w:sz="4" w:space="0" w:color="auto"/>
              <w:right w:val="nil"/>
            </w:tcBorders>
            <w:shd w:val="clear" w:color="000000" w:fill="FFFFFF"/>
            <w:noWrap/>
            <w:vAlign w:val="bottom"/>
            <w:hideMark/>
          </w:tcPr>
          <w:p w14:paraId="6B6878F7"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Change (%)</w:t>
            </w:r>
          </w:p>
        </w:tc>
        <w:tc>
          <w:tcPr>
            <w:tcW w:w="1943" w:type="dxa"/>
            <w:tcBorders>
              <w:top w:val="nil"/>
              <w:left w:val="nil"/>
              <w:bottom w:val="nil"/>
              <w:right w:val="single" w:sz="4" w:space="0" w:color="auto"/>
            </w:tcBorders>
            <w:shd w:val="clear" w:color="000000" w:fill="FFFFFF"/>
            <w:noWrap/>
            <w:vAlign w:val="bottom"/>
            <w:hideMark/>
          </w:tcPr>
          <w:p w14:paraId="21F591E5"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Contribution (%)</w:t>
            </w:r>
          </w:p>
        </w:tc>
        <w:tc>
          <w:tcPr>
            <w:tcW w:w="1321" w:type="dxa"/>
            <w:tcBorders>
              <w:top w:val="nil"/>
              <w:left w:val="nil"/>
              <w:bottom w:val="nil"/>
              <w:right w:val="nil"/>
            </w:tcBorders>
            <w:shd w:val="clear" w:color="000000" w:fill="FFFFFF"/>
            <w:noWrap/>
            <w:vAlign w:val="bottom"/>
            <w:hideMark/>
          </w:tcPr>
          <w:p w14:paraId="64EAC2E6"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Change (%)</w:t>
            </w:r>
          </w:p>
        </w:tc>
        <w:tc>
          <w:tcPr>
            <w:tcW w:w="1931" w:type="dxa"/>
            <w:tcBorders>
              <w:top w:val="nil"/>
              <w:left w:val="nil"/>
              <w:bottom w:val="nil"/>
              <w:right w:val="single" w:sz="4" w:space="0" w:color="auto"/>
            </w:tcBorders>
            <w:shd w:val="clear" w:color="000000" w:fill="FFFFFF"/>
            <w:noWrap/>
            <w:vAlign w:val="bottom"/>
            <w:hideMark/>
          </w:tcPr>
          <w:p w14:paraId="1D43E10D" w14:textId="77777777" w:rsidR="00854419" w:rsidRPr="00854419" w:rsidRDefault="00854419" w:rsidP="00854419">
            <w:pPr>
              <w:jc w:val="cente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Contribution (%)</w:t>
            </w:r>
          </w:p>
        </w:tc>
      </w:tr>
      <w:tr w:rsidR="00854419" w:rsidRPr="00854419" w14:paraId="48763E78" w14:textId="77777777" w:rsidTr="00CA4E7E">
        <w:trPr>
          <w:trHeight w:val="302"/>
        </w:trPr>
        <w:tc>
          <w:tcPr>
            <w:tcW w:w="2104" w:type="dxa"/>
            <w:tcBorders>
              <w:top w:val="single" w:sz="4" w:space="0" w:color="auto"/>
              <w:left w:val="nil"/>
              <w:bottom w:val="nil"/>
              <w:right w:val="nil"/>
            </w:tcBorders>
            <w:shd w:val="clear" w:color="000000" w:fill="FFFFFF"/>
            <w:noWrap/>
            <w:vAlign w:val="bottom"/>
            <w:hideMark/>
          </w:tcPr>
          <w:p w14:paraId="14115A94"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Consumption</w:t>
            </w:r>
          </w:p>
        </w:tc>
        <w:tc>
          <w:tcPr>
            <w:tcW w:w="1330" w:type="dxa"/>
            <w:tcBorders>
              <w:top w:val="nil"/>
              <w:left w:val="single" w:sz="4" w:space="0" w:color="auto"/>
              <w:bottom w:val="nil"/>
              <w:right w:val="nil"/>
            </w:tcBorders>
            <w:shd w:val="clear" w:color="000000" w:fill="FFFFFF"/>
            <w:noWrap/>
            <w:vAlign w:val="bottom"/>
            <w:hideMark/>
          </w:tcPr>
          <w:p w14:paraId="78CCA72B"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21.9</w:t>
            </w:r>
          </w:p>
        </w:tc>
        <w:tc>
          <w:tcPr>
            <w:tcW w:w="1943" w:type="dxa"/>
            <w:tcBorders>
              <w:top w:val="single" w:sz="4" w:space="0" w:color="auto"/>
              <w:left w:val="nil"/>
              <w:bottom w:val="nil"/>
              <w:right w:val="single" w:sz="4" w:space="0" w:color="auto"/>
            </w:tcBorders>
            <w:shd w:val="clear" w:color="000000" w:fill="FFFFFF"/>
            <w:noWrap/>
            <w:vAlign w:val="bottom"/>
            <w:hideMark/>
          </w:tcPr>
          <w:p w14:paraId="5E3620CB"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12.3</w:t>
            </w:r>
          </w:p>
        </w:tc>
        <w:tc>
          <w:tcPr>
            <w:tcW w:w="1321" w:type="dxa"/>
            <w:tcBorders>
              <w:top w:val="single" w:sz="4" w:space="0" w:color="auto"/>
              <w:left w:val="nil"/>
              <w:bottom w:val="nil"/>
              <w:right w:val="nil"/>
            </w:tcBorders>
            <w:shd w:val="clear" w:color="000000" w:fill="FFFFFF"/>
            <w:noWrap/>
            <w:vAlign w:val="bottom"/>
            <w:hideMark/>
          </w:tcPr>
          <w:p w14:paraId="5D94F57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0.8</w:t>
            </w:r>
          </w:p>
        </w:tc>
        <w:tc>
          <w:tcPr>
            <w:tcW w:w="1931" w:type="dxa"/>
            <w:tcBorders>
              <w:top w:val="single" w:sz="4" w:space="0" w:color="auto"/>
              <w:left w:val="nil"/>
              <w:bottom w:val="nil"/>
              <w:right w:val="single" w:sz="4" w:space="0" w:color="auto"/>
            </w:tcBorders>
            <w:shd w:val="clear" w:color="000000" w:fill="FFFFFF"/>
            <w:noWrap/>
            <w:vAlign w:val="bottom"/>
            <w:hideMark/>
          </w:tcPr>
          <w:p w14:paraId="3699E1BF"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0.5</w:t>
            </w:r>
          </w:p>
        </w:tc>
      </w:tr>
      <w:tr w:rsidR="00854419" w:rsidRPr="00854419" w14:paraId="040F9EDE" w14:textId="77777777" w:rsidTr="00CA4E7E">
        <w:trPr>
          <w:trHeight w:val="302"/>
        </w:trPr>
        <w:tc>
          <w:tcPr>
            <w:tcW w:w="2104" w:type="dxa"/>
            <w:tcBorders>
              <w:top w:val="nil"/>
              <w:left w:val="nil"/>
              <w:bottom w:val="nil"/>
              <w:right w:val="nil"/>
            </w:tcBorders>
            <w:shd w:val="clear" w:color="000000" w:fill="FFFFFF"/>
            <w:noWrap/>
            <w:vAlign w:val="bottom"/>
            <w:hideMark/>
          </w:tcPr>
          <w:p w14:paraId="7B475283"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Government Spending</w:t>
            </w:r>
          </w:p>
        </w:tc>
        <w:tc>
          <w:tcPr>
            <w:tcW w:w="1330" w:type="dxa"/>
            <w:tcBorders>
              <w:top w:val="nil"/>
              <w:left w:val="single" w:sz="4" w:space="0" w:color="auto"/>
              <w:bottom w:val="nil"/>
              <w:right w:val="nil"/>
            </w:tcBorders>
            <w:shd w:val="clear" w:color="000000" w:fill="FFFFFF"/>
            <w:noWrap/>
            <w:vAlign w:val="bottom"/>
            <w:hideMark/>
          </w:tcPr>
          <w:p w14:paraId="7A357262"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3.7</w:t>
            </w:r>
          </w:p>
        </w:tc>
        <w:tc>
          <w:tcPr>
            <w:tcW w:w="1943" w:type="dxa"/>
            <w:tcBorders>
              <w:top w:val="nil"/>
              <w:left w:val="nil"/>
              <w:bottom w:val="nil"/>
              <w:right w:val="single" w:sz="4" w:space="0" w:color="auto"/>
            </w:tcBorders>
            <w:shd w:val="clear" w:color="000000" w:fill="FFFFFF"/>
            <w:noWrap/>
            <w:vAlign w:val="bottom"/>
            <w:hideMark/>
          </w:tcPr>
          <w:p w14:paraId="6F72111C"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0.6</w:t>
            </w:r>
          </w:p>
        </w:tc>
        <w:tc>
          <w:tcPr>
            <w:tcW w:w="1321" w:type="dxa"/>
            <w:tcBorders>
              <w:top w:val="nil"/>
              <w:left w:val="nil"/>
              <w:bottom w:val="nil"/>
              <w:right w:val="nil"/>
            </w:tcBorders>
            <w:shd w:val="clear" w:color="000000" w:fill="FFFFFF"/>
            <w:noWrap/>
            <w:vAlign w:val="bottom"/>
            <w:hideMark/>
          </w:tcPr>
          <w:p w14:paraId="06075497"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3.6</w:t>
            </w:r>
          </w:p>
        </w:tc>
        <w:tc>
          <w:tcPr>
            <w:tcW w:w="1931" w:type="dxa"/>
            <w:tcBorders>
              <w:top w:val="nil"/>
              <w:left w:val="nil"/>
              <w:bottom w:val="nil"/>
              <w:right w:val="single" w:sz="4" w:space="0" w:color="auto"/>
            </w:tcBorders>
            <w:shd w:val="clear" w:color="000000" w:fill="FFFFFF"/>
            <w:noWrap/>
            <w:vAlign w:val="bottom"/>
            <w:hideMark/>
          </w:tcPr>
          <w:p w14:paraId="6244CA3E"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0.5</w:t>
            </w:r>
          </w:p>
        </w:tc>
      </w:tr>
      <w:tr w:rsidR="00854419" w:rsidRPr="00854419" w14:paraId="505529D6" w14:textId="77777777" w:rsidTr="00CA4E7E">
        <w:trPr>
          <w:trHeight w:val="302"/>
        </w:trPr>
        <w:tc>
          <w:tcPr>
            <w:tcW w:w="2104" w:type="dxa"/>
            <w:tcBorders>
              <w:top w:val="nil"/>
              <w:left w:val="nil"/>
              <w:bottom w:val="nil"/>
              <w:right w:val="nil"/>
            </w:tcBorders>
            <w:shd w:val="clear" w:color="000000" w:fill="FFFFFF"/>
            <w:noWrap/>
            <w:vAlign w:val="bottom"/>
            <w:hideMark/>
          </w:tcPr>
          <w:p w14:paraId="664E652A"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Investment</w:t>
            </w:r>
          </w:p>
        </w:tc>
        <w:tc>
          <w:tcPr>
            <w:tcW w:w="1330" w:type="dxa"/>
            <w:tcBorders>
              <w:top w:val="nil"/>
              <w:left w:val="single" w:sz="4" w:space="0" w:color="auto"/>
              <w:bottom w:val="nil"/>
              <w:right w:val="nil"/>
            </w:tcBorders>
            <w:shd w:val="clear" w:color="000000" w:fill="FFFFFF"/>
            <w:noWrap/>
            <w:vAlign w:val="bottom"/>
            <w:hideMark/>
          </w:tcPr>
          <w:p w14:paraId="688BF723"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20.2</w:t>
            </w:r>
          </w:p>
        </w:tc>
        <w:tc>
          <w:tcPr>
            <w:tcW w:w="1943" w:type="dxa"/>
            <w:tcBorders>
              <w:top w:val="nil"/>
              <w:left w:val="nil"/>
              <w:bottom w:val="nil"/>
              <w:right w:val="single" w:sz="4" w:space="0" w:color="auto"/>
            </w:tcBorders>
            <w:shd w:val="clear" w:color="000000" w:fill="FFFFFF"/>
            <w:noWrap/>
            <w:vAlign w:val="bottom"/>
            <w:hideMark/>
          </w:tcPr>
          <w:p w14:paraId="5C94F5B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5.5</w:t>
            </w:r>
          </w:p>
        </w:tc>
        <w:tc>
          <w:tcPr>
            <w:tcW w:w="1321" w:type="dxa"/>
            <w:tcBorders>
              <w:top w:val="nil"/>
              <w:left w:val="nil"/>
              <w:bottom w:val="nil"/>
              <w:right w:val="nil"/>
            </w:tcBorders>
            <w:shd w:val="clear" w:color="000000" w:fill="FFFFFF"/>
            <w:noWrap/>
            <w:vAlign w:val="bottom"/>
            <w:hideMark/>
          </w:tcPr>
          <w:p w14:paraId="59A38549"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-2.7</w:t>
            </w:r>
          </w:p>
        </w:tc>
        <w:tc>
          <w:tcPr>
            <w:tcW w:w="1931" w:type="dxa"/>
            <w:tcBorders>
              <w:top w:val="nil"/>
              <w:left w:val="nil"/>
              <w:bottom w:val="nil"/>
              <w:right w:val="single" w:sz="4" w:space="0" w:color="auto"/>
            </w:tcBorders>
            <w:shd w:val="clear" w:color="000000" w:fill="FFFFFF"/>
            <w:noWrap/>
            <w:vAlign w:val="bottom"/>
            <w:hideMark/>
          </w:tcPr>
          <w:p w14:paraId="713D1B8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-0.8</w:t>
            </w:r>
          </w:p>
        </w:tc>
      </w:tr>
      <w:tr w:rsidR="00854419" w:rsidRPr="00854419" w14:paraId="062289F3" w14:textId="77777777" w:rsidTr="00CA4E7E">
        <w:trPr>
          <w:trHeight w:val="302"/>
        </w:trPr>
        <w:tc>
          <w:tcPr>
            <w:tcW w:w="2104" w:type="dxa"/>
            <w:tcBorders>
              <w:top w:val="nil"/>
              <w:left w:val="nil"/>
              <w:bottom w:val="nil"/>
              <w:right w:val="nil"/>
            </w:tcBorders>
            <w:shd w:val="clear" w:color="000000" w:fill="FFFFFF"/>
            <w:noWrap/>
            <w:vAlign w:val="bottom"/>
            <w:hideMark/>
          </w:tcPr>
          <w:p w14:paraId="6E32C7E3"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Change in Inventories</w:t>
            </w:r>
          </w:p>
        </w:tc>
        <w:tc>
          <w:tcPr>
            <w:tcW w:w="1330" w:type="dxa"/>
            <w:tcBorders>
              <w:top w:val="nil"/>
              <w:left w:val="single" w:sz="4" w:space="0" w:color="auto"/>
              <w:bottom w:val="nil"/>
              <w:right w:val="nil"/>
            </w:tcBorders>
            <w:shd w:val="clear" w:color="000000" w:fill="FFFFFF"/>
            <w:noWrap/>
            <w:vAlign w:val="bottom"/>
            <w:hideMark/>
          </w:tcPr>
          <w:p w14:paraId="2D2B44CE"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c>
          <w:tcPr>
            <w:tcW w:w="1943" w:type="dxa"/>
            <w:tcBorders>
              <w:top w:val="nil"/>
              <w:left w:val="nil"/>
              <w:bottom w:val="nil"/>
              <w:right w:val="single" w:sz="4" w:space="0" w:color="auto"/>
            </w:tcBorders>
            <w:shd w:val="clear" w:color="000000" w:fill="FFFFFF"/>
            <w:noWrap/>
            <w:vAlign w:val="bottom"/>
            <w:hideMark/>
          </w:tcPr>
          <w:p w14:paraId="6FFB57B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-1.7</w:t>
            </w:r>
          </w:p>
        </w:tc>
        <w:tc>
          <w:tcPr>
            <w:tcW w:w="1321" w:type="dxa"/>
            <w:tcBorders>
              <w:top w:val="nil"/>
              <w:left w:val="nil"/>
              <w:bottom w:val="nil"/>
              <w:right w:val="nil"/>
            </w:tcBorders>
            <w:shd w:val="clear" w:color="000000" w:fill="FFFFFF"/>
            <w:noWrap/>
            <w:vAlign w:val="bottom"/>
            <w:hideMark/>
          </w:tcPr>
          <w:p w14:paraId="18601EBC"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c>
          <w:tcPr>
            <w:tcW w:w="1931" w:type="dxa"/>
            <w:tcBorders>
              <w:top w:val="nil"/>
              <w:left w:val="nil"/>
              <w:bottom w:val="nil"/>
              <w:right w:val="single" w:sz="4" w:space="0" w:color="auto"/>
            </w:tcBorders>
            <w:shd w:val="clear" w:color="000000" w:fill="FFFFFF"/>
            <w:noWrap/>
            <w:vAlign w:val="bottom"/>
            <w:hideMark/>
          </w:tcPr>
          <w:p w14:paraId="3A87C87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-3.4</w:t>
            </w:r>
          </w:p>
        </w:tc>
      </w:tr>
      <w:tr w:rsidR="00854419" w:rsidRPr="00854419" w14:paraId="344FD1E1" w14:textId="77777777" w:rsidTr="00CA4E7E">
        <w:trPr>
          <w:trHeight w:val="302"/>
        </w:trPr>
        <w:tc>
          <w:tcPr>
            <w:tcW w:w="2104" w:type="dxa"/>
            <w:tcBorders>
              <w:top w:val="nil"/>
              <w:left w:val="nil"/>
              <w:bottom w:val="nil"/>
              <w:right w:val="nil"/>
            </w:tcBorders>
            <w:shd w:val="clear" w:color="000000" w:fill="FFFFFF"/>
            <w:noWrap/>
            <w:vAlign w:val="bottom"/>
            <w:hideMark/>
          </w:tcPr>
          <w:p w14:paraId="7612E765"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Export</w:t>
            </w:r>
          </w:p>
        </w:tc>
        <w:tc>
          <w:tcPr>
            <w:tcW w:w="1330" w:type="dxa"/>
            <w:tcBorders>
              <w:top w:val="nil"/>
              <w:left w:val="single" w:sz="4" w:space="0" w:color="auto"/>
              <w:bottom w:val="nil"/>
              <w:right w:val="nil"/>
            </w:tcBorders>
            <w:shd w:val="clear" w:color="000000" w:fill="FFFFFF"/>
            <w:noWrap/>
            <w:vAlign w:val="bottom"/>
            <w:hideMark/>
          </w:tcPr>
          <w:p w14:paraId="4E440FC4"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33.3</w:t>
            </w:r>
          </w:p>
        </w:tc>
        <w:tc>
          <w:tcPr>
            <w:tcW w:w="1943" w:type="dxa"/>
            <w:tcBorders>
              <w:top w:val="nil"/>
              <w:left w:val="nil"/>
              <w:bottom w:val="nil"/>
              <w:right w:val="single" w:sz="4" w:space="0" w:color="auto"/>
            </w:tcBorders>
            <w:shd w:val="clear" w:color="000000" w:fill="FFFFFF"/>
            <w:noWrap/>
            <w:vAlign w:val="bottom"/>
            <w:hideMark/>
          </w:tcPr>
          <w:p w14:paraId="241DB8A2"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7.5</w:t>
            </w:r>
          </w:p>
        </w:tc>
        <w:tc>
          <w:tcPr>
            <w:tcW w:w="1321" w:type="dxa"/>
            <w:tcBorders>
              <w:top w:val="nil"/>
              <w:left w:val="nil"/>
              <w:bottom w:val="nil"/>
              <w:right w:val="nil"/>
            </w:tcBorders>
            <w:shd w:val="clear" w:color="000000" w:fill="FFFFFF"/>
            <w:noWrap/>
            <w:vAlign w:val="bottom"/>
            <w:hideMark/>
          </w:tcPr>
          <w:p w14:paraId="2340DDF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18.9</w:t>
            </w:r>
          </w:p>
        </w:tc>
        <w:tc>
          <w:tcPr>
            <w:tcW w:w="1931" w:type="dxa"/>
            <w:tcBorders>
              <w:top w:val="nil"/>
              <w:left w:val="nil"/>
              <w:bottom w:val="nil"/>
              <w:right w:val="single" w:sz="4" w:space="0" w:color="auto"/>
            </w:tcBorders>
            <w:shd w:val="clear" w:color="000000" w:fill="FFFFFF"/>
            <w:noWrap/>
            <w:vAlign w:val="bottom"/>
            <w:hideMark/>
          </w:tcPr>
          <w:p w14:paraId="0A8F3E25"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4.9</w:t>
            </w:r>
          </w:p>
        </w:tc>
      </w:tr>
      <w:tr w:rsidR="00854419" w:rsidRPr="00854419" w14:paraId="5D51AE53" w14:textId="77777777" w:rsidTr="00CA4E7E">
        <w:trPr>
          <w:trHeight w:val="302"/>
        </w:trPr>
        <w:tc>
          <w:tcPr>
            <w:tcW w:w="2104" w:type="dxa"/>
            <w:tcBorders>
              <w:top w:val="nil"/>
              <w:left w:val="nil"/>
              <w:bottom w:val="nil"/>
              <w:right w:val="nil"/>
            </w:tcBorders>
            <w:shd w:val="clear" w:color="000000" w:fill="FFFFFF"/>
            <w:noWrap/>
            <w:vAlign w:val="bottom"/>
            <w:hideMark/>
          </w:tcPr>
          <w:p w14:paraId="753386AB"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Import</w:t>
            </w:r>
          </w:p>
        </w:tc>
        <w:tc>
          <w:tcPr>
            <w:tcW w:w="1330" w:type="dxa"/>
            <w:tcBorders>
              <w:top w:val="nil"/>
              <w:left w:val="single" w:sz="4" w:space="0" w:color="auto"/>
              <w:bottom w:val="nil"/>
              <w:right w:val="nil"/>
            </w:tcBorders>
            <w:shd w:val="clear" w:color="000000" w:fill="FFFFFF"/>
            <w:noWrap/>
            <w:vAlign w:val="bottom"/>
            <w:hideMark/>
          </w:tcPr>
          <w:p w14:paraId="54C2377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28.0</w:t>
            </w:r>
          </w:p>
        </w:tc>
        <w:tc>
          <w:tcPr>
            <w:tcW w:w="1943" w:type="dxa"/>
            <w:tcBorders>
              <w:top w:val="nil"/>
              <w:left w:val="nil"/>
              <w:bottom w:val="nil"/>
              <w:right w:val="single" w:sz="4" w:space="0" w:color="auto"/>
            </w:tcBorders>
            <w:shd w:val="clear" w:color="000000" w:fill="FFFFFF"/>
            <w:noWrap/>
            <w:vAlign w:val="bottom"/>
            <w:hideMark/>
          </w:tcPr>
          <w:p w14:paraId="39D6DF6B"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-8.4</w:t>
            </w:r>
          </w:p>
        </w:tc>
        <w:tc>
          <w:tcPr>
            <w:tcW w:w="1321" w:type="dxa"/>
            <w:tcBorders>
              <w:top w:val="nil"/>
              <w:left w:val="nil"/>
              <w:bottom w:val="nil"/>
              <w:right w:val="nil"/>
            </w:tcBorders>
            <w:shd w:val="clear" w:color="000000" w:fill="FFFFFF"/>
            <w:noWrap/>
            <w:vAlign w:val="bottom"/>
            <w:hideMark/>
          </w:tcPr>
          <w:p w14:paraId="0345EA23"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0.2</w:t>
            </w:r>
          </w:p>
        </w:tc>
        <w:tc>
          <w:tcPr>
            <w:tcW w:w="1931" w:type="dxa"/>
            <w:tcBorders>
              <w:top w:val="nil"/>
              <w:left w:val="nil"/>
              <w:bottom w:val="nil"/>
              <w:right w:val="single" w:sz="4" w:space="0" w:color="auto"/>
            </w:tcBorders>
            <w:shd w:val="clear" w:color="000000" w:fill="FFFFFF"/>
            <w:noWrap/>
            <w:vAlign w:val="bottom"/>
            <w:hideMark/>
          </w:tcPr>
          <w:p w14:paraId="2C33E129"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-0.1</w:t>
            </w:r>
          </w:p>
        </w:tc>
      </w:tr>
      <w:tr w:rsidR="00854419" w:rsidRPr="00854419" w14:paraId="4D25DE2E" w14:textId="77777777" w:rsidTr="00CA4E7E">
        <w:trPr>
          <w:trHeight w:val="338"/>
        </w:trPr>
        <w:tc>
          <w:tcPr>
            <w:tcW w:w="2104" w:type="dxa"/>
            <w:tcBorders>
              <w:top w:val="nil"/>
              <w:left w:val="nil"/>
              <w:bottom w:val="double" w:sz="6" w:space="0" w:color="auto"/>
              <w:right w:val="nil"/>
            </w:tcBorders>
            <w:shd w:val="clear" w:color="000000" w:fill="FFFFFF"/>
            <w:noWrap/>
            <w:vAlign w:val="bottom"/>
            <w:hideMark/>
          </w:tcPr>
          <w:p w14:paraId="21997B20" w14:textId="77777777" w:rsidR="00854419" w:rsidRPr="00854419" w:rsidRDefault="00854419" w:rsidP="00854419">
            <w:pPr>
              <w:rPr>
                <w:rFonts w:ascii="Calibri" w:hAnsi="Calibri" w:cs="Calibri"/>
                <w:b/>
                <w:bCs/>
                <w:color w:val="000000"/>
                <w:sz w:val="20"/>
                <w:szCs w:val="20"/>
                <w:lang w:val="en-US" w:eastAsia="en-US"/>
              </w:rPr>
            </w:pPr>
            <w:r w:rsidRPr="00854419">
              <w:rPr>
                <w:rFonts w:ascii="Calibri" w:hAnsi="Calibri" w:cs="Calibri"/>
                <w:b/>
                <w:bCs/>
                <w:color w:val="000000"/>
                <w:sz w:val="20"/>
                <w:szCs w:val="20"/>
                <w:lang w:val="en-US" w:eastAsia="en-US"/>
              </w:rPr>
              <w:t>GDP</w:t>
            </w:r>
          </w:p>
        </w:tc>
        <w:tc>
          <w:tcPr>
            <w:tcW w:w="1330" w:type="dxa"/>
            <w:tcBorders>
              <w:top w:val="nil"/>
              <w:left w:val="single" w:sz="4" w:space="0" w:color="auto"/>
              <w:bottom w:val="double" w:sz="6" w:space="0" w:color="auto"/>
              <w:right w:val="nil"/>
            </w:tcBorders>
            <w:shd w:val="clear" w:color="000000" w:fill="FFFFFF"/>
            <w:noWrap/>
            <w:vAlign w:val="bottom"/>
            <w:hideMark/>
          </w:tcPr>
          <w:p w14:paraId="18152D5B"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15.9</w:t>
            </w:r>
          </w:p>
        </w:tc>
        <w:tc>
          <w:tcPr>
            <w:tcW w:w="1943" w:type="dxa"/>
            <w:tcBorders>
              <w:top w:val="nil"/>
              <w:left w:val="nil"/>
              <w:bottom w:val="double" w:sz="6" w:space="0" w:color="auto"/>
              <w:right w:val="single" w:sz="4" w:space="0" w:color="auto"/>
            </w:tcBorders>
            <w:shd w:val="clear" w:color="000000" w:fill="FFFFFF"/>
            <w:noWrap/>
            <w:vAlign w:val="bottom"/>
            <w:hideMark/>
          </w:tcPr>
          <w:p w14:paraId="7F79AE68"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c>
          <w:tcPr>
            <w:tcW w:w="1321" w:type="dxa"/>
            <w:tcBorders>
              <w:top w:val="nil"/>
              <w:left w:val="nil"/>
              <w:bottom w:val="double" w:sz="6" w:space="0" w:color="auto"/>
              <w:right w:val="nil"/>
            </w:tcBorders>
            <w:shd w:val="clear" w:color="000000" w:fill="FFFFFF"/>
            <w:noWrap/>
            <w:vAlign w:val="bottom"/>
            <w:hideMark/>
          </w:tcPr>
          <w:p w14:paraId="7A24CE61"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1.7</w:t>
            </w:r>
          </w:p>
        </w:tc>
        <w:tc>
          <w:tcPr>
            <w:tcW w:w="1931" w:type="dxa"/>
            <w:tcBorders>
              <w:top w:val="nil"/>
              <w:left w:val="nil"/>
              <w:bottom w:val="double" w:sz="6" w:space="0" w:color="auto"/>
              <w:right w:val="single" w:sz="4" w:space="0" w:color="auto"/>
            </w:tcBorders>
            <w:shd w:val="clear" w:color="000000" w:fill="FFFFFF"/>
            <w:noWrap/>
            <w:vAlign w:val="bottom"/>
            <w:hideMark/>
          </w:tcPr>
          <w:p w14:paraId="710E5027" w14:textId="77777777" w:rsidR="00854419" w:rsidRPr="00854419" w:rsidRDefault="00854419" w:rsidP="00854419">
            <w:pPr>
              <w:jc w:val="center"/>
              <w:rPr>
                <w:rFonts w:ascii="Calibri" w:hAnsi="Calibri" w:cs="Calibri"/>
                <w:color w:val="000000"/>
                <w:sz w:val="20"/>
                <w:szCs w:val="20"/>
                <w:lang w:val="en-US" w:eastAsia="en-US"/>
              </w:rPr>
            </w:pPr>
            <w:r w:rsidRPr="00854419">
              <w:rPr>
                <w:rFonts w:ascii="Calibri" w:hAnsi="Calibri" w:cs="Calibri"/>
                <w:color w:val="000000"/>
                <w:sz w:val="20"/>
                <w:szCs w:val="20"/>
                <w:lang w:val="en-US" w:eastAsia="en-US"/>
              </w:rPr>
              <w:t> </w:t>
            </w:r>
          </w:p>
        </w:tc>
      </w:tr>
    </w:tbl>
    <w:p w14:paraId="04FC8E76" w14:textId="6D72CEF4" w:rsidR="00F46A54" w:rsidRPr="00155A64" w:rsidRDefault="009F4054" w:rsidP="00F46A54">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Source: TurkStat, Betam</w:t>
      </w:r>
    </w:p>
    <w:p w14:paraId="67F1EC21" w14:textId="77777777" w:rsidR="006C3EE6" w:rsidRPr="00155A64"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1CAF3883" w14:textId="77777777" w:rsidR="00474A34" w:rsidRDefault="00474A34" w:rsidP="002A037D">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474A34">
        <w:rPr>
          <w:rFonts w:ascii="Palatino Linotype" w:hAnsi="Palatino Linotype" w:cstheme="minorHAnsi"/>
          <w:b/>
          <w:sz w:val="22"/>
          <w:szCs w:val="22"/>
          <w:lang w:val="en-US"/>
        </w:rPr>
        <w:t>Recovery in investment spending</w:t>
      </w:r>
    </w:p>
    <w:p w14:paraId="340D62F0" w14:textId="7F18B31E" w:rsidR="00204493" w:rsidRDefault="00204493"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204493">
        <w:rPr>
          <w:rFonts w:ascii="Palatino Linotype" w:hAnsi="Palatino Linotype" w:cstheme="minorHAnsi"/>
          <w:sz w:val="22"/>
          <w:szCs w:val="22"/>
          <w:lang w:val="en-US"/>
        </w:rPr>
        <w:t>Investment expenditures, which contracted annually since the second half of 2018, expanded significantly by 21.9 percent annually in the third quarter of 2020. The recovery in investments continue</w:t>
      </w:r>
      <w:r w:rsidR="00AA71E2">
        <w:rPr>
          <w:rFonts w:ascii="Palatino Linotype" w:hAnsi="Palatino Linotype" w:cstheme="minorHAnsi"/>
          <w:sz w:val="22"/>
          <w:szCs w:val="22"/>
          <w:lang w:val="en-US"/>
        </w:rPr>
        <w:t>s</w:t>
      </w:r>
      <w:r w:rsidRPr="00204493">
        <w:rPr>
          <w:rFonts w:ascii="Palatino Linotype" w:hAnsi="Palatino Linotype" w:cstheme="minorHAnsi"/>
          <w:sz w:val="22"/>
          <w:szCs w:val="22"/>
          <w:lang w:val="en-US"/>
        </w:rPr>
        <w:t xml:space="preserve"> in the fourth quarter and the annual </w:t>
      </w:r>
      <w:r w:rsidR="00AA71E2">
        <w:rPr>
          <w:rFonts w:ascii="Palatino Linotype" w:hAnsi="Palatino Linotype" w:cstheme="minorHAnsi"/>
          <w:sz w:val="22"/>
          <w:szCs w:val="22"/>
          <w:lang w:val="en-US"/>
        </w:rPr>
        <w:t>growth rate</w:t>
      </w:r>
      <w:r w:rsidRPr="00204493">
        <w:rPr>
          <w:rFonts w:ascii="Palatino Linotype" w:hAnsi="Palatino Linotype" w:cstheme="minorHAnsi"/>
          <w:sz w:val="22"/>
          <w:szCs w:val="22"/>
          <w:lang w:val="en-US"/>
        </w:rPr>
        <w:t xml:space="preserve"> </w:t>
      </w:r>
      <w:r w:rsidR="00AA71E2">
        <w:rPr>
          <w:rFonts w:ascii="Palatino Linotype" w:hAnsi="Palatino Linotype" w:cstheme="minorHAnsi"/>
          <w:sz w:val="22"/>
          <w:szCs w:val="22"/>
          <w:lang w:val="en-US"/>
        </w:rPr>
        <w:t>is</w:t>
      </w:r>
      <w:r w:rsidRPr="00204493">
        <w:rPr>
          <w:rFonts w:ascii="Palatino Linotype" w:hAnsi="Palatino Linotype" w:cstheme="minorHAnsi"/>
          <w:sz w:val="22"/>
          <w:szCs w:val="22"/>
          <w:lang w:val="en-US"/>
        </w:rPr>
        <w:t xml:space="preserve"> 10.3 percent. The contribution of this increase to growth </w:t>
      </w:r>
      <w:r w:rsidR="00AA71E2">
        <w:rPr>
          <w:rFonts w:ascii="Palatino Linotype" w:hAnsi="Palatino Linotype" w:cstheme="minorHAnsi"/>
          <w:sz w:val="22"/>
          <w:szCs w:val="22"/>
          <w:lang w:val="en-US"/>
        </w:rPr>
        <w:t>is</w:t>
      </w:r>
      <w:r w:rsidRPr="00204493">
        <w:rPr>
          <w:rFonts w:ascii="Palatino Linotype" w:hAnsi="Palatino Linotype" w:cstheme="minorHAnsi"/>
          <w:sz w:val="22"/>
          <w:szCs w:val="22"/>
          <w:lang w:val="en-US"/>
        </w:rPr>
        <w:t xml:space="preserve"> 2.7 percentage points (Table 1). When we look at the seasonally and calendar adjusted figures, we see that investments </w:t>
      </w:r>
      <w:r w:rsidR="00AA71E2">
        <w:rPr>
          <w:rFonts w:ascii="Palatino Linotype" w:hAnsi="Palatino Linotype" w:cstheme="minorHAnsi"/>
          <w:sz w:val="22"/>
          <w:szCs w:val="22"/>
          <w:lang w:val="en-US"/>
        </w:rPr>
        <w:t>decline</w:t>
      </w:r>
      <w:r w:rsidRPr="00204493">
        <w:rPr>
          <w:rFonts w:ascii="Palatino Linotype" w:hAnsi="Palatino Linotype" w:cstheme="minorHAnsi"/>
          <w:sz w:val="22"/>
          <w:szCs w:val="22"/>
          <w:lang w:val="en-US"/>
        </w:rPr>
        <w:t xml:space="preserve"> by 2.7 percent compared to the previous quarter. Thus, investment expenditures suppress </w:t>
      </w:r>
      <w:r w:rsidR="00AA71E2">
        <w:rPr>
          <w:rFonts w:ascii="Palatino Linotype" w:hAnsi="Palatino Linotype" w:cstheme="minorHAnsi"/>
          <w:sz w:val="22"/>
          <w:szCs w:val="22"/>
          <w:lang w:val="en-US"/>
        </w:rPr>
        <w:t xml:space="preserve">the </w:t>
      </w:r>
      <w:r w:rsidRPr="00204493">
        <w:rPr>
          <w:rFonts w:ascii="Palatino Linotype" w:hAnsi="Palatino Linotype" w:cstheme="minorHAnsi"/>
          <w:sz w:val="22"/>
          <w:szCs w:val="22"/>
          <w:lang w:val="en-US"/>
        </w:rPr>
        <w:t>quarterly</w:t>
      </w:r>
      <w:r w:rsidR="00AA71E2">
        <w:rPr>
          <w:rFonts w:ascii="Palatino Linotype" w:hAnsi="Palatino Linotype" w:cstheme="minorHAnsi"/>
          <w:sz w:val="22"/>
          <w:szCs w:val="22"/>
          <w:lang w:val="en-US"/>
        </w:rPr>
        <w:t xml:space="preserve"> GDP</w:t>
      </w:r>
      <w:r w:rsidRPr="00204493">
        <w:rPr>
          <w:rFonts w:ascii="Palatino Linotype" w:hAnsi="Palatino Linotype" w:cstheme="minorHAnsi"/>
          <w:sz w:val="22"/>
          <w:szCs w:val="22"/>
          <w:lang w:val="en-US"/>
        </w:rPr>
        <w:t xml:space="preserve"> growth by 0.8 percentage points in </w:t>
      </w:r>
      <w:r w:rsidR="00AA71E2">
        <w:rPr>
          <w:rFonts w:ascii="Palatino Linotype" w:hAnsi="Palatino Linotype" w:cstheme="minorHAnsi"/>
          <w:sz w:val="22"/>
          <w:szCs w:val="22"/>
          <w:lang w:val="en-US"/>
        </w:rPr>
        <w:t xml:space="preserve">this quarter </w:t>
      </w:r>
      <w:r w:rsidRPr="00204493">
        <w:rPr>
          <w:rFonts w:ascii="Palatino Linotype" w:hAnsi="Palatino Linotype" w:cstheme="minorHAnsi"/>
          <w:sz w:val="22"/>
          <w:szCs w:val="22"/>
          <w:lang w:val="en-US"/>
        </w:rPr>
        <w:t>(Table 2).</w:t>
      </w:r>
    </w:p>
    <w:p w14:paraId="16625566" w14:textId="654E6D8D" w:rsidR="00681AD9" w:rsidRPr="00155A64" w:rsidRDefault="005D0611"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Negative change in inventories</w:t>
      </w:r>
      <w:r w:rsidR="00494926" w:rsidRPr="00155A64">
        <w:rPr>
          <w:rStyle w:val="DipnotBavurusu"/>
          <w:rFonts w:ascii="Palatino Linotype" w:hAnsi="Palatino Linotype" w:cstheme="minorHAnsi"/>
          <w:b/>
          <w:sz w:val="22"/>
          <w:szCs w:val="22"/>
          <w:lang w:val="en-US"/>
        </w:rPr>
        <w:footnoteReference w:id="3"/>
      </w:r>
    </w:p>
    <w:p w14:paraId="43714BB6" w14:textId="6E0CA9C8" w:rsidR="005D0611" w:rsidRDefault="005D0611" w:rsidP="002A037D">
      <w:pPr>
        <w:pStyle w:val="NormalWeb"/>
        <w:spacing w:before="0" w:beforeAutospacing="0" w:after="120" w:afterAutospacing="0" w:line="360" w:lineRule="auto"/>
        <w:ind w:right="79"/>
        <w:jc w:val="both"/>
        <w:rPr>
          <w:rFonts w:ascii="Palatino Linotype" w:hAnsi="Palatino Linotype" w:cstheme="minorHAnsi"/>
          <w:sz w:val="22"/>
          <w:szCs w:val="22"/>
          <w:lang w:val="en-US"/>
        </w:rPr>
      </w:pPr>
      <w:bookmarkStart w:id="2" w:name="OLE_LINK7"/>
      <w:bookmarkStart w:id="3" w:name="OLE_LINK8"/>
      <w:r w:rsidRPr="005D0611">
        <w:rPr>
          <w:rFonts w:ascii="Palatino Linotype" w:hAnsi="Palatino Linotype" w:cstheme="minorHAnsi"/>
          <w:sz w:val="22"/>
          <w:szCs w:val="22"/>
          <w:lang w:val="en-US"/>
        </w:rPr>
        <w:t>In the fourth quarter of 2020, the contribution of</w:t>
      </w:r>
      <w:r>
        <w:rPr>
          <w:rFonts w:ascii="Palatino Linotype" w:hAnsi="Palatino Linotype" w:cstheme="minorHAnsi"/>
          <w:sz w:val="22"/>
          <w:szCs w:val="22"/>
          <w:lang w:val="en-US"/>
        </w:rPr>
        <w:t xml:space="preserve"> change in inventories</w:t>
      </w:r>
      <w:r w:rsidRPr="005D0611">
        <w:rPr>
          <w:rFonts w:ascii="Palatino Linotype" w:hAnsi="Palatino Linotype" w:cstheme="minorHAnsi"/>
          <w:sz w:val="22"/>
          <w:szCs w:val="22"/>
          <w:lang w:val="en-US"/>
        </w:rPr>
        <w:t xml:space="preserve"> to</w:t>
      </w:r>
      <w:r>
        <w:rPr>
          <w:rFonts w:ascii="Palatino Linotype" w:hAnsi="Palatino Linotype" w:cstheme="minorHAnsi"/>
          <w:sz w:val="22"/>
          <w:szCs w:val="22"/>
          <w:lang w:val="en-US"/>
        </w:rPr>
        <w:t xml:space="preserve"> the</w:t>
      </w:r>
      <w:r w:rsidRPr="005D0611">
        <w:rPr>
          <w:rFonts w:ascii="Palatino Linotype" w:hAnsi="Palatino Linotype" w:cstheme="minorHAnsi"/>
          <w:sz w:val="22"/>
          <w:szCs w:val="22"/>
          <w:lang w:val="en-US"/>
        </w:rPr>
        <w:t xml:space="preserve"> </w:t>
      </w:r>
      <w:r>
        <w:rPr>
          <w:rFonts w:ascii="Palatino Linotype" w:hAnsi="Palatino Linotype" w:cstheme="minorHAnsi"/>
          <w:sz w:val="22"/>
          <w:szCs w:val="22"/>
          <w:lang w:val="en-US"/>
        </w:rPr>
        <w:t xml:space="preserve">GDP </w:t>
      </w:r>
      <w:r w:rsidRPr="005D0611">
        <w:rPr>
          <w:rFonts w:ascii="Palatino Linotype" w:hAnsi="Palatino Linotype" w:cstheme="minorHAnsi"/>
          <w:sz w:val="22"/>
          <w:szCs w:val="22"/>
          <w:lang w:val="en-US"/>
        </w:rPr>
        <w:t xml:space="preserve">growth on an annual basis was minus 1.5 percentage points (Table 1), while according to seasonal and calendar adjusted data, the contribution </w:t>
      </w:r>
      <w:r>
        <w:rPr>
          <w:rFonts w:ascii="Palatino Linotype" w:hAnsi="Palatino Linotype" w:cstheme="minorHAnsi"/>
          <w:sz w:val="22"/>
          <w:szCs w:val="22"/>
          <w:lang w:val="en-US"/>
        </w:rPr>
        <w:t xml:space="preserve">to the </w:t>
      </w:r>
      <w:r w:rsidRPr="005D0611">
        <w:rPr>
          <w:rFonts w:ascii="Palatino Linotype" w:hAnsi="Palatino Linotype" w:cstheme="minorHAnsi"/>
          <w:sz w:val="22"/>
          <w:szCs w:val="22"/>
          <w:lang w:val="en-US"/>
        </w:rPr>
        <w:t xml:space="preserve">quarterly </w:t>
      </w:r>
      <w:r>
        <w:rPr>
          <w:rFonts w:ascii="Palatino Linotype" w:hAnsi="Palatino Linotype" w:cstheme="minorHAnsi"/>
          <w:sz w:val="22"/>
          <w:szCs w:val="22"/>
          <w:lang w:val="en-US"/>
        </w:rPr>
        <w:t xml:space="preserve">GDP </w:t>
      </w:r>
      <w:r w:rsidRPr="005D0611">
        <w:rPr>
          <w:rFonts w:ascii="Palatino Linotype" w:hAnsi="Palatino Linotype" w:cstheme="minorHAnsi"/>
          <w:sz w:val="22"/>
          <w:szCs w:val="22"/>
          <w:lang w:val="en-US"/>
        </w:rPr>
        <w:t>growth was minus 3.4 percentage points (Table 2). It can be s</w:t>
      </w:r>
      <w:r>
        <w:rPr>
          <w:rFonts w:ascii="Palatino Linotype" w:hAnsi="Palatino Linotype" w:cstheme="minorHAnsi"/>
          <w:sz w:val="22"/>
          <w:szCs w:val="22"/>
          <w:lang w:val="en-US"/>
        </w:rPr>
        <w:t>tated</w:t>
      </w:r>
      <w:r w:rsidRPr="005D0611">
        <w:rPr>
          <w:rFonts w:ascii="Palatino Linotype" w:hAnsi="Palatino Linotype" w:cstheme="minorHAnsi"/>
          <w:sz w:val="22"/>
          <w:szCs w:val="22"/>
          <w:lang w:val="en-US"/>
        </w:rPr>
        <w:t xml:space="preserve"> that the increase in demand with the economic recovery decrease</w:t>
      </w:r>
      <w:r>
        <w:rPr>
          <w:rFonts w:ascii="Palatino Linotype" w:hAnsi="Palatino Linotype" w:cstheme="minorHAnsi"/>
          <w:sz w:val="22"/>
          <w:szCs w:val="22"/>
          <w:lang w:val="en-US"/>
        </w:rPr>
        <w:t>s</w:t>
      </w:r>
      <w:r w:rsidRPr="005D0611">
        <w:rPr>
          <w:rFonts w:ascii="Palatino Linotype" w:hAnsi="Palatino Linotype" w:cstheme="minorHAnsi"/>
          <w:sz w:val="22"/>
          <w:szCs w:val="22"/>
          <w:lang w:val="en-US"/>
        </w:rPr>
        <w:t xml:space="preserve"> the stocks.</w:t>
      </w:r>
    </w:p>
    <w:bookmarkEnd w:id="2"/>
    <w:bookmarkEnd w:id="3"/>
    <w:p w14:paraId="7233E2B8" w14:textId="088ABBAC" w:rsidR="00F46A54" w:rsidRPr="00155A64" w:rsidRDefault="005D0611" w:rsidP="00F30329">
      <w:pPr>
        <w:pStyle w:val="NormalWeb"/>
        <w:spacing w:before="0" w:beforeAutospacing="0" w:after="120" w:afterAutospacing="0" w:line="360" w:lineRule="auto"/>
        <w:ind w:right="79"/>
        <w:rPr>
          <w:rFonts w:ascii="Palatino Linotype" w:hAnsi="Palatino Linotype" w:cstheme="minorHAnsi"/>
          <w:b/>
          <w:sz w:val="22"/>
          <w:szCs w:val="22"/>
          <w:lang w:val="en-US"/>
        </w:rPr>
      </w:pPr>
      <w:r>
        <w:rPr>
          <w:rFonts w:ascii="Palatino Linotype" w:hAnsi="Palatino Linotype" w:cstheme="minorHAnsi"/>
          <w:b/>
          <w:sz w:val="22"/>
          <w:szCs w:val="22"/>
          <w:lang w:val="en-US"/>
        </w:rPr>
        <w:t>Mixed outlook for exports and imports</w:t>
      </w:r>
    </w:p>
    <w:p w14:paraId="036C94D8" w14:textId="5FFFEAA4" w:rsidR="000A2258" w:rsidRDefault="000A2258"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0A2258">
        <w:rPr>
          <w:rFonts w:ascii="Palatino Linotype" w:hAnsi="Palatino Linotype" w:cstheme="minorHAnsi"/>
          <w:sz w:val="22"/>
          <w:szCs w:val="22"/>
          <w:lang w:val="en-US"/>
        </w:rPr>
        <w:t>In the fourth quarter of 2020, exports and imports follow different trends on an annual and quarterly basis. While exports remain stable on an annual basis, imports increas</w:t>
      </w:r>
      <w:r>
        <w:rPr>
          <w:rFonts w:ascii="Palatino Linotype" w:hAnsi="Palatino Linotype" w:cstheme="minorHAnsi"/>
          <w:sz w:val="22"/>
          <w:szCs w:val="22"/>
          <w:lang w:val="en-US"/>
        </w:rPr>
        <w:t>e</w:t>
      </w:r>
      <w:r w:rsidRPr="000A2258">
        <w:rPr>
          <w:rFonts w:ascii="Palatino Linotype" w:hAnsi="Palatino Linotype" w:cstheme="minorHAnsi"/>
          <w:sz w:val="22"/>
          <w:szCs w:val="22"/>
          <w:lang w:val="en-US"/>
        </w:rPr>
        <w:t xml:space="preserve"> moderately by 2.5 percent. Thus, the net contribution of foreign trade to growth </w:t>
      </w:r>
      <w:r>
        <w:rPr>
          <w:rFonts w:ascii="Palatino Linotype" w:hAnsi="Palatino Linotype" w:cstheme="minorHAnsi"/>
          <w:sz w:val="22"/>
          <w:szCs w:val="22"/>
          <w:lang w:val="en-US"/>
        </w:rPr>
        <w:t>is</w:t>
      </w:r>
      <w:r w:rsidRPr="000A2258">
        <w:rPr>
          <w:rFonts w:ascii="Palatino Linotype" w:hAnsi="Palatino Linotype" w:cstheme="minorHAnsi"/>
          <w:sz w:val="22"/>
          <w:szCs w:val="22"/>
          <w:lang w:val="en-US"/>
        </w:rPr>
        <w:t xml:space="preserve"> minus 1.0 percentage </w:t>
      </w:r>
      <w:r w:rsidRPr="000A2258">
        <w:rPr>
          <w:rFonts w:ascii="Palatino Linotype" w:hAnsi="Palatino Linotype" w:cstheme="minorHAnsi"/>
          <w:sz w:val="22"/>
          <w:szCs w:val="22"/>
          <w:lang w:val="en-US"/>
        </w:rPr>
        <w:lastRenderedPageBreak/>
        <w:t xml:space="preserve">points (Table 1). In the last quarter of 2020, a strong increase (18.9 percent) </w:t>
      </w:r>
      <w:r>
        <w:rPr>
          <w:rFonts w:ascii="Palatino Linotype" w:hAnsi="Palatino Linotype" w:cstheme="minorHAnsi"/>
          <w:sz w:val="22"/>
          <w:szCs w:val="22"/>
          <w:lang w:val="en-US"/>
        </w:rPr>
        <w:t>is</w:t>
      </w:r>
      <w:r w:rsidRPr="000A2258">
        <w:rPr>
          <w:rFonts w:ascii="Palatino Linotype" w:hAnsi="Palatino Linotype" w:cstheme="minorHAnsi"/>
          <w:sz w:val="22"/>
          <w:szCs w:val="22"/>
          <w:lang w:val="en-US"/>
        </w:rPr>
        <w:t xml:space="preserve"> recorded in exports compared to the previous quarter, while imports follow a moderate course with 0.2 percent. The net contribution of foreign trade to quarterly growth was 4.8 percentage points (Table 2).</w:t>
      </w:r>
    </w:p>
    <w:p w14:paraId="777C1939" w14:textId="1738235C" w:rsidR="006C3EE6" w:rsidRPr="00155A64" w:rsidRDefault="000A2258" w:rsidP="008F1741">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Public spending supports the GDP growth</w:t>
      </w:r>
    </w:p>
    <w:p w14:paraId="52AD8623" w14:textId="13F9BF6A" w:rsidR="00DA618C" w:rsidRPr="00F37D27" w:rsidRDefault="000A2258" w:rsidP="00F37D27">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0A2258">
        <w:rPr>
          <w:rFonts w:ascii="Palatino Linotype" w:hAnsi="Palatino Linotype" w:cstheme="minorHAnsi"/>
          <w:sz w:val="22"/>
          <w:szCs w:val="22"/>
          <w:lang w:val="en-US"/>
        </w:rPr>
        <w:t>Compared to the same quarter of the previous year, public expenditures expand by 6.6 percent in the fourth quarter of 2020 and significantly support the</w:t>
      </w:r>
      <w:r w:rsidR="00F37D27">
        <w:rPr>
          <w:rFonts w:ascii="Palatino Linotype" w:hAnsi="Palatino Linotype" w:cstheme="minorHAnsi"/>
          <w:sz w:val="22"/>
          <w:szCs w:val="22"/>
          <w:lang w:val="en-US"/>
        </w:rPr>
        <w:t xml:space="preserve"> annual GDP</w:t>
      </w:r>
      <w:r w:rsidRPr="000A2258">
        <w:rPr>
          <w:rFonts w:ascii="Palatino Linotype" w:hAnsi="Palatino Linotype" w:cstheme="minorHAnsi"/>
          <w:sz w:val="22"/>
          <w:szCs w:val="22"/>
          <w:lang w:val="en-US"/>
        </w:rPr>
        <w:t xml:space="preserve"> growth by 1.1 percentage points (Table 1). According to the seasonally and calendar adjusted </w:t>
      </w:r>
      <w:r w:rsidR="00F37D27">
        <w:rPr>
          <w:rFonts w:ascii="Palatino Linotype" w:hAnsi="Palatino Linotype" w:cstheme="minorHAnsi"/>
          <w:sz w:val="22"/>
          <w:szCs w:val="22"/>
          <w:lang w:val="en-US"/>
        </w:rPr>
        <w:t>data</w:t>
      </w:r>
      <w:r w:rsidRPr="000A2258">
        <w:rPr>
          <w:rFonts w:ascii="Palatino Linotype" w:hAnsi="Palatino Linotype" w:cstheme="minorHAnsi"/>
          <w:sz w:val="22"/>
          <w:szCs w:val="22"/>
          <w:lang w:val="en-US"/>
        </w:rPr>
        <w:t xml:space="preserve">, public expenditures increase by 3.6 percent in the fourth quarter compared to the third quarter. Its contribution to growth </w:t>
      </w:r>
      <w:r w:rsidR="00F37D27">
        <w:rPr>
          <w:rFonts w:ascii="Palatino Linotype" w:hAnsi="Palatino Linotype" w:cstheme="minorHAnsi"/>
          <w:sz w:val="22"/>
          <w:szCs w:val="22"/>
          <w:lang w:val="en-US"/>
        </w:rPr>
        <w:t>i</w:t>
      </w:r>
      <w:r w:rsidRPr="000A2258">
        <w:rPr>
          <w:rFonts w:ascii="Palatino Linotype" w:hAnsi="Palatino Linotype" w:cstheme="minorHAnsi"/>
          <w:sz w:val="22"/>
          <w:szCs w:val="22"/>
          <w:lang w:val="en-US"/>
        </w:rPr>
        <w:t>s 0.5 percentage points (Table 2).</w:t>
      </w:r>
    </w:p>
    <w:p w14:paraId="6E71FDDC" w14:textId="77777777" w:rsidR="000E6173" w:rsidRDefault="000E6173" w:rsidP="000E6173">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The future of growth</w:t>
      </w:r>
    </w:p>
    <w:p w14:paraId="6DF0DBD8" w14:textId="6B25DDE3" w:rsidR="000E6173" w:rsidRPr="000E6173" w:rsidRDefault="000E6173" w:rsidP="000E6173">
      <w:pPr>
        <w:pStyle w:val="NormalWeb"/>
        <w:spacing w:before="0" w:beforeAutospacing="0" w:after="0" w:afterAutospacing="0" w:line="360" w:lineRule="auto"/>
        <w:ind w:right="77"/>
        <w:rPr>
          <w:rFonts w:ascii="Palatino Linotype" w:hAnsi="Palatino Linotype" w:cstheme="minorHAnsi"/>
          <w:b/>
          <w:bCs/>
          <w:sz w:val="22"/>
          <w:szCs w:val="22"/>
          <w:lang w:val="en-US"/>
        </w:rPr>
      </w:pPr>
      <w:r w:rsidRPr="000E6173">
        <w:rPr>
          <w:rFonts w:ascii="Palatino Linotype" w:hAnsi="Palatino Linotype" w:cstheme="minorHAnsi"/>
          <w:bCs/>
          <w:sz w:val="22"/>
          <w:szCs w:val="22"/>
          <w:lang w:val="en-US"/>
        </w:rPr>
        <w:t xml:space="preserve">The </w:t>
      </w:r>
      <w:r>
        <w:rPr>
          <w:rFonts w:ascii="Palatino Linotype" w:hAnsi="Palatino Linotype" w:cstheme="minorHAnsi"/>
          <w:bCs/>
          <w:sz w:val="22"/>
          <w:szCs w:val="22"/>
          <w:lang w:val="en-US"/>
        </w:rPr>
        <w:t xml:space="preserve">GDP </w:t>
      </w:r>
      <w:r w:rsidRPr="000E6173">
        <w:rPr>
          <w:rFonts w:ascii="Palatino Linotype" w:hAnsi="Palatino Linotype" w:cstheme="minorHAnsi"/>
          <w:bCs/>
          <w:sz w:val="22"/>
          <w:szCs w:val="22"/>
          <w:lang w:val="en-US"/>
        </w:rPr>
        <w:t xml:space="preserve">growth </w:t>
      </w:r>
      <w:r>
        <w:rPr>
          <w:rFonts w:ascii="Palatino Linotype" w:hAnsi="Palatino Linotype" w:cstheme="minorHAnsi"/>
          <w:bCs/>
          <w:sz w:val="22"/>
          <w:szCs w:val="22"/>
          <w:lang w:val="en-US"/>
        </w:rPr>
        <w:t>in the fourth quarter i</w:t>
      </w:r>
      <w:r w:rsidRPr="000E6173">
        <w:rPr>
          <w:rFonts w:ascii="Palatino Linotype" w:hAnsi="Palatino Linotype" w:cstheme="minorHAnsi"/>
          <w:bCs/>
          <w:sz w:val="22"/>
          <w:szCs w:val="22"/>
          <w:lang w:val="en-US"/>
        </w:rPr>
        <w:t>s higher than expect</w:t>
      </w:r>
      <w:r>
        <w:rPr>
          <w:rFonts w:ascii="Palatino Linotype" w:hAnsi="Palatino Linotype" w:cstheme="minorHAnsi"/>
          <w:bCs/>
          <w:sz w:val="22"/>
          <w:szCs w:val="22"/>
          <w:lang w:val="en-US"/>
        </w:rPr>
        <w:t>ations</w:t>
      </w:r>
      <w:r w:rsidRPr="000E6173">
        <w:rPr>
          <w:rFonts w:ascii="Palatino Linotype" w:hAnsi="Palatino Linotype" w:cstheme="minorHAnsi"/>
          <w:bCs/>
          <w:sz w:val="22"/>
          <w:szCs w:val="22"/>
          <w:lang w:val="en-US"/>
        </w:rPr>
        <w:t xml:space="preserve">. </w:t>
      </w:r>
      <w:r>
        <w:rPr>
          <w:rFonts w:ascii="Palatino Linotype" w:hAnsi="Palatino Linotype" w:cstheme="minorHAnsi"/>
          <w:bCs/>
          <w:sz w:val="22"/>
          <w:szCs w:val="22"/>
          <w:lang w:val="en-US"/>
        </w:rPr>
        <w:t>T</w:t>
      </w:r>
      <w:r w:rsidRPr="000E6173">
        <w:rPr>
          <w:rFonts w:ascii="Palatino Linotype" w:hAnsi="Palatino Linotype" w:cstheme="minorHAnsi"/>
          <w:bCs/>
          <w:sz w:val="22"/>
          <w:szCs w:val="22"/>
          <w:lang w:val="en-US"/>
        </w:rPr>
        <w:t xml:space="preserve">he </w:t>
      </w:r>
      <w:r>
        <w:rPr>
          <w:rFonts w:ascii="Palatino Linotype" w:hAnsi="Palatino Linotype" w:cstheme="minorHAnsi"/>
          <w:bCs/>
          <w:sz w:val="22"/>
          <w:szCs w:val="22"/>
          <w:lang w:val="en-US"/>
        </w:rPr>
        <w:t>normalization steps,</w:t>
      </w:r>
      <w:r w:rsidRPr="000E6173">
        <w:rPr>
          <w:rFonts w:ascii="Palatino Linotype" w:hAnsi="Palatino Linotype" w:cstheme="minorHAnsi"/>
          <w:bCs/>
          <w:sz w:val="22"/>
          <w:szCs w:val="22"/>
          <w:lang w:val="en-US"/>
        </w:rPr>
        <w:t xml:space="preserve"> which started in June and continued until December, were effective in </w:t>
      </w:r>
      <w:r>
        <w:rPr>
          <w:rFonts w:ascii="Palatino Linotype" w:hAnsi="Palatino Linotype" w:cstheme="minorHAnsi"/>
          <w:bCs/>
          <w:sz w:val="22"/>
          <w:szCs w:val="22"/>
          <w:lang w:val="en-US"/>
        </w:rPr>
        <w:t>this high GDP growth rates</w:t>
      </w:r>
      <w:r w:rsidRPr="000E6173">
        <w:rPr>
          <w:rFonts w:ascii="Palatino Linotype" w:hAnsi="Palatino Linotype" w:cstheme="minorHAnsi"/>
          <w:bCs/>
          <w:sz w:val="22"/>
          <w:szCs w:val="22"/>
          <w:lang w:val="en-US"/>
        </w:rPr>
        <w:t xml:space="preserve">. In our previous evaluation, we had predicted that the last quarter growth would be slightly lower than the </w:t>
      </w:r>
      <w:r w:rsidR="005E3243">
        <w:rPr>
          <w:rFonts w:ascii="Palatino Linotype" w:hAnsi="Palatino Linotype" w:cstheme="minorHAnsi"/>
          <w:bCs/>
          <w:sz w:val="22"/>
          <w:szCs w:val="22"/>
          <w:lang w:val="en-US"/>
        </w:rPr>
        <w:t>third</w:t>
      </w:r>
      <w:r w:rsidRPr="000E6173">
        <w:rPr>
          <w:rFonts w:ascii="Palatino Linotype" w:hAnsi="Palatino Linotype" w:cstheme="minorHAnsi"/>
          <w:bCs/>
          <w:sz w:val="22"/>
          <w:szCs w:val="22"/>
          <w:lang w:val="en-US"/>
        </w:rPr>
        <w:t xml:space="preserve"> quarter growth</w:t>
      </w:r>
      <w:r>
        <w:rPr>
          <w:rFonts w:ascii="Palatino Linotype" w:hAnsi="Palatino Linotype" w:cstheme="minorHAnsi"/>
          <w:bCs/>
          <w:sz w:val="22"/>
          <w:szCs w:val="22"/>
          <w:lang w:val="en-US"/>
        </w:rPr>
        <w:t xml:space="preserve"> due to the new lockdown measures introduced in December</w:t>
      </w:r>
      <w:r w:rsidRPr="000E6173">
        <w:rPr>
          <w:rFonts w:ascii="Palatino Linotype" w:hAnsi="Palatino Linotype" w:cstheme="minorHAnsi"/>
          <w:bCs/>
          <w:sz w:val="22"/>
          <w:szCs w:val="22"/>
          <w:lang w:val="en-US"/>
        </w:rPr>
        <w:t>.</w:t>
      </w:r>
      <w:r w:rsidR="005E3243">
        <w:rPr>
          <w:rFonts w:ascii="Palatino Linotype" w:hAnsi="Palatino Linotype" w:cstheme="minorHAnsi"/>
          <w:bCs/>
          <w:sz w:val="22"/>
          <w:szCs w:val="22"/>
          <w:lang w:val="en-US"/>
        </w:rPr>
        <w:t xml:space="preserve"> Our expectations come true</w:t>
      </w:r>
      <w:r w:rsidRPr="000E6173">
        <w:rPr>
          <w:rFonts w:ascii="Palatino Linotype" w:hAnsi="Palatino Linotype" w:cstheme="minorHAnsi"/>
          <w:bCs/>
          <w:sz w:val="22"/>
          <w:szCs w:val="22"/>
          <w:lang w:val="en-US"/>
        </w:rPr>
        <w:t>.</w:t>
      </w:r>
    </w:p>
    <w:p w14:paraId="2DC30E39" w14:textId="2EF8D9EC" w:rsidR="000E6173" w:rsidRDefault="005E3243" w:rsidP="000E6173">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Pr>
          <w:rFonts w:ascii="Palatino Linotype" w:hAnsi="Palatino Linotype" w:cstheme="minorHAnsi"/>
          <w:bCs/>
          <w:sz w:val="22"/>
          <w:szCs w:val="22"/>
          <w:lang w:val="en-US"/>
        </w:rPr>
        <w:t xml:space="preserve">In </w:t>
      </w:r>
      <w:r w:rsidR="000E6173" w:rsidRPr="000E6173">
        <w:rPr>
          <w:rFonts w:ascii="Palatino Linotype" w:hAnsi="Palatino Linotype" w:cstheme="minorHAnsi"/>
          <w:bCs/>
          <w:sz w:val="22"/>
          <w:szCs w:val="22"/>
          <w:lang w:val="en-US"/>
        </w:rPr>
        <w:t xml:space="preserve">March, the coronavirus risk map entered our lives. Accordingly, the provinces were divided into 4 groups: blue-colored provinces with the lowest risk, yellow-colored provinces with medium risk, orange provinces with high risk, and </w:t>
      </w:r>
      <w:r>
        <w:rPr>
          <w:rFonts w:ascii="Palatino Linotype" w:hAnsi="Palatino Linotype" w:cstheme="minorHAnsi"/>
          <w:bCs/>
          <w:sz w:val="22"/>
          <w:szCs w:val="22"/>
          <w:lang w:val="en-US"/>
        </w:rPr>
        <w:t xml:space="preserve">red </w:t>
      </w:r>
      <w:r w:rsidR="000E6173" w:rsidRPr="000E6173">
        <w:rPr>
          <w:rFonts w:ascii="Palatino Linotype" w:hAnsi="Palatino Linotype" w:cstheme="minorHAnsi"/>
          <w:bCs/>
          <w:sz w:val="22"/>
          <w:szCs w:val="22"/>
          <w:lang w:val="en-US"/>
        </w:rPr>
        <w:t xml:space="preserve">provinces with very high risk. </w:t>
      </w:r>
      <w:r>
        <w:rPr>
          <w:rFonts w:ascii="Palatino Linotype" w:hAnsi="Palatino Linotype" w:cstheme="minorHAnsi"/>
          <w:bCs/>
          <w:sz w:val="22"/>
          <w:szCs w:val="22"/>
          <w:lang w:val="en-US"/>
        </w:rPr>
        <w:t xml:space="preserve">The lockdown measures were localized according to the risk structure of provinces. </w:t>
      </w:r>
      <w:r w:rsidR="000E6173" w:rsidRPr="000E6173">
        <w:rPr>
          <w:rFonts w:ascii="Palatino Linotype" w:hAnsi="Palatino Linotype" w:cstheme="minorHAnsi"/>
          <w:bCs/>
          <w:sz w:val="22"/>
          <w:szCs w:val="22"/>
          <w:lang w:val="en-US"/>
        </w:rPr>
        <w:t>This is a new situation, the results of which are difficult to predict, but it can be expected that economic activities in each province will recover inversely with the risk ratio. We see that the stocks accumulated in the third quarter partially melted in the fourth quarter. Considering that the new normalization measures started in March, the first quarter growth figure of 2021 may remain relatively low.</w:t>
      </w:r>
    </w:p>
    <w:p w14:paraId="22124FFA" w14:textId="77777777" w:rsidR="005E3243" w:rsidRDefault="005E3243">
      <w:pPr>
        <w:spacing w:after="160" w:line="259" w:lineRule="auto"/>
        <w:rPr>
          <w:rFonts w:ascii="Palatino Linotype" w:hAnsi="Palatino Linotype" w:cstheme="minorHAnsi"/>
          <w:bCs/>
          <w:sz w:val="22"/>
          <w:szCs w:val="22"/>
          <w:lang w:val="en-US"/>
        </w:rPr>
      </w:pPr>
      <w:r>
        <w:rPr>
          <w:rFonts w:ascii="Palatino Linotype" w:hAnsi="Palatino Linotype" w:cstheme="minorHAnsi"/>
          <w:bCs/>
          <w:sz w:val="22"/>
          <w:szCs w:val="22"/>
          <w:lang w:val="en-US"/>
        </w:rPr>
        <w:br w:type="page"/>
      </w:r>
    </w:p>
    <w:p w14:paraId="19F577E0" w14:textId="1BCCFCFE" w:rsidR="003A4C32" w:rsidRPr="00155A64" w:rsidRDefault="009F4054" w:rsidP="009F4054">
      <w:pPr>
        <w:pStyle w:val="NormalWeb"/>
        <w:spacing w:before="0" w:beforeAutospacing="0" w:after="0" w:afterAutospacing="0" w:line="360" w:lineRule="auto"/>
        <w:ind w:right="77"/>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lastRenderedPageBreak/>
        <w:t>Figure 2: GDP growth rates compared to the previous quarter and same quarter of last year</w:t>
      </w:r>
      <w:r w:rsidRPr="00155A64">
        <w:rPr>
          <w:noProof/>
          <w:sz w:val="21"/>
          <w:szCs w:val="21"/>
          <w:lang w:val="en-US" w:eastAsia="en-GB"/>
        </w:rPr>
        <w:t xml:space="preserve"> </w:t>
      </w:r>
      <w:r w:rsidR="003771C7" w:rsidRPr="00155A64">
        <w:rPr>
          <w:noProof/>
          <w:lang w:val="en-US"/>
        </w:rPr>
        <w:t xml:space="preserve"> </w:t>
      </w:r>
    </w:p>
    <w:p w14:paraId="79047BBA" w14:textId="032F5601" w:rsidR="001A080D" w:rsidRPr="00155A64" w:rsidRDefault="009F4054" w:rsidP="00062A8A">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noProof/>
          <w:sz w:val="18"/>
          <w:szCs w:val="18"/>
          <w:lang w:val="en-US"/>
        </w:rPr>
        <w:drawing>
          <wp:inline distT="0" distB="0" distL="0" distR="0" wp14:anchorId="3C76DE4C" wp14:editId="4C74ECE8">
            <wp:extent cx="5779770" cy="36398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770" cy="3639820"/>
                    </a:xfrm>
                    <a:prstGeom prst="rect">
                      <a:avLst/>
                    </a:prstGeom>
                    <a:noFill/>
                  </pic:spPr>
                </pic:pic>
              </a:graphicData>
            </a:graphic>
          </wp:inline>
        </w:drawing>
      </w:r>
      <w:r w:rsidRPr="00155A64">
        <w:rPr>
          <w:rFonts w:ascii="Palatino Linotype" w:hAnsi="Palatino Linotype" w:cstheme="minorHAnsi"/>
          <w:sz w:val="18"/>
          <w:szCs w:val="18"/>
          <w:lang w:val="en-US"/>
        </w:rPr>
        <w:t xml:space="preserve"> Source: TurkStat, Betam</w:t>
      </w:r>
    </w:p>
    <w:sectPr w:rsidR="001A080D" w:rsidRPr="00155A64"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5FF3" w14:textId="77777777" w:rsidR="00D80A1A" w:rsidRDefault="00D80A1A" w:rsidP="00DA0C5D">
      <w:r>
        <w:separator/>
      </w:r>
    </w:p>
  </w:endnote>
  <w:endnote w:type="continuationSeparator" w:id="0">
    <w:p w14:paraId="67EC9FB5" w14:textId="77777777" w:rsidR="00D80A1A" w:rsidRDefault="00D80A1A"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7D8D" w14:textId="77777777" w:rsidR="00D80A1A" w:rsidRDefault="00D80A1A" w:rsidP="00DA0C5D">
      <w:r>
        <w:separator/>
      </w:r>
    </w:p>
  </w:footnote>
  <w:footnote w:type="continuationSeparator" w:id="0">
    <w:p w14:paraId="291B3FCA" w14:textId="77777777" w:rsidR="00D80A1A" w:rsidRDefault="00D80A1A" w:rsidP="00DA0C5D">
      <w:r>
        <w:continuationSeparator/>
      </w:r>
    </w:p>
  </w:footnote>
  <w:footnote w:id="1">
    <w:p w14:paraId="6D61CC27" w14:textId="77777777" w:rsidR="00C32789" w:rsidRDefault="00C32789">
      <w:pPr>
        <w:pStyle w:val="DipnotMetni"/>
      </w:pPr>
      <w:r>
        <w:rPr>
          <w:rStyle w:val="DipnotBavurusu"/>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DipnotMetni"/>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338282CD" w:rsidR="00494926" w:rsidRPr="005D0611" w:rsidRDefault="00494926">
      <w:pPr>
        <w:pStyle w:val="DipnotMetni"/>
        <w:rPr>
          <w:lang w:val="en-US"/>
        </w:rPr>
      </w:pPr>
      <w:r>
        <w:rPr>
          <w:rStyle w:val="DipnotBavurusu"/>
        </w:rPr>
        <w:footnoteRef/>
      </w:r>
      <w:r>
        <w:t xml:space="preserve"> </w:t>
      </w:r>
      <w:r w:rsidR="005D0611" w:rsidRPr="005D0611">
        <w:rPr>
          <w:lang w:val="en-US"/>
        </w:rPr>
        <w:t>TurkStat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Betam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228F"/>
    <w:rsid w:val="0001392F"/>
    <w:rsid w:val="000141C7"/>
    <w:rsid w:val="00017B51"/>
    <w:rsid w:val="00030A2C"/>
    <w:rsid w:val="00036770"/>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87011"/>
    <w:rsid w:val="000905E5"/>
    <w:rsid w:val="00091F3E"/>
    <w:rsid w:val="00096CDA"/>
    <w:rsid w:val="00097794"/>
    <w:rsid w:val="000978C8"/>
    <w:rsid w:val="000A05ED"/>
    <w:rsid w:val="000A2258"/>
    <w:rsid w:val="000A3019"/>
    <w:rsid w:val="000A612E"/>
    <w:rsid w:val="000B0D12"/>
    <w:rsid w:val="000B0FC1"/>
    <w:rsid w:val="000B45D6"/>
    <w:rsid w:val="000C5C80"/>
    <w:rsid w:val="000C634D"/>
    <w:rsid w:val="000D5FD3"/>
    <w:rsid w:val="000D6E6C"/>
    <w:rsid w:val="000D70D1"/>
    <w:rsid w:val="000E2388"/>
    <w:rsid w:val="000E445D"/>
    <w:rsid w:val="000E6173"/>
    <w:rsid w:val="000F0B6B"/>
    <w:rsid w:val="000F2C7A"/>
    <w:rsid w:val="000F378E"/>
    <w:rsid w:val="000F6529"/>
    <w:rsid w:val="001004FF"/>
    <w:rsid w:val="0010209C"/>
    <w:rsid w:val="00111CED"/>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55A64"/>
    <w:rsid w:val="0016084A"/>
    <w:rsid w:val="00160880"/>
    <w:rsid w:val="001648AB"/>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DEB"/>
    <w:rsid w:val="00201E79"/>
    <w:rsid w:val="00202302"/>
    <w:rsid w:val="00204493"/>
    <w:rsid w:val="00205844"/>
    <w:rsid w:val="00206F72"/>
    <w:rsid w:val="002106DF"/>
    <w:rsid w:val="00211E95"/>
    <w:rsid w:val="00212579"/>
    <w:rsid w:val="00212782"/>
    <w:rsid w:val="00214914"/>
    <w:rsid w:val="00214B5E"/>
    <w:rsid w:val="0022673E"/>
    <w:rsid w:val="00232635"/>
    <w:rsid w:val="002343A8"/>
    <w:rsid w:val="00235DBE"/>
    <w:rsid w:val="00242C10"/>
    <w:rsid w:val="00247A3C"/>
    <w:rsid w:val="0025111C"/>
    <w:rsid w:val="00253E19"/>
    <w:rsid w:val="00265553"/>
    <w:rsid w:val="002663FD"/>
    <w:rsid w:val="00267F48"/>
    <w:rsid w:val="00270A75"/>
    <w:rsid w:val="002714F9"/>
    <w:rsid w:val="002729B4"/>
    <w:rsid w:val="0027421E"/>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7C37"/>
    <w:rsid w:val="002B2172"/>
    <w:rsid w:val="002B2A1B"/>
    <w:rsid w:val="002B3C10"/>
    <w:rsid w:val="002B4A1A"/>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6A4B"/>
    <w:rsid w:val="00417F6E"/>
    <w:rsid w:val="00424382"/>
    <w:rsid w:val="00431236"/>
    <w:rsid w:val="00431C38"/>
    <w:rsid w:val="00433A75"/>
    <w:rsid w:val="004426B4"/>
    <w:rsid w:val="004435E3"/>
    <w:rsid w:val="00443C08"/>
    <w:rsid w:val="00447743"/>
    <w:rsid w:val="00451A8A"/>
    <w:rsid w:val="004623F2"/>
    <w:rsid w:val="004647F0"/>
    <w:rsid w:val="00474A34"/>
    <w:rsid w:val="00476131"/>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C60F8"/>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50C1"/>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0611"/>
    <w:rsid w:val="005D27F8"/>
    <w:rsid w:val="005D2979"/>
    <w:rsid w:val="005D3C96"/>
    <w:rsid w:val="005D4126"/>
    <w:rsid w:val="005D72F5"/>
    <w:rsid w:val="005D7F3E"/>
    <w:rsid w:val="005E2717"/>
    <w:rsid w:val="005E3243"/>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7008D"/>
    <w:rsid w:val="0067066F"/>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6F62CC"/>
    <w:rsid w:val="007011B6"/>
    <w:rsid w:val="0070188F"/>
    <w:rsid w:val="00707FBD"/>
    <w:rsid w:val="00711A8A"/>
    <w:rsid w:val="007135FC"/>
    <w:rsid w:val="007201BD"/>
    <w:rsid w:val="00720250"/>
    <w:rsid w:val="007224AF"/>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4419"/>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A3BD9"/>
    <w:rsid w:val="008B0385"/>
    <w:rsid w:val="008B29F8"/>
    <w:rsid w:val="008B6FC3"/>
    <w:rsid w:val="008C51CA"/>
    <w:rsid w:val="008C56F9"/>
    <w:rsid w:val="008C70C5"/>
    <w:rsid w:val="008C73E6"/>
    <w:rsid w:val="008D7AA2"/>
    <w:rsid w:val="008F1741"/>
    <w:rsid w:val="008F2BCD"/>
    <w:rsid w:val="00912A8A"/>
    <w:rsid w:val="00914D26"/>
    <w:rsid w:val="0091617E"/>
    <w:rsid w:val="00916533"/>
    <w:rsid w:val="00916C78"/>
    <w:rsid w:val="00917330"/>
    <w:rsid w:val="009204AA"/>
    <w:rsid w:val="00920DA2"/>
    <w:rsid w:val="0092349F"/>
    <w:rsid w:val="009247BA"/>
    <w:rsid w:val="00924CD9"/>
    <w:rsid w:val="00927D28"/>
    <w:rsid w:val="00934066"/>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2B22"/>
    <w:rsid w:val="0098310A"/>
    <w:rsid w:val="00983612"/>
    <w:rsid w:val="0098616F"/>
    <w:rsid w:val="00990E34"/>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5241"/>
    <w:rsid w:val="009E68C6"/>
    <w:rsid w:val="009F2483"/>
    <w:rsid w:val="009F4054"/>
    <w:rsid w:val="009F42CC"/>
    <w:rsid w:val="009F603E"/>
    <w:rsid w:val="00A0130D"/>
    <w:rsid w:val="00A03316"/>
    <w:rsid w:val="00A0483D"/>
    <w:rsid w:val="00A04EFA"/>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A1706"/>
    <w:rsid w:val="00AA678E"/>
    <w:rsid w:val="00AA71E2"/>
    <w:rsid w:val="00AB1006"/>
    <w:rsid w:val="00AB36F7"/>
    <w:rsid w:val="00AC2B3D"/>
    <w:rsid w:val="00AD01B6"/>
    <w:rsid w:val="00AD7ADC"/>
    <w:rsid w:val="00AE59EE"/>
    <w:rsid w:val="00AF3D11"/>
    <w:rsid w:val="00B01508"/>
    <w:rsid w:val="00B01533"/>
    <w:rsid w:val="00B02076"/>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0912"/>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4E7E"/>
    <w:rsid w:val="00CA77D7"/>
    <w:rsid w:val="00CB0E7B"/>
    <w:rsid w:val="00CB1AD7"/>
    <w:rsid w:val="00CB3462"/>
    <w:rsid w:val="00CB4102"/>
    <w:rsid w:val="00CB41BA"/>
    <w:rsid w:val="00CB72D1"/>
    <w:rsid w:val="00CB767C"/>
    <w:rsid w:val="00CC0355"/>
    <w:rsid w:val="00CC3EAD"/>
    <w:rsid w:val="00CC44D3"/>
    <w:rsid w:val="00CC5784"/>
    <w:rsid w:val="00CC79C0"/>
    <w:rsid w:val="00CD6778"/>
    <w:rsid w:val="00CE1056"/>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80A1A"/>
    <w:rsid w:val="00D90931"/>
    <w:rsid w:val="00D92A1A"/>
    <w:rsid w:val="00D94A3B"/>
    <w:rsid w:val="00D95EA2"/>
    <w:rsid w:val="00D9649B"/>
    <w:rsid w:val="00D976E9"/>
    <w:rsid w:val="00DA0C5D"/>
    <w:rsid w:val="00DA5524"/>
    <w:rsid w:val="00DA618C"/>
    <w:rsid w:val="00DA6E52"/>
    <w:rsid w:val="00DB4A16"/>
    <w:rsid w:val="00DB5518"/>
    <w:rsid w:val="00DB5EFB"/>
    <w:rsid w:val="00DB6C1E"/>
    <w:rsid w:val="00DC0B1C"/>
    <w:rsid w:val="00DC2AAD"/>
    <w:rsid w:val="00DD2D75"/>
    <w:rsid w:val="00DD4D85"/>
    <w:rsid w:val="00DE57B8"/>
    <w:rsid w:val="00DF08BD"/>
    <w:rsid w:val="00DF1057"/>
    <w:rsid w:val="00DF44DE"/>
    <w:rsid w:val="00E04EFE"/>
    <w:rsid w:val="00E05DE7"/>
    <w:rsid w:val="00E0602A"/>
    <w:rsid w:val="00E109EA"/>
    <w:rsid w:val="00E122C5"/>
    <w:rsid w:val="00E21E9E"/>
    <w:rsid w:val="00E23E54"/>
    <w:rsid w:val="00E25A25"/>
    <w:rsid w:val="00E265D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3A96"/>
    <w:rsid w:val="00EB476F"/>
    <w:rsid w:val="00EB52B3"/>
    <w:rsid w:val="00EC136E"/>
    <w:rsid w:val="00EC2814"/>
    <w:rsid w:val="00EC37CB"/>
    <w:rsid w:val="00ED0762"/>
    <w:rsid w:val="00ED266F"/>
    <w:rsid w:val="00ED5E21"/>
    <w:rsid w:val="00ED7C53"/>
    <w:rsid w:val="00EE0633"/>
    <w:rsid w:val="00EE150B"/>
    <w:rsid w:val="00EE1BE5"/>
    <w:rsid w:val="00EE4795"/>
    <w:rsid w:val="00EF09A7"/>
    <w:rsid w:val="00EF29EC"/>
    <w:rsid w:val="00F0076E"/>
    <w:rsid w:val="00F00FB7"/>
    <w:rsid w:val="00F0654E"/>
    <w:rsid w:val="00F118B1"/>
    <w:rsid w:val="00F136EE"/>
    <w:rsid w:val="00F22A71"/>
    <w:rsid w:val="00F259FE"/>
    <w:rsid w:val="00F27D86"/>
    <w:rsid w:val="00F30329"/>
    <w:rsid w:val="00F31726"/>
    <w:rsid w:val="00F31E52"/>
    <w:rsid w:val="00F33EED"/>
    <w:rsid w:val="00F37D27"/>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27513029">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684602038">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50559125">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77594396">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ED75-11EF-46AA-A96D-893FB76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5</Pages>
  <Words>1000</Words>
  <Characters>5703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Gokhan DILEK</cp:lastModifiedBy>
  <cp:revision>82</cp:revision>
  <cp:lastPrinted>2019-12-05T12:09:00Z</cp:lastPrinted>
  <dcterms:created xsi:type="dcterms:W3CDTF">2019-12-05T12:09:00Z</dcterms:created>
  <dcterms:modified xsi:type="dcterms:W3CDTF">2021-07-01T10:10:00Z</dcterms:modified>
</cp:coreProperties>
</file>