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50628724" w:rsidR="00D07713" w:rsidRPr="00D07713" w:rsidRDefault="00B02076"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6F0FC6">
                              <w:rPr>
                                <w:rFonts w:ascii="Arial" w:eastAsia="Times New Roman" w:hAnsi="Arial" w:cs="Arial"/>
                                <w:b/>
                                <w:bCs/>
                                <w:color w:val="FFFFFF"/>
                                <w:sz w:val="22"/>
                                <w:szCs w:val="22"/>
                                <w:lang w:eastAsia="ar-SA"/>
                              </w:rPr>
                              <w:t xml:space="preserve"> </w:t>
                            </w:r>
                            <w:r w:rsidR="00E265D5">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" stroked="f">
                <v:fill opacity="0"/>
                <v:textbox inset="0,0,0,0">
                  <w:txbxContent>
                    <w:p w14:paraId="5B0CFDC6" w14:textId="50628724" w:rsidR="00D07713" w:rsidRPr="00D07713" w:rsidRDefault="00B02076"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11</w:t>
                      </w:r>
                      <w:r w:rsidR="006F0FC6">
                        <w:rPr>
                          <w:rFonts w:ascii="Arial" w:eastAsia="Times New Roman" w:hAnsi="Arial" w:cs="Arial"/>
                          <w:b/>
                          <w:bCs/>
                          <w:color w:val="FFFFFF"/>
                          <w:sz w:val="22"/>
                          <w:szCs w:val="22"/>
                          <w:lang w:eastAsia="ar-SA"/>
                        </w:rPr>
                        <w:t xml:space="preserve"> </w:t>
                      </w:r>
                      <w:r w:rsidR="00E265D5">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6F8C901"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235DBE">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6F8C901"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235DBE">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783B39D" w14:textId="016E007D" w:rsidR="00D34702" w:rsidRPr="00CC0355" w:rsidRDefault="00E265D5"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SALGIN TEDBİRLERİNE RAĞMEN YÜKSEK BÜYÜME</w:t>
      </w:r>
    </w:p>
    <w:p w14:paraId="428E7403" w14:textId="5430D498" w:rsidR="00D07713" w:rsidRPr="00CC0355" w:rsidRDefault="00D07713" w:rsidP="004623F2">
      <w:pPr>
        <w:spacing w:line="288" w:lineRule="auto"/>
        <w:ind w:right="-319"/>
        <w:jc w:val="center"/>
        <w:outlineLvl w:val="0"/>
        <w:rPr>
          <w:rFonts w:ascii="Palatino Linotype" w:hAnsi="Palatino Linotype" w:cstheme="minorHAnsi"/>
        </w:rPr>
      </w:pPr>
      <w:r w:rsidRPr="00CC0355">
        <w:rPr>
          <w:rFonts w:ascii="Palatino Linotype" w:hAnsi="Palatino Linotype" w:cstheme="minorHAnsi"/>
          <w:b/>
          <w:bCs/>
          <w:sz w:val="22"/>
          <w:szCs w:val="22"/>
        </w:rPr>
        <w:t>Ozan Bakış</w:t>
      </w:r>
      <w:r w:rsidR="00C32789" w:rsidRPr="00CC0355">
        <w:rPr>
          <w:rStyle w:val="FootnoteReference"/>
          <w:rFonts w:ascii="Palatino Linotype" w:hAnsi="Palatino Linotype" w:cstheme="minorHAnsi"/>
          <w:b/>
          <w:bCs/>
          <w:sz w:val="22"/>
          <w:szCs w:val="22"/>
        </w:rPr>
        <w:footnoteReference w:id="1"/>
      </w:r>
      <w:r w:rsidR="001537D8" w:rsidRPr="00CC0355">
        <w:rPr>
          <w:rFonts w:ascii="Palatino Linotype" w:hAnsi="Palatino Linotype" w:cstheme="minorHAnsi"/>
          <w:b/>
          <w:bCs/>
          <w:sz w:val="22"/>
          <w:szCs w:val="22"/>
        </w:rPr>
        <w:t xml:space="preserve"> ve </w:t>
      </w:r>
      <w:r w:rsidR="008B0385">
        <w:rPr>
          <w:rFonts w:ascii="Palatino Linotype" w:hAnsi="Palatino Linotype" w:cstheme="minorHAnsi"/>
          <w:b/>
          <w:bCs/>
          <w:sz w:val="22"/>
          <w:szCs w:val="22"/>
        </w:rPr>
        <w:t>Gökhan Dilek</w:t>
      </w:r>
      <w:r w:rsidR="001537D8" w:rsidRPr="00CC0355">
        <w:rPr>
          <w:rStyle w:val="FootnoteReference"/>
          <w:rFonts w:ascii="Palatino Linotype" w:hAnsi="Palatino Linotype" w:cstheme="minorHAnsi"/>
          <w:b/>
          <w:bCs/>
          <w:sz w:val="22"/>
          <w:szCs w:val="22"/>
        </w:rPr>
        <w:footnoteReference w:id="2"/>
      </w:r>
    </w:p>
    <w:p w14:paraId="6E057918" w14:textId="77777777" w:rsidR="00405BD8" w:rsidRPr="00CC0355" w:rsidRDefault="00405BD8" w:rsidP="00751F72">
      <w:pPr>
        <w:jc w:val="center"/>
        <w:rPr>
          <w:rFonts w:ascii="Palatino Linotype" w:hAnsi="Palatino Linotype" w:cstheme="minorHAnsi"/>
          <w:b/>
          <w:sz w:val="22"/>
          <w:szCs w:val="22"/>
        </w:rPr>
      </w:pPr>
    </w:p>
    <w:p w14:paraId="180703E7" w14:textId="77777777" w:rsidR="00111CED" w:rsidRPr="00CC0355" w:rsidRDefault="00D257C1" w:rsidP="00405BD8">
      <w:pPr>
        <w:spacing w:line="360" w:lineRule="auto"/>
        <w:jc w:val="center"/>
        <w:rPr>
          <w:rFonts w:ascii="Palatino Linotype" w:hAnsi="Palatino Linotype" w:cstheme="minorHAnsi"/>
          <w:b/>
          <w:sz w:val="22"/>
          <w:szCs w:val="22"/>
        </w:rPr>
      </w:pPr>
      <w:r w:rsidRPr="00CC0355">
        <w:rPr>
          <w:rFonts w:ascii="Palatino Linotype" w:hAnsi="Palatino Linotype" w:cstheme="minorHAnsi"/>
          <w:b/>
          <w:sz w:val="22"/>
          <w:szCs w:val="22"/>
        </w:rPr>
        <w:t>Yönetici</w:t>
      </w:r>
      <w:r w:rsidR="00C86475" w:rsidRPr="00CC0355">
        <w:rPr>
          <w:rFonts w:ascii="Palatino Linotype" w:hAnsi="Palatino Linotype" w:cstheme="minorHAnsi"/>
          <w:b/>
          <w:sz w:val="22"/>
          <w:szCs w:val="22"/>
        </w:rPr>
        <w:t xml:space="preserve"> </w:t>
      </w:r>
      <w:r w:rsidRPr="00CC0355">
        <w:rPr>
          <w:rFonts w:ascii="Palatino Linotype" w:hAnsi="Palatino Linotype" w:cstheme="minorHAnsi"/>
          <w:b/>
          <w:sz w:val="22"/>
          <w:szCs w:val="22"/>
        </w:rPr>
        <w:t>Özeti</w:t>
      </w:r>
    </w:p>
    <w:p w14:paraId="2871DC86" w14:textId="453A5DAE" w:rsidR="00E40DD5" w:rsidRDefault="001239FD" w:rsidP="004426B4">
      <w:pPr>
        <w:spacing w:line="300" w:lineRule="auto"/>
        <w:ind w:left="567" w:right="567"/>
        <w:jc w:val="both"/>
        <w:rPr>
          <w:rFonts w:ascii="Palatino Linotype" w:hAnsi="Palatino Linotype" w:cstheme="minorHAnsi"/>
          <w:sz w:val="22"/>
          <w:szCs w:val="22"/>
        </w:rPr>
      </w:pPr>
      <w:bookmarkStart w:id="0" w:name="OLE_LINK5"/>
      <w:bookmarkStart w:id="1" w:name="OLE_LINK6"/>
      <w:r>
        <w:rPr>
          <w:rFonts w:ascii="Palatino Linotype" w:hAnsi="Palatino Linotype" w:cstheme="minorHAnsi"/>
          <w:sz w:val="22"/>
          <w:szCs w:val="22"/>
        </w:rPr>
        <w:t>2020 yılının dördüncü çeyreğin</w:t>
      </w:r>
      <w:r w:rsidR="005150C1">
        <w:rPr>
          <w:rFonts w:ascii="Palatino Linotype" w:hAnsi="Palatino Linotype" w:cstheme="minorHAnsi"/>
          <w:sz w:val="22"/>
          <w:szCs w:val="22"/>
        </w:rPr>
        <w:t>in son ayında</w:t>
      </w:r>
      <w:r>
        <w:rPr>
          <w:rFonts w:ascii="Palatino Linotype" w:hAnsi="Palatino Linotype" w:cstheme="minorHAnsi"/>
          <w:sz w:val="22"/>
          <w:szCs w:val="22"/>
        </w:rPr>
        <w:t xml:space="preserve"> salgın önlemleri tekrar uygulanmaya başladı. Ekonomik faaliyetlerin yasaklara dahil edilmemesi </w:t>
      </w:r>
      <w:r w:rsidR="004426B4">
        <w:rPr>
          <w:rFonts w:ascii="Palatino Linotype" w:hAnsi="Palatino Linotype" w:cstheme="minorHAnsi"/>
          <w:sz w:val="22"/>
          <w:szCs w:val="22"/>
        </w:rPr>
        <w:t>bu çeyrekte ekonomi</w:t>
      </w:r>
      <w:r w:rsidR="005150C1">
        <w:rPr>
          <w:rFonts w:ascii="Palatino Linotype" w:hAnsi="Palatino Linotype" w:cstheme="minorHAnsi"/>
          <w:sz w:val="22"/>
          <w:szCs w:val="22"/>
        </w:rPr>
        <w:t>k büyümenin bu önlemlerden etkilenmemesini sağladı</w:t>
      </w:r>
      <w:r w:rsidR="004426B4">
        <w:rPr>
          <w:rFonts w:ascii="Palatino Linotype" w:hAnsi="Palatino Linotype" w:cstheme="minorHAnsi"/>
          <w:sz w:val="22"/>
          <w:szCs w:val="22"/>
        </w:rPr>
        <w:t xml:space="preserve">. </w:t>
      </w:r>
      <w:r w:rsidR="008753B3">
        <w:rPr>
          <w:rFonts w:ascii="Palatino Linotype" w:hAnsi="Palatino Linotype" w:cstheme="minorHAnsi"/>
          <w:sz w:val="22"/>
          <w:szCs w:val="22"/>
        </w:rPr>
        <w:t>Harcama yöntemiyle GSYH’yi oluşturan alt kalemler</w:t>
      </w:r>
      <w:r w:rsidR="000D70D1">
        <w:rPr>
          <w:rFonts w:ascii="Palatino Linotype" w:hAnsi="Palatino Linotype" w:cstheme="minorHAnsi"/>
          <w:sz w:val="22"/>
          <w:szCs w:val="22"/>
        </w:rPr>
        <w:t>de ihracat haricinde</w:t>
      </w:r>
      <w:r w:rsidR="008753B3">
        <w:rPr>
          <w:rFonts w:ascii="Palatino Linotype" w:hAnsi="Palatino Linotype" w:cstheme="minorHAnsi"/>
          <w:sz w:val="22"/>
          <w:szCs w:val="22"/>
        </w:rPr>
        <w:t xml:space="preserve"> ciddi </w:t>
      </w:r>
      <w:r w:rsidR="000D70D1">
        <w:rPr>
          <w:rFonts w:ascii="Palatino Linotype" w:hAnsi="Palatino Linotype" w:cstheme="minorHAnsi"/>
          <w:sz w:val="22"/>
          <w:szCs w:val="22"/>
        </w:rPr>
        <w:t>artışlar yaşandı.</w:t>
      </w:r>
      <w:r w:rsidR="008753B3">
        <w:rPr>
          <w:rFonts w:ascii="Palatino Linotype" w:hAnsi="Palatino Linotype" w:cstheme="minorHAnsi"/>
          <w:sz w:val="22"/>
          <w:szCs w:val="22"/>
        </w:rPr>
        <w:t xml:space="preserve"> 2020 yılının </w:t>
      </w:r>
      <w:r w:rsidR="004426B4">
        <w:rPr>
          <w:rFonts w:ascii="Palatino Linotype" w:hAnsi="Palatino Linotype" w:cstheme="minorHAnsi"/>
          <w:sz w:val="22"/>
          <w:szCs w:val="22"/>
        </w:rPr>
        <w:t>dördüncü</w:t>
      </w:r>
      <w:r w:rsidR="008753B3">
        <w:rPr>
          <w:rFonts w:ascii="Palatino Linotype" w:hAnsi="Palatino Linotype" w:cstheme="minorHAnsi"/>
          <w:sz w:val="22"/>
          <w:szCs w:val="22"/>
        </w:rPr>
        <w:t xml:space="preserve"> çeyreğinde bir önceki yılın aynı dönemine göre özel tüketim yüzde </w:t>
      </w:r>
      <w:r w:rsidR="004426B4">
        <w:rPr>
          <w:rFonts w:ascii="Palatino Linotype" w:hAnsi="Palatino Linotype" w:cstheme="minorHAnsi"/>
          <w:sz w:val="22"/>
          <w:szCs w:val="22"/>
        </w:rPr>
        <w:t>8</w:t>
      </w:r>
      <w:r w:rsidR="008753B3">
        <w:rPr>
          <w:rFonts w:ascii="Palatino Linotype" w:hAnsi="Palatino Linotype" w:cstheme="minorHAnsi"/>
          <w:sz w:val="22"/>
          <w:szCs w:val="22"/>
        </w:rPr>
        <w:t>,</w:t>
      </w:r>
      <w:r w:rsidR="000D70D1">
        <w:rPr>
          <w:rFonts w:ascii="Palatino Linotype" w:hAnsi="Palatino Linotype" w:cstheme="minorHAnsi"/>
          <w:sz w:val="22"/>
          <w:szCs w:val="22"/>
        </w:rPr>
        <w:t>2</w:t>
      </w:r>
      <w:r w:rsidR="008753B3">
        <w:rPr>
          <w:rFonts w:ascii="Palatino Linotype" w:hAnsi="Palatino Linotype" w:cstheme="minorHAnsi"/>
          <w:sz w:val="22"/>
          <w:szCs w:val="22"/>
        </w:rPr>
        <w:t xml:space="preserve">, kamu harcamaları yüzde </w:t>
      </w:r>
      <w:r w:rsidR="004426B4">
        <w:rPr>
          <w:rFonts w:ascii="Palatino Linotype" w:hAnsi="Palatino Linotype" w:cstheme="minorHAnsi"/>
          <w:sz w:val="22"/>
          <w:szCs w:val="22"/>
        </w:rPr>
        <w:t>6</w:t>
      </w:r>
      <w:r w:rsidR="008753B3">
        <w:rPr>
          <w:rFonts w:ascii="Palatino Linotype" w:hAnsi="Palatino Linotype" w:cstheme="minorHAnsi"/>
          <w:sz w:val="22"/>
          <w:szCs w:val="22"/>
        </w:rPr>
        <w:t>,</w:t>
      </w:r>
      <w:r w:rsidR="004426B4">
        <w:rPr>
          <w:rFonts w:ascii="Palatino Linotype" w:hAnsi="Palatino Linotype" w:cstheme="minorHAnsi"/>
          <w:sz w:val="22"/>
          <w:szCs w:val="22"/>
        </w:rPr>
        <w:t>6</w:t>
      </w:r>
      <w:r w:rsidR="000D70D1">
        <w:rPr>
          <w:rFonts w:ascii="Palatino Linotype" w:hAnsi="Palatino Linotype" w:cstheme="minorHAnsi"/>
          <w:sz w:val="22"/>
          <w:szCs w:val="22"/>
        </w:rPr>
        <w:t xml:space="preserve"> ve</w:t>
      </w:r>
      <w:r w:rsidR="008753B3">
        <w:rPr>
          <w:rFonts w:ascii="Palatino Linotype" w:hAnsi="Palatino Linotype" w:cstheme="minorHAnsi"/>
          <w:sz w:val="22"/>
          <w:szCs w:val="22"/>
        </w:rPr>
        <w:t xml:space="preserve"> yatırımlar yüzde </w:t>
      </w:r>
      <w:r w:rsidR="004426B4">
        <w:rPr>
          <w:rFonts w:ascii="Palatino Linotype" w:hAnsi="Palatino Linotype" w:cstheme="minorHAnsi"/>
          <w:sz w:val="22"/>
          <w:szCs w:val="22"/>
        </w:rPr>
        <w:t>10</w:t>
      </w:r>
      <w:r w:rsidR="008753B3">
        <w:rPr>
          <w:rFonts w:ascii="Palatino Linotype" w:hAnsi="Palatino Linotype" w:cstheme="minorHAnsi"/>
          <w:sz w:val="22"/>
          <w:szCs w:val="22"/>
        </w:rPr>
        <w:t>,</w:t>
      </w:r>
      <w:r w:rsidR="004426B4">
        <w:rPr>
          <w:rFonts w:ascii="Palatino Linotype" w:hAnsi="Palatino Linotype" w:cstheme="minorHAnsi"/>
          <w:sz w:val="22"/>
          <w:szCs w:val="22"/>
        </w:rPr>
        <w:t>3</w:t>
      </w:r>
      <w:r w:rsidR="000D70D1">
        <w:rPr>
          <w:rFonts w:ascii="Palatino Linotype" w:hAnsi="Palatino Linotype" w:cstheme="minorHAnsi"/>
          <w:sz w:val="22"/>
          <w:szCs w:val="22"/>
        </w:rPr>
        <w:t xml:space="preserve"> artarak büyümeyi olumlu etkilerken</w:t>
      </w:r>
      <w:r w:rsidR="008753B3">
        <w:rPr>
          <w:rFonts w:ascii="Palatino Linotype" w:hAnsi="Palatino Linotype" w:cstheme="minorHAnsi"/>
          <w:sz w:val="22"/>
          <w:szCs w:val="22"/>
        </w:rPr>
        <w:t xml:space="preserve"> ihracat</w:t>
      </w:r>
      <w:r w:rsidR="000F378E">
        <w:rPr>
          <w:rFonts w:ascii="Palatino Linotype" w:hAnsi="Palatino Linotype" w:cstheme="minorHAnsi"/>
          <w:sz w:val="22"/>
          <w:szCs w:val="22"/>
        </w:rPr>
        <w:t xml:space="preserve"> sabit kalarak büyümey</w:t>
      </w:r>
      <w:r w:rsidR="005150C1">
        <w:rPr>
          <w:rFonts w:ascii="Palatino Linotype" w:hAnsi="Palatino Linotype" w:cstheme="minorHAnsi"/>
          <w:sz w:val="22"/>
          <w:szCs w:val="22"/>
        </w:rPr>
        <w:t>e katkı yapmadı</w:t>
      </w:r>
      <w:r w:rsidR="000F378E">
        <w:rPr>
          <w:rFonts w:ascii="Palatino Linotype" w:hAnsi="Palatino Linotype" w:cstheme="minorHAnsi"/>
          <w:sz w:val="22"/>
          <w:szCs w:val="22"/>
        </w:rPr>
        <w:t>.</w:t>
      </w:r>
      <w:r w:rsidR="000D70D1">
        <w:rPr>
          <w:rFonts w:ascii="Palatino Linotype" w:hAnsi="Palatino Linotype" w:cstheme="minorHAnsi"/>
          <w:sz w:val="22"/>
          <w:szCs w:val="22"/>
        </w:rPr>
        <w:t xml:space="preserve"> </w:t>
      </w:r>
      <w:r w:rsidR="000F378E">
        <w:rPr>
          <w:rFonts w:ascii="Palatino Linotype" w:hAnsi="Palatino Linotype" w:cstheme="minorHAnsi"/>
          <w:sz w:val="22"/>
          <w:szCs w:val="22"/>
        </w:rPr>
        <w:t>İ</w:t>
      </w:r>
      <w:r w:rsidR="000D70D1">
        <w:rPr>
          <w:rFonts w:ascii="Palatino Linotype" w:hAnsi="Palatino Linotype" w:cstheme="minorHAnsi"/>
          <w:sz w:val="22"/>
          <w:szCs w:val="22"/>
        </w:rPr>
        <w:t xml:space="preserve">thalattaki yüzde </w:t>
      </w:r>
      <w:r w:rsidR="000F378E">
        <w:rPr>
          <w:rFonts w:ascii="Palatino Linotype" w:hAnsi="Palatino Linotype" w:cstheme="minorHAnsi"/>
          <w:sz w:val="22"/>
          <w:szCs w:val="22"/>
        </w:rPr>
        <w:t>2</w:t>
      </w:r>
      <w:r w:rsidR="000D70D1">
        <w:rPr>
          <w:rFonts w:ascii="Palatino Linotype" w:hAnsi="Palatino Linotype" w:cstheme="minorHAnsi"/>
          <w:sz w:val="22"/>
          <w:szCs w:val="22"/>
        </w:rPr>
        <w:t>,</w:t>
      </w:r>
      <w:r w:rsidR="000F378E">
        <w:rPr>
          <w:rFonts w:ascii="Palatino Linotype" w:hAnsi="Palatino Linotype" w:cstheme="minorHAnsi"/>
          <w:sz w:val="22"/>
          <w:szCs w:val="22"/>
        </w:rPr>
        <w:t>5</w:t>
      </w:r>
      <w:r w:rsidR="000D70D1">
        <w:rPr>
          <w:rFonts w:ascii="Palatino Linotype" w:hAnsi="Palatino Linotype" w:cstheme="minorHAnsi"/>
          <w:sz w:val="22"/>
          <w:szCs w:val="22"/>
        </w:rPr>
        <w:t xml:space="preserve">’lik artış </w:t>
      </w:r>
      <w:r w:rsidR="000F378E">
        <w:rPr>
          <w:rFonts w:ascii="Palatino Linotype" w:hAnsi="Palatino Linotype" w:cstheme="minorHAnsi"/>
          <w:sz w:val="22"/>
          <w:szCs w:val="22"/>
        </w:rPr>
        <w:t xml:space="preserve">ise </w:t>
      </w:r>
      <w:r w:rsidR="000D70D1">
        <w:rPr>
          <w:rFonts w:ascii="Palatino Linotype" w:hAnsi="Palatino Linotype" w:cstheme="minorHAnsi"/>
          <w:sz w:val="22"/>
          <w:szCs w:val="22"/>
        </w:rPr>
        <w:t>büyümeyi baskıladı.</w:t>
      </w:r>
      <w:r w:rsidR="008753B3">
        <w:rPr>
          <w:rFonts w:ascii="Palatino Linotype" w:hAnsi="Palatino Linotype" w:cstheme="minorHAnsi"/>
          <w:sz w:val="22"/>
          <w:szCs w:val="22"/>
        </w:rPr>
        <w:t xml:space="preserve"> Böylece GSYH yıllık bazda yüzde </w:t>
      </w:r>
      <w:r w:rsidR="000F378E">
        <w:rPr>
          <w:rFonts w:ascii="Palatino Linotype" w:hAnsi="Palatino Linotype" w:cstheme="minorHAnsi"/>
          <w:sz w:val="22"/>
          <w:szCs w:val="22"/>
        </w:rPr>
        <w:t>5</w:t>
      </w:r>
      <w:r w:rsidR="008753B3">
        <w:rPr>
          <w:rFonts w:ascii="Palatino Linotype" w:hAnsi="Palatino Linotype" w:cstheme="minorHAnsi"/>
          <w:sz w:val="22"/>
          <w:szCs w:val="22"/>
        </w:rPr>
        <w:t>,</w:t>
      </w:r>
      <w:r w:rsidR="000F378E">
        <w:rPr>
          <w:rFonts w:ascii="Palatino Linotype" w:hAnsi="Palatino Linotype" w:cstheme="minorHAnsi"/>
          <w:sz w:val="22"/>
          <w:szCs w:val="22"/>
        </w:rPr>
        <w:t>9</w:t>
      </w:r>
      <w:r w:rsidR="008753B3">
        <w:rPr>
          <w:rFonts w:ascii="Palatino Linotype" w:hAnsi="Palatino Linotype" w:cstheme="minorHAnsi"/>
          <w:sz w:val="22"/>
          <w:szCs w:val="22"/>
        </w:rPr>
        <w:t xml:space="preserve"> </w:t>
      </w:r>
      <w:r w:rsidR="000D70D1">
        <w:rPr>
          <w:rFonts w:ascii="Palatino Linotype" w:hAnsi="Palatino Linotype" w:cstheme="minorHAnsi"/>
          <w:sz w:val="22"/>
          <w:szCs w:val="22"/>
        </w:rPr>
        <w:t>büyüd</w:t>
      </w:r>
      <w:r w:rsidR="008753B3">
        <w:rPr>
          <w:rFonts w:ascii="Palatino Linotype" w:hAnsi="Palatino Linotype" w:cstheme="minorHAnsi"/>
          <w:sz w:val="22"/>
          <w:szCs w:val="22"/>
        </w:rPr>
        <w:t xml:space="preserve">ü. Mevsim ve takvim etkisinden arındırılmış serilere göre ise </w:t>
      </w:r>
      <w:r w:rsidR="00DA618C">
        <w:rPr>
          <w:rFonts w:ascii="Palatino Linotype" w:hAnsi="Palatino Linotype" w:cstheme="minorHAnsi"/>
          <w:sz w:val="22"/>
          <w:szCs w:val="22"/>
        </w:rPr>
        <w:t>özel tüketim (yüzde</w:t>
      </w:r>
      <w:r w:rsidR="000F378E">
        <w:rPr>
          <w:rFonts w:ascii="Palatino Linotype" w:hAnsi="Palatino Linotype" w:cstheme="minorHAnsi"/>
          <w:sz w:val="22"/>
          <w:szCs w:val="22"/>
        </w:rPr>
        <w:t xml:space="preserve"> 0</w:t>
      </w:r>
      <w:r w:rsidR="00DA618C">
        <w:rPr>
          <w:rFonts w:ascii="Palatino Linotype" w:hAnsi="Palatino Linotype" w:cstheme="minorHAnsi"/>
          <w:sz w:val="22"/>
          <w:szCs w:val="22"/>
        </w:rPr>
        <w:t>,</w:t>
      </w:r>
      <w:r w:rsidR="000F378E">
        <w:rPr>
          <w:rFonts w:ascii="Palatino Linotype" w:hAnsi="Palatino Linotype" w:cstheme="minorHAnsi"/>
          <w:sz w:val="22"/>
          <w:szCs w:val="22"/>
        </w:rPr>
        <w:t>8</w:t>
      </w:r>
      <w:r w:rsidR="00DA618C">
        <w:rPr>
          <w:rFonts w:ascii="Palatino Linotype" w:hAnsi="Palatino Linotype" w:cstheme="minorHAnsi"/>
          <w:sz w:val="22"/>
          <w:szCs w:val="22"/>
        </w:rPr>
        <w:t xml:space="preserve">), kamu harcamaları (yüzde </w:t>
      </w:r>
      <w:r w:rsidR="000F378E">
        <w:rPr>
          <w:rFonts w:ascii="Palatino Linotype" w:hAnsi="Palatino Linotype" w:cstheme="minorHAnsi"/>
          <w:sz w:val="22"/>
          <w:szCs w:val="22"/>
        </w:rPr>
        <w:t>3</w:t>
      </w:r>
      <w:r w:rsidR="00DA618C">
        <w:rPr>
          <w:rFonts w:ascii="Palatino Linotype" w:hAnsi="Palatino Linotype" w:cstheme="minorHAnsi"/>
          <w:sz w:val="22"/>
          <w:szCs w:val="22"/>
        </w:rPr>
        <w:t>,</w:t>
      </w:r>
      <w:r w:rsidR="000F378E">
        <w:rPr>
          <w:rFonts w:ascii="Palatino Linotype" w:hAnsi="Palatino Linotype" w:cstheme="minorHAnsi"/>
          <w:sz w:val="22"/>
          <w:szCs w:val="22"/>
        </w:rPr>
        <w:t>6</w:t>
      </w:r>
      <w:r w:rsidR="00DA618C">
        <w:rPr>
          <w:rFonts w:ascii="Palatino Linotype" w:hAnsi="Palatino Linotype" w:cstheme="minorHAnsi"/>
          <w:sz w:val="22"/>
          <w:szCs w:val="22"/>
        </w:rPr>
        <w:t>)</w:t>
      </w:r>
      <w:r w:rsidR="000F378E">
        <w:rPr>
          <w:rFonts w:ascii="Palatino Linotype" w:hAnsi="Palatino Linotype" w:cstheme="minorHAnsi"/>
          <w:sz w:val="22"/>
          <w:szCs w:val="22"/>
        </w:rPr>
        <w:t>,</w:t>
      </w:r>
      <w:r w:rsidR="00DA618C">
        <w:rPr>
          <w:rFonts w:ascii="Palatino Linotype" w:hAnsi="Palatino Linotype" w:cstheme="minorHAnsi"/>
          <w:sz w:val="22"/>
          <w:szCs w:val="22"/>
        </w:rPr>
        <w:t xml:space="preserve"> ihracat (yüzde </w:t>
      </w:r>
      <w:r w:rsidR="000F378E">
        <w:rPr>
          <w:rFonts w:ascii="Palatino Linotype" w:hAnsi="Palatino Linotype" w:cstheme="minorHAnsi"/>
          <w:sz w:val="22"/>
          <w:szCs w:val="22"/>
        </w:rPr>
        <w:t>18</w:t>
      </w:r>
      <w:r w:rsidR="00DA618C">
        <w:rPr>
          <w:rFonts w:ascii="Palatino Linotype" w:hAnsi="Palatino Linotype" w:cstheme="minorHAnsi"/>
          <w:sz w:val="22"/>
          <w:szCs w:val="22"/>
        </w:rPr>
        <w:t>,</w:t>
      </w:r>
      <w:r w:rsidR="000F378E">
        <w:rPr>
          <w:rFonts w:ascii="Palatino Linotype" w:hAnsi="Palatino Linotype" w:cstheme="minorHAnsi"/>
          <w:sz w:val="22"/>
          <w:szCs w:val="22"/>
        </w:rPr>
        <w:t>9</w:t>
      </w:r>
      <w:r w:rsidR="00DA618C">
        <w:rPr>
          <w:rFonts w:ascii="Palatino Linotype" w:hAnsi="Palatino Linotype" w:cstheme="minorHAnsi"/>
          <w:sz w:val="22"/>
          <w:szCs w:val="22"/>
        </w:rPr>
        <w:t>)</w:t>
      </w:r>
      <w:r w:rsidR="000F378E">
        <w:rPr>
          <w:rFonts w:ascii="Palatino Linotype" w:hAnsi="Palatino Linotype" w:cstheme="minorHAnsi"/>
          <w:sz w:val="22"/>
          <w:szCs w:val="22"/>
        </w:rPr>
        <w:t xml:space="preserve"> ve ithalat (yüzde 0,2)</w:t>
      </w:r>
      <w:r w:rsidR="00DA618C">
        <w:rPr>
          <w:rFonts w:ascii="Palatino Linotype" w:hAnsi="Palatino Linotype" w:cstheme="minorHAnsi"/>
          <w:sz w:val="22"/>
          <w:szCs w:val="22"/>
        </w:rPr>
        <w:t xml:space="preserve"> bir önceki çeyreğe göre </w:t>
      </w:r>
      <w:r w:rsidR="000D70D1">
        <w:rPr>
          <w:rFonts w:ascii="Palatino Linotype" w:hAnsi="Palatino Linotype" w:cstheme="minorHAnsi"/>
          <w:sz w:val="22"/>
          <w:szCs w:val="22"/>
        </w:rPr>
        <w:t>artış kayde</w:t>
      </w:r>
      <w:r w:rsidR="000F378E">
        <w:rPr>
          <w:rFonts w:ascii="Palatino Linotype" w:hAnsi="Palatino Linotype" w:cstheme="minorHAnsi"/>
          <w:sz w:val="22"/>
          <w:szCs w:val="22"/>
        </w:rPr>
        <w:t>derken yatırımlar (yüzde eksi 2,7) ise daraldı.</w:t>
      </w:r>
    </w:p>
    <w:p w14:paraId="755C1EDE" w14:textId="5B8C4BC4" w:rsidR="00DA618C" w:rsidRPr="00CC0355" w:rsidRDefault="000F378E"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 xml:space="preserve">Ekim ve Kasım aylarında herhangi bir salgın tedbirinin olmaması ve </w:t>
      </w:r>
      <w:proofErr w:type="gramStart"/>
      <w:r>
        <w:rPr>
          <w:rFonts w:ascii="Palatino Linotype" w:hAnsi="Palatino Linotype" w:cstheme="minorHAnsi"/>
          <w:sz w:val="22"/>
          <w:szCs w:val="22"/>
        </w:rPr>
        <w:t>Aralık</w:t>
      </w:r>
      <w:proofErr w:type="gramEnd"/>
      <w:r>
        <w:rPr>
          <w:rFonts w:ascii="Palatino Linotype" w:hAnsi="Palatino Linotype" w:cstheme="minorHAnsi"/>
          <w:sz w:val="22"/>
          <w:szCs w:val="22"/>
        </w:rPr>
        <w:t xml:space="preserve"> başında alınan yeni önlemlerin ise hafta sonları ile sınırlanarak ekonomik faaliyetlerin yasaklardan muaf tutulması sonucunda dördüncü çeyrekte önemli bir büyüme elde edildi. Türkiye 2020 yılı genelinde ekonomik büyüme kaydeden az sayıda ülkeden birisi oldu (2020 yılında bir önceki yıla göre yüzde 1,8). </w:t>
      </w:r>
      <w:r w:rsidR="00A251CD">
        <w:rPr>
          <w:rFonts w:ascii="Palatino Linotype" w:hAnsi="Palatino Linotype" w:cstheme="minorHAnsi"/>
          <w:sz w:val="22"/>
          <w:szCs w:val="22"/>
        </w:rPr>
        <w:t xml:space="preserve">Mart itibariyle kademeli olarak yeniden normalleşmeye </w:t>
      </w:r>
      <w:r w:rsidR="005150C1">
        <w:rPr>
          <w:rFonts w:ascii="Palatino Linotype" w:hAnsi="Palatino Linotype" w:cstheme="minorHAnsi"/>
          <w:sz w:val="22"/>
          <w:szCs w:val="22"/>
        </w:rPr>
        <w:t xml:space="preserve">sürecinin başlaması ile </w:t>
      </w:r>
      <w:r w:rsidR="00A251CD">
        <w:rPr>
          <w:rFonts w:ascii="Palatino Linotype" w:hAnsi="Palatino Linotype" w:cstheme="minorHAnsi"/>
          <w:sz w:val="22"/>
          <w:szCs w:val="22"/>
        </w:rPr>
        <w:t>2021’in ilk çeyreğinde de ekonomik toparlanmanın sürmesini bekliyoruz.</w:t>
      </w:r>
    </w:p>
    <w:bookmarkEnd w:id="0"/>
    <w:bookmarkEnd w:id="1"/>
    <w:p w14:paraId="225AD36F" w14:textId="60F6130D" w:rsidR="00C1422A" w:rsidRPr="00CC0355" w:rsidRDefault="00DA618C" w:rsidP="00C1422A">
      <w:pPr>
        <w:keepNext/>
        <w:ind w:right="77"/>
        <w:jc w:val="both"/>
        <w:rPr>
          <w:rFonts w:ascii="Palatino Linotype" w:hAnsi="Palatino Linotype" w:cstheme="minorHAnsi"/>
          <w:b/>
          <w:bCs/>
          <w:sz w:val="22"/>
          <w:szCs w:val="22"/>
        </w:rPr>
      </w:pPr>
      <w:r>
        <w:rPr>
          <w:rFonts w:ascii="Palatino Linotype" w:hAnsi="Palatino Linotype" w:cstheme="minorHAnsi"/>
          <w:sz w:val="22"/>
          <w:szCs w:val="22"/>
        </w:rPr>
        <w:lastRenderedPageBreak/>
        <w:t xml:space="preserve"> </w:t>
      </w:r>
      <w:r w:rsidR="001004FF" w:rsidRPr="00CC0355">
        <w:rPr>
          <w:rFonts w:ascii="Palatino Linotype" w:hAnsi="Palatino Linotype" w:cstheme="minorHAnsi"/>
          <w:sz w:val="22"/>
          <w:szCs w:val="22"/>
        </w:rPr>
        <w:br/>
      </w:r>
      <w:r w:rsidR="00C1422A" w:rsidRPr="00CC0355">
        <w:rPr>
          <w:rFonts w:ascii="Palatino Linotype" w:hAnsi="Palatino Linotype" w:cstheme="minorHAnsi"/>
          <w:b/>
          <w:bCs/>
          <w:sz w:val="22"/>
          <w:szCs w:val="22"/>
        </w:rPr>
        <w:t>Şekil 1: GSYH alt kalemlerinin 20</w:t>
      </w:r>
      <w:r w:rsidR="00BB0912">
        <w:rPr>
          <w:rFonts w:ascii="Palatino Linotype" w:hAnsi="Palatino Linotype" w:cstheme="minorHAnsi"/>
          <w:b/>
          <w:bCs/>
          <w:sz w:val="22"/>
          <w:szCs w:val="22"/>
        </w:rPr>
        <w:t>20</w:t>
      </w:r>
      <w:r w:rsidR="00C1422A" w:rsidRPr="00CC0355">
        <w:rPr>
          <w:rFonts w:ascii="Palatino Linotype" w:hAnsi="Palatino Linotype" w:cstheme="minorHAnsi"/>
          <w:b/>
          <w:bCs/>
          <w:sz w:val="22"/>
          <w:szCs w:val="22"/>
        </w:rPr>
        <w:t xml:space="preserve"> </w:t>
      </w:r>
      <w:r w:rsidR="0092349F">
        <w:rPr>
          <w:rFonts w:ascii="Palatino Linotype" w:hAnsi="Palatino Linotype" w:cstheme="minorHAnsi"/>
          <w:b/>
          <w:bCs/>
          <w:sz w:val="22"/>
          <w:szCs w:val="22"/>
        </w:rPr>
        <w:t>3</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EBAF940" w:rsidR="00C1422A" w:rsidRPr="00CC0355" w:rsidRDefault="00E265D5" w:rsidP="00C1422A">
      <w:pPr>
        <w:keepNext/>
        <w:rPr>
          <w:rFonts w:ascii="Palatino Linotype" w:hAnsi="Palatino Linotype" w:cstheme="minorHAnsi"/>
        </w:rPr>
      </w:pPr>
      <w:r>
        <w:rPr>
          <w:noProof/>
          <w:lang w:eastAsia="en-GB"/>
        </w:rPr>
        <w:drawing>
          <wp:anchor distT="0" distB="0" distL="114300" distR="114300" simplePos="0" relativeHeight="251661312" behindDoc="1" locked="0" layoutInCell="1" allowOverlap="1" wp14:anchorId="1FC1381B" wp14:editId="5444A701">
            <wp:simplePos x="0" y="0"/>
            <wp:positionH relativeFrom="column">
              <wp:posOffset>2986405</wp:posOffset>
            </wp:positionH>
            <wp:positionV relativeFrom="paragraph">
              <wp:posOffset>182880</wp:posOffset>
            </wp:positionV>
            <wp:extent cx="3188335" cy="2457450"/>
            <wp:effectExtent l="0" t="0" r="0" b="0"/>
            <wp:wrapTight wrapText="bothSides">
              <wp:wrapPolygon edited="0">
                <wp:start x="0" y="0"/>
                <wp:lineTo x="0" y="21433"/>
                <wp:lineTo x="21424" y="21433"/>
                <wp:lineTo x="21424"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2457450"/>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17144CE" wp14:editId="1E768EDB">
            <wp:simplePos x="0" y="0"/>
            <wp:positionH relativeFrom="column">
              <wp:posOffset>-366395</wp:posOffset>
            </wp:positionH>
            <wp:positionV relativeFrom="paragraph">
              <wp:posOffset>230505</wp:posOffset>
            </wp:positionV>
            <wp:extent cx="3188335" cy="2438400"/>
            <wp:effectExtent l="0" t="0" r="0" b="0"/>
            <wp:wrapTight wrapText="bothSides">
              <wp:wrapPolygon edited="0">
                <wp:start x="0" y="0"/>
                <wp:lineTo x="0" y="21431"/>
                <wp:lineTo x="21424" y="21431"/>
                <wp:lineTo x="21424"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2438400"/>
                    </a:xfrm>
                    <a:prstGeom prst="rect">
                      <a:avLst/>
                    </a:prstGeom>
                    <a:noFill/>
                  </pic:spPr>
                </pic:pic>
              </a:graphicData>
            </a:graphic>
            <wp14:sizeRelV relativeFrom="margin">
              <wp14:pctHeight>0</wp14:pctHeight>
            </wp14:sizeRelV>
          </wp:anchor>
        </w:drawing>
      </w:r>
    </w:p>
    <w:p w14:paraId="27DDFB67" w14:textId="32EFD072" w:rsidR="00C1422A" w:rsidRPr="00CC0355" w:rsidRDefault="00C1422A" w:rsidP="00E265D5">
      <w:pPr>
        <w:keepNext/>
        <w:ind w:right="-567"/>
        <w:rPr>
          <w:rFonts w:ascii="Palatino Linotype" w:hAnsi="Palatino Linotype" w:cstheme="minorHAnsi"/>
        </w:rPr>
      </w:pPr>
      <w:r w:rsidRPr="00CC0355">
        <w:rPr>
          <w:noProof/>
          <w:lang w:eastAsia="en-GB"/>
        </w:rPr>
        <w:t xml:space="preserve"> </w:t>
      </w: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3FF46856"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043FF5A8" w:rsidR="006C3EE6" w:rsidRPr="00CC035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BB3FE6">
        <w:rPr>
          <w:rFonts w:ascii="Palatino Linotype" w:hAnsi="Palatino Linotype" w:cstheme="minorHAnsi"/>
          <w:b/>
          <w:bCs/>
          <w:sz w:val="22"/>
          <w:szCs w:val="22"/>
        </w:rPr>
        <w:t>de artış</w:t>
      </w:r>
    </w:p>
    <w:p w14:paraId="6CC05D02" w14:textId="2EAD947D" w:rsidR="003F00A9" w:rsidRPr="00CC0355" w:rsidRDefault="003C267D" w:rsidP="003F00A9">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2020 yılının </w:t>
      </w:r>
      <w:r w:rsidR="00087011">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67066F">
        <w:rPr>
          <w:rFonts w:ascii="Palatino Linotype" w:hAnsi="Palatino Linotype" w:cstheme="minorHAnsi"/>
          <w:sz w:val="22"/>
          <w:szCs w:val="22"/>
        </w:rPr>
        <w:t>, yıllık bazda,</w:t>
      </w:r>
      <w:r>
        <w:rPr>
          <w:rFonts w:ascii="Palatino Linotype" w:hAnsi="Palatino Linotype" w:cstheme="minorHAnsi"/>
          <w:sz w:val="22"/>
          <w:szCs w:val="22"/>
        </w:rPr>
        <w:t xml:space="preserve"> yüzde </w:t>
      </w:r>
      <w:r w:rsidR="00DC2AAD">
        <w:rPr>
          <w:rFonts w:ascii="Palatino Linotype" w:hAnsi="Palatino Linotype" w:cstheme="minorHAnsi"/>
          <w:sz w:val="22"/>
          <w:szCs w:val="22"/>
        </w:rPr>
        <w:t>8</w:t>
      </w:r>
      <w:r>
        <w:rPr>
          <w:rFonts w:ascii="Palatino Linotype" w:hAnsi="Palatino Linotype" w:cstheme="minorHAnsi"/>
          <w:sz w:val="22"/>
          <w:szCs w:val="22"/>
        </w:rPr>
        <w:t>,</w:t>
      </w:r>
      <w:r w:rsidR="00087011">
        <w:rPr>
          <w:rFonts w:ascii="Palatino Linotype" w:hAnsi="Palatino Linotype" w:cstheme="minorHAnsi"/>
          <w:sz w:val="22"/>
          <w:szCs w:val="22"/>
        </w:rPr>
        <w:t>5</w:t>
      </w:r>
      <w:r>
        <w:rPr>
          <w:rFonts w:ascii="Palatino Linotype" w:hAnsi="Palatino Linotype" w:cstheme="minorHAnsi"/>
          <w:sz w:val="22"/>
          <w:szCs w:val="22"/>
        </w:rPr>
        <w:t xml:space="preserve"> </w:t>
      </w:r>
      <w:r w:rsidR="00087011">
        <w:rPr>
          <w:rFonts w:ascii="Palatino Linotype" w:hAnsi="Palatino Linotype" w:cstheme="minorHAnsi"/>
          <w:sz w:val="22"/>
          <w:szCs w:val="22"/>
        </w:rPr>
        <w:t>artan</w:t>
      </w:r>
      <w:r w:rsidR="003F00A9" w:rsidRPr="00CC0355">
        <w:rPr>
          <w:rFonts w:ascii="Palatino Linotype" w:hAnsi="Palatino Linotype" w:cstheme="minorHAnsi"/>
          <w:sz w:val="22"/>
          <w:szCs w:val="22"/>
        </w:rPr>
        <w:t xml:space="preserve"> özel tüketim </w:t>
      </w:r>
      <w:r w:rsidR="00087011">
        <w:rPr>
          <w:rFonts w:ascii="Palatino Linotype" w:hAnsi="Palatino Linotype" w:cstheme="minorHAnsi"/>
          <w:sz w:val="22"/>
          <w:szCs w:val="22"/>
        </w:rPr>
        <w:t>dördüncü</w:t>
      </w:r>
      <w:r w:rsidR="003F00A9" w:rsidRPr="00CC0355">
        <w:rPr>
          <w:rFonts w:ascii="Palatino Linotype" w:hAnsi="Palatino Linotype" w:cstheme="minorHAnsi"/>
          <w:sz w:val="22"/>
          <w:szCs w:val="22"/>
        </w:rPr>
        <w:t xml:space="preserve"> çeyrekte</w:t>
      </w:r>
      <w:r>
        <w:rPr>
          <w:rFonts w:ascii="Palatino Linotype" w:hAnsi="Palatino Linotype" w:cstheme="minorHAnsi"/>
          <w:sz w:val="22"/>
          <w:szCs w:val="22"/>
        </w:rPr>
        <w:t xml:space="preserve"> </w:t>
      </w:r>
      <w:r w:rsidR="00087011">
        <w:rPr>
          <w:rFonts w:ascii="Palatino Linotype" w:hAnsi="Palatino Linotype" w:cstheme="minorHAnsi"/>
          <w:sz w:val="22"/>
          <w:szCs w:val="22"/>
        </w:rPr>
        <w:t>de neredeyse aynı hızda,</w:t>
      </w:r>
      <w:r w:rsidR="003F00A9" w:rsidRPr="00CC0355">
        <w:rPr>
          <w:rFonts w:ascii="Palatino Linotype" w:hAnsi="Palatino Linotype" w:cstheme="minorHAnsi"/>
          <w:sz w:val="22"/>
          <w:szCs w:val="22"/>
        </w:rPr>
        <w:t xml:space="preserve"> yüzde </w:t>
      </w:r>
      <w:r w:rsidR="00087011">
        <w:rPr>
          <w:rFonts w:ascii="Palatino Linotype" w:hAnsi="Palatino Linotype" w:cstheme="minorHAnsi"/>
          <w:sz w:val="22"/>
          <w:szCs w:val="22"/>
        </w:rPr>
        <w:t>8</w:t>
      </w:r>
      <w:r w:rsidR="003F00A9" w:rsidRPr="00CC0355">
        <w:rPr>
          <w:rFonts w:ascii="Palatino Linotype" w:hAnsi="Palatino Linotype" w:cstheme="minorHAnsi"/>
          <w:sz w:val="22"/>
          <w:szCs w:val="22"/>
        </w:rPr>
        <w:t>,</w:t>
      </w:r>
      <w:r w:rsidR="00DC2AAD">
        <w:rPr>
          <w:rFonts w:ascii="Palatino Linotype" w:hAnsi="Palatino Linotype" w:cstheme="minorHAnsi"/>
          <w:sz w:val="22"/>
          <w:szCs w:val="22"/>
        </w:rPr>
        <w:t>2</w:t>
      </w:r>
      <w:r w:rsidR="00087011">
        <w:rPr>
          <w:rFonts w:ascii="Palatino Linotype" w:hAnsi="Palatino Linotype" w:cstheme="minorHAnsi"/>
          <w:sz w:val="22"/>
          <w:szCs w:val="22"/>
        </w:rPr>
        <w:t>,</w:t>
      </w:r>
      <w:r w:rsidR="003F00A9" w:rsidRPr="00CC0355">
        <w:rPr>
          <w:rFonts w:ascii="Palatino Linotype" w:hAnsi="Palatino Linotype" w:cstheme="minorHAnsi"/>
          <w:sz w:val="22"/>
          <w:szCs w:val="22"/>
        </w:rPr>
        <w:t xml:space="preserve"> </w:t>
      </w:r>
      <w:r w:rsidR="00DC2AAD">
        <w:rPr>
          <w:rFonts w:ascii="Palatino Linotype" w:hAnsi="Palatino Linotype" w:cstheme="minorHAnsi"/>
          <w:sz w:val="22"/>
          <w:szCs w:val="22"/>
        </w:rPr>
        <w:t>büyüdü</w:t>
      </w:r>
      <w:r w:rsidR="003F00A9" w:rsidRPr="00CC0355">
        <w:rPr>
          <w:rFonts w:ascii="Palatino Linotype" w:hAnsi="Palatino Linotype" w:cstheme="minorHAnsi"/>
          <w:sz w:val="22"/>
          <w:szCs w:val="22"/>
        </w:rPr>
        <w:t xml:space="preserve">. </w:t>
      </w:r>
      <w:r>
        <w:rPr>
          <w:rFonts w:ascii="Palatino Linotype" w:hAnsi="Palatino Linotype" w:cstheme="minorHAnsi"/>
          <w:sz w:val="22"/>
          <w:szCs w:val="22"/>
        </w:rPr>
        <w:t xml:space="preserve">Özel tüketim, 2020 </w:t>
      </w:r>
      <w:r w:rsidR="00DB5EFB">
        <w:rPr>
          <w:rFonts w:ascii="Palatino Linotype" w:hAnsi="Palatino Linotype" w:cstheme="minorHAnsi"/>
          <w:sz w:val="22"/>
          <w:szCs w:val="22"/>
        </w:rPr>
        <w:t xml:space="preserve">yılının </w:t>
      </w:r>
      <w:r w:rsidR="00087011">
        <w:rPr>
          <w:rFonts w:ascii="Palatino Linotype" w:hAnsi="Palatino Linotype" w:cstheme="minorHAnsi"/>
          <w:sz w:val="22"/>
          <w:szCs w:val="22"/>
        </w:rPr>
        <w:t>dördüncü</w:t>
      </w:r>
      <w:r>
        <w:rPr>
          <w:rFonts w:ascii="Palatino Linotype" w:hAnsi="Palatino Linotype" w:cstheme="minorHAnsi"/>
          <w:sz w:val="22"/>
          <w:szCs w:val="22"/>
        </w:rPr>
        <w:t xml:space="preserve"> çeyreğinde, büyümeyi </w:t>
      </w:r>
      <w:r w:rsidR="00087011">
        <w:rPr>
          <w:rFonts w:ascii="Palatino Linotype" w:hAnsi="Palatino Linotype" w:cstheme="minorHAnsi"/>
          <w:sz w:val="22"/>
          <w:szCs w:val="22"/>
        </w:rPr>
        <w:t>4</w:t>
      </w:r>
      <w:r>
        <w:rPr>
          <w:rFonts w:ascii="Palatino Linotype" w:hAnsi="Palatino Linotype" w:cstheme="minorHAnsi"/>
          <w:sz w:val="22"/>
          <w:szCs w:val="22"/>
        </w:rPr>
        <w:t>,</w:t>
      </w:r>
      <w:r w:rsidR="00087011">
        <w:rPr>
          <w:rFonts w:ascii="Palatino Linotype" w:hAnsi="Palatino Linotype" w:cstheme="minorHAnsi"/>
          <w:sz w:val="22"/>
          <w:szCs w:val="22"/>
        </w:rPr>
        <w:t>6</w:t>
      </w:r>
      <w:r>
        <w:rPr>
          <w:rFonts w:ascii="Palatino Linotype" w:hAnsi="Palatino Linotype" w:cstheme="minorHAnsi"/>
          <w:sz w:val="22"/>
          <w:szCs w:val="22"/>
        </w:rPr>
        <w:t xml:space="preserve"> yüzde puan </w:t>
      </w:r>
      <w:r w:rsidR="00DB5EFB">
        <w:rPr>
          <w:rFonts w:ascii="Palatino Linotype" w:hAnsi="Palatino Linotype" w:cstheme="minorHAnsi"/>
          <w:sz w:val="22"/>
          <w:szCs w:val="22"/>
        </w:rPr>
        <w:t>destekledi</w:t>
      </w:r>
      <w:r>
        <w:rPr>
          <w:rFonts w:ascii="Palatino Linotype" w:hAnsi="Palatino Linotype" w:cstheme="minorHAnsi"/>
          <w:sz w:val="22"/>
          <w:szCs w:val="22"/>
        </w:rPr>
        <w:t xml:space="preserve"> (</w:t>
      </w:r>
      <w:r w:rsidR="003F00A9" w:rsidRPr="00CC0355">
        <w:rPr>
          <w:rFonts w:ascii="Palatino Linotype" w:hAnsi="Palatino Linotype" w:cstheme="minorHAnsi"/>
          <w:sz w:val="22"/>
          <w:szCs w:val="22"/>
        </w:rPr>
        <w:t>Tablo 1). Mevsim ve takvim etkilerinden arındırılmış rakamlara baktığımızda ise özel tüketim</w:t>
      </w:r>
      <w:r w:rsidR="0061333E" w:rsidRPr="00CC0355">
        <w:rPr>
          <w:rFonts w:ascii="Palatino Linotype" w:hAnsi="Palatino Linotype" w:cstheme="minorHAnsi"/>
          <w:sz w:val="22"/>
          <w:szCs w:val="22"/>
        </w:rPr>
        <w:t>in</w:t>
      </w:r>
      <w:r w:rsidR="003F00A9"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yüzde </w:t>
      </w:r>
      <w:r w:rsidR="00087011">
        <w:rPr>
          <w:rFonts w:ascii="Palatino Linotype" w:hAnsi="Palatino Linotype" w:cstheme="minorHAnsi"/>
          <w:sz w:val="22"/>
          <w:szCs w:val="22"/>
        </w:rPr>
        <w:t>0</w:t>
      </w:r>
      <w:r>
        <w:rPr>
          <w:rFonts w:ascii="Palatino Linotype" w:hAnsi="Palatino Linotype" w:cstheme="minorHAnsi"/>
          <w:sz w:val="22"/>
          <w:szCs w:val="22"/>
        </w:rPr>
        <w:t>,</w:t>
      </w:r>
      <w:r w:rsidR="00087011">
        <w:rPr>
          <w:rFonts w:ascii="Palatino Linotype" w:hAnsi="Palatino Linotype" w:cstheme="minorHAnsi"/>
          <w:sz w:val="22"/>
          <w:szCs w:val="22"/>
        </w:rPr>
        <w:t>8</w:t>
      </w:r>
      <w:r w:rsidR="00BD7F4E">
        <w:rPr>
          <w:rFonts w:ascii="Palatino Linotype" w:hAnsi="Palatino Linotype" w:cstheme="minorHAnsi"/>
          <w:sz w:val="22"/>
          <w:szCs w:val="22"/>
        </w:rPr>
        <w:t xml:space="preserve"> </w:t>
      </w:r>
      <w:r>
        <w:rPr>
          <w:rFonts w:ascii="Palatino Linotype" w:hAnsi="Palatino Linotype" w:cstheme="minorHAnsi"/>
          <w:sz w:val="22"/>
          <w:szCs w:val="22"/>
        </w:rPr>
        <w:t>a</w:t>
      </w:r>
      <w:r w:rsidR="00DB5EFB">
        <w:rPr>
          <w:rFonts w:ascii="Palatino Linotype" w:hAnsi="Palatino Linotype" w:cstheme="minorHAnsi"/>
          <w:sz w:val="22"/>
          <w:szCs w:val="22"/>
        </w:rPr>
        <w:t>rtarak</w:t>
      </w:r>
      <w:r w:rsidR="00BD7F4E">
        <w:rPr>
          <w:rFonts w:ascii="Palatino Linotype" w:hAnsi="Palatino Linotype" w:cstheme="minorHAnsi"/>
          <w:sz w:val="22"/>
          <w:szCs w:val="22"/>
        </w:rPr>
        <w:t xml:space="preserve"> büyümey</w:t>
      </w:r>
      <w:r w:rsidR="00DB5EFB">
        <w:rPr>
          <w:rFonts w:ascii="Palatino Linotype" w:hAnsi="Palatino Linotype" w:cstheme="minorHAnsi"/>
          <w:sz w:val="22"/>
          <w:szCs w:val="22"/>
        </w:rPr>
        <w:t>e</w:t>
      </w:r>
      <w:r w:rsidR="00BD7F4E">
        <w:rPr>
          <w:rFonts w:ascii="Palatino Linotype" w:hAnsi="Palatino Linotype" w:cstheme="minorHAnsi"/>
          <w:sz w:val="22"/>
          <w:szCs w:val="22"/>
        </w:rPr>
        <w:t xml:space="preserve"> </w:t>
      </w:r>
      <w:r w:rsidR="00087011">
        <w:rPr>
          <w:rFonts w:ascii="Palatino Linotype" w:hAnsi="Palatino Linotype" w:cstheme="minorHAnsi"/>
          <w:sz w:val="22"/>
          <w:szCs w:val="22"/>
        </w:rPr>
        <w:t>0</w:t>
      </w:r>
      <w:r>
        <w:rPr>
          <w:rFonts w:ascii="Palatino Linotype" w:hAnsi="Palatino Linotype" w:cstheme="minorHAnsi"/>
          <w:sz w:val="22"/>
          <w:szCs w:val="22"/>
        </w:rPr>
        <w:t>,</w:t>
      </w:r>
      <w:r w:rsidR="00087011">
        <w:rPr>
          <w:rFonts w:ascii="Palatino Linotype" w:hAnsi="Palatino Linotype" w:cstheme="minorHAnsi"/>
          <w:sz w:val="22"/>
          <w:szCs w:val="22"/>
        </w:rPr>
        <w:t>5</w:t>
      </w:r>
      <w:r w:rsidR="0061333E" w:rsidRPr="00CC0355">
        <w:rPr>
          <w:rFonts w:ascii="Palatino Linotype" w:hAnsi="Palatino Linotype" w:cstheme="minorHAnsi"/>
          <w:sz w:val="22"/>
          <w:szCs w:val="22"/>
        </w:rPr>
        <w:t xml:space="preserve"> yüzde puan</w:t>
      </w:r>
      <w:r w:rsidR="00DB5EFB">
        <w:rPr>
          <w:rFonts w:ascii="Palatino Linotype" w:hAnsi="Palatino Linotype" w:cstheme="minorHAnsi"/>
          <w:sz w:val="22"/>
          <w:szCs w:val="22"/>
        </w:rPr>
        <w:t xml:space="preserve"> katkı yaptığını</w:t>
      </w:r>
      <w:r w:rsidR="0061333E" w:rsidRPr="00CC0355">
        <w:rPr>
          <w:rFonts w:ascii="Palatino Linotype" w:hAnsi="Palatino Linotype" w:cstheme="minorHAnsi"/>
          <w:sz w:val="22"/>
          <w:szCs w:val="22"/>
        </w:rPr>
        <w:t xml:space="preserve"> </w:t>
      </w:r>
      <w:r>
        <w:rPr>
          <w:rFonts w:ascii="Palatino Linotype" w:hAnsi="Palatino Linotype" w:cstheme="minorHAnsi"/>
          <w:sz w:val="22"/>
          <w:szCs w:val="22"/>
        </w:rPr>
        <w:t>görüyoruz</w:t>
      </w:r>
      <w:r w:rsidR="003F00A9" w:rsidRPr="00CC0355">
        <w:rPr>
          <w:rFonts w:ascii="Palatino Linotype" w:hAnsi="Palatino Linotype" w:cstheme="minorHAnsi"/>
          <w:sz w:val="22"/>
          <w:szCs w:val="22"/>
        </w:rPr>
        <w:t xml:space="preserve"> (Tablo 2</w:t>
      </w:r>
      <w:r w:rsidR="00087011">
        <w:rPr>
          <w:rFonts w:ascii="Palatino Linotype" w:hAnsi="Palatino Linotype" w:cstheme="minorHAnsi"/>
          <w:sz w:val="22"/>
          <w:szCs w:val="22"/>
        </w:rPr>
        <w:t>). Yıllık ve çeyreklik bazdaki büyümelerdeki bu farkın nedeni ise yıllık büyümenin baz etkisi içermesidir.</w:t>
      </w:r>
      <w:r w:rsidR="00982B22">
        <w:rPr>
          <w:rFonts w:ascii="Palatino Linotype" w:hAnsi="Palatino Linotype" w:cstheme="minorHAnsi"/>
          <w:sz w:val="22"/>
          <w:szCs w:val="22"/>
        </w:rPr>
        <w:t xml:space="preserve"> </w:t>
      </w:r>
      <w:r w:rsidR="00EB3A96">
        <w:rPr>
          <w:rFonts w:ascii="Palatino Linotype" w:hAnsi="Palatino Linotype" w:cstheme="minorHAnsi"/>
          <w:sz w:val="22"/>
          <w:szCs w:val="22"/>
        </w:rPr>
        <w:t>Bir sonraki çeyrekte özel tüketim harcamalarının daha ılımlı artmasını beklemek akla yatkındır.</w:t>
      </w:r>
    </w:p>
    <w:p w14:paraId="3D67829E" w14:textId="7A39B170" w:rsidR="00044AF3" w:rsidRPr="00CC0355"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0493C3CB" w:rsidR="004647F0"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w:t>
      </w:r>
      <w:r w:rsidR="00BB0912">
        <w:rPr>
          <w:rFonts w:ascii="Palatino Linotype" w:hAnsi="Palatino Linotype" w:cstheme="minorHAnsi"/>
          <w:b/>
          <w:bCs/>
          <w:sz w:val="22"/>
          <w:szCs w:val="22"/>
        </w:rPr>
        <w:t>20</w:t>
      </w:r>
      <w:r w:rsidR="009F2483" w:rsidRPr="00CC0355">
        <w:rPr>
          <w:rFonts w:ascii="Palatino Linotype" w:hAnsi="Palatino Linotype" w:cstheme="minorHAnsi"/>
          <w:b/>
          <w:bCs/>
          <w:sz w:val="22"/>
          <w:szCs w:val="22"/>
        </w:rPr>
        <w:t xml:space="preserve"> </w:t>
      </w:r>
      <w:r w:rsidR="00E265D5">
        <w:rPr>
          <w:rFonts w:ascii="Palatino Linotype" w:hAnsi="Palatino Linotype" w:cstheme="minorHAnsi"/>
          <w:b/>
          <w:bCs/>
          <w:sz w:val="22"/>
          <w:szCs w:val="22"/>
        </w:rPr>
        <w:t>3</w:t>
      </w:r>
      <w:r w:rsidR="00632CF6" w:rsidRPr="00CC0355">
        <w:rPr>
          <w:rFonts w:ascii="Palatino Linotype" w:hAnsi="Palatino Linotype" w:cstheme="minorHAnsi"/>
          <w:b/>
          <w:bCs/>
          <w:sz w:val="22"/>
          <w:szCs w:val="22"/>
        </w:rPr>
        <w:t>. ve 20</w:t>
      </w:r>
      <w:r w:rsidR="00BB0912">
        <w:rPr>
          <w:rFonts w:ascii="Palatino Linotype" w:hAnsi="Palatino Linotype" w:cstheme="minorHAnsi"/>
          <w:b/>
          <w:bCs/>
          <w:sz w:val="22"/>
          <w:szCs w:val="22"/>
        </w:rPr>
        <w:t>20</w:t>
      </w:r>
      <w:r w:rsidR="00632CF6" w:rsidRPr="00CC0355">
        <w:rPr>
          <w:rFonts w:ascii="Palatino Linotype" w:hAnsi="Palatino Linotype" w:cstheme="minorHAnsi"/>
          <w:b/>
          <w:bCs/>
          <w:sz w:val="22"/>
          <w:szCs w:val="22"/>
        </w:rPr>
        <w:t xml:space="preserve"> </w:t>
      </w:r>
      <w:r w:rsidR="00E265D5">
        <w:rPr>
          <w:rFonts w:ascii="Palatino Linotype" w:hAnsi="Palatino Linotype" w:cstheme="minorHAnsi"/>
          <w:b/>
          <w:bCs/>
          <w:sz w:val="22"/>
          <w:szCs w:val="22"/>
        </w:rPr>
        <w:t>4</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D4FFD8D" w14:textId="77777777" w:rsidR="004647F0" w:rsidRPr="00CC0355" w:rsidRDefault="004647F0" w:rsidP="006C3EE6">
      <w:pPr>
        <w:keepNext/>
        <w:ind w:right="77"/>
        <w:jc w:val="both"/>
        <w:rPr>
          <w:rFonts w:ascii="Palatino Linotype" w:hAnsi="Palatino Linotype" w:cstheme="minorHAnsi"/>
          <w:b/>
          <w:bCs/>
          <w:sz w:val="22"/>
          <w:szCs w:val="22"/>
        </w:rPr>
      </w:pPr>
    </w:p>
    <w:tbl>
      <w:tblPr>
        <w:tblW w:w="5920" w:type="dxa"/>
        <w:tblCellMar>
          <w:left w:w="0" w:type="dxa"/>
          <w:right w:w="0" w:type="dxa"/>
        </w:tblCellMar>
        <w:tblLook w:val="04A0" w:firstRow="1" w:lastRow="0" w:firstColumn="1" w:lastColumn="0" w:noHBand="0" w:noVBand="1"/>
      </w:tblPr>
      <w:tblGrid>
        <w:gridCol w:w="1480"/>
        <w:gridCol w:w="1259"/>
        <w:gridCol w:w="961"/>
        <w:gridCol w:w="1259"/>
        <w:gridCol w:w="961"/>
      </w:tblGrid>
      <w:tr w:rsidR="00E265D5" w14:paraId="5C67B046" w14:textId="77777777" w:rsidTr="00E265D5">
        <w:trPr>
          <w:trHeight w:val="282"/>
        </w:trPr>
        <w:tc>
          <w:tcPr>
            <w:tcW w:w="148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CECAA55" w14:textId="77777777" w:rsidR="00E265D5" w:rsidRDefault="00E265D5">
            <w:pPr>
              <w:rPr>
                <w:rFonts w:ascii="Calibri" w:hAnsi="Calibri" w:cs="Calibri"/>
                <w:b/>
                <w:bCs/>
                <w:color w:val="000000"/>
                <w:sz w:val="20"/>
                <w:szCs w:val="20"/>
                <w:lang w:val="en-US" w:eastAsia="en-US"/>
              </w:rPr>
            </w:pPr>
            <w:r>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0E4F513A"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2020Q3</w:t>
            </w:r>
          </w:p>
        </w:tc>
        <w:tc>
          <w:tcPr>
            <w:tcW w:w="22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13EBE974"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2020Q4</w:t>
            </w:r>
          </w:p>
        </w:tc>
      </w:tr>
      <w:tr w:rsidR="00E265D5" w14:paraId="7C7B0C5B"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0E262EC"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 </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57F9A404"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F1614B5"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D2522C5"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4B3B031"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E265D5" w14:paraId="682BE7EA" w14:textId="77777777" w:rsidTr="00E265D5">
        <w:trPr>
          <w:trHeight w:val="282"/>
        </w:trPr>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179606FB"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Özel Tüketim</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719691D7"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8.5</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3865C9F6"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4.8</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3401A8BA"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8.2</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3EB2B08D"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4.6</w:t>
            </w:r>
          </w:p>
        </w:tc>
      </w:tr>
      <w:tr w:rsidR="00E265D5" w14:paraId="384EC686"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76CDBEA"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Kamu Tüketimi</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263D8D08"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0.8</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2582A79"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B62312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6.6</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103C2A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1.1</w:t>
            </w:r>
          </w:p>
        </w:tc>
      </w:tr>
      <w:tr w:rsidR="00E265D5" w14:paraId="23D677C8"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122DE51"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Yatırım</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71B7A8E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21.9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DD6CFAD"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5.3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4E9F724"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10.3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3EBAEB0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2.7</w:t>
            </w:r>
          </w:p>
        </w:tc>
      </w:tr>
      <w:tr w:rsidR="00E265D5" w14:paraId="75031730"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5BDF524"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Stok Değişimi</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13725CD8"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5607A33"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8.3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13CC50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3606B5A"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-1.5</w:t>
            </w:r>
          </w:p>
        </w:tc>
      </w:tr>
      <w:tr w:rsidR="00E265D5" w14:paraId="6C3DF542"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29D7A53"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İhracat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E6A70FC"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-22.1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47D3B2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-7.5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3542011"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D5EE32C"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0.0</w:t>
            </w:r>
          </w:p>
        </w:tc>
      </w:tr>
      <w:tr w:rsidR="00E265D5" w14:paraId="4324E8EB"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F6E2EF"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İthalat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5D6CAB56"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16.4</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CF5EB25"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-4.7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14AA94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2.5</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84DFE6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-1.0</w:t>
            </w:r>
          </w:p>
        </w:tc>
      </w:tr>
      <w:tr w:rsidR="00E265D5" w14:paraId="6F879EFF" w14:textId="77777777" w:rsidTr="00E265D5">
        <w:trPr>
          <w:trHeight w:val="315"/>
        </w:trPr>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7A0847C0"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GSYH</w:t>
            </w:r>
          </w:p>
        </w:tc>
        <w:tc>
          <w:tcPr>
            <w:tcW w:w="0" w:type="auto"/>
            <w:tcBorders>
              <w:top w:val="nil"/>
              <w:left w:val="single" w:sz="4" w:space="0" w:color="auto"/>
              <w:bottom w:val="double" w:sz="6" w:space="0" w:color="auto"/>
              <w:right w:val="nil"/>
            </w:tcBorders>
            <w:shd w:val="clear" w:color="000000" w:fill="FFFFFF"/>
            <w:noWrap/>
            <w:tcMar>
              <w:top w:w="15" w:type="dxa"/>
              <w:left w:w="15" w:type="dxa"/>
              <w:bottom w:w="0" w:type="dxa"/>
              <w:right w:w="15" w:type="dxa"/>
            </w:tcMar>
            <w:vAlign w:val="bottom"/>
            <w:hideMark/>
          </w:tcPr>
          <w:p w14:paraId="2AB57C6C"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6.3</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0F7315D3"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4D190A48"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5.9</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54AC42B3"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40EB91E6" w:rsidR="00405BD8" w:rsidRPr="00CC0355" w:rsidRDefault="00E265D5"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 xml:space="preserve"> </w:t>
      </w:r>
      <w:r w:rsidR="003D44CE"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C8EA5E0" w14:textId="77777777" w:rsidR="00FE385C" w:rsidRPr="00CC0355" w:rsidRDefault="00FE385C" w:rsidP="00405BD8">
      <w:pPr>
        <w:keepLines/>
        <w:widowControl w:val="0"/>
        <w:rPr>
          <w:rFonts w:ascii="Palatino Linotype" w:hAnsi="Palatino Linotype" w:cstheme="minorHAnsi"/>
          <w:sz w:val="18"/>
          <w:szCs w:val="18"/>
        </w:rPr>
      </w:pPr>
    </w:p>
    <w:p w14:paraId="4C8D8926" w14:textId="5887B599"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lastRenderedPageBreak/>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E265D5">
        <w:rPr>
          <w:rFonts w:ascii="Palatino Linotype" w:hAnsi="Palatino Linotype" w:cstheme="minorHAnsi"/>
          <w:b/>
          <w:bCs/>
          <w:sz w:val="22"/>
          <w:szCs w:val="22"/>
        </w:rPr>
        <w:t>3</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E265D5">
        <w:rPr>
          <w:rFonts w:ascii="Palatino Linotype" w:hAnsi="Palatino Linotype" w:cstheme="minorHAnsi"/>
          <w:b/>
          <w:bCs/>
          <w:sz w:val="22"/>
          <w:szCs w:val="22"/>
        </w:rPr>
        <w:t>4</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CellMar>
          <w:left w:w="0" w:type="dxa"/>
          <w:right w:w="0" w:type="dxa"/>
        </w:tblCellMar>
        <w:tblLook w:val="04A0" w:firstRow="1" w:lastRow="0" w:firstColumn="1" w:lastColumn="0" w:noHBand="0" w:noVBand="1"/>
      </w:tblPr>
      <w:tblGrid>
        <w:gridCol w:w="1480"/>
        <w:gridCol w:w="1259"/>
        <w:gridCol w:w="961"/>
        <w:gridCol w:w="1259"/>
        <w:gridCol w:w="961"/>
      </w:tblGrid>
      <w:tr w:rsidR="00E265D5" w14:paraId="4BB56997" w14:textId="77777777" w:rsidTr="00E265D5">
        <w:trPr>
          <w:trHeight w:val="282"/>
        </w:trPr>
        <w:tc>
          <w:tcPr>
            <w:tcW w:w="148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01DFDC7" w14:textId="77777777" w:rsidR="00E265D5" w:rsidRDefault="00E265D5">
            <w:pPr>
              <w:rPr>
                <w:rFonts w:ascii="Calibri" w:hAnsi="Calibri" w:cs="Calibri"/>
                <w:b/>
                <w:bCs/>
                <w:color w:val="000000"/>
                <w:sz w:val="20"/>
                <w:szCs w:val="20"/>
                <w:lang w:val="en-US" w:eastAsia="en-US"/>
              </w:rPr>
            </w:pPr>
            <w:r>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299D9F66"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2020Q3</w:t>
            </w:r>
          </w:p>
        </w:tc>
        <w:tc>
          <w:tcPr>
            <w:tcW w:w="22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1EF8D94F"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2020Q4</w:t>
            </w:r>
          </w:p>
        </w:tc>
      </w:tr>
      <w:tr w:rsidR="00E265D5" w14:paraId="7EC9A2FF"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9A0A10C"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 </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724EFF01"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B99CBAA"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270DCD"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3495189" w14:textId="77777777" w:rsidR="00E265D5" w:rsidRDefault="00E265D5">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E265D5" w14:paraId="5B461B96" w14:textId="77777777" w:rsidTr="00E265D5">
        <w:trPr>
          <w:trHeight w:val="282"/>
        </w:trPr>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187F139D"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Özel Tüketim</w:t>
            </w:r>
          </w:p>
        </w:tc>
        <w:tc>
          <w:tcPr>
            <w:tcW w:w="0" w:type="auto"/>
            <w:tcBorders>
              <w:top w:val="single" w:sz="4" w:space="0" w:color="auto"/>
              <w:left w:val="single" w:sz="4" w:space="0" w:color="auto"/>
              <w:bottom w:val="nil"/>
              <w:right w:val="nil"/>
            </w:tcBorders>
            <w:shd w:val="clear" w:color="000000" w:fill="FFFFFF"/>
            <w:noWrap/>
            <w:tcMar>
              <w:top w:w="15" w:type="dxa"/>
              <w:left w:w="15" w:type="dxa"/>
              <w:bottom w:w="0" w:type="dxa"/>
              <w:right w:w="15" w:type="dxa"/>
            </w:tcMar>
            <w:vAlign w:val="bottom"/>
            <w:hideMark/>
          </w:tcPr>
          <w:p w14:paraId="5E2034F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21.9</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149DCEA4"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12.3</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050D1F4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0.8</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6376AFE0"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0.5</w:t>
            </w:r>
          </w:p>
        </w:tc>
      </w:tr>
      <w:tr w:rsidR="00E265D5" w14:paraId="5291A81C"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B9D22F5"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Kamu Tüketimi</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4652E633"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3.7</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555FA28"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E6AC33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3.6</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0D12552"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0.5</w:t>
            </w:r>
          </w:p>
        </w:tc>
      </w:tr>
      <w:tr w:rsidR="00E265D5" w14:paraId="09858421"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8EB1489"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Yatırım</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2D7FA7DC"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20.2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15575F78"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5.5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3F62914"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-2.7</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592BDBB"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-0.8</w:t>
            </w:r>
          </w:p>
        </w:tc>
      </w:tr>
      <w:tr w:rsidR="00E265D5" w14:paraId="20D5BA02"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22AAD9E"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Stok Değişimi</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1A53791E"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F5A2AE6"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12C7979"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23CC81B"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-3.4</w:t>
            </w:r>
          </w:p>
        </w:tc>
      </w:tr>
      <w:tr w:rsidR="00E265D5" w14:paraId="2B655BCE"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24D9E7E"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İhracat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6C6115B"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33.3</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679491C5"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7.5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9A917DF"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18.9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7058FAA"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4.9</w:t>
            </w:r>
          </w:p>
        </w:tc>
      </w:tr>
      <w:tr w:rsidR="00E265D5" w14:paraId="6C4D2EB5" w14:textId="77777777" w:rsidTr="00E265D5">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A7FA8CD"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İthalat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E7BBECD"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28.0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C53A1C1"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-8.4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713671"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54251E9"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-0.1</w:t>
            </w:r>
          </w:p>
        </w:tc>
      </w:tr>
      <w:tr w:rsidR="00E265D5" w14:paraId="399EAF02" w14:textId="77777777" w:rsidTr="00E265D5">
        <w:trPr>
          <w:trHeight w:val="315"/>
        </w:trPr>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6805D880" w14:textId="77777777" w:rsidR="00E265D5" w:rsidRDefault="00E265D5">
            <w:pPr>
              <w:rPr>
                <w:rFonts w:ascii="Calibri" w:hAnsi="Calibri" w:cs="Calibri"/>
                <w:b/>
                <w:bCs/>
                <w:color w:val="000000"/>
                <w:sz w:val="20"/>
                <w:szCs w:val="20"/>
              </w:rPr>
            </w:pPr>
            <w:r>
              <w:rPr>
                <w:rFonts w:ascii="Calibri" w:hAnsi="Calibri" w:cs="Calibri"/>
                <w:b/>
                <w:bCs/>
                <w:color w:val="000000"/>
                <w:sz w:val="20"/>
                <w:szCs w:val="20"/>
              </w:rPr>
              <w:t>GSYH</w:t>
            </w:r>
          </w:p>
        </w:tc>
        <w:tc>
          <w:tcPr>
            <w:tcW w:w="0" w:type="auto"/>
            <w:tcBorders>
              <w:top w:val="nil"/>
              <w:left w:val="single" w:sz="4" w:space="0" w:color="auto"/>
              <w:bottom w:val="double" w:sz="6" w:space="0" w:color="auto"/>
              <w:right w:val="nil"/>
            </w:tcBorders>
            <w:shd w:val="clear" w:color="000000" w:fill="FFFFFF"/>
            <w:noWrap/>
            <w:tcMar>
              <w:top w:w="15" w:type="dxa"/>
              <w:left w:w="15" w:type="dxa"/>
              <w:bottom w:w="0" w:type="dxa"/>
              <w:right w:w="15" w:type="dxa"/>
            </w:tcMar>
            <w:vAlign w:val="bottom"/>
            <w:hideMark/>
          </w:tcPr>
          <w:p w14:paraId="434FA55B"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15.9</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61875B63"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20C9E22C"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1.7</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7BF67976" w14:textId="77777777" w:rsidR="00E265D5" w:rsidRDefault="00E265D5">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17ACC568" w:rsidR="00F46A54" w:rsidRPr="00CC0355" w:rsidRDefault="00E265D5" w:rsidP="00F46A54">
      <w:pPr>
        <w:keepNext/>
        <w:rPr>
          <w:rFonts w:ascii="Palatino Linotype" w:hAnsi="Palatino Linotype" w:cstheme="minorHAnsi"/>
          <w:sz w:val="18"/>
          <w:szCs w:val="18"/>
        </w:rPr>
      </w:pPr>
      <w:r w:rsidRPr="00CC0355">
        <w:rPr>
          <w:rFonts w:ascii="Palatino Linotype" w:hAnsi="Palatino Linotype" w:cstheme="minorHAnsi"/>
          <w:sz w:val="18"/>
          <w:szCs w:val="18"/>
        </w:rPr>
        <w:t xml:space="preserve"> </w:t>
      </w:r>
      <w:r w:rsidR="003D44CE"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06656379"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4647F0">
        <w:rPr>
          <w:rFonts w:ascii="Palatino Linotype" w:hAnsi="Palatino Linotype" w:cstheme="minorHAnsi"/>
          <w:b/>
          <w:sz w:val="22"/>
          <w:szCs w:val="22"/>
        </w:rPr>
        <w:t xml:space="preserve">nda </w:t>
      </w:r>
      <w:r w:rsidR="00507586">
        <w:rPr>
          <w:rFonts w:ascii="Palatino Linotype" w:hAnsi="Palatino Linotype" w:cstheme="minorHAnsi"/>
          <w:b/>
          <w:sz w:val="22"/>
          <w:szCs w:val="22"/>
        </w:rPr>
        <w:t>toparlanma</w:t>
      </w:r>
    </w:p>
    <w:p w14:paraId="1EDCC445" w14:textId="7D56365A" w:rsidR="00062A8A" w:rsidRPr="00CC0355" w:rsidRDefault="006324E3"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2018 yılının ikinci yarısından itibaren yıllık olarak daralma kaydeden yatırım harcamaları 2020 yılının </w:t>
      </w:r>
      <w:r w:rsidR="00AA678E">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AA678E">
        <w:rPr>
          <w:rFonts w:ascii="Palatino Linotype" w:hAnsi="Palatino Linotype" w:cstheme="minorHAnsi"/>
          <w:sz w:val="22"/>
          <w:szCs w:val="22"/>
        </w:rPr>
        <w:t xml:space="preserve"> </w:t>
      </w:r>
      <w:r>
        <w:rPr>
          <w:rFonts w:ascii="Palatino Linotype" w:hAnsi="Palatino Linotype" w:cstheme="minorHAnsi"/>
          <w:sz w:val="22"/>
          <w:szCs w:val="22"/>
        </w:rPr>
        <w:t xml:space="preserve">yıllık yüzde </w:t>
      </w:r>
      <w:r w:rsidR="00AA678E">
        <w:rPr>
          <w:rFonts w:ascii="Palatino Linotype" w:hAnsi="Palatino Linotype" w:cstheme="minorHAnsi"/>
          <w:sz w:val="22"/>
          <w:szCs w:val="22"/>
        </w:rPr>
        <w:t>2</w:t>
      </w:r>
      <w:r w:rsidR="007011B6">
        <w:rPr>
          <w:rFonts w:ascii="Palatino Linotype" w:hAnsi="Palatino Linotype" w:cstheme="minorHAnsi"/>
          <w:sz w:val="22"/>
          <w:szCs w:val="22"/>
        </w:rPr>
        <w:t>1</w:t>
      </w:r>
      <w:r>
        <w:rPr>
          <w:rFonts w:ascii="Palatino Linotype" w:hAnsi="Palatino Linotype" w:cstheme="minorHAnsi"/>
          <w:sz w:val="22"/>
          <w:szCs w:val="22"/>
        </w:rPr>
        <w:t>,</w:t>
      </w:r>
      <w:r w:rsidR="007011B6">
        <w:rPr>
          <w:rFonts w:ascii="Palatino Linotype" w:hAnsi="Palatino Linotype" w:cstheme="minorHAnsi"/>
          <w:sz w:val="22"/>
          <w:szCs w:val="22"/>
        </w:rPr>
        <w:t>9</w:t>
      </w:r>
      <w:r>
        <w:rPr>
          <w:rFonts w:ascii="Palatino Linotype" w:hAnsi="Palatino Linotype" w:cstheme="minorHAnsi"/>
          <w:sz w:val="22"/>
          <w:szCs w:val="22"/>
        </w:rPr>
        <w:t xml:space="preserve"> ile ciddi bir</w:t>
      </w:r>
      <w:r w:rsidR="00AA678E">
        <w:rPr>
          <w:rFonts w:ascii="Palatino Linotype" w:hAnsi="Palatino Linotype" w:cstheme="minorHAnsi"/>
          <w:sz w:val="22"/>
          <w:szCs w:val="22"/>
        </w:rPr>
        <w:t xml:space="preserve"> genişleme</w:t>
      </w:r>
      <w:r>
        <w:rPr>
          <w:rFonts w:ascii="Palatino Linotype" w:hAnsi="Palatino Linotype" w:cstheme="minorHAnsi"/>
          <w:sz w:val="22"/>
          <w:szCs w:val="22"/>
        </w:rPr>
        <w:t xml:space="preserve"> kaydet</w:t>
      </w:r>
      <w:r w:rsidR="007011B6">
        <w:rPr>
          <w:rFonts w:ascii="Palatino Linotype" w:hAnsi="Palatino Linotype" w:cstheme="minorHAnsi"/>
          <w:sz w:val="22"/>
          <w:szCs w:val="22"/>
        </w:rPr>
        <w:t>mişti</w:t>
      </w:r>
      <w:r>
        <w:rPr>
          <w:rFonts w:ascii="Palatino Linotype" w:hAnsi="Palatino Linotype" w:cstheme="minorHAnsi"/>
          <w:sz w:val="22"/>
          <w:szCs w:val="22"/>
        </w:rPr>
        <w:t xml:space="preserve">. </w:t>
      </w:r>
      <w:r w:rsidR="007011B6">
        <w:rPr>
          <w:rFonts w:ascii="Palatino Linotype" w:hAnsi="Palatino Linotype" w:cstheme="minorHAnsi"/>
          <w:sz w:val="22"/>
          <w:szCs w:val="22"/>
        </w:rPr>
        <w:t>Yatırımlarda toparlanma dördüncü çeyrekte de devam etti ve yıllık artış yüzde 10,3 oldu.  Bu</w:t>
      </w:r>
      <w:r>
        <w:rPr>
          <w:rFonts w:ascii="Palatino Linotype" w:hAnsi="Palatino Linotype" w:cstheme="minorHAnsi"/>
          <w:sz w:val="22"/>
          <w:szCs w:val="22"/>
        </w:rPr>
        <w:t xml:space="preserve"> </w:t>
      </w:r>
      <w:r w:rsidR="00AA678E">
        <w:rPr>
          <w:rFonts w:ascii="Palatino Linotype" w:hAnsi="Palatino Linotype" w:cstheme="minorHAnsi"/>
          <w:sz w:val="22"/>
          <w:szCs w:val="22"/>
        </w:rPr>
        <w:t>artış</w:t>
      </w:r>
      <w:r w:rsidR="007011B6">
        <w:rPr>
          <w:rFonts w:ascii="Palatino Linotype" w:hAnsi="Palatino Linotype" w:cstheme="minorHAnsi"/>
          <w:sz w:val="22"/>
          <w:szCs w:val="22"/>
        </w:rPr>
        <w:t>ın</w:t>
      </w:r>
      <w:r>
        <w:rPr>
          <w:rFonts w:ascii="Palatino Linotype" w:hAnsi="Palatino Linotype" w:cstheme="minorHAnsi"/>
          <w:sz w:val="22"/>
          <w:szCs w:val="22"/>
        </w:rPr>
        <w:t xml:space="preserve"> büyümey</w:t>
      </w:r>
      <w:r w:rsidR="00AA678E">
        <w:rPr>
          <w:rFonts w:ascii="Palatino Linotype" w:hAnsi="Palatino Linotype" w:cstheme="minorHAnsi"/>
          <w:sz w:val="22"/>
          <w:szCs w:val="22"/>
        </w:rPr>
        <w:t>e</w:t>
      </w:r>
      <w:r w:rsidR="007011B6">
        <w:rPr>
          <w:rFonts w:ascii="Palatino Linotype" w:hAnsi="Palatino Linotype" w:cstheme="minorHAnsi"/>
          <w:sz w:val="22"/>
          <w:szCs w:val="22"/>
        </w:rPr>
        <w:t xml:space="preserve"> katkısı ise</w:t>
      </w:r>
      <w:r>
        <w:rPr>
          <w:rFonts w:ascii="Palatino Linotype" w:hAnsi="Palatino Linotype" w:cstheme="minorHAnsi"/>
          <w:sz w:val="22"/>
          <w:szCs w:val="22"/>
        </w:rPr>
        <w:t xml:space="preserve"> </w:t>
      </w:r>
      <w:r w:rsidR="007011B6">
        <w:rPr>
          <w:rFonts w:ascii="Palatino Linotype" w:hAnsi="Palatino Linotype" w:cstheme="minorHAnsi"/>
          <w:sz w:val="22"/>
          <w:szCs w:val="22"/>
        </w:rPr>
        <w:t>2</w:t>
      </w:r>
      <w:r>
        <w:rPr>
          <w:rFonts w:ascii="Palatino Linotype" w:hAnsi="Palatino Linotype" w:cstheme="minorHAnsi"/>
          <w:sz w:val="22"/>
          <w:szCs w:val="22"/>
        </w:rPr>
        <w:t>,</w:t>
      </w:r>
      <w:r w:rsidR="007011B6">
        <w:rPr>
          <w:rFonts w:ascii="Palatino Linotype" w:hAnsi="Palatino Linotype" w:cstheme="minorHAnsi"/>
          <w:sz w:val="22"/>
          <w:szCs w:val="22"/>
        </w:rPr>
        <w:t>7</w:t>
      </w:r>
      <w:r>
        <w:rPr>
          <w:rFonts w:ascii="Palatino Linotype" w:hAnsi="Palatino Linotype" w:cstheme="minorHAnsi"/>
          <w:sz w:val="22"/>
          <w:szCs w:val="22"/>
        </w:rPr>
        <w:t xml:space="preserve"> yüzde puan </w:t>
      </w:r>
      <w:r w:rsidR="007011B6">
        <w:rPr>
          <w:rFonts w:ascii="Palatino Linotype" w:hAnsi="Palatino Linotype" w:cstheme="minorHAnsi"/>
          <w:sz w:val="22"/>
          <w:szCs w:val="22"/>
        </w:rPr>
        <w:t xml:space="preserve">oldu </w:t>
      </w:r>
      <w:r>
        <w:rPr>
          <w:rFonts w:ascii="Palatino Linotype" w:hAnsi="Palatino Linotype" w:cstheme="minorHAnsi"/>
          <w:sz w:val="22"/>
          <w:szCs w:val="22"/>
        </w:rPr>
        <w:t>(</w:t>
      </w:r>
      <w:r w:rsidR="00B119E3" w:rsidRPr="00CC0355">
        <w:rPr>
          <w:rFonts w:ascii="Palatino Linotype" w:hAnsi="Palatino Linotype" w:cstheme="minorHAnsi"/>
          <w:sz w:val="22"/>
          <w:szCs w:val="22"/>
        </w:rPr>
        <w:t>Tablo 1)</w:t>
      </w:r>
      <w:r w:rsidR="00310C5C" w:rsidRPr="00CC0355">
        <w:rPr>
          <w:rFonts w:ascii="Palatino Linotype" w:hAnsi="Palatino Linotype" w:cstheme="minorHAnsi"/>
          <w:sz w:val="22"/>
          <w:szCs w:val="22"/>
        </w:rPr>
        <w:t>.</w:t>
      </w:r>
      <w:r w:rsidR="00480684" w:rsidRPr="00CC0355">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w:t>
      </w:r>
      <w:r w:rsidR="007011B6">
        <w:rPr>
          <w:rFonts w:ascii="Palatino Linotype" w:hAnsi="Palatino Linotype" w:cstheme="minorHAnsi"/>
          <w:sz w:val="22"/>
          <w:szCs w:val="22"/>
        </w:rPr>
        <w:t>ise aksine yatırımların bir önceki çeyreğe göre yüzde</w:t>
      </w:r>
      <w:r w:rsidR="00EE1BE5">
        <w:rPr>
          <w:rFonts w:ascii="Palatino Linotype" w:hAnsi="Palatino Linotype" w:cstheme="minorHAnsi"/>
          <w:sz w:val="22"/>
          <w:szCs w:val="22"/>
        </w:rPr>
        <w:t xml:space="preserve"> 2,7 daraldığını görüyoruz</w:t>
      </w:r>
      <w:r>
        <w:rPr>
          <w:rFonts w:ascii="Palatino Linotype" w:hAnsi="Palatino Linotype" w:cstheme="minorHAnsi"/>
          <w:sz w:val="22"/>
          <w:szCs w:val="22"/>
        </w:rPr>
        <w:t xml:space="preserve">. </w:t>
      </w:r>
      <w:r w:rsidR="00EE1BE5">
        <w:rPr>
          <w:rFonts w:ascii="Palatino Linotype" w:hAnsi="Palatino Linotype" w:cstheme="minorHAnsi"/>
          <w:sz w:val="22"/>
          <w:szCs w:val="22"/>
        </w:rPr>
        <w:t xml:space="preserve">Böylece yatırım harcamaları 2020 yılının son çeyreğinde çeyreklik büyümeyi 0,8 yüzde puan baskıladı </w:t>
      </w:r>
      <w:r w:rsidR="00480684" w:rsidRPr="00CC0355">
        <w:rPr>
          <w:rFonts w:ascii="Palatino Linotype" w:hAnsi="Palatino Linotype" w:cstheme="minorHAnsi"/>
          <w:sz w:val="22"/>
          <w:szCs w:val="22"/>
        </w:rPr>
        <w:t xml:space="preserve">(Tablo 2). </w:t>
      </w:r>
    </w:p>
    <w:p w14:paraId="16625566" w14:textId="6F78F5AA"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773A17" w:rsidRPr="00CC0355">
        <w:rPr>
          <w:rFonts w:ascii="Palatino Linotype" w:hAnsi="Palatino Linotype" w:cstheme="minorHAnsi"/>
          <w:b/>
          <w:sz w:val="22"/>
          <w:szCs w:val="22"/>
        </w:rPr>
        <w:t xml:space="preserve"> değişimi</w:t>
      </w:r>
      <w:r w:rsidR="00EE1BE5">
        <w:rPr>
          <w:rFonts w:ascii="Palatino Linotype" w:hAnsi="Palatino Linotype" w:cstheme="minorHAnsi"/>
          <w:b/>
          <w:sz w:val="22"/>
          <w:szCs w:val="22"/>
        </w:rPr>
        <w:t xml:space="preserve"> negatif</w:t>
      </w:r>
      <w:r w:rsidR="00494926" w:rsidRPr="00CC0355">
        <w:rPr>
          <w:rStyle w:val="FootnoteReference"/>
          <w:rFonts w:ascii="Palatino Linotype" w:hAnsi="Palatino Linotype" w:cstheme="minorHAnsi"/>
          <w:b/>
          <w:sz w:val="22"/>
          <w:szCs w:val="22"/>
        </w:rPr>
        <w:footnoteReference w:id="3"/>
      </w:r>
    </w:p>
    <w:p w14:paraId="7912D79A" w14:textId="5F55C421" w:rsidR="006138F0" w:rsidRPr="00CC0355"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 xml:space="preserve">2020 yılının </w:t>
      </w:r>
      <w:r w:rsidR="00EE1BE5">
        <w:rPr>
          <w:rFonts w:ascii="Palatino Linotype" w:hAnsi="Palatino Linotype" w:cstheme="minorHAnsi"/>
          <w:sz w:val="22"/>
          <w:szCs w:val="22"/>
        </w:rPr>
        <w:t>dördüncü</w:t>
      </w:r>
      <w:r>
        <w:rPr>
          <w:rFonts w:ascii="Palatino Linotype" w:hAnsi="Palatino Linotype" w:cstheme="minorHAnsi"/>
          <w:sz w:val="22"/>
          <w:szCs w:val="22"/>
        </w:rPr>
        <w:t xml:space="preserve"> çeyreğinde yıllık bazda stok artışlarının büyümeye katkısı </w:t>
      </w:r>
      <w:r w:rsidR="00EE1BE5">
        <w:rPr>
          <w:rFonts w:ascii="Palatino Linotype" w:hAnsi="Palatino Linotype" w:cstheme="minorHAnsi"/>
          <w:sz w:val="22"/>
          <w:szCs w:val="22"/>
        </w:rPr>
        <w:t>eksi 1</w:t>
      </w:r>
      <w:r w:rsidR="00AA678E">
        <w:rPr>
          <w:rFonts w:ascii="Palatino Linotype" w:hAnsi="Palatino Linotype" w:cstheme="minorHAnsi"/>
          <w:sz w:val="22"/>
          <w:szCs w:val="22"/>
        </w:rPr>
        <w:t>,</w:t>
      </w:r>
      <w:r w:rsidR="00EE1BE5">
        <w:rPr>
          <w:rFonts w:ascii="Palatino Linotype" w:hAnsi="Palatino Linotype" w:cstheme="minorHAnsi"/>
          <w:sz w:val="22"/>
          <w:szCs w:val="22"/>
        </w:rPr>
        <w:t>5</w:t>
      </w:r>
      <w:r w:rsidR="005C51D9">
        <w:rPr>
          <w:rFonts w:ascii="Palatino Linotype" w:hAnsi="Palatino Linotype" w:cstheme="minorHAnsi"/>
          <w:sz w:val="22"/>
          <w:szCs w:val="22"/>
        </w:rPr>
        <w:t xml:space="preserve"> yüzde puan olurken (Tablo 1) mevsim ve takvim etkisinden arındırılmış veriye göre ise stok değişimlerinin çeyreklik büyümeye katkısı </w:t>
      </w:r>
      <w:r w:rsidR="00AA678E">
        <w:rPr>
          <w:rFonts w:ascii="Palatino Linotype" w:hAnsi="Palatino Linotype" w:cstheme="minorHAnsi"/>
          <w:sz w:val="22"/>
          <w:szCs w:val="22"/>
        </w:rPr>
        <w:t xml:space="preserve">eksi </w:t>
      </w:r>
      <w:r w:rsidR="00EE1BE5">
        <w:rPr>
          <w:rFonts w:ascii="Palatino Linotype" w:hAnsi="Palatino Linotype" w:cstheme="minorHAnsi"/>
          <w:sz w:val="22"/>
          <w:szCs w:val="22"/>
        </w:rPr>
        <w:t>3</w:t>
      </w:r>
      <w:r w:rsidR="005C51D9">
        <w:rPr>
          <w:rFonts w:ascii="Palatino Linotype" w:hAnsi="Palatino Linotype" w:cstheme="minorHAnsi"/>
          <w:sz w:val="22"/>
          <w:szCs w:val="22"/>
        </w:rPr>
        <w:t>,</w:t>
      </w:r>
      <w:r w:rsidR="00EE1BE5">
        <w:rPr>
          <w:rFonts w:ascii="Palatino Linotype" w:hAnsi="Palatino Linotype" w:cstheme="minorHAnsi"/>
          <w:sz w:val="22"/>
          <w:szCs w:val="22"/>
        </w:rPr>
        <w:t>4</w:t>
      </w:r>
      <w:r w:rsidR="005C51D9">
        <w:rPr>
          <w:rFonts w:ascii="Palatino Linotype" w:hAnsi="Palatino Linotype" w:cstheme="minorHAnsi"/>
          <w:sz w:val="22"/>
          <w:szCs w:val="22"/>
        </w:rPr>
        <w:t xml:space="preserve"> yüzde puan oldu (Tablo 2). </w:t>
      </w:r>
      <w:r w:rsidR="00EE1BE5">
        <w:rPr>
          <w:rFonts w:ascii="Palatino Linotype" w:hAnsi="Palatino Linotype" w:cstheme="minorHAnsi"/>
          <w:sz w:val="22"/>
          <w:szCs w:val="22"/>
        </w:rPr>
        <w:t>Ekonomik toparlanmayla talep artışının</w:t>
      </w:r>
      <w:r w:rsidR="00AA678E">
        <w:rPr>
          <w:rFonts w:ascii="Palatino Linotype" w:hAnsi="Palatino Linotype" w:cstheme="minorHAnsi"/>
          <w:sz w:val="22"/>
          <w:szCs w:val="22"/>
        </w:rPr>
        <w:t xml:space="preserve"> stokları azal</w:t>
      </w:r>
      <w:r w:rsidR="00EE1BE5">
        <w:rPr>
          <w:rFonts w:ascii="Palatino Linotype" w:hAnsi="Palatino Linotype" w:cstheme="minorHAnsi"/>
          <w:sz w:val="22"/>
          <w:szCs w:val="22"/>
        </w:rPr>
        <w:t>ttığı</w:t>
      </w:r>
      <w:r w:rsidR="00AA678E">
        <w:rPr>
          <w:rFonts w:ascii="Palatino Linotype" w:hAnsi="Palatino Linotype" w:cstheme="minorHAnsi"/>
          <w:sz w:val="22"/>
          <w:szCs w:val="22"/>
        </w:rPr>
        <w:t xml:space="preserve"> söylenebilir.</w:t>
      </w:r>
      <w:r w:rsidR="005C51D9">
        <w:rPr>
          <w:rFonts w:ascii="Palatino Linotype" w:hAnsi="Palatino Linotype" w:cstheme="minorHAnsi"/>
          <w:sz w:val="22"/>
          <w:szCs w:val="22"/>
        </w:rPr>
        <w:t xml:space="preserve"> </w:t>
      </w:r>
      <w:bookmarkEnd w:id="4"/>
      <w:bookmarkEnd w:id="5"/>
    </w:p>
    <w:p w14:paraId="7233E2B8" w14:textId="1611BE29" w:rsidR="00F46A54" w:rsidRPr="00CC0355" w:rsidRDefault="005C51D9"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 xml:space="preserve">İhracat </w:t>
      </w:r>
      <w:r w:rsidR="00416A4B">
        <w:rPr>
          <w:rFonts w:ascii="Palatino Linotype" w:hAnsi="Palatino Linotype" w:cstheme="minorHAnsi"/>
          <w:b/>
          <w:sz w:val="22"/>
          <w:szCs w:val="22"/>
        </w:rPr>
        <w:t>ve</w:t>
      </w:r>
      <w:r w:rsidR="00AA678E">
        <w:rPr>
          <w:rFonts w:ascii="Palatino Linotype" w:hAnsi="Palatino Linotype" w:cstheme="minorHAnsi"/>
          <w:b/>
          <w:sz w:val="22"/>
          <w:szCs w:val="22"/>
        </w:rPr>
        <w:t xml:space="preserve"> ithalat</w:t>
      </w:r>
      <w:r w:rsidR="00416A4B">
        <w:rPr>
          <w:rFonts w:ascii="Palatino Linotype" w:hAnsi="Palatino Linotype" w:cstheme="minorHAnsi"/>
          <w:b/>
          <w:sz w:val="22"/>
          <w:szCs w:val="22"/>
        </w:rPr>
        <w:t>ta</w:t>
      </w:r>
      <w:r w:rsidR="00AA678E">
        <w:rPr>
          <w:rFonts w:ascii="Palatino Linotype" w:hAnsi="Palatino Linotype" w:cstheme="minorHAnsi"/>
          <w:b/>
          <w:sz w:val="22"/>
          <w:szCs w:val="22"/>
        </w:rPr>
        <w:t xml:space="preserve"> </w:t>
      </w:r>
      <w:r w:rsidR="00416A4B">
        <w:rPr>
          <w:rFonts w:ascii="Palatino Linotype" w:hAnsi="Palatino Linotype" w:cstheme="minorHAnsi"/>
          <w:b/>
          <w:sz w:val="22"/>
          <w:szCs w:val="22"/>
        </w:rPr>
        <w:t>karışık görüntü</w:t>
      </w:r>
    </w:p>
    <w:p w14:paraId="142C0302" w14:textId="170709E8" w:rsidR="00062A8A" w:rsidRPr="00CC0355"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2020 yılının </w:t>
      </w:r>
      <w:r w:rsidR="00416A4B">
        <w:rPr>
          <w:rFonts w:ascii="Palatino Linotype" w:hAnsi="Palatino Linotype" w:cstheme="minorHAnsi"/>
          <w:sz w:val="22"/>
          <w:szCs w:val="22"/>
        </w:rPr>
        <w:t>dördüncü</w:t>
      </w:r>
      <w:r>
        <w:rPr>
          <w:rFonts w:ascii="Palatino Linotype" w:hAnsi="Palatino Linotype" w:cstheme="minorHAnsi"/>
          <w:sz w:val="22"/>
          <w:szCs w:val="22"/>
        </w:rPr>
        <w:t xml:space="preserve"> çeyreğinde ihracat</w:t>
      </w:r>
      <w:r w:rsidR="00416A4B">
        <w:rPr>
          <w:rFonts w:ascii="Palatino Linotype" w:hAnsi="Palatino Linotype" w:cstheme="minorHAnsi"/>
          <w:sz w:val="22"/>
          <w:szCs w:val="22"/>
        </w:rPr>
        <w:t xml:space="preserve"> ve ithalat yıllık ve çeyreklik bazda farklı seyirler izledi.</w:t>
      </w:r>
      <w:r>
        <w:rPr>
          <w:rFonts w:ascii="Palatino Linotype" w:hAnsi="Palatino Linotype" w:cstheme="minorHAnsi"/>
          <w:sz w:val="22"/>
          <w:szCs w:val="22"/>
        </w:rPr>
        <w:t xml:space="preserve"> </w:t>
      </w:r>
      <w:r w:rsidR="00416A4B">
        <w:rPr>
          <w:rFonts w:ascii="Palatino Linotype" w:hAnsi="Palatino Linotype" w:cstheme="minorHAnsi"/>
          <w:sz w:val="22"/>
          <w:szCs w:val="22"/>
        </w:rPr>
        <w:t>Y</w:t>
      </w:r>
      <w:r>
        <w:rPr>
          <w:rFonts w:ascii="Palatino Linotype" w:hAnsi="Palatino Linotype" w:cstheme="minorHAnsi"/>
          <w:sz w:val="22"/>
          <w:szCs w:val="22"/>
        </w:rPr>
        <w:t>ıllık bazda</w:t>
      </w:r>
      <w:r w:rsidR="00416A4B">
        <w:rPr>
          <w:rFonts w:ascii="Palatino Linotype" w:hAnsi="Palatino Linotype" w:cstheme="minorHAnsi"/>
          <w:sz w:val="22"/>
          <w:szCs w:val="22"/>
        </w:rPr>
        <w:t xml:space="preserve"> ihracat sabit kalırken ithalatta</w:t>
      </w:r>
      <w:r>
        <w:rPr>
          <w:rFonts w:ascii="Palatino Linotype" w:hAnsi="Palatino Linotype" w:cstheme="minorHAnsi"/>
          <w:sz w:val="22"/>
          <w:szCs w:val="22"/>
        </w:rPr>
        <w:t xml:space="preserve"> yüzde </w:t>
      </w:r>
      <w:r w:rsidR="00D64700">
        <w:rPr>
          <w:rFonts w:ascii="Palatino Linotype" w:hAnsi="Palatino Linotype" w:cstheme="minorHAnsi"/>
          <w:sz w:val="22"/>
          <w:szCs w:val="22"/>
        </w:rPr>
        <w:t>2</w:t>
      </w:r>
      <w:r>
        <w:rPr>
          <w:rFonts w:ascii="Palatino Linotype" w:hAnsi="Palatino Linotype" w:cstheme="minorHAnsi"/>
          <w:sz w:val="22"/>
          <w:szCs w:val="22"/>
        </w:rPr>
        <w:t>,</w:t>
      </w:r>
      <w:r w:rsidR="00416A4B">
        <w:rPr>
          <w:rFonts w:ascii="Palatino Linotype" w:hAnsi="Palatino Linotype" w:cstheme="minorHAnsi"/>
          <w:sz w:val="22"/>
          <w:szCs w:val="22"/>
        </w:rPr>
        <w:t>5</w:t>
      </w:r>
      <w:r w:rsidR="00D64700">
        <w:rPr>
          <w:rFonts w:ascii="Palatino Linotype" w:hAnsi="Palatino Linotype" w:cstheme="minorHAnsi"/>
          <w:sz w:val="22"/>
          <w:szCs w:val="22"/>
        </w:rPr>
        <w:t xml:space="preserve"> </w:t>
      </w:r>
      <w:r w:rsidR="00416A4B">
        <w:rPr>
          <w:rFonts w:ascii="Palatino Linotype" w:hAnsi="Palatino Linotype" w:cstheme="minorHAnsi"/>
          <w:sz w:val="22"/>
          <w:szCs w:val="22"/>
        </w:rPr>
        <w:t>ile ılımlı bir artış yaşandı. Böylece dış ticaretin büyümeye net katkısı eksi 1,0 yüzde puan oldu</w:t>
      </w:r>
      <w:r w:rsidR="00F31E52">
        <w:rPr>
          <w:rFonts w:ascii="Palatino Linotype" w:hAnsi="Palatino Linotype" w:cstheme="minorHAnsi"/>
          <w:sz w:val="22"/>
          <w:szCs w:val="22"/>
        </w:rPr>
        <w:t xml:space="preserve"> (Tablo 1)</w:t>
      </w:r>
      <w:r w:rsidR="00416A4B">
        <w:rPr>
          <w:rFonts w:ascii="Palatino Linotype" w:hAnsi="Palatino Linotype" w:cstheme="minorHAnsi"/>
          <w:sz w:val="22"/>
          <w:szCs w:val="22"/>
        </w:rPr>
        <w:t xml:space="preserve">. 2020 yılının son çeyreğinde bir önceki çeyreğe göre ise ihracatta güçlü bir artış (yüzde 18,9) kaydedilirken </w:t>
      </w:r>
      <w:r w:rsidR="00416A4B">
        <w:rPr>
          <w:rFonts w:ascii="Palatino Linotype" w:hAnsi="Palatino Linotype" w:cstheme="minorHAnsi"/>
          <w:sz w:val="22"/>
          <w:szCs w:val="22"/>
        </w:rPr>
        <w:lastRenderedPageBreak/>
        <w:t xml:space="preserve">ithalat ise yüzde 0,2 ile ılımlı bir seyir izledi. Dış ticaretin çeyreklik büyümeye net katkısı ise </w:t>
      </w:r>
      <w:r w:rsidR="00F31E52">
        <w:rPr>
          <w:rFonts w:ascii="Palatino Linotype" w:hAnsi="Palatino Linotype" w:cstheme="minorHAnsi"/>
          <w:sz w:val="22"/>
          <w:szCs w:val="22"/>
        </w:rPr>
        <w:t>4,8 yüzde puan oldu</w:t>
      </w:r>
      <w:r>
        <w:rPr>
          <w:rFonts w:ascii="Palatino Linotype" w:hAnsi="Palatino Linotype" w:cstheme="minorHAnsi"/>
          <w:sz w:val="22"/>
          <w:szCs w:val="22"/>
        </w:rPr>
        <w:t xml:space="preserve"> (Tablo </w:t>
      </w:r>
      <w:r w:rsidR="00F31E52">
        <w:rPr>
          <w:rFonts w:ascii="Palatino Linotype" w:hAnsi="Palatino Linotype" w:cstheme="minorHAnsi"/>
          <w:sz w:val="22"/>
          <w:szCs w:val="22"/>
        </w:rPr>
        <w:t>2</w:t>
      </w:r>
      <w:r>
        <w:rPr>
          <w:rFonts w:ascii="Palatino Linotype" w:hAnsi="Palatino Linotype" w:cstheme="minorHAnsi"/>
          <w:sz w:val="22"/>
          <w:szCs w:val="22"/>
        </w:rPr>
        <w:t>)</w:t>
      </w:r>
      <w:r w:rsidR="0064747F">
        <w:rPr>
          <w:rFonts w:ascii="Palatino Linotype" w:hAnsi="Palatino Linotype" w:cstheme="minorHAnsi"/>
          <w:sz w:val="22"/>
          <w:szCs w:val="22"/>
        </w:rPr>
        <w:t xml:space="preserve">. </w:t>
      </w:r>
    </w:p>
    <w:p w14:paraId="777C1939" w14:textId="12F3E246"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64747F">
        <w:rPr>
          <w:rFonts w:ascii="Palatino Linotype" w:hAnsi="Palatino Linotype" w:cstheme="minorHAnsi"/>
          <w:b/>
          <w:bCs/>
          <w:sz w:val="22"/>
          <w:szCs w:val="22"/>
        </w:rPr>
        <w:t xml:space="preserve"> büyümeyi destekledi</w:t>
      </w:r>
    </w:p>
    <w:p w14:paraId="6D5A1000" w14:textId="0E1762E1" w:rsidR="00370FEE" w:rsidRPr="00CC0355"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60593A" w:rsidRPr="00CC0355">
        <w:rPr>
          <w:rFonts w:ascii="Palatino Linotype" w:hAnsi="Palatino Linotype" w:cstheme="minorHAnsi"/>
          <w:sz w:val="22"/>
          <w:szCs w:val="22"/>
        </w:rPr>
        <w:t>20</w:t>
      </w:r>
      <w:r w:rsidR="003771C7">
        <w:rPr>
          <w:rFonts w:ascii="Palatino Linotype" w:hAnsi="Palatino Linotype" w:cstheme="minorHAnsi"/>
          <w:sz w:val="22"/>
          <w:szCs w:val="22"/>
        </w:rPr>
        <w:t>20</w:t>
      </w:r>
      <w:r w:rsidR="0060593A" w:rsidRPr="00CC0355">
        <w:rPr>
          <w:rFonts w:ascii="Palatino Linotype" w:hAnsi="Palatino Linotype" w:cstheme="minorHAnsi"/>
          <w:sz w:val="22"/>
          <w:szCs w:val="22"/>
        </w:rPr>
        <w:t xml:space="preserve"> yılı</w:t>
      </w:r>
      <w:r w:rsidR="003771C7">
        <w:rPr>
          <w:rFonts w:ascii="Palatino Linotype" w:hAnsi="Palatino Linotype" w:cstheme="minorHAnsi"/>
          <w:sz w:val="22"/>
          <w:szCs w:val="22"/>
        </w:rPr>
        <w:t xml:space="preserve">nın </w:t>
      </w:r>
      <w:r w:rsidR="0064747F">
        <w:rPr>
          <w:rFonts w:ascii="Palatino Linotype" w:hAnsi="Palatino Linotype" w:cstheme="minorHAnsi"/>
          <w:sz w:val="22"/>
          <w:szCs w:val="22"/>
        </w:rPr>
        <w:t>dördüncü</w:t>
      </w:r>
      <w:r w:rsidR="003771C7">
        <w:rPr>
          <w:rFonts w:ascii="Palatino Linotype" w:hAnsi="Palatino Linotype" w:cstheme="minorHAnsi"/>
          <w:sz w:val="22"/>
          <w:szCs w:val="22"/>
        </w:rPr>
        <w:t xml:space="preserve"> çeyreğinde kamu harcamaları yüzde </w:t>
      </w:r>
      <w:r w:rsidR="0064747F">
        <w:rPr>
          <w:rFonts w:ascii="Palatino Linotype" w:hAnsi="Palatino Linotype" w:cstheme="minorHAnsi"/>
          <w:sz w:val="22"/>
          <w:szCs w:val="22"/>
        </w:rPr>
        <w:t>6</w:t>
      </w:r>
      <w:r w:rsidR="003771C7">
        <w:rPr>
          <w:rFonts w:ascii="Palatino Linotype" w:hAnsi="Palatino Linotype" w:cstheme="minorHAnsi"/>
          <w:sz w:val="22"/>
          <w:szCs w:val="22"/>
        </w:rPr>
        <w:t>,</w:t>
      </w:r>
      <w:r w:rsidR="0064747F">
        <w:rPr>
          <w:rFonts w:ascii="Palatino Linotype" w:hAnsi="Palatino Linotype" w:cstheme="minorHAnsi"/>
          <w:sz w:val="22"/>
          <w:szCs w:val="22"/>
        </w:rPr>
        <w:t>6</w:t>
      </w:r>
      <w:r w:rsidR="003771C7">
        <w:rPr>
          <w:rFonts w:ascii="Palatino Linotype" w:hAnsi="Palatino Linotype" w:cstheme="minorHAnsi"/>
          <w:sz w:val="22"/>
          <w:szCs w:val="22"/>
        </w:rPr>
        <w:t xml:space="preserve"> </w:t>
      </w:r>
      <w:r w:rsidR="0091617E">
        <w:rPr>
          <w:rFonts w:ascii="Palatino Linotype" w:hAnsi="Palatino Linotype" w:cstheme="minorHAnsi"/>
          <w:sz w:val="22"/>
          <w:szCs w:val="22"/>
        </w:rPr>
        <w:t>genişledi</w:t>
      </w:r>
      <w:r w:rsidR="003771C7">
        <w:rPr>
          <w:rFonts w:ascii="Palatino Linotype" w:hAnsi="Palatino Linotype" w:cstheme="minorHAnsi"/>
          <w:sz w:val="22"/>
          <w:szCs w:val="22"/>
        </w:rPr>
        <w:t xml:space="preserve"> ve büyümeyi </w:t>
      </w:r>
      <w:r w:rsidR="0064747F">
        <w:rPr>
          <w:rFonts w:ascii="Palatino Linotype" w:hAnsi="Palatino Linotype" w:cstheme="minorHAnsi"/>
          <w:sz w:val="22"/>
          <w:szCs w:val="22"/>
        </w:rPr>
        <w:t>1</w:t>
      </w:r>
      <w:r w:rsidR="003771C7">
        <w:rPr>
          <w:rFonts w:ascii="Palatino Linotype" w:hAnsi="Palatino Linotype" w:cstheme="minorHAnsi"/>
          <w:sz w:val="22"/>
          <w:szCs w:val="22"/>
        </w:rPr>
        <w:t xml:space="preserve">,1 yüzde puanla </w:t>
      </w:r>
      <w:r w:rsidR="0064747F">
        <w:rPr>
          <w:rFonts w:ascii="Palatino Linotype" w:hAnsi="Palatino Linotype" w:cstheme="minorHAnsi"/>
          <w:sz w:val="22"/>
          <w:szCs w:val="22"/>
        </w:rPr>
        <w:t>önemli ölçüde</w:t>
      </w:r>
      <w:r w:rsidR="003771C7">
        <w:rPr>
          <w:rFonts w:ascii="Palatino Linotype" w:hAnsi="Palatino Linotype" w:cstheme="minorHAnsi"/>
          <w:sz w:val="22"/>
          <w:szCs w:val="22"/>
        </w:rPr>
        <w:t xml:space="preserve"> </w:t>
      </w:r>
      <w:r w:rsidR="0091617E">
        <w:rPr>
          <w:rFonts w:ascii="Palatino Linotype" w:hAnsi="Palatino Linotype" w:cstheme="minorHAnsi"/>
          <w:sz w:val="22"/>
          <w:szCs w:val="22"/>
        </w:rPr>
        <w:t>destekledi</w:t>
      </w:r>
      <w:r w:rsidR="003771C7">
        <w:rPr>
          <w:rFonts w:ascii="Palatino Linotype" w:hAnsi="Palatino Linotype" w:cstheme="minorHAnsi"/>
          <w:sz w:val="22"/>
          <w:szCs w:val="22"/>
        </w:rPr>
        <w:t xml:space="preserve"> (Tablo 1). </w:t>
      </w:r>
      <w:r w:rsidR="00D24254" w:rsidRPr="00CC0355">
        <w:rPr>
          <w:rFonts w:ascii="Palatino Linotype" w:hAnsi="Palatino Linotype" w:cstheme="minorHAnsi"/>
          <w:sz w:val="22"/>
          <w:szCs w:val="22"/>
        </w:rPr>
        <w:t xml:space="preserve">Mevsim ve takvim etkilerinden arındırılmış çeyreklik büyüme rakamlarına </w:t>
      </w:r>
      <w:r w:rsidR="00D01A3E">
        <w:rPr>
          <w:rFonts w:ascii="Palatino Linotype" w:hAnsi="Palatino Linotype" w:cstheme="minorHAnsi"/>
          <w:sz w:val="22"/>
          <w:szCs w:val="22"/>
        </w:rPr>
        <w:t xml:space="preserve">göre ise kamu harcamaları </w:t>
      </w:r>
      <w:r w:rsidR="0064747F">
        <w:rPr>
          <w:rFonts w:ascii="Palatino Linotype" w:hAnsi="Palatino Linotype" w:cstheme="minorHAnsi"/>
          <w:sz w:val="22"/>
          <w:szCs w:val="22"/>
        </w:rPr>
        <w:t>dördüncü</w:t>
      </w:r>
      <w:r w:rsidR="00D01A3E">
        <w:rPr>
          <w:rFonts w:ascii="Palatino Linotype" w:hAnsi="Palatino Linotype" w:cstheme="minorHAnsi"/>
          <w:sz w:val="22"/>
          <w:szCs w:val="22"/>
        </w:rPr>
        <w:t xml:space="preserve"> çeyrekte </w:t>
      </w:r>
      <w:r w:rsidR="0064747F">
        <w:rPr>
          <w:rFonts w:ascii="Palatino Linotype" w:hAnsi="Palatino Linotype" w:cstheme="minorHAnsi"/>
          <w:sz w:val="22"/>
          <w:szCs w:val="22"/>
        </w:rPr>
        <w:t>üçüncü</w:t>
      </w:r>
      <w:r w:rsidR="00D01A3E">
        <w:rPr>
          <w:rFonts w:ascii="Palatino Linotype" w:hAnsi="Palatino Linotype" w:cstheme="minorHAnsi"/>
          <w:sz w:val="22"/>
          <w:szCs w:val="22"/>
        </w:rPr>
        <w:t xml:space="preserve"> çeyreğe kıyasla yüzde </w:t>
      </w:r>
      <w:r w:rsidR="0064747F">
        <w:rPr>
          <w:rFonts w:ascii="Palatino Linotype" w:hAnsi="Palatino Linotype" w:cstheme="minorHAnsi"/>
          <w:sz w:val="22"/>
          <w:szCs w:val="22"/>
        </w:rPr>
        <w:t>3</w:t>
      </w:r>
      <w:r w:rsidR="00D01A3E">
        <w:rPr>
          <w:rFonts w:ascii="Palatino Linotype" w:hAnsi="Palatino Linotype" w:cstheme="minorHAnsi"/>
          <w:sz w:val="22"/>
          <w:szCs w:val="22"/>
        </w:rPr>
        <w:t>,</w:t>
      </w:r>
      <w:r w:rsidR="0064747F">
        <w:rPr>
          <w:rFonts w:ascii="Palatino Linotype" w:hAnsi="Palatino Linotype" w:cstheme="minorHAnsi"/>
          <w:sz w:val="22"/>
          <w:szCs w:val="22"/>
        </w:rPr>
        <w:t>6</w:t>
      </w:r>
      <w:r w:rsidR="00D01A3E">
        <w:rPr>
          <w:rFonts w:ascii="Palatino Linotype" w:hAnsi="Palatino Linotype" w:cstheme="minorHAnsi"/>
          <w:sz w:val="22"/>
          <w:szCs w:val="22"/>
        </w:rPr>
        <w:t xml:space="preserve"> a</w:t>
      </w:r>
      <w:r w:rsidR="0091617E">
        <w:rPr>
          <w:rFonts w:ascii="Palatino Linotype" w:hAnsi="Palatino Linotype" w:cstheme="minorHAnsi"/>
          <w:sz w:val="22"/>
          <w:szCs w:val="22"/>
        </w:rPr>
        <w:t>rttı</w:t>
      </w:r>
      <w:r w:rsidR="00D01A3E">
        <w:rPr>
          <w:rFonts w:ascii="Palatino Linotype" w:hAnsi="Palatino Linotype" w:cstheme="minorHAnsi"/>
          <w:sz w:val="22"/>
          <w:szCs w:val="22"/>
        </w:rPr>
        <w:t>. Büyümeye katkısı ise</w:t>
      </w:r>
      <w:r w:rsidR="003771C7">
        <w:rPr>
          <w:rFonts w:ascii="Palatino Linotype" w:hAnsi="Palatino Linotype" w:cstheme="minorHAnsi"/>
          <w:sz w:val="22"/>
          <w:szCs w:val="22"/>
        </w:rPr>
        <w:t xml:space="preserve"> </w:t>
      </w:r>
      <w:r w:rsidR="00D01A3E">
        <w:rPr>
          <w:rFonts w:ascii="Palatino Linotype" w:hAnsi="Palatino Linotype" w:cstheme="minorHAnsi"/>
          <w:sz w:val="22"/>
          <w:szCs w:val="22"/>
        </w:rPr>
        <w:t>0,</w:t>
      </w:r>
      <w:r w:rsidR="0064747F">
        <w:rPr>
          <w:rFonts w:ascii="Palatino Linotype" w:hAnsi="Palatino Linotype" w:cstheme="minorHAnsi"/>
          <w:sz w:val="22"/>
          <w:szCs w:val="22"/>
        </w:rPr>
        <w:t>5</w:t>
      </w:r>
      <w:r w:rsidR="006138F0" w:rsidRPr="00CC0355">
        <w:rPr>
          <w:rFonts w:ascii="Palatino Linotype" w:hAnsi="Palatino Linotype" w:cstheme="minorHAnsi"/>
          <w:sz w:val="22"/>
          <w:szCs w:val="22"/>
        </w:rPr>
        <w:t xml:space="preserve"> yüzde puan </w:t>
      </w:r>
      <w:r w:rsidR="0091617E">
        <w:rPr>
          <w:rFonts w:ascii="Palatino Linotype" w:hAnsi="Palatino Linotype" w:cstheme="minorHAnsi"/>
          <w:sz w:val="22"/>
          <w:szCs w:val="22"/>
        </w:rPr>
        <w:t>oldu</w:t>
      </w:r>
      <w:r w:rsidR="000C5C80" w:rsidRPr="00CC0355">
        <w:rPr>
          <w:rFonts w:ascii="Palatino Linotype" w:hAnsi="Palatino Linotype" w:cstheme="minorHAnsi"/>
          <w:sz w:val="22"/>
          <w:szCs w:val="22"/>
        </w:rPr>
        <w:t xml:space="preserve"> </w:t>
      </w:r>
      <w:r w:rsidR="0087023B" w:rsidRPr="00CC0355">
        <w:rPr>
          <w:rFonts w:ascii="Palatino Linotype" w:hAnsi="Palatino Linotype" w:cstheme="minorHAnsi"/>
          <w:sz w:val="22"/>
          <w:szCs w:val="22"/>
        </w:rPr>
        <w:t>(Tablo 2).</w:t>
      </w:r>
      <w:r w:rsidR="00935D6E" w:rsidRPr="00CC0355">
        <w:rPr>
          <w:rFonts w:ascii="Palatino Linotype" w:hAnsi="Palatino Linotype" w:cstheme="minorHAnsi"/>
          <w:sz w:val="22"/>
          <w:szCs w:val="22"/>
        </w:rPr>
        <w:t xml:space="preserve"> </w:t>
      </w:r>
    </w:p>
    <w:p w14:paraId="52AD8623" w14:textId="77777777"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06A5A50A" w14:textId="5FB23524" w:rsidR="00BD6EC8" w:rsidRPr="0000228F"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00228F">
        <w:rPr>
          <w:rFonts w:ascii="Palatino Linotype" w:hAnsi="Palatino Linotype" w:cstheme="minorHAnsi"/>
          <w:b/>
          <w:bCs/>
          <w:sz w:val="22"/>
          <w:szCs w:val="22"/>
        </w:rPr>
        <w:t>B</w:t>
      </w:r>
      <w:r w:rsidR="00B27C9F" w:rsidRPr="0000228F">
        <w:rPr>
          <w:rFonts w:ascii="Palatino Linotype" w:hAnsi="Palatino Linotype" w:cstheme="minorHAnsi"/>
          <w:b/>
          <w:bCs/>
          <w:sz w:val="22"/>
          <w:szCs w:val="22"/>
        </w:rPr>
        <w:t>üyümenin geleceği</w:t>
      </w:r>
    </w:p>
    <w:p w14:paraId="58E60CC4" w14:textId="061BBD52" w:rsidR="00E21E9E" w:rsidRPr="0000228F" w:rsidRDefault="00326678" w:rsidP="00E21E9E">
      <w:pPr>
        <w:pStyle w:val="NormalWeb"/>
        <w:spacing w:before="0" w:beforeAutospacing="0" w:after="0" w:afterAutospacing="0" w:line="360" w:lineRule="auto"/>
        <w:ind w:right="77"/>
        <w:jc w:val="both"/>
        <w:rPr>
          <w:rFonts w:ascii="Palatino Linotype" w:hAnsi="Palatino Linotype" w:cstheme="minorHAnsi"/>
          <w:bCs/>
          <w:sz w:val="22"/>
          <w:szCs w:val="22"/>
        </w:rPr>
      </w:pPr>
      <w:r w:rsidRPr="0000228F">
        <w:rPr>
          <w:rFonts w:ascii="Palatino Linotype" w:hAnsi="Palatino Linotype" w:cstheme="minorHAnsi"/>
          <w:bCs/>
          <w:sz w:val="22"/>
          <w:szCs w:val="22"/>
        </w:rPr>
        <w:t xml:space="preserve">2020 yılının </w:t>
      </w:r>
      <w:r w:rsidR="00D92A1A" w:rsidRPr="0000228F">
        <w:rPr>
          <w:rFonts w:ascii="Palatino Linotype" w:hAnsi="Palatino Linotype" w:cstheme="minorHAnsi"/>
          <w:bCs/>
          <w:sz w:val="22"/>
          <w:szCs w:val="22"/>
        </w:rPr>
        <w:t>dördüncü</w:t>
      </w:r>
      <w:r w:rsidRPr="0000228F">
        <w:rPr>
          <w:rFonts w:ascii="Palatino Linotype" w:hAnsi="Palatino Linotype" w:cstheme="minorHAnsi"/>
          <w:bCs/>
          <w:sz w:val="22"/>
          <w:szCs w:val="22"/>
        </w:rPr>
        <w:t xml:space="preserve"> çeyrek büyümesi beklentiler</w:t>
      </w:r>
      <w:r w:rsidR="00D92A1A" w:rsidRPr="0000228F">
        <w:rPr>
          <w:rFonts w:ascii="Palatino Linotype" w:hAnsi="Palatino Linotype" w:cstheme="minorHAnsi"/>
          <w:bCs/>
          <w:sz w:val="22"/>
          <w:szCs w:val="22"/>
        </w:rPr>
        <w:t>den daha yüksek gerçekleşti.</w:t>
      </w:r>
      <w:r w:rsidRPr="0000228F">
        <w:rPr>
          <w:rFonts w:ascii="Palatino Linotype" w:hAnsi="Palatino Linotype" w:cstheme="minorHAnsi"/>
          <w:bCs/>
          <w:sz w:val="22"/>
          <w:szCs w:val="22"/>
        </w:rPr>
        <w:t xml:space="preserve"> Bunda </w:t>
      </w:r>
      <w:proofErr w:type="gramStart"/>
      <w:r w:rsidRPr="0000228F">
        <w:rPr>
          <w:rFonts w:ascii="Palatino Linotype" w:hAnsi="Palatino Linotype" w:cstheme="minorHAnsi"/>
          <w:bCs/>
          <w:sz w:val="22"/>
          <w:szCs w:val="22"/>
        </w:rPr>
        <w:t>Haziran</w:t>
      </w:r>
      <w:proofErr w:type="gramEnd"/>
      <w:r w:rsidRPr="0000228F">
        <w:rPr>
          <w:rFonts w:ascii="Palatino Linotype" w:hAnsi="Palatino Linotype" w:cstheme="minorHAnsi"/>
          <w:bCs/>
          <w:sz w:val="22"/>
          <w:szCs w:val="22"/>
        </w:rPr>
        <w:t xml:space="preserve"> </w:t>
      </w:r>
      <w:r w:rsidR="00D92A1A" w:rsidRPr="0000228F">
        <w:rPr>
          <w:rFonts w:ascii="Palatino Linotype" w:hAnsi="Palatino Linotype" w:cstheme="minorHAnsi"/>
          <w:bCs/>
          <w:sz w:val="22"/>
          <w:szCs w:val="22"/>
        </w:rPr>
        <w:t xml:space="preserve">ayında gevşetilmeye başlanan ve Aralık ayına kadar devam eden </w:t>
      </w:r>
      <w:r w:rsidRPr="0000228F">
        <w:rPr>
          <w:rFonts w:ascii="Palatino Linotype" w:hAnsi="Palatino Linotype" w:cstheme="minorHAnsi"/>
          <w:bCs/>
          <w:sz w:val="22"/>
          <w:szCs w:val="22"/>
        </w:rPr>
        <w:t>normale</w:t>
      </w:r>
      <w:r w:rsidR="00D92A1A" w:rsidRPr="0000228F">
        <w:rPr>
          <w:rFonts w:ascii="Palatino Linotype" w:hAnsi="Palatino Linotype" w:cstheme="minorHAnsi"/>
          <w:bCs/>
          <w:sz w:val="22"/>
          <w:szCs w:val="22"/>
        </w:rPr>
        <w:t xml:space="preserve"> dönüş </w:t>
      </w:r>
      <w:r w:rsidRPr="0000228F">
        <w:rPr>
          <w:rFonts w:ascii="Palatino Linotype" w:hAnsi="Palatino Linotype" w:cstheme="minorHAnsi"/>
          <w:bCs/>
          <w:sz w:val="22"/>
          <w:szCs w:val="22"/>
        </w:rPr>
        <w:t xml:space="preserve">çabalarının etkili olduğunu söyleyebiliriz. </w:t>
      </w:r>
      <w:r w:rsidR="002F63B2" w:rsidRPr="0000228F">
        <w:rPr>
          <w:rFonts w:ascii="Palatino Linotype" w:hAnsi="Palatino Linotype" w:cstheme="minorHAnsi"/>
          <w:bCs/>
          <w:sz w:val="22"/>
          <w:szCs w:val="22"/>
        </w:rPr>
        <w:t xml:space="preserve">Bir önceki değerlendirmemizde </w:t>
      </w:r>
      <w:proofErr w:type="gramStart"/>
      <w:r w:rsidRPr="0000228F">
        <w:rPr>
          <w:rFonts w:ascii="Palatino Linotype" w:hAnsi="Palatino Linotype" w:cstheme="minorHAnsi"/>
          <w:bCs/>
          <w:sz w:val="22"/>
          <w:szCs w:val="22"/>
        </w:rPr>
        <w:t>Aralık</w:t>
      </w:r>
      <w:proofErr w:type="gramEnd"/>
      <w:r w:rsidRPr="0000228F">
        <w:rPr>
          <w:rFonts w:ascii="Palatino Linotype" w:hAnsi="Palatino Linotype" w:cstheme="minorHAnsi"/>
          <w:bCs/>
          <w:sz w:val="22"/>
          <w:szCs w:val="22"/>
        </w:rPr>
        <w:t xml:space="preserve"> </w:t>
      </w:r>
      <w:r w:rsidR="000753CE" w:rsidRPr="0000228F">
        <w:rPr>
          <w:rFonts w:ascii="Palatino Linotype" w:hAnsi="Palatino Linotype" w:cstheme="minorHAnsi"/>
          <w:bCs/>
          <w:sz w:val="22"/>
          <w:szCs w:val="22"/>
        </w:rPr>
        <w:t>ayı</w:t>
      </w:r>
      <w:r w:rsidR="002F63B2" w:rsidRPr="0000228F">
        <w:rPr>
          <w:rFonts w:ascii="Palatino Linotype" w:hAnsi="Palatino Linotype" w:cstheme="minorHAnsi"/>
          <w:bCs/>
          <w:sz w:val="22"/>
          <w:szCs w:val="22"/>
        </w:rPr>
        <w:t>nda</w:t>
      </w:r>
      <w:r w:rsidRPr="0000228F">
        <w:rPr>
          <w:rFonts w:ascii="Palatino Linotype" w:hAnsi="Palatino Linotype" w:cstheme="minorHAnsi"/>
          <w:bCs/>
          <w:sz w:val="22"/>
          <w:szCs w:val="22"/>
        </w:rPr>
        <w:t xml:space="preserve"> yeniden kısıtlamaların başladığını </w:t>
      </w:r>
      <w:r w:rsidR="002F63B2" w:rsidRPr="0000228F">
        <w:rPr>
          <w:rFonts w:ascii="Palatino Linotype" w:hAnsi="Palatino Linotype" w:cstheme="minorHAnsi"/>
          <w:bCs/>
          <w:sz w:val="22"/>
          <w:szCs w:val="22"/>
        </w:rPr>
        <w:t>ve</w:t>
      </w:r>
      <w:r w:rsidRPr="0000228F">
        <w:rPr>
          <w:rFonts w:ascii="Palatino Linotype" w:hAnsi="Palatino Linotype" w:cstheme="minorHAnsi"/>
          <w:bCs/>
          <w:sz w:val="22"/>
          <w:szCs w:val="22"/>
        </w:rPr>
        <w:t xml:space="preserve"> son çeyrek büyümesinin 3. Çeyrek büyümesine kıyasla bir miktar düşük kalacağını tahmin etm</w:t>
      </w:r>
      <w:r w:rsidR="002F63B2" w:rsidRPr="0000228F">
        <w:rPr>
          <w:rFonts w:ascii="Palatino Linotype" w:hAnsi="Palatino Linotype" w:cstheme="minorHAnsi"/>
          <w:bCs/>
          <w:sz w:val="22"/>
          <w:szCs w:val="22"/>
        </w:rPr>
        <w:t xml:space="preserve">iştik. Beklediğimiz gibi oldu. </w:t>
      </w:r>
    </w:p>
    <w:p w14:paraId="4C5F10E3" w14:textId="26D780DF" w:rsidR="00955E90" w:rsidRPr="0000228F" w:rsidRDefault="002F63B2" w:rsidP="00955E90">
      <w:pPr>
        <w:pStyle w:val="NormalWeb"/>
        <w:spacing w:before="0" w:beforeAutospacing="0" w:after="0" w:afterAutospacing="0" w:line="360" w:lineRule="auto"/>
        <w:ind w:right="77"/>
        <w:jc w:val="both"/>
        <w:rPr>
          <w:rFonts w:ascii="Palatino Linotype" w:hAnsi="Palatino Linotype" w:cstheme="minorHAnsi"/>
          <w:bCs/>
          <w:sz w:val="22"/>
          <w:szCs w:val="22"/>
        </w:rPr>
      </w:pPr>
      <w:r w:rsidRPr="0000228F">
        <w:rPr>
          <w:rFonts w:ascii="Palatino Linotype" w:hAnsi="Palatino Linotype" w:cstheme="minorHAnsi"/>
          <w:bCs/>
          <w:sz w:val="22"/>
          <w:szCs w:val="22"/>
        </w:rPr>
        <w:t xml:space="preserve">Mart ayı ile beraber </w:t>
      </w:r>
      <w:proofErr w:type="spellStart"/>
      <w:r w:rsidR="00955E90" w:rsidRPr="0000228F">
        <w:rPr>
          <w:rFonts w:ascii="Palatino Linotype" w:hAnsi="Palatino Linotype" w:cstheme="minorHAnsi"/>
          <w:bCs/>
          <w:sz w:val="22"/>
          <w:szCs w:val="22"/>
        </w:rPr>
        <w:t>koronavirüs</w:t>
      </w:r>
      <w:proofErr w:type="spellEnd"/>
      <w:r w:rsidR="00955E90" w:rsidRPr="0000228F">
        <w:rPr>
          <w:rFonts w:ascii="Palatino Linotype" w:hAnsi="Palatino Linotype" w:cstheme="minorHAnsi"/>
          <w:bCs/>
          <w:sz w:val="22"/>
          <w:szCs w:val="22"/>
        </w:rPr>
        <w:t xml:space="preserve"> risk haritası hayatımıza girdi. Buna göre iller 4 gruba ayrıldı: riskin en düşük olduğu mavi renkli iller, orta riskli sarı renkli iller, yüksek riskli turuncu iller ve çok yüksek riskli iller. Bu, sonuçlarını kestirmenin zor olduğu yeni bir durum ancak her ilde ekonomik faaliyetlerin risk oranı ile ters orantılı şekilde canlanması beklenebilir. </w:t>
      </w:r>
      <w:r w:rsidR="0000228F">
        <w:rPr>
          <w:rFonts w:ascii="Palatino Linotype" w:hAnsi="Palatino Linotype" w:cstheme="minorHAnsi"/>
          <w:bCs/>
          <w:sz w:val="22"/>
          <w:szCs w:val="22"/>
        </w:rPr>
        <w:t>Üçüncü ç</w:t>
      </w:r>
      <w:r w:rsidR="00955E90" w:rsidRPr="0000228F">
        <w:rPr>
          <w:rFonts w:ascii="Palatino Linotype" w:hAnsi="Palatino Linotype" w:cstheme="minorHAnsi"/>
          <w:bCs/>
          <w:sz w:val="22"/>
          <w:szCs w:val="22"/>
        </w:rPr>
        <w:t xml:space="preserve">eyrekte biriken stokların </w:t>
      </w:r>
      <w:r w:rsidR="0000228F" w:rsidRPr="0000228F">
        <w:rPr>
          <w:rFonts w:ascii="Palatino Linotype" w:hAnsi="Palatino Linotype" w:cstheme="minorHAnsi"/>
          <w:bCs/>
          <w:sz w:val="22"/>
          <w:szCs w:val="22"/>
        </w:rPr>
        <w:t>dördüncü</w:t>
      </w:r>
      <w:r w:rsidR="00955E90" w:rsidRPr="0000228F">
        <w:rPr>
          <w:rFonts w:ascii="Palatino Linotype" w:hAnsi="Palatino Linotype" w:cstheme="minorHAnsi"/>
          <w:bCs/>
          <w:sz w:val="22"/>
          <w:szCs w:val="22"/>
        </w:rPr>
        <w:t xml:space="preserve"> </w:t>
      </w:r>
      <w:r w:rsidR="0000228F">
        <w:rPr>
          <w:rFonts w:ascii="Palatino Linotype" w:hAnsi="Palatino Linotype" w:cstheme="minorHAnsi"/>
          <w:bCs/>
          <w:sz w:val="22"/>
          <w:szCs w:val="22"/>
        </w:rPr>
        <w:t>ç</w:t>
      </w:r>
      <w:r w:rsidR="00955E90" w:rsidRPr="0000228F">
        <w:rPr>
          <w:rFonts w:ascii="Palatino Linotype" w:hAnsi="Palatino Linotype" w:cstheme="minorHAnsi"/>
          <w:bCs/>
          <w:sz w:val="22"/>
          <w:szCs w:val="22"/>
        </w:rPr>
        <w:t>eyrekte kısmen eridiklerini görüyoruz. Yeni normalleşme tedbirlerinin de Mart’ta başladığını göz önüne aldığımızda 2021</w:t>
      </w:r>
      <w:r w:rsidR="0000228F">
        <w:rPr>
          <w:rFonts w:ascii="Palatino Linotype" w:hAnsi="Palatino Linotype" w:cstheme="minorHAnsi"/>
          <w:bCs/>
          <w:sz w:val="22"/>
          <w:szCs w:val="22"/>
        </w:rPr>
        <w:t>’in ilk ç</w:t>
      </w:r>
      <w:r w:rsidR="00955E90" w:rsidRPr="0000228F">
        <w:rPr>
          <w:rFonts w:ascii="Palatino Linotype" w:hAnsi="Palatino Linotype" w:cstheme="minorHAnsi"/>
          <w:bCs/>
          <w:sz w:val="22"/>
          <w:szCs w:val="22"/>
        </w:rPr>
        <w:t>eyrek büyüme</w:t>
      </w:r>
      <w:r w:rsidR="0000228F">
        <w:rPr>
          <w:rFonts w:ascii="Palatino Linotype" w:hAnsi="Palatino Linotype" w:cstheme="minorHAnsi"/>
          <w:bCs/>
          <w:sz w:val="22"/>
          <w:szCs w:val="22"/>
        </w:rPr>
        <w:t xml:space="preserve"> rakamı</w:t>
      </w:r>
      <w:r w:rsidR="00955E90" w:rsidRPr="0000228F">
        <w:rPr>
          <w:rFonts w:ascii="Palatino Linotype" w:hAnsi="Palatino Linotype" w:cstheme="minorHAnsi"/>
          <w:bCs/>
          <w:sz w:val="22"/>
          <w:szCs w:val="22"/>
        </w:rPr>
        <w:t xml:space="preserve"> görece düşük kalabilir. </w:t>
      </w:r>
    </w:p>
    <w:p w14:paraId="29FB68B7" w14:textId="06402597" w:rsidR="00062A8A" w:rsidRPr="00235DBE" w:rsidRDefault="00062A8A" w:rsidP="00E21E9E">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6BD03A47" w14:textId="77777777" w:rsidR="00E265D5" w:rsidRDefault="003771C7"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br/>
      </w:r>
      <w:r>
        <w:rPr>
          <w:rFonts w:ascii="Palatino Linotype" w:hAnsi="Palatino Linotype" w:cstheme="minorHAnsi"/>
          <w:b/>
          <w:bCs/>
          <w:sz w:val="22"/>
          <w:szCs w:val="22"/>
        </w:rPr>
        <w:br/>
      </w:r>
    </w:p>
    <w:p w14:paraId="193A0CC4" w14:textId="77777777" w:rsidR="00E265D5" w:rsidRDefault="00E265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lastRenderedPageBreak/>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79047BBA" w14:textId="7B53B0B8" w:rsidR="001A080D" w:rsidRPr="00CC0355" w:rsidRDefault="00E265D5"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noProof/>
          <w:sz w:val="18"/>
          <w:szCs w:val="18"/>
        </w:rPr>
        <w:drawing>
          <wp:inline distT="0" distB="0" distL="0" distR="0" wp14:anchorId="41358776" wp14:editId="683CB0B3">
            <wp:extent cx="5797550" cy="33407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0" cy="3340735"/>
                    </a:xfrm>
                    <a:prstGeom prst="rect">
                      <a:avLst/>
                    </a:prstGeom>
                    <a:noFill/>
                  </pic:spPr>
                </pic:pic>
              </a:graphicData>
            </a:graphic>
          </wp:inline>
        </w:drawing>
      </w:r>
      <w:r w:rsidR="00062A8A"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4B0D" w14:textId="77777777" w:rsidR="00AF3D11" w:rsidRDefault="00AF3D11" w:rsidP="00DA0C5D">
      <w:r>
        <w:separator/>
      </w:r>
    </w:p>
  </w:endnote>
  <w:endnote w:type="continuationSeparator" w:id="0">
    <w:p w14:paraId="19079BE1" w14:textId="77777777" w:rsidR="00AF3D11" w:rsidRDefault="00AF3D11"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5B0DB" w14:textId="77777777" w:rsidR="00AF3D11" w:rsidRDefault="00AF3D11" w:rsidP="00DA0C5D">
      <w:r>
        <w:separator/>
      </w:r>
    </w:p>
  </w:footnote>
  <w:footnote w:type="continuationSeparator" w:id="0">
    <w:p w14:paraId="794E553D" w14:textId="77777777" w:rsidR="00AF3D11" w:rsidRDefault="00AF3D11"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FootnoteText"/>
      </w:pPr>
      <w:r>
        <w:rPr>
          <w:rStyle w:val="FootnoteReference"/>
        </w:rPr>
        <w:footnoteRef/>
      </w:r>
      <w:r>
        <w:t xml:space="preserve"> </w:t>
      </w:r>
      <w:r w:rsidRPr="00494926">
        <w:t xml:space="preserve">TÜİK yeni milli gelir serilerini hesaplarken zincirleme hacim endeksi yöntemini kullanıyor. Zincirleme yöntemde hem </w:t>
      </w:r>
      <w:proofErr w:type="spellStart"/>
      <w:r w:rsidRPr="00494926">
        <w:t>toplamsallık</w:t>
      </w:r>
      <w:proofErr w:type="spellEnd"/>
      <w:r w:rsidRPr="00494926">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228F"/>
    <w:rsid w:val="0001392F"/>
    <w:rsid w:val="000141C7"/>
    <w:rsid w:val="00017B51"/>
    <w:rsid w:val="00030A2C"/>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D6E6C"/>
    <w:rsid w:val="000D70D1"/>
    <w:rsid w:val="000E2388"/>
    <w:rsid w:val="000E445D"/>
    <w:rsid w:val="000F0B6B"/>
    <w:rsid w:val="000F2C7A"/>
    <w:rsid w:val="000F378E"/>
    <w:rsid w:val="000F652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73E"/>
    <w:rsid w:val="00232635"/>
    <w:rsid w:val="002343A8"/>
    <w:rsid w:val="00235DBE"/>
    <w:rsid w:val="00242C10"/>
    <w:rsid w:val="00247A3C"/>
    <w:rsid w:val="0025111C"/>
    <w:rsid w:val="00253E19"/>
    <w:rsid w:val="00265553"/>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7743"/>
    <w:rsid w:val="00451A8A"/>
    <w:rsid w:val="004623F2"/>
    <w:rsid w:val="004647F0"/>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50C1"/>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7008D"/>
    <w:rsid w:val="0067066F"/>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1B6"/>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A3BD9"/>
    <w:rsid w:val="008B0385"/>
    <w:rsid w:val="008B29F8"/>
    <w:rsid w:val="008B6FC3"/>
    <w:rsid w:val="008C51CA"/>
    <w:rsid w:val="008C56F9"/>
    <w:rsid w:val="008C70C5"/>
    <w:rsid w:val="008C73E6"/>
    <w:rsid w:val="008D7AA2"/>
    <w:rsid w:val="008F1741"/>
    <w:rsid w:val="008F2BCD"/>
    <w:rsid w:val="00912A8A"/>
    <w:rsid w:val="00914D26"/>
    <w:rsid w:val="0091617E"/>
    <w:rsid w:val="00916533"/>
    <w:rsid w:val="00916C78"/>
    <w:rsid w:val="00917330"/>
    <w:rsid w:val="009204AA"/>
    <w:rsid w:val="00920DA2"/>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5241"/>
    <w:rsid w:val="009E68C6"/>
    <w:rsid w:val="009F2483"/>
    <w:rsid w:val="009F42CC"/>
    <w:rsid w:val="009F603E"/>
    <w:rsid w:val="00A0130D"/>
    <w:rsid w:val="00A03316"/>
    <w:rsid w:val="00A0483D"/>
    <w:rsid w:val="00A04EFA"/>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B1006"/>
    <w:rsid w:val="00AB36F7"/>
    <w:rsid w:val="00AC2B3D"/>
    <w:rsid w:val="00AD01B6"/>
    <w:rsid w:val="00AD7ADC"/>
    <w:rsid w:val="00AE59EE"/>
    <w:rsid w:val="00AF3D11"/>
    <w:rsid w:val="00B01508"/>
    <w:rsid w:val="00B01533"/>
    <w:rsid w:val="00B02076"/>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0912"/>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0355"/>
    <w:rsid w:val="00CC3EAD"/>
    <w:rsid w:val="00CC44D3"/>
    <w:rsid w:val="00CC5784"/>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2A1A"/>
    <w:rsid w:val="00D94A3B"/>
    <w:rsid w:val="00D95EA2"/>
    <w:rsid w:val="00D9649B"/>
    <w:rsid w:val="00D976E9"/>
    <w:rsid w:val="00DA0C5D"/>
    <w:rsid w:val="00DA5524"/>
    <w:rsid w:val="00DA618C"/>
    <w:rsid w:val="00DA6E52"/>
    <w:rsid w:val="00DB4A16"/>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3E54"/>
    <w:rsid w:val="00E25A25"/>
    <w:rsid w:val="00E265D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29EC"/>
    <w:rsid w:val="00F0076E"/>
    <w:rsid w:val="00F00FB7"/>
    <w:rsid w:val="00F0654E"/>
    <w:rsid w:val="00F118B1"/>
    <w:rsid w:val="00F136EE"/>
    <w:rsid w:val="00F22A71"/>
    <w:rsid w:val="00F259FE"/>
    <w:rsid w:val="00F27D86"/>
    <w:rsid w:val="00F30329"/>
    <w:rsid w:val="00F31726"/>
    <w:rsid w:val="00F31E52"/>
    <w:rsid w:val="00F33EED"/>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5</Pages>
  <Words>929</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Ozan BAKIS</cp:lastModifiedBy>
  <cp:revision>71</cp:revision>
  <cp:lastPrinted>2019-12-05T12:09:00Z</cp:lastPrinted>
  <dcterms:created xsi:type="dcterms:W3CDTF">2019-12-05T12:09:00Z</dcterms:created>
  <dcterms:modified xsi:type="dcterms:W3CDTF">2021-03-10T14:32:00Z</dcterms:modified>
</cp:coreProperties>
</file>