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5972281"/>
    <w:p w:rsidR="00CE6600" w:rsidRPr="00551409" w:rsidRDefault="00CE6600" w:rsidP="00CE6600">
      <w:pPr>
        <w:rPr>
          <w:b/>
          <w:bCs/>
          <w:sz w:val="24"/>
          <w:szCs w:val="24"/>
          <w:lang w:val="en-US"/>
        </w:rPr>
      </w:pPr>
      <w:r w:rsidRPr="00551409">
        <w:rPr>
          <w:noProof/>
          <w:lang w:val="en-US" w:eastAsia="en-GB"/>
        </w:rPr>
        <mc:AlternateContent>
          <mc:Choice Requires="wps">
            <w:drawing>
              <wp:anchor distT="0" distB="0" distL="114935" distR="114935" simplePos="0" relativeHeight="251660288" behindDoc="0" locked="0" layoutInCell="1" allowOverlap="1" wp14:anchorId="73F4BDB2" wp14:editId="0F1E39FF">
                <wp:simplePos x="0" y="0"/>
                <wp:positionH relativeFrom="column">
                  <wp:posOffset>1643380</wp:posOffset>
                </wp:positionH>
                <wp:positionV relativeFrom="paragraph">
                  <wp:posOffset>-585470</wp:posOffset>
                </wp:positionV>
                <wp:extent cx="3774644" cy="62179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644" cy="6217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065C" w:rsidRPr="00E066EE" w:rsidRDefault="0087065C" w:rsidP="00CE6600">
                            <w:pPr>
                              <w:pStyle w:val="Balk1"/>
                              <w:jc w:val="left"/>
                              <w:rPr>
                                <w:rFonts w:ascii="Palatino Linotype" w:hAnsi="Palatino Linotype"/>
                                <w:b/>
                                <w:sz w:val="52"/>
                                <w:szCs w:val="52"/>
                              </w:rPr>
                            </w:pPr>
                            <w:proofErr w:type="spellStart"/>
                            <w:r>
                              <w:rPr>
                                <w:rFonts w:ascii="Palatino Linotype" w:hAnsi="Palatino Linotype"/>
                                <w:b/>
                                <w:color w:val="auto"/>
                                <w:sz w:val="52"/>
                                <w:szCs w:val="52"/>
                              </w:rPr>
                              <w:t>Research</w:t>
                            </w:r>
                            <w:proofErr w:type="spellEnd"/>
                            <w:r>
                              <w:rPr>
                                <w:rFonts w:ascii="Palatino Linotype" w:hAnsi="Palatino Linotype"/>
                                <w:b/>
                                <w:color w:val="auto"/>
                                <w:sz w:val="52"/>
                                <w:szCs w:val="52"/>
                              </w:rPr>
                              <w:t xml:space="preserve"> </w:t>
                            </w:r>
                            <w:proofErr w:type="spellStart"/>
                            <w:r>
                              <w:rPr>
                                <w:rFonts w:ascii="Palatino Linotype" w:hAnsi="Palatino Linotype"/>
                                <w:b/>
                                <w:color w:val="auto"/>
                                <w:sz w:val="52"/>
                                <w:szCs w:val="52"/>
                              </w:rPr>
                              <w:t>Brief</w:t>
                            </w:r>
                            <w:proofErr w:type="spellEnd"/>
                            <w:r w:rsidRPr="0018126D">
                              <w:rPr>
                                <w:rFonts w:ascii="Palatino Linotype" w:hAnsi="Palatino Linotype"/>
                                <w:b/>
                                <w:color w:val="auto"/>
                                <w:sz w:val="52"/>
                                <w:szCs w:val="52"/>
                              </w:rPr>
                              <w:t xml:space="preserve"> </w:t>
                            </w:r>
                            <w:r w:rsidR="003913A0">
                              <w:rPr>
                                <w:rFonts w:ascii="Palatino Linotype" w:hAnsi="Palatino Linotype"/>
                                <w:b/>
                                <w:color w:val="auto"/>
                                <w:sz w:val="52"/>
                                <w:szCs w:val="52"/>
                              </w:rPr>
                              <w:t>20</w:t>
                            </w:r>
                            <w:r>
                              <w:rPr>
                                <w:rFonts w:ascii="Palatino Linotype" w:hAnsi="Palatino Linotype"/>
                                <w:b/>
                                <w:color w:val="auto"/>
                                <w:sz w:val="52"/>
                                <w:szCs w:val="52"/>
                              </w:rPr>
                              <w:t>/</w:t>
                            </w:r>
                            <w:r w:rsidR="003913A0">
                              <w:rPr>
                                <w:rFonts w:ascii="Palatino Linotype" w:hAnsi="Palatino Linotype"/>
                                <w:b/>
                                <w:color w:val="auto"/>
                                <w:sz w:val="52"/>
                                <w:szCs w:val="52"/>
                              </w:rPr>
                              <w:t>251</w:t>
                            </w:r>
                          </w:p>
                          <w:p w:rsidR="0087065C" w:rsidRPr="00B54C13" w:rsidRDefault="0087065C" w:rsidP="00CE6600">
                            <w:pPr>
                              <w:pStyle w:val="Balk2"/>
                              <w:rPr>
                                <w:b w:val="0"/>
                                <w:bCs w:val="0"/>
                                <w:i/>
                                <w:iCs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4BDB2" id="_x0000_t202" coordsize="21600,21600" o:spt="202" path="m,l,21600r21600,l21600,xe">
                <v:stroke joinstyle="miter"/>
                <v:path gradientshapeok="t" o:connecttype="rect"/>
              </v:shapetype>
              <v:shape id="Text Box 3" o:spid="_x0000_s1026" type="#_x0000_t202" style="position:absolute;margin-left:129.4pt;margin-top:-46.1pt;width:297.2pt;height:4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" stroked="f">
                <v:fill opacity="0"/>
                <v:textbox inset="0,0,0,0">
                  <w:txbxContent>
                    <w:p w:rsidR="0087065C" w:rsidRPr="00E066EE" w:rsidRDefault="0087065C" w:rsidP="00CE6600">
                      <w:pPr>
                        <w:pStyle w:val="Balk1"/>
                        <w:jc w:val="left"/>
                        <w:rPr>
                          <w:rFonts w:ascii="Palatino Linotype" w:hAnsi="Palatino Linotype"/>
                          <w:b/>
                          <w:sz w:val="52"/>
                          <w:szCs w:val="52"/>
                        </w:rPr>
                      </w:pPr>
                      <w:r>
                        <w:rPr>
                          <w:rFonts w:ascii="Palatino Linotype" w:hAnsi="Palatino Linotype"/>
                          <w:b/>
                          <w:color w:val="auto"/>
                          <w:sz w:val="52"/>
                          <w:szCs w:val="52"/>
                        </w:rPr>
                        <w:t>Research Brief</w:t>
                      </w:r>
                      <w:r w:rsidRPr="0018126D">
                        <w:rPr>
                          <w:rFonts w:ascii="Palatino Linotype" w:hAnsi="Palatino Linotype"/>
                          <w:b/>
                          <w:color w:val="auto"/>
                          <w:sz w:val="52"/>
                          <w:szCs w:val="52"/>
                        </w:rPr>
                        <w:t xml:space="preserve"> </w:t>
                      </w:r>
                      <w:r w:rsidR="003913A0">
                        <w:rPr>
                          <w:rFonts w:ascii="Palatino Linotype" w:hAnsi="Palatino Linotype"/>
                          <w:b/>
                          <w:color w:val="auto"/>
                          <w:sz w:val="52"/>
                          <w:szCs w:val="52"/>
                        </w:rPr>
                        <w:t>20</w:t>
                      </w:r>
                      <w:r>
                        <w:rPr>
                          <w:rFonts w:ascii="Palatino Linotype" w:hAnsi="Palatino Linotype"/>
                          <w:b/>
                          <w:color w:val="auto"/>
                          <w:sz w:val="52"/>
                          <w:szCs w:val="52"/>
                        </w:rPr>
                        <w:t>/</w:t>
                      </w:r>
                      <w:r w:rsidR="003913A0">
                        <w:rPr>
                          <w:rFonts w:ascii="Palatino Linotype" w:hAnsi="Palatino Linotype"/>
                          <w:b/>
                          <w:color w:val="auto"/>
                          <w:sz w:val="52"/>
                          <w:szCs w:val="52"/>
                        </w:rPr>
                        <w:t>251</w:t>
                      </w:r>
                      <w:bookmarkStart w:id="2" w:name="_GoBack"/>
                      <w:bookmarkEnd w:id="2"/>
                    </w:p>
                    <w:p w:rsidR="0087065C" w:rsidRPr="00B54C13" w:rsidRDefault="0087065C" w:rsidP="00CE6600">
                      <w:pPr>
                        <w:pStyle w:val="Balk2"/>
                        <w:rPr>
                          <w:b w:val="0"/>
                          <w:bCs w:val="0"/>
                          <w:i/>
                          <w:iCs w:val="0"/>
                          <w:lang w:val="tr-TR"/>
                        </w:rPr>
                      </w:pPr>
                    </w:p>
                  </w:txbxContent>
                </v:textbox>
              </v:shape>
            </w:pict>
          </mc:Fallback>
        </mc:AlternateContent>
      </w:r>
      <w:r w:rsidRPr="00551409">
        <w:rPr>
          <w:noProof/>
          <w:lang w:val="en-US" w:eastAsia="en-GB"/>
        </w:rPr>
        <w:drawing>
          <wp:anchor distT="0" distB="0" distL="114300" distR="114300" simplePos="0" relativeHeight="251659264" behindDoc="1" locked="0" layoutInCell="1" allowOverlap="1" wp14:anchorId="15A3A782" wp14:editId="425DDEB9">
            <wp:simplePos x="0" y="0"/>
            <wp:positionH relativeFrom="margin">
              <wp:align>center</wp:align>
            </wp:positionH>
            <wp:positionV relativeFrom="paragraph">
              <wp:posOffset>-742950</wp:posOffset>
            </wp:positionV>
            <wp:extent cx="7229475" cy="1322213"/>
            <wp:effectExtent l="0" t="0" r="0" b="0"/>
            <wp:wrapNone/>
            <wp:docPr id="1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229475" cy="1322213"/>
                    </a:xfrm>
                    <a:prstGeom prst="rect">
                      <a:avLst/>
                    </a:prstGeom>
                    <a:noFill/>
                  </pic:spPr>
                </pic:pic>
              </a:graphicData>
            </a:graphic>
          </wp:anchor>
        </w:drawing>
      </w:r>
    </w:p>
    <w:p w:rsidR="00CE6600" w:rsidRPr="00551409" w:rsidRDefault="003913A0" w:rsidP="00CE6600">
      <w:pPr>
        <w:jc w:val="right"/>
        <w:rPr>
          <w:b/>
          <w:bCs/>
          <w:color w:val="FFFFFF" w:themeColor="background1"/>
          <w:sz w:val="24"/>
          <w:szCs w:val="24"/>
          <w:lang w:val="en-US"/>
        </w:rPr>
      </w:pPr>
      <w:r>
        <w:rPr>
          <w:b/>
          <w:bCs/>
          <w:color w:val="FFFFFF" w:themeColor="background1"/>
          <w:sz w:val="24"/>
          <w:szCs w:val="24"/>
          <w:lang w:val="en-US"/>
        </w:rPr>
        <w:t>14</w:t>
      </w:r>
      <w:r w:rsidR="00437514" w:rsidRPr="00551409">
        <w:rPr>
          <w:b/>
          <w:bCs/>
          <w:color w:val="FFFFFF" w:themeColor="background1"/>
          <w:sz w:val="24"/>
          <w:szCs w:val="24"/>
          <w:lang w:val="en-US"/>
        </w:rPr>
        <w:t xml:space="preserve"> </w:t>
      </w:r>
      <w:r>
        <w:rPr>
          <w:b/>
          <w:bCs/>
          <w:color w:val="FFFFFF" w:themeColor="background1"/>
          <w:sz w:val="24"/>
          <w:szCs w:val="24"/>
          <w:lang w:val="en-US"/>
        </w:rPr>
        <w:t>May</w:t>
      </w:r>
      <w:r w:rsidR="00CE6600" w:rsidRPr="00551409">
        <w:rPr>
          <w:b/>
          <w:bCs/>
          <w:color w:val="FFFFFF" w:themeColor="background1"/>
          <w:sz w:val="24"/>
          <w:szCs w:val="24"/>
          <w:lang w:val="en-US"/>
        </w:rPr>
        <w:t xml:space="preserve"> 2020</w:t>
      </w:r>
    </w:p>
    <w:p w:rsidR="00CE6600" w:rsidRPr="00551409" w:rsidRDefault="00CE6600" w:rsidP="00CE6600">
      <w:pPr>
        <w:rPr>
          <w:b/>
          <w:bCs/>
          <w:sz w:val="24"/>
          <w:szCs w:val="24"/>
          <w:lang w:val="en-US"/>
        </w:rPr>
      </w:pPr>
    </w:p>
    <w:p w:rsidR="00CE6600" w:rsidRPr="00551409" w:rsidRDefault="00CE6600" w:rsidP="00CE6600">
      <w:pPr>
        <w:jc w:val="center"/>
        <w:rPr>
          <w:rFonts w:ascii="Palatino Linotype" w:hAnsi="Palatino Linotype"/>
          <w:b/>
          <w:bCs/>
          <w:sz w:val="32"/>
          <w:szCs w:val="32"/>
          <w:lang w:val="en-US"/>
        </w:rPr>
      </w:pPr>
      <w:r w:rsidRPr="00551409">
        <w:rPr>
          <w:rFonts w:ascii="Palatino Linotype" w:hAnsi="Palatino Linotype"/>
          <w:b/>
          <w:bCs/>
          <w:sz w:val="32"/>
          <w:szCs w:val="32"/>
          <w:lang w:val="en-US"/>
        </w:rPr>
        <w:t>T</w:t>
      </w:r>
      <w:r w:rsidR="00023437" w:rsidRPr="00551409">
        <w:rPr>
          <w:rFonts w:ascii="Palatino Linotype" w:hAnsi="Palatino Linotype"/>
          <w:b/>
          <w:bCs/>
          <w:sz w:val="32"/>
          <w:szCs w:val="32"/>
          <w:lang w:val="en-US"/>
        </w:rPr>
        <w:t>otal Factor Productivity in Agriculture, Manufacturing, Construction and Services</w:t>
      </w:r>
      <w:r w:rsidRPr="00551409">
        <w:rPr>
          <w:rFonts w:ascii="Palatino Linotype" w:hAnsi="Palatino Linotype"/>
          <w:b/>
          <w:bCs/>
          <w:sz w:val="32"/>
          <w:szCs w:val="32"/>
          <w:lang w:val="en-US"/>
        </w:rPr>
        <w:t>: 1980-2018</w:t>
      </w:r>
      <w:r w:rsidRPr="00551409">
        <w:rPr>
          <w:rStyle w:val="DipnotBavurusu"/>
          <w:rFonts w:ascii="Palatino Linotype" w:hAnsi="Palatino Linotype"/>
          <w:b/>
          <w:bCs/>
          <w:sz w:val="32"/>
          <w:szCs w:val="32"/>
          <w:lang w:val="en-US"/>
        </w:rPr>
        <w:footnoteReference w:customMarkFollows="1" w:id="1"/>
        <w:sym w:font="Symbol" w:char="F023"/>
      </w:r>
    </w:p>
    <w:bookmarkEnd w:id="0"/>
    <w:p w:rsidR="00CE6600" w:rsidRPr="00551409" w:rsidRDefault="00CE6600" w:rsidP="00CE6600">
      <w:pPr>
        <w:jc w:val="center"/>
        <w:rPr>
          <w:rFonts w:ascii="Palatino Linotype" w:hAnsi="Palatino Linotype"/>
          <w:b/>
          <w:bCs/>
          <w:lang w:val="en-US"/>
        </w:rPr>
      </w:pPr>
      <w:r w:rsidRPr="00551409">
        <w:rPr>
          <w:rFonts w:ascii="Palatino Linotype" w:hAnsi="Palatino Linotype"/>
          <w:b/>
          <w:bCs/>
          <w:lang w:val="en-US"/>
        </w:rPr>
        <w:t xml:space="preserve">Ozan </w:t>
      </w:r>
      <w:proofErr w:type="spellStart"/>
      <w:r w:rsidRPr="00551409">
        <w:rPr>
          <w:rFonts w:ascii="Palatino Linotype" w:hAnsi="Palatino Linotype"/>
          <w:b/>
          <w:bCs/>
          <w:lang w:val="en-US"/>
        </w:rPr>
        <w:t>Bakış</w:t>
      </w:r>
      <w:proofErr w:type="spellEnd"/>
      <w:r w:rsidRPr="00551409">
        <w:rPr>
          <w:rStyle w:val="DipnotBavurusu"/>
          <w:rFonts w:ascii="Palatino Linotype" w:hAnsi="Palatino Linotype"/>
          <w:b/>
          <w:bCs/>
          <w:lang w:val="en-US"/>
        </w:rPr>
        <w:footnoteReference w:customMarkFollows="1" w:id="2"/>
        <w:t>*</w:t>
      </w:r>
      <w:r w:rsidRPr="00551409">
        <w:rPr>
          <w:rFonts w:ascii="Palatino Linotype" w:hAnsi="Palatino Linotype"/>
          <w:b/>
          <w:bCs/>
          <w:lang w:val="en-US"/>
        </w:rPr>
        <w:t xml:space="preserve">, </w:t>
      </w:r>
      <w:proofErr w:type="spellStart"/>
      <w:r w:rsidRPr="00551409">
        <w:rPr>
          <w:rFonts w:ascii="Palatino Linotype" w:hAnsi="Palatino Linotype"/>
          <w:b/>
          <w:bCs/>
          <w:lang w:val="en-US"/>
        </w:rPr>
        <w:t>Uğurcan</w:t>
      </w:r>
      <w:proofErr w:type="spellEnd"/>
      <w:r w:rsidRPr="00551409">
        <w:rPr>
          <w:rFonts w:ascii="Palatino Linotype" w:hAnsi="Palatino Linotype"/>
          <w:b/>
          <w:bCs/>
          <w:lang w:val="en-US"/>
        </w:rPr>
        <w:t xml:space="preserve"> </w:t>
      </w:r>
      <w:proofErr w:type="spellStart"/>
      <w:r w:rsidRPr="00551409">
        <w:rPr>
          <w:rFonts w:ascii="Palatino Linotype" w:hAnsi="Palatino Linotype"/>
          <w:b/>
          <w:bCs/>
          <w:lang w:val="en-US"/>
        </w:rPr>
        <w:t>Acar</w:t>
      </w:r>
      <w:proofErr w:type="spellEnd"/>
      <w:r w:rsidRPr="00551409">
        <w:rPr>
          <w:rStyle w:val="DipnotBavurusu"/>
          <w:rFonts w:ascii="Palatino Linotype" w:hAnsi="Palatino Linotype"/>
          <w:b/>
          <w:bCs/>
          <w:lang w:val="en-US"/>
        </w:rPr>
        <w:footnoteReference w:customMarkFollows="1" w:id="3"/>
        <w:t>**</w:t>
      </w:r>
      <w:r w:rsidRPr="00551409">
        <w:rPr>
          <w:rFonts w:ascii="Palatino Linotype" w:hAnsi="Palatino Linotype"/>
          <w:b/>
          <w:bCs/>
          <w:lang w:val="en-US"/>
        </w:rPr>
        <w:t xml:space="preserve"> </w:t>
      </w:r>
      <w:proofErr w:type="spellStart"/>
      <w:r w:rsidRPr="00551409">
        <w:rPr>
          <w:rFonts w:ascii="Palatino Linotype" w:hAnsi="Palatino Linotype"/>
          <w:b/>
          <w:bCs/>
          <w:lang w:val="en-US"/>
        </w:rPr>
        <w:t>ve</w:t>
      </w:r>
      <w:proofErr w:type="spellEnd"/>
      <w:r w:rsidRPr="00551409">
        <w:rPr>
          <w:rFonts w:ascii="Palatino Linotype" w:hAnsi="Palatino Linotype"/>
          <w:b/>
          <w:bCs/>
          <w:lang w:val="en-US"/>
        </w:rPr>
        <w:t xml:space="preserve"> Gökhan Dilek</w:t>
      </w:r>
      <w:r w:rsidRPr="00551409">
        <w:rPr>
          <w:rStyle w:val="DipnotBavurusu"/>
          <w:rFonts w:ascii="Palatino Linotype" w:hAnsi="Palatino Linotype"/>
          <w:b/>
          <w:bCs/>
          <w:lang w:val="en-US"/>
        </w:rPr>
        <w:footnoteReference w:customMarkFollows="1" w:id="4"/>
        <w:t>**</w:t>
      </w:r>
    </w:p>
    <w:p w:rsidR="00CE6600" w:rsidRPr="00551409" w:rsidRDefault="00CE6600" w:rsidP="00CE6600">
      <w:pPr>
        <w:jc w:val="center"/>
        <w:rPr>
          <w:rFonts w:ascii="Palatino Linotype" w:hAnsi="Palatino Linotype"/>
          <w:b/>
          <w:bCs/>
          <w:lang w:val="en-US"/>
        </w:rPr>
      </w:pPr>
    </w:p>
    <w:p w:rsidR="00CE6600" w:rsidRPr="00551409" w:rsidRDefault="00F63EA0" w:rsidP="00CE6600">
      <w:pPr>
        <w:jc w:val="center"/>
        <w:rPr>
          <w:rFonts w:ascii="Palatino Linotype" w:hAnsi="Palatino Linotype"/>
          <w:b/>
          <w:bCs/>
          <w:sz w:val="26"/>
          <w:szCs w:val="26"/>
          <w:lang w:val="en-US"/>
        </w:rPr>
      </w:pPr>
      <w:r w:rsidRPr="00551409">
        <w:rPr>
          <w:rFonts w:ascii="Palatino Linotype" w:hAnsi="Palatino Linotype"/>
          <w:b/>
          <w:bCs/>
          <w:sz w:val="26"/>
          <w:szCs w:val="26"/>
          <w:lang w:val="en-US"/>
        </w:rPr>
        <w:t>Executive Summary</w:t>
      </w:r>
    </w:p>
    <w:p w:rsidR="00F63EA0" w:rsidRPr="00551409" w:rsidRDefault="00F63EA0" w:rsidP="00772D60">
      <w:pPr>
        <w:spacing w:after="240" w:line="276" w:lineRule="auto"/>
        <w:ind w:left="567" w:right="567"/>
        <w:jc w:val="both"/>
        <w:rPr>
          <w:rFonts w:ascii="Palatino Linotype" w:hAnsi="Palatino Linotype"/>
          <w:lang w:val="en-US"/>
        </w:rPr>
      </w:pPr>
      <w:r w:rsidRPr="00551409">
        <w:rPr>
          <w:rFonts w:ascii="Palatino Linotype" w:hAnsi="Palatino Linotype"/>
          <w:lang w:val="en-US"/>
        </w:rPr>
        <w:t xml:space="preserve">In this research brief, we examine Total Factor Productivity (TFP) dynamics in Turkish economy for the four main sectors (agriculture, industry, </w:t>
      </w:r>
      <w:proofErr w:type="gramStart"/>
      <w:r w:rsidRPr="00551409">
        <w:rPr>
          <w:rFonts w:ascii="Palatino Linotype" w:hAnsi="Palatino Linotype"/>
          <w:lang w:val="en-US"/>
        </w:rPr>
        <w:t>construction</w:t>
      </w:r>
      <w:proofErr w:type="gramEnd"/>
      <w:r w:rsidRPr="00551409">
        <w:rPr>
          <w:rFonts w:ascii="Palatino Linotype" w:hAnsi="Palatino Linotype"/>
          <w:lang w:val="en-US"/>
        </w:rPr>
        <w:t xml:space="preserve"> and services). In the years between 1980 and 2018, all sectors record TFP increases except services. The cumulative increase in TFP is the highest in the industry sector with 1</w:t>
      </w:r>
      <w:r w:rsidR="00531A32">
        <w:rPr>
          <w:rFonts w:ascii="Palatino Linotype" w:hAnsi="Palatino Linotype"/>
          <w:lang w:val="en-US"/>
        </w:rPr>
        <w:t>23.2</w:t>
      </w:r>
      <w:r w:rsidRPr="00551409">
        <w:rPr>
          <w:rFonts w:ascii="Palatino Linotype" w:hAnsi="Palatino Linotype"/>
          <w:lang w:val="en-US"/>
        </w:rPr>
        <w:t xml:space="preserve">% growth rate followed by the agriculture with </w:t>
      </w:r>
      <w:r w:rsidR="00531A32">
        <w:rPr>
          <w:rFonts w:ascii="Palatino Linotype" w:hAnsi="Palatino Linotype"/>
          <w:lang w:val="en-US"/>
        </w:rPr>
        <w:t>5</w:t>
      </w:r>
      <w:r w:rsidRPr="00551409">
        <w:rPr>
          <w:rFonts w:ascii="Palatino Linotype" w:hAnsi="Palatino Linotype"/>
          <w:lang w:val="en-US"/>
        </w:rPr>
        <w:t>8</w:t>
      </w:r>
      <w:r w:rsidR="00531A32">
        <w:rPr>
          <w:rFonts w:ascii="Palatino Linotype" w:hAnsi="Palatino Linotype"/>
          <w:lang w:val="en-US"/>
        </w:rPr>
        <w:t>.3</w:t>
      </w:r>
      <w:r w:rsidRPr="00551409">
        <w:rPr>
          <w:rFonts w:ascii="Palatino Linotype" w:hAnsi="Palatino Linotype"/>
          <w:lang w:val="en-US"/>
        </w:rPr>
        <w:t xml:space="preserve">% in this 38-year period. TFP growth in construction </w:t>
      </w:r>
      <w:r w:rsidR="00531A32">
        <w:rPr>
          <w:rFonts w:ascii="Palatino Linotype" w:hAnsi="Palatino Linotype"/>
          <w:lang w:val="en-US"/>
        </w:rPr>
        <w:t xml:space="preserve">slightly </w:t>
      </w:r>
      <w:r w:rsidRPr="00551409">
        <w:rPr>
          <w:rFonts w:ascii="Palatino Linotype" w:hAnsi="Palatino Linotype"/>
          <w:lang w:val="en-US"/>
        </w:rPr>
        <w:t>fall</w:t>
      </w:r>
      <w:r w:rsidR="00531A32">
        <w:rPr>
          <w:rFonts w:ascii="Palatino Linotype" w:hAnsi="Palatino Linotype"/>
          <w:lang w:val="en-US"/>
        </w:rPr>
        <w:t>s</w:t>
      </w:r>
      <w:r w:rsidRPr="00551409">
        <w:rPr>
          <w:rFonts w:ascii="Palatino Linotype" w:hAnsi="Palatino Linotype"/>
          <w:lang w:val="en-US"/>
        </w:rPr>
        <w:t xml:space="preserve"> behind the agriculture with a figure of </w:t>
      </w:r>
      <w:r w:rsidR="00531A32">
        <w:rPr>
          <w:rFonts w:ascii="Palatino Linotype" w:hAnsi="Palatino Linotype"/>
          <w:lang w:val="en-US"/>
        </w:rPr>
        <w:t>56.4</w:t>
      </w:r>
      <w:r w:rsidRPr="00551409">
        <w:rPr>
          <w:rFonts w:ascii="Palatino Linotype" w:hAnsi="Palatino Linotype"/>
          <w:lang w:val="en-US"/>
        </w:rPr>
        <w:t xml:space="preserve"> percent while in services, TFP decreases by 4</w:t>
      </w:r>
      <w:r w:rsidR="00531A32">
        <w:rPr>
          <w:rFonts w:ascii="Palatino Linotype" w:hAnsi="Palatino Linotype"/>
          <w:lang w:val="en-US"/>
        </w:rPr>
        <w:t>1.3</w:t>
      </w:r>
      <w:r w:rsidRPr="00551409">
        <w:rPr>
          <w:rFonts w:ascii="Palatino Linotype" w:hAnsi="Palatino Linotype"/>
          <w:lang w:val="en-US"/>
        </w:rPr>
        <w:t xml:space="preserve"> percent.</w:t>
      </w:r>
    </w:p>
    <w:p w:rsidR="0099717C" w:rsidRPr="00551409" w:rsidRDefault="0099717C" w:rsidP="0099717C">
      <w:pPr>
        <w:spacing w:after="240" w:line="276" w:lineRule="auto"/>
        <w:ind w:left="567" w:right="567"/>
        <w:jc w:val="both"/>
        <w:rPr>
          <w:rFonts w:ascii="Palatino Linotype" w:hAnsi="Palatino Linotype"/>
          <w:lang w:val="en-US"/>
        </w:rPr>
      </w:pPr>
      <w:r w:rsidRPr="00551409">
        <w:rPr>
          <w:rFonts w:ascii="Palatino Linotype" w:hAnsi="Palatino Linotype"/>
          <w:lang w:val="en-US"/>
        </w:rPr>
        <w:t>According to broad periodization we reach the following conclusions:</w:t>
      </w:r>
    </w:p>
    <w:p w:rsidR="0099717C" w:rsidRPr="00551409" w:rsidRDefault="0099717C" w:rsidP="00497D2D">
      <w:pPr>
        <w:pStyle w:val="ListeParagraf"/>
        <w:numPr>
          <w:ilvl w:val="0"/>
          <w:numId w:val="2"/>
        </w:numPr>
        <w:spacing w:after="240" w:line="276" w:lineRule="auto"/>
        <w:ind w:right="567"/>
        <w:jc w:val="both"/>
        <w:rPr>
          <w:rFonts w:ascii="Palatino Linotype" w:hAnsi="Palatino Linotype"/>
          <w:lang w:val="en-US"/>
        </w:rPr>
      </w:pPr>
      <w:r w:rsidRPr="00551409">
        <w:rPr>
          <w:rFonts w:ascii="Palatino Linotype" w:hAnsi="Palatino Linotype"/>
          <w:lang w:val="en-US"/>
        </w:rPr>
        <w:t>There are TFP increases in agriculture except in 80s. In the 1990-2002 and 2003-2013 periods, TFP increases at 1.5% rate on annual average while in the 2014-2018 period, TFP increases 3.1% annually.</w:t>
      </w:r>
    </w:p>
    <w:p w:rsidR="0099717C" w:rsidRPr="00551409" w:rsidRDefault="0099717C" w:rsidP="0087065C">
      <w:pPr>
        <w:pStyle w:val="ListeParagraf"/>
        <w:numPr>
          <w:ilvl w:val="0"/>
          <w:numId w:val="2"/>
        </w:numPr>
        <w:spacing w:after="240" w:line="276" w:lineRule="auto"/>
        <w:ind w:right="567"/>
        <w:jc w:val="both"/>
        <w:rPr>
          <w:rFonts w:ascii="Palatino Linotype" w:hAnsi="Palatino Linotype"/>
          <w:lang w:val="en-US"/>
        </w:rPr>
      </w:pPr>
      <w:r w:rsidRPr="00551409">
        <w:rPr>
          <w:rFonts w:ascii="Palatino Linotype" w:hAnsi="Palatino Linotype"/>
          <w:lang w:val="en-US"/>
        </w:rPr>
        <w:t xml:space="preserve">In the 1981-1989 period, TFP in industry rises at a considerably high rate </w:t>
      </w:r>
      <w:r w:rsidR="00437F3F" w:rsidRPr="00551409">
        <w:rPr>
          <w:rFonts w:ascii="Palatino Linotype" w:hAnsi="Palatino Linotype"/>
          <w:lang w:val="en-US"/>
        </w:rPr>
        <w:t xml:space="preserve">by </w:t>
      </w:r>
      <w:r w:rsidRPr="00551409">
        <w:rPr>
          <w:rFonts w:ascii="Palatino Linotype" w:hAnsi="Palatino Linotype"/>
          <w:lang w:val="en-US"/>
        </w:rPr>
        <w:t xml:space="preserve">4.5% annual average. TFP increases at 4.6% on annual average in the 2011-2013 subperiod. TFP in industry sector </w:t>
      </w:r>
      <w:r w:rsidR="00437F3F" w:rsidRPr="00551409">
        <w:rPr>
          <w:rFonts w:ascii="Palatino Linotype" w:hAnsi="Palatino Linotype"/>
          <w:lang w:val="en-US"/>
        </w:rPr>
        <w:t>increases</w:t>
      </w:r>
      <w:r w:rsidRPr="00551409">
        <w:rPr>
          <w:rFonts w:ascii="Palatino Linotype" w:hAnsi="Palatino Linotype"/>
          <w:lang w:val="en-US"/>
        </w:rPr>
        <w:t xml:space="preserve"> in all</w:t>
      </w:r>
      <w:r w:rsidR="00437F3F" w:rsidRPr="00551409">
        <w:rPr>
          <w:rFonts w:ascii="Palatino Linotype" w:hAnsi="Palatino Linotype"/>
          <w:lang w:val="en-US"/>
        </w:rPr>
        <w:t xml:space="preserve"> the</w:t>
      </w:r>
      <w:r w:rsidRPr="00551409">
        <w:rPr>
          <w:rFonts w:ascii="Palatino Linotype" w:hAnsi="Palatino Linotype"/>
          <w:lang w:val="en-US"/>
        </w:rPr>
        <w:t xml:space="preserve"> periods except the years of Global Financial Crisis</w:t>
      </w:r>
      <w:r w:rsidR="00E17359" w:rsidRPr="00551409">
        <w:rPr>
          <w:rFonts w:ascii="Palatino Linotype" w:hAnsi="Palatino Linotype"/>
          <w:lang w:val="en-US"/>
        </w:rPr>
        <w:t>, yet the growth rate of TFP is weak in the 90s. An interesting point is that the growth rate of TFP in industry in the years between 2014 and 2018 converges to the growth rates in the 90s.</w:t>
      </w:r>
    </w:p>
    <w:p w:rsidR="00497D2D" w:rsidRPr="00551409" w:rsidRDefault="00E17359" w:rsidP="0087065C">
      <w:pPr>
        <w:pStyle w:val="ListeParagraf"/>
        <w:numPr>
          <w:ilvl w:val="0"/>
          <w:numId w:val="2"/>
        </w:numPr>
        <w:spacing w:after="240" w:line="276" w:lineRule="auto"/>
        <w:ind w:right="567"/>
        <w:jc w:val="both"/>
        <w:rPr>
          <w:rFonts w:ascii="Palatino Linotype" w:hAnsi="Palatino Linotype"/>
          <w:lang w:val="en-US"/>
        </w:rPr>
      </w:pPr>
      <w:r w:rsidRPr="00551409">
        <w:rPr>
          <w:rFonts w:ascii="Palatino Linotype" w:hAnsi="Palatino Linotype"/>
          <w:lang w:val="en-US"/>
        </w:rPr>
        <w:t>In construction, TFP increases 3.2% on annual average while the 1990-2002 period witness</w:t>
      </w:r>
      <w:r w:rsidR="00437F3F" w:rsidRPr="00551409">
        <w:rPr>
          <w:rFonts w:ascii="Palatino Linotype" w:hAnsi="Palatino Linotype"/>
          <w:lang w:val="en-US"/>
        </w:rPr>
        <w:t>es</w:t>
      </w:r>
      <w:r w:rsidRPr="00551409">
        <w:rPr>
          <w:rFonts w:ascii="Palatino Linotype" w:hAnsi="Palatino Linotype"/>
          <w:lang w:val="en-US"/>
        </w:rPr>
        <w:t xml:space="preserve"> 1.9% contraction. In the 2003-2013 period TFP grows by 4.8%. The 2014-2018 period records 2.5% decrease in construction TFP.</w:t>
      </w:r>
      <w:r w:rsidR="00BA5426" w:rsidRPr="00551409">
        <w:rPr>
          <w:rFonts w:ascii="Palatino Linotype" w:hAnsi="Palatino Linotype"/>
          <w:lang w:val="en-US"/>
        </w:rPr>
        <w:t xml:space="preserve"> </w:t>
      </w:r>
    </w:p>
    <w:p w:rsidR="00497D2D" w:rsidRPr="00551409" w:rsidRDefault="00E17359" w:rsidP="00E17359">
      <w:pPr>
        <w:pStyle w:val="ListeParagraf"/>
        <w:numPr>
          <w:ilvl w:val="0"/>
          <w:numId w:val="2"/>
        </w:numPr>
        <w:spacing w:after="240" w:line="276" w:lineRule="auto"/>
        <w:ind w:right="567"/>
        <w:jc w:val="both"/>
        <w:rPr>
          <w:rFonts w:ascii="Palatino Linotype" w:hAnsi="Palatino Linotype"/>
          <w:lang w:val="en-US"/>
        </w:rPr>
      </w:pPr>
      <w:r w:rsidRPr="00551409">
        <w:rPr>
          <w:rFonts w:ascii="Palatino Linotype" w:hAnsi="Palatino Linotype"/>
          <w:lang w:val="en-US"/>
        </w:rPr>
        <w:t>TFP in services declines in every period.</w:t>
      </w:r>
      <w:r w:rsidR="00BA5426" w:rsidRPr="00551409">
        <w:rPr>
          <w:rFonts w:ascii="Palatino Linotype" w:hAnsi="Palatino Linotype"/>
          <w:lang w:val="en-US"/>
        </w:rPr>
        <w:t xml:space="preserve"> </w:t>
      </w:r>
    </w:p>
    <w:p w:rsidR="00834B82" w:rsidRPr="00551409" w:rsidRDefault="00834B82" w:rsidP="00834B82">
      <w:pPr>
        <w:pStyle w:val="ListeParagraf"/>
        <w:spacing w:after="240" w:line="276" w:lineRule="auto"/>
        <w:ind w:left="1080" w:right="567"/>
        <w:jc w:val="both"/>
        <w:rPr>
          <w:rFonts w:ascii="Palatino Linotype" w:hAnsi="Palatino Linotype"/>
          <w:lang w:val="en-US"/>
        </w:rPr>
      </w:pPr>
    </w:p>
    <w:p w:rsidR="00CE6600" w:rsidRPr="00551409" w:rsidRDefault="00E17359" w:rsidP="00CE6600">
      <w:pPr>
        <w:spacing w:before="240" w:after="60" w:line="276" w:lineRule="auto"/>
        <w:jc w:val="both"/>
        <w:rPr>
          <w:b/>
          <w:bCs/>
          <w:sz w:val="24"/>
          <w:szCs w:val="24"/>
          <w:lang w:val="en-US"/>
        </w:rPr>
      </w:pPr>
      <w:r w:rsidRPr="00551409">
        <w:rPr>
          <w:rFonts w:ascii="Palatino Linotype" w:hAnsi="Palatino Linotype"/>
          <w:b/>
          <w:bCs/>
          <w:sz w:val="26"/>
          <w:szCs w:val="26"/>
          <w:lang w:val="en-US"/>
        </w:rPr>
        <w:lastRenderedPageBreak/>
        <w:t>Introduction</w:t>
      </w:r>
    </w:p>
    <w:p w:rsidR="00EB065D" w:rsidRPr="00551409" w:rsidRDefault="00E17359" w:rsidP="00437514">
      <w:pPr>
        <w:spacing w:after="240" w:line="276" w:lineRule="auto"/>
        <w:jc w:val="both"/>
        <w:rPr>
          <w:rFonts w:ascii="Palatino Linotype" w:hAnsi="Palatino Linotype"/>
          <w:lang w:val="en-US"/>
        </w:rPr>
      </w:pPr>
      <w:r w:rsidRPr="00551409">
        <w:rPr>
          <w:rFonts w:ascii="Palatino Linotype" w:hAnsi="Palatino Linotype"/>
          <w:lang w:val="en-US"/>
        </w:rPr>
        <w:t>Thi</w:t>
      </w:r>
      <w:r w:rsidR="004A60B6" w:rsidRPr="00551409">
        <w:rPr>
          <w:rFonts w:ascii="Palatino Linotype" w:hAnsi="Palatino Linotype"/>
          <w:lang w:val="en-US"/>
        </w:rPr>
        <w:t>s</w:t>
      </w:r>
      <w:r w:rsidR="00EB065D" w:rsidRPr="00551409">
        <w:rPr>
          <w:rFonts w:ascii="Palatino Linotype" w:hAnsi="Palatino Linotype"/>
          <w:lang w:val="en-US"/>
        </w:rPr>
        <w:t xml:space="preserve"> document is the second</w:t>
      </w:r>
      <w:r w:rsidR="004A60B6" w:rsidRPr="00551409">
        <w:rPr>
          <w:rFonts w:ascii="Palatino Linotype" w:hAnsi="Palatino Linotype"/>
          <w:lang w:val="en-US"/>
        </w:rPr>
        <w:t xml:space="preserve"> research brief</w:t>
      </w:r>
      <w:r w:rsidR="00EB065D" w:rsidRPr="00551409">
        <w:rPr>
          <w:rFonts w:ascii="Palatino Linotype" w:hAnsi="Palatino Linotype"/>
          <w:lang w:val="en-US"/>
        </w:rPr>
        <w:t xml:space="preserve"> based on the </w:t>
      </w:r>
      <w:proofErr w:type="spellStart"/>
      <w:r w:rsidR="00EB065D" w:rsidRPr="00551409">
        <w:rPr>
          <w:rFonts w:ascii="Palatino Linotype" w:hAnsi="Palatino Linotype"/>
          <w:lang w:val="en-US"/>
        </w:rPr>
        <w:t>Betam</w:t>
      </w:r>
      <w:proofErr w:type="spellEnd"/>
      <w:r w:rsidR="00EB065D" w:rsidRPr="00551409">
        <w:rPr>
          <w:rFonts w:ascii="Palatino Linotype" w:hAnsi="Palatino Linotype"/>
          <w:lang w:val="en-US"/>
        </w:rPr>
        <w:t xml:space="preserve"> TFP Working Paper. In the first research brief, we examine the growth, </w:t>
      </w:r>
      <w:proofErr w:type="gramStart"/>
      <w:r w:rsidR="00EB065D" w:rsidRPr="00551409">
        <w:rPr>
          <w:rFonts w:ascii="Palatino Linotype" w:hAnsi="Palatino Linotype"/>
          <w:lang w:val="en-US"/>
        </w:rPr>
        <w:t>employment</w:t>
      </w:r>
      <w:proofErr w:type="gramEnd"/>
      <w:r w:rsidR="00EB065D" w:rsidRPr="00551409">
        <w:rPr>
          <w:rFonts w:ascii="Palatino Linotype" w:hAnsi="Palatino Linotype"/>
          <w:lang w:val="en-US"/>
        </w:rPr>
        <w:t xml:space="preserve"> and productivity dynamics of the Turkish economy at the aggregate level by periodizing the years between 1980 and 2018 into four broad categories</w:t>
      </w:r>
      <w:r w:rsidR="001C1700" w:rsidRPr="00551409">
        <w:rPr>
          <w:rStyle w:val="DipnotBavurusu"/>
          <w:rFonts w:ascii="Palatino Linotype" w:hAnsi="Palatino Linotype"/>
          <w:lang w:val="en-US"/>
        </w:rPr>
        <w:footnoteReference w:id="5"/>
      </w:r>
      <w:r w:rsidR="007A29A1" w:rsidRPr="00551409">
        <w:rPr>
          <w:rFonts w:ascii="Palatino Linotype" w:hAnsi="Palatino Linotype"/>
          <w:lang w:val="en-US"/>
        </w:rPr>
        <w:t xml:space="preserve">. </w:t>
      </w:r>
      <w:r w:rsidR="00EB065D" w:rsidRPr="00551409">
        <w:rPr>
          <w:rFonts w:ascii="Palatino Linotype" w:hAnsi="Palatino Linotype"/>
          <w:lang w:val="en-US"/>
        </w:rPr>
        <w:t xml:space="preserve">In this second research brief, the growth, </w:t>
      </w:r>
      <w:proofErr w:type="gramStart"/>
      <w:r w:rsidR="00EB065D" w:rsidRPr="00551409">
        <w:rPr>
          <w:rFonts w:ascii="Palatino Linotype" w:hAnsi="Palatino Linotype"/>
          <w:lang w:val="en-US"/>
        </w:rPr>
        <w:t>employment</w:t>
      </w:r>
      <w:proofErr w:type="gramEnd"/>
      <w:r w:rsidR="00EB065D" w:rsidRPr="00551409">
        <w:rPr>
          <w:rFonts w:ascii="Palatino Linotype" w:hAnsi="Palatino Linotype"/>
          <w:lang w:val="en-US"/>
        </w:rPr>
        <w:t xml:space="preserve"> and productivity dynamics are presented for agriculture, industry, construction and services. We analyze these sectors according to the period</w:t>
      </w:r>
      <w:r w:rsidR="00551409" w:rsidRPr="00551409">
        <w:rPr>
          <w:rFonts w:ascii="Palatino Linotype" w:hAnsi="Palatino Linotype"/>
          <w:lang w:val="en-US"/>
        </w:rPr>
        <w:t>ization</w:t>
      </w:r>
      <w:r w:rsidR="00EB065D" w:rsidRPr="00551409">
        <w:rPr>
          <w:rFonts w:ascii="Palatino Linotype" w:hAnsi="Palatino Linotype"/>
          <w:lang w:val="en-US"/>
        </w:rPr>
        <w:t xml:space="preserve"> </w:t>
      </w:r>
      <w:r w:rsidR="00551409" w:rsidRPr="00551409">
        <w:rPr>
          <w:rFonts w:ascii="Palatino Linotype" w:hAnsi="Palatino Linotype"/>
          <w:lang w:val="en-US"/>
        </w:rPr>
        <w:t>used</w:t>
      </w:r>
      <w:r w:rsidR="00EB065D" w:rsidRPr="00551409">
        <w:rPr>
          <w:rFonts w:ascii="Palatino Linotype" w:hAnsi="Palatino Linotype"/>
          <w:lang w:val="en-US"/>
        </w:rPr>
        <w:t xml:space="preserve"> in the working paper: 1980-1989, 1990-2002, 2003-2013 and 2014-2018.</w:t>
      </w:r>
    </w:p>
    <w:p w:rsidR="00C42551" w:rsidRPr="00551409" w:rsidRDefault="00EB065D" w:rsidP="00C42551">
      <w:pPr>
        <w:spacing w:before="240" w:after="60" w:line="276" w:lineRule="auto"/>
        <w:jc w:val="both"/>
        <w:rPr>
          <w:sz w:val="24"/>
          <w:szCs w:val="24"/>
          <w:lang w:val="en-US"/>
        </w:rPr>
      </w:pPr>
      <w:r w:rsidRPr="00551409">
        <w:rPr>
          <w:rFonts w:ascii="Palatino Linotype" w:hAnsi="Palatino Linotype"/>
          <w:b/>
          <w:sz w:val="26"/>
          <w:szCs w:val="26"/>
          <w:lang w:val="en-US"/>
        </w:rPr>
        <w:t xml:space="preserve">Sectoral Growth </w:t>
      </w:r>
    </w:p>
    <w:p w:rsidR="00C42551" w:rsidRPr="00551409" w:rsidRDefault="00EB065D" w:rsidP="00C42551">
      <w:pPr>
        <w:spacing w:after="240" w:line="276" w:lineRule="auto"/>
        <w:jc w:val="both"/>
        <w:rPr>
          <w:rFonts w:ascii="Palatino Linotype" w:hAnsi="Palatino Linotype"/>
          <w:b/>
          <w:bCs/>
          <w:lang w:val="en-US"/>
        </w:rPr>
      </w:pPr>
      <w:r w:rsidRPr="00551409">
        <w:rPr>
          <w:rFonts w:ascii="Palatino Linotype" w:hAnsi="Palatino Linotype"/>
          <w:b/>
          <w:bCs/>
          <w:lang w:val="en-US"/>
        </w:rPr>
        <w:t>Figure 1</w:t>
      </w:r>
      <w:r w:rsidR="00C42551" w:rsidRPr="00551409">
        <w:rPr>
          <w:rFonts w:ascii="Palatino Linotype" w:hAnsi="Palatino Linotype"/>
          <w:b/>
          <w:bCs/>
          <w:lang w:val="en-US"/>
        </w:rPr>
        <w:t xml:space="preserve">: </w:t>
      </w:r>
      <w:r w:rsidRPr="00551409">
        <w:rPr>
          <w:rFonts w:ascii="Palatino Linotype" w:hAnsi="Palatino Linotype"/>
          <w:b/>
          <w:bCs/>
          <w:lang w:val="en-US"/>
        </w:rPr>
        <w:t xml:space="preserve">The Growth Rate of Sectoral Output </w:t>
      </w:r>
      <w:r w:rsidR="00C42551" w:rsidRPr="00551409">
        <w:rPr>
          <w:rFonts w:ascii="Palatino Linotype" w:hAnsi="Palatino Linotype"/>
          <w:b/>
          <w:bCs/>
          <w:lang w:val="en-US"/>
        </w:rPr>
        <w:t>(%)</w:t>
      </w:r>
    </w:p>
    <w:p w:rsidR="00C42551" w:rsidRPr="00551409" w:rsidRDefault="00F03124" w:rsidP="00C42551">
      <w:pPr>
        <w:spacing w:after="0" w:line="240" w:lineRule="auto"/>
        <w:rPr>
          <w:lang w:val="en-US"/>
        </w:rPr>
      </w:pPr>
      <w:r w:rsidRPr="00551409">
        <w:rPr>
          <w:noProof/>
          <w:lang w:val="en-US"/>
        </w:rPr>
        <w:drawing>
          <wp:inline distT="0" distB="0" distL="0" distR="0" wp14:anchorId="70949A72">
            <wp:extent cx="6007100" cy="3598436"/>
            <wp:effectExtent l="0" t="0" r="0" b="254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5327" cy="3621335"/>
                    </a:xfrm>
                    <a:prstGeom prst="rect">
                      <a:avLst/>
                    </a:prstGeom>
                    <a:noFill/>
                  </pic:spPr>
                </pic:pic>
              </a:graphicData>
            </a:graphic>
          </wp:inline>
        </w:drawing>
      </w:r>
    </w:p>
    <w:p w:rsidR="00C42551" w:rsidRPr="00551409" w:rsidRDefault="00F03124" w:rsidP="00C42551">
      <w:pPr>
        <w:spacing w:after="240" w:line="276" w:lineRule="auto"/>
        <w:jc w:val="both"/>
        <w:rPr>
          <w:rFonts w:ascii="Palatino Linotype" w:hAnsi="Palatino Linotype"/>
          <w:lang w:val="en-US"/>
        </w:rPr>
      </w:pPr>
      <w:r w:rsidRPr="00551409">
        <w:rPr>
          <w:rFonts w:ascii="Palatino Linotype" w:hAnsi="Palatino Linotype"/>
          <w:b/>
          <w:bCs/>
          <w:lang w:val="en-US"/>
        </w:rPr>
        <w:t>Source</w:t>
      </w:r>
      <w:r w:rsidR="00C42551" w:rsidRPr="00551409">
        <w:rPr>
          <w:rFonts w:ascii="Palatino Linotype" w:hAnsi="Palatino Linotype"/>
          <w:b/>
          <w:bCs/>
          <w:lang w:val="en-US"/>
        </w:rPr>
        <w:t xml:space="preserve">: </w:t>
      </w:r>
      <w:proofErr w:type="spellStart"/>
      <w:r w:rsidR="00C42551" w:rsidRPr="00551409">
        <w:rPr>
          <w:rFonts w:ascii="Palatino Linotype" w:hAnsi="Palatino Linotype"/>
          <w:lang w:val="en-US"/>
        </w:rPr>
        <w:t>Betam</w:t>
      </w:r>
      <w:proofErr w:type="spellEnd"/>
    </w:p>
    <w:p w:rsidR="000B44EA" w:rsidRPr="00551409" w:rsidRDefault="000B44EA" w:rsidP="00C42551">
      <w:pPr>
        <w:spacing w:after="240" w:line="276" w:lineRule="auto"/>
        <w:jc w:val="both"/>
        <w:rPr>
          <w:rFonts w:ascii="Palatino Linotype" w:hAnsi="Palatino Linotype"/>
          <w:lang w:val="en-US"/>
        </w:rPr>
      </w:pPr>
      <w:r w:rsidRPr="00551409">
        <w:rPr>
          <w:rFonts w:ascii="Palatino Linotype" w:hAnsi="Palatino Linotype"/>
          <w:lang w:val="en-US"/>
        </w:rPr>
        <w:t>Figure 1 presents annual growth rate of the output in the four main sectors from 1980 to 2018. Agricultural sector shows more volatility among others and contract</w:t>
      </w:r>
      <w:r w:rsidR="00437F3F" w:rsidRPr="00551409">
        <w:rPr>
          <w:rFonts w:ascii="Palatino Linotype" w:hAnsi="Palatino Linotype"/>
          <w:lang w:val="en-US"/>
        </w:rPr>
        <w:t>s</w:t>
      </w:r>
      <w:r w:rsidRPr="00551409">
        <w:rPr>
          <w:rFonts w:ascii="Palatino Linotype" w:hAnsi="Palatino Linotype"/>
          <w:lang w:val="en-US"/>
        </w:rPr>
        <w:t xml:space="preserve"> 11 times during the entire time span. This volatility </w:t>
      </w:r>
      <w:r w:rsidR="00FC3291">
        <w:rPr>
          <w:rFonts w:ascii="Palatino Linotype" w:hAnsi="Palatino Linotype"/>
          <w:lang w:val="en-US"/>
        </w:rPr>
        <w:t>is</w:t>
      </w:r>
      <w:r w:rsidRPr="00551409">
        <w:rPr>
          <w:rFonts w:ascii="Palatino Linotype" w:hAnsi="Palatino Linotype"/>
          <w:lang w:val="en-US"/>
        </w:rPr>
        <w:t xml:space="preserve"> not be surprising when considering the structure of the</w:t>
      </w:r>
      <w:r w:rsidR="00437F3F" w:rsidRPr="00551409">
        <w:rPr>
          <w:rFonts w:ascii="Palatino Linotype" w:hAnsi="Palatino Linotype"/>
          <w:lang w:val="en-US"/>
        </w:rPr>
        <w:t xml:space="preserve"> </w:t>
      </w:r>
      <w:r w:rsidRPr="00551409">
        <w:rPr>
          <w:rFonts w:ascii="Palatino Linotype" w:hAnsi="Palatino Linotype"/>
          <w:lang w:val="en-US"/>
        </w:rPr>
        <w:t>sector. Although</w:t>
      </w:r>
      <w:r w:rsidR="00D82C55" w:rsidRPr="00551409">
        <w:rPr>
          <w:rFonts w:ascii="Palatino Linotype" w:hAnsi="Palatino Linotype"/>
          <w:lang w:val="en-US"/>
        </w:rPr>
        <w:t xml:space="preserve"> the</w:t>
      </w:r>
      <w:r w:rsidRPr="00551409">
        <w:rPr>
          <w:rFonts w:ascii="Palatino Linotype" w:hAnsi="Palatino Linotype"/>
          <w:lang w:val="en-US"/>
        </w:rPr>
        <w:t xml:space="preserve"> construction sector </w:t>
      </w:r>
      <w:r w:rsidR="00437F3F" w:rsidRPr="00551409">
        <w:rPr>
          <w:rFonts w:ascii="Palatino Linotype" w:hAnsi="Palatino Linotype"/>
          <w:lang w:val="en-US"/>
        </w:rPr>
        <w:t>does</w:t>
      </w:r>
      <w:r w:rsidR="00D82C55" w:rsidRPr="00551409">
        <w:rPr>
          <w:rFonts w:ascii="Palatino Linotype" w:hAnsi="Palatino Linotype"/>
          <w:lang w:val="en-US"/>
        </w:rPr>
        <w:t xml:space="preserve"> not contract as many times as agriculture d</w:t>
      </w:r>
      <w:r w:rsidR="00437F3F" w:rsidRPr="00551409">
        <w:rPr>
          <w:rFonts w:ascii="Palatino Linotype" w:hAnsi="Palatino Linotype"/>
          <w:lang w:val="en-US"/>
        </w:rPr>
        <w:t>oes</w:t>
      </w:r>
      <w:r w:rsidR="00D82C55" w:rsidRPr="00551409">
        <w:rPr>
          <w:rFonts w:ascii="Palatino Linotype" w:hAnsi="Palatino Linotype"/>
          <w:lang w:val="en-US"/>
        </w:rPr>
        <w:t>, it has the biggest wavelength and, in this sense, it is the most volatile sector. The construction sector record</w:t>
      </w:r>
      <w:r w:rsidR="00437F3F" w:rsidRPr="00551409">
        <w:rPr>
          <w:rFonts w:ascii="Palatino Linotype" w:hAnsi="Palatino Linotype"/>
          <w:lang w:val="en-US"/>
        </w:rPr>
        <w:t>s</w:t>
      </w:r>
      <w:r w:rsidR="00D82C55" w:rsidRPr="00551409">
        <w:rPr>
          <w:rFonts w:ascii="Palatino Linotype" w:hAnsi="Palatino Linotype"/>
          <w:lang w:val="en-US"/>
        </w:rPr>
        <w:t xml:space="preserve"> phenomenal growth rates and then sharp declines. The industry and the services present more stable outlook in these years.</w:t>
      </w:r>
    </w:p>
    <w:p w:rsidR="00D82C55" w:rsidRPr="00551409" w:rsidRDefault="00794972" w:rsidP="00C42551">
      <w:pPr>
        <w:spacing w:after="240" w:line="276" w:lineRule="auto"/>
        <w:jc w:val="both"/>
        <w:rPr>
          <w:rFonts w:ascii="Palatino Linotype" w:hAnsi="Palatino Linotype"/>
          <w:lang w:val="en-US"/>
        </w:rPr>
      </w:pPr>
      <w:r>
        <w:rPr>
          <w:rFonts w:ascii="Palatino Linotype" w:hAnsi="Palatino Linotype"/>
          <w:lang w:val="en-US"/>
        </w:rPr>
        <w:lastRenderedPageBreak/>
        <w:t>Between</w:t>
      </w:r>
      <w:r w:rsidR="00D82C55" w:rsidRPr="00551409">
        <w:rPr>
          <w:rFonts w:ascii="Palatino Linotype" w:hAnsi="Palatino Linotype"/>
          <w:lang w:val="en-US"/>
        </w:rPr>
        <w:t xml:space="preserve"> 1980 and 2018, the agricultural sector grows at 2.1% annual average rate while the industrial output increases 5.7% and the services sector expanded 4.4% yearly. The construction sector is the most rapidly growing sector with a</w:t>
      </w:r>
      <w:r>
        <w:rPr>
          <w:rFonts w:ascii="Palatino Linotype" w:hAnsi="Palatino Linotype"/>
          <w:lang w:val="en-US"/>
        </w:rPr>
        <w:t>n average growth rate of</w:t>
      </w:r>
      <w:r w:rsidR="00D82C55" w:rsidRPr="00551409">
        <w:rPr>
          <w:rFonts w:ascii="Palatino Linotype" w:hAnsi="Palatino Linotype"/>
          <w:lang w:val="en-US"/>
        </w:rPr>
        <w:t xml:space="preserve"> 6.3%</w:t>
      </w:r>
      <w:r>
        <w:rPr>
          <w:rFonts w:ascii="Palatino Linotype" w:hAnsi="Palatino Linotype"/>
          <w:lang w:val="en-US"/>
        </w:rPr>
        <w:t>.</w:t>
      </w:r>
      <w:r w:rsidR="00D82C55" w:rsidRPr="00551409">
        <w:rPr>
          <w:rFonts w:ascii="Palatino Linotype" w:hAnsi="Palatino Linotype"/>
          <w:lang w:val="en-US"/>
        </w:rPr>
        <w:t xml:space="preserve"> </w:t>
      </w:r>
    </w:p>
    <w:p w:rsidR="00C42551" w:rsidRPr="00551409" w:rsidRDefault="00D82C55" w:rsidP="00C42551">
      <w:pPr>
        <w:spacing w:after="240" w:line="276" w:lineRule="auto"/>
        <w:jc w:val="both"/>
        <w:rPr>
          <w:rFonts w:ascii="Palatino Linotype" w:hAnsi="Palatino Linotype"/>
          <w:lang w:val="en-US"/>
        </w:rPr>
      </w:pPr>
      <w:r w:rsidRPr="00551409">
        <w:rPr>
          <w:rFonts w:ascii="Palatino Linotype" w:hAnsi="Palatino Linotype"/>
          <w:lang w:val="en-US"/>
        </w:rPr>
        <w:t>There are strong growth rates for the industry and the construction in the 1981-1989 and 2003-2013 periods.</w:t>
      </w:r>
      <w:r w:rsidR="0061460A" w:rsidRPr="00551409">
        <w:rPr>
          <w:rFonts w:ascii="Palatino Linotype" w:hAnsi="Palatino Linotype"/>
          <w:lang w:val="en-US"/>
        </w:rPr>
        <w:t xml:space="preserve"> All sectors record weak growth rates in</w:t>
      </w:r>
      <w:r w:rsidRPr="00551409">
        <w:rPr>
          <w:rFonts w:ascii="Palatino Linotype" w:hAnsi="Palatino Linotype"/>
          <w:lang w:val="en-US"/>
        </w:rPr>
        <w:t xml:space="preserve"> </w:t>
      </w:r>
      <w:r w:rsidR="0061460A" w:rsidRPr="00551409">
        <w:rPr>
          <w:rFonts w:ascii="Palatino Linotype" w:hAnsi="Palatino Linotype"/>
          <w:lang w:val="en-US"/>
        </w:rPr>
        <w:t>the economic stagnation years of 1990-2002 except the agricultural sector. In the 2014-2018 period, the industry and the services become the driving forces of the economy while the construction steps aside.</w:t>
      </w:r>
    </w:p>
    <w:p w:rsidR="00C42551" w:rsidRPr="00551409" w:rsidRDefault="00C42551" w:rsidP="00C42551">
      <w:pPr>
        <w:spacing w:after="240" w:line="276" w:lineRule="auto"/>
        <w:jc w:val="both"/>
        <w:rPr>
          <w:rFonts w:ascii="Palatino Linotype" w:hAnsi="Palatino Linotype"/>
          <w:b/>
          <w:bCs/>
          <w:lang w:val="en-US"/>
        </w:rPr>
      </w:pPr>
      <w:r w:rsidRPr="00551409">
        <w:rPr>
          <w:rFonts w:ascii="Palatino Linotype" w:hAnsi="Palatino Linotype"/>
          <w:b/>
          <w:bCs/>
          <w:lang w:val="en-US"/>
        </w:rPr>
        <w:t>Tabl</w:t>
      </w:r>
      <w:r w:rsidR="0061460A" w:rsidRPr="00551409">
        <w:rPr>
          <w:rFonts w:ascii="Palatino Linotype" w:hAnsi="Palatino Linotype"/>
          <w:b/>
          <w:bCs/>
          <w:lang w:val="en-US"/>
        </w:rPr>
        <w:t>e</w:t>
      </w:r>
      <w:r w:rsidRPr="00551409">
        <w:rPr>
          <w:rFonts w:ascii="Palatino Linotype" w:hAnsi="Palatino Linotype"/>
          <w:b/>
          <w:bCs/>
          <w:lang w:val="en-US"/>
        </w:rPr>
        <w:t xml:space="preserve"> </w:t>
      </w:r>
      <w:r w:rsidR="0061460A" w:rsidRPr="00551409">
        <w:rPr>
          <w:rFonts w:ascii="Palatino Linotype" w:hAnsi="Palatino Linotype"/>
          <w:b/>
          <w:bCs/>
          <w:lang w:val="en-US"/>
        </w:rPr>
        <w:t>1</w:t>
      </w:r>
      <w:r w:rsidRPr="00551409">
        <w:rPr>
          <w:rFonts w:ascii="Palatino Linotype" w:hAnsi="Palatino Linotype"/>
          <w:b/>
          <w:bCs/>
          <w:lang w:val="en-US"/>
        </w:rPr>
        <w:t xml:space="preserve">: </w:t>
      </w:r>
      <w:r w:rsidR="0061460A" w:rsidRPr="00551409">
        <w:rPr>
          <w:rFonts w:ascii="Palatino Linotype" w:hAnsi="Palatino Linotype"/>
          <w:b/>
          <w:bCs/>
          <w:lang w:val="en-US"/>
        </w:rPr>
        <w:t>The Growth Rates of Sectoral Output in the Time Periods</w:t>
      </w:r>
      <w:r w:rsidRPr="00551409">
        <w:rPr>
          <w:rFonts w:ascii="Palatino Linotype" w:hAnsi="Palatino Linotype"/>
          <w:b/>
          <w:bCs/>
          <w:lang w:val="en-US"/>
        </w:rPr>
        <w:t xml:space="preserve"> (</w:t>
      </w:r>
      <w:r w:rsidR="0061460A" w:rsidRPr="00551409">
        <w:rPr>
          <w:rFonts w:ascii="Palatino Linotype" w:hAnsi="Palatino Linotype"/>
          <w:b/>
          <w:bCs/>
          <w:lang w:val="en-US"/>
        </w:rPr>
        <w:t>Annual Average</w:t>
      </w:r>
      <w:r w:rsidRPr="00551409">
        <w:rPr>
          <w:rFonts w:ascii="Palatino Linotype" w:hAnsi="Palatino Linotype"/>
          <w:b/>
          <w:bCs/>
          <w:lang w:val="en-US"/>
        </w:rPr>
        <w:t xml:space="preserve"> %)</w:t>
      </w:r>
    </w:p>
    <w:tbl>
      <w:tblPr>
        <w:tblW w:w="8218" w:type="dxa"/>
        <w:tblLook w:val="04A0" w:firstRow="1" w:lastRow="0" w:firstColumn="1" w:lastColumn="0" w:noHBand="0" w:noVBand="1"/>
      </w:tblPr>
      <w:tblGrid>
        <w:gridCol w:w="2597"/>
        <w:gridCol w:w="1423"/>
        <w:gridCol w:w="1221"/>
        <w:gridCol w:w="1562"/>
        <w:gridCol w:w="1415"/>
      </w:tblGrid>
      <w:tr w:rsidR="00C42551" w:rsidRPr="00551409" w:rsidTr="00CA531A">
        <w:trPr>
          <w:trHeight w:val="318"/>
        </w:trPr>
        <w:tc>
          <w:tcPr>
            <w:tcW w:w="2597" w:type="dxa"/>
            <w:tcBorders>
              <w:top w:val="single" w:sz="4" w:space="0" w:color="auto"/>
              <w:left w:val="nil"/>
              <w:bottom w:val="single" w:sz="4" w:space="0" w:color="auto"/>
              <w:right w:val="nil"/>
            </w:tcBorders>
            <w:shd w:val="clear" w:color="000000" w:fill="FFFFFF"/>
            <w:noWrap/>
            <w:vAlign w:val="bottom"/>
            <w:hideMark/>
          </w:tcPr>
          <w:p w:rsidR="00C42551" w:rsidRPr="00551409" w:rsidRDefault="00C42551" w:rsidP="0087065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 </w:t>
            </w:r>
          </w:p>
        </w:tc>
        <w:tc>
          <w:tcPr>
            <w:tcW w:w="1423" w:type="dxa"/>
            <w:tcBorders>
              <w:top w:val="single" w:sz="4" w:space="0" w:color="auto"/>
              <w:left w:val="nil"/>
              <w:bottom w:val="single" w:sz="4" w:space="0" w:color="auto"/>
              <w:right w:val="nil"/>
            </w:tcBorders>
            <w:shd w:val="clear" w:color="000000" w:fill="FFFFFF"/>
            <w:noWrap/>
            <w:vAlign w:val="bottom"/>
            <w:hideMark/>
          </w:tcPr>
          <w:p w:rsidR="00C42551" w:rsidRPr="00551409" w:rsidRDefault="0061460A"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Agriculture</w:t>
            </w:r>
          </w:p>
        </w:tc>
        <w:tc>
          <w:tcPr>
            <w:tcW w:w="1221" w:type="dxa"/>
            <w:tcBorders>
              <w:top w:val="single" w:sz="4" w:space="0" w:color="auto"/>
              <w:left w:val="nil"/>
              <w:bottom w:val="single" w:sz="4" w:space="0" w:color="auto"/>
              <w:right w:val="nil"/>
            </w:tcBorders>
            <w:shd w:val="clear" w:color="000000" w:fill="FFFFFF"/>
            <w:noWrap/>
            <w:vAlign w:val="bottom"/>
            <w:hideMark/>
          </w:tcPr>
          <w:p w:rsidR="00C42551" w:rsidRPr="00551409" w:rsidRDefault="0061460A"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Industry</w:t>
            </w:r>
          </w:p>
        </w:tc>
        <w:tc>
          <w:tcPr>
            <w:tcW w:w="1562" w:type="dxa"/>
            <w:tcBorders>
              <w:top w:val="single" w:sz="4" w:space="0" w:color="auto"/>
              <w:left w:val="nil"/>
              <w:bottom w:val="single" w:sz="4" w:space="0" w:color="auto"/>
              <w:right w:val="nil"/>
            </w:tcBorders>
            <w:shd w:val="clear" w:color="000000" w:fill="FFFFFF"/>
            <w:noWrap/>
            <w:vAlign w:val="bottom"/>
            <w:hideMark/>
          </w:tcPr>
          <w:p w:rsidR="00C42551" w:rsidRPr="00551409" w:rsidRDefault="0061460A"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Construction</w:t>
            </w:r>
          </w:p>
        </w:tc>
        <w:tc>
          <w:tcPr>
            <w:tcW w:w="1415" w:type="dxa"/>
            <w:tcBorders>
              <w:top w:val="single" w:sz="4" w:space="0" w:color="auto"/>
              <w:left w:val="nil"/>
              <w:bottom w:val="single" w:sz="4" w:space="0" w:color="auto"/>
              <w:right w:val="nil"/>
            </w:tcBorders>
            <w:shd w:val="clear" w:color="000000" w:fill="FFFFFF"/>
            <w:noWrap/>
            <w:vAlign w:val="bottom"/>
            <w:hideMark/>
          </w:tcPr>
          <w:p w:rsidR="00C42551" w:rsidRPr="00551409" w:rsidRDefault="0061460A"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Services</w:t>
            </w:r>
          </w:p>
        </w:tc>
      </w:tr>
      <w:tr w:rsidR="00C42551" w:rsidRPr="00551409" w:rsidTr="00CA531A">
        <w:trPr>
          <w:trHeight w:val="318"/>
        </w:trPr>
        <w:tc>
          <w:tcPr>
            <w:tcW w:w="2597" w:type="dxa"/>
            <w:tcBorders>
              <w:top w:val="nil"/>
              <w:left w:val="nil"/>
              <w:bottom w:val="nil"/>
              <w:right w:val="nil"/>
            </w:tcBorders>
            <w:shd w:val="clear" w:color="000000" w:fill="FFFFFF"/>
            <w:noWrap/>
            <w:vAlign w:val="bottom"/>
            <w:hideMark/>
          </w:tcPr>
          <w:p w:rsidR="00C42551" w:rsidRPr="00551409" w:rsidRDefault="0061460A" w:rsidP="0087065C">
            <w:pPr>
              <w:spacing w:after="0" w:line="240" w:lineRule="auto"/>
              <w:rPr>
                <w:rFonts w:ascii="Palatino Linotype" w:eastAsia="Times New Roman" w:hAnsi="Palatino Linotype" w:cs="Calibri Light"/>
                <w:b/>
                <w:bCs/>
                <w:sz w:val="20"/>
                <w:szCs w:val="20"/>
                <w:lang w:val="en-US" w:eastAsia="en-GB"/>
              </w:rPr>
            </w:pPr>
            <w:r w:rsidRPr="00551409">
              <w:rPr>
                <w:rFonts w:ascii="Palatino Linotype" w:eastAsia="Times New Roman" w:hAnsi="Palatino Linotype" w:cs="Calibri Light"/>
                <w:b/>
                <w:bCs/>
                <w:sz w:val="20"/>
                <w:szCs w:val="20"/>
                <w:lang w:val="en-US" w:eastAsia="en-GB"/>
              </w:rPr>
              <w:t>Growth Rate</w:t>
            </w:r>
            <w:r w:rsidR="00C42551" w:rsidRPr="00551409">
              <w:rPr>
                <w:rFonts w:ascii="Palatino Linotype" w:eastAsia="Times New Roman" w:hAnsi="Palatino Linotype" w:cs="Calibri Light"/>
                <w:b/>
                <w:bCs/>
                <w:sz w:val="20"/>
                <w:szCs w:val="20"/>
                <w:lang w:val="en-US" w:eastAsia="en-GB"/>
              </w:rPr>
              <w:t xml:space="preserve"> (%)</w:t>
            </w:r>
          </w:p>
        </w:tc>
        <w:tc>
          <w:tcPr>
            <w:tcW w:w="1423"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 </w:t>
            </w:r>
          </w:p>
        </w:tc>
        <w:tc>
          <w:tcPr>
            <w:tcW w:w="1221"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 </w:t>
            </w:r>
          </w:p>
        </w:tc>
        <w:tc>
          <w:tcPr>
            <w:tcW w:w="1562"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 </w:t>
            </w:r>
          </w:p>
        </w:tc>
        <w:tc>
          <w:tcPr>
            <w:tcW w:w="1415"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 </w:t>
            </w:r>
          </w:p>
        </w:tc>
      </w:tr>
      <w:tr w:rsidR="00C42551" w:rsidRPr="00551409" w:rsidTr="00CA531A">
        <w:trPr>
          <w:trHeight w:val="318"/>
        </w:trPr>
        <w:tc>
          <w:tcPr>
            <w:tcW w:w="2597" w:type="dxa"/>
            <w:tcBorders>
              <w:top w:val="single" w:sz="4" w:space="0" w:color="auto"/>
              <w:left w:val="nil"/>
              <w:bottom w:val="nil"/>
              <w:right w:val="nil"/>
            </w:tcBorders>
            <w:shd w:val="clear" w:color="000000" w:fill="FFFFFF"/>
            <w:noWrap/>
            <w:vAlign w:val="bottom"/>
            <w:hideMark/>
          </w:tcPr>
          <w:p w:rsidR="00C42551" w:rsidRPr="00551409" w:rsidRDefault="00C42551" w:rsidP="0087065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1981-1989</w:t>
            </w:r>
          </w:p>
        </w:tc>
        <w:tc>
          <w:tcPr>
            <w:tcW w:w="1423" w:type="dxa"/>
            <w:tcBorders>
              <w:top w:val="single" w:sz="4" w:space="0" w:color="auto"/>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0.8</w:t>
            </w:r>
          </w:p>
        </w:tc>
        <w:tc>
          <w:tcPr>
            <w:tcW w:w="1221" w:type="dxa"/>
            <w:tcBorders>
              <w:top w:val="single" w:sz="4" w:space="0" w:color="auto"/>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6.9</w:t>
            </w:r>
          </w:p>
        </w:tc>
        <w:tc>
          <w:tcPr>
            <w:tcW w:w="1562" w:type="dxa"/>
            <w:tcBorders>
              <w:top w:val="single" w:sz="4" w:space="0" w:color="auto"/>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6.6</w:t>
            </w:r>
          </w:p>
        </w:tc>
        <w:tc>
          <w:tcPr>
            <w:tcW w:w="1415" w:type="dxa"/>
            <w:tcBorders>
              <w:top w:val="single" w:sz="4" w:space="0" w:color="auto"/>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3.9</w:t>
            </w:r>
          </w:p>
        </w:tc>
      </w:tr>
      <w:tr w:rsidR="00C42551" w:rsidRPr="00551409" w:rsidTr="00CA531A">
        <w:trPr>
          <w:trHeight w:val="318"/>
        </w:trPr>
        <w:tc>
          <w:tcPr>
            <w:tcW w:w="2597"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1990-2002</w:t>
            </w:r>
          </w:p>
        </w:tc>
        <w:tc>
          <w:tcPr>
            <w:tcW w:w="1423"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1.8</w:t>
            </w:r>
          </w:p>
        </w:tc>
        <w:tc>
          <w:tcPr>
            <w:tcW w:w="1221"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3.5</w:t>
            </w:r>
          </w:p>
        </w:tc>
        <w:tc>
          <w:tcPr>
            <w:tcW w:w="1562"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1.3</w:t>
            </w:r>
          </w:p>
        </w:tc>
        <w:tc>
          <w:tcPr>
            <w:tcW w:w="1415"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3.5</w:t>
            </w:r>
          </w:p>
        </w:tc>
      </w:tr>
      <w:tr w:rsidR="00C42551" w:rsidRPr="00551409" w:rsidTr="00CA531A">
        <w:trPr>
          <w:trHeight w:val="318"/>
        </w:trPr>
        <w:tc>
          <w:tcPr>
            <w:tcW w:w="2597"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2003-2013</w:t>
            </w:r>
          </w:p>
        </w:tc>
        <w:tc>
          <w:tcPr>
            <w:tcW w:w="1423"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2.7</w:t>
            </w:r>
          </w:p>
        </w:tc>
        <w:tc>
          <w:tcPr>
            <w:tcW w:w="1221"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6.7</w:t>
            </w:r>
          </w:p>
        </w:tc>
        <w:tc>
          <w:tcPr>
            <w:tcW w:w="1562"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10.7</w:t>
            </w:r>
          </w:p>
        </w:tc>
        <w:tc>
          <w:tcPr>
            <w:tcW w:w="1415"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5.0</w:t>
            </w:r>
          </w:p>
        </w:tc>
      </w:tr>
      <w:tr w:rsidR="00C42551" w:rsidRPr="00551409" w:rsidTr="00CA531A">
        <w:trPr>
          <w:trHeight w:val="318"/>
        </w:trPr>
        <w:tc>
          <w:tcPr>
            <w:tcW w:w="2597"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2003-2007</w:t>
            </w:r>
          </w:p>
        </w:tc>
        <w:tc>
          <w:tcPr>
            <w:tcW w:w="1423"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1.2</w:t>
            </w:r>
          </w:p>
        </w:tc>
        <w:tc>
          <w:tcPr>
            <w:tcW w:w="1221"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8.6</w:t>
            </w:r>
          </w:p>
        </w:tc>
        <w:tc>
          <w:tcPr>
            <w:tcW w:w="1562"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16.0</w:t>
            </w:r>
          </w:p>
        </w:tc>
        <w:tc>
          <w:tcPr>
            <w:tcW w:w="1415"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5.8</w:t>
            </w:r>
          </w:p>
        </w:tc>
      </w:tr>
      <w:tr w:rsidR="00C42551" w:rsidRPr="00551409" w:rsidTr="00CA531A">
        <w:trPr>
          <w:trHeight w:val="318"/>
        </w:trPr>
        <w:tc>
          <w:tcPr>
            <w:tcW w:w="2597"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2008-2010</w:t>
            </w:r>
          </w:p>
        </w:tc>
        <w:tc>
          <w:tcPr>
            <w:tcW w:w="1423"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5.5</w:t>
            </w:r>
          </w:p>
        </w:tc>
        <w:tc>
          <w:tcPr>
            <w:tcW w:w="1221"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0.7</w:t>
            </w:r>
          </w:p>
        </w:tc>
        <w:tc>
          <w:tcPr>
            <w:tcW w:w="1562"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-1.9</w:t>
            </w:r>
          </w:p>
        </w:tc>
        <w:tc>
          <w:tcPr>
            <w:tcW w:w="1415"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1.6</w:t>
            </w:r>
          </w:p>
        </w:tc>
      </w:tr>
      <w:tr w:rsidR="00C42551" w:rsidRPr="00551409" w:rsidTr="00CA531A">
        <w:trPr>
          <w:trHeight w:val="318"/>
        </w:trPr>
        <w:tc>
          <w:tcPr>
            <w:tcW w:w="2597"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2011-2013</w:t>
            </w:r>
          </w:p>
        </w:tc>
        <w:tc>
          <w:tcPr>
            <w:tcW w:w="1423"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2.6</w:t>
            </w:r>
          </w:p>
        </w:tc>
        <w:tc>
          <w:tcPr>
            <w:tcW w:w="1221"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9.3</w:t>
            </w:r>
          </w:p>
        </w:tc>
        <w:tc>
          <w:tcPr>
            <w:tcW w:w="1562"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14.4</w:t>
            </w:r>
          </w:p>
        </w:tc>
        <w:tc>
          <w:tcPr>
            <w:tcW w:w="1415" w:type="dxa"/>
            <w:tcBorders>
              <w:top w:val="nil"/>
              <w:left w:val="nil"/>
              <w:bottom w:val="nil"/>
              <w:right w:val="nil"/>
            </w:tcBorders>
            <w:shd w:val="clear" w:color="000000" w:fill="FFFFFF"/>
            <w:noWrap/>
            <w:vAlign w:val="bottom"/>
            <w:hideMark/>
          </w:tcPr>
          <w:p w:rsidR="00C42551" w:rsidRPr="00551409" w:rsidRDefault="00C42551" w:rsidP="0087065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7.2</w:t>
            </w:r>
          </w:p>
        </w:tc>
      </w:tr>
      <w:tr w:rsidR="00C42551" w:rsidRPr="00551409" w:rsidTr="00CA531A">
        <w:trPr>
          <w:trHeight w:val="318"/>
        </w:trPr>
        <w:tc>
          <w:tcPr>
            <w:tcW w:w="2597" w:type="dxa"/>
            <w:tcBorders>
              <w:top w:val="nil"/>
              <w:left w:val="nil"/>
              <w:bottom w:val="single" w:sz="4" w:space="0" w:color="auto"/>
              <w:right w:val="nil"/>
            </w:tcBorders>
            <w:shd w:val="clear" w:color="000000" w:fill="FFFFFF"/>
            <w:noWrap/>
            <w:vAlign w:val="bottom"/>
            <w:hideMark/>
          </w:tcPr>
          <w:p w:rsidR="00C42551" w:rsidRPr="00551409" w:rsidRDefault="00C42551" w:rsidP="0087065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2014-2018</w:t>
            </w:r>
          </w:p>
        </w:tc>
        <w:tc>
          <w:tcPr>
            <w:tcW w:w="1423" w:type="dxa"/>
            <w:tcBorders>
              <w:top w:val="nil"/>
              <w:left w:val="nil"/>
              <w:bottom w:val="single" w:sz="4" w:space="0" w:color="auto"/>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2.6</w:t>
            </w:r>
          </w:p>
        </w:tc>
        <w:tc>
          <w:tcPr>
            <w:tcW w:w="1221" w:type="dxa"/>
            <w:tcBorders>
              <w:top w:val="nil"/>
              <w:left w:val="nil"/>
              <w:bottom w:val="single" w:sz="4" w:space="0" w:color="auto"/>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4.8</w:t>
            </w:r>
          </w:p>
        </w:tc>
        <w:tc>
          <w:tcPr>
            <w:tcW w:w="1562" w:type="dxa"/>
            <w:tcBorders>
              <w:top w:val="nil"/>
              <w:left w:val="nil"/>
              <w:bottom w:val="single" w:sz="4" w:space="0" w:color="auto"/>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4.2</w:t>
            </w:r>
          </w:p>
        </w:tc>
        <w:tc>
          <w:tcPr>
            <w:tcW w:w="1415" w:type="dxa"/>
            <w:tcBorders>
              <w:top w:val="nil"/>
              <w:left w:val="nil"/>
              <w:bottom w:val="single" w:sz="4" w:space="0" w:color="auto"/>
              <w:right w:val="nil"/>
            </w:tcBorders>
            <w:shd w:val="clear" w:color="000000" w:fill="FFFFFF"/>
            <w:noWrap/>
            <w:vAlign w:val="bottom"/>
            <w:hideMark/>
          </w:tcPr>
          <w:p w:rsidR="00C42551" w:rsidRPr="00551409" w:rsidRDefault="00C42551" w:rsidP="0087065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5.2</w:t>
            </w:r>
          </w:p>
        </w:tc>
      </w:tr>
    </w:tbl>
    <w:p w:rsidR="00C42551" w:rsidRPr="00551409" w:rsidRDefault="0061460A" w:rsidP="00C42551">
      <w:pPr>
        <w:spacing w:after="240" w:line="276" w:lineRule="auto"/>
        <w:rPr>
          <w:rFonts w:ascii="Palatino Linotype" w:hAnsi="Palatino Linotype"/>
          <w:lang w:val="en-US"/>
        </w:rPr>
      </w:pPr>
      <w:r w:rsidRPr="00551409">
        <w:rPr>
          <w:rFonts w:ascii="Palatino Linotype" w:hAnsi="Palatino Linotype"/>
          <w:b/>
          <w:bCs/>
          <w:lang w:val="en-US"/>
        </w:rPr>
        <w:t>Source</w:t>
      </w:r>
      <w:r w:rsidR="00C42551" w:rsidRPr="00551409">
        <w:rPr>
          <w:rFonts w:ascii="Palatino Linotype" w:hAnsi="Palatino Linotype"/>
          <w:b/>
          <w:bCs/>
          <w:lang w:val="en-US"/>
        </w:rPr>
        <w:t xml:space="preserve">: </w:t>
      </w:r>
      <w:proofErr w:type="spellStart"/>
      <w:r w:rsidR="00C42551" w:rsidRPr="00551409">
        <w:rPr>
          <w:rFonts w:ascii="Palatino Linotype" w:hAnsi="Palatino Linotype"/>
          <w:lang w:val="en-US"/>
        </w:rPr>
        <w:t>Betam</w:t>
      </w:r>
      <w:proofErr w:type="spellEnd"/>
    </w:p>
    <w:p w:rsidR="00B11995" w:rsidRPr="00551409" w:rsidRDefault="00D57039" w:rsidP="00437514">
      <w:pPr>
        <w:spacing w:before="240" w:after="60" w:line="276" w:lineRule="auto"/>
        <w:jc w:val="both"/>
        <w:rPr>
          <w:rFonts w:ascii="Palatino Linotype" w:hAnsi="Palatino Linotype"/>
          <w:lang w:val="en-US"/>
        </w:rPr>
      </w:pPr>
      <w:r w:rsidRPr="00551409">
        <w:rPr>
          <w:rFonts w:ascii="Palatino Linotype" w:hAnsi="Palatino Linotype"/>
          <w:b/>
          <w:bCs/>
          <w:sz w:val="26"/>
          <w:szCs w:val="26"/>
          <w:lang w:val="en-US"/>
        </w:rPr>
        <w:t>The Course of Employment in the Sectors</w:t>
      </w:r>
    </w:p>
    <w:p w:rsidR="009A27C2" w:rsidRPr="00551409" w:rsidRDefault="00D57039" w:rsidP="00437514">
      <w:pPr>
        <w:spacing w:after="240" w:line="276" w:lineRule="auto"/>
        <w:jc w:val="both"/>
        <w:rPr>
          <w:rFonts w:ascii="Palatino Linotype" w:hAnsi="Palatino Linotype"/>
          <w:lang w:val="en-US"/>
        </w:rPr>
      </w:pPr>
      <w:r w:rsidRPr="00551409">
        <w:rPr>
          <w:rFonts w:ascii="Palatino Linotype" w:hAnsi="Palatino Linotype"/>
          <w:lang w:val="en-US"/>
        </w:rPr>
        <w:t xml:space="preserve">According to sectoral employment series </w:t>
      </w:r>
      <w:r w:rsidR="009C6082">
        <w:rPr>
          <w:rFonts w:ascii="Palatino Linotype" w:hAnsi="Palatino Linotype"/>
          <w:lang w:val="en-US"/>
        </w:rPr>
        <w:t xml:space="preserve">constructed </w:t>
      </w:r>
      <w:r w:rsidRPr="00551409">
        <w:rPr>
          <w:rFonts w:ascii="Palatino Linotype" w:hAnsi="Palatino Linotype"/>
          <w:lang w:val="en-US"/>
        </w:rPr>
        <w:t xml:space="preserve">by </w:t>
      </w:r>
      <w:proofErr w:type="spellStart"/>
      <w:r w:rsidRPr="00551409">
        <w:rPr>
          <w:rFonts w:ascii="Palatino Linotype" w:hAnsi="Palatino Linotype"/>
          <w:lang w:val="en-US"/>
        </w:rPr>
        <w:t>Betam</w:t>
      </w:r>
      <w:proofErr w:type="spellEnd"/>
      <w:r w:rsidRPr="00551409">
        <w:rPr>
          <w:rFonts w:ascii="Palatino Linotype" w:hAnsi="Palatino Linotype"/>
          <w:lang w:val="en-US"/>
        </w:rPr>
        <w:t>, employment in all sectors increases for the years between 1980 and 2018 except</w:t>
      </w:r>
      <w:r w:rsidR="004D22B7" w:rsidRPr="00551409">
        <w:rPr>
          <w:rFonts w:ascii="Palatino Linotype" w:hAnsi="Palatino Linotype"/>
          <w:lang w:val="en-US"/>
        </w:rPr>
        <w:t xml:space="preserve"> in</w:t>
      </w:r>
      <w:r w:rsidRPr="00551409">
        <w:rPr>
          <w:rFonts w:ascii="Palatino Linotype" w:hAnsi="Palatino Linotype"/>
          <w:lang w:val="en-US"/>
        </w:rPr>
        <w:t xml:space="preserve"> the agriculture</w:t>
      </w:r>
      <w:r w:rsidR="001C1700" w:rsidRPr="00551409">
        <w:rPr>
          <w:rStyle w:val="DipnotBavurusu"/>
          <w:rFonts w:ascii="Palatino Linotype" w:hAnsi="Palatino Linotype"/>
          <w:lang w:val="en-US"/>
        </w:rPr>
        <w:footnoteReference w:id="6"/>
      </w:r>
      <w:r w:rsidR="009A27C2" w:rsidRPr="00551409">
        <w:rPr>
          <w:rFonts w:ascii="Palatino Linotype" w:hAnsi="Palatino Linotype"/>
          <w:lang w:val="en-US"/>
        </w:rPr>
        <w:t xml:space="preserve">. </w:t>
      </w:r>
      <w:r w:rsidR="00FE73A9" w:rsidRPr="00551409">
        <w:rPr>
          <w:rFonts w:ascii="Palatino Linotype" w:hAnsi="Palatino Linotype"/>
          <w:lang w:val="en-US"/>
        </w:rPr>
        <w:t xml:space="preserve">In the 1980-2018 period, </w:t>
      </w:r>
      <w:r w:rsidR="004D6359" w:rsidRPr="00551409">
        <w:rPr>
          <w:rFonts w:ascii="Palatino Linotype" w:hAnsi="Palatino Linotype"/>
          <w:lang w:val="en-US"/>
        </w:rPr>
        <w:t>the highest cumulative increase in employment happens in the services (296%) while in the industry this figure is 152% and in the construction 137%. In the agriculture, the employment decreases by 20% in these years.</w:t>
      </w:r>
    </w:p>
    <w:p w:rsidR="00DE6847" w:rsidRPr="00551409" w:rsidRDefault="004F2856" w:rsidP="00437514">
      <w:pPr>
        <w:spacing w:after="240" w:line="276" w:lineRule="auto"/>
        <w:rPr>
          <w:rFonts w:ascii="Palatino Linotype" w:hAnsi="Palatino Linotype"/>
          <w:b/>
          <w:bCs/>
          <w:lang w:val="en-US"/>
        </w:rPr>
      </w:pPr>
      <w:r w:rsidRPr="00551409">
        <w:rPr>
          <w:rFonts w:ascii="Palatino Linotype" w:hAnsi="Palatino Linotype"/>
          <w:b/>
          <w:bCs/>
          <w:lang w:val="en-US"/>
        </w:rPr>
        <w:t>Tabl</w:t>
      </w:r>
      <w:r w:rsidR="00D57039" w:rsidRPr="00551409">
        <w:rPr>
          <w:rFonts w:ascii="Palatino Linotype" w:hAnsi="Palatino Linotype"/>
          <w:b/>
          <w:bCs/>
          <w:lang w:val="en-US"/>
        </w:rPr>
        <w:t>e</w:t>
      </w:r>
      <w:r w:rsidRPr="00551409">
        <w:rPr>
          <w:rFonts w:ascii="Palatino Linotype" w:hAnsi="Palatino Linotype"/>
          <w:b/>
          <w:bCs/>
          <w:lang w:val="en-US"/>
        </w:rPr>
        <w:t xml:space="preserve"> </w:t>
      </w:r>
      <w:r w:rsidR="00D57039" w:rsidRPr="00551409">
        <w:rPr>
          <w:rFonts w:ascii="Palatino Linotype" w:hAnsi="Palatino Linotype"/>
          <w:b/>
          <w:bCs/>
          <w:lang w:val="en-US"/>
        </w:rPr>
        <w:t>2</w:t>
      </w:r>
      <w:r w:rsidRPr="00551409">
        <w:rPr>
          <w:rFonts w:ascii="Palatino Linotype" w:hAnsi="Palatino Linotype"/>
          <w:b/>
          <w:bCs/>
          <w:lang w:val="en-US"/>
        </w:rPr>
        <w:t xml:space="preserve">: </w:t>
      </w:r>
      <w:r w:rsidR="00D57039" w:rsidRPr="00551409">
        <w:rPr>
          <w:rFonts w:ascii="Palatino Linotype" w:hAnsi="Palatino Linotype"/>
          <w:b/>
          <w:bCs/>
          <w:lang w:val="en-US"/>
        </w:rPr>
        <w:t xml:space="preserve">Change in Sectoral Employment </w:t>
      </w:r>
      <w:r w:rsidRPr="00551409">
        <w:rPr>
          <w:rFonts w:ascii="Palatino Linotype" w:hAnsi="Palatino Linotype"/>
          <w:b/>
          <w:bCs/>
          <w:lang w:val="en-US"/>
        </w:rPr>
        <w:t>(</w:t>
      </w:r>
      <w:r w:rsidR="00D57039" w:rsidRPr="00551409">
        <w:rPr>
          <w:rFonts w:ascii="Palatino Linotype" w:hAnsi="Palatino Linotype"/>
          <w:b/>
          <w:bCs/>
          <w:lang w:val="en-US"/>
        </w:rPr>
        <w:t>Annual Average</w:t>
      </w:r>
      <w:r w:rsidR="001C1700" w:rsidRPr="00551409">
        <w:rPr>
          <w:rFonts w:ascii="Palatino Linotype" w:hAnsi="Palatino Linotype"/>
          <w:b/>
          <w:bCs/>
          <w:lang w:val="en-US"/>
        </w:rPr>
        <w:t xml:space="preserve"> </w:t>
      </w:r>
      <w:r w:rsidRPr="00551409">
        <w:rPr>
          <w:rFonts w:ascii="Palatino Linotype" w:hAnsi="Palatino Linotype"/>
          <w:b/>
          <w:bCs/>
          <w:lang w:val="en-US"/>
        </w:rPr>
        <w:t>%)</w:t>
      </w:r>
    </w:p>
    <w:tbl>
      <w:tblPr>
        <w:tblW w:w="0" w:type="auto"/>
        <w:tblInd w:w="-30" w:type="dxa"/>
        <w:tblLayout w:type="fixed"/>
        <w:tblLook w:val="0000" w:firstRow="0" w:lastRow="0" w:firstColumn="0" w:lastColumn="0" w:noHBand="0" w:noVBand="0"/>
      </w:tblPr>
      <w:tblGrid>
        <w:gridCol w:w="2924"/>
        <w:gridCol w:w="1376"/>
        <w:gridCol w:w="1376"/>
        <w:gridCol w:w="1376"/>
        <w:gridCol w:w="1376"/>
      </w:tblGrid>
      <w:tr w:rsidR="00C665DB" w:rsidRPr="00551409" w:rsidTr="00CA531A">
        <w:trPr>
          <w:trHeight w:val="320"/>
        </w:trPr>
        <w:tc>
          <w:tcPr>
            <w:tcW w:w="2924" w:type="dxa"/>
            <w:tcBorders>
              <w:top w:val="single" w:sz="6" w:space="0" w:color="auto"/>
              <w:left w:val="nil"/>
              <w:bottom w:val="single" w:sz="6" w:space="0" w:color="auto"/>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376" w:type="dxa"/>
            <w:tcBorders>
              <w:top w:val="single" w:sz="6" w:space="0" w:color="auto"/>
              <w:left w:val="nil"/>
              <w:bottom w:val="single" w:sz="6" w:space="0" w:color="auto"/>
              <w:right w:val="nil"/>
            </w:tcBorders>
            <w:shd w:val="solid" w:color="FFFFFF" w:fill="auto"/>
          </w:tcPr>
          <w:p w:rsidR="00C665DB" w:rsidRPr="00551409" w:rsidRDefault="004D6359">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Agriculture</w:t>
            </w:r>
          </w:p>
        </w:tc>
        <w:tc>
          <w:tcPr>
            <w:tcW w:w="1376" w:type="dxa"/>
            <w:tcBorders>
              <w:top w:val="single" w:sz="6" w:space="0" w:color="auto"/>
              <w:left w:val="nil"/>
              <w:bottom w:val="single" w:sz="6" w:space="0" w:color="auto"/>
              <w:right w:val="nil"/>
            </w:tcBorders>
            <w:shd w:val="solid" w:color="FFFFFF" w:fill="auto"/>
          </w:tcPr>
          <w:p w:rsidR="00C665DB" w:rsidRPr="00551409" w:rsidRDefault="004D6359">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Industry</w:t>
            </w:r>
          </w:p>
        </w:tc>
        <w:tc>
          <w:tcPr>
            <w:tcW w:w="1376" w:type="dxa"/>
            <w:tcBorders>
              <w:top w:val="single" w:sz="6" w:space="0" w:color="auto"/>
              <w:left w:val="nil"/>
              <w:bottom w:val="single" w:sz="6" w:space="0" w:color="auto"/>
              <w:right w:val="nil"/>
            </w:tcBorders>
            <w:shd w:val="solid" w:color="FFFFFF" w:fill="auto"/>
          </w:tcPr>
          <w:p w:rsidR="00C665DB" w:rsidRPr="00551409" w:rsidRDefault="004D6359">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Construction</w:t>
            </w:r>
          </w:p>
        </w:tc>
        <w:tc>
          <w:tcPr>
            <w:tcW w:w="1376" w:type="dxa"/>
            <w:tcBorders>
              <w:top w:val="single" w:sz="6" w:space="0" w:color="auto"/>
              <w:left w:val="nil"/>
              <w:bottom w:val="single" w:sz="6" w:space="0" w:color="auto"/>
              <w:right w:val="nil"/>
            </w:tcBorders>
            <w:shd w:val="solid" w:color="FFFFFF" w:fill="auto"/>
          </w:tcPr>
          <w:p w:rsidR="00C665DB" w:rsidRPr="00551409" w:rsidRDefault="004D6359">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Services</w:t>
            </w:r>
          </w:p>
        </w:tc>
      </w:tr>
      <w:tr w:rsidR="00C665DB" w:rsidRPr="00551409" w:rsidTr="00CA531A">
        <w:trPr>
          <w:trHeight w:val="320"/>
        </w:trPr>
        <w:tc>
          <w:tcPr>
            <w:tcW w:w="2924" w:type="dxa"/>
            <w:tcBorders>
              <w:top w:val="nil"/>
              <w:left w:val="nil"/>
              <w:bottom w:val="nil"/>
              <w:right w:val="nil"/>
            </w:tcBorders>
            <w:shd w:val="solid" w:color="FFFFFF" w:fill="auto"/>
          </w:tcPr>
          <w:p w:rsidR="00C665DB" w:rsidRPr="00551409" w:rsidRDefault="00CA531A">
            <w:pPr>
              <w:autoSpaceDE w:val="0"/>
              <w:autoSpaceDN w:val="0"/>
              <w:adjustRightInd w:val="0"/>
              <w:spacing w:after="0" w:line="240" w:lineRule="auto"/>
              <w:rPr>
                <w:rFonts w:ascii="Palatino Linotype" w:hAnsi="Palatino Linotype" w:cs="Calibri Light"/>
                <w:b/>
                <w:bCs/>
                <w:color w:val="000000"/>
                <w:sz w:val="20"/>
                <w:szCs w:val="20"/>
                <w:lang w:val="en-US"/>
              </w:rPr>
            </w:pPr>
            <w:r w:rsidRPr="00551409">
              <w:rPr>
                <w:rFonts w:ascii="Palatino Linotype" w:hAnsi="Palatino Linotype" w:cs="Calibri Light"/>
                <w:b/>
                <w:bCs/>
                <w:color w:val="000000"/>
                <w:sz w:val="20"/>
                <w:szCs w:val="20"/>
                <w:lang w:val="en-US"/>
              </w:rPr>
              <w:t>Growth Rate</w:t>
            </w:r>
            <w:r w:rsidR="00C665DB" w:rsidRPr="00551409">
              <w:rPr>
                <w:rFonts w:ascii="Palatino Linotype" w:hAnsi="Palatino Linotype" w:cs="Calibri Light"/>
                <w:b/>
                <w:bCs/>
                <w:color w:val="000000"/>
                <w:sz w:val="20"/>
                <w:szCs w:val="20"/>
                <w:lang w:val="en-US"/>
              </w:rPr>
              <w:t xml:space="preserve"> (%)</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color w:val="000000"/>
                <w:sz w:val="20"/>
                <w:szCs w:val="20"/>
                <w:lang w:val="en-US"/>
              </w:rPr>
            </w:pPr>
          </w:p>
        </w:tc>
      </w:tr>
      <w:tr w:rsidR="00C665DB" w:rsidRPr="00551409" w:rsidTr="00CA531A">
        <w:trPr>
          <w:trHeight w:val="320"/>
        </w:trPr>
        <w:tc>
          <w:tcPr>
            <w:tcW w:w="2924" w:type="dxa"/>
            <w:tcBorders>
              <w:top w:val="single" w:sz="6" w:space="0" w:color="auto"/>
              <w:left w:val="nil"/>
              <w:bottom w:val="nil"/>
              <w:right w:val="nil"/>
            </w:tcBorders>
            <w:shd w:val="solid" w:color="FFFFFF" w:fill="auto"/>
          </w:tcPr>
          <w:p w:rsidR="00C665DB" w:rsidRPr="00551409" w:rsidRDefault="00C665DB">
            <w:pPr>
              <w:autoSpaceDE w:val="0"/>
              <w:autoSpaceDN w:val="0"/>
              <w:adjustRightInd w:val="0"/>
              <w:spacing w:after="0" w:line="240" w:lineRule="auto"/>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1981-1989</w:t>
            </w:r>
          </w:p>
        </w:tc>
        <w:tc>
          <w:tcPr>
            <w:tcW w:w="1376" w:type="dxa"/>
            <w:tcBorders>
              <w:top w:val="single" w:sz="6" w:space="0" w:color="auto"/>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0.4</w:t>
            </w:r>
          </w:p>
        </w:tc>
        <w:tc>
          <w:tcPr>
            <w:tcW w:w="1376" w:type="dxa"/>
            <w:tcBorders>
              <w:top w:val="single" w:sz="6" w:space="0" w:color="auto"/>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2.4</w:t>
            </w:r>
          </w:p>
        </w:tc>
        <w:tc>
          <w:tcPr>
            <w:tcW w:w="1376" w:type="dxa"/>
            <w:tcBorders>
              <w:top w:val="single" w:sz="6" w:space="0" w:color="auto"/>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0.5</w:t>
            </w:r>
          </w:p>
        </w:tc>
        <w:tc>
          <w:tcPr>
            <w:tcW w:w="1376" w:type="dxa"/>
            <w:tcBorders>
              <w:top w:val="single" w:sz="6" w:space="0" w:color="auto"/>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3.7</w:t>
            </w:r>
          </w:p>
        </w:tc>
      </w:tr>
      <w:tr w:rsidR="00C665DB" w:rsidRPr="00551409" w:rsidTr="00CA531A">
        <w:trPr>
          <w:trHeight w:val="320"/>
        </w:trPr>
        <w:tc>
          <w:tcPr>
            <w:tcW w:w="2924"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1990-2002</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-1.1</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2.5</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0.1</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3.4</w:t>
            </w:r>
          </w:p>
        </w:tc>
      </w:tr>
      <w:tr w:rsidR="00C665DB" w:rsidRPr="00551409" w:rsidTr="00CA531A">
        <w:trPr>
          <w:trHeight w:val="320"/>
        </w:trPr>
        <w:tc>
          <w:tcPr>
            <w:tcW w:w="2924"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2003-2013</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0.4</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2.2</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6.2</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3.5</w:t>
            </w:r>
          </w:p>
        </w:tc>
      </w:tr>
      <w:tr w:rsidR="00C665DB" w:rsidRPr="00551409" w:rsidTr="00CA531A">
        <w:trPr>
          <w:trHeight w:val="320"/>
        </w:trPr>
        <w:tc>
          <w:tcPr>
            <w:tcW w:w="2924"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2003-2007</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-3.4</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2.1</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6.3</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3.5</w:t>
            </w:r>
          </w:p>
        </w:tc>
      </w:tr>
      <w:tr w:rsidR="00C665DB" w:rsidRPr="00551409" w:rsidTr="00CA531A">
        <w:trPr>
          <w:trHeight w:val="320"/>
        </w:trPr>
        <w:tc>
          <w:tcPr>
            <w:tcW w:w="2924"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2008-2010</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5.2</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1.4</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5.0</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2.1</w:t>
            </w:r>
          </w:p>
        </w:tc>
      </w:tr>
      <w:tr w:rsidR="00C665DB" w:rsidRPr="00551409" w:rsidTr="00CA531A">
        <w:trPr>
          <w:trHeight w:val="320"/>
        </w:trPr>
        <w:tc>
          <w:tcPr>
            <w:tcW w:w="2924"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2011-2013</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1.9</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3.2</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7.3</w:t>
            </w:r>
          </w:p>
        </w:tc>
        <w:tc>
          <w:tcPr>
            <w:tcW w:w="1376" w:type="dxa"/>
            <w:tcBorders>
              <w:top w:val="nil"/>
              <w:left w:val="nil"/>
              <w:bottom w:val="nil"/>
              <w:right w:val="nil"/>
            </w:tcBorders>
            <w:shd w:val="solid" w:color="FFFFFF" w:fill="auto"/>
          </w:tcPr>
          <w:p w:rsidR="00C665DB" w:rsidRPr="00551409"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5.0</w:t>
            </w:r>
          </w:p>
        </w:tc>
      </w:tr>
      <w:tr w:rsidR="00C665DB" w:rsidRPr="00551409" w:rsidTr="00CA531A">
        <w:trPr>
          <w:trHeight w:val="320"/>
        </w:trPr>
        <w:tc>
          <w:tcPr>
            <w:tcW w:w="2924" w:type="dxa"/>
            <w:tcBorders>
              <w:top w:val="nil"/>
              <w:left w:val="nil"/>
              <w:bottom w:val="single" w:sz="6" w:space="0" w:color="auto"/>
              <w:right w:val="nil"/>
            </w:tcBorders>
            <w:shd w:val="solid" w:color="FFFFFF" w:fill="auto"/>
          </w:tcPr>
          <w:p w:rsidR="00C665DB" w:rsidRPr="00551409" w:rsidRDefault="00C665DB">
            <w:pPr>
              <w:autoSpaceDE w:val="0"/>
              <w:autoSpaceDN w:val="0"/>
              <w:adjustRightInd w:val="0"/>
              <w:spacing w:after="0" w:line="240" w:lineRule="auto"/>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2014-2018</w:t>
            </w:r>
          </w:p>
        </w:tc>
        <w:tc>
          <w:tcPr>
            <w:tcW w:w="1376" w:type="dxa"/>
            <w:tcBorders>
              <w:top w:val="nil"/>
              <w:left w:val="nil"/>
              <w:bottom w:val="single" w:sz="6" w:space="0" w:color="auto"/>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-2.5</w:t>
            </w:r>
          </w:p>
        </w:tc>
        <w:tc>
          <w:tcPr>
            <w:tcW w:w="1376" w:type="dxa"/>
            <w:tcBorders>
              <w:top w:val="nil"/>
              <w:left w:val="nil"/>
              <w:bottom w:val="single" w:sz="6" w:space="0" w:color="auto"/>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2.7</w:t>
            </w:r>
          </w:p>
        </w:tc>
        <w:tc>
          <w:tcPr>
            <w:tcW w:w="1376" w:type="dxa"/>
            <w:tcBorders>
              <w:top w:val="nil"/>
              <w:left w:val="nil"/>
              <w:bottom w:val="single" w:sz="6" w:space="0" w:color="auto"/>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2.2</w:t>
            </w:r>
          </w:p>
        </w:tc>
        <w:tc>
          <w:tcPr>
            <w:tcW w:w="1376" w:type="dxa"/>
            <w:tcBorders>
              <w:top w:val="nil"/>
              <w:left w:val="nil"/>
              <w:bottom w:val="single" w:sz="6" w:space="0" w:color="auto"/>
              <w:right w:val="nil"/>
            </w:tcBorders>
            <w:shd w:val="solid" w:color="FFFFFF" w:fill="auto"/>
          </w:tcPr>
          <w:p w:rsidR="00C665DB" w:rsidRPr="00551409"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4.2</w:t>
            </w:r>
          </w:p>
        </w:tc>
      </w:tr>
    </w:tbl>
    <w:p w:rsidR="009A27C2" w:rsidRPr="00551409" w:rsidRDefault="00AC313C" w:rsidP="00437514">
      <w:pPr>
        <w:spacing w:after="240" w:line="276" w:lineRule="auto"/>
        <w:rPr>
          <w:rFonts w:ascii="Palatino Linotype" w:hAnsi="Palatino Linotype"/>
          <w:lang w:val="en-US"/>
        </w:rPr>
      </w:pPr>
      <w:proofErr w:type="spellStart"/>
      <w:r w:rsidRPr="00551409">
        <w:rPr>
          <w:rFonts w:ascii="Palatino Linotype" w:hAnsi="Palatino Linotype"/>
          <w:b/>
          <w:bCs/>
          <w:lang w:val="en-US"/>
        </w:rPr>
        <w:t>Kaynak</w:t>
      </w:r>
      <w:proofErr w:type="spellEnd"/>
      <w:r w:rsidRPr="00551409">
        <w:rPr>
          <w:rFonts w:ascii="Palatino Linotype" w:hAnsi="Palatino Linotype"/>
          <w:b/>
          <w:bCs/>
          <w:lang w:val="en-US"/>
        </w:rPr>
        <w:t>:</w:t>
      </w:r>
      <w:r w:rsidRPr="00551409">
        <w:rPr>
          <w:rFonts w:ascii="Palatino Linotype" w:hAnsi="Palatino Linotype"/>
          <w:lang w:val="en-US"/>
        </w:rPr>
        <w:t xml:space="preserve"> </w:t>
      </w:r>
      <w:proofErr w:type="spellStart"/>
      <w:r w:rsidR="00882400" w:rsidRPr="00551409">
        <w:rPr>
          <w:rFonts w:ascii="Palatino Linotype" w:hAnsi="Palatino Linotype"/>
          <w:lang w:val="en-US"/>
        </w:rPr>
        <w:t>B</w:t>
      </w:r>
      <w:r w:rsidR="00E042FC" w:rsidRPr="00551409">
        <w:rPr>
          <w:rFonts w:ascii="Palatino Linotype" w:hAnsi="Palatino Linotype"/>
          <w:lang w:val="en-US"/>
        </w:rPr>
        <w:t>etam</w:t>
      </w:r>
      <w:proofErr w:type="spellEnd"/>
    </w:p>
    <w:p w:rsidR="001D4D8E" w:rsidRPr="00551409" w:rsidRDefault="001D4D8E" w:rsidP="00437514">
      <w:pPr>
        <w:spacing w:after="240" w:line="276" w:lineRule="auto"/>
        <w:jc w:val="both"/>
        <w:rPr>
          <w:rFonts w:ascii="Palatino Linotype" w:hAnsi="Palatino Linotype"/>
          <w:lang w:val="en-US"/>
        </w:rPr>
      </w:pPr>
      <w:r w:rsidRPr="00551409">
        <w:rPr>
          <w:rFonts w:ascii="Palatino Linotype" w:hAnsi="Palatino Linotype"/>
          <w:lang w:val="en-US"/>
        </w:rPr>
        <w:lastRenderedPageBreak/>
        <w:t>Agricultural employment contract</w:t>
      </w:r>
      <w:r w:rsidR="004D22B7" w:rsidRPr="00551409">
        <w:rPr>
          <w:rFonts w:ascii="Palatino Linotype" w:hAnsi="Palatino Linotype"/>
          <w:lang w:val="en-US"/>
        </w:rPr>
        <w:t>s</w:t>
      </w:r>
      <w:r w:rsidRPr="00551409">
        <w:rPr>
          <w:rFonts w:ascii="Palatino Linotype" w:hAnsi="Palatino Linotype"/>
          <w:lang w:val="en-US"/>
        </w:rPr>
        <w:t xml:space="preserve"> in the 1990-2002 and 2014-2018 periods while increase</w:t>
      </w:r>
      <w:r w:rsidR="004D22B7" w:rsidRPr="00551409">
        <w:rPr>
          <w:rFonts w:ascii="Palatino Linotype" w:hAnsi="Palatino Linotype"/>
          <w:lang w:val="en-US"/>
        </w:rPr>
        <w:t>s</w:t>
      </w:r>
      <w:r w:rsidRPr="00551409">
        <w:rPr>
          <w:rFonts w:ascii="Palatino Linotype" w:hAnsi="Palatino Linotype"/>
          <w:lang w:val="en-US"/>
        </w:rPr>
        <w:t xml:space="preserve"> in the other periods. The year 2013 </w:t>
      </w:r>
      <w:r w:rsidR="00520A9B" w:rsidRPr="00551409">
        <w:rPr>
          <w:rFonts w:ascii="Palatino Linotype" w:hAnsi="Palatino Linotype"/>
          <w:lang w:val="en-US"/>
        </w:rPr>
        <w:t>is a cornerstone for the agricultural employment. After 2013, agricultural employment start</w:t>
      </w:r>
      <w:r w:rsidR="004D22B7" w:rsidRPr="00551409">
        <w:rPr>
          <w:rFonts w:ascii="Palatino Linotype" w:hAnsi="Palatino Linotype"/>
          <w:lang w:val="en-US"/>
        </w:rPr>
        <w:t>s</w:t>
      </w:r>
      <w:r w:rsidR="00520A9B" w:rsidRPr="00551409">
        <w:rPr>
          <w:rFonts w:ascii="Palatino Linotype" w:hAnsi="Palatino Linotype"/>
          <w:lang w:val="en-US"/>
        </w:rPr>
        <w:t xml:space="preserve"> to decrease at a fast rate. In Table 2, the increases in the construction employment after 2002 are eye-catching. Employment in the construction contract</w:t>
      </w:r>
      <w:r w:rsidR="004D22B7" w:rsidRPr="00551409">
        <w:rPr>
          <w:rFonts w:ascii="Palatino Linotype" w:hAnsi="Palatino Linotype"/>
          <w:lang w:val="en-US"/>
        </w:rPr>
        <w:t>s</w:t>
      </w:r>
      <w:r w:rsidR="00520A9B" w:rsidRPr="00551409">
        <w:rPr>
          <w:rFonts w:ascii="Palatino Linotype" w:hAnsi="Palatino Linotype"/>
          <w:lang w:val="en-US"/>
        </w:rPr>
        <w:t xml:space="preserve"> by 5% in 2018 due to the economic recession, as a result the 2014-2018 period record</w:t>
      </w:r>
      <w:r w:rsidR="004D22B7" w:rsidRPr="00551409">
        <w:rPr>
          <w:rFonts w:ascii="Palatino Linotype" w:hAnsi="Palatino Linotype"/>
          <w:lang w:val="en-US"/>
        </w:rPr>
        <w:t>s only</w:t>
      </w:r>
      <w:r w:rsidR="00520A9B" w:rsidRPr="00551409">
        <w:rPr>
          <w:rFonts w:ascii="Palatino Linotype" w:hAnsi="Palatino Linotype"/>
          <w:lang w:val="en-US"/>
        </w:rPr>
        <w:t xml:space="preserve"> 2.2% annual average increase in the construction employment. </w:t>
      </w:r>
      <w:r w:rsidR="00384DC8" w:rsidRPr="00551409">
        <w:rPr>
          <w:rFonts w:ascii="Palatino Linotype" w:hAnsi="Palatino Linotype"/>
          <w:lang w:val="en-US"/>
        </w:rPr>
        <w:t>The growth rates of employment in the industry and the services are more stable.</w:t>
      </w:r>
    </w:p>
    <w:p w:rsidR="0025169D" w:rsidRPr="00551409" w:rsidRDefault="002367F3" w:rsidP="00437514">
      <w:pPr>
        <w:spacing w:after="240" w:line="276" w:lineRule="auto"/>
        <w:jc w:val="both"/>
        <w:rPr>
          <w:rFonts w:ascii="Palatino Linotype" w:hAnsi="Palatino Linotype"/>
          <w:lang w:val="en-US"/>
        </w:rPr>
      </w:pPr>
      <w:r w:rsidRPr="00551409">
        <w:rPr>
          <w:rFonts w:ascii="Palatino Linotype" w:hAnsi="Palatino Linotype"/>
          <w:lang w:val="en-US"/>
        </w:rPr>
        <w:t>The employment shares of the sectors changed over the years with the transition of the Turkish economy. The share of the agricultural employment decreases to 18% in 2018 from 48% in 1980 as urbanization increases. On the contrary, the employment share of the services continually increases from 29% to 55%. The share of the industry has a more stable course and increase</w:t>
      </w:r>
      <w:r w:rsidR="004D22B7" w:rsidRPr="00551409">
        <w:rPr>
          <w:rFonts w:ascii="Palatino Linotype" w:hAnsi="Palatino Linotype"/>
          <w:lang w:val="en-US"/>
        </w:rPr>
        <w:t>s</w:t>
      </w:r>
      <w:r w:rsidRPr="00551409">
        <w:rPr>
          <w:rFonts w:ascii="Palatino Linotype" w:hAnsi="Palatino Linotype"/>
          <w:lang w:val="en-US"/>
        </w:rPr>
        <w:t xml:space="preserve"> from 17% in 1980 to 20% in 2018. The employment share of the construction remains at 6-7% for the entire 1980-2018 period.  </w:t>
      </w:r>
    </w:p>
    <w:p w:rsidR="00E91250" w:rsidRPr="00551409" w:rsidRDefault="001D4D8E" w:rsidP="00437514">
      <w:pPr>
        <w:spacing w:after="240" w:line="276" w:lineRule="auto"/>
        <w:jc w:val="both"/>
        <w:rPr>
          <w:rFonts w:ascii="Palatino Linotype" w:hAnsi="Palatino Linotype"/>
          <w:b/>
          <w:bCs/>
          <w:lang w:val="en-US"/>
        </w:rPr>
      </w:pPr>
      <w:r w:rsidRPr="00551409">
        <w:rPr>
          <w:rFonts w:ascii="Palatino Linotype" w:hAnsi="Palatino Linotype"/>
          <w:b/>
          <w:bCs/>
          <w:lang w:val="en-US"/>
        </w:rPr>
        <w:t>Figure</w:t>
      </w:r>
      <w:r w:rsidR="007E7AD1" w:rsidRPr="00551409">
        <w:rPr>
          <w:rFonts w:ascii="Palatino Linotype" w:hAnsi="Palatino Linotype"/>
          <w:b/>
          <w:bCs/>
          <w:lang w:val="en-US"/>
        </w:rPr>
        <w:t xml:space="preserve"> </w:t>
      </w:r>
      <w:r w:rsidRPr="00551409">
        <w:rPr>
          <w:rFonts w:ascii="Palatino Linotype" w:hAnsi="Palatino Linotype"/>
          <w:b/>
          <w:bCs/>
          <w:lang w:val="en-US"/>
        </w:rPr>
        <w:t>2</w:t>
      </w:r>
      <w:r w:rsidR="007E7AD1" w:rsidRPr="00551409">
        <w:rPr>
          <w:rFonts w:ascii="Palatino Linotype" w:hAnsi="Palatino Linotype"/>
          <w:b/>
          <w:bCs/>
          <w:lang w:val="en-US"/>
        </w:rPr>
        <w:t xml:space="preserve">: </w:t>
      </w:r>
      <w:r w:rsidR="002367F3" w:rsidRPr="00551409">
        <w:rPr>
          <w:rFonts w:ascii="Palatino Linotype" w:hAnsi="Palatino Linotype"/>
          <w:b/>
          <w:bCs/>
          <w:lang w:val="en-US"/>
        </w:rPr>
        <w:t>Changes in the Sectoral Employment Shares from 1980 to 2018</w:t>
      </w:r>
    </w:p>
    <w:p w:rsidR="00E91250" w:rsidRPr="00551409" w:rsidRDefault="002367F3" w:rsidP="007E7AD1">
      <w:pPr>
        <w:spacing w:after="0" w:line="240" w:lineRule="auto"/>
        <w:rPr>
          <w:lang w:val="en-US"/>
        </w:rPr>
      </w:pPr>
      <w:r w:rsidRPr="00551409">
        <w:rPr>
          <w:noProof/>
          <w:lang w:val="en-US"/>
        </w:rPr>
        <w:drawing>
          <wp:inline distT="0" distB="0" distL="0" distR="0" wp14:anchorId="14FB9994">
            <wp:extent cx="5792470" cy="1732910"/>
            <wp:effectExtent l="0" t="0" r="0" b="127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5060" cy="1751635"/>
                    </a:xfrm>
                    <a:prstGeom prst="rect">
                      <a:avLst/>
                    </a:prstGeom>
                    <a:noFill/>
                  </pic:spPr>
                </pic:pic>
              </a:graphicData>
            </a:graphic>
          </wp:inline>
        </w:drawing>
      </w:r>
    </w:p>
    <w:p w:rsidR="007E7AD1" w:rsidRPr="00551409" w:rsidRDefault="002367F3" w:rsidP="00437514">
      <w:pPr>
        <w:spacing w:after="240" w:line="276" w:lineRule="auto"/>
        <w:rPr>
          <w:rFonts w:ascii="Palatino Linotype" w:hAnsi="Palatino Linotype"/>
          <w:lang w:val="en-US"/>
        </w:rPr>
      </w:pPr>
      <w:r w:rsidRPr="00551409">
        <w:rPr>
          <w:rFonts w:ascii="Palatino Linotype" w:hAnsi="Palatino Linotype"/>
          <w:b/>
          <w:bCs/>
          <w:lang w:val="en-US"/>
        </w:rPr>
        <w:t>Source</w:t>
      </w:r>
      <w:r w:rsidR="00AC313C" w:rsidRPr="00551409">
        <w:rPr>
          <w:rFonts w:ascii="Palatino Linotype" w:hAnsi="Palatino Linotype"/>
          <w:b/>
          <w:bCs/>
          <w:lang w:val="en-US"/>
        </w:rPr>
        <w:t>:</w:t>
      </w:r>
      <w:r w:rsidR="00AC313C" w:rsidRPr="00551409">
        <w:rPr>
          <w:rFonts w:ascii="Palatino Linotype" w:hAnsi="Palatino Linotype"/>
          <w:lang w:val="en-US"/>
        </w:rPr>
        <w:t xml:space="preserve"> </w:t>
      </w:r>
      <w:proofErr w:type="spellStart"/>
      <w:r w:rsidR="00882400" w:rsidRPr="00551409">
        <w:rPr>
          <w:rFonts w:ascii="Palatino Linotype" w:hAnsi="Palatino Linotype"/>
          <w:lang w:val="en-US"/>
        </w:rPr>
        <w:t>B</w:t>
      </w:r>
      <w:r w:rsidR="00E042FC" w:rsidRPr="00551409">
        <w:rPr>
          <w:rFonts w:ascii="Palatino Linotype" w:hAnsi="Palatino Linotype"/>
          <w:lang w:val="en-US"/>
        </w:rPr>
        <w:t>etam</w:t>
      </w:r>
      <w:proofErr w:type="spellEnd"/>
    </w:p>
    <w:p w:rsidR="00244CEE" w:rsidRPr="00551409" w:rsidRDefault="002367F3" w:rsidP="00437514">
      <w:pPr>
        <w:spacing w:before="240" w:after="60" w:line="276" w:lineRule="auto"/>
        <w:rPr>
          <w:sz w:val="24"/>
          <w:szCs w:val="24"/>
          <w:lang w:val="en-US"/>
        </w:rPr>
      </w:pPr>
      <w:r w:rsidRPr="00551409">
        <w:rPr>
          <w:rFonts w:ascii="Palatino Linotype" w:hAnsi="Palatino Linotype"/>
          <w:b/>
          <w:sz w:val="26"/>
          <w:szCs w:val="26"/>
          <w:lang w:val="en-US"/>
        </w:rPr>
        <w:t>Sectoral Labor Productivities</w:t>
      </w:r>
    </w:p>
    <w:p w:rsidR="00AC313C" w:rsidRPr="00551409" w:rsidRDefault="002367F3" w:rsidP="00437514">
      <w:pPr>
        <w:spacing w:after="240" w:line="276" w:lineRule="auto"/>
        <w:jc w:val="both"/>
        <w:rPr>
          <w:rFonts w:ascii="Palatino Linotype" w:hAnsi="Palatino Linotype"/>
          <w:lang w:val="en-US"/>
        </w:rPr>
      </w:pPr>
      <w:r w:rsidRPr="00551409">
        <w:rPr>
          <w:rFonts w:ascii="Palatino Linotype" w:hAnsi="Palatino Linotype"/>
          <w:lang w:val="en-US"/>
        </w:rPr>
        <w:t xml:space="preserve">The labor productivities of the sectors are calculated by dividing real sectoral outputs to sectoral employment. Real sectoral output series are constructed by </w:t>
      </w:r>
      <w:proofErr w:type="spellStart"/>
      <w:r w:rsidRPr="00551409">
        <w:rPr>
          <w:rFonts w:ascii="Palatino Linotype" w:hAnsi="Palatino Linotype"/>
          <w:lang w:val="en-US"/>
        </w:rPr>
        <w:t>Betam</w:t>
      </w:r>
      <w:proofErr w:type="spellEnd"/>
      <w:r w:rsidR="00AC313C" w:rsidRPr="00551409">
        <w:rPr>
          <w:rStyle w:val="DipnotBavurusu"/>
          <w:rFonts w:ascii="Palatino Linotype" w:hAnsi="Palatino Linotype"/>
          <w:lang w:val="en-US"/>
        </w:rPr>
        <w:footnoteReference w:id="7"/>
      </w:r>
      <w:r w:rsidR="00AC313C" w:rsidRPr="00551409">
        <w:rPr>
          <w:rFonts w:ascii="Palatino Linotype" w:hAnsi="Palatino Linotype"/>
          <w:lang w:val="en-US"/>
        </w:rPr>
        <w:t xml:space="preserve">. </w:t>
      </w:r>
      <w:r w:rsidR="000D42BA" w:rsidRPr="00551409">
        <w:rPr>
          <w:rFonts w:ascii="Palatino Linotype" w:hAnsi="Palatino Linotype"/>
          <w:lang w:val="en-US"/>
        </w:rPr>
        <w:t xml:space="preserve">In </w:t>
      </w:r>
      <w:r w:rsidRPr="00551409">
        <w:rPr>
          <w:rFonts w:ascii="Palatino Linotype" w:hAnsi="Palatino Linotype"/>
          <w:lang w:val="en-US"/>
        </w:rPr>
        <w:t>Table 3</w:t>
      </w:r>
      <w:r w:rsidR="000D42BA" w:rsidRPr="00551409">
        <w:rPr>
          <w:rFonts w:ascii="Palatino Linotype" w:hAnsi="Palatino Linotype"/>
          <w:lang w:val="en-US"/>
        </w:rPr>
        <w:t>, each sectors’ labor productivity is equalized to 100 and the following years are normalized accordingly.</w:t>
      </w:r>
    </w:p>
    <w:p w:rsidR="004D22B7" w:rsidRPr="00551409" w:rsidRDefault="004D22B7" w:rsidP="00437514">
      <w:pPr>
        <w:spacing w:after="240" w:line="276" w:lineRule="auto"/>
        <w:rPr>
          <w:rFonts w:ascii="Palatino Linotype" w:hAnsi="Palatino Linotype"/>
          <w:b/>
          <w:bCs/>
          <w:lang w:val="en-US"/>
        </w:rPr>
      </w:pPr>
      <w:r w:rsidRPr="00551409">
        <w:rPr>
          <w:rFonts w:ascii="Palatino Linotype" w:hAnsi="Palatino Linotype"/>
          <w:b/>
          <w:bCs/>
          <w:lang w:val="en-US"/>
        </w:rPr>
        <w:br/>
      </w:r>
      <w:r w:rsidRPr="00551409">
        <w:rPr>
          <w:rFonts w:ascii="Palatino Linotype" w:hAnsi="Palatino Linotype"/>
          <w:b/>
          <w:bCs/>
          <w:lang w:val="en-US"/>
        </w:rPr>
        <w:br/>
      </w:r>
    </w:p>
    <w:p w:rsidR="004D22B7" w:rsidRPr="00551409" w:rsidRDefault="004D22B7" w:rsidP="00437514">
      <w:pPr>
        <w:spacing w:after="240" w:line="276" w:lineRule="auto"/>
        <w:rPr>
          <w:rFonts w:ascii="Palatino Linotype" w:hAnsi="Palatino Linotype"/>
          <w:b/>
          <w:bCs/>
          <w:lang w:val="en-US"/>
        </w:rPr>
      </w:pPr>
    </w:p>
    <w:p w:rsidR="004D22B7" w:rsidRPr="00551409" w:rsidRDefault="004D22B7" w:rsidP="00437514">
      <w:pPr>
        <w:spacing w:after="240" w:line="276" w:lineRule="auto"/>
        <w:rPr>
          <w:rFonts w:ascii="Palatino Linotype" w:hAnsi="Palatino Linotype"/>
          <w:b/>
          <w:bCs/>
          <w:lang w:val="en-US"/>
        </w:rPr>
      </w:pPr>
    </w:p>
    <w:p w:rsidR="00AC313C" w:rsidRPr="00551409" w:rsidRDefault="001D4D8E" w:rsidP="00437514">
      <w:pPr>
        <w:spacing w:after="240" w:line="276" w:lineRule="auto"/>
        <w:rPr>
          <w:rFonts w:ascii="Palatino Linotype" w:hAnsi="Palatino Linotype"/>
          <w:b/>
          <w:bCs/>
          <w:lang w:val="en-US"/>
        </w:rPr>
      </w:pPr>
      <w:r w:rsidRPr="00551409">
        <w:rPr>
          <w:rFonts w:ascii="Palatino Linotype" w:hAnsi="Palatino Linotype"/>
          <w:b/>
          <w:bCs/>
          <w:lang w:val="en-US"/>
        </w:rPr>
        <w:lastRenderedPageBreak/>
        <w:t>Figure</w:t>
      </w:r>
      <w:r w:rsidR="00AC313C" w:rsidRPr="00551409">
        <w:rPr>
          <w:rFonts w:ascii="Palatino Linotype" w:hAnsi="Palatino Linotype"/>
          <w:b/>
          <w:bCs/>
          <w:lang w:val="en-US"/>
        </w:rPr>
        <w:t xml:space="preserve"> </w:t>
      </w:r>
      <w:r w:rsidRPr="00551409">
        <w:rPr>
          <w:rFonts w:ascii="Palatino Linotype" w:hAnsi="Palatino Linotype"/>
          <w:b/>
          <w:bCs/>
          <w:lang w:val="en-US"/>
        </w:rPr>
        <w:t>3</w:t>
      </w:r>
      <w:r w:rsidR="00AC313C" w:rsidRPr="00551409">
        <w:rPr>
          <w:rFonts w:ascii="Palatino Linotype" w:hAnsi="Palatino Linotype"/>
          <w:b/>
          <w:bCs/>
          <w:lang w:val="en-US"/>
        </w:rPr>
        <w:t xml:space="preserve">: </w:t>
      </w:r>
      <w:r w:rsidR="000D42BA" w:rsidRPr="00551409">
        <w:rPr>
          <w:rFonts w:ascii="Palatino Linotype" w:hAnsi="Palatino Linotype"/>
          <w:b/>
          <w:bCs/>
          <w:lang w:val="en-US"/>
        </w:rPr>
        <w:t xml:space="preserve">The Course of Sectoral Labor Productivity </w:t>
      </w:r>
      <w:r w:rsidR="00AC313C" w:rsidRPr="00551409">
        <w:rPr>
          <w:rFonts w:ascii="Palatino Linotype" w:hAnsi="Palatino Linotype"/>
          <w:b/>
          <w:bCs/>
          <w:lang w:val="en-US"/>
        </w:rPr>
        <w:t>(1980=100)</w:t>
      </w:r>
    </w:p>
    <w:p w:rsidR="00AC313C" w:rsidRPr="00551409" w:rsidRDefault="000D42BA" w:rsidP="00AC313C">
      <w:pPr>
        <w:spacing w:after="0" w:line="240" w:lineRule="auto"/>
        <w:rPr>
          <w:lang w:val="en-US"/>
        </w:rPr>
      </w:pPr>
      <w:r w:rsidRPr="00551409">
        <w:rPr>
          <w:noProof/>
          <w:lang w:val="en-US"/>
        </w:rPr>
        <w:drawing>
          <wp:inline distT="0" distB="0" distL="0" distR="0" wp14:anchorId="47297D38">
            <wp:extent cx="5819775" cy="3527408"/>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2263" cy="3534977"/>
                    </a:xfrm>
                    <a:prstGeom prst="rect">
                      <a:avLst/>
                    </a:prstGeom>
                    <a:noFill/>
                  </pic:spPr>
                </pic:pic>
              </a:graphicData>
            </a:graphic>
          </wp:inline>
        </w:drawing>
      </w:r>
    </w:p>
    <w:p w:rsidR="00AC313C" w:rsidRPr="00551409" w:rsidRDefault="000D42BA" w:rsidP="00BA6B8A">
      <w:pPr>
        <w:spacing w:after="240" w:line="276" w:lineRule="auto"/>
        <w:rPr>
          <w:rFonts w:ascii="Palatino Linotype" w:hAnsi="Palatino Linotype"/>
          <w:lang w:val="en-US"/>
        </w:rPr>
      </w:pPr>
      <w:r w:rsidRPr="00551409">
        <w:rPr>
          <w:rFonts w:ascii="Palatino Linotype" w:hAnsi="Palatino Linotype"/>
          <w:b/>
          <w:bCs/>
          <w:lang w:val="en-US"/>
        </w:rPr>
        <w:t>Source</w:t>
      </w:r>
      <w:r w:rsidR="00AC313C" w:rsidRPr="00551409">
        <w:rPr>
          <w:rFonts w:ascii="Palatino Linotype" w:hAnsi="Palatino Linotype"/>
          <w:b/>
          <w:bCs/>
          <w:lang w:val="en-US"/>
        </w:rPr>
        <w:t>:</w:t>
      </w:r>
      <w:r w:rsidR="00AC313C" w:rsidRPr="00551409">
        <w:rPr>
          <w:rFonts w:ascii="Palatino Linotype" w:hAnsi="Palatino Linotype"/>
          <w:lang w:val="en-US"/>
        </w:rPr>
        <w:t xml:space="preserve"> </w:t>
      </w:r>
      <w:proofErr w:type="spellStart"/>
      <w:r w:rsidR="00882400" w:rsidRPr="00551409">
        <w:rPr>
          <w:rFonts w:ascii="Palatino Linotype" w:hAnsi="Palatino Linotype"/>
          <w:lang w:val="en-US"/>
        </w:rPr>
        <w:t>B</w:t>
      </w:r>
      <w:r w:rsidR="00E042FC" w:rsidRPr="00551409">
        <w:rPr>
          <w:rFonts w:ascii="Palatino Linotype" w:hAnsi="Palatino Linotype"/>
          <w:lang w:val="en-US"/>
        </w:rPr>
        <w:t>etam</w:t>
      </w:r>
      <w:proofErr w:type="spellEnd"/>
    </w:p>
    <w:p w:rsidR="00026F08" w:rsidRPr="00551409" w:rsidRDefault="00026F08" w:rsidP="00BA6B8A">
      <w:pPr>
        <w:spacing w:after="240" w:line="276" w:lineRule="auto"/>
        <w:jc w:val="both"/>
        <w:rPr>
          <w:rFonts w:ascii="Palatino Linotype" w:hAnsi="Palatino Linotype"/>
          <w:lang w:val="en-US"/>
        </w:rPr>
      </w:pPr>
      <w:r w:rsidRPr="00551409">
        <w:rPr>
          <w:rFonts w:ascii="Palatino Linotype" w:hAnsi="Palatino Linotype"/>
          <w:lang w:val="en-US"/>
        </w:rPr>
        <w:t>The most rapid increase in labor productivity is recorded in the construction sector with a cumulative rate of 260%</w:t>
      </w:r>
      <w:r w:rsidR="00FD3FA3" w:rsidRPr="00551409">
        <w:rPr>
          <w:rFonts w:ascii="Palatino Linotype" w:hAnsi="Palatino Linotype"/>
          <w:lang w:val="en-US"/>
        </w:rPr>
        <w:t xml:space="preserve"> growth from 1980 to 2018. In the same period, the labor productivity in the industry grows by 208% and in the agriculture</w:t>
      </w:r>
      <w:r w:rsidR="004D22B7" w:rsidRPr="00551409">
        <w:rPr>
          <w:rFonts w:ascii="Palatino Linotype" w:hAnsi="Palatino Linotype"/>
          <w:lang w:val="en-US"/>
        </w:rPr>
        <w:t xml:space="preserve"> by</w:t>
      </w:r>
      <w:r w:rsidR="00FD3FA3" w:rsidRPr="00551409">
        <w:rPr>
          <w:rFonts w:ascii="Palatino Linotype" w:hAnsi="Palatino Linotype"/>
          <w:lang w:val="en-US"/>
        </w:rPr>
        <w:t xml:space="preserve"> 154% while in the services, labor productivity increases at a much milder cumulative rate of 28%. The main reason behind the increases in agricultural labor productivity is that the sectoral output remains stable over these years despite the decreases in agricultural employment. In other sectors, outputs increase more than employment gains. However, labor productivity in the services is somewhat stagnated.</w:t>
      </w:r>
    </w:p>
    <w:p w:rsidR="00C27A6C" w:rsidRPr="00551409" w:rsidRDefault="00C27A6C" w:rsidP="00BA6B8A">
      <w:pPr>
        <w:spacing w:after="240" w:line="276" w:lineRule="auto"/>
        <w:rPr>
          <w:rFonts w:ascii="Palatino Linotype" w:hAnsi="Palatino Linotype"/>
          <w:b/>
          <w:bCs/>
          <w:lang w:val="en-US"/>
        </w:rPr>
      </w:pPr>
      <w:r w:rsidRPr="00551409">
        <w:rPr>
          <w:rFonts w:ascii="Palatino Linotype" w:hAnsi="Palatino Linotype"/>
          <w:b/>
          <w:bCs/>
          <w:lang w:val="en-US"/>
        </w:rPr>
        <w:t>Tabl</w:t>
      </w:r>
      <w:r w:rsidR="001D4D8E" w:rsidRPr="00551409">
        <w:rPr>
          <w:rFonts w:ascii="Palatino Linotype" w:hAnsi="Palatino Linotype"/>
          <w:b/>
          <w:bCs/>
          <w:lang w:val="en-US"/>
        </w:rPr>
        <w:t>e</w:t>
      </w:r>
      <w:r w:rsidRPr="00551409">
        <w:rPr>
          <w:rFonts w:ascii="Palatino Linotype" w:hAnsi="Palatino Linotype"/>
          <w:b/>
          <w:bCs/>
          <w:lang w:val="en-US"/>
        </w:rPr>
        <w:t xml:space="preserve"> </w:t>
      </w:r>
      <w:r w:rsidR="001D4D8E" w:rsidRPr="00551409">
        <w:rPr>
          <w:rFonts w:ascii="Palatino Linotype" w:hAnsi="Palatino Linotype"/>
          <w:b/>
          <w:bCs/>
          <w:lang w:val="en-US"/>
        </w:rPr>
        <w:t>3</w:t>
      </w:r>
      <w:r w:rsidRPr="00551409">
        <w:rPr>
          <w:rFonts w:ascii="Palatino Linotype" w:hAnsi="Palatino Linotype"/>
          <w:b/>
          <w:bCs/>
          <w:lang w:val="en-US"/>
        </w:rPr>
        <w:t>:</w:t>
      </w:r>
      <w:r w:rsidR="00FD3FA3" w:rsidRPr="00551409">
        <w:rPr>
          <w:rFonts w:ascii="Palatino Linotype" w:hAnsi="Palatino Linotype"/>
          <w:b/>
          <w:bCs/>
          <w:lang w:val="en-US"/>
        </w:rPr>
        <w:t xml:space="preserve"> Increases in Sectoral Labor Productivities</w:t>
      </w:r>
      <w:r w:rsidRPr="00551409">
        <w:rPr>
          <w:rFonts w:ascii="Palatino Linotype" w:hAnsi="Palatino Linotype"/>
          <w:b/>
          <w:bCs/>
          <w:lang w:val="en-US"/>
        </w:rPr>
        <w:t xml:space="preserve"> (</w:t>
      </w:r>
      <w:r w:rsidR="00FD3FA3" w:rsidRPr="00551409">
        <w:rPr>
          <w:rFonts w:ascii="Palatino Linotype" w:hAnsi="Palatino Linotype"/>
          <w:b/>
          <w:bCs/>
          <w:lang w:val="en-US"/>
        </w:rPr>
        <w:t>Annual Average</w:t>
      </w:r>
      <w:r w:rsidR="00AE3822" w:rsidRPr="00551409">
        <w:rPr>
          <w:rFonts w:ascii="Palatino Linotype" w:hAnsi="Palatino Linotype"/>
          <w:b/>
          <w:bCs/>
          <w:lang w:val="en-US"/>
        </w:rPr>
        <w:t xml:space="preserve"> </w:t>
      </w:r>
      <w:r w:rsidRPr="00551409">
        <w:rPr>
          <w:rFonts w:ascii="Palatino Linotype" w:hAnsi="Palatino Linotype"/>
          <w:b/>
          <w:bCs/>
          <w:lang w:val="en-US"/>
        </w:rPr>
        <w:t>%)</w:t>
      </w:r>
    </w:p>
    <w:tbl>
      <w:tblPr>
        <w:tblW w:w="8182" w:type="dxa"/>
        <w:tblLook w:val="04A0" w:firstRow="1" w:lastRow="0" w:firstColumn="1" w:lastColumn="0" w:noHBand="0" w:noVBand="1"/>
      </w:tblPr>
      <w:tblGrid>
        <w:gridCol w:w="2553"/>
        <w:gridCol w:w="1448"/>
        <w:gridCol w:w="1201"/>
        <w:gridCol w:w="1589"/>
        <w:gridCol w:w="1391"/>
      </w:tblGrid>
      <w:tr w:rsidR="00C27A6C" w:rsidRPr="00551409" w:rsidTr="00FD3FA3">
        <w:trPr>
          <w:trHeight w:val="318"/>
        </w:trPr>
        <w:tc>
          <w:tcPr>
            <w:tcW w:w="2553" w:type="dxa"/>
            <w:tcBorders>
              <w:top w:val="single" w:sz="4" w:space="0" w:color="auto"/>
              <w:left w:val="nil"/>
              <w:bottom w:val="single" w:sz="4" w:space="0" w:color="auto"/>
              <w:right w:val="nil"/>
            </w:tcBorders>
            <w:shd w:val="clear" w:color="000000" w:fill="FFFFFF"/>
            <w:noWrap/>
            <w:vAlign w:val="bottom"/>
            <w:hideMark/>
          </w:tcPr>
          <w:p w:rsidR="00C27A6C" w:rsidRPr="00551409" w:rsidRDefault="00C27A6C" w:rsidP="00C27A6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 </w:t>
            </w:r>
          </w:p>
        </w:tc>
        <w:tc>
          <w:tcPr>
            <w:tcW w:w="1448" w:type="dxa"/>
            <w:tcBorders>
              <w:top w:val="single" w:sz="4" w:space="0" w:color="auto"/>
              <w:left w:val="nil"/>
              <w:bottom w:val="single" w:sz="4" w:space="0" w:color="auto"/>
              <w:right w:val="nil"/>
            </w:tcBorders>
            <w:shd w:val="clear" w:color="000000" w:fill="FFFFFF"/>
            <w:noWrap/>
            <w:vAlign w:val="bottom"/>
            <w:hideMark/>
          </w:tcPr>
          <w:p w:rsidR="00C27A6C" w:rsidRPr="00551409" w:rsidRDefault="00FD3FA3"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Agriculture</w:t>
            </w:r>
          </w:p>
        </w:tc>
        <w:tc>
          <w:tcPr>
            <w:tcW w:w="1201" w:type="dxa"/>
            <w:tcBorders>
              <w:top w:val="single" w:sz="4" w:space="0" w:color="auto"/>
              <w:left w:val="nil"/>
              <w:bottom w:val="single" w:sz="4" w:space="0" w:color="auto"/>
              <w:right w:val="nil"/>
            </w:tcBorders>
            <w:shd w:val="clear" w:color="000000" w:fill="FFFFFF"/>
            <w:noWrap/>
            <w:vAlign w:val="bottom"/>
            <w:hideMark/>
          </w:tcPr>
          <w:p w:rsidR="00C27A6C" w:rsidRPr="00551409" w:rsidRDefault="00FD3FA3"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Industry</w:t>
            </w:r>
          </w:p>
        </w:tc>
        <w:tc>
          <w:tcPr>
            <w:tcW w:w="1589" w:type="dxa"/>
            <w:tcBorders>
              <w:top w:val="single" w:sz="4" w:space="0" w:color="auto"/>
              <w:left w:val="nil"/>
              <w:bottom w:val="single" w:sz="4" w:space="0" w:color="auto"/>
              <w:right w:val="nil"/>
            </w:tcBorders>
            <w:shd w:val="clear" w:color="000000" w:fill="FFFFFF"/>
            <w:noWrap/>
            <w:vAlign w:val="bottom"/>
            <w:hideMark/>
          </w:tcPr>
          <w:p w:rsidR="00C27A6C" w:rsidRPr="00551409" w:rsidRDefault="00FD3FA3"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Construction</w:t>
            </w:r>
          </w:p>
        </w:tc>
        <w:tc>
          <w:tcPr>
            <w:tcW w:w="1391" w:type="dxa"/>
            <w:tcBorders>
              <w:top w:val="single" w:sz="4" w:space="0" w:color="auto"/>
              <w:left w:val="nil"/>
              <w:bottom w:val="single" w:sz="4" w:space="0" w:color="auto"/>
              <w:right w:val="nil"/>
            </w:tcBorders>
            <w:shd w:val="clear" w:color="000000" w:fill="FFFFFF"/>
            <w:noWrap/>
            <w:vAlign w:val="bottom"/>
            <w:hideMark/>
          </w:tcPr>
          <w:p w:rsidR="00C27A6C" w:rsidRPr="00551409" w:rsidRDefault="00FD3FA3"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Services</w:t>
            </w:r>
          </w:p>
        </w:tc>
      </w:tr>
      <w:tr w:rsidR="00C27A6C" w:rsidRPr="00551409" w:rsidTr="00FD3FA3">
        <w:trPr>
          <w:trHeight w:val="318"/>
        </w:trPr>
        <w:tc>
          <w:tcPr>
            <w:tcW w:w="2553" w:type="dxa"/>
            <w:tcBorders>
              <w:top w:val="nil"/>
              <w:left w:val="nil"/>
              <w:bottom w:val="nil"/>
              <w:right w:val="nil"/>
            </w:tcBorders>
            <w:shd w:val="clear" w:color="000000" w:fill="FFFFFF"/>
            <w:noWrap/>
            <w:vAlign w:val="bottom"/>
            <w:hideMark/>
          </w:tcPr>
          <w:p w:rsidR="00C27A6C" w:rsidRPr="00551409" w:rsidRDefault="00FD3FA3" w:rsidP="00C27A6C">
            <w:pPr>
              <w:spacing w:after="0" w:line="240" w:lineRule="auto"/>
              <w:rPr>
                <w:rFonts w:ascii="Palatino Linotype" w:eastAsia="Times New Roman" w:hAnsi="Palatino Linotype" w:cs="Calibri Light"/>
                <w:b/>
                <w:bCs/>
                <w:sz w:val="20"/>
                <w:szCs w:val="20"/>
                <w:lang w:val="en-US" w:eastAsia="en-GB"/>
              </w:rPr>
            </w:pPr>
            <w:r w:rsidRPr="00551409">
              <w:rPr>
                <w:rFonts w:ascii="Palatino Linotype" w:eastAsia="Times New Roman" w:hAnsi="Palatino Linotype" w:cs="Calibri Light"/>
                <w:b/>
                <w:bCs/>
                <w:sz w:val="20"/>
                <w:szCs w:val="20"/>
                <w:lang w:val="en-US" w:eastAsia="en-GB"/>
              </w:rPr>
              <w:t>Growth Rate</w:t>
            </w:r>
            <w:r w:rsidR="00C27A6C" w:rsidRPr="00551409">
              <w:rPr>
                <w:rFonts w:ascii="Palatino Linotype" w:eastAsia="Times New Roman" w:hAnsi="Palatino Linotype" w:cs="Calibri Light"/>
                <w:b/>
                <w:bCs/>
                <w:sz w:val="20"/>
                <w:szCs w:val="20"/>
                <w:lang w:val="en-US" w:eastAsia="en-GB"/>
              </w:rPr>
              <w:t xml:space="preserve"> (%)</w:t>
            </w:r>
          </w:p>
        </w:tc>
        <w:tc>
          <w:tcPr>
            <w:tcW w:w="1448"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 </w:t>
            </w:r>
          </w:p>
        </w:tc>
        <w:tc>
          <w:tcPr>
            <w:tcW w:w="120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 </w:t>
            </w:r>
          </w:p>
        </w:tc>
        <w:tc>
          <w:tcPr>
            <w:tcW w:w="1589"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 </w:t>
            </w:r>
          </w:p>
        </w:tc>
        <w:tc>
          <w:tcPr>
            <w:tcW w:w="139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 </w:t>
            </w:r>
          </w:p>
        </w:tc>
      </w:tr>
      <w:tr w:rsidR="00C27A6C" w:rsidRPr="00551409" w:rsidTr="00FD3FA3">
        <w:trPr>
          <w:trHeight w:val="318"/>
        </w:trPr>
        <w:tc>
          <w:tcPr>
            <w:tcW w:w="2553" w:type="dxa"/>
            <w:tcBorders>
              <w:top w:val="single" w:sz="4" w:space="0" w:color="auto"/>
              <w:left w:val="nil"/>
              <w:bottom w:val="nil"/>
              <w:right w:val="nil"/>
            </w:tcBorders>
            <w:shd w:val="clear" w:color="000000" w:fill="FFFFFF"/>
            <w:noWrap/>
            <w:vAlign w:val="bottom"/>
            <w:hideMark/>
          </w:tcPr>
          <w:p w:rsidR="00C27A6C" w:rsidRPr="00551409" w:rsidRDefault="00C27A6C" w:rsidP="00C27A6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1981-1989</w:t>
            </w:r>
          </w:p>
        </w:tc>
        <w:tc>
          <w:tcPr>
            <w:tcW w:w="1448" w:type="dxa"/>
            <w:tcBorders>
              <w:top w:val="single" w:sz="4" w:space="0" w:color="auto"/>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0.6</w:t>
            </w:r>
          </w:p>
        </w:tc>
        <w:tc>
          <w:tcPr>
            <w:tcW w:w="1201" w:type="dxa"/>
            <w:tcBorders>
              <w:top w:val="single" w:sz="4" w:space="0" w:color="auto"/>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4.7</w:t>
            </w:r>
          </w:p>
        </w:tc>
        <w:tc>
          <w:tcPr>
            <w:tcW w:w="1589" w:type="dxa"/>
            <w:tcBorders>
              <w:top w:val="single" w:sz="4" w:space="0" w:color="auto"/>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6.5</w:t>
            </w:r>
          </w:p>
        </w:tc>
        <w:tc>
          <w:tcPr>
            <w:tcW w:w="1391" w:type="dxa"/>
            <w:tcBorders>
              <w:top w:val="single" w:sz="4" w:space="0" w:color="auto"/>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0.2</w:t>
            </w:r>
          </w:p>
        </w:tc>
      </w:tr>
      <w:tr w:rsidR="00C27A6C" w:rsidRPr="00551409" w:rsidTr="00FD3FA3">
        <w:trPr>
          <w:trHeight w:val="318"/>
        </w:trPr>
        <w:tc>
          <w:tcPr>
            <w:tcW w:w="2553"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1990-2002</w:t>
            </w:r>
          </w:p>
        </w:tc>
        <w:tc>
          <w:tcPr>
            <w:tcW w:w="1448"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3.4</w:t>
            </w:r>
          </w:p>
        </w:tc>
        <w:tc>
          <w:tcPr>
            <w:tcW w:w="120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1.3</w:t>
            </w:r>
          </w:p>
        </w:tc>
        <w:tc>
          <w:tcPr>
            <w:tcW w:w="1589"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1.7</w:t>
            </w:r>
          </w:p>
        </w:tc>
        <w:tc>
          <w:tcPr>
            <w:tcW w:w="139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0.2</w:t>
            </w:r>
          </w:p>
        </w:tc>
      </w:tr>
      <w:tr w:rsidR="00C27A6C" w:rsidRPr="00551409" w:rsidTr="00FD3FA3">
        <w:trPr>
          <w:trHeight w:val="318"/>
        </w:trPr>
        <w:tc>
          <w:tcPr>
            <w:tcW w:w="2553"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2003-2013</w:t>
            </w:r>
          </w:p>
        </w:tc>
        <w:tc>
          <w:tcPr>
            <w:tcW w:w="1448"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2.6</w:t>
            </w:r>
          </w:p>
        </w:tc>
        <w:tc>
          <w:tcPr>
            <w:tcW w:w="120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4.6</w:t>
            </w:r>
          </w:p>
        </w:tc>
        <w:tc>
          <w:tcPr>
            <w:tcW w:w="1589"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5.1</w:t>
            </w:r>
          </w:p>
        </w:tc>
        <w:tc>
          <w:tcPr>
            <w:tcW w:w="139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1.5</w:t>
            </w:r>
          </w:p>
        </w:tc>
      </w:tr>
      <w:tr w:rsidR="00C27A6C" w:rsidRPr="00551409" w:rsidTr="00FD3FA3">
        <w:trPr>
          <w:trHeight w:val="318"/>
        </w:trPr>
        <w:tc>
          <w:tcPr>
            <w:tcW w:w="2553"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2003-2007</w:t>
            </w:r>
          </w:p>
        </w:tc>
        <w:tc>
          <w:tcPr>
            <w:tcW w:w="1448"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5.0</w:t>
            </w:r>
          </w:p>
        </w:tc>
        <w:tc>
          <w:tcPr>
            <w:tcW w:w="120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6.8</w:t>
            </w:r>
          </w:p>
        </w:tc>
        <w:tc>
          <w:tcPr>
            <w:tcW w:w="1589"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10.3</w:t>
            </w:r>
          </w:p>
        </w:tc>
        <w:tc>
          <w:tcPr>
            <w:tcW w:w="139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2.3</w:t>
            </w:r>
          </w:p>
        </w:tc>
      </w:tr>
      <w:tr w:rsidR="00C27A6C" w:rsidRPr="00551409" w:rsidTr="00FD3FA3">
        <w:trPr>
          <w:trHeight w:val="318"/>
        </w:trPr>
        <w:tc>
          <w:tcPr>
            <w:tcW w:w="2553"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2008-2010</w:t>
            </w:r>
          </w:p>
        </w:tc>
        <w:tc>
          <w:tcPr>
            <w:tcW w:w="1448"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0.3</w:t>
            </w:r>
          </w:p>
        </w:tc>
        <w:tc>
          <w:tcPr>
            <w:tcW w:w="120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-0.7</w:t>
            </w:r>
          </w:p>
        </w:tc>
        <w:tc>
          <w:tcPr>
            <w:tcW w:w="1589"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-5.9</w:t>
            </w:r>
          </w:p>
        </w:tc>
        <w:tc>
          <w:tcPr>
            <w:tcW w:w="139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-0.4</w:t>
            </w:r>
          </w:p>
        </w:tc>
      </w:tr>
      <w:tr w:rsidR="00C27A6C" w:rsidRPr="00551409" w:rsidTr="00FD3FA3">
        <w:trPr>
          <w:trHeight w:val="318"/>
        </w:trPr>
        <w:tc>
          <w:tcPr>
            <w:tcW w:w="2553"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2011-2013</w:t>
            </w:r>
          </w:p>
        </w:tc>
        <w:tc>
          <w:tcPr>
            <w:tcW w:w="1448"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0.8</w:t>
            </w:r>
          </w:p>
        </w:tc>
        <w:tc>
          <w:tcPr>
            <w:tcW w:w="120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6.4</w:t>
            </w:r>
          </w:p>
        </w:tc>
        <w:tc>
          <w:tcPr>
            <w:tcW w:w="1589"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7.3</w:t>
            </w:r>
          </w:p>
        </w:tc>
        <w:tc>
          <w:tcPr>
            <w:tcW w:w="1391" w:type="dxa"/>
            <w:tcBorders>
              <w:top w:val="nil"/>
              <w:left w:val="nil"/>
              <w:bottom w:val="nil"/>
              <w:right w:val="nil"/>
            </w:tcBorders>
            <w:shd w:val="clear" w:color="000000" w:fill="FFFFFF"/>
            <w:noWrap/>
            <w:vAlign w:val="bottom"/>
            <w:hideMark/>
          </w:tcPr>
          <w:p w:rsidR="00C27A6C" w:rsidRPr="00551409" w:rsidRDefault="00C27A6C" w:rsidP="00C27A6C">
            <w:pPr>
              <w:spacing w:after="0" w:line="240" w:lineRule="auto"/>
              <w:jc w:val="right"/>
              <w:rPr>
                <w:rFonts w:ascii="Palatino Linotype" w:eastAsia="Times New Roman" w:hAnsi="Palatino Linotype" w:cs="Calibri Light"/>
                <w:i/>
                <w:iCs/>
                <w:sz w:val="18"/>
                <w:szCs w:val="18"/>
                <w:lang w:val="en-US" w:eastAsia="en-GB"/>
              </w:rPr>
            </w:pPr>
            <w:r w:rsidRPr="00551409">
              <w:rPr>
                <w:rFonts w:ascii="Palatino Linotype" w:eastAsia="Times New Roman" w:hAnsi="Palatino Linotype" w:cs="Calibri Light"/>
                <w:i/>
                <w:iCs/>
                <w:sz w:val="18"/>
                <w:szCs w:val="18"/>
                <w:lang w:val="en-US" w:eastAsia="en-GB"/>
              </w:rPr>
              <w:t>2.2</w:t>
            </w:r>
          </w:p>
        </w:tc>
      </w:tr>
      <w:tr w:rsidR="00C27A6C" w:rsidRPr="00551409" w:rsidTr="00FD3FA3">
        <w:trPr>
          <w:trHeight w:val="318"/>
        </w:trPr>
        <w:tc>
          <w:tcPr>
            <w:tcW w:w="2553" w:type="dxa"/>
            <w:tcBorders>
              <w:top w:val="nil"/>
              <w:left w:val="nil"/>
              <w:bottom w:val="single" w:sz="4" w:space="0" w:color="auto"/>
              <w:right w:val="nil"/>
            </w:tcBorders>
            <w:shd w:val="clear" w:color="000000" w:fill="FFFFFF"/>
            <w:noWrap/>
            <w:vAlign w:val="bottom"/>
            <w:hideMark/>
          </w:tcPr>
          <w:p w:rsidR="00C27A6C" w:rsidRPr="00551409" w:rsidRDefault="00C27A6C" w:rsidP="00C27A6C">
            <w:pPr>
              <w:spacing w:after="0" w:line="240" w:lineRule="auto"/>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2014-2018</w:t>
            </w:r>
          </w:p>
        </w:tc>
        <w:tc>
          <w:tcPr>
            <w:tcW w:w="1448" w:type="dxa"/>
            <w:tcBorders>
              <w:top w:val="nil"/>
              <w:left w:val="nil"/>
              <w:bottom w:val="single" w:sz="4" w:space="0" w:color="auto"/>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5.3</w:t>
            </w:r>
          </w:p>
        </w:tc>
        <w:tc>
          <w:tcPr>
            <w:tcW w:w="1201" w:type="dxa"/>
            <w:tcBorders>
              <w:top w:val="nil"/>
              <w:left w:val="nil"/>
              <w:bottom w:val="single" w:sz="4" w:space="0" w:color="auto"/>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2.2</w:t>
            </w:r>
          </w:p>
        </w:tc>
        <w:tc>
          <w:tcPr>
            <w:tcW w:w="1589" w:type="dxa"/>
            <w:tcBorders>
              <w:top w:val="nil"/>
              <w:left w:val="nil"/>
              <w:bottom w:val="single" w:sz="4" w:space="0" w:color="auto"/>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2.0</w:t>
            </w:r>
          </w:p>
        </w:tc>
        <w:tc>
          <w:tcPr>
            <w:tcW w:w="1391" w:type="dxa"/>
            <w:tcBorders>
              <w:top w:val="nil"/>
              <w:left w:val="nil"/>
              <w:bottom w:val="single" w:sz="4" w:space="0" w:color="auto"/>
              <w:right w:val="nil"/>
            </w:tcBorders>
            <w:shd w:val="clear" w:color="000000" w:fill="FFFFFF"/>
            <w:noWrap/>
            <w:vAlign w:val="bottom"/>
            <w:hideMark/>
          </w:tcPr>
          <w:p w:rsidR="00C27A6C" w:rsidRPr="00551409" w:rsidRDefault="00C27A6C" w:rsidP="00C27A6C">
            <w:pPr>
              <w:spacing w:after="0" w:line="240" w:lineRule="auto"/>
              <w:jc w:val="center"/>
              <w:rPr>
                <w:rFonts w:ascii="Palatino Linotype" w:eastAsia="Times New Roman" w:hAnsi="Palatino Linotype" w:cs="Calibri Light"/>
                <w:sz w:val="20"/>
                <w:szCs w:val="20"/>
                <w:lang w:val="en-US" w:eastAsia="en-GB"/>
              </w:rPr>
            </w:pPr>
            <w:r w:rsidRPr="00551409">
              <w:rPr>
                <w:rFonts w:ascii="Palatino Linotype" w:eastAsia="Times New Roman" w:hAnsi="Palatino Linotype" w:cs="Calibri Light"/>
                <w:sz w:val="20"/>
                <w:szCs w:val="20"/>
                <w:lang w:val="en-US" w:eastAsia="en-GB"/>
              </w:rPr>
              <w:t>1.0</w:t>
            </w:r>
          </w:p>
        </w:tc>
      </w:tr>
    </w:tbl>
    <w:p w:rsidR="00C27A6C" w:rsidRPr="00551409" w:rsidRDefault="00FD3FA3" w:rsidP="00BA6B8A">
      <w:pPr>
        <w:spacing w:after="240" w:line="276" w:lineRule="auto"/>
        <w:rPr>
          <w:rFonts w:ascii="Palatino Linotype" w:hAnsi="Palatino Linotype"/>
          <w:lang w:val="en-US"/>
        </w:rPr>
      </w:pPr>
      <w:r w:rsidRPr="00551409">
        <w:rPr>
          <w:rFonts w:ascii="Palatino Linotype" w:hAnsi="Palatino Linotype"/>
          <w:b/>
          <w:bCs/>
          <w:lang w:val="en-US"/>
        </w:rPr>
        <w:t>Source</w:t>
      </w:r>
      <w:r w:rsidR="00C27A6C" w:rsidRPr="00551409">
        <w:rPr>
          <w:rFonts w:ascii="Palatino Linotype" w:hAnsi="Palatino Linotype"/>
          <w:b/>
          <w:bCs/>
          <w:lang w:val="en-US"/>
        </w:rPr>
        <w:t>:</w:t>
      </w:r>
      <w:r w:rsidR="00C27A6C" w:rsidRPr="00551409">
        <w:rPr>
          <w:rFonts w:ascii="Palatino Linotype" w:hAnsi="Palatino Linotype"/>
          <w:lang w:val="en-US"/>
        </w:rPr>
        <w:t xml:space="preserve"> </w:t>
      </w:r>
      <w:proofErr w:type="spellStart"/>
      <w:r w:rsidR="00882400" w:rsidRPr="00551409">
        <w:rPr>
          <w:rFonts w:ascii="Palatino Linotype" w:hAnsi="Palatino Linotype"/>
          <w:lang w:val="en-US"/>
        </w:rPr>
        <w:t>B</w:t>
      </w:r>
      <w:r w:rsidR="00E042FC" w:rsidRPr="00551409">
        <w:rPr>
          <w:rFonts w:ascii="Palatino Linotype" w:hAnsi="Palatino Linotype"/>
          <w:lang w:val="en-US"/>
        </w:rPr>
        <w:t>etam</w:t>
      </w:r>
      <w:proofErr w:type="spellEnd"/>
    </w:p>
    <w:p w:rsidR="00C27A6C" w:rsidRPr="00551409" w:rsidRDefault="00292A54" w:rsidP="00BA6B8A">
      <w:pPr>
        <w:spacing w:after="240" w:line="276" w:lineRule="auto"/>
        <w:jc w:val="both"/>
        <w:rPr>
          <w:rFonts w:ascii="Palatino Linotype" w:hAnsi="Palatino Linotype" w:cstheme="minorHAnsi"/>
          <w:lang w:val="en-US"/>
        </w:rPr>
      </w:pPr>
      <w:r w:rsidRPr="00551409">
        <w:rPr>
          <w:rFonts w:ascii="Palatino Linotype" w:hAnsi="Palatino Linotype" w:cstheme="minorHAnsi"/>
          <w:lang w:val="en-US"/>
        </w:rPr>
        <w:lastRenderedPageBreak/>
        <w:t>The most fascinating increase in labor productivity happens in the 1981-1989 period in the construction sector with 6.5% annual average growth rate. The 2003-2013 period</w:t>
      </w:r>
      <w:r w:rsidR="00B03952" w:rsidRPr="00551409">
        <w:rPr>
          <w:rFonts w:ascii="Palatino Linotype" w:hAnsi="Palatino Linotype" w:cstheme="minorHAnsi"/>
          <w:lang w:val="en-US"/>
        </w:rPr>
        <w:t xml:space="preserve"> </w:t>
      </w:r>
      <w:proofErr w:type="gramStart"/>
      <w:r w:rsidRPr="00551409">
        <w:rPr>
          <w:rFonts w:ascii="Palatino Linotype" w:hAnsi="Palatino Linotype" w:cstheme="minorHAnsi"/>
          <w:lang w:val="en-US"/>
        </w:rPr>
        <w:t>witness</w:t>
      </w:r>
      <w:r w:rsidR="00B03952" w:rsidRPr="00551409">
        <w:rPr>
          <w:rFonts w:ascii="Palatino Linotype" w:hAnsi="Palatino Linotype" w:cstheme="minorHAnsi"/>
          <w:lang w:val="en-US"/>
        </w:rPr>
        <w:t>es</w:t>
      </w:r>
      <w:proofErr w:type="gramEnd"/>
      <w:r w:rsidRPr="00551409">
        <w:rPr>
          <w:rFonts w:ascii="Palatino Linotype" w:hAnsi="Palatino Linotype" w:cstheme="minorHAnsi"/>
          <w:lang w:val="en-US"/>
        </w:rPr>
        <w:t xml:space="preserve"> solid growth rates in the construction while the industrial labor productivity growth is also favorable in these years. </w:t>
      </w:r>
      <w:r w:rsidR="00B03952" w:rsidRPr="00551409">
        <w:rPr>
          <w:rFonts w:ascii="Palatino Linotype" w:hAnsi="Palatino Linotype" w:cstheme="minorHAnsi"/>
          <w:lang w:val="en-US"/>
        </w:rPr>
        <w:t>S</w:t>
      </w:r>
      <w:r w:rsidR="005B50FB" w:rsidRPr="00551409">
        <w:rPr>
          <w:rFonts w:ascii="Palatino Linotype" w:hAnsi="Palatino Linotype" w:cstheme="minorHAnsi"/>
          <w:lang w:val="en-US"/>
        </w:rPr>
        <w:t xml:space="preserve">ervice </w:t>
      </w:r>
      <w:r w:rsidRPr="00551409">
        <w:rPr>
          <w:rFonts w:ascii="Palatino Linotype" w:hAnsi="Palatino Linotype" w:cstheme="minorHAnsi"/>
          <w:lang w:val="en-US"/>
        </w:rPr>
        <w:t xml:space="preserve">labor productivity </w:t>
      </w:r>
      <w:r w:rsidR="005B50FB" w:rsidRPr="00551409">
        <w:rPr>
          <w:rFonts w:ascii="Palatino Linotype" w:hAnsi="Palatino Linotype" w:cstheme="minorHAnsi"/>
          <w:lang w:val="en-US"/>
        </w:rPr>
        <w:t>increases at mild rates</w:t>
      </w:r>
      <w:r w:rsidR="00B03952" w:rsidRPr="00551409">
        <w:rPr>
          <w:rFonts w:ascii="Palatino Linotype" w:hAnsi="Palatino Linotype" w:cstheme="minorHAnsi"/>
          <w:lang w:val="en-US"/>
        </w:rPr>
        <w:t xml:space="preserve"> in the 1981-1989 and the 1990-2002 periods</w:t>
      </w:r>
      <w:r w:rsidR="005B50FB" w:rsidRPr="00551409">
        <w:rPr>
          <w:rFonts w:ascii="Palatino Linotype" w:hAnsi="Palatino Linotype" w:cstheme="minorHAnsi"/>
          <w:lang w:val="en-US"/>
        </w:rPr>
        <w:t xml:space="preserve">. The services sector is the slowest sector in terms of labor productivity gains. In the 2014-2018 period, agricultural labor productivity </w:t>
      </w:r>
      <w:r w:rsidR="000A2C71" w:rsidRPr="00551409">
        <w:rPr>
          <w:rFonts w:ascii="Palatino Linotype" w:hAnsi="Palatino Linotype" w:cstheme="minorHAnsi"/>
          <w:lang w:val="en-US"/>
        </w:rPr>
        <w:t>rapidly grows</w:t>
      </w:r>
      <w:r w:rsidR="005B50FB" w:rsidRPr="00551409">
        <w:rPr>
          <w:rFonts w:ascii="Palatino Linotype" w:hAnsi="Palatino Linotype" w:cstheme="minorHAnsi"/>
          <w:lang w:val="en-US"/>
        </w:rPr>
        <w:t xml:space="preserve"> due to the employment declines and output rises.</w:t>
      </w:r>
    </w:p>
    <w:p w:rsidR="008F31BE" w:rsidRPr="00551409" w:rsidRDefault="005B50FB" w:rsidP="00BA6B8A">
      <w:pPr>
        <w:spacing w:before="240" w:after="60" w:line="276" w:lineRule="auto"/>
        <w:rPr>
          <w:rFonts w:ascii="Palatino Linotype" w:hAnsi="Palatino Linotype" w:cstheme="minorHAnsi"/>
          <w:b/>
          <w:sz w:val="26"/>
          <w:szCs w:val="26"/>
          <w:lang w:val="en-US"/>
        </w:rPr>
      </w:pPr>
      <w:r w:rsidRPr="00551409">
        <w:rPr>
          <w:rFonts w:ascii="Palatino Linotype" w:hAnsi="Palatino Linotype" w:cstheme="minorHAnsi"/>
          <w:b/>
          <w:sz w:val="26"/>
          <w:szCs w:val="26"/>
          <w:lang w:val="en-US"/>
        </w:rPr>
        <w:t>The Course of TFP in Sectors</w:t>
      </w:r>
    </w:p>
    <w:p w:rsidR="001460DE" w:rsidRPr="00551409" w:rsidRDefault="001460DE" w:rsidP="00BA6B8A">
      <w:pPr>
        <w:spacing w:after="240" w:line="276" w:lineRule="auto"/>
        <w:jc w:val="both"/>
        <w:rPr>
          <w:rFonts w:ascii="Palatino Linotype" w:hAnsi="Palatino Linotype" w:cstheme="minorHAnsi"/>
          <w:lang w:val="en-US"/>
        </w:rPr>
      </w:pPr>
      <w:r w:rsidRPr="00551409">
        <w:rPr>
          <w:rFonts w:ascii="Palatino Linotype" w:hAnsi="Palatino Linotype" w:cstheme="minorHAnsi"/>
          <w:lang w:val="en-US"/>
        </w:rPr>
        <w:t>There is no</w:t>
      </w:r>
      <w:r w:rsidR="00C0589D" w:rsidRPr="00551409">
        <w:rPr>
          <w:rFonts w:ascii="Palatino Linotype" w:hAnsi="Palatino Linotype" w:cstheme="minorHAnsi"/>
          <w:lang w:val="en-US"/>
        </w:rPr>
        <w:t>t any</w:t>
      </w:r>
      <w:r w:rsidRPr="00551409">
        <w:rPr>
          <w:rFonts w:ascii="Palatino Linotype" w:hAnsi="Palatino Linotype" w:cstheme="minorHAnsi"/>
          <w:lang w:val="en-US"/>
        </w:rPr>
        <w:t xml:space="preserve"> difference between calculation of TFP for an aggregate economy and for a sector. A production function should be assumed for a sector </w:t>
      </w:r>
      <w:proofErr w:type="gramStart"/>
      <w:r w:rsidRPr="00551409">
        <w:rPr>
          <w:rFonts w:ascii="Palatino Linotype" w:hAnsi="Palatino Linotype" w:cstheme="minorHAnsi"/>
          <w:lang w:val="en-US"/>
        </w:rPr>
        <w:t>in order to</w:t>
      </w:r>
      <w:proofErr w:type="gramEnd"/>
      <w:r w:rsidRPr="00551409">
        <w:rPr>
          <w:rFonts w:ascii="Palatino Linotype" w:hAnsi="Palatino Linotype" w:cstheme="minorHAnsi"/>
          <w:lang w:val="en-US"/>
        </w:rPr>
        <w:t xml:space="preserve"> calculate the TFP of that sector. Employment, capital stock, and real output series of the sector are gathered</w:t>
      </w:r>
      <w:r w:rsidR="00DA13F6" w:rsidRPr="00551409">
        <w:rPr>
          <w:rStyle w:val="DipnotBavurusu"/>
          <w:rFonts w:ascii="Palatino Linotype" w:hAnsi="Palatino Linotype" w:cstheme="minorHAnsi"/>
          <w:lang w:val="en-US"/>
        </w:rPr>
        <w:footnoteReference w:id="8"/>
      </w:r>
      <w:r w:rsidR="00DA13F6" w:rsidRPr="00551409">
        <w:rPr>
          <w:rFonts w:ascii="Palatino Linotype" w:hAnsi="Palatino Linotype" w:cstheme="minorHAnsi"/>
          <w:lang w:val="en-US"/>
        </w:rPr>
        <w:t xml:space="preserve">. </w:t>
      </w:r>
      <w:r w:rsidRPr="00551409">
        <w:rPr>
          <w:rFonts w:ascii="Palatino Linotype" w:hAnsi="Palatino Linotype"/>
          <w:lang w:val="en-US"/>
        </w:rPr>
        <w:t>The part of the sectoral output that cannot be explained by increases in employment and fixed capital stock is defined as Total Factor Productivity (TFP) in that sector. This unexplained part (sometimes referred as residual, or Solow residual as well) accounts for advances in technology, knowledge level or a more efficient reallocation of existing factors of production in that sector. TFP growth is vital for a sustained economic expansion.</w:t>
      </w:r>
    </w:p>
    <w:p w:rsidR="0003084E" w:rsidRPr="00551409" w:rsidRDefault="00A848E4" w:rsidP="00BA6B8A">
      <w:pPr>
        <w:spacing w:after="240" w:line="276" w:lineRule="auto"/>
        <w:jc w:val="both"/>
        <w:rPr>
          <w:rFonts w:ascii="Palatino Linotype" w:hAnsi="Palatino Linotype" w:cstheme="minorHAnsi"/>
          <w:lang w:val="en-US"/>
        </w:rPr>
      </w:pPr>
      <w:r w:rsidRPr="00551409">
        <w:rPr>
          <w:rFonts w:ascii="Palatino Linotype" w:hAnsi="Palatino Linotype" w:cstheme="minorHAnsi"/>
          <w:lang w:val="en-US"/>
        </w:rPr>
        <w:t xml:space="preserve">Capital stock is calculated by </w:t>
      </w:r>
      <w:r w:rsidRPr="00551409">
        <w:rPr>
          <w:rFonts w:ascii="Palatino Linotype" w:hAnsi="Palatino Linotype" w:cstheme="minorHAnsi"/>
          <w:i/>
          <w:iCs/>
          <w:lang w:val="en-US"/>
        </w:rPr>
        <w:t xml:space="preserve">perpetual inventory </w:t>
      </w:r>
      <w:r w:rsidRPr="00551409">
        <w:rPr>
          <w:rFonts w:ascii="Palatino Linotype" w:hAnsi="Palatino Linotype" w:cstheme="minorHAnsi"/>
          <w:lang w:val="en-US"/>
        </w:rPr>
        <w:t xml:space="preserve">method. </w:t>
      </w:r>
      <w:r w:rsidR="005024AF" w:rsidRPr="00551409">
        <w:rPr>
          <w:rFonts w:ascii="Palatino Linotype" w:hAnsi="Palatino Linotype" w:cstheme="minorHAnsi"/>
          <w:lang w:val="en-US"/>
        </w:rPr>
        <w:t>Each year’s capital depreciation is subtracted from each year’s investments, and by so doing we calculate the capital stock for every year. To be able to employ this method two things should be known: Capital stock in the bas</w:t>
      </w:r>
      <w:r w:rsidR="00C0589D" w:rsidRPr="00551409">
        <w:rPr>
          <w:rFonts w:ascii="Palatino Linotype" w:hAnsi="Palatino Linotype" w:cstheme="minorHAnsi"/>
          <w:lang w:val="en-US"/>
        </w:rPr>
        <w:t>e</w:t>
      </w:r>
      <w:r w:rsidR="005024AF" w:rsidRPr="00551409">
        <w:rPr>
          <w:rFonts w:ascii="Palatino Linotype" w:hAnsi="Palatino Linotype" w:cstheme="minorHAnsi"/>
          <w:lang w:val="en-US"/>
        </w:rPr>
        <w:t xml:space="preserve"> year and the depreciation rate.  </w:t>
      </w:r>
      <w:r w:rsidR="001D3D78" w:rsidRPr="00551409">
        <w:rPr>
          <w:rFonts w:ascii="Palatino Linotype" w:hAnsi="Palatino Linotype" w:cstheme="minorHAnsi"/>
          <w:lang w:val="en-US"/>
        </w:rPr>
        <w:t xml:space="preserve">Unfortunately, </w:t>
      </w:r>
      <w:proofErr w:type="spellStart"/>
      <w:r w:rsidR="001D3D78" w:rsidRPr="00551409">
        <w:rPr>
          <w:rFonts w:ascii="Palatino Linotype" w:hAnsi="Palatino Linotype" w:cstheme="minorHAnsi"/>
          <w:lang w:val="en-US"/>
        </w:rPr>
        <w:t>TurkStat</w:t>
      </w:r>
      <w:proofErr w:type="spellEnd"/>
      <w:r w:rsidR="001D3D78" w:rsidRPr="00551409">
        <w:rPr>
          <w:rFonts w:ascii="Palatino Linotype" w:hAnsi="Palatino Linotype" w:cstheme="minorHAnsi"/>
          <w:lang w:val="en-US"/>
        </w:rPr>
        <w:t xml:space="preserve"> does not provide a depreciation rate data. </w:t>
      </w:r>
      <w:proofErr w:type="spellStart"/>
      <w:r w:rsidR="001D3D78" w:rsidRPr="00551409">
        <w:rPr>
          <w:rFonts w:ascii="Palatino Linotype" w:hAnsi="Palatino Linotype" w:cstheme="minorHAnsi"/>
          <w:lang w:val="en-US"/>
        </w:rPr>
        <w:t>Bakış</w:t>
      </w:r>
      <w:proofErr w:type="spellEnd"/>
      <w:r w:rsidR="001D3D78" w:rsidRPr="00551409">
        <w:rPr>
          <w:rFonts w:ascii="Palatino Linotype" w:hAnsi="Palatino Linotype" w:cstheme="minorHAnsi"/>
          <w:lang w:val="en-US"/>
        </w:rPr>
        <w:t xml:space="preserve"> and </w:t>
      </w:r>
      <w:proofErr w:type="spellStart"/>
      <w:r w:rsidR="001D3D78" w:rsidRPr="00551409">
        <w:rPr>
          <w:rFonts w:ascii="Palatino Linotype" w:hAnsi="Palatino Linotype" w:cstheme="minorHAnsi"/>
          <w:lang w:val="en-US"/>
        </w:rPr>
        <w:t>Acar</w:t>
      </w:r>
      <w:proofErr w:type="spellEnd"/>
      <w:r w:rsidR="001D3D78" w:rsidRPr="00551409">
        <w:rPr>
          <w:rFonts w:ascii="Palatino Linotype" w:hAnsi="Palatino Linotype" w:cstheme="minorHAnsi"/>
          <w:lang w:val="en-US"/>
        </w:rPr>
        <w:t xml:space="preserve"> (2020) assumed 6% depreciation rate for the aggregate economy in line with the TFP literature. There are studies discussing that the depreciation rate for the construction sector is greater than the average and the depreciation rate for the agricultural sector is less than it (Jorgenson, 1996; </w:t>
      </w:r>
      <w:proofErr w:type="spellStart"/>
      <w:r w:rsidR="001D3D78" w:rsidRPr="00551409">
        <w:rPr>
          <w:rFonts w:ascii="Palatino Linotype" w:hAnsi="Palatino Linotype" w:cstheme="minorHAnsi"/>
          <w:lang w:val="en-US"/>
        </w:rPr>
        <w:t>Hulten</w:t>
      </w:r>
      <w:proofErr w:type="spellEnd"/>
      <w:r w:rsidR="001D3D78" w:rsidRPr="00551409">
        <w:rPr>
          <w:rFonts w:ascii="Palatino Linotype" w:hAnsi="Palatino Linotype" w:cstheme="minorHAnsi"/>
          <w:lang w:val="en-US"/>
        </w:rPr>
        <w:t xml:space="preserve"> and Wykoff, 1981)</w:t>
      </w:r>
      <w:r w:rsidR="008A2F71" w:rsidRPr="00551409">
        <w:rPr>
          <w:rFonts w:ascii="Palatino Linotype" w:hAnsi="Palatino Linotype" w:cstheme="minorHAnsi"/>
          <w:lang w:val="en-US"/>
        </w:rPr>
        <w:t xml:space="preserve">; hence, </w:t>
      </w:r>
      <w:proofErr w:type="spellStart"/>
      <w:r w:rsidR="008A2F71" w:rsidRPr="00551409">
        <w:rPr>
          <w:rFonts w:ascii="Palatino Linotype" w:hAnsi="Palatino Linotype" w:cstheme="minorHAnsi"/>
          <w:lang w:val="en-US"/>
        </w:rPr>
        <w:t>Bakış</w:t>
      </w:r>
      <w:proofErr w:type="spellEnd"/>
      <w:r w:rsidR="008A2F71" w:rsidRPr="00551409">
        <w:rPr>
          <w:rFonts w:ascii="Palatino Linotype" w:hAnsi="Palatino Linotype" w:cstheme="minorHAnsi"/>
          <w:lang w:val="en-US"/>
        </w:rPr>
        <w:t xml:space="preserve"> and </w:t>
      </w:r>
      <w:proofErr w:type="spellStart"/>
      <w:r w:rsidR="008A2F71" w:rsidRPr="00551409">
        <w:rPr>
          <w:rFonts w:ascii="Palatino Linotype" w:hAnsi="Palatino Linotype" w:cstheme="minorHAnsi"/>
          <w:lang w:val="en-US"/>
        </w:rPr>
        <w:t>Acar</w:t>
      </w:r>
      <w:proofErr w:type="spellEnd"/>
      <w:r w:rsidR="008A2F71" w:rsidRPr="00551409">
        <w:rPr>
          <w:rFonts w:ascii="Palatino Linotype" w:hAnsi="Palatino Linotype" w:cstheme="minorHAnsi"/>
          <w:lang w:val="en-US"/>
        </w:rPr>
        <w:t xml:space="preserve"> (2020) assumed the depreciation rate as 8%</w:t>
      </w:r>
      <w:r w:rsidR="00C0589D" w:rsidRPr="00551409">
        <w:rPr>
          <w:rFonts w:ascii="Palatino Linotype" w:hAnsi="Palatino Linotype" w:cstheme="minorHAnsi"/>
          <w:lang w:val="en-US"/>
        </w:rPr>
        <w:t xml:space="preserve"> for the construction</w:t>
      </w:r>
      <w:r w:rsidR="008A2F71" w:rsidRPr="00551409">
        <w:rPr>
          <w:rFonts w:ascii="Palatino Linotype" w:hAnsi="Palatino Linotype" w:cstheme="minorHAnsi"/>
          <w:lang w:val="en-US"/>
        </w:rPr>
        <w:t>, 4%</w:t>
      </w:r>
      <w:r w:rsidR="00C0589D" w:rsidRPr="00551409">
        <w:rPr>
          <w:rFonts w:ascii="Palatino Linotype" w:hAnsi="Palatino Linotype" w:cstheme="minorHAnsi"/>
          <w:lang w:val="en-US"/>
        </w:rPr>
        <w:t xml:space="preserve"> for the agriculture</w:t>
      </w:r>
      <w:r w:rsidR="008A2F71" w:rsidRPr="00551409">
        <w:rPr>
          <w:rFonts w:ascii="Palatino Linotype" w:hAnsi="Palatino Linotype" w:cstheme="minorHAnsi"/>
          <w:lang w:val="en-US"/>
        </w:rPr>
        <w:t>, and 6%</w:t>
      </w:r>
      <w:r w:rsidR="00C0589D" w:rsidRPr="00551409">
        <w:rPr>
          <w:rFonts w:ascii="Palatino Linotype" w:hAnsi="Palatino Linotype" w:cstheme="minorHAnsi"/>
          <w:lang w:val="en-US"/>
        </w:rPr>
        <w:t xml:space="preserve"> for the industry and services</w:t>
      </w:r>
      <w:r w:rsidR="00412729" w:rsidRPr="00551409">
        <w:rPr>
          <w:rStyle w:val="DipnotBavurusu"/>
          <w:rFonts w:ascii="Palatino Linotype" w:hAnsi="Palatino Linotype" w:cstheme="minorHAnsi"/>
          <w:lang w:val="en-US"/>
        </w:rPr>
        <w:footnoteReference w:id="9"/>
      </w:r>
      <w:r w:rsidR="00412729" w:rsidRPr="00551409">
        <w:rPr>
          <w:rFonts w:ascii="Palatino Linotype" w:hAnsi="Palatino Linotype" w:cstheme="minorHAnsi"/>
          <w:lang w:val="en-US"/>
        </w:rPr>
        <w:t>.</w:t>
      </w:r>
    </w:p>
    <w:p w:rsidR="003D77C7" w:rsidRPr="00551409" w:rsidRDefault="008A2F71" w:rsidP="00BA6B8A">
      <w:pPr>
        <w:spacing w:after="240" w:line="276" w:lineRule="auto"/>
        <w:jc w:val="both"/>
        <w:rPr>
          <w:rFonts w:ascii="Palatino Linotype" w:hAnsi="Palatino Linotype" w:cstheme="minorHAnsi"/>
          <w:lang w:val="en-US"/>
        </w:rPr>
      </w:pPr>
      <w:r w:rsidRPr="00551409">
        <w:rPr>
          <w:rFonts w:ascii="Palatino Linotype" w:hAnsi="Palatino Linotype" w:cstheme="minorHAnsi"/>
          <w:lang w:val="en-US"/>
        </w:rPr>
        <w:t xml:space="preserve">Two factor (labor and capital) Cobb-Douglas production function is the most widely used production function in the TFP literature. For the aggregate Turkish economy, </w:t>
      </w:r>
      <w:proofErr w:type="spellStart"/>
      <w:r w:rsidRPr="00551409">
        <w:rPr>
          <w:rFonts w:ascii="Palatino Linotype" w:hAnsi="Palatino Linotype" w:cstheme="minorHAnsi"/>
          <w:lang w:val="en-US"/>
        </w:rPr>
        <w:t>Betam</w:t>
      </w:r>
      <w:proofErr w:type="spellEnd"/>
      <w:r w:rsidRPr="00551409">
        <w:rPr>
          <w:rFonts w:ascii="Palatino Linotype" w:hAnsi="Palatino Linotype" w:cstheme="minorHAnsi"/>
          <w:lang w:val="en-US"/>
        </w:rPr>
        <w:t xml:space="preserve"> TFP Working Paper calculates the capital share parameter </w:t>
      </w:r>
      <m:oMath>
        <m:r>
          <w:rPr>
            <w:rFonts w:ascii="Cambria Math" w:hAnsi="Cambria Math" w:cstheme="minorHAnsi"/>
            <w:lang w:val="en-US"/>
          </w:rPr>
          <m:t>α</m:t>
        </m:r>
      </m:oMath>
      <w:r w:rsidRPr="00551409">
        <w:rPr>
          <w:rFonts w:ascii="Palatino Linotype" w:eastAsiaTheme="minorEastAsia" w:hAnsi="Palatino Linotype" w:cstheme="minorHAnsi"/>
          <w:lang w:val="en-US"/>
        </w:rPr>
        <w:t xml:space="preserve"> </w:t>
      </w:r>
      <w:r w:rsidR="00C0589D" w:rsidRPr="00551409">
        <w:rPr>
          <w:rFonts w:ascii="Palatino Linotype" w:eastAsiaTheme="minorEastAsia" w:hAnsi="Palatino Linotype" w:cstheme="minorHAnsi"/>
          <w:lang w:val="en-US"/>
        </w:rPr>
        <w:t>as</w:t>
      </w:r>
      <w:r w:rsidRPr="00551409">
        <w:rPr>
          <w:rFonts w:ascii="Palatino Linotype" w:eastAsiaTheme="minorEastAsia" w:hAnsi="Palatino Linotype" w:cstheme="minorHAnsi"/>
          <w:lang w:val="en-US"/>
        </w:rPr>
        <w:t xml:space="preserve"> 0.51, and labor share parameter as 0.49. For the sectoral TFP calculation, capital shares are </w:t>
      </w:r>
      <w:r w:rsidR="00C0589D" w:rsidRPr="00551409">
        <w:rPr>
          <w:rFonts w:ascii="Palatino Linotype" w:eastAsiaTheme="minorEastAsia" w:hAnsi="Palatino Linotype" w:cstheme="minorHAnsi"/>
          <w:lang w:val="en-US"/>
        </w:rPr>
        <w:t>computed</w:t>
      </w:r>
      <w:r w:rsidRPr="00551409">
        <w:rPr>
          <w:rFonts w:ascii="Palatino Linotype" w:eastAsiaTheme="minorEastAsia" w:hAnsi="Palatino Linotype" w:cstheme="minorHAnsi"/>
          <w:lang w:val="en-US"/>
        </w:rPr>
        <w:t xml:space="preserve"> for each sector. For the agricultural sector capital share is </w:t>
      </w:r>
      <w:r w:rsidR="00C0589D" w:rsidRPr="00551409">
        <w:rPr>
          <w:rFonts w:ascii="Palatino Linotype" w:eastAsiaTheme="minorEastAsia" w:hAnsi="Palatino Linotype" w:cstheme="minorHAnsi"/>
          <w:lang w:val="en-US"/>
        </w:rPr>
        <w:t>set</w:t>
      </w:r>
      <w:r w:rsidRPr="00551409">
        <w:rPr>
          <w:rFonts w:ascii="Palatino Linotype" w:eastAsiaTheme="minorEastAsia" w:hAnsi="Palatino Linotype" w:cstheme="minorHAnsi"/>
          <w:lang w:val="en-US"/>
        </w:rPr>
        <w:t xml:space="preserve"> as 0.39, for the industry 0.6, for the construction 0.67, and for the services 0.47. </w:t>
      </w:r>
      <w:proofErr w:type="spellStart"/>
      <w:r w:rsidRPr="00551409">
        <w:rPr>
          <w:rFonts w:ascii="Palatino Linotype" w:eastAsiaTheme="minorEastAsia" w:hAnsi="Palatino Linotype" w:cstheme="minorHAnsi"/>
          <w:lang w:val="en-US"/>
        </w:rPr>
        <w:t>TurkStat</w:t>
      </w:r>
      <w:proofErr w:type="spellEnd"/>
      <w:r w:rsidRPr="00551409">
        <w:rPr>
          <w:rFonts w:ascii="Palatino Linotype" w:eastAsiaTheme="minorEastAsia" w:hAnsi="Palatino Linotype" w:cstheme="minorHAnsi"/>
          <w:lang w:val="en-US"/>
        </w:rPr>
        <w:t xml:space="preserve"> </w:t>
      </w:r>
      <w:proofErr w:type="gramStart"/>
      <w:r w:rsidRPr="00551409">
        <w:rPr>
          <w:rFonts w:ascii="Palatino Linotype" w:eastAsiaTheme="minorEastAsia" w:hAnsi="Palatino Linotype" w:cstheme="minorHAnsi"/>
          <w:lang w:val="en-US"/>
        </w:rPr>
        <w:t xml:space="preserve">reports </w:t>
      </w:r>
      <w:r w:rsidR="009C6082">
        <w:rPr>
          <w:rFonts w:ascii="Palatino Linotype" w:eastAsiaTheme="minorEastAsia" w:hAnsi="Palatino Linotype" w:cstheme="minorHAnsi"/>
          <w:lang w:val="en-US"/>
        </w:rPr>
        <w:t>also</w:t>
      </w:r>
      <w:proofErr w:type="gramEnd"/>
      <w:r w:rsidR="009C6082">
        <w:rPr>
          <w:rFonts w:ascii="Palatino Linotype" w:eastAsiaTheme="minorEastAsia" w:hAnsi="Palatino Linotype" w:cstheme="minorHAnsi"/>
          <w:lang w:val="en-US"/>
        </w:rPr>
        <w:t xml:space="preserve"> </w:t>
      </w:r>
      <w:r w:rsidR="005D7232" w:rsidRPr="00551409">
        <w:rPr>
          <w:rFonts w:ascii="Palatino Linotype" w:eastAsiaTheme="minorEastAsia" w:hAnsi="Palatino Linotype" w:cstheme="minorHAnsi"/>
          <w:lang w:val="en-US"/>
        </w:rPr>
        <w:t xml:space="preserve">GDP series calculated by income approach. When calculating sectoral income shares, </w:t>
      </w:r>
      <w:proofErr w:type="spellStart"/>
      <w:r w:rsidR="005D7232" w:rsidRPr="00551409">
        <w:rPr>
          <w:rFonts w:ascii="Palatino Linotype" w:eastAsiaTheme="minorEastAsia" w:hAnsi="Palatino Linotype" w:cstheme="minorHAnsi"/>
          <w:lang w:val="en-US"/>
        </w:rPr>
        <w:t>Bakış</w:t>
      </w:r>
      <w:proofErr w:type="spellEnd"/>
      <w:r w:rsidR="005D7232" w:rsidRPr="00551409">
        <w:rPr>
          <w:rFonts w:ascii="Palatino Linotype" w:eastAsiaTheme="minorEastAsia" w:hAnsi="Palatino Linotype" w:cstheme="minorHAnsi"/>
          <w:lang w:val="en-US"/>
        </w:rPr>
        <w:t xml:space="preserve"> and </w:t>
      </w:r>
      <w:proofErr w:type="spellStart"/>
      <w:r w:rsidR="005D7232" w:rsidRPr="00551409">
        <w:rPr>
          <w:rFonts w:ascii="Palatino Linotype" w:eastAsiaTheme="minorEastAsia" w:hAnsi="Palatino Linotype" w:cstheme="minorHAnsi"/>
          <w:lang w:val="en-US"/>
        </w:rPr>
        <w:t>Acar</w:t>
      </w:r>
      <w:proofErr w:type="spellEnd"/>
      <w:r w:rsidR="005D7232" w:rsidRPr="00551409">
        <w:rPr>
          <w:rFonts w:ascii="Palatino Linotype" w:eastAsiaTheme="minorEastAsia" w:hAnsi="Palatino Linotype" w:cstheme="minorHAnsi"/>
          <w:lang w:val="en-US"/>
        </w:rPr>
        <w:t xml:space="preserve"> (2020) use this series. In this GDP series, capital payments are presented as a residual of the value added once wage bill and (net) taxes are subtracted. This series should be adjusted for unpaid family workers, self-</w:t>
      </w:r>
      <w:proofErr w:type="gramStart"/>
      <w:r w:rsidR="005D7232" w:rsidRPr="00551409">
        <w:rPr>
          <w:rFonts w:ascii="Palatino Linotype" w:eastAsiaTheme="minorEastAsia" w:hAnsi="Palatino Linotype" w:cstheme="minorHAnsi"/>
          <w:lang w:val="en-US"/>
        </w:rPr>
        <w:t>employees</w:t>
      </w:r>
      <w:proofErr w:type="gramEnd"/>
      <w:r w:rsidR="005D7232" w:rsidRPr="00551409">
        <w:rPr>
          <w:rFonts w:ascii="Palatino Linotype" w:eastAsiaTheme="minorEastAsia" w:hAnsi="Palatino Linotype" w:cstheme="minorHAnsi"/>
          <w:lang w:val="en-US"/>
        </w:rPr>
        <w:t xml:space="preserve"> and </w:t>
      </w:r>
      <w:r w:rsidR="005D7232" w:rsidRPr="00551409">
        <w:rPr>
          <w:rFonts w:ascii="Palatino Linotype" w:eastAsiaTheme="minorEastAsia" w:hAnsi="Palatino Linotype" w:cstheme="minorHAnsi"/>
          <w:lang w:val="en-US"/>
        </w:rPr>
        <w:lastRenderedPageBreak/>
        <w:t xml:space="preserve">employers. </w:t>
      </w:r>
      <w:proofErr w:type="spellStart"/>
      <w:r w:rsidR="005D7232" w:rsidRPr="00551409">
        <w:rPr>
          <w:rFonts w:ascii="Palatino Linotype" w:eastAsiaTheme="minorEastAsia" w:hAnsi="Palatino Linotype" w:cstheme="minorHAnsi"/>
          <w:lang w:val="en-US"/>
        </w:rPr>
        <w:t>Bakış</w:t>
      </w:r>
      <w:proofErr w:type="spellEnd"/>
      <w:r w:rsidR="005D7232" w:rsidRPr="00551409">
        <w:rPr>
          <w:rFonts w:ascii="Palatino Linotype" w:eastAsiaTheme="minorEastAsia" w:hAnsi="Palatino Linotype" w:cstheme="minorHAnsi"/>
          <w:lang w:val="en-US"/>
        </w:rPr>
        <w:t xml:space="preserve"> and </w:t>
      </w:r>
      <w:proofErr w:type="spellStart"/>
      <w:r w:rsidR="005D7232" w:rsidRPr="00551409">
        <w:rPr>
          <w:rFonts w:ascii="Palatino Linotype" w:eastAsiaTheme="minorEastAsia" w:hAnsi="Palatino Linotype" w:cstheme="minorHAnsi"/>
          <w:lang w:val="en-US"/>
        </w:rPr>
        <w:t>Acar</w:t>
      </w:r>
      <w:proofErr w:type="spellEnd"/>
      <w:r w:rsidR="005D7232" w:rsidRPr="00551409">
        <w:rPr>
          <w:rFonts w:ascii="Palatino Linotype" w:eastAsiaTheme="minorEastAsia" w:hAnsi="Palatino Linotype" w:cstheme="minorHAnsi"/>
          <w:lang w:val="en-US"/>
        </w:rPr>
        <w:t xml:space="preserve"> (2020) adjusted the series for each sector. After the adjustments, the capital shares are found as expressed above</w:t>
      </w:r>
      <w:r w:rsidR="00B80A85" w:rsidRPr="00551409">
        <w:rPr>
          <w:rStyle w:val="DipnotBavurusu"/>
          <w:rFonts w:ascii="Palatino Linotype" w:eastAsiaTheme="minorEastAsia" w:hAnsi="Palatino Linotype" w:cstheme="minorHAnsi"/>
          <w:lang w:val="en-US"/>
        </w:rPr>
        <w:footnoteReference w:id="10"/>
      </w:r>
      <w:r w:rsidR="0003084E" w:rsidRPr="00551409">
        <w:rPr>
          <w:rFonts w:ascii="Palatino Linotype" w:eastAsiaTheme="minorEastAsia" w:hAnsi="Palatino Linotype" w:cstheme="minorHAnsi"/>
          <w:lang w:val="en-US"/>
        </w:rPr>
        <w:t>.</w:t>
      </w:r>
    </w:p>
    <w:p w:rsidR="003D77C7" w:rsidRPr="00551409" w:rsidRDefault="001D4D8E" w:rsidP="00BA6B8A">
      <w:pPr>
        <w:spacing w:after="240" w:line="276" w:lineRule="auto"/>
        <w:jc w:val="both"/>
        <w:rPr>
          <w:rFonts w:ascii="Palatino Linotype" w:eastAsiaTheme="minorEastAsia" w:hAnsi="Palatino Linotype" w:cstheme="minorHAnsi"/>
          <w:b/>
          <w:bCs/>
          <w:lang w:val="en-US"/>
        </w:rPr>
      </w:pPr>
      <w:r w:rsidRPr="00551409">
        <w:rPr>
          <w:rFonts w:ascii="Palatino Linotype" w:eastAsiaTheme="minorEastAsia" w:hAnsi="Palatino Linotype" w:cstheme="minorHAnsi"/>
          <w:b/>
          <w:bCs/>
          <w:lang w:val="en-US"/>
        </w:rPr>
        <w:t>Figure 4</w:t>
      </w:r>
      <w:r w:rsidR="003D77C7" w:rsidRPr="00551409">
        <w:rPr>
          <w:rFonts w:ascii="Palatino Linotype" w:eastAsiaTheme="minorEastAsia" w:hAnsi="Palatino Linotype" w:cstheme="minorHAnsi"/>
          <w:b/>
          <w:bCs/>
          <w:lang w:val="en-US"/>
        </w:rPr>
        <w:t xml:space="preserve">: </w:t>
      </w:r>
      <w:r w:rsidR="00A84B96">
        <w:rPr>
          <w:rFonts w:ascii="Palatino Linotype" w:eastAsiaTheme="minorEastAsia" w:hAnsi="Palatino Linotype" w:cstheme="minorHAnsi"/>
          <w:b/>
          <w:bCs/>
          <w:lang w:val="en-US"/>
        </w:rPr>
        <w:t>The Course of Sectoral TFPs</w:t>
      </w:r>
      <w:r w:rsidR="003D77C7" w:rsidRPr="00551409">
        <w:rPr>
          <w:rFonts w:ascii="Palatino Linotype" w:eastAsiaTheme="minorEastAsia" w:hAnsi="Palatino Linotype" w:cstheme="minorHAnsi"/>
          <w:b/>
          <w:bCs/>
          <w:lang w:val="en-US"/>
        </w:rPr>
        <w:t xml:space="preserve"> (1980=100)</w:t>
      </w:r>
    </w:p>
    <w:p w:rsidR="003D77C7" w:rsidRPr="00551409" w:rsidRDefault="00A84B96" w:rsidP="003D77C7">
      <w:pPr>
        <w:spacing w:after="0" w:line="240" w:lineRule="auto"/>
        <w:rPr>
          <w:lang w:val="en-US"/>
        </w:rPr>
      </w:pPr>
      <w:r>
        <w:rPr>
          <w:noProof/>
          <w:lang w:val="en-US"/>
        </w:rPr>
        <w:drawing>
          <wp:inline distT="0" distB="0" distL="0" distR="0" wp14:anchorId="45E3F287">
            <wp:extent cx="6041390" cy="36576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1390" cy="3657600"/>
                    </a:xfrm>
                    <a:prstGeom prst="rect">
                      <a:avLst/>
                    </a:prstGeom>
                    <a:noFill/>
                  </pic:spPr>
                </pic:pic>
              </a:graphicData>
            </a:graphic>
          </wp:inline>
        </w:drawing>
      </w:r>
    </w:p>
    <w:p w:rsidR="003D77C7" w:rsidRPr="00551409" w:rsidRDefault="00A84B96" w:rsidP="00BA6B8A">
      <w:pPr>
        <w:spacing w:after="240" w:line="276" w:lineRule="auto"/>
        <w:rPr>
          <w:rFonts w:ascii="Palatino Linotype" w:hAnsi="Palatino Linotype"/>
          <w:lang w:val="en-US"/>
        </w:rPr>
      </w:pPr>
      <w:r>
        <w:rPr>
          <w:rFonts w:ascii="Palatino Linotype" w:hAnsi="Palatino Linotype"/>
          <w:b/>
          <w:bCs/>
          <w:lang w:val="en-US"/>
        </w:rPr>
        <w:t>Source</w:t>
      </w:r>
      <w:r w:rsidR="003D77C7" w:rsidRPr="00551409">
        <w:rPr>
          <w:rFonts w:ascii="Palatino Linotype" w:hAnsi="Palatino Linotype"/>
          <w:b/>
          <w:bCs/>
          <w:lang w:val="en-US"/>
        </w:rPr>
        <w:t>:</w:t>
      </w:r>
      <w:r w:rsidR="003D77C7" w:rsidRPr="00551409">
        <w:rPr>
          <w:rFonts w:ascii="Palatino Linotype" w:hAnsi="Palatino Linotype"/>
          <w:lang w:val="en-US"/>
        </w:rPr>
        <w:t xml:space="preserve"> </w:t>
      </w:r>
      <w:proofErr w:type="spellStart"/>
      <w:r w:rsidR="00882400" w:rsidRPr="00551409">
        <w:rPr>
          <w:rFonts w:ascii="Palatino Linotype" w:hAnsi="Palatino Linotype"/>
          <w:lang w:val="en-US"/>
        </w:rPr>
        <w:t>B</w:t>
      </w:r>
      <w:r w:rsidR="00E042FC" w:rsidRPr="00551409">
        <w:rPr>
          <w:rFonts w:ascii="Palatino Linotype" w:hAnsi="Palatino Linotype"/>
          <w:lang w:val="en-US"/>
        </w:rPr>
        <w:t>etam</w:t>
      </w:r>
      <w:proofErr w:type="spellEnd"/>
    </w:p>
    <w:p w:rsidR="00EA6565" w:rsidRPr="00551409" w:rsidRDefault="00001D2C" w:rsidP="00BA6B8A">
      <w:pPr>
        <w:spacing w:after="240" w:line="276" w:lineRule="auto"/>
        <w:jc w:val="both"/>
        <w:rPr>
          <w:rFonts w:ascii="Palatino Linotype" w:hAnsi="Palatino Linotype"/>
          <w:lang w:val="en-US"/>
        </w:rPr>
      </w:pPr>
      <w:r w:rsidRPr="00551409">
        <w:rPr>
          <w:rFonts w:ascii="Palatino Linotype" w:hAnsi="Palatino Linotype"/>
          <w:lang w:val="en-US"/>
        </w:rPr>
        <w:t>In the 1980-2018 period, all sectors experience TFP increases except services. Over these years, the highest cumulative increase is recorded in the industry sector with 1</w:t>
      </w:r>
      <w:r w:rsidR="00A84B96">
        <w:rPr>
          <w:rFonts w:ascii="Palatino Linotype" w:hAnsi="Palatino Linotype"/>
          <w:lang w:val="en-US"/>
        </w:rPr>
        <w:t>23</w:t>
      </w:r>
      <w:r w:rsidRPr="00551409">
        <w:rPr>
          <w:rFonts w:ascii="Palatino Linotype" w:hAnsi="Palatino Linotype"/>
          <w:lang w:val="en-US"/>
        </w:rPr>
        <w:t>.</w:t>
      </w:r>
      <w:r w:rsidR="00A84B96">
        <w:rPr>
          <w:rFonts w:ascii="Palatino Linotype" w:hAnsi="Palatino Linotype"/>
          <w:lang w:val="en-US"/>
        </w:rPr>
        <w:t>2</w:t>
      </w:r>
      <w:r w:rsidRPr="00551409">
        <w:rPr>
          <w:rFonts w:ascii="Palatino Linotype" w:hAnsi="Palatino Linotype"/>
          <w:lang w:val="en-US"/>
        </w:rPr>
        <w:t xml:space="preserve">% while the agriculture comes as second with </w:t>
      </w:r>
      <w:r w:rsidR="00A84B96">
        <w:rPr>
          <w:rFonts w:ascii="Palatino Linotype" w:hAnsi="Palatino Linotype"/>
          <w:lang w:val="en-US"/>
        </w:rPr>
        <w:t>5</w:t>
      </w:r>
      <w:r w:rsidRPr="00551409">
        <w:rPr>
          <w:rFonts w:ascii="Palatino Linotype" w:hAnsi="Palatino Linotype"/>
          <w:lang w:val="en-US"/>
        </w:rPr>
        <w:t>8</w:t>
      </w:r>
      <w:r w:rsidR="00A84B96">
        <w:rPr>
          <w:rFonts w:ascii="Palatino Linotype" w:hAnsi="Palatino Linotype"/>
          <w:lang w:val="en-US"/>
        </w:rPr>
        <w:t>.3</w:t>
      </w:r>
      <w:r w:rsidRPr="00551409">
        <w:rPr>
          <w:rFonts w:ascii="Palatino Linotype" w:hAnsi="Palatino Linotype"/>
          <w:lang w:val="en-US"/>
        </w:rPr>
        <w:t>%. In the construction sector</w:t>
      </w:r>
      <w:r w:rsidR="00C0589D" w:rsidRPr="00551409">
        <w:rPr>
          <w:rFonts w:ascii="Palatino Linotype" w:hAnsi="Palatino Linotype"/>
          <w:lang w:val="en-US"/>
        </w:rPr>
        <w:t>,</w:t>
      </w:r>
      <w:r w:rsidRPr="00551409">
        <w:rPr>
          <w:rFonts w:ascii="Palatino Linotype" w:hAnsi="Palatino Linotype"/>
          <w:lang w:val="en-US"/>
        </w:rPr>
        <w:t xml:space="preserve"> TFP grows by </w:t>
      </w:r>
      <w:r w:rsidR="00A84B96">
        <w:rPr>
          <w:rFonts w:ascii="Palatino Linotype" w:hAnsi="Palatino Linotype"/>
          <w:lang w:val="en-US"/>
        </w:rPr>
        <w:t>56.4</w:t>
      </w:r>
      <w:r w:rsidRPr="00551409">
        <w:rPr>
          <w:rFonts w:ascii="Palatino Linotype" w:hAnsi="Palatino Linotype"/>
          <w:lang w:val="en-US"/>
        </w:rPr>
        <w:t>% cumulatively and TFP in the service sector contracts by 4</w:t>
      </w:r>
      <w:r w:rsidR="00A84B96">
        <w:rPr>
          <w:rFonts w:ascii="Palatino Linotype" w:hAnsi="Palatino Linotype"/>
          <w:lang w:val="en-US"/>
        </w:rPr>
        <w:t>1</w:t>
      </w:r>
      <w:r w:rsidRPr="00551409">
        <w:rPr>
          <w:rFonts w:ascii="Palatino Linotype" w:hAnsi="Palatino Linotype"/>
          <w:lang w:val="en-US"/>
        </w:rPr>
        <w:t>.</w:t>
      </w:r>
      <w:r w:rsidR="00A84B96">
        <w:rPr>
          <w:rFonts w:ascii="Palatino Linotype" w:hAnsi="Palatino Linotype"/>
          <w:lang w:val="en-US"/>
        </w:rPr>
        <w:t>3</w:t>
      </w:r>
      <w:r w:rsidRPr="00551409">
        <w:rPr>
          <w:rFonts w:ascii="Palatino Linotype" w:hAnsi="Palatino Linotype"/>
          <w:lang w:val="en-US"/>
        </w:rPr>
        <w:t>%. TFP growth in the industry sector has a more stable pattern. Although TFP growth rate of the construction and the agriculture are close to</w:t>
      </w:r>
      <w:r w:rsidR="00C0589D" w:rsidRPr="00551409">
        <w:rPr>
          <w:rFonts w:ascii="Palatino Linotype" w:hAnsi="Palatino Linotype"/>
          <w:lang w:val="en-US"/>
        </w:rPr>
        <w:t xml:space="preserve"> each other</w:t>
      </w:r>
      <w:r w:rsidRPr="00551409">
        <w:rPr>
          <w:rFonts w:ascii="Palatino Linotype" w:hAnsi="Palatino Linotype"/>
          <w:lang w:val="en-US"/>
        </w:rPr>
        <w:t xml:space="preserve">, the construction sector is more volatile. This is the main reason that the TFP growth in the construction falls </w:t>
      </w:r>
      <w:r w:rsidR="00A84B96">
        <w:rPr>
          <w:rFonts w:ascii="Palatino Linotype" w:hAnsi="Palatino Linotype"/>
          <w:lang w:val="en-US"/>
        </w:rPr>
        <w:t>the same rate</w:t>
      </w:r>
      <w:r w:rsidRPr="00551409">
        <w:rPr>
          <w:rFonts w:ascii="Palatino Linotype" w:hAnsi="Palatino Linotype"/>
          <w:lang w:val="en-US"/>
        </w:rPr>
        <w:t xml:space="preserve"> of the agriculture</w:t>
      </w:r>
      <w:r w:rsidR="00A84B96">
        <w:rPr>
          <w:rFonts w:ascii="Palatino Linotype" w:hAnsi="Palatino Linotype"/>
          <w:lang w:val="en-US"/>
        </w:rPr>
        <w:t xml:space="preserve"> despite the rapid growth rates of construction TFP in some periods</w:t>
      </w:r>
      <w:r w:rsidRPr="00551409">
        <w:rPr>
          <w:rFonts w:ascii="Palatino Linotype" w:hAnsi="Palatino Linotype"/>
          <w:lang w:val="en-US"/>
        </w:rPr>
        <w:t xml:space="preserve">. This situation is closely related to the construction investments’ quality and </w:t>
      </w:r>
      <w:r w:rsidR="00C0589D" w:rsidRPr="00551409">
        <w:rPr>
          <w:rFonts w:ascii="Palatino Linotype" w:hAnsi="Palatino Linotype"/>
          <w:lang w:val="en-US"/>
        </w:rPr>
        <w:t>the sector’s</w:t>
      </w:r>
      <w:r w:rsidRPr="00551409">
        <w:rPr>
          <w:rFonts w:ascii="Palatino Linotype" w:hAnsi="Palatino Linotype"/>
          <w:lang w:val="en-US"/>
        </w:rPr>
        <w:t xml:space="preserve"> potential to create value added. Low or negative TFP growth in the service sector is not </w:t>
      </w:r>
      <w:r w:rsidR="001F2B38">
        <w:rPr>
          <w:rFonts w:ascii="Palatino Linotype" w:hAnsi="Palatino Linotype"/>
          <w:lang w:val="en-US"/>
        </w:rPr>
        <w:t>specific</w:t>
      </w:r>
      <w:r w:rsidRPr="00551409">
        <w:rPr>
          <w:rFonts w:ascii="Palatino Linotype" w:hAnsi="Palatino Linotype"/>
          <w:lang w:val="en-US"/>
        </w:rPr>
        <w:t xml:space="preserve"> to Turkey alone</w:t>
      </w:r>
      <w:r w:rsidR="009952D1" w:rsidRPr="00551409">
        <w:rPr>
          <w:rFonts w:ascii="Palatino Linotype" w:hAnsi="Palatino Linotype"/>
          <w:lang w:val="en-US"/>
        </w:rPr>
        <w:t>. OECD average and the US economy displays similar patterns on the services</w:t>
      </w:r>
      <w:r w:rsidR="00C0589D" w:rsidRPr="00551409">
        <w:rPr>
          <w:rFonts w:ascii="Palatino Linotype" w:hAnsi="Palatino Linotype"/>
          <w:lang w:val="en-US"/>
        </w:rPr>
        <w:t xml:space="preserve"> TFP</w:t>
      </w:r>
      <w:r w:rsidR="00EA6565" w:rsidRPr="00551409">
        <w:rPr>
          <w:rFonts w:ascii="Palatino Linotype" w:hAnsi="Palatino Linotype"/>
          <w:lang w:val="en-US"/>
        </w:rPr>
        <w:t xml:space="preserve"> (</w:t>
      </w:r>
      <w:r w:rsidR="009952D1" w:rsidRPr="00551409">
        <w:rPr>
          <w:rFonts w:ascii="Palatino Linotype" w:hAnsi="Palatino Linotype"/>
          <w:lang w:val="en-US"/>
        </w:rPr>
        <w:t>see</w:t>
      </w:r>
      <w:r w:rsidR="00EA6565" w:rsidRPr="00551409">
        <w:rPr>
          <w:rFonts w:ascii="Palatino Linotype" w:hAnsi="Palatino Linotype"/>
          <w:lang w:val="en-US"/>
        </w:rPr>
        <w:t xml:space="preserve"> </w:t>
      </w:r>
      <w:proofErr w:type="spellStart"/>
      <w:r w:rsidR="00EA6565" w:rsidRPr="00551409">
        <w:rPr>
          <w:rFonts w:ascii="Palatino Linotype" w:hAnsi="Palatino Linotype"/>
          <w:lang w:val="en-US"/>
        </w:rPr>
        <w:t>Kets</w:t>
      </w:r>
      <w:proofErr w:type="spellEnd"/>
      <w:r w:rsidR="00EA6565" w:rsidRPr="00551409">
        <w:rPr>
          <w:rFonts w:ascii="Palatino Linotype" w:hAnsi="Palatino Linotype"/>
          <w:lang w:val="en-US"/>
        </w:rPr>
        <w:t xml:space="preserve"> and </w:t>
      </w:r>
      <w:proofErr w:type="spellStart"/>
      <w:r w:rsidR="00EA6565" w:rsidRPr="00551409">
        <w:rPr>
          <w:rFonts w:ascii="Palatino Linotype" w:hAnsi="Palatino Linotype"/>
          <w:lang w:val="en-US"/>
        </w:rPr>
        <w:t>Lejour</w:t>
      </w:r>
      <w:proofErr w:type="spellEnd"/>
      <w:r w:rsidR="00EA6565" w:rsidRPr="00551409">
        <w:rPr>
          <w:rFonts w:ascii="Palatino Linotype" w:hAnsi="Palatino Linotype"/>
          <w:lang w:val="en-US"/>
        </w:rPr>
        <w:t>, 2003; Foerster et al., 2019).</w:t>
      </w:r>
    </w:p>
    <w:p w:rsidR="00C42551" w:rsidRPr="00551409" w:rsidRDefault="00C0589D" w:rsidP="00C42551">
      <w:pPr>
        <w:spacing w:after="240" w:line="276" w:lineRule="auto"/>
        <w:jc w:val="both"/>
        <w:rPr>
          <w:rFonts w:ascii="Palatino Linotype" w:hAnsi="Palatino Linotype"/>
          <w:b/>
          <w:bCs/>
          <w:lang w:val="en-US"/>
        </w:rPr>
      </w:pPr>
      <w:r w:rsidRPr="00551409">
        <w:rPr>
          <w:rFonts w:ascii="Palatino Linotype" w:hAnsi="Palatino Linotype"/>
          <w:b/>
          <w:bCs/>
          <w:lang w:val="en-US"/>
        </w:rPr>
        <w:br w:type="column"/>
      </w:r>
      <w:r w:rsidR="00C42551" w:rsidRPr="00551409">
        <w:rPr>
          <w:rFonts w:ascii="Palatino Linotype" w:hAnsi="Palatino Linotype"/>
          <w:b/>
          <w:bCs/>
          <w:lang w:val="en-US"/>
        </w:rPr>
        <w:lastRenderedPageBreak/>
        <w:t>Tabl</w:t>
      </w:r>
      <w:r w:rsidR="001D4D8E" w:rsidRPr="00551409">
        <w:rPr>
          <w:rFonts w:ascii="Palatino Linotype" w:hAnsi="Palatino Linotype"/>
          <w:b/>
          <w:bCs/>
          <w:lang w:val="en-US"/>
        </w:rPr>
        <w:t>e</w:t>
      </w:r>
      <w:r w:rsidR="00C42551" w:rsidRPr="00551409">
        <w:rPr>
          <w:rFonts w:ascii="Palatino Linotype" w:hAnsi="Palatino Linotype"/>
          <w:b/>
          <w:bCs/>
          <w:lang w:val="en-US"/>
        </w:rPr>
        <w:t xml:space="preserve"> </w:t>
      </w:r>
      <w:r w:rsidR="001D4D8E" w:rsidRPr="00551409">
        <w:rPr>
          <w:rFonts w:ascii="Palatino Linotype" w:hAnsi="Palatino Linotype"/>
          <w:b/>
          <w:bCs/>
          <w:lang w:val="en-US"/>
        </w:rPr>
        <w:t>4</w:t>
      </w:r>
      <w:r w:rsidR="00C42551" w:rsidRPr="00551409">
        <w:rPr>
          <w:rFonts w:ascii="Palatino Linotype" w:hAnsi="Palatino Linotype"/>
          <w:b/>
          <w:bCs/>
          <w:lang w:val="en-US"/>
        </w:rPr>
        <w:t xml:space="preserve">: </w:t>
      </w:r>
      <w:r w:rsidR="009952D1" w:rsidRPr="00551409">
        <w:rPr>
          <w:rFonts w:ascii="Palatino Linotype" w:hAnsi="Palatino Linotype"/>
          <w:b/>
          <w:bCs/>
          <w:lang w:val="en-US"/>
        </w:rPr>
        <w:t>Sectoral TFP Growth Rates</w:t>
      </w:r>
      <w:r w:rsidR="00C42551" w:rsidRPr="00551409">
        <w:rPr>
          <w:rFonts w:ascii="Palatino Linotype" w:hAnsi="Palatino Linotype"/>
          <w:b/>
          <w:bCs/>
          <w:lang w:val="en-US"/>
        </w:rPr>
        <w:t xml:space="preserve"> (</w:t>
      </w:r>
      <w:r w:rsidR="009952D1" w:rsidRPr="00551409">
        <w:rPr>
          <w:rFonts w:ascii="Palatino Linotype" w:hAnsi="Palatino Linotype"/>
          <w:b/>
          <w:bCs/>
          <w:lang w:val="en-US"/>
        </w:rPr>
        <w:t xml:space="preserve">Annual Average, </w:t>
      </w:r>
      <w:r w:rsidR="00C42551" w:rsidRPr="00551409">
        <w:rPr>
          <w:rFonts w:ascii="Palatino Linotype" w:hAnsi="Palatino Linotype"/>
          <w:b/>
          <w:bCs/>
          <w:lang w:val="en-US"/>
        </w:rPr>
        <w:t>%)</w:t>
      </w:r>
    </w:p>
    <w:tbl>
      <w:tblPr>
        <w:tblW w:w="9447" w:type="dxa"/>
        <w:tblInd w:w="-30" w:type="dxa"/>
        <w:tblLayout w:type="fixed"/>
        <w:tblLook w:val="0000" w:firstRow="0" w:lastRow="0" w:firstColumn="0" w:lastColumn="0" w:noHBand="0" w:noVBand="0"/>
      </w:tblPr>
      <w:tblGrid>
        <w:gridCol w:w="2320"/>
        <w:gridCol w:w="1782"/>
        <w:gridCol w:w="1782"/>
        <w:gridCol w:w="1781"/>
        <w:gridCol w:w="1782"/>
      </w:tblGrid>
      <w:tr w:rsidR="00C42551" w:rsidRPr="00551409" w:rsidTr="00C0589D">
        <w:trPr>
          <w:trHeight w:val="372"/>
        </w:trPr>
        <w:tc>
          <w:tcPr>
            <w:tcW w:w="2320" w:type="dxa"/>
            <w:tcBorders>
              <w:top w:val="single" w:sz="6" w:space="0" w:color="auto"/>
              <w:left w:val="nil"/>
              <w:bottom w:val="single" w:sz="6" w:space="0" w:color="auto"/>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782" w:type="dxa"/>
            <w:tcBorders>
              <w:top w:val="single" w:sz="6" w:space="0" w:color="auto"/>
              <w:left w:val="nil"/>
              <w:bottom w:val="single" w:sz="6" w:space="0" w:color="auto"/>
              <w:right w:val="nil"/>
            </w:tcBorders>
            <w:shd w:val="solid" w:color="FFFFFF" w:fill="auto"/>
          </w:tcPr>
          <w:p w:rsidR="00C42551" w:rsidRPr="00551409" w:rsidRDefault="009952D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Agriculture</w:t>
            </w:r>
            <w:r w:rsidR="00C42551" w:rsidRPr="00551409">
              <w:rPr>
                <w:rFonts w:ascii="Palatino Linotype" w:hAnsi="Palatino Linotype" w:cs="Calibri Light"/>
                <w:color w:val="000000"/>
                <w:sz w:val="20"/>
                <w:szCs w:val="20"/>
                <w:lang w:val="en-US"/>
              </w:rPr>
              <w:t xml:space="preserve"> TF</w:t>
            </w:r>
            <w:r w:rsidRPr="00551409">
              <w:rPr>
                <w:rFonts w:ascii="Palatino Linotype" w:hAnsi="Palatino Linotype" w:cs="Calibri Light"/>
                <w:color w:val="000000"/>
                <w:sz w:val="20"/>
                <w:szCs w:val="20"/>
                <w:lang w:val="en-US"/>
              </w:rPr>
              <w:t>P</w:t>
            </w:r>
          </w:p>
        </w:tc>
        <w:tc>
          <w:tcPr>
            <w:tcW w:w="1782" w:type="dxa"/>
            <w:tcBorders>
              <w:top w:val="single" w:sz="6" w:space="0" w:color="auto"/>
              <w:left w:val="nil"/>
              <w:bottom w:val="single" w:sz="6" w:space="0" w:color="auto"/>
              <w:right w:val="nil"/>
            </w:tcBorders>
            <w:shd w:val="solid" w:color="FFFFFF" w:fill="auto"/>
          </w:tcPr>
          <w:p w:rsidR="00C42551" w:rsidRPr="00551409" w:rsidRDefault="009952D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Industry</w:t>
            </w:r>
            <w:r w:rsidR="00C42551" w:rsidRPr="00551409">
              <w:rPr>
                <w:rFonts w:ascii="Palatino Linotype" w:hAnsi="Palatino Linotype" w:cs="Calibri Light"/>
                <w:color w:val="000000"/>
                <w:sz w:val="20"/>
                <w:szCs w:val="20"/>
                <w:lang w:val="en-US"/>
              </w:rPr>
              <w:t xml:space="preserve"> TF</w:t>
            </w:r>
            <w:r w:rsidRPr="00551409">
              <w:rPr>
                <w:rFonts w:ascii="Palatino Linotype" w:hAnsi="Palatino Linotype" w:cs="Calibri Light"/>
                <w:color w:val="000000"/>
                <w:sz w:val="20"/>
                <w:szCs w:val="20"/>
                <w:lang w:val="en-US"/>
              </w:rPr>
              <w:t>P</w:t>
            </w:r>
          </w:p>
        </w:tc>
        <w:tc>
          <w:tcPr>
            <w:tcW w:w="1781" w:type="dxa"/>
            <w:tcBorders>
              <w:top w:val="single" w:sz="6" w:space="0" w:color="auto"/>
              <w:left w:val="nil"/>
              <w:bottom w:val="single" w:sz="6" w:space="0" w:color="auto"/>
              <w:right w:val="nil"/>
            </w:tcBorders>
            <w:shd w:val="solid" w:color="FFFFFF" w:fill="auto"/>
          </w:tcPr>
          <w:p w:rsidR="00C42551" w:rsidRPr="00551409" w:rsidRDefault="009952D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Construction</w:t>
            </w:r>
            <w:r w:rsidR="00C42551" w:rsidRPr="00551409">
              <w:rPr>
                <w:rFonts w:ascii="Palatino Linotype" w:hAnsi="Palatino Linotype" w:cs="Calibri Light"/>
                <w:color w:val="000000"/>
                <w:sz w:val="20"/>
                <w:szCs w:val="20"/>
                <w:lang w:val="en-US"/>
              </w:rPr>
              <w:t xml:space="preserve"> TF</w:t>
            </w:r>
            <w:r w:rsidRPr="00551409">
              <w:rPr>
                <w:rFonts w:ascii="Palatino Linotype" w:hAnsi="Palatino Linotype" w:cs="Calibri Light"/>
                <w:color w:val="000000"/>
                <w:sz w:val="20"/>
                <w:szCs w:val="20"/>
                <w:lang w:val="en-US"/>
              </w:rPr>
              <w:t>P</w:t>
            </w:r>
          </w:p>
        </w:tc>
        <w:tc>
          <w:tcPr>
            <w:tcW w:w="1782" w:type="dxa"/>
            <w:tcBorders>
              <w:top w:val="single" w:sz="6" w:space="0" w:color="auto"/>
              <w:left w:val="nil"/>
              <w:bottom w:val="single" w:sz="6" w:space="0" w:color="auto"/>
              <w:right w:val="nil"/>
            </w:tcBorders>
            <w:shd w:val="solid" w:color="FFFFFF" w:fill="auto"/>
          </w:tcPr>
          <w:p w:rsidR="00C42551" w:rsidRPr="00551409" w:rsidRDefault="009952D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Services</w:t>
            </w:r>
            <w:r w:rsidR="00C42551" w:rsidRPr="00551409">
              <w:rPr>
                <w:rFonts w:ascii="Palatino Linotype" w:hAnsi="Palatino Linotype" w:cs="Calibri Light"/>
                <w:color w:val="000000"/>
                <w:sz w:val="20"/>
                <w:szCs w:val="20"/>
                <w:lang w:val="en-US"/>
              </w:rPr>
              <w:t xml:space="preserve"> TF</w:t>
            </w:r>
            <w:r w:rsidRPr="00551409">
              <w:rPr>
                <w:rFonts w:ascii="Palatino Linotype" w:hAnsi="Palatino Linotype" w:cs="Calibri Light"/>
                <w:color w:val="000000"/>
                <w:sz w:val="20"/>
                <w:szCs w:val="20"/>
                <w:lang w:val="en-US"/>
              </w:rPr>
              <w:t>P</w:t>
            </w:r>
          </w:p>
        </w:tc>
      </w:tr>
      <w:tr w:rsidR="00C42551" w:rsidRPr="00551409" w:rsidTr="00C0589D">
        <w:trPr>
          <w:trHeight w:val="372"/>
        </w:trPr>
        <w:tc>
          <w:tcPr>
            <w:tcW w:w="2320" w:type="dxa"/>
            <w:tcBorders>
              <w:top w:val="nil"/>
              <w:left w:val="nil"/>
              <w:bottom w:val="nil"/>
              <w:right w:val="nil"/>
            </w:tcBorders>
            <w:shd w:val="solid" w:color="FFFFFF" w:fill="auto"/>
          </w:tcPr>
          <w:p w:rsidR="00C42551" w:rsidRPr="00551409" w:rsidRDefault="009952D1" w:rsidP="0087065C">
            <w:pPr>
              <w:autoSpaceDE w:val="0"/>
              <w:autoSpaceDN w:val="0"/>
              <w:adjustRightInd w:val="0"/>
              <w:spacing w:after="0" w:line="240" w:lineRule="auto"/>
              <w:rPr>
                <w:rFonts w:ascii="Palatino Linotype" w:hAnsi="Palatino Linotype" w:cs="Calibri Light"/>
                <w:b/>
                <w:bCs/>
                <w:color w:val="000000"/>
                <w:sz w:val="20"/>
                <w:szCs w:val="20"/>
                <w:lang w:val="en-US"/>
              </w:rPr>
            </w:pPr>
            <w:r w:rsidRPr="00551409">
              <w:rPr>
                <w:rFonts w:ascii="Palatino Linotype" w:hAnsi="Palatino Linotype" w:cs="Calibri Light"/>
                <w:b/>
                <w:bCs/>
                <w:color w:val="000000"/>
                <w:sz w:val="20"/>
                <w:szCs w:val="20"/>
                <w:lang w:val="en-US"/>
              </w:rPr>
              <w:t>Growth Rate</w:t>
            </w:r>
            <w:r w:rsidR="00C42551" w:rsidRPr="00551409">
              <w:rPr>
                <w:rFonts w:ascii="Palatino Linotype" w:hAnsi="Palatino Linotype" w:cs="Calibri Light"/>
                <w:b/>
                <w:bCs/>
                <w:color w:val="000000"/>
                <w:sz w:val="20"/>
                <w:szCs w:val="20"/>
                <w:lang w:val="en-US"/>
              </w:rPr>
              <w:t xml:space="preserve"> (%)</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781"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color w:val="000000"/>
                <w:sz w:val="20"/>
                <w:szCs w:val="20"/>
                <w:lang w:val="en-US"/>
              </w:rPr>
            </w:pPr>
          </w:p>
        </w:tc>
      </w:tr>
      <w:tr w:rsidR="00C42551" w:rsidRPr="00551409" w:rsidTr="00C0589D">
        <w:trPr>
          <w:trHeight w:val="372"/>
        </w:trPr>
        <w:tc>
          <w:tcPr>
            <w:tcW w:w="2320" w:type="dxa"/>
            <w:tcBorders>
              <w:top w:val="single" w:sz="6" w:space="0" w:color="auto"/>
              <w:left w:val="nil"/>
              <w:bottom w:val="nil"/>
              <w:right w:val="nil"/>
            </w:tcBorders>
            <w:shd w:val="solid" w:color="FFFFFF" w:fill="auto"/>
          </w:tcPr>
          <w:p w:rsidR="00C42551" w:rsidRPr="00551409" w:rsidRDefault="00C42551" w:rsidP="0087065C">
            <w:pPr>
              <w:autoSpaceDE w:val="0"/>
              <w:autoSpaceDN w:val="0"/>
              <w:adjustRightInd w:val="0"/>
              <w:spacing w:after="0" w:line="240" w:lineRule="auto"/>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1981-1989</w:t>
            </w:r>
          </w:p>
        </w:tc>
        <w:tc>
          <w:tcPr>
            <w:tcW w:w="1782" w:type="dxa"/>
            <w:tcBorders>
              <w:top w:val="single" w:sz="6" w:space="0" w:color="auto"/>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-0.6</w:t>
            </w:r>
          </w:p>
        </w:tc>
        <w:tc>
          <w:tcPr>
            <w:tcW w:w="1782" w:type="dxa"/>
            <w:tcBorders>
              <w:top w:val="single" w:sz="6" w:space="0" w:color="auto"/>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4.5</w:t>
            </w:r>
          </w:p>
        </w:tc>
        <w:tc>
          <w:tcPr>
            <w:tcW w:w="1781" w:type="dxa"/>
            <w:tcBorders>
              <w:top w:val="single" w:sz="6" w:space="0" w:color="auto"/>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3.2</w:t>
            </w:r>
          </w:p>
        </w:tc>
        <w:tc>
          <w:tcPr>
            <w:tcW w:w="1782" w:type="dxa"/>
            <w:tcBorders>
              <w:top w:val="single" w:sz="6" w:space="0" w:color="auto"/>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-0.8</w:t>
            </w:r>
          </w:p>
        </w:tc>
      </w:tr>
      <w:tr w:rsidR="00C42551" w:rsidRPr="00551409" w:rsidTr="00C0589D">
        <w:trPr>
          <w:trHeight w:val="372"/>
        </w:trPr>
        <w:tc>
          <w:tcPr>
            <w:tcW w:w="2320"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1990-2002</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1.5</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0.9</w:t>
            </w:r>
          </w:p>
        </w:tc>
        <w:tc>
          <w:tcPr>
            <w:tcW w:w="1781"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-1.9</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-2.3</w:t>
            </w:r>
          </w:p>
        </w:tc>
      </w:tr>
      <w:tr w:rsidR="00C42551" w:rsidRPr="00551409" w:rsidTr="00C0589D">
        <w:trPr>
          <w:trHeight w:val="372"/>
        </w:trPr>
        <w:tc>
          <w:tcPr>
            <w:tcW w:w="2320"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2003-2013</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1.5</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2.1</w:t>
            </w:r>
          </w:p>
        </w:tc>
        <w:tc>
          <w:tcPr>
            <w:tcW w:w="1781"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4.8</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-1.2</w:t>
            </w:r>
          </w:p>
        </w:tc>
      </w:tr>
      <w:tr w:rsidR="00C42551" w:rsidRPr="00551409" w:rsidTr="00C0589D">
        <w:trPr>
          <w:trHeight w:val="372"/>
        </w:trPr>
        <w:tc>
          <w:tcPr>
            <w:tcW w:w="2320"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2003-2007</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2.2</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3.3</w:t>
            </w:r>
          </w:p>
        </w:tc>
        <w:tc>
          <w:tcPr>
            <w:tcW w:w="1781"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10.0</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-0.8</w:t>
            </w:r>
          </w:p>
        </w:tc>
      </w:tr>
      <w:tr w:rsidR="00C42551" w:rsidRPr="00551409" w:rsidTr="00C0589D">
        <w:trPr>
          <w:trHeight w:val="372"/>
        </w:trPr>
        <w:tc>
          <w:tcPr>
            <w:tcW w:w="2320"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2008-2010</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1.7</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-2.5</w:t>
            </w:r>
          </w:p>
        </w:tc>
        <w:tc>
          <w:tcPr>
            <w:tcW w:w="1781"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-6.3</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-3.4</w:t>
            </w:r>
          </w:p>
        </w:tc>
      </w:tr>
      <w:tr w:rsidR="00C42551" w:rsidRPr="00551409" w:rsidTr="00C0589D">
        <w:trPr>
          <w:trHeight w:val="372"/>
        </w:trPr>
        <w:tc>
          <w:tcPr>
            <w:tcW w:w="2320"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2011-2013</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0.0</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4.6</w:t>
            </w:r>
          </w:p>
        </w:tc>
        <w:tc>
          <w:tcPr>
            <w:tcW w:w="1781"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7.1</w:t>
            </w:r>
          </w:p>
        </w:tc>
        <w:tc>
          <w:tcPr>
            <w:tcW w:w="1782" w:type="dxa"/>
            <w:tcBorders>
              <w:top w:val="nil"/>
              <w:left w:val="nil"/>
              <w:bottom w:val="nil"/>
              <w:right w:val="nil"/>
            </w:tcBorders>
            <w:shd w:val="solid" w:color="FFFFFF" w:fill="auto"/>
          </w:tcPr>
          <w:p w:rsidR="00C42551" w:rsidRPr="00551409" w:rsidRDefault="00C42551" w:rsidP="0087065C">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551409">
              <w:rPr>
                <w:rFonts w:ascii="Palatino Linotype" w:hAnsi="Palatino Linotype" w:cs="Calibri Light"/>
                <w:i/>
                <w:iCs/>
                <w:color w:val="000000"/>
                <w:sz w:val="18"/>
                <w:szCs w:val="18"/>
                <w:lang w:val="en-US"/>
              </w:rPr>
              <w:t>0.2</w:t>
            </w:r>
          </w:p>
        </w:tc>
      </w:tr>
      <w:tr w:rsidR="00C42551" w:rsidRPr="00551409" w:rsidTr="00C0589D">
        <w:trPr>
          <w:trHeight w:val="372"/>
        </w:trPr>
        <w:tc>
          <w:tcPr>
            <w:tcW w:w="2320" w:type="dxa"/>
            <w:tcBorders>
              <w:top w:val="nil"/>
              <w:left w:val="nil"/>
              <w:bottom w:val="single" w:sz="6" w:space="0" w:color="auto"/>
              <w:right w:val="nil"/>
            </w:tcBorders>
            <w:shd w:val="solid" w:color="FFFFFF" w:fill="auto"/>
          </w:tcPr>
          <w:p w:rsidR="00C42551" w:rsidRPr="00551409" w:rsidRDefault="00C42551" w:rsidP="0087065C">
            <w:pPr>
              <w:autoSpaceDE w:val="0"/>
              <w:autoSpaceDN w:val="0"/>
              <w:adjustRightInd w:val="0"/>
              <w:spacing w:after="0" w:line="240" w:lineRule="auto"/>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2014-2018</w:t>
            </w:r>
          </w:p>
        </w:tc>
        <w:tc>
          <w:tcPr>
            <w:tcW w:w="1782" w:type="dxa"/>
            <w:tcBorders>
              <w:top w:val="nil"/>
              <w:left w:val="nil"/>
              <w:bottom w:val="single" w:sz="6" w:space="0" w:color="auto"/>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3.1</w:t>
            </w:r>
          </w:p>
        </w:tc>
        <w:tc>
          <w:tcPr>
            <w:tcW w:w="1782" w:type="dxa"/>
            <w:tcBorders>
              <w:top w:val="nil"/>
              <w:left w:val="nil"/>
              <w:bottom w:val="single" w:sz="6" w:space="0" w:color="auto"/>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1.1</w:t>
            </w:r>
          </w:p>
        </w:tc>
        <w:tc>
          <w:tcPr>
            <w:tcW w:w="1781" w:type="dxa"/>
            <w:tcBorders>
              <w:top w:val="nil"/>
              <w:left w:val="nil"/>
              <w:bottom w:val="single" w:sz="6" w:space="0" w:color="auto"/>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-2.5</w:t>
            </w:r>
          </w:p>
        </w:tc>
        <w:tc>
          <w:tcPr>
            <w:tcW w:w="1782" w:type="dxa"/>
            <w:tcBorders>
              <w:top w:val="nil"/>
              <w:left w:val="nil"/>
              <w:bottom w:val="single" w:sz="6" w:space="0" w:color="auto"/>
              <w:right w:val="nil"/>
            </w:tcBorders>
            <w:shd w:val="solid" w:color="FFFFFF" w:fill="auto"/>
          </w:tcPr>
          <w:p w:rsidR="00C42551" w:rsidRPr="00551409" w:rsidRDefault="00C42551" w:rsidP="0087065C">
            <w:pPr>
              <w:autoSpaceDE w:val="0"/>
              <w:autoSpaceDN w:val="0"/>
              <w:adjustRightInd w:val="0"/>
              <w:spacing w:after="0" w:line="240" w:lineRule="auto"/>
              <w:jc w:val="center"/>
              <w:rPr>
                <w:rFonts w:ascii="Palatino Linotype" w:hAnsi="Palatino Linotype" w:cs="Calibri Light"/>
                <w:color w:val="000000"/>
                <w:sz w:val="20"/>
                <w:szCs w:val="20"/>
                <w:lang w:val="en-US"/>
              </w:rPr>
            </w:pPr>
            <w:r w:rsidRPr="00551409">
              <w:rPr>
                <w:rFonts w:ascii="Palatino Linotype" w:hAnsi="Palatino Linotype" w:cs="Calibri Light"/>
                <w:color w:val="000000"/>
                <w:sz w:val="20"/>
                <w:szCs w:val="20"/>
                <w:lang w:val="en-US"/>
              </w:rPr>
              <w:t>-0.5</w:t>
            </w:r>
          </w:p>
        </w:tc>
      </w:tr>
    </w:tbl>
    <w:p w:rsidR="00C42551" w:rsidRPr="00551409" w:rsidRDefault="009952D1" w:rsidP="00C42551">
      <w:pPr>
        <w:spacing w:after="240" w:line="276" w:lineRule="auto"/>
        <w:rPr>
          <w:rFonts w:ascii="Palatino Linotype" w:hAnsi="Palatino Linotype"/>
          <w:lang w:val="en-US"/>
        </w:rPr>
      </w:pPr>
      <w:r w:rsidRPr="00551409">
        <w:rPr>
          <w:rFonts w:ascii="Palatino Linotype" w:hAnsi="Palatino Linotype"/>
          <w:b/>
          <w:bCs/>
          <w:lang w:val="en-US"/>
        </w:rPr>
        <w:t>Source</w:t>
      </w:r>
      <w:r w:rsidR="00C42551" w:rsidRPr="00551409">
        <w:rPr>
          <w:rFonts w:ascii="Palatino Linotype" w:hAnsi="Palatino Linotype"/>
          <w:b/>
          <w:bCs/>
          <w:lang w:val="en-US"/>
        </w:rPr>
        <w:t>:</w:t>
      </w:r>
      <w:r w:rsidR="00C42551" w:rsidRPr="00551409">
        <w:rPr>
          <w:rFonts w:ascii="Palatino Linotype" w:hAnsi="Palatino Linotype"/>
          <w:lang w:val="en-US"/>
        </w:rPr>
        <w:t xml:space="preserve"> </w:t>
      </w:r>
      <w:proofErr w:type="spellStart"/>
      <w:r w:rsidR="00C42551" w:rsidRPr="00551409">
        <w:rPr>
          <w:rFonts w:ascii="Palatino Linotype" w:hAnsi="Palatino Linotype"/>
          <w:lang w:val="en-US"/>
        </w:rPr>
        <w:t>Betam</w:t>
      </w:r>
      <w:proofErr w:type="spellEnd"/>
    </w:p>
    <w:p w:rsidR="009952D1" w:rsidRPr="00551409" w:rsidRDefault="009952D1" w:rsidP="00C42551">
      <w:pPr>
        <w:spacing w:after="240" w:line="276" w:lineRule="auto"/>
        <w:jc w:val="both"/>
        <w:rPr>
          <w:rFonts w:ascii="Palatino Linotype" w:hAnsi="Palatino Linotype"/>
          <w:lang w:val="en-US"/>
        </w:rPr>
      </w:pPr>
      <w:r w:rsidRPr="00551409">
        <w:rPr>
          <w:rFonts w:ascii="Palatino Linotype" w:hAnsi="Palatino Linotype"/>
          <w:lang w:val="en-US"/>
        </w:rPr>
        <w:t xml:space="preserve"> When we analyze the TFP growth rates of the sectors according to broad periodization, we see that agricultural TFP increases in every period except the 1981-1989 period. In the 1990-2002 and 2003-2013 periods, TFP grows by 1.5% on annual average in the agriculture sector while the 2014-2018 period witnesses more rapid growth rate of 3.1%. In the 2003-2007 subperiod and the 2014-2018 period, declines in agricultural employment drives the TFP increases (Agricultural employment falls 3.4% and 3.5% on annual average in these periods respectively). This situation points to the fact that there is a hidden unemployment in the agricultural sector. Employment loses in the agriculture do not cause output declines, and the labor shift</w:t>
      </w:r>
      <w:r w:rsidR="0018741B" w:rsidRPr="00551409">
        <w:rPr>
          <w:rFonts w:ascii="Palatino Linotype" w:hAnsi="Palatino Linotype"/>
          <w:lang w:val="en-US"/>
        </w:rPr>
        <w:t>ed</w:t>
      </w:r>
      <w:r w:rsidRPr="00551409">
        <w:rPr>
          <w:rFonts w:ascii="Palatino Linotype" w:hAnsi="Palatino Linotype"/>
          <w:lang w:val="en-US"/>
        </w:rPr>
        <w:t xml:space="preserve"> from rural areas to</w:t>
      </w:r>
      <w:r w:rsidR="0018741B" w:rsidRPr="00551409">
        <w:rPr>
          <w:rFonts w:ascii="Palatino Linotype" w:hAnsi="Palatino Linotype"/>
          <w:lang w:val="en-US"/>
        </w:rPr>
        <w:t xml:space="preserve"> urban centers become more active in the economy. Another surprising observation is that, during the crisis years of 2008-2010 agricultural employment increases by 5.2%, and this increase is reflected as an output increase of 5.5%.</w:t>
      </w:r>
    </w:p>
    <w:p w:rsidR="00C42551" w:rsidRPr="00551409" w:rsidRDefault="005A24DC" w:rsidP="00C42551">
      <w:pPr>
        <w:spacing w:after="240" w:line="276" w:lineRule="auto"/>
        <w:jc w:val="both"/>
        <w:rPr>
          <w:rFonts w:ascii="Palatino Linotype" w:hAnsi="Palatino Linotype"/>
          <w:lang w:val="en-US"/>
        </w:rPr>
      </w:pPr>
      <w:r w:rsidRPr="00551409">
        <w:rPr>
          <w:rFonts w:ascii="Palatino Linotype" w:hAnsi="Palatino Linotype"/>
          <w:lang w:val="en-US"/>
        </w:rPr>
        <w:t xml:space="preserve">TFP growth in the industry is considerably high during the 1981-1989 period with a 4.5% annual average increase. The 2011-2013 subperiod records a rapid growth rate of industrial TFP with 4.6%. Except the years of Global Financial Crisis, industrial TFP increases in every period while its performance is quite low in the 90s. A curious point is that industrial TFP growth rates converges to the 90s sluggish figures. This situation is a sign that </w:t>
      </w:r>
      <w:r w:rsidR="0008000A" w:rsidRPr="00551409">
        <w:rPr>
          <w:rFonts w:ascii="Palatino Linotype" w:hAnsi="Palatino Linotype"/>
          <w:lang w:val="en-US"/>
        </w:rPr>
        <w:t>a technological advancement is needed immediately in the industry sector.</w:t>
      </w:r>
    </w:p>
    <w:p w:rsidR="00353AF4" w:rsidRPr="00551409" w:rsidRDefault="0008000A" w:rsidP="00BA6B8A">
      <w:pPr>
        <w:spacing w:after="240" w:line="276" w:lineRule="auto"/>
        <w:jc w:val="both"/>
        <w:rPr>
          <w:rFonts w:ascii="Palatino Linotype" w:hAnsi="Palatino Linotype"/>
          <w:lang w:val="en-US"/>
        </w:rPr>
      </w:pPr>
      <w:r w:rsidRPr="00551409">
        <w:rPr>
          <w:rFonts w:ascii="Palatino Linotype" w:hAnsi="Palatino Linotype"/>
          <w:lang w:val="en-US"/>
        </w:rPr>
        <w:t xml:space="preserve">The construction is the most volatile sector in terms of both sectoral GDP and TFP growth rates. Economic crisis hit hard the construction sector while it achieves phenomenal growth rates during the economic booms. The volatility in the sectoral GDP is mainly caused by the volatility of the sectoral TFP because employment and capital stock </w:t>
      </w:r>
      <w:r w:rsidR="003611AC" w:rsidRPr="00551409">
        <w:rPr>
          <w:rFonts w:ascii="Palatino Linotype" w:hAnsi="Palatino Linotype"/>
          <w:lang w:val="en-US"/>
        </w:rPr>
        <w:t>gains</w:t>
      </w:r>
      <w:r w:rsidRPr="00551409">
        <w:rPr>
          <w:rFonts w:ascii="Palatino Linotype" w:hAnsi="Palatino Linotype"/>
          <w:lang w:val="en-US"/>
        </w:rPr>
        <w:t xml:space="preserve"> are more stable. The construction TFP increases by 3.2% on annual average in the 1981-1989 period and declines by 1.9% in the 1990-2002 period. The years between 2003-2013 record 4.8% annual growth rate and the sector contracts at 2.5% annual average rate in the 2014-2018 period.</w:t>
      </w:r>
    </w:p>
    <w:p w:rsidR="0008000A" w:rsidRPr="00551409" w:rsidRDefault="0008000A" w:rsidP="00BA6B8A">
      <w:pPr>
        <w:spacing w:after="240" w:line="276" w:lineRule="auto"/>
        <w:jc w:val="both"/>
        <w:rPr>
          <w:rFonts w:ascii="Palatino Linotype" w:hAnsi="Palatino Linotype"/>
          <w:lang w:val="en-US"/>
        </w:rPr>
      </w:pPr>
      <w:r w:rsidRPr="00551409">
        <w:rPr>
          <w:rFonts w:ascii="Palatino Linotype" w:hAnsi="Palatino Linotype"/>
          <w:lang w:val="en-US"/>
        </w:rPr>
        <w:lastRenderedPageBreak/>
        <w:t xml:space="preserve">Services TFP contracts in all the periods. This situation is partly caused </w:t>
      </w:r>
      <w:r w:rsidR="005D2887" w:rsidRPr="00551409">
        <w:rPr>
          <w:rFonts w:ascii="Palatino Linotype" w:hAnsi="Palatino Linotype"/>
          <w:lang w:val="en-US"/>
        </w:rPr>
        <w:t xml:space="preserve">by the measurement problems of the value added in the education and health services because of the non-market characteristics of these sectors, and partly caused by aggregation of many different trades (from transportation to catering) into one item. However, the service sector is </w:t>
      </w:r>
      <w:r w:rsidR="003C2C54" w:rsidRPr="00551409">
        <w:rPr>
          <w:rFonts w:ascii="Palatino Linotype" w:hAnsi="Palatino Linotype"/>
          <w:lang w:val="en-US"/>
        </w:rPr>
        <w:t>crucially important for the rest of the economy because its value-added share is 63% and its employment share is 55%. Thus, shall Turkey escape from the middle-income trap there must be TFP increases in the service sector.</w:t>
      </w:r>
    </w:p>
    <w:p w:rsidR="00D706FF" w:rsidRPr="00551409" w:rsidRDefault="003C2C54" w:rsidP="002E536E">
      <w:pPr>
        <w:spacing w:before="240" w:after="60" w:line="276" w:lineRule="auto"/>
        <w:rPr>
          <w:rFonts w:ascii="Palatino Linotype" w:hAnsi="Palatino Linotype"/>
          <w:b/>
          <w:sz w:val="26"/>
          <w:szCs w:val="26"/>
          <w:lang w:val="en-US"/>
        </w:rPr>
      </w:pPr>
      <w:r w:rsidRPr="00551409">
        <w:rPr>
          <w:rFonts w:ascii="Palatino Linotype" w:hAnsi="Palatino Linotype"/>
          <w:b/>
          <w:sz w:val="26"/>
          <w:szCs w:val="26"/>
          <w:lang w:val="en-US"/>
        </w:rPr>
        <w:t>Contribution of TFP to Sectoral GDP Growths</w:t>
      </w:r>
    </w:p>
    <w:p w:rsidR="008D33BC" w:rsidRPr="00551409" w:rsidRDefault="008D33BC" w:rsidP="002E536E">
      <w:pPr>
        <w:spacing w:after="240" w:line="276" w:lineRule="auto"/>
        <w:jc w:val="both"/>
        <w:rPr>
          <w:rFonts w:ascii="Palatino Linotype" w:hAnsi="Palatino Linotype"/>
          <w:lang w:val="en-US"/>
        </w:rPr>
      </w:pPr>
      <w:r w:rsidRPr="00551409">
        <w:rPr>
          <w:rFonts w:ascii="Palatino Linotype" w:hAnsi="Palatino Linotype"/>
          <w:lang w:val="en-US"/>
        </w:rPr>
        <w:t>Table 5 presents</w:t>
      </w:r>
      <w:r w:rsidR="00D37EB8" w:rsidRPr="00551409">
        <w:rPr>
          <w:rFonts w:ascii="Palatino Linotype" w:hAnsi="Palatino Linotype"/>
          <w:lang w:val="en-US"/>
        </w:rPr>
        <w:t xml:space="preserve"> annual average</w:t>
      </w:r>
      <w:r w:rsidRPr="00551409">
        <w:rPr>
          <w:rFonts w:ascii="Palatino Linotype" w:hAnsi="Palatino Linotype"/>
          <w:lang w:val="en-US"/>
        </w:rPr>
        <w:t xml:space="preserve"> sectoral GDP contributions of capital stock, employment and TFP by sectors and by time periods. The contribution of the employment in the agriculture is generally negative because of the employment loses in the sector. </w:t>
      </w:r>
      <w:r w:rsidR="00705DE4">
        <w:rPr>
          <w:rFonts w:ascii="Palatino Linotype" w:hAnsi="Palatino Linotype"/>
          <w:lang w:val="en-US"/>
        </w:rPr>
        <w:t>Capital</w:t>
      </w:r>
      <w:r w:rsidRPr="00551409">
        <w:rPr>
          <w:rFonts w:ascii="Palatino Linotype" w:hAnsi="Palatino Linotype"/>
          <w:lang w:val="en-US"/>
        </w:rPr>
        <w:t xml:space="preserve"> </w:t>
      </w:r>
      <w:r w:rsidR="00705DE4">
        <w:rPr>
          <w:rFonts w:ascii="Palatino Linotype" w:hAnsi="Palatino Linotype"/>
          <w:lang w:val="en-US"/>
        </w:rPr>
        <w:t xml:space="preserve">stock </w:t>
      </w:r>
      <w:r w:rsidRPr="00551409">
        <w:rPr>
          <w:rFonts w:ascii="Palatino Linotype" w:hAnsi="Palatino Linotype"/>
          <w:lang w:val="en-US"/>
        </w:rPr>
        <w:t>make</w:t>
      </w:r>
      <w:r w:rsidR="00705DE4">
        <w:rPr>
          <w:rFonts w:ascii="Palatino Linotype" w:hAnsi="Palatino Linotype"/>
          <w:lang w:val="en-US"/>
        </w:rPr>
        <w:t>s</w:t>
      </w:r>
      <w:r w:rsidRPr="00551409">
        <w:rPr>
          <w:rFonts w:ascii="Palatino Linotype" w:hAnsi="Palatino Linotype"/>
          <w:lang w:val="en-US"/>
        </w:rPr>
        <w:t xml:space="preserve"> mild but stable contributions to the agricultural GDP growth while the contribution of the TFP surpasses contributions of the investments. The strongest TFP contribution happens in the 2014-2018 period with 3.1 percentage point. In the 1990-2002 and 2003-2013 periods, TFP supports sectoral growth by 1.5 percentage points. In the 1981-1989 period, TFP weighs down the sectoral growth by 0.6 percentage point.</w:t>
      </w:r>
    </w:p>
    <w:p w:rsidR="008D33BC" w:rsidRPr="00551409" w:rsidRDefault="008D33BC" w:rsidP="00E0502E">
      <w:pPr>
        <w:spacing w:after="240" w:line="276" w:lineRule="auto"/>
        <w:jc w:val="both"/>
        <w:rPr>
          <w:rFonts w:ascii="Palatino Linotype" w:hAnsi="Palatino Linotype"/>
          <w:lang w:val="en-US"/>
        </w:rPr>
      </w:pPr>
      <w:r w:rsidRPr="00551409">
        <w:rPr>
          <w:rFonts w:ascii="Palatino Linotype" w:hAnsi="Palatino Linotype"/>
          <w:lang w:val="en-US"/>
        </w:rPr>
        <w:t xml:space="preserve">The highest TFP contributions are recorded in the industry sector compared to the other sectors. The 1981-1989 and 2003-2013 periods are the </w:t>
      </w:r>
      <w:r w:rsidR="00D37EB8" w:rsidRPr="00551409">
        <w:rPr>
          <w:rFonts w:ascii="Palatino Linotype" w:hAnsi="Palatino Linotype"/>
          <w:lang w:val="en-US"/>
        </w:rPr>
        <w:t xml:space="preserve">considerably favorable years for the industrial sector. In these two periods the contributions of TFP to the growth are 4.5 percentage point and 2.1 percentage </w:t>
      </w:r>
      <w:proofErr w:type="gramStart"/>
      <w:r w:rsidR="00D37EB8" w:rsidRPr="00551409">
        <w:rPr>
          <w:rFonts w:ascii="Palatino Linotype" w:hAnsi="Palatino Linotype"/>
          <w:lang w:val="en-US"/>
        </w:rPr>
        <w:t>point</w:t>
      </w:r>
      <w:proofErr w:type="gramEnd"/>
      <w:r w:rsidR="00D37EB8" w:rsidRPr="00551409">
        <w:rPr>
          <w:rFonts w:ascii="Palatino Linotype" w:hAnsi="Palatino Linotype"/>
          <w:lang w:val="en-US"/>
        </w:rPr>
        <w:t xml:space="preserve"> respectively. The sectoral GDP growths are close to each other in these periods while the</w:t>
      </w:r>
      <w:r w:rsidR="003611AC" w:rsidRPr="00551409">
        <w:rPr>
          <w:rFonts w:ascii="Palatino Linotype" w:hAnsi="Palatino Linotype"/>
          <w:lang w:val="en-US"/>
        </w:rPr>
        <w:t>re is a</w:t>
      </w:r>
      <w:r w:rsidR="00D37EB8" w:rsidRPr="00551409">
        <w:rPr>
          <w:rFonts w:ascii="Palatino Linotype" w:hAnsi="Palatino Linotype"/>
          <w:lang w:val="en-US"/>
        </w:rPr>
        <w:t xml:space="preserve"> prominent difference between the</w:t>
      </w:r>
      <w:r w:rsidR="003611AC" w:rsidRPr="00551409">
        <w:rPr>
          <w:rFonts w:ascii="Palatino Linotype" w:hAnsi="Palatino Linotype"/>
          <w:lang w:val="en-US"/>
        </w:rPr>
        <w:t>m</w:t>
      </w:r>
      <w:r w:rsidR="00D37EB8" w:rsidRPr="00551409">
        <w:rPr>
          <w:rFonts w:ascii="Palatino Linotype" w:hAnsi="Palatino Linotype"/>
          <w:lang w:val="en-US"/>
        </w:rPr>
        <w:t xml:space="preserve">: The TFP contribution is higher than capital stock’s contribution in the former period and vice versa for the latter. In the 2014-2018 period, both sectoral growth and sectoral TFP increases slow down and TFP contributed only 1.1 percentage point. In the years between 1990 and 2002 the annual average TFP contribution is </w:t>
      </w:r>
      <w:r w:rsidR="00E73925" w:rsidRPr="00551409">
        <w:rPr>
          <w:rFonts w:ascii="Palatino Linotype" w:hAnsi="Palatino Linotype"/>
          <w:lang w:val="en-US"/>
        </w:rPr>
        <w:t>quite low with 0.9 percentage point.</w:t>
      </w:r>
    </w:p>
    <w:p w:rsidR="00E0502E" w:rsidRPr="00551409" w:rsidRDefault="00F41329" w:rsidP="00E0502E">
      <w:pPr>
        <w:spacing w:after="240" w:line="276" w:lineRule="auto"/>
        <w:jc w:val="both"/>
        <w:rPr>
          <w:rFonts w:ascii="Palatino Linotype" w:hAnsi="Palatino Linotype"/>
          <w:lang w:val="en-US"/>
        </w:rPr>
      </w:pPr>
      <w:r w:rsidRPr="00551409">
        <w:rPr>
          <w:rFonts w:ascii="Palatino Linotype" w:hAnsi="Palatino Linotype"/>
          <w:lang w:val="en-US"/>
        </w:rPr>
        <w:t xml:space="preserve">In the construction sector, employment and capital stock gains contribute to the sectoral growth in a stable manner. TFP contribution to the growth is volatile in </w:t>
      </w:r>
      <w:r w:rsidR="003611AC" w:rsidRPr="00551409">
        <w:rPr>
          <w:rFonts w:ascii="Palatino Linotype" w:hAnsi="Palatino Linotype"/>
          <w:lang w:val="en-US"/>
        </w:rPr>
        <w:t>line with</w:t>
      </w:r>
      <w:r w:rsidRPr="00551409">
        <w:rPr>
          <w:rFonts w:ascii="Palatino Linotype" w:hAnsi="Palatino Linotype"/>
          <w:lang w:val="en-US"/>
        </w:rPr>
        <w:t xml:space="preserve"> the fluctuating TFP growth rates. According to broad periodization, in the 2003-2013 period TFP contributes to the sectoral GDP by 4.8 percentage point. This is the highest contribution rate of the TFP compared to other time periods. The 1981-1989 period is the second according to TFP contribution (3.2 percentage point). In the 2014-2018 period, sectoral growth slows down considerably (4.2%) and the main reason is that the TFP weighs down the growth by 2.5 percentage point. In the 2003-2007 subperiod, TFP contribution is record high with 10 percentage point and for the years between 2011 and 2013 this figure is 7.1 percentage point.</w:t>
      </w:r>
    </w:p>
    <w:p w:rsidR="00272635" w:rsidRPr="00551409" w:rsidRDefault="00F41329" w:rsidP="00BA6B8A">
      <w:pPr>
        <w:spacing w:after="240" w:line="276" w:lineRule="auto"/>
        <w:jc w:val="both"/>
        <w:rPr>
          <w:rFonts w:ascii="Palatino Linotype" w:hAnsi="Palatino Linotype"/>
          <w:lang w:val="en-US"/>
        </w:rPr>
      </w:pPr>
      <w:r w:rsidRPr="00551409">
        <w:rPr>
          <w:rFonts w:ascii="Palatino Linotype" w:hAnsi="Palatino Linotype"/>
          <w:lang w:val="en-US"/>
        </w:rPr>
        <w:t xml:space="preserve">Although employment and capital stock </w:t>
      </w:r>
      <w:r w:rsidR="003611AC" w:rsidRPr="00551409">
        <w:rPr>
          <w:rFonts w:ascii="Palatino Linotype" w:hAnsi="Palatino Linotype"/>
          <w:lang w:val="en-US"/>
        </w:rPr>
        <w:t xml:space="preserve">make </w:t>
      </w:r>
      <w:r w:rsidRPr="00551409">
        <w:rPr>
          <w:rFonts w:ascii="Palatino Linotype" w:hAnsi="Palatino Linotype"/>
          <w:lang w:val="en-US"/>
        </w:rPr>
        <w:t xml:space="preserve">positive contributions to the services GDP growth, TFP </w:t>
      </w:r>
      <w:r w:rsidR="006732BB">
        <w:rPr>
          <w:rFonts w:ascii="Palatino Linotype" w:hAnsi="Palatino Linotype"/>
          <w:lang w:val="en-US"/>
        </w:rPr>
        <w:t>contribution is negative</w:t>
      </w:r>
      <w:r w:rsidRPr="00551409">
        <w:rPr>
          <w:rFonts w:ascii="Palatino Linotype" w:hAnsi="Palatino Linotype"/>
          <w:lang w:val="en-US"/>
        </w:rPr>
        <w:t>. Only in the 2011-2013 subperiod TFP contributes positively (0.2 percentage point).</w:t>
      </w:r>
      <w:r w:rsidR="00272635" w:rsidRPr="00551409">
        <w:rPr>
          <w:rFonts w:ascii="Palatino Linotype" w:hAnsi="Palatino Linotype"/>
          <w:lang w:val="en-US"/>
        </w:rPr>
        <w:t xml:space="preserve"> The lowest TFP contribution is recorded in the 1990-2002 </w:t>
      </w:r>
      <w:r w:rsidR="00272635" w:rsidRPr="00551409">
        <w:rPr>
          <w:rFonts w:ascii="Palatino Linotype" w:hAnsi="Palatino Linotype"/>
          <w:lang w:val="en-US"/>
        </w:rPr>
        <w:lastRenderedPageBreak/>
        <w:t>period with minus 2.3 percentage point. In the 1981-1989 period this figure is minus 0.8 percentage point while in the 2003-2013 period TFP weighs down the sectoral growth by 1.2 percentage point. In the years between 2014 and 2018, the effect of TFP on the services sector remains limited with minus 0.5 percentage point contribution.</w:t>
      </w:r>
    </w:p>
    <w:p w:rsidR="00513393" w:rsidRPr="00551409" w:rsidRDefault="00513393" w:rsidP="00BA6B8A">
      <w:pPr>
        <w:spacing w:after="240" w:line="276" w:lineRule="auto"/>
        <w:jc w:val="both"/>
        <w:rPr>
          <w:rFonts w:ascii="Palatino Linotype" w:hAnsi="Palatino Linotype"/>
          <w:lang w:val="en-US"/>
        </w:rPr>
      </w:pPr>
      <w:r w:rsidRPr="00551409">
        <w:rPr>
          <w:rFonts w:ascii="Palatino Linotype" w:hAnsi="Palatino Linotype"/>
          <w:b/>
          <w:bCs/>
          <w:lang w:val="en-US"/>
        </w:rPr>
        <w:t>Tabl</w:t>
      </w:r>
      <w:r w:rsidR="001D4D8E" w:rsidRPr="00551409">
        <w:rPr>
          <w:rFonts w:ascii="Palatino Linotype" w:hAnsi="Palatino Linotype"/>
          <w:b/>
          <w:bCs/>
          <w:lang w:val="en-US"/>
        </w:rPr>
        <w:t>e</w:t>
      </w:r>
      <w:r w:rsidRPr="00551409">
        <w:rPr>
          <w:rFonts w:ascii="Palatino Linotype" w:hAnsi="Palatino Linotype"/>
          <w:b/>
          <w:bCs/>
          <w:lang w:val="en-US"/>
        </w:rPr>
        <w:t xml:space="preserve"> 5: </w:t>
      </w:r>
      <w:r w:rsidR="00272635" w:rsidRPr="00551409">
        <w:rPr>
          <w:rFonts w:ascii="Palatino Linotype" w:hAnsi="Palatino Linotype"/>
          <w:b/>
          <w:bCs/>
          <w:lang w:val="en-US"/>
        </w:rPr>
        <w:t>Contributions to Sectoral Growth Rates (Percentage Points)</w:t>
      </w:r>
    </w:p>
    <w:p w:rsidR="00513393" w:rsidRPr="00551409" w:rsidRDefault="00385C7C" w:rsidP="00513393">
      <w:pPr>
        <w:spacing w:after="0" w:line="240" w:lineRule="auto"/>
        <w:rPr>
          <w:b/>
          <w:lang w:val="en-US"/>
        </w:rPr>
      </w:pPr>
      <w:r w:rsidRPr="00551409">
        <w:rPr>
          <w:noProof/>
          <w:lang w:val="en-US"/>
        </w:rPr>
        <w:drawing>
          <wp:inline distT="0" distB="0" distL="0" distR="0">
            <wp:extent cx="5760720" cy="340550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405505"/>
                    </a:xfrm>
                    <a:prstGeom prst="rect">
                      <a:avLst/>
                    </a:prstGeom>
                    <a:noFill/>
                    <a:ln>
                      <a:noFill/>
                    </a:ln>
                  </pic:spPr>
                </pic:pic>
              </a:graphicData>
            </a:graphic>
          </wp:inline>
        </w:drawing>
      </w:r>
    </w:p>
    <w:p w:rsidR="00513393" w:rsidRPr="00551409" w:rsidRDefault="00385C7C" w:rsidP="00BA6B8A">
      <w:pPr>
        <w:spacing w:after="240" w:line="276" w:lineRule="auto"/>
        <w:rPr>
          <w:rFonts w:ascii="Palatino Linotype" w:hAnsi="Palatino Linotype"/>
          <w:lang w:val="en-US"/>
        </w:rPr>
      </w:pPr>
      <w:r w:rsidRPr="00551409">
        <w:rPr>
          <w:rFonts w:ascii="Palatino Linotype" w:hAnsi="Palatino Linotype"/>
          <w:b/>
          <w:bCs/>
          <w:lang w:val="en-US"/>
        </w:rPr>
        <w:t>Source</w:t>
      </w:r>
      <w:r w:rsidR="00513393" w:rsidRPr="00551409">
        <w:rPr>
          <w:rFonts w:ascii="Palatino Linotype" w:hAnsi="Palatino Linotype"/>
          <w:b/>
          <w:bCs/>
          <w:lang w:val="en-US"/>
        </w:rPr>
        <w:t>:</w:t>
      </w:r>
      <w:r w:rsidR="00513393" w:rsidRPr="00551409">
        <w:rPr>
          <w:rFonts w:ascii="Palatino Linotype" w:hAnsi="Palatino Linotype"/>
          <w:lang w:val="en-US"/>
        </w:rPr>
        <w:t xml:space="preserve"> </w:t>
      </w:r>
      <w:proofErr w:type="spellStart"/>
      <w:r w:rsidR="00882400" w:rsidRPr="00551409">
        <w:rPr>
          <w:rFonts w:ascii="Palatino Linotype" w:hAnsi="Palatino Linotype"/>
          <w:lang w:val="en-US"/>
        </w:rPr>
        <w:t>B</w:t>
      </w:r>
      <w:r w:rsidR="00E042FC" w:rsidRPr="00551409">
        <w:rPr>
          <w:rFonts w:ascii="Palatino Linotype" w:hAnsi="Palatino Linotype"/>
          <w:lang w:val="en-US"/>
        </w:rPr>
        <w:t>etam</w:t>
      </w:r>
      <w:proofErr w:type="spellEnd"/>
    </w:p>
    <w:p w:rsidR="00513393" w:rsidRPr="00551409" w:rsidRDefault="00513393" w:rsidP="00513393">
      <w:pPr>
        <w:spacing w:line="240" w:lineRule="auto"/>
        <w:rPr>
          <w:lang w:val="en-US"/>
        </w:rPr>
      </w:pPr>
    </w:p>
    <w:p w:rsidR="0029385B" w:rsidRPr="00551409" w:rsidRDefault="00385C7C" w:rsidP="0029385B">
      <w:pPr>
        <w:spacing w:before="240" w:after="60" w:line="276" w:lineRule="auto"/>
        <w:jc w:val="both"/>
        <w:rPr>
          <w:rFonts w:ascii="Palatino Linotype" w:hAnsi="Palatino Linotype"/>
          <w:b/>
          <w:bCs/>
          <w:sz w:val="26"/>
          <w:szCs w:val="26"/>
          <w:lang w:val="en-US"/>
        </w:rPr>
      </w:pPr>
      <w:r w:rsidRPr="00551409">
        <w:rPr>
          <w:rFonts w:ascii="Palatino Linotype" w:hAnsi="Palatino Linotype"/>
          <w:b/>
          <w:bCs/>
          <w:sz w:val="26"/>
          <w:szCs w:val="26"/>
          <w:lang w:val="en-US"/>
        </w:rPr>
        <w:t>References</w:t>
      </w:r>
      <w:r w:rsidR="0029385B" w:rsidRPr="00551409">
        <w:rPr>
          <w:rFonts w:ascii="Palatino Linotype" w:hAnsi="Palatino Linotype"/>
          <w:b/>
          <w:bCs/>
          <w:sz w:val="26"/>
          <w:szCs w:val="26"/>
          <w:lang w:val="en-US"/>
        </w:rPr>
        <w:t>:</w:t>
      </w:r>
    </w:p>
    <w:p w:rsidR="00513393" w:rsidRPr="0028701D" w:rsidRDefault="0029385B" w:rsidP="0029385B">
      <w:pPr>
        <w:pStyle w:val="ListeParagraf"/>
        <w:numPr>
          <w:ilvl w:val="0"/>
          <w:numId w:val="1"/>
        </w:numPr>
        <w:spacing w:after="240" w:line="276" w:lineRule="auto"/>
        <w:jc w:val="both"/>
        <w:rPr>
          <w:rFonts w:ascii="Palatino Linotype" w:hAnsi="Palatino Linotype"/>
          <w:lang w:val="en-US"/>
        </w:rPr>
      </w:pPr>
      <w:proofErr w:type="spellStart"/>
      <w:r w:rsidRPr="00551409">
        <w:rPr>
          <w:rFonts w:ascii="Palatino Linotype" w:hAnsi="Palatino Linotype"/>
          <w:lang w:val="en-US"/>
        </w:rPr>
        <w:t>Bakış</w:t>
      </w:r>
      <w:proofErr w:type="spellEnd"/>
      <w:r w:rsidRPr="00551409">
        <w:rPr>
          <w:rFonts w:ascii="Palatino Linotype" w:hAnsi="Palatino Linotype"/>
          <w:lang w:val="en-US"/>
        </w:rPr>
        <w:t xml:space="preserve">, O. </w:t>
      </w:r>
      <w:r w:rsidR="0028701D">
        <w:rPr>
          <w:rFonts w:ascii="Palatino Linotype" w:hAnsi="Palatino Linotype"/>
          <w:lang w:val="en-US"/>
        </w:rPr>
        <w:t>and</w:t>
      </w:r>
      <w:r w:rsidRPr="00551409">
        <w:rPr>
          <w:rFonts w:ascii="Palatino Linotype" w:hAnsi="Palatino Linotype"/>
          <w:lang w:val="en-US"/>
        </w:rPr>
        <w:t xml:space="preserve"> </w:t>
      </w:r>
      <w:proofErr w:type="spellStart"/>
      <w:r w:rsidRPr="00551409">
        <w:rPr>
          <w:rFonts w:ascii="Palatino Linotype" w:hAnsi="Palatino Linotype"/>
          <w:lang w:val="en-US"/>
        </w:rPr>
        <w:t>Acar</w:t>
      </w:r>
      <w:proofErr w:type="spellEnd"/>
      <w:r w:rsidRPr="00551409">
        <w:rPr>
          <w:rFonts w:ascii="Palatino Linotype" w:hAnsi="Palatino Linotype"/>
          <w:lang w:val="en-US"/>
        </w:rPr>
        <w:t xml:space="preserve">, U. (2020): </w:t>
      </w:r>
      <w:proofErr w:type="spellStart"/>
      <w:r w:rsidRPr="00551409">
        <w:rPr>
          <w:rFonts w:ascii="Palatino Linotype" w:hAnsi="Palatino Linotype"/>
          <w:lang w:val="en-US"/>
        </w:rPr>
        <w:t>Türkiye</w:t>
      </w:r>
      <w:proofErr w:type="spellEnd"/>
      <w:r w:rsidRPr="00551409">
        <w:rPr>
          <w:rFonts w:ascii="Palatino Linotype" w:hAnsi="Palatino Linotype"/>
          <w:lang w:val="en-US"/>
        </w:rPr>
        <w:t xml:space="preserve"> </w:t>
      </w:r>
      <w:proofErr w:type="spellStart"/>
      <w:r w:rsidRPr="00551409">
        <w:rPr>
          <w:rFonts w:ascii="Palatino Linotype" w:hAnsi="Palatino Linotype"/>
          <w:lang w:val="en-US"/>
        </w:rPr>
        <w:t>Ekonomisinde</w:t>
      </w:r>
      <w:proofErr w:type="spellEnd"/>
      <w:r w:rsidRPr="00551409">
        <w:rPr>
          <w:rFonts w:ascii="Palatino Linotype" w:hAnsi="Palatino Linotype"/>
          <w:lang w:val="en-US"/>
        </w:rPr>
        <w:t xml:space="preserve"> </w:t>
      </w:r>
      <w:proofErr w:type="spellStart"/>
      <w:r w:rsidRPr="00551409">
        <w:rPr>
          <w:rFonts w:ascii="Palatino Linotype" w:hAnsi="Palatino Linotype"/>
          <w:lang w:val="en-US"/>
        </w:rPr>
        <w:t>Toplam</w:t>
      </w:r>
      <w:proofErr w:type="spellEnd"/>
      <w:r w:rsidRPr="00551409">
        <w:rPr>
          <w:rFonts w:ascii="Palatino Linotype" w:hAnsi="Palatino Linotype"/>
          <w:lang w:val="en-US"/>
        </w:rPr>
        <w:t xml:space="preserve"> </w:t>
      </w:r>
      <w:proofErr w:type="spellStart"/>
      <w:r w:rsidRPr="00551409">
        <w:rPr>
          <w:rFonts w:ascii="Palatino Linotype" w:hAnsi="Palatino Linotype"/>
          <w:lang w:val="en-US"/>
        </w:rPr>
        <w:t>Faktör</w:t>
      </w:r>
      <w:proofErr w:type="spellEnd"/>
      <w:r w:rsidRPr="00551409">
        <w:rPr>
          <w:rFonts w:ascii="Palatino Linotype" w:hAnsi="Palatino Linotype"/>
          <w:lang w:val="en-US"/>
        </w:rPr>
        <w:t xml:space="preserve"> </w:t>
      </w:r>
      <w:proofErr w:type="spellStart"/>
      <w:r w:rsidRPr="00551409">
        <w:rPr>
          <w:rFonts w:ascii="Palatino Linotype" w:hAnsi="Palatino Linotype"/>
          <w:lang w:val="en-US"/>
        </w:rPr>
        <w:t>Verimliliğinin</w:t>
      </w:r>
      <w:proofErr w:type="spellEnd"/>
      <w:r w:rsidRPr="00551409">
        <w:rPr>
          <w:rFonts w:ascii="Palatino Linotype" w:hAnsi="Palatino Linotype"/>
          <w:lang w:val="en-US"/>
        </w:rPr>
        <w:t xml:space="preserve"> </w:t>
      </w:r>
      <w:proofErr w:type="spellStart"/>
      <w:r w:rsidRPr="00551409">
        <w:rPr>
          <w:rFonts w:ascii="Palatino Linotype" w:hAnsi="Palatino Linotype"/>
          <w:lang w:val="en-US"/>
        </w:rPr>
        <w:t>Seyri</w:t>
      </w:r>
      <w:proofErr w:type="spellEnd"/>
      <w:r w:rsidRPr="00551409">
        <w:rPr>
          <w:rFonts w:ascii="Palatino Linotype" w:hAnsi="Palatino Linotype"/>
          <w:lang w:val="en-US"/>
        </w:rPr>
        <w:t xml:space="preserve">: </w:t>
      </w:r>
      <w:proofErr w:type="spellStart"/>
      <w:r w:rsidRPr="00551409">
        <w:rPr>
          <w:rFonts w:ascii="Palatino Linotype" w:hAnsi="Palatino Linotype"/>
          <w:lang w:val="en-US"/>
        </w:rPr>
        <w:t>Sektörel</w:t>
      </w:r>
      <w:proofErr w:type="spellEnd"/>
      <w:r w:rsidRPr="00551409">
        <w:rPr>
          <w:rFonts w:ascii="Palatino Linotype" w:hAnsi="Palatino Linotype"/>
          <w:lang w:val="en-US"/>
        </w:rPr>
        <w:t xml:space="preserve"> </w:t>
      </w:r>
      <w:proofErr w:type="spellStart"/>
      <w:r w:rsidRPr="00551409">
        <w:rPr>
          <w:rFonts w:ascii="Palatino Linotype" w:hAnsi="Palatino Linotype"/>
          <w:lang w:val="en-US"/>
        </w:rPr>
        <w:t>Bakış</w:t>
      </w:r>
      <w:proofErr w:type="spellEnd"/>
      <w:r w:rsidRPr="00551409">
        <w:rPr>
          <w:rFonts w:ascii="Palatino Linotype" w:hAnsi="Palatino Linotype"/>
          <w:lang w:val="en-US"/>
        </w:rPr>
        <w:t xml:space="preserve">, </w:t>
      </w:r>
      <w:proofErr w:type="spellStart"/>
      <w:r w:rsidRPr="00551409">
        <w:rPr>
          <w:rFonts w:ascii="Palatino Linotype" w:hAnsi="Palatino Linotype"/>
          <w:lang w:val="en-US"/>
        </w:rPr>
        <w:t>Betam</w:t>
      </w:r>
      <w:proofErr w:type="spellEnd"/>
      <w:r w:rsidRPr="00551409">
        <w:rPr>
          <w:rFonts w:ascii="Palatino Linotype" w:hAnsi="Palatino Linotype"/>
          <w:lang w:val="en-US"/>
        </w:rPr>
        <w:t xml:space="preserve"> </w:t>
      </w:r>
      <w:proofErr w:type="spellStart"/>
      <w:r w:rsidRPr="00551409">
        <w:rPr>
          <w:rFonts w:ascii="Palatino Linotype" w:hAnsi="Palatino Linotype"/>
          <w:lang w:val="en-US"/>
        </w:rPr>
        <w:t>Çalışma</w:t>
      </w:r>
      <w:proofErr w:type="spellEnd"/>
      <w:r w:rsidRPr="00551409">
        <w:rPr>
          <w:rFonts w:ascii="Palatino Linotype" w:hAnsi="Palatino Linotype"/>
          <w:lang w:val="en-US"/>
        </w:rPr>
        <w:t xml:space="preserve"> </w:t>
      </w:r>
      <w:proofErr w:type="spellStart"/>
      <w:r w:rsidRPr="00551409">
        <w:rPr>
          <w:rFonts w:ascii="Palatino Linotype" w:hAnsi="Palatino Linotype"/>
          <w:lang w:val="en-US"/>
        </w:rPr>
        <w:t>Tebliği</w:t>
      </w:r>
      <w:proofErr w:type="spellEnd"/>
      <w:r w:rsidRPr="00551409">
        <w:rPr>
          <w:rFonts w:ascii="Palatino Linotype" w:hAnsi="Palatino Linotype"/>
          <w:lang w:val="en-US"/>
        </w:rPr>
        <w:t xml:space="preserve"> No. 19 </w:t>
      </w:r>
      <w:r w:rsidRPr="00551409">
        <w:rPr>
          <w:rFonts w:ascii="Palatino Linotype" w:hAnsi="Palatino Linotype"/>
          <w:i/>
          <w:iCs/>
          <w:lang w:val="en-US"/>
        </w:rPr>
        <w:t>(</w:t>
      </w:r>
      <w:proofErr w:type="spellStart"/>
      <w:r w:rsidRPr="00551409">
        <w:rPr>
          <w:rFonts w:ascii="Palatino Linotype" w:hAnsi="Palatino Linotype"/>
          <w:i/>
          <w:iCs/>
          <w:lang w:val="en-US"/>
        </w:rPr>
        <w:t>yakında</w:t>
      </w:r>
      <w:proofErr w:type="spellEnd"/>
      <w:r w:rsidRPr="00551409">
        <w:rPr>
          <w:rFonts w:ascii="Palatino Linotype" w:hAnsi="Palatino Linotype"/>
          <w:i/>
          <w:iCs/>
          <w:lang w:val="en-US"/>
        </w:rPr>
        <w:t xml:space="preserve"> </w:t>
      </w:r>
      <w:proofErr w:type="spellStart"/>
      <w:r w:rsidRPr="00551409">
        <w:rPr>
          <w:rFonts w:ascii="Palatino Linotype" w:hAnsi="Palatino Linotype"/>
          <w:i/>
          <w:iCs/>
          <w:lang w:val="en-US"/>
        </w:rPr>
        <w:t>yayınlacak</w:t>
      </w:r>
      <w:proofErr w:type="spellEnd"/>
      <w:r w:rsidRPr="00551409">
        <w:rPr>
          <w:rFonts w:ascii="Palatino Linotype" w:hAnsi="Palatino Linotype"/>
          <w:i/>
          <w:iCs/>
          <w:lang w:val="en-US"/>
        </w:rPr>
        <w:t>)</w:t>
      </w:r>
    </w:p>
    <w:p w:rsidR="0028701D" w:rsidRPr="0028701D" w:rsidRDefault="0028701D" w:rsidP="0028701D">
      <w:pPr>
        <w:pStyle w:val="ListeParagraf"/>
        <w:numPr>
          <w:ilvl w:val="0"/>
          <w:numId w:val="1"/>
        </w:numPr>
        <w:spacing w:after="240" w:line="276" w:lineRule="auto"/>
        <w:jc w:val="both"/>
        <w:rPr>
          <w:rFonts w:ascii="Palatino Linotype" w:hAnsi="Palatino Linotype"/>
          <w:lang w:val="en-US"/>
        </w:rPr>
      </w:pPr>
      <w:r w:rsidRPr="0028701D">
        <w:rPr>
          <w:rFonts w:ascii="Palatino Linotype" w:hAnsi="Palatino Linotype"/>
          <w:lang w:val="en-US"/>
        </w:rPr>
        <w:t xml:space="preserve">Foerster, A., </w:t>
      </w:r>
      <w:proofErr w:type="spellStart"/>
      <w:r w:rsidRPr="0028701D">
        <w:rPr>
          <w:rFonts w:ascii="Palatino Linotype" w:hAnsi="Palatino Linotype"/>
          <w:lang w:val="en-US"/>
        </w:rPr>
        <w:t>Hornstein</w:t>
      </w:r>
      <w:proofErr w:type="spellEnd"/>
      <w:r w:rsidRPr="0028701D">
        <w:rPr>
          <w:rFonts w:ascii="Palatino Linotype" w:hAnsi="Palatino Linotype"/>
          <w:lang w:val="en-US"/>
        </w:rPr>
        <w:t xml:space="preserve">, A., </w:t>
      </w:r>
      <w:proofErr w:type="spellStart"/>
      <w:r w:rsidRPr="0028701D">
        <w:rPr>
          <w:rFonts w:ascii="Palatino Linotype" w:hAnsi="Palatino Linotype"/>
          <w:lang w:val="en-US"/>
        </w:rPr>
        <w:t>Sarte</w:t>
      </w:r>
      <w:proofErr w:type="spellEnd"/>
      <w:r w:rsidRPr="0028701D">
        <w:rPr>
          <w:rFonts w:ascii="Palatino Linotype" w:hAnsi="Palatino Linotype"/>
          <w:lang w:val="en-US"/>
        </w:rPr>
        <w:t xml:space="preserve">, P.D., </w:t>
      </w:r>
      <w:r w:rsidR="00997970">
        <w:rPr>
          <w:rFonts w:ascii="Palatino Linotype" w:hAnsi="Palatino Linotype"/>
          <w:lang w:val="en-US"/>
        </w:rPr>
        <w:t>and</w:t>
      </w:r>
      <w:r w:rsidRPr="0028701D">
        <w:rPr>
          <w:rFonts w:ascii="Palatino Linotype" w:hAnsi="Palatino Linotype"/>
          <w:lang w:val="en-US"/>
        </w:rPr>
        <w:t xml:space="preserve"> Watson, M.W. (2019). Aggregate Implications of Changing Sectoral Trends (No. w25867). National Bureau of Economic Research.</w:t>
      </w:r>
    </w:p>
    <w:p w:rsidR="00412729" w:rsidRPr="00551409" w:rsidRDefault="00412729" w:rsidP="0029385B">
      <w:pPr>
        <w:pStyle w:val="ListeParagraf"/>
        <w:numPr>
          <w:ilvl w:val="0"/>
          <w:numId w:val="1"/>
        </w:numPr>
        <w:spacing w:after="240" w:line="276" w:lineRule="auto"/>
        <w:jc w:val="both"/>
        <w:rPr>
          <w:rFonts w:ascii="Palatino Linotype" w:hAnsi="Palatino Linotype"/>
          <w:lang w:val="en-US"/>
        </w:rPr>
      </w:pPr>
      <w:proofErr w:type="spellStart"/>
      <w:r w:rsidRPr="00551409">
        <w:rPr>
          <w:rFonts w:ascii="Palatino Linotype" w:hAnsi="Palatino Linotype"/>
          <w:lang w:val="en-US"/>
        </w:rPr>
        <w:t>Hulten</w:t>
      </w:r>
      <w:proofErr w:type="spellEnd"/>
      <w:r w:rsidRPr="00551409">
        <w:rPr>
          <w:rFonts w:ascii="Palatino Linotype" w:hAnsi="Palatino Linotype"/>
          <w:lang w:val="en-US"/>
        </w:rPr>
        <w:t>, C</w:t>
      </w:r>
      <w:r w:rsidR="00997970">
        <w:rPr>
          <w:rFonts w:ascii="Palatino Linotype" w:hAnsi="Palatino Linotype"/>
          <w:lang w:val="en-US"/>
        </w:rPr>
        <w:t xml:space="preserve">. </w:t>
      </w:r>
      <w:r w:rsidRPr="00551409">
        <w:rPr>
          <w:rFonts w:ascii="Palatino Linotype" w:hAnsi="Palatino Linotype"/>
          <w:lang w:val="en-US"/>
        </w:rPr>
        <w:t xml:space="preserve">R., </w:t>
      </w:r>
      <w:r w:rsidR="00997970">
        <w:rPr>
          <w:rFonts w:ascii="Palatino Linotype" w:hAnsi="Palatino Linotype"/>
          <w:lang w:val="en-US"/>
        </w:rPr>
        <w:t>and</w:t>
      </w:r>
      <w:r w:rsidRPr="00551409">
        <w:rPr>
          <w:rFonts w:ascii="Palatino Linotype" w:hAnsi="Palatino Linotype"/>
          <w:lang w:val="en-US"/>
        </w:rPr>
        <w:t xml:space="preserve"> Wykoff</w:t>
      </w:r>
      <w:r w:rsidR="00997970">
        <w:rPr>
          <w:rFonts w:ascii="Palatino Linotype" w:hAnsi="Palatino Linotype"/>
          <w:lang w:val="en-US"/>
        </w:rPr>
        <w:t>, F.C.</w:t>
      </w:r>
      <w:r w:rsidRPr="00551409">
        <w:rPr>
          <w:rFonts w:ascii="Palatino Linotype" w:hAnsi="Palatino Linotype"/>
          <w:lang w:val="en-US"/>
        </w:rPr>
        <w:t xml:space="preserve"> (1981). The measurement of economic depreciation. In </w:t>
      </w:r>
      <w:proofErr w:type="spellStart"/>
      <w:r w:rsidRPr="00551409">
        <w:rPr>
          <w:rFonts w:ascii="Palatino Linotype" w:hAnsi="Palatino Linotype"/>
          <w:lang w:val="en-US"/>
        </w:rPr>
        <w:t>Hulten</w:t>
      </w:r>
      <w:proofErr w:type="spellEnd"/>
      <w:r w:rsidRPr="00551409">
        <w:rPr>
          <w:rFonts w:ascii="Palatino Linotype" w:hAnsi="Palatino Linotype"/>
          <w:lang w:val="en-US"/>
        </w:rPr>
        <w:t>, C</w:t>
      </w:r>
      <w:r w:rsidR="00997970">
        <w:rPr>
          <w:rFonts w:ascii="Palatino Linotype" w:hAnsi="Palatino Linotype"/>
          <w:lang w:val="en-US"/>
        </w:rPr>
        <w:t>.</w:t>
      </w:r>
      <w:r w:rsidRPr="00551409">
        <w:rPr>
          <w:rFonts w:ascii="Palatino Linotype" w:hAnsi="Palatino Linotype"/>
          <w:lang w:val="en-US"/>
        </w:rPr>
        <w:t xml:space="preserve"> R. (Ed.). </w:t>
      </w:r>
      <w:r w:rsidRPr="00551409">
        <w:rPr>
          <w:rFonts w:ascii="Palatino Linotype" w:hAnsi="Palatino Linotype"/>
          <w:i/>
          <w:iCs/>
          <w:lang w:val="en-US"/>
        </w:rPr>
        <w:t>Depreciation, inflation &amp; the taxation of income from capital</w:t>
      </w:r>
      <w:r w:rsidRPr="00551409">
        <w:rPr>
          <w:rFonts w:ascii="Palatino Linotype" w:hAnsi="Palatino Linotype"/>
          <w:lang w:val="en-US"/>
        </w:rPr>
        <w:t xml:space="preserve"> (pp. 81-125. Urban Institute Press.</w:t>
      </w:r>
    </w:p>
    <w:p w:rsidR="00412729" w:rsidRDefault="00412729" w:rsidP="00385C7C">
      <w:pPr>
        <w:pStyle w:val="ListeParagraf"/>
        <w:numPr>
          <w:ilvl w:val="0"/>
          <w:numId w:val="1"/>
        </w:numPr>
        <w:spacing w:after="240" w:line="276" w:lineRule="auto"/>
        <w:jc w:val="both"/>
        <w:rPr>
          <w:rFonts w:ascii="Palatino Linotype" w:hAnsi="Palatino Linotype"/>
          <w:lang w:val="en-US"/>
        </w:rPr>
      </w:pPr>
      <w:r w:rsidRPr="00551409">
        <w:rPr>
          <w:rFonts w:ascii="Palatino Linotype" w:hAnsi="Palatino Linotype"/>
          <w:lang w:val="en-US"/>
        </w:rPr>
        <w:t xml:space="preserve">Jorgenson, D. W. (1996). Empirical studies of depreciation. </w:t>
      </w:r>
      <w:r w:rsidRPr="00551409">
        <w:rPr>
          <w:rFonts w:ascii="Palatino Linotype" w:hAnsi="Palatino Linotype"/>
          <w:i/>
          <w:iCs/>
          <w:lang w:val="en-US"/>
        </w:rPr>
        <w:t>Economic inquiry</w:t>
      </w:r>
      <w:r w:rsidRPr="00551409">
        <w:rPr>
          <w:rFonts w:ascii="Palatino Linotype" w:hAnsi="Palatino Linotype"/>
          <w:lang w:val="en-US"/>
        </w:rPr>
        <w:t>, 34(1), 24-42.</w:t>
      </w:r>
    </w:p>
    <w:p w:rsidR="0028701D" w:rsidRDefault="0028701D" w:rsidP="00385C7C">
      <w:pPr>
        <w:pStyle w:val="ListeParagraf"/>
        <w:numPr>
          <w:ilvl w:val="0"/>
          <w:numId w:val="1"/>
        </w:numPr>
        <w:spacing w:after="240" w:line="276" w:lineRule="auto"/>
        <w:jc w:val="both"/>
        <w:rPr>
          <w:rFonts w:ascii="Palatino Linotype" w:hAnsi="Palatino Linotype"/>
          <w:lang w:val="en-US"/>
        </w:rPr>
      </w:pPr>
      <w:proofErr w:type="spellStart"/>
      <w:r w:rsidRPr="0028701D">
        <w:rPr>
          <w:rFonts w:ascii="Palatino Linotype" w:hAnsi="Palatino Linotype"/>
          <w:lang w:val="en-US"/>
        </w:rPr>
        <w:t>Kets</w:t>
      </w:r>
      <w:proofErr w:type="spellEnd"/>
      <w:r w:rsidRPr="0028701D">
        <w:rPr>
          <w:rFonts w:ascii="Palatino Linotype" w:hAnsi="Palatino Linotype"/>
          <w:lang w:val="en-US"/>
        </w:rPr>
        <w:t xml:space="preserve">, W. </w:t>
      </w:r>
      <w:r w:rsidR="00997970">
        <w:rPr>
          <w:rFonts w:ascii="Palatino Linotype" w:hAnsi="Palatino Linotype"/>
          <w:lang w:val="en-US"/>
        </w:rPr>
        <w:t>and</w:t>
      </w:r>
      <w:r w:rsidRPr="0028701D">
        <w:rPr>
          <w:rFonts w:ascii="Palatino Linotype" w:hAnsi="Palatino Linotype"/>
          <w:lang w:val="en-US"/>
        </w:rPr>
        <w:t xml:space="preserve"> </w:t>
      </w:r>
      <w:proofErr w:type="spellStart"/>
      <w:r w:rsidRPr="0028701D">
        <w:rPr>
          <w:rFonts w:ascii="Palatino Linotype" w:hAnsi="Palatino Linotype"/>
          <w:lang w:val="en-US"/>
        </w:rPr>
        <w:t>Lejour</w:t>
      </w:r>
      <w:proofErr w:type="spellEnd"/>
      <w:r w:rsidRPr="0028701D">
        <w:rPr>
          <w:rFonts w:ascii="Palatino Linotype" w:hAnsi="Palatino Linotype"/>
          <w:lang w:val="en-US"/>
        </w:rPr>
        <w:t>, A. (2003). Sectoral TFP developments in the OECD (No. 58). CPB Netherlands Bureau for Economic Policy Analysis.</w:t>
      </w:r>
    </w:p>
    <w:sectPr w:rsidR="002870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4B80" w:rsidRDefault="001B4B80" w:rsidP="007A29A1">
      <w:pPr>
        <w:spacing w:after="0" w:line="240" w:lineRule="auto"/>
      </w:pPr>
      <w:r>
        <w:separator/>
      </w:r>
    </w:p>
  </w:endnote>
  <w:endnote w:type="continuationSeparator" w:id="0">
    <w:p w:rsidR="001B4B80" w:rsidRDefault="001B4B80" w:rsidP="007A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4B80" w:rsidRDefault="001B4B80" w:rsidP="007A29A1">
      <w:pPr>
        <w:spacing w:after="0" w:line="240" w:lineRule="auto"/>
      </w:pPr>
      <w:r>
        <w:separator/>
      </w:r>
    </w:p>
  </w:footnote>
  <w:footnote w:type="continuationSeparator" w:id="0">
    <w:p w:rsidR="001B4B80" w:rsidRDefault="001B4B80" w:rsidP="007A29A1">
      <w:pPr>
        <w:spacing w:after="0" w:line="240" w:lineRule="auto"/>
      </w:pPr>
      <w:r>
        <w:continuationSeparator/>
      </w:r>
    </w:p>
  </w:footnote>
  <w:footnote w:id="1">
    <w:p w:rsidR="0087065C" w:rsidRPr="00437F3F" w:rsidRDefault="0087065C" w:rsidP="00437514">
      <w:pPr>
        <w:pStyle w:val="DipnotMetni"/>
        <w:jc w:val="both"/>
        <w:rPr>
          <w:rFonts w:ascii="Times New Roman" w:hAnsi="Times New Roman" w:cs="Times New Roman"/>
          <w:lang w:val="en-US"/>
        </w:rPr>
      </w:pPr>
      <w:r w:rsidRPr="009A57EA">
        <w:rPr>
          <w:rStyle w:val="DipnotBavurusu"/>
        </w:rPr>
        <w:sym w:font="Symbol" w:char="F023"/>
      </w:r>
      <w:r>
        <w:t xml:space="preserve"> </w:t>
      </w:r>
      <w:r w:rsidR="00437F3F" w:rsidRPr="009C6082">
        <w:rPr>
          <w:rFonts w:ascii="Times New Roman" w:hAnsi="Times New Roman" w:cs="Times New Roman"/>
          <w:lang w:val="en-US"/>
        </w:rPr>
        <w:t>We are thankful to Prof. Dr. Seyfettin Gürsel for his suggestions and directions in the preparation of this research brief.</w:t>
      </w:r>
    </w:p>
  </w:footnote>
  <w:footnote w:id="2">
    <w:p w:rsidR="0087065C" w:rsidRPr="00437F3F" w:rsidRDefault="0087065C" w:rsidP="00437514">
      <w:pPr>
        <w:pStyle w:val="DipnotMetni"/>
        <w:jc w:val="both"/>
        <w:rPr>
          <w:rFonts w:ascii="Times New Roman" w:hAnsi="Times New Roman" w:cs="Times New Roman"/>
          <w:lang w:val="en-US"/>
        </w:rPr>
      </w:pPr>
      <w:r w:rsidRPr="00437F3F">
        <w:rPr>
          <w:rStyle w:val="DipnotBavurusu"/>
          <w:rFonts w:ascii="Times New Roman" w:hAnsi="Times New Roman" w:cs="Times New Roman"/>
          <w:lang w:val="en-US"/>
        </w:rPr>
        <w:t>*</w:t>
      </w:r>
      <w:r w:rsidRPr="00437F3F">
        <w:rPr>
          <w:rFonts w:ascii="Times New Roman" w:hAnsi="Times New Roman" w:cs="Times New Roman"/>
          <w:lang w:val="en-US"/>
        </w:rPr>
        <w:t xml:space="preserve"> Ozan </w:t>
      </w:r>
      <w:proofErr w:type="spellStart"/>
      <w:r w:rsidRPr="00437F3F">
        <w:rPr>
          <w:rFonts w:ascii="Times New Roman" w:hAnsi="Times New Roman" w:cs="Times New Roman"/>
          <w:lang w:val="en-US"/>
        </w:rPr>
        <w:t>Bakış</w:t>
      </w:r>
      <w:proofErr w:type="spellEnd"/>
      <w:r w:rsidRPr="00437F3F">
        <w:rPr>
          <w:rFonts w:ascii="Times New Roman" w:hAnsi="Times New Roman" w:cs="Times New Roman"/>
          <w:lang w:val="en-US"/>
        </w:rPr>
        <w:t xml:space="preserve">, </w:t>
      </w:r>
      <w:proofErr w:type="spellStart"/>
      <w:r w:rsidRPr="00437F3F">
        <w:rPr>
          <w:rFonts w:ascii="Times New Roman" w:hAnsi="Times New Roman" w:cs="Times New Roman"/>
          <w:lang w:val="en-US"/>
        </w:rPr>
        <w:t>Betam</w:t>
      </w:r>
      <w:proofErr w:type="spellEnd"/>
      <w:r w:rsidRPr="00437F3F">
        <w:rPr>
          <w:rFonts w:ascii="Times New Roman" w:hAnsi="Times New Roman" w:cs="Times New Roman"/>
          <w:lang w:val="en-US"/>
        </w:rPr>
        <w:t xml:space="preserve">, </w:t>
      </w:r>
      <w:r w:rsidR="00437F3F" w:rsidRPr="00437F3F">
        <w:rPr>
          <w:rFonts w:ascii="Times New Roman" w:hAnsi="Times New Roman" w:cs="Times New Roman"/>
          <w:lang w:val="en-US"/>
        </w:rPr>
        <w:t>Senior Researcher</w:t>
      </w:r>
      <w:r w:rsidRPr="00437F3F">
        <w:rPr>
          <w:rFonts w:ascii="Times New Roman" w:hAnsi="Times New Roman" w:cs="Times New Roman"/>
          <w:lang w:val="en-US"/>
        </w:rPr>
        <w:t xml:space="preserve">, </w:t>
      </w:r>
      <w:hyperlink r:id="rId1" w:history="1">
        <w:r w:rsidRPr="00437F3F">
          <w:rPr>
            <w:rStyle w:val="Kpr"/>
            <w:rFonts w:ascii="Times New Roman" w:hAnsi="Times New Roman" w:cs="Times New Roman"/>
            <w:lang w:val="en-US"/>
          </w:rPr>
          <w:t>ozan.bakis@eas.bau.edu.tr</w:t>
        </w:r>
      </w:hyperlink>
      <w:r w:rsidRPr="00437F3F">
        <w:rPr>
          <w:rFonts w:ascii="Times New Roman" w:hAnsi="Times New Roman" w:cs="Times New Roman"/>
          <w:lang w:val="en-US"/>
        </w:rPr>
        <w:t xml:space="preserve"> </w:t>
      </w:r>
    </w:p>
  </w:footnote>
  <w:footnote w:id="3">
    <w:p w:rsidR="0087065C" w:rsidRPr="00437F3F" w:rsidRDefault="0087065C" w:rsidP="00437514">
      <w:pPr>
        <w:pStyle w:val="DipnotMetni"/>
        <w:jc w:val="both"/>
        <w:rPr>
          <w:rFonts w:ascii="Times New Roman" w:hAnsi="Times New Roman" w:cs="Times New Roman"/>
          <w:lang w:val="en-US"/>
        </w:rPr>
      </w:pPr>
      <w:r w:rsidRPr="00437F3F">
        <w:rPr>
          <w:rStyle w:val="DipnotBavurusu"/>
          <w:rFonts w:ascii="Times New Roman" w:hAnsi="Times New Roman" w:cs="Times New Roman"/>
          <w:lang w:val="en-US"/>
        </w:rPr>
        <w:t>**</w:t>
      </w:r>
      <w:r w:rsidRPr="00437F3F">
        <w:rPr>
          <w:rFonts w:ascii="Times New Roman" w:hAnsi="Times New Roman" w:cs="Times New Roman"/>
          <w:lang w:val="en-US"/>
        </w:rPr>
        <w:t xml:space="preserve"> </w:t>
      </w:r>
      <w:proofErr w:type="spellStart"/>
      <w:r w:rsidRPr="00437F3F">
        <w:rPr>
          <w:rFonts w:ascii="Times New Roman" w:hAnsi="Times New Roman" w:cs="Times New Roman"/>
          <w:lang w:val="en-US"/>
        </w:rPr>
        <w:t>Uğurcan</w:t>
      </w:r>
      <w:proofErr w:type="spellEnd"/>
      <w:r w:rsidRPr="00437F3F">
        <w:rPr>
          <w:rFonts w:ascii="Times New Roman" w:hAnsi="Times New Roman" w:cs="Times New Roman"/>
          <w:lang w:val="en-US"/>
        </w:rPr>
        <w:t xml:space="preserve"> </w:t>
      </w:r>
      <w:proofErr w:type="spellStart"/>
      <w:r w:rsidRPr="00437F3F">
        <w:rPr>
          <w:rFonts w:ascii="Times New Roman" w:hAnsi="Times New Roman" w:cs="Times New Roman"/>
          <w:lang w:val="en-US"/>
        </w:rPr>
        <w:t>Acar</w:t>
      </w:r>
      <w:proofErr w:type="spellEnd"/>
      <w:r w:rsidRPr="00437F3F">
        <w:rPr>
          <w:rFonts w:ascii="Times New Roman" w:hAnsi="Times New Roman" w:cs="Times New Roman"/>
          <w:lang w:val="en-US"/>
        </w:rPr>
        <w:t xml:space="preserve">, </w:t>
      </w:r>
      <w:proofErr w:type="spellStart"/>
      <w:r w:rsidRPr="00437F3F">
        <w:rPr>
          <w:rFonts w:ascii="Times New Roman" w:hAnsi="Times New Roman" w:cs="Times New Roman"/>
          <w:lang w:val="en-US"/>
        </w:rPr>
        <w:t>Betam</w:t>
      </w:r>
      <w:proofErr w:type="spellEnd"/>
      <w:r w:rsidRPr="00437F3F">
        <w:rPr>
          <w:rFonts w:ascii="Times New Roman" w:hAnsi="Times New Roman" w:cs="Times New Roman"/>
          <w:lang w:val="en-US"/>
        </w:rPr>
        <w:t xml:space="preserve">, </w:t>
      </w:r>
      <w:r w:rsidR="00437F3F" w:rsidRPr="00437F3F">
        <w:rPr>
          <w:rFonts w:ascii="Times New Roman" w:hAnsi="Times New Roman" w:cs="Times New Roman"/>
          <w:lang w:val="en-US"/>
        </w:rPr>
        <w:t>Research Assistant</w:t>
      </w:r>
      <w:r w:rsidRPr="00437F3F">
        <w:rPr>
          <w:rFonts w:ascii="Times New Roman" w:hAnsi="Times New Roman" w:cs="Times New Roman"/>
          <w:lang w:val="en-US"/>
        </w:rPr>
        <w:t xml:space="preserve">, </w:t>
      </w:r>
      <w:hyperlink r:id="rId2" w:history="1">
        <w:r w:rsidRPr="00437F3F">
          <w:rPr>
            <w:rStyle w:val="Kpr"/>
            <w:rFonts w:ascii="Times New Roman" w:hAnsi="Times New Roman" w:cs="Times New Roman"/>
            <w:lang w:val="en-US"/>
          </w:rPr>
          <w:t>ugurcan.acars@eas.bau.edu.tr</w:t>
        </w:r>
      </w:hyperlink>
    </w:p>
  </w:footnote>
  <w:footnote w:id="4">
    <w:p w:rsidR="0087065C" w:rsidRPr="00437F3F" w:rsidRDefault="0087065C" w:rsidP="00437514">
      <w:pPr>
        <w:pStyle w:val="DipnotMetni"/>
        <w:jc w:val="both"/>
        <w:rPr>
          <w:rFonts w:ascii="Times New Roman" w:hAnsi="Times New Roman" w:cs="Times New Roman"/>
          <w:lang w:val="en-US"/>
        </w:rPr>
      </w:pPr>
      <w:r w:rsidRPr="00437F3F">
        <w:rPr>
          <w:rStyle w:val="DipnotBavurusu"/>
          <w:rFonts w:ascii="Times New Roman" w:hAnsi="Times New Roman" w:cs="Times New Roman"/>
          <w:lang w:val="en-US"/>
        </w:rPr>
        <w:t>**</w:t>
      </w:r>
      <w:r w:rsidRPr="00437F3F">
        <w:rPr>
          <w:rFonts w:ascii="Times New Roman" w:hAnsi="Times New Roman" w:cs="Times New Roman"/>
          <w:lang w:val="en-US"/>
        </w:rPr>
        <w:t xml:space="preserve"> Gökhan Dilek, </w:t>
      </w:r>
      <w:proofErr w:type="spellStart"/>
      <w:r w:rsidRPr="00437F3F">
        <w:rPr>
          <w:rFonts w:ascii="Times New Roman" w:hAnsi="Times New Roman" w:cs="Times New Roman"/>
          <w:lang w:val="en-US"/>
        </w:rPr>
        <w:t>Betam</w:t>
      </w:r>
      <w:proofErr w:type="spellEnd"/>
      <w:r w:rsidRPr="00437F3F">
        <w:rPr>
          <w:rFonts w:ascii="Times New Roman" w:hAnsi="Times New Roman" w:cs="Times New Roman"/>
          <w:lang w:val="en-US"/>
        </w:rPr>
        <w:t xml:space="preserve">, </w:t>
      </w:r>
      <w:r w:rsidR="00437F3F" w:rsidRPr="00437F3F">
        <w:rPr>
          <w:rFonts w:ascii="Times New Roman" w:hAnsi="Times New Roman" w:cs="Times New Roman"/>
          <w:lang w:val="en-US"/>
        </w:rPr>
        <w:t>Research Assistant</w:t>
      </w:r>
      <w:r w:rsidRPr="00437F3F">
        <w:rPr>
          <w:rFonts w:ascii="Times New Roman" w:hAnsi="Times New Roman" w:cs="Times New Roman"/>
          <w:lang w:val="en-US"/>
        </w:rPr>
        <w:t xml:space="preserve">, </w:t>
      </w:r>
      <w:hyperlink r:id="rId3" w:history="1">
        <w:r w:rsidRPr="00437F3F">
          <w:rPr>
            <w:rStyle w:val="Kpr"/>
            <w:rFonts w:ascii="Times New Roman" w:hAnsi="Times New Roman" w:cs="Times New Roman"/>
            <w:lang w:val="en-US"/>
          </w:rPr>
          <w:t>gokhan.dilek@eas.bau.edu.tr</w:t>
        </w:r>
      </w:hyperlink>
    </w:p>
  </w:footnote>
  <w:footnote w:id="5">
    <w:p w:rsidR="0087065C" w:rsidRPr="00D57039" w:rsidRDefault="0087065C">
      <w:pPr>
        <w:pStyle w:val="DipnotMetni"/>
        <w:rPr>
          <w:lang w:val="en-US"/>
        </w:rPr>
      </w:pPr>
      <w:r w:rsidRPr="00D57039">
        <w:rPr>
          <w:rStyle w:val="DipnotBavurusu"/>
          <w:lang w:val="en-US"/>
        </w:rPr>
        <w:footnoteRef/>
      </w:r>
      <w:r w:rsidRPr="00D57039">
        <w:rPr>
          <w:lang w:val="en-US"/>
        </w:rPr>
        <w:t xml:space="preserve"> </w:t>
      </w:r>
      <w:r w:rsidRPr="009C6082">
        <w:rPr>
          <w:rFonts w:ascii="Times New Roman" w:hAnsi="Times New Roman" w:cs="Times New Roman"/>
          <w:lang w:val="en-US"/>
        </w:rPr>
        <w:t xml:space="preserve">These periods are: </w:t>
      </w:r>
      <w:r w:rsidRPr="00D57039">
        <w:rPr>
          <w:rFonts w:ascii="Times New Roman" w:hAnsi="Times New Roman" w:cs="Times New Roman"/>
          <w:lang w:val="en-US"/>
        </w:rPr>
        <w:t>1980-1989, 1990-2002, 2003-2013</w:t>
      </w:r>
      <w:r>
        <w:rPr>
          <w:rFonts w:ascii="Times New Roman" w:hAnsi="Times New Roman" w:cs="Times New Roman"/>
          <w:lang w:val="en-US"/>
        </w:rPr>
        <w:t>,</w:t>
      </w:r>
      <w:r w:rsidRPr="00D57039">
        <w:rPr>
          <w:rFonts w:ascii="Times New Roman" w:hAnsi="Times New Roman" w:cs="Times New Roman"/>
          <w:lang w:val="en-US"/>
        </w:rPr>
        <w:t xml:space="preserve"> </w:t>
      </w:r>
      <w:r>
        <w:rPr>
          <w:rFonts w:ascii="Times New Roman" w:hAnsi="Times New Roman" w:cs="Times New Roman"/>
          <w:lang w:val="en-US"/>
        </w:rPr>
        <w:t>and</w:t>
      </w:r>
      <w:r w:rsidRPr="00D57039">
        <w:rPr>
          <w:rFonts w:ascii="Times New Roman" w:hAnsi="Times New Roman" w:cs="Times New Roman"/>
          <w:lang w:val="en-US"/>
        </w:rPr>
        <w:t xml:space="preserve"> 2014-2018. </w:t>
      </w:r>
      <w:r>
        <w:rPr>
          <w:rFonts w:ascii="Times New Roman" w:hAnsi="Times New Roman" w:cs="Times New Roman"/>
          <w:lang w:val="en-US"/>
        </w:rPr>
        <w:t>More</w:t>
      </w:r>
      <w:r w:rsidRPr="00D57039">
        <w:rPr>
          <w:rFonts w:ascii="Times New Roman" w:hAnsi="Times New Roman" w:cs="Times New Roman"/>
          <w:lang w:val="en-US"/>
        </w:rPr>
        <w:t xml:space="preserve"> detailed </w:t>
      </w:r>
      <w:r>
        <w:rPr>
          <w:rFonts w:ascii="Times New Roman" w:hAnsi="Times New Roman" w:cs="Times New Roman"/>
          <w:lang w:val="en-US"/>
        </w:rPr>
        <w:t xml:space="preserve">information could be found in the forthcoming </w:t>
      </w:r>
      <w:proofErr w:type="spellStart"/>
      <w:r>
        <w:rPr>
          <w:rFonts w:ascii="Times New Roman" w:hAnsi="Times New Roman" w:cs="Times New Roman"/>
          <w:lang w:val="en-US"/>
        </w:rPr>
        <w:t>Betam</w:t>
      </w:r>
      <w:proofErr w:type="spellEnd"/>
      <w:r>
        <w:rPr>
          <w:rFonts w:ascii="Times New Roman" w:hAnsi="Times New Roman" w:cs="Times New Roman"/>
          <w:lang w:val="en-US"/>
        </w:rPr>
        <w:t xml:space="preserve"> TFP Working Paper </w:t>
      </w:r>
      <w:r w:rsidRPr="00D57039">
        <w:rPr>
          <w:rFonts w:ascii="Times New Roman" w:hAnsi="Times New Roman" w:cs="Times New Roman"/>
          <w:lang w:val="en-US"/>
        </w:rPr>
        <w:t>(</w:t>
      </w:r>
      <w:proofErr w:type="spellStart"/>
      <w:r w:rsidRPr="00D57039">
        <w:rPr>
          <w:rFonts w:ascii="Times New Roman" w:hAnsi="Times New Roman" w:cs="Times New Roman"/>
          <w:lang w:val="en-US"/>
        </w:rPr>
        <w:t>Bakış</w:t>
      </w:r>
      <w:proofErr w:type="spellEnd"/>
      <w:r w:rsidRPr="00D57039">
        <w:rPr>
          <w:rFonts w:ascii="Times New Roman" w:hAnsi="Times New Roman" w:cs="Times New Roman"/>
          <w:lang w:val="en-US"/>
        </w:rPr>
        <w:t xml:space="preserve"> </w:t>
      </w:r>
      <w:r>
        <w:rPr>
          <w:rFonts w:ascii="Times New Roman" w:hAnsi="Times New Roman" w:cs="Times New Roman"/>
          <w:lang w:val="en-US"/>
        </w:rPr>
        <w:t>and</w:t>
      </w:r>
      <w:r w:rsidRPr="00D57039">
        <w:rPr>
          <w:rFonts w:ascii="Times New Roman" w:hAnsi="Times New Roman" w:cs="Times New Roman"/>
          <w:lang w:val="en-US"/>
        </w:rPr>
        <w:t xml:space="preserve"> </w:t>
      </w:r>
      <w:proofErr w:type="spellStart"/>
      <w:r w:rsidRPr="00D57039">
        <w:rPr>
          <w:rFonts w:ascii="Times New Roman" w:hAnsi="Times New Roman" w:cs="Times New Roman"/>
          <w:lang w:val="en-US"/>
        </w:rPr>
        <w:t>Acar</w:t>
      </w:r>
      <w:proofErr w:type="spellEnd"/>
      <w:r w:rsidRPr="00D57039">
        <w:rPr>
          <w:rFonts w:ascii="Times New Roman" w:hAnsi="Times New Roman" w:cs="Times New Roman"/>
          <w:lang w:val="en-US"/>
        </w:rPr>
        <w:t>, 2020).</w:t>
      </w:r>
    </w:p>
  </w:footnote>
  <w:footnote w:id="6">
    <w:p w:rsidR="0087065C" w:rsidRPr="001C1700" w:rsidRDefault="0087065C">
      <w:pPr>
        <w:pStyle w:val="DipnotMetni"/>
        <w:rPr>
          <w:lang w:val="tr-TR"/>
        </w:rPr>
      </w:pPr>
      <w:r>
        <w:rPr>
          <w:rStyle w:val="DipnotBavurusu"/>
        </w:rPr>
        <w:footnoteRef/>
      </w:r>
      <w:r>
        <w:t xml:space="preserve"> </w:t>
      </w:r>
      <w:r w:rsidRPr="00D57039">
        <w:rPr>
          <w:rFonts w:ascii="Times New Roman" w:hAnsi="Times New Roman" w:cs="Times New Roman"/>
          <w:lang w:val="en-US"/>
        </w:rPr>
        <w:t xml:space="preserve">For more detailed information on the derivation of sectoral employment data see </w:t>
      </w:r>
      <w:proofErr w:type="spellStart"/>
      <w:r w:rsidRPr="00D57039">
        <w:rPr>
          <w:rFonts w:ascii="Times New Roman" w:hAnsi="Times New Roman" w:cs="Times New Roman"/>
          <w:lang w:val="en-US"/>
        </w:rPr>
        <w:t>Bakış</w:t>
      </w:r>
      <w:proofErr w:type="spellEnd"/>
      <w:r w:rsidRPr="00D57039">
        <w:rPr>
          <w:rFonts w:ascii="Times New Roman" w:hAnsi="Times New Roman" w:cs="Times New Roman"/>
          <w:lang w:val="en-US"/>
        </w:rPr>
        <w:t xml:space="preserve"> and </w:t>
      </w:r>
      <w:proofErr w:type="spellStart"/>
      <w:r w:rsidRPr="00D57039">
        <w:rPr>
          <w:rFonts w:ascii="Times New Roman" w:hAnsi="Times New Roman" w:cs="Times New Roman"/>
          <w:lang w:val="en-US"/>
        </w:rPr>
        <w:t>Acar</w:t>
      </w:r>
      <w:proofErr w:type="spellEnd"/>
      <w:r w:rsidRPr="00D57039">
        <w:rPr>
          <w:rFonts w:ascii="Times New Roman" w:hAnsi="Times New Roman" w:cs="Times New Roman"/>
          <w:lang w:val="en-US"/>
        </w:rPr>
        <w:t xml:space="preserve"> (2020).</w:t>
      </w:r>
    </w:p>
  </w:footnote>
  <w:footnote w:id="7">
    <w:p w:rsidR="0087065C" w:rsidRPr="000D42BA" w:rsidRDefault="0087065C" w:rsidP="00437514">
      <w:pPr>
        <w:pStyle w:val="DipnotMetni"/>
        <w:jc w:val="both"/>
        <w:rPr>
          <w:rFonts w:ascii="Times New Roman" w:hAnsi="Times New Roman" w:cs="Times New Roman"/>
          <w:lang w:val="en-US"/>
        </w:rPr>
      </w:pPr>
      <w:r w:rsidRPr="00437514">
        <w:rPr>
          <w:rStyle w:val="DipnotBavurusu"/>
          <w:rFonts w:ascii="Times New Roman" w:hAnsi="Times New Roman" w:cs="Times New Roman"/>
          <w:lang w:val="tr-TR"/>
        </w:rPr>
        <w:footnoteRef/>
      </w:r>
      <w:r w:rsidRPr="00437514">
        <w:rPr>
          <w:rFonts w:ascii="Times New Roman" w:hAnsi="Times New Roman" w:cs="Times New Roman"/>
          <w:lang w:val="tr-TR"/>
        </w:rPr>
        <w:t xml:space="preserve"> </w:t>
      </w:r>
      <w:r w:rsidRPr="000D42BA">
        <w:rPr>
          <w:rFonts w:ascii="Times New Roman" w:hAnsi="Times New Roman" w:cs="Times New Roman"/>
          <w:lang w:val="en-US"/>
        </w:rPr>
        <w:t xml:space="preserve">For more detailed information see </w:t>
      </w:r>
      <w:proofErr w:type="spellStart"/>
      <w:r w:rsidRPr="000D42BA">
        <w:rPr>
          <w:rFonts w:ascii="Times New Roman" w:hAnsi="Times New Roman" w:cs="Times New Roman"/>
          <w:lang w:val="en-US"/>
        </w:rPr>
        <w:t>Bakış</w:t>
      </w:r>
      <w:proofErr w:type="spellEnd"/>
      <w:r w:rsidRPr="000D42BA">
        <w:rPr>
          <w:rFonts w:ascii="Times New Roman" w:hAnsi="Times New Roman" w:cs="Times New Roman"/>
          <w:lang w:val="en-US"/>
        </w:rPr>
        <w:t xml:space="preserve"> and </w:t>
      </w:r>
      <w:proofErr w:type="spellStart"/>
      <w:r w:rsidRPr="000D42BA">
        <w:rPr>
          <w:rFonts w:ascii="Times New Roman" w:hAnsi="Times New Roman" w:cs="Times New Roman"/>
          <w:lang w:val="en-US"/>
        </w:rPr>
        <w:t>Acar</w:t>
      </w:r>
      <w:proofErr w:type="spellEnd"/>
      <w:r w:rsidR="001B413F">
        <w:rPr>
          <w:rFonts w:ascii="Times New Roman" w:hAnsi="Times New Roman" w:cs="Times New Roman"/>
          <w:lang w:val="en-US"/>
        </w:rPr>
        <w:t xml:space="preserve"> (</w:t>
      </w:r>
      <w:r w:rsidRPr="000D42BA">
        <w:rPr>
          <w:rFonts w:ascii="Times New Roman" w:hAnsi="Times New Roman" w:cs="Times New Roman"/>
          <w:lang w:val="en-US"/>
        </w:rPr>
        <w:t>2020).</w:t>
      </w:r>
    </w:p>
  </w:footnote>
  <w:footnote w:id="8">
    <w:p w:rsidR="0087065C" w:rsidRPr="001460DE" w:rsidRDefault="0087065C" w:rsidP="00437514">
      <w:pPr>
        <w:pStyle w:val="DipnotMetni"/>
        <w:jc w:val="both"/>
        <w:rPr>
          <w:rFonts w:ascii="Times New Roman" w:hAnsi="Times New Roman" w:cs="Times New Roman"/>
          <w:lang w:val="en-US"/>
        </w:rPr>
      </w:pPr>
      <w:r w:rsidRPr="00437514">
        <w:rPr>
          <w:rStyle w:val="DipnotBavurusu"/>
          <w:rFonts w:ascii="Times New Roman" w:hAnsi="Times New Roman" w:cs="Times New Roman"/>
        </w:rPr>
        <w:footnoteRef/>
      </w:r>
      <w:r w:rsidRPr="00437514">
        <w:rPr>
          <w:rFonts w:ascii="Times New Roman" w:hAnsi="Times New Roman" w:cs="Times New Roman"/>
        </w:rPr>
        <w:t xml:space="preserve"> </w:t>
      </w:r>
      <w:r w:rsidR="001460DE" w:rsidRPr="001460DE">
        <w:rPr>
          <w:rFonts w:ascii="Times New Roman" w:hAnsi="Times New Roman" w:cs="Times New Roman"/>
          <w:lang w:val="en-US"/>
        </w:rPr>
        <w:t xml:space="preserve">Detailed information on the calculation of each series for each sector is presented in the forthcoming </w:t>
      </w:r>
      <w:proofErr w:type="spellStart"/>
      <w:r w:rsidR="001460DE" w:rsidRPr="001460DE">
        <w:rPr>
          <w:rFonts w:ascii="Times New Roman" w:hAnsi="Times New Roman" w:cs="Times New Roman"/>
          <w:lang w:val="en-US"/>
        </w:rPr>
        <w:t>Betam</w:t>
      </w:r>
      <w:proofErr w:type="spellEnd"/>
      <w:r w:rsidR="001460DE" w:rsidRPr="001460DE">
        <w:rPr>
          <w:rFonts w:ascii="Times New Roman" w:hAnsi="Times New Roman" w:cs="Times New Roman"/>
          <w:lang w:val="en-US"/>
        </w:rPr>
        <w:t xml:space="preserve"> TFP Working Paper (</w:t>
      </w:r>
      <w:proofErr w:type="spellStart"/>
      <w:r w:rsidR="001460DE" w:rsidRPr="001460DE">
        <w:rPr>
          <w:rFonts w:ascii="Times New Roman" w:hAnsi="Times New Roman" w:cs="Times New Roman"/>
          <w:lang w:val="en-US"/>
        </w:rPr>
        <w:t>Bakış</w:t>
      </w:r>
      <w:proofErr w:type="spellEnd"/>
      <w:r w:rsidR="001460DE" w:rsidRPr="001460DE">
        <w:rPr>
          <w:rFonts w:ascii="Times New Roman" w:hAnsi="Times New Roman" w:cs="Times New Roman"/>
          <w:lang w:val="en-US"/>
        </w:rPr>
        <w:t xml:space="preserve"> and </w:t>
      </w:r>
      <w:proofErr w:type="spellStart"/>
      <w:r w:rsidR="001460DE" w:rsidRPr="001460DE">
        <w:rPr>
          <w:rFonts w:ascii="Times New Roman" w:hAnsi="Times New Roman" w:cs="Times New Roman"/>
          <w:lang w:val="en-US"/>
        </w:rPr>
        <w:t>Acar</w:t>
      </w:r>
      <w:proofErr w:type="spellEnd"/>
      <w:r w:rsidR="001460DE" w:rsidRPr="001460DE">
        <w:rPr>
          <w:rFonts w:ascii="Times New Roman" w:hAnsi="Times New Roman" w:cs="Times New Roman"/>
          <w:lang w:val="en-US"/>
        </w:rPr>
        <w:t>, 2020).</w:t>
      </w:r>
    </w:p>
  </w:footnote>
  <w:footnote w:id="9">
    <w:p w:rsidR="0087065C" w:rsidRPr="001460DE" w:rsidRDefault="0087065C">
      <w:pPr>
        <w:pStyle w:val="DipnotMetni"/>
        <w:rPr>
          <w:lang w:val="en-US"/>
        </w:rPr>
      </w:pPr>
      <w:r w:rsidRPr="001460DE">
        <w:rPr>
          <w:rStyle w:val="DipnotBavurusu"/>
          <w:lang w:val="en-US"/>
        </w:rPr>
        <w:footnoteRef/>
      </w:r>
      <w:r w:rsidRPr="001460DE">
        <w:rPr>
          <w:lang w:val="en-US"/>
        </w:rPr>
        <w:t xml:space="preserve"> </w:t>
      </w:r>
      <w:r w:rsidR="001F2B38" w:rsidRPr="000D42BA">
        <w:rPr>
          <w:rFonts w:ascii="Times New Roman" w:hAnsi="Times New Roman" w:cs="Times New Roman"/>
          <w:lang w:val="en-US"/>
        </w:rPr>
        <w:t xml:space="preserve">For more detailed information see </w:t>
      </w:r>
      <w:proofErr w:type="spellStart"/>
      <w:r w:rsidR="001F2B38" w:rsidRPr="000D42BA">
        <w:rPr>
          <w:rFonts w:ascii="Times New Roman" w:hAnsi="Times New Roman" w:cs="Times New Roman"/>
          <w:lang w:val="en-US"/>
        </w:rPr>
        <w:t>Bakış</w:t>
      </w:r>
      <w:proofErr w:type="spellEnd"/>
      <w:r w:rsidR="001F2B38" w:rsidRPr="000D42BA">
        <w:rPr>
          <w:rFonts w:ascii="Times New Roman" w:hAnsi="Times New Roman" w:cs="Times New Roman"/>
          <w:lang w:val="en-US"/>
        </w:rPr>
        <w:t xml:space="preserve"> and </w:t>
      </w:r>
      <w:proofErr w:type="spellStart"/>
      <w:r w:rsidR="001F2B38" w:rsidRPr="000D42BA">
        <w:rPr>
          <w:rFonts w:ascii="Times New Roman" w:hAnsi="Times New Roman" w:cs="Times New Roman"/>
          <w:lang w:val="en-US"/>
        </w:rPr>
        <w:t>Acar</w:t>
      </w:r>
      <w:proofErr w:type="spellEnd"/>
      <w:r w:rsidR="00597554">
        <w:rPr>
          <w:rFonts w:ascii="Times New Roman" w:hAnsi="Times New Roman" w:cs="Times New Roman"/>
          <w:lang w:val="en-US"/>
        </w:rPr>
        <w:t xml:space="preserve"> (</w:t>
      </w:r>
      <w:r w:rsidR="001F2B38" w:rsidRPr="000D42BA">
        <w:rPr>
          <w:rFonts w:ascii="Times New Roman" w:hAnsi="Times New Roman" w:cs="Times New Roman"/>
          <w:lang w:val="en-US"/>
        </w:rPr>
        <w:t>2020).</w:t>
      </w:r>
    </w:p>
  </w:footnote>
  <w:footnote w:id="10">
    <w:p w:rsidR="0087065C" w:rsidRPr="00B80A85" w:rsidRDefault="0087065C">
      <w:pPr>
        <w:pStyle w:val="DipnotMetni"/>
        <w:rPr>
          <w:lang w:val="tr-TR"/>
        </w:rPr>
      </w:pPr>
      <w:r>
        <w:rPr>
          <w:rStyle w:val="DipnotBavurusu"/>
        </w:rPr>
        <w:footnoteRef/>
      </w:r>
      <w:r>
        <w:t xml:space="preserve"> </w:t>
      </w:r>
      <w:r w:rsidR="00597554" w:rsidRPr="000D42BA">
        <w:rPr>
          <w:rFonts w:ascii="Times New Roman" w:hAnsi="Times New Roman" w:cs="Times New Roman"/>
          <w:lang w:val="en-US"/>
        </w:rPr>
        <w:t xml:space="preserve">For more detailed information see </w:t>
      </w:r>
      <w:proofErr w:type="spellStart"/>
      <w:r w:rsidR="00597554" w:rsidRPr="000D42BA">
        <w:rPr>
          <w:rFonts w:ascii="Times New Roman" w:hAnsi="Times New Roman" w:cs="Times New Roman"/>
          <w:lang w:val="en-US"/>
        </w:rPr>
        <w:t>Bakış</w:t>
      </w:r>
      <w:proofErr w:type="spellEnd"/>
      <w:r w:rsidR="00597554" w:rsidRPr="000D42BA">
        <w:rPr>
          <w:rFonts w:ascii="Times New Roman" w:hAnsi="Times New Roman" w:cs="Times New Roman"/>
          <w:lang w:val="en-US"/>
        </w:rPr>
        <w:t xml:space="preserve"> and </w:t>
      </w:r>
      <w:proofErr w:type="spellStart"/>
      <w:r w:rsidR="00597554" w:rsidRPr="000D42BA">
        <w:rPr>
          <w:rFonts w:ascii="Times New Roman" w:hAnsi="Times New Roman" w:cs="Times New Roman"/>
          <w:lang w:val="en-US"/>
        </w:rPr>
        <w:t>Acar</w:t>
      </w:r>
      <w:proofErr w:type="spellEnd"/>
      <w:r w:rsidR="00597554">
        <w:rPr>
          <w:rFonts w:ascii="Times New Roman" w:hAnsi="Times New Roman" w:cs="Times New Roman"/>
          <w:lang w:val="en-US"/>
        </w:rPr>
        <w:t xml:space="preserve"> (</w:t>
      </w:r>
      <w:r w:rsidR="00597554" w:rsidRPr="000D42BA">
        <w:rPr>
          <w:rFonts w:ascii="Times New Roman" w:hAnsi="Times New Roman" w:cs="Times New Roman"/>
          <w:lang w:val="en-US"/>
        </w:rPr>
        <w:t>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14EE1"/>
    <w:multiLevelType w:val="hybridMultilevel"/>
    <w:tmpl w:val="BD18E8E4"/>
    <w:lvl w:ilvl="0" w:tplc="9DF42084">
      <w:start w:val="2014"/>
      <w:numFmt w:val="bullet"/>
      <w:lvlText w:val="-"/>
      <w:lvlJc w:val="left"/>
      <w:pPr>
        <w:ind w:left="720" w:hanging="360"/>
      </w:pPr>
      <w:rPr>
        <w:rFonts w:ascii="Palatino Linotype" w:eastAsiaTheme="minorHAnsi" w:hAnsi="Palatino Linotype"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CCE5F1C"/>
    <w:multiLevelType w:val="hybridMultilevel"/>
    <w:tmpl w:val="16422840"/>
    <w:lvl w:ilvl="0" w:tplc="9DF42084">
      <w:start w:val="2014"/>
      <w:numFmt w:val="bullet"/>
      <w:lvlText w:val="-"/>
      <w:lvlJc w:val="left"/>
      <w:pPr>
        <w:ind w:left="1287" w:hanging="360"/>
      </w:pPr>
      <w:rPr>
        <w:rFonts w:ascii="Palatino Linotype" w:eastAsiaTheme="minorHAnsi" w:hAnsi="Palatino Linotype"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cs="Wingdings" w:hint="default"/>
      </w:rPr>
    </w:lvl>
    <w:lvl w:ilvl="3" w:tplc="04090001" w:tentative="1">
      <w:start w:val="1"/>
      <w:numFmt w:val="bullet"/>
      <w:lvlText w:val=""/>
      <w:lvlJc w:val="left"/>
      <w:pPr>
        <w:ind w:left="3447" w:hanging="360"/>
      </w:pPr>
      <w:rPr>
        <w:rFonts w:ascii="Symbol" w:hAnsi="Symbol" w:cs="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cs="Wingdings" w:hint="default"/>
      </w:rPr>
    </w:lvl>
    <w:lvl w:ilvl="6" w:tplc="04090001" w:tentative="1">
      <w:start w:val="1"/>
      <w:numFmt w:val="bullet"/>
      <w:lvlText w:val=""/>
      <w:lvlJc w:val="left"/>
      <w:pPr>
        <w:ind w:left="5607" w:hanging="360"/>
      </w:pPr>
      <w:rPr>
        <w:rFonts w:ascii="Symbol" w:hAnsi="Symbol" w:cs="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cs="Wingdings" w:hint="default"/>
      </w:rPr>
    </w:lvl>
  </w:abstractNum>
  <w:abstractNum w:abstractNumId="2" w15:restartNumberingAfterBreak="0">
    <w:nsid w:val="6E4B1339"/>
    <w:multiLevelType w:val="hybridMultilevel"/>
    <w:tmpl w:val="859AC512"/>
    <w:lvl w:ilvl="0" w:tplc="7F86A140">
      <w:numFmt w:val="bullet"/>
      <w:lvlText w:val="-"/>
      <w:lvlJc w:val="left"/>
      <w:pPr>
        <w:ind w:left="1080" w:hanging="360"/>
      </w:pPr>
      <w:rPr>
        <w:rFonts w:ascii="Palatino Linotype" w:eastAsiaTheme="minorHAnsi" w:hAnsi="Palatino Linotype"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33"/>
    <w:rsid w:val="00001D2C"/>
    <w:rsid w:val="00023437"/>
    <w:rsid w:val="00026F08"/>
    <w:rsid w:val="0003084E"/>
    <w:rsid w:val="00074699"/>
    <w:rsid w:val="0008000A"/>
    <w:rsid w:val="000A2C71"/>
    <w:rsid w:val="000B44EA"/>
    <w:rsid w:val="000B53AE"/>
    <w:rsid w:val="000B5DE7"/>
    <w:rsid w:val="000D42BA"/>
    <w:rsid w:val="000F2AAA"/>
    <w:rsid w:val="0012562D"/>
    <w:rsid w:val="001460DE"/>
    <w:rsid w:val="00175E31"/>
    <w:rsid w:val="0018741B"/>
    <w:rsid w:val="001B413F"/>
    <w:rsid w:val="001B4B80"/>
    <w:rsid w:val="001C1700"/>
    <w:rsid w:val="001D3D78"/>
    <w:rsid w:val="001D4D8E"/>
    <w:rsid w:val="001F2B38"/>
    <w:rsid w:val="002367F3"/>
    <w:rsid w:val="00244CEE"/>
    <w:rsid w:val="0025169D"/>
    <w:rsid w:val="00272635"/>
    <w:rsid w:val="0028701D"/>
    <w:rsid w:val="00292A54"/>
    <w:rsid w:val="0029385B"/>
    <w:rsid w:val="002E536E"/>
    <w:rsid w:val="00302E28"/>
    <w:rsid w:val="00334446"/>
    <w:rsid w:val="00353AF4"/>
    <w:rsid w:val="003611AC"/>
    <w:rsid w:val="00364BF9"/>
    <w:rsid w:val="00381F2C"/>
    <w:rsid w:val="00384DC8"/>
    <w:rsid w:val="00385C7C"/>
    <w:rsid w:val="003913A0"/>
    <w:rsid w:val="003A602E"/>
    <w:rsid w:val="003C2C54"/>
    <w:rsid w:val="003D77C7"/>
    <w:rsid w:val="00412729"/>
    <w:rsid w:val="00427154"/>
    <w:rsid w:val="00430596"/>
    <w:rsid w:val="00437514"/>
    <w:rsid w:val="00437F3F"/>
    <w:rsid w:val="004405FB"/>
    <w:rsid w:val="00467527"/>
    <w:rsid w:val="004938BB"/>
    <w:rsid w:val="00497D2D"/>
    <w:rsid w:val="004A60B6"/>
    <w:rsid w:val="004C336D"/>
    <w:rsid w:val="004C3B8C"/>
    <w:rsid w:val="004D22B7"/>
    <w:rsid w:val="004D6359"/>
    <w:rsid w:val="004F2856"/>
    <w:rsid w:val="005024AF"/>
    <w:rsid w:val="00505C10"/>
    <w:rsid w:val="00513393"/>
    <w:rsid w:val="00520A9B"/>
    <w:rsid w:val="00531A32"/>
    <w:rsid w:val="00551409"/>
    <w:rsid w:val="00566327"/>
    <w:rsid w:val="00597554"/>
    <w:rsid w:val="005A24DC"/>
    <w:rsid w:val="005B50FB"/>
    <w:rsid w:val="005D2887"/>
    <w:rsid w:val="005D7232"/>
    <w:rsid w:val="005F2F5B"/>
    <w:rsid w:val="0061460A"/>
    <w:rsid w:val="00635D67"/>
    <w:rsid w:val="006732BB"/>
    <w:rsid w:val="006C74BB"/>
    <w:rsid w:val="006E3DBF"/>
    <w:rsid w:val="006F21D7"/>
    <w:rsid w:val="006F2676"/>
    <w:rsid w:val="00705DE4"/>
    <w:rsid w:val="00711D02"/>
    <w:rsid w:val="00727371"/>
    <w:rsid w:val="0073742B"/>
    <w:rsid w:val="007432D0"/>
    <w:rsid w:val="00772D60"/>
    <w:rsid w:val="0079221F"/>
    <w:rsid w:val="00794972"/>
    <w:rsid w:val="007A29A1"/>
    <w:rsid w:val="007B6D14"/>
    <w:rsid w:val="007E7AD1"/>
    <w:rsid w:val="00806F49"/>
    <w:rsid w:val="0081135C"/>
    <w:rsid w:val="00834B82"/>
    <w:rsid w:val="0087065C"/>
    <w:rsid w:val="00882400"/>
    <w:rsid w:val="008961AD"/>
    <w:rsid w:val="008A2F71"/>
    <w:rsid w:val="008A3ED4"/>
    <w:rsid w:val="008B22BA"/>
    <w:rsid w:val="008C1939"/>
    <w:rsid w:val="008D33BC"/>
    <w:rsid w:val="008E4FD9"/>
    <w:rsid w:val="008F31BE"/>
    <w:rsid w:val="00927477"/>
    <w:rsid w:val="009654A1"/>
    <w:rsid w:val="00986E15"/>
    <w:rsid w:val="009952D1"/>
    <w:rsid w:val="0099717C"/>
    <w:rsid w:val="00997970"/>
    <w:rsid w:val="009A27C2"/>
    <w:rsid w:val="009C532B"/>
    <w:rsid w:val="009C6082"/>
    <w:rsid w:val="00A17AAA"/>
    <w:rsid w:val="00A620CB"/>
    <w:rsid w:val="00A830B6"/>
    <w:rsid w:val="00A848E4"/>
    <w:rsid w:val="00A84B96"/>
    <w:rsid w:val="00A903A1"/>
    <w:rsid w:val="00AA714D"/>
    <w:rsid w:val="00AB6165"/>
    <w:rsid w:val="00AC313C"/>
    <w:rsid w:val="00AC31F3"/>
    <w:rsid w:val="00AC7923"/>
    <w:rsid w:val="00AD4A29"/>
    <w:rsid w:val="00AE3822"/>
    <w:rsid w:val="00B01577"/>
    <w:rsid w:val="00B03952"/>
    <w:rsid w:val="00B11995"/>
    <w:rsid w:val="00B6707A"/>
    <w:rsid w:val="00B80A85"/>
    <w:rsid w:val="00BA5426"/>
    <w:rsid w:val="00BA6B8A"/>
    <w:rsid w:val="00C02835"/>
    <w:rsid w:val="00C0589D"/>
    <w:rsid w:val="00C27A6C"/>
    <w:rsid w:val="00C42551"/>
    <w:rsid w:val="00C43B6C"/>
    <w:rsid w:val="00C5191D"/>
    <w:rsid w:val="00C665DB"/>
    <w:rsid w:val="00CA531A"/>
    <w:rsid w:val="00CB0EAD"/>
    <w:rsid w:val="00CC470B"/>
    <w:rsid w:val="00CE0197"/>
    <w:rsid w:val="00CE6600"/>
    <w:rsid w:val="00D25B1A"/>
    <w:rsid w:val="00D3145A"/>
    <w:rsid w:val="00D37EB8"/>
    <w:rsid w:val="00D57039"/>
    <w:rsid w:val="00D706FF"/>
    <w:rsid w:val="00D74571"/>
    <w:rsid w:val="00D75C39"/>
    <w:rsid w:val="00D82C55"/>
    <w:rsid w:val="00DA0CD4"/>
    <w:rsid w:val="00DA13F6"/>
    <w:rsid w:val="00DB1733"/>
    <w:rsid w:val="00DE6847"/>
    <w:rsid w:val="00DF2D2D"/>
    <w:rsid w:val="00DF590F"/>
    <w:rsid w:val="00DF5BCE"/>
    <w:rsid w:val="00E042FC"/>
    <w:rsid w:val="00E0502E"/>
    <w:rsid w:val="00E134DD"/>
    <w:rsid w:val="00E17359"/>
    <w:rsid w:val="00E406AF"/>
    <w:rsid w:val="00E73925"/>
    <w:rsid w:val="00E87E47"/>
    <w:rsid w:val="00E91250"/>
    <w:rsid w:val="00EA6565"/>
    <w:rsid w:val="00EB065D"/>
    <w:rsid w:val="00EC2C3C"/>
    <w:rsid w:val="00F03124"/>
    <w:rsid w:val="00F41329"/>
    <w:rsid w:val="00F45467"/>
    <w:rsid w:val="00F5153F"/>
    <w:rsid w:val="00F52E53"/>
    <w:rsid w:val="00F628E8"/>
    <w:rsid w:val="00F63EA0"/>
    <w:rsid w:val="00F90E0A"/>
    <w:rsid w:val="00FC3291"/>
    <w:rsid w:val="00FD3FA3"/>
    <w:rsid w:val="00FD76E8"/>
    <w:rsid w:val="00FE7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9CD4B"/>
  <w15:chartTrackingRefBased/>
  <w15:docId w15:val="{6FB98C4C-A845-4655-B706-819E5D6A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E6600"/>
    <w:pPr>
      <w:keepNext/>
      <w:keepLines/>
      <w:suppressAutoHyphens/>
      <w:spacing w:before="240" w:after="0" w:line="276" w:lineRule="auto"/>
      <w:jc w:val="both"/>
      <w:outlineLvl w:val="0"/>
    </w:pPr>
    <w:rPr>
      <w:rFonts w:asciiTheme="majorHAnsi" w:eastAsiaTheme="majorEastAsia" w:hAnsiTheme="majorHAnsi" w:cstheme="majorBidi"/>
      <w:color w:val="2E74B5" w:themeColor="accent1" w:themeShade="BF"/>
      <w:sz w:val="32"/>
      <w:szCs w:val="32"/>
      <w:lang w:val="tr-TR" w:eastAsia="ar-SA"/>
    </w:rPr>
  </w:style>
  <w:style w:type="paragraph" w:styleId="Balk2">
    <w:name w:val="heading 2"/>
    <w:basedOn w:val="Normal"/>
    <w:next w:val="Normal"/>
    <w:link w:val="Balk2Char"/>
    <w:uiPriority w:val="99"/>
    <w:qFormat/>
    <w:rsid w:val="00CE6600"/>
    <w:pPr>
      <w:keepNext/>
      <w:suppressAutoHyphens/>
      <w:spacing w:before="240" w:after="60" w:line="276" w:lineRule="auto"/>
      <w:jc w:val="both"/>
      <w:outlineLvl w:val="1"/>
    </w:pPr>
    <w:rPr>
      <w:rFonts w:ascii="Palatino Linotype" w:eastAsia="Times New Roman" w:hAnsi="Palatino Linotype" w:cs="Arial"/>
      <w:b/>
      <w:bCs/>
      <w:iCs/>
      <w:sz w:val="26"/>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A29A1"/>
    <w:pPr>
      <w:spacing w:after="0" w:line="240" w:lineRule="auto"/>
    </w:pPr>
    <w:rPr>
      <w:sz w:val="20"/>
      <w:szCs w:val="20"/>
    </w:rPr>
  </w:style>
  <w:style w:type="character" w:customStyle="1" w:styleId="DipnotMetniChar">
    <w:name w:val="Dipnot Metni Char"/>
    <w:basedOn w:val="VarsaylanParagrafYazTipi"/>
    <w:link w:val="DipnotMetni"/>
    <w:uiPriority w:val="99"/>
    <w:rsid w:val="007A29A1"/>
    <w:rPr>
      <w:sz w:val="20"/>
      <w:szCs w:val="20"/>
    </w:rPr>
  </w:style>
  <w:style w:type="character" w:styleId="DipnotBavurusu">
    <w:name w:val="footnote reference"/>
    <w:basedOn w:val="VarsaylanParagrafYazTipi"/>
    <w:uiPriority w:val="99"/>
    <w:semiHidden/>
    <w:unhideWhenUsed/>
    <w:rsid w:val="007A29A1"/>
    <w:rPr>
      <w:vertAlign w:val="superscript"/>
    </w:rPr>
  </w:style>
  <w:style w:type="character" w:styleId="YerTutucuMetni">
    <w:name w:val="Placeholder Text"/>
    <w:basedOn w:val="VarsaylanParagrafYazTipi"/>
    <w:uiPriority w:val="99"/>
    <w:semiHidden/>
    <w:rsid w:val="00B6707A"/>
    <w:rPr>
      <w:color w:val="808080"/>
    </w:rPr>
  </w:style>
  <w:style w:type="character" w:customStyle="1" w:styleId="Balk1Char">
    <w:name w:val="Başlık 1 Char"/>
    <w:basedOn w:val="VarsaylanParagrafYazTipi"/>
    <w:link w:val="Balk1"/>
    <w:uiPriority w:val="9"/>
    <w:rsid w:val="00CE6600"/>
    <w:rPr>
      <w:rFonts w:asciiTheme="majorHAnsi" w:eastAsiaTheme="majorEastAsia" w:hAnsiTheme="majorHAnsi" w:cstheme="majorBidi"/>
      <w:color w:val="2E74B5" w:themeColor="accent1" w:themeShade="BF"/>
      <w:sz w:val="32"/>
      <w:szCs w:val="32"/>
      <w:lang w:val="tr-TR" w:eastAsia="ar-SA"/>
    </w:rPr>
  </w:style>
  <w:style w:type="character" w:customStyle="1" w:styleId="Balk2Char">
    <w:name w:val="Başlık 2 Char"/>
    <w:basedOn w:val="VarsaylanParagrafYazTipi"/>
    <w:link w:val="Balk2"/>
    <w:uiPriority w:val="99"/>
    <w:rsid w:val="00CE6600"/>
    <w:rPr>
      <w:rFonts w:ascii="Palatino Linotype" w:eastAsia="Times New Roman" w:hAnsi="Palatino Linotype" w:cs="Arial"/>
      <w:b/>
      <w:bCs/>
      <w:iCs/>
      <w:sz w:val="26"/>
      <w:szCs w:val="28"/>
      <w:lang w:eastAsia="ar-SA"/>
    </w:rPr>
  </w:style>
  <w:style w:type="character" w:styleId="Kpr">
    <w:name w:val="Hyperlink"/>
    <w:basedOn w:val="VarsaylanParagrafYazTipi"/>
    <w:uiPriority w:val="99"/>
    <w:unhideWhenUsed/>
    <w:rsid w:val="00CE6600"/>
    <w:rPr>
      <w:color w:val="0000FF"/>
      <w:u w:val="single"/>
    </w:rPr>
  </w:style>
  <w:style w:type="paragraph" w:styleId="BalonMetni">
    <w:name w:val="Balloon Text"/>
    <w:basedOn w:val="Normal"/>
    <w:link w:val="BalonMetniChar"/>
    <w:uiPriority w:val="99"/>
    <w:semiHidden/>
    <w:unhideWhenUsed/>
    <w:rsid w:val="00F454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5467"/>
    <w:rPr>
      <w:rFonts w:ascii="Segoe UI" w:hAnsi="Segoe UI" w:cs="Segoe UI"/>
      <w:sz w:val="18"/>
      <w:szCs w:val="18"/>
    </w:rPr>
  </w:style>
  <w:style w:type="paragraph" w:styleId="ListeParagraf">
    <w:name w:val="List Paragraph"/>
    <w:basedOn w:val="Normal"/>
    <w:uiPriority w:val="34"/>
    <w:qFormat/>
    <w:rsid w:val="0029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61271">
      <w:bodyDiv w:val="1"/>
      <w:marLeft w:val="0"/>
      <w:marRight w:val="0"/>
      <w:marTop w:val="0"/>
      <w:marBottom w:val="0"/>
      <w:divBdr>
        <w:top w:val="none" w:sz="0" w:space="0" w:color="auto"/>
        <w:left w:val="none" w:sz="0" w:space="0" w:color="auto"/>
        <w:bottom w:val="none" w:sz="0" w:space="0" w:color="auto"/>
        <w:right w:val="none" w:sz="0" w:space="0" w:color="auto"/>
      </w:divBdr>
    </w:div>
    <w:div w:id="475295200">
      <w:bodyDiv w:val="1"/>
      <w:marLeft w:val="0"/>
      <w:marRight w:val="0"/>
      <w:marTop w:val="0"/>
      <w:marBottom w:val="0"/>
      <w:divBdr>
        <w:top w:val="none" w:sz="0" w:space="0" w:color="auto"/>
        <w:left w:val="none" w:sz="0" w:space="0" w:color="auto"/>
        <w:bottom w:val="none" w:sz="0" w:space="0" w:color="auto"/>
        <w:right w:val="none" w:sz="0" w:space="0" w:color="auto"/>
      </w:divBdr>
    </w:div>
    <w:div w:id="553320546">
      <w:bodyDiv w:val="1"/>
      <w:marLeft w:val="0"/>
      <w:marRight w:val="0"/>
      <w:marTop w:val="0"/>
      <w:marBottom w:val="0"/>
      <w:divBdr>
        <w:top w:val="none" w:sz="0" w:space="0" w:color="auto"/>
        <w:left w:val="none" w:sz="0" w:space="0" w:color="auto"/>
        <w:bottom w:val="none" w:sz="0" w:space="0" w:color="auto"/>
        <w:right w:val="none" w:sz="0" w:space="0" w:color="auto"/>
      </w:divBdr>
    </w:div>
    <w:div w:id="761872518">
      <w:bodyDiv w:val="1"/>
      <w:marLeft w:val="0"/>
      <w:marRight w:val="0"/>
      <w:marTop w:val="0"/>
      <w:marBottom w:val="0"/>
      <w:divBdr>
        <w:top w:val="none" w:sz="0" w:space="0" w:color="auto"/>
        <w:left w:val="none" w:sz="0" w:space="0" w:color="auto"/>
        <w:bottom w:val="none" w:sz="0" w:space="0" w:color="auto"/>
        <w:right w:val="none" w:sz="0" w:space="0" w:color="auto"/>
      </w:divBdr>
    </w:div>
    <w:div w:id="852188412">
      <w:bodyDiv w:val="1"/>
      <w:marLeft w:val="0"/>
      <w:marRight w:val="0"/>
      <w:marTop w:val="0"/>
      <w:marBottom w:val="0"/>
      <w:divBdr>
        <w:top w:val="none" w:sz="0" w:space="0" w:color="auto"/>
        <w:left w:val="none" w:sz="0" w:space="0" w:color="auto"/>
        <w:bottom w:val="none" w:sz="0" w:space="0" w:color="auto"/>
        <w:right w:val="none" w:sz="0" w:space="0" w:color="auto"/>
      </w:divBdr>
    </w:div>
    <w:div w:id="900677207">
      <w:bodyDiv w:val="1"/>
      <w:marLeft w:val="0"/>
      <w:marRight w:val="0"/>
      <w:marTop w:val="0"/>
      <w:marBottom w:val="0"/>
      <w:divBdr>
        <w:top w:val="none" w:sz="0" w:space="0" w:color="auto"/>
        <w:left w:val="none" w:sz="0" w:space="0" w:color="auto"/>
        <w:bottom w:val="none" w:sz="0" w:space="0" w:color="auto"/>
        <w:right w:val="none" w:sz="0" w:space="0" w:color="auto"/>
      </w:divBdr>
    </w:div>
    <w:div w:id="1292129738">
      <w:bodyDiv w:val="1"/>
      <w:marLeft w:val="0"/>
      <w:marRight w:val="0"/>
      <w:marTop w:val="0"/>
      <w:marBottom w:val="0"/>
      <w:divBdr>
        <w:top w:val="none" w:sz="0" w:space="0" w:color="auto"/>
        <w:left w:val="none" w:sz="0" w:space="0" w:color="auto"/>
        <w:bottom w:val="none" w:sz="0" w:space="0" w:color="auto"/>
        <w:right w:val="none" w:sz="0" w:space="0" w:color="auto"/>
      </w:divBdr>
    </w:div>
    <w:div w:id="21037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gokhan.dilek@eas.bau.edu.tr" TargetMode="External"/><Relationship Id="rId2" Type="http://schemas.openxmlformats.org/officeDocument/2006/relationships/hyperlink" Target="mailto:ugurcan.acars@eas.bau.edu.tr" TargetMode="External"/><Relationship Id="rId1" Type="http://schemas.openxmlformats.org/officeDocument/2006/relationships/hyperlink" Target="mailto:ozan.bakis@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3279A-0363-40A2-B0C8-E3DF0FE0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Pages>
  <Words>2760</Words>
  <Characters>15736</Characters>
  <Application>Microsoft Office Word</Application>
  <DocSecurity>0</DocSecurity>
  <Lines>131</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DILEK</dc:creator>
  <cp:keywords/>
  <dc:description/>
  <cp:lastModifiedBy>Gökhan Dilek</cp:lastModifiedBy>
  <cp:revision>53</cp:revision>
  <dcterms:created xsi:type="dcterms:W3CDTF">2020-05-10T12:10:00Z</dcterms:created>
  <dcterms:modified xsi:type="dcterms:W3CDTF">2020-05-27T13:20:00Z</dcterms:modified>
</cp:coreProperties>
</file>