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E6600" w:rsidRPr="00275204" w:rsidRDefault="00CE6600" w:rsidP="00CE6600">
      <w:pPr>
        <w:rPr>
          <w:b/>
          <w:bCs/>
          <w:sz w:val="24"/>
          <w:szCs w:val="24"/>
          <w:lang w:val="tr-TR"/>
        </w:rPr>
      </w:pPr>
      <w:bookmarkStart w:id="0" w:name="_Hlk35972281"/>
      <w:r w:rsidRPr="00275204">
        <w:rPr>
          <w:noProof/>
          <w:lang w:eastAsia="en-GB"/>
        </w:rPr>
        <mc:AlternateContent>
          <mc:Choice Requires="wps">
            <w:drawing>
              <wp:anchor distT="0" distB="0" distL="114935" distR="114935" simplePos="0" relativeHeight="251660288" behindDoc="0" locked="0" layoutInCell="1" allowOverlap="1" wp14:anchorId="73F4BDB2" wp14:editId="0F1E39FF">
                <wp:simplePos x="0" y="0"/>
                <wp:positionH relativeFrom="column">
                  <wp:posOffset>1643380</wp:posOffset>
                </wp:positionH>
                <wp:positionV relativeFrom="paragraph">
                  <wp:posOffset>-585470</wp:posOffset>
                </wp:positionV>
                <wp:extent cx="3774644" cy="62179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644" cy="6217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6600" w:rsidRPr="00E066EE" w:rsidRDefault="00CE6600" w:rsidP="00CE6600">
                            <w:pPr>
                              <w:pStyle w:val="Balk1"/>
                              <w:jc w:val="left"/>
                              <w:rPr>
                                <w:rFonts w:ascii="Palatino Linotype" w:hAnsi="Palatino Linotype"/>
                                <w:b/>
                                <w:sz w:val="52"/>
                                <w:szCs w:val="52"/>
                              </w:rPr>
                            </w:pPr>
                            <w:r w:rsidRPr="00E066EE">
                              <w:rPr>
                                <w:rFonts w:ascii="Palatino Linotype" w:hAnsi="Palatino Linotype"/>
                                <w:b/>
                                <w:color w:val="auto"/>
                                <w:sz w:val="52"/>
                                <w:szCs w:val="52"/>
                              </w:rPr>
                              <w:t xml:space="preserve">Araştırma </w:t>
                            </w:r>
                            <w:r w:rsidRPr="0018126D">
                              <w:rPr>
                                <w:rFonts w:ascii="Palatino Linotype" w:hAnsi="Palatino Linotype"/>
                                <w:b/>
                                <w:color w:val="auto"/>
                                <w:sz w:val="52"/>
                                <w:szCs w:val="52"/>
                              </w:rPr>
                              <w:t xml:space="preserve">Notu </w:t>
                            </w:r>
                            <w:r w:rsidR="002E528A">
                              <w:rPr>
                                <w:rFonts w:ascii="Palatino Linotype" w:hAnsi="Palatino Linotype"/>
                                <w:b/>
                                <w:color w:val="auto"/>
                                <w:sz w:val="52"/>
                                <w:szCs w:val="52"/>
                              </w:rPr>
                              <w:t>20</w:t>
                            </w:r>
                            <w:r w:rsidR="00437514">
                              <w:rPr>
                                <w:rFonts w:ascii="Palatino Linotype" w:hAnsi="Palatino Linotype"/>
                                <w:b/>
                                <w:color w:val="auto"/>
                                <w:sz w:val="52"/>
                                <w:szCs w:val="52"/>
                              </w:rPr>
                              <w:t>/</w:t>
                            </w:r>
                            <w:r w:rsidR="002E528A">
                              <w:rPr>
                                <w:rFonts w:ascii="Palatino Linotype" w:hAnsi="Palatino Linotype"/>
                                <w:b/>
                                <w:color w:val="auto"/>
                                <w:sz w:val="52"/>
                                <w:szCs w:val="52"/>
                              </w:rPr>
                              <w:t>251</w:t>
                            </w:r>
                          </w:p>
                          <w:p w:rsidR="00CE6600" w:rsidRPr="00B54C13" w:rsidRDefault="00CE6600" w:rsidP="00CE6600">
                            <w:pPr>
                              <w:pStyle w:val="Balk2"/>
                              <w:rPr>
                                <w:b w:val="0"/>
                                <w:bCs w:val="0"/>
                                <w:i/>
                                <w:iCs w:val="0"/>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F4BDB2" id="_x0000_t202" coordsize="21600,21600" o:spt="202" path="m,l,21600r21600,l21600,xe">
                <v:stroke joinstyle="miter"/>
                <v:path gradientshapeok="t" o:connecttype="rect"/>
              </v:shapetype>
              <v:shape id="Text Box 3" o:spid="_x0000_s1026" type="#_x0000_t202" style="position:absolute;margin-left:129.4pt;margin-top:-46.1pt;width:297.2pt;height:48.9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" stroked="f">
                <v:fill opacity="0"/>
                <v:textbox inset="0,0,0,0">
                  <w:txbxContent>
                    <w:p w:rsidR="00CE6600" w:rsidRPr="00E066EE" w:rsidRDefault="00CE6600" w:rsidP="00CE6600">
                      <w:pPr>
                        <w:pStyle w:val="Balk1"/>
                        <w:jc w:val="left"/>
                        <w:rPr>
                          <w:rFonts w:ascii="Palatino Linotype" w:hAnsi="Palatino Linotype"/>
                          <w:b/>
                          <w:sz w:val="52"/>
                          <w:szCs w:val="52"/>
                        </w:rPr>
                      </w:pPr>
                      <w:r w:rsidRPr="00E066EE">
                        <w:rPr>
                          <w:rFonts w:ascii="Palatino Linotype" w:hAnsi="Palatino Linotype"/>
                          <w:b/>
                          <w:color w:val="auto"/>
                          <w:sz w:val="52"/>
                          <w:szCs w:val="52"/>
                        </w:rPr>
                        <w:t xml:space="preserve">Araştırma </w:t>
                      </w:r>
                      <w:r w:rsidRPr="0018126D">
                        <w:rPr>
                          <w:rFonts w:ascii="Palatino Linotype" w:hAnsi="Palatino Linotype"/>
                          <w:b/>
                          <w:color w:val="auto"/>
                          <w:sz w:val="52"/>
                          <w:szCs w:val="52"/>
                        </w:rPr>
                        <w:t xml:space="preserve">Notu </w:t>
                      </w:r>
                      <w:r w:rsidR="002E528A">
                        <w:rPr>
                          <w:rFonts w:ascii="Palatino Linotype" w:hAnsi="Palatino Linotype"/>
                          <w:b/>
                          <w:color w:val="auto"/>
                          <w:sz w:val="52"/>
                          <w:szCs w:val="52"/>
                        </w:rPr>
                        <w:t>20</w:t>
                      </w:r>
                      <w:r w:rsidR="00437514">
                        <w:rPr>
                          <w:rFonts w:ascii="Palatino Linotype" w:hAnsi="Palatino Linotype"/>
                          <w:b/>
                          <w:color w:val="auto"/>
                          <w:sz w:val="52"/>
                          <w:szCs w:val="52"/>
                        </w:rPr>
                        <w:t>/</w:t>
                      </w:r>
                      <w:r w:rsidR="002E528A">
                        <w:rPr>
                          <w:rFonts w:ascii="Palatino Linotype" w:hAnsi="Palatino Linotype"/>
                          <w:b/>
                          <w:color w:val="auto"/>
                          <w:sz w:val="52"/>
                          <w:szCs w:val="52"/>
                        </w:rPr>
                        <w:t>251</w:t>
                      </w:r>
                    </w:p>
                    <w:p w:rsidR="00CE6600" w:rsidRPr="00B54C13" w:rsidRDefault="00CE6600" w:rsidP="00CE6600">
                      <w:pPr>
                        <w:pStyle w:val="Balk2"/>
                        <w:rPr>
                          <w:b w:val="0"/>
                          <w:bCs w:val="0"/>
                          <w:i/>
                          <w:iCs w:val="0"/>
                          <w:lang w:val="tr-TR"/>
                        </w:rPr>
                      </w:pPr>
                    </w:p>
                  </w:txbxContent>
                </v:textbox>
              </v:shape>
            </w:pict>
          </mc:Fallback>
        </mc:AlternateContent>
      </w:r>
      <w:r w:rsidRPr="00275204">
        <w:rPr>
          <w:noProof/>
          <w:lang w:eastAsia="en-GB"/>
        </w:rPr>
        <w:drawing>
          <wp:anchor distT="0" distB="0" distL="114300" distR="114300" simplePos="0" relativeHeight="251659264" behindDoc="1" locked="0" layoutInCell="1" allowOverlap="1" wp14:anchorId="15A3A782" wp14:editId="425DDEB9">
            <wp:simplePos x="0" y="0"/>
            <wp:positionH relativeFrom="margin">
              <wp:align>center</wp:align>
            </wp:positionH>
            <wp:positionV relativeFrom="paragraph">
              <wp:posOffset>-742950</wp:posOffset>
            </wp:positionV>
            <wp:extent cx="7229475" cy="1322213"/>
            <wp:effectExtent l="0" t="0" r="0" b="0"/>
            <wp:wrapNone/>
            <wp:docPr id="18"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229475" cy="1322213"/>
                    </a:xfrm>
                    <a:prstGeom prst="rect">
                      <a:avLst/>
                    </a:prstGeom>
                    <a:noFill/>
                  </pic:spPr>
                </pic:pic>
              </a:graphicData>
            </a:graphic>
          </wp:anchor>
        </w:drawing>
      </w:r>
    </w:p>
    <w:p w:rsidR="00CE6600" w:rsidRPr="00275204" w:rsidRDefault="002E528A" w:rsidP="00CE6600">
      <w:pPr>
        <w:jc w:val="right"/>
        <w:rPr>
          <w:b/>
          <w:bCs/>
          <w:color w:val="FFFFFF" w:themeColor="background1"/>
          <w:sz w:val="24"/>
          <w:szCs w:val="24"/>
          <w:lang w:val="tr-TR"/>
        </w:rPr>
      </w:pPr>
      <w:r>
        <w:rPr>
          <w:b/>
          <w:bCs/>
          <w:color w:val="FFFFFF" w:themeColor="background1"/>
          <w:sz w:val="24"/>
          <w:szCs w:val="24"/>
          <w:lang w:val="tr-TR"/>
        </w:rPr>
        <w:t>14</w:t>
      </w:r>
      <w:r w:rsidR="00437514">
        <w:rPr>
          <w:b/>
          <w:bCs/>
          <w:color w:val="FFFFFF" w:themeColor="background1"/>
          <w:sz w:val="24"/>
          <w:szCs w:val="24"/>
          <w:lang w:val="tr-TR"/>
        </w:rPr>
        <w:t xml:space="preserve"> </w:t>
      </w:r>
      <w:r>
        <w:rPr>
          <w:b/>
          <w:bCs/>
          <w:color w:val="FFFFFF" w:themeColor="background1"/>
          <w:sz w:val="24"/>
          <w:szCs w:val="24"/>
          <w:lang w:val="tr-TR"/>
        </w:rPr>
        <w:t>Mayıs</w:t>
      </w:r>
      <w:r w:rsidR="00CE6600" w:rsidRPr="00275204">
        <w:rPr>
          <w:b/>
          <w:bCs/>
          <w:color w:val="FFFFFF" w:themeColor="background1"/>
          <w:sz w:val="24"/>
          <w:szCs w:val="24"/>
          <w:lang w:val="tr-TR"/>
        </w:rPr>
        <w:t xml:space="preserve"> 2020</w:t>
      </w:r>
    </w:p>
    <w:p w:rsidR="00CE6600" w:rsidRPr="00275204" w:rsidRDefault="00CE6600" w:rsidP="00CE6600">
      <w:pPr>
        <w:rPr>
          <w:b/>
          <w:bCs/>
          <w:sz w:val="24"/>
          <w:szCs w:val="24"/>
          <w:lang w:val="tr-TR"/>
        </w:rPr>
      </w:pPr>
    </w:p>
    <w:p w:rsidR="00CE6600" w:rsidRPr="00275204" w:rsidRDefault="00CE6600" w:rsidP="00CE6600">
      <w:pPr>
        <w:jc w:val="center"/>
        <w:rPr>
          <w:rFonts w:ascii="Palatino Linotype" w:hAnsi="Palatino Linotype"/>
          <w:b/>
          <w:bCs/>
          <w:sz w:val="32"/>
          <w:szCs w:val="32"/>
          <w:lang w:val="tr-TR"/>
        </w:rPr>
      </w:pPr>
      <w:r w:rsidRPr="008C0202">
        <w:rPr>
          <w:rFonts w:ascii="Palatino Linotype" w:hAnsi="Palatino Linotype"/>
          <w:b/>
          <w:bCs/>
          <w:sz w:val="32"/>
          <w:szCs w:val="32"/>
          <w:lang w:val="tr-TR"/>
        </w:rPr>
        <w:t>T</w:t>
      </w:r>
      <w:r w:rsidR="00A620CB" w:rsidRPr="008C0202">
        <w:rPr>
          <w:rFonts w:ascii="Palatino Linotype" w:hAnsi="Palatino Linotype"/>
          <w:b/>
          <w:bCs/>
          <w:sz w:val="32"/>
          <w:szCs w:val="32"/>
          <w:lang w:val="tr-TR"/>
        </w:rPr>
        <w:t>arım, Sanayi, İnşaat ve Hizmetler Sektörlerinde</w:t>
      </w:r>
      <w:r w:rsidRPr="008C0202">
        <w:rPr>
          <w:rFonts w:ascii="Palatino Linotype" w:hAnsi="Palatino Linotype"/>
          <w:b/>
          <w:bCs/>
          <w:sz w:val="32"/>
          <w:szCs w:val="32"/>
          <w:lang w:val="tr-TR"/>
        </w:rPr>
        <w:t xml:space="preserve"> Toplam Faktör Verimliliği: 1980-2018</w:t>
      </w:r>
      <w:r w:rsidRPr="008C0202">
        <w:rPr>
          <w:rStyle w:val="DipnotBavurusu"/>
          <w:rFonts w:ascii="Palatino Linotype" w:hAnsi="Palatino Linotype"/>
          <w:b/>
          <w:bCs/>
          <w:sz w:val="32"/>
          <w:szCs w:val="32"/>
          <w:lang w:val="tr-TR"/>
        </w:rPr>
        <w:footnoteReference w:customMarkFollows="1" w:id="1"/>
        <w:sym w:font="Symbol" w:char="F023"/>
      </w:r>
    </w:p>
    <w:bookmarkEnd w:id="0"/>
    <w:p w:rsidR="00CE6600" w:rsidRPr="00275204" w:rsidRDefault="00CE6600" w:rsidP="00CE6600">
      <w:pPr>
        <w:jc w:val="center"/>
        <w:rPr>
          <w:rFonts w:ascii="Palatino Linotype" w:hAnsi="Palatino Linotype"/>
          <w:b/>
          <w:bCs/>
          <w:lang w:val="tr-TR"/>
        </w:rPr>
      </w:pPr>
      <w:r w:rsidRPr="00275204">
        <w:rPr>
          <w:rFonts w:ascii="Palatino Linotype" w:hAnsi="Palatino Linotype"/>
          <w:b/>
          <w:bCs/>
          <w:lang w:val="tr-TR"/>
        </w:rPr>
        <w:t>Ozan Bakış</w:t>
      </w:r>
      <w:r w:rsidRPr="00275204">
        <w:rPr>
          <w:rStyle w:val="DipnotBavurusu"/>
          <w:rFonts w:ascii="Palatino Linotype" w:hAnsi="Palatino Linotype"/>
          <w:b/>
          <w:bCs/>
          <w:lang w:val="tr-TR"/>
        </w:rPr>
        <w:footnoteReference w:customMarkFollows="1" w:id="2"/>
        <w:t>*</w:t>
      </w:r>
      <w:r w:rsidRPr="00275204">
        <w:rPr>
          <w:rFonts w:ascii="Palatino Linotype" w:hAnsi="Palatino Linotype"/>
          <w:b/>
          <w:bCs/>
          <w:lang w:val="tr-TR"/>
        </w:rPr>
        <w:t>, Uğurcan Acar</w:t>
      </w:r>
      <w:r w:rsidRPr="00275204">
        <w:rPr>
          <w:rStyle w:val="DipnotBavurusu"/>
          <w:rFonts w:ascii="Palatino Linotype" w:hAnsi="Palatino Linotype"/>
          <w:b/>
          <w:bCs/>
          <w:lang w:val="tr-TR"/>
        </w:rPr>
        <w:footnoteReference w:customMarkFollows="1" w:id="3"/>
        <w:t>**</w:t>
      </w:r>
      <w:r w:rsidRPr="00275204">
        <w:rPr>
          <w:rFonts w:ascii="Palatino Linotype" w:hAnsi="Palatino Linotype"/>
          <w:b/>
          <w:bCs/>
          <w:lang w:val="tr-TR"/>
        </w:rPr>
        <w:t xml:space="preserve"> ve Gökhan Dilek</w:t>
      </w:r>
      <w:r w:rsidRPr="00275204">
        <w:rPr>
          <w:rStyle w:val="DipnotBavurusu"/>
          <w:rFonts w:ascii="Palatino Linotype" w:hAnsi="Palatino Linotype"/>
          <w:b/>
          <w:bCs/>
          <w:lang w:val="tr-TR"/>
        </w:rPr>
        <w:footnoteReference w:customMarkFollows="1" w:id="4"/>
        <w:t>**</w:t>
      </w:r>
    </w:p>
    <w:p w:rsidR="00CE6600" w:rsidRPr="00275204" w:rsidRDefault="00CE6600" w:rsidP="00CE6600">
      <w:pPr>
        <w:jc w:val="center"/>
        <w:rPr>
          <w:rFonts w:ascii="Palatino Linotype" w:hAnsi="Palatino Linotype"/>
          <w:b/>
          <w:bCs/>
          <w:lang w:val="tr-TR"/>
        </w:rPr>
      </w:pPr>
    </w:p>
    <w:p w:rsidR="00CE6600" w:rsidRPr="00275204" w:rsidRDefault="00CE6600" w:rsidP="00CE6600">
      <w:pPr>
        <w:jc w:val="center"/>
        <w:rPr>
          <w:rFonts w:ascii="Palatino Linotype" w:hAnsi="Palatino Linotype"/>
          <w:b/>
          <w:bCs/>
          <w:sz w:val="26"/>
          <w:szCs w:val="26"/>
          <w:lang w:val="tr-TR"/>
        </w:rPr>
      </w:pPr>
      <w:r w:rsidRPr="00275204">
        <w:rPr>
          <w:rFonts w:ascii="Palatino Linotype" w:hAnsi="Palatino Linotype"/>
          <w:b/>
          <w:bCs/>
          <w:sz w:val="26"/>
          <w:szCs w:val="26"/>
          <w:lang w:val="tr-TR"/>
        </w:rPr>
        <w:t>Yönetici Özeti</w:t>
      </w:r>
    </w:p>
    <w:p w:rsidR="000B53AE" w:rsidRDefault="00A830B6" w:rsidP="00772D60">
      <w:pPr>
        <w:spacing w:after="240" w:line="276" w:lineRule="auto"/>
        <w:ind w:left="567" w:right="567"/>
        <w:jc w:val="both"/>
        <w:rPr>
          <w:rFonts w:ascii="Palatino Linotype" w:hAnsi="Palatino Linotype"/>
          <w:lang w:val="tr-TR"/>
        </w:rPr>
      </w:pPr>
      <w:r>
        <w:rPr>
          <w:rFonts w:ascii="Palatino Linotype" w:hAnsi="Palatino Linotype"/>
          <w:lang w:val="tr-TR"/>
        </w:rPr>
        <w:t xml:space="preserve">Bu araştırma notunda </w:t>
      </w:r>
      <w:r w:rsidR="00882400">
        <w:rPr>
          <w:rFonts w:ascii="Palatino Linotype" w:hAnsi="Palatino Linotype"/>
          <w:lang w:val="tr-TR"/>
        </w:rPr>
        <w:t xml:space="preserve">Türkiye’de </w:t>
      </w:r>
      <w:r w:rsidR="00772D60">
        <w:rPr>
          <w:rFonts w:ascii="Palatino Linotype" w:hAnsi="Palatino Linotype"/>
          <w:lang w:val="tr-TR"/>
        </w:rPr>
        <w:t xml:space="preserve">Toplam Faktör </w:t>
      </w:r>
      <w:proofErr w:type="spellStart"/>
      <w:r w:rsidR="00772D60">
        <w:rPr>
          <w:rFonts w:ascii="Palatino Linotype" w:hAnsi="Palatino Linotype"/>
          <w:lang w:val="tr-TR"/>
        </w:rPr>
        <w:t>Verimliliği’ni</w:t>
      </w:r>
      <w:proofErr w:type="spellEnd"/>
      <w:r w:rsidR="00772D60">
        <w:rPr>
          <w:rFonts w:ascii="Palatino Linotype" w:hAnsi="Palatino Linotype"/>
          <w:lang w:val="tr-TR"/>
        </w:rPr>
        <w:t xml:space="preserve"> (TFV) dört ana sektör</w:t>
      </w:r>
      <w:r>
        <w:rPr>
          <w:rFonts w:ascii="Palatino Linotype" w:hAnsi="Palatino Linotype"/>
          <w:lang w:val="tr-TR"/>
        </w:rPr>
        <w:t xml:space="preserve"> özelinde</w:t>
      </w:r>
      <w:r w:rsidR="00772D60">
        <w:rPr>
          <w:rFonts w:ascii="Palatino Linotype" w:hAnsi="Palatino Linotype"/>
          <w:lang w:val="tr-TR"/>
        </w:rPr>
        <w:t xml:space="preserve"> (tarım, sanayi, inşaat ve hizmetler) incel</w:t>
      </w:r>
      <w:r>
        <w:rPr>
          <w:rFonts w:ascii="Palatino Linotype" w:hAnsi="Palatino Linotype"/>
          <w:lang w:val="tr-TR"/>
        </w:rPr>
        <w:t>iyoruz</w:t>
      </w:r>
      <w:r w:rsidR="00772D60">
        <w:rPr>
          <w:rFonts w:ascii="Palatino Linotype" w:hAnsi="Palatino Linotype"/>
          <w:lang w:val="tr-TR"/>
        </w:rPr>
        <w:t xml:space="preserve">. </w:t>
      </w:r>
      <w:r w:rsidR="00772D60" w:rsidRPr="00CE6600">
        <w:rPr>
          <w:rFonts w:ascii="Palatino Linotype" w:hAnsi="Palatino Linotype"/>
          <w:lang w:val="tr-TR"/>
        </w:rPr>
        <w:t>1980-2018 yılları arasında hizmetler hari</w:t>
      </w:r>
      <w:r>
        <w:rPr>
          <w:rFonts w:ascii="Palatino Linotype" w:hAnsi="Palatino Linotype"/>
          <w:lang w:val="tr-TR"/>
        </w:rPr>
        <w:t xml:space="preserve">ç diğer üç sektörde </w:t>
      </w:r>
      <w:r w:rsidR="00772D60" w:rsidRPr="00CE6600">
        <w:rPr>
          <w:rFonts w:ascii="Palatino Linotype" w:hAnsi="Palatino Linotype"/>
          <w:lang w:val="tr-TR"/>
        </w:rPr>
        <w:t>TFV artışı</w:t>
      </w:r>
      <w:r>
        <w:rPr>
          <w:rFonts w:ascii="Palatino Linotype" w:hAnsi="Palatino Linotype"/>
          <w:lang w:val="tr-TR"/>
        </w:rPr>
        <w:t>nın gerçekleştiğini hesaplıyoruz.</w:t>
      </w:r>
      <w:r w:rsidR="00772D60" w:rsidRPr="00CE6600">
        <w:rPr>
          <w:rFonts w:ascii="Palatino Linotype" w:hAnsi="Palatino Linotype"/>
          <w:lang w:val="tr-TR"/>
        </w:rPr>
        <w:t xml:space="preserve"> </w:t>
      </w:r>
      <w:r>
        <w:rPr>
          <w:rFonts w:ascii="Palatino Linotype" w:hAnsi="Palatino Linotype"/>
          <w:lang w:val="tr-TR"/>
        </w:rPr>
        <w:t>38 yıllık dönemde birikimli T</w:t>
      </w:r>
      <w:r w:rsidR="000B53AE" w:rsidRPr="00CE6600">
        <w:rPr>
          <w:rFonts w:ascii="Palatino Linotype" w:hAnsi="Palatino Linotype"/>
          <w:lang w:val="tr-TR"/>
        </w:rPr>
        <w:t>FV artış</w:t>
      </w:r>
      <w:r>
        <w:rPr>
          <w:rFonts w:ascii="Palatino Linotype" w:hAnsi="Palatino Linotype"/>
          <w:lang w:val="tr-TR"/>
        </w:rPr>
        <w:t xml:space="preserve">larına baktığımızda sanayinin </w:t>
      </w:r>
      <w:r w:rsidR="000B53AE" w:rsidRPr="00CE6600">
        <w:rPr>
          <w:rFonts w:ascii="Palatino Linotype" w:hAnsi="Palatino Linotype"/>
          <w:lang w:val="tr-TR"/>
        </w:rPr>
        <w:t>yüzde 1</w:t>
      </w:r>
      <w:r w:rsidR="007C10F8">
        <w:rPr>
          <w:rFonts w:ascii="Palatino Linotype" w:hAnsi="Palatino Linotype"/>
          <w:lang w:val="tr-TR"/>
        </w:rPr>
        <w:t>23,2</w:t>
      </w:r>
      <w:r>
        <w:rPr>
          <w:rFonts w:ascii="Palatino Linotype" w:hAnsi="Palatino Linotype"/>
          <w:lang w:val="tr-TR"/>
        </w:rPr>
        <w:t xml:space="preserve"> artışla başı çektiğini, </w:t>
      </w:r>
      <w:r w:rsidR="000B53AE">
        <w:rPr>
          <w:rFonts w:ascii="Palatino Linotype" w:hAnsi="Palatino Linotype"/>
          <w:lang w:val="tr-TR"/>
        </w:rPr>
        <w:t>tarım</w:t>
      </w:r>
      <w:r>
        <w:rPr>
          <w:rFonts w:ascii="Palatino Linotype" w:hAnsi="Palatino Linotype"/>
          <w:lang w:val="tr-TR"/>
        </w:rPr>
        <w:t>ın</w:t>
      </w:r>
      <w:r w:rsidR="000B53AE" w:rsidRPr="00CE6600">
        <w:rPr>
          <w:rFonts w:ascii="Palatino Linotype" w:hAnsi="Palatino Linotype"/>
          <w:lang w:val="tr-TR"/>
        </w:rPr>
        <w:t xml:space="preserve"> yüzde </w:t>
      </w:r>
      <w:r w:rsidR="007C10F8">
        <w:rPr>
          <w:rFonts w:ascii="Palatino Linotype" w:hAnsi="Palatino Linotype"/>
          <w:lang w:val="tr-TR"/>
        </w:rPr>
        <w:t>5</w:t>
      </w:r>
      <w:r w:rsidR="000B53AE">
        <w:rPr>
          <w:rFonts w:ascii="Palatino Linotype" w:hAnsi="Palatino Linotype"/>
          <w:lang w:val="tr-TR"/>
        </w:rPr>
        <w:t>8</w:t>
      </w:r>
      <w:r w:rsidR="007C10F8">
        <w:rPr>
          <w:rFonts w:ascii="Palatino Linotype" w:hAnsi="Palatino Linotype"/>
          <w:lang w:val="tr-TR"/>
        </w:rPr>
        <w:t>,3</w:t>
      </w:r>
      <w:r w:rsidR="000B53AE" w:rsidRPr="00CE6600">
        <w:rPr>
          <w:rFonts w:ascii="Palatino Linotype" w:hAnsi="Palatino Linotype"/>
          <w:lang w:val="tr-TR"/>
        </w:rPr>
        <w:t xml:space="preserve"> </w:t>
      </w:r>
      <w:r>
        <w:rPr>
          <w:rFonts w:ascii="Palatino Linotype" w:hAnsi="Palatino Linotype"/>
          <w:lang w:val="tr-TR"/>
        </w:rPr>
        <w:t>ile ikinci sırada geldiğini ve i</w:t>
      </w:r>
      <w:r w:rsidR="000B53AE">
        <w:rPr>
          <w:rFonts w:ascii="Palatino Linotype" w:hAnsi="Palatino Linotype"/>
          <w:lang w:val="tr-TR"/>
        </w:rPr>
        <w:t>nşaat</w:t>
      </w:r>
      <w:r w:rsidR="000B53AE" w:rsidRPr="00CE6600">
        <w:rPr>
          <w:rFonts w:ascii="Palatino Linotype" w:hAnsi="Palatino Linotype"/>
          <w:lang w:val="tr-TR"/>
        </w:rPr>
        <w:t xml:space="preserve"> sektöründe</w:t>
      </w:r>
      <w:r>
        <w:rPr>
          <w:rFonts w:ascii="Palatino Linotype" w:hAnsi="Palatino Linotype"/>
          <w:lang w:val="tr-TR"/>
        </w:rPr>
        <w:t>ki</w:t>
      </w:r>
      <w:r w:rsidR="000B53AE" w:rsidRPr="00CE6600">
        <w:rPr>
          <w:rFonts w:ascii="Palatino Linotype" w:hAnsi="Palatino Linotype"/>
          <w:lang w:val="tr-TR"/>
        </w:rPr>
        <w:t xml:space="preserve"> TFV büyümesi yüzde </w:t>
      </w:r>
      <w:r w:rsidR="007C10F8">
        <w:rPr>
          <w:rFonts w:ascii="Palatino Linotype" w:hAnsi="Palatino Linotype"/>
          <w:lang w:val="tr-TR"/>
        </w:rPr>
        <w:t>56,4</w:t>
      </w:r>
      <w:r w:rsidR="000B53AE" w:rsidRPr="00CE6600">
        <w:rPr>
          <w:rFonts w:ascii="Palatino Linotype" w:hAnsi="Palatino Linotype"/>
          <w:lang w:val="tr-TR"/>
        </w:rPr>
        <w:t xml:space="preserve"> ile </w:t>
      </w:r>
      <w:r>
        <w:rPr>
          <w:rFonts w:ascii="Palatino Linotype" w:hAnsi="Palatino Linotype"/>
          <w:lang w:val="tr-TR"/>
        </w:rPr>
        <w:t>tarım</w:t>
      </w:r>
      <w:r w:rsidR="007C10F8">
        <w:rPr>
          <w:rFonts w:ascii="Palatino Linotype" w:hAnsi="Palatino Linotype"/>
          <w:lang w:val="tr-TR"/>
        </w:rPr>
        <w:t>a çok yakın olduğunu</w:t>
      </w:r>
      <w:r>
        <w:rPr>
          <w:rFonts w:ascii="Palatino Linotype" w:hAnsi="Palatino Linotype"/>
          <w:lang w:val="tr-TR"/>
        </w:rPr>
        <w:t xml:space="preserve">, </w:t>
      </w:r>
      <w:r w:rsidR="000B53AE" w:rsidRPr="00CE6600">
        <w:rPr>
          <w:rFonts w:ascii="Palatino Linotype" w:hAnsi="Palatino Linotype"/>
          <w:lang w:val="tr-TR"/>
        </w:rPr>
        <w:t>hizmetler</w:t>
      </w:r>
      <w:r>
        <w:rPr>
          <w:rFonts w:ascii="Palatino Linotype" w:hAnsi="Palatino Linotype"/>
          <w:lang w:val="tr-TR"/>
        </w:rPr>
        <w:t xml:space="preserve"> sektöründe ise </w:t>
      </w:r>
      <w:proofErr w:type="spellStart"/>
      <w:r>
        <w:rPr>
          <w:rFonts w:ascii="Palatino Linotype" w:hAnsi="Palatino Linotype"/>
          <w:lang w:val="tr-TR"/>
        </w:rPr>
        <w:t>TFV’nin</w:t>
      </w:r>
      <w:proofErr w:type="spellEnd"/>
      <w:r>
        <w:rPr>
          <w:rFonts w:ascii="Palatino Linotype" w:hAnsi="Palatino Linotype"/>
          <w:lang w:val="tr-TR"/>
        </w:rPr>
        <w:t xml:space="preserve"> </w:t>
      </w:r>
      <w:r w:rsidR="000B53AE" w:rsidRPr="00CE6600">
        <w:rPr>
          <w:rFonts w:ascii="Palatino Linotype" w:hAnsi="Palatino Linotype"/>
          <w:lang w:val="tr-TR"/>
        </w:rPr>
        <w:t xml:space="preserve">yüzde </w:t>
      </w:r>
      <w:r w:rsidR="000B53AE">
        <w:rPr>
          <w:rFonts w:ascii="Palatino Linotype" w:hAnsi="Palatino Linotype"/>
          <w:lang w:val="tr-TR"/>
        </w:rPr>
        <w:t>4</w:t>
      </w:r>
      <w:r w:rsidR="007C10F8">
        <w:rPr>
          <w:rFonts w:ascii="Palatino Linotype" w:hAnsi="Palatino Linotype"/>
          <w:lang w:val="tr-TR"/>
        </w:rPr>
        <w:t>1,3 oranında</w:t>
      </w:r>
      <w:r>
        <w:rPr>
          <w:rFonts w:ascii="Palatino Linotype" w:hAnsi="Palatino Linotype"/>
          <w:lang w:val="tr-TR"/>
        </w:rPr>
        <w:t xml:space="preserve"> daraldığını tespit ediyoruz.</w:t>
      </w:r>
    </w:p>
    <w:p w:rsidR="00497D2D" w:rsidRDefault="000B53AE" w:rsidP="00772D60">
      <w:pPr>
        <w:spacing w:after="240" w:line="276" w:lineRule="auto"/>
        <w:ind w:left="567" w:right="567"/>
        <w:jc w:val="both"/>
        <w:rPr>
          <w:rFonts w:ascii="Palatino Linotype" w:hAnsi="Palatino Linotype"/>
          <w:lang w:val="tr-TR"/>
        </w:rPr>
      </w:pPr>
      <w:r w:rsidRPr="00986E15">
        <w:rPr>
          <w:rFonts w:ascii="Palatino Linotype" w:hAnsi="Palatino Linotype"/>
          <w:lang w:val="tr-TR"/>
        </w:rPr>
        <w:t xml:space="preserve">Geniş </w:t>
      </w:r>
      <w:proofErr w:type="spellStart"/>
      <w:r w:rsidRPr="00986E15">
        <w:rPr>
          <w:rFonts w:ascii="Palatino Linotype" w:hAnsi="Palatino Linotype"/>
          <w:lang w:val="tr-TR"/>
        </w:rPr>
        <w:t>dönemlendirmeye</w:t>
      </w:r>
      <w:proofErr w:type="spellEnd"/>
      <w:r w:rsidRPr="00986E15">
        <w:rPr>
          <w:rFonts w:ascii="Palatino Linotype" w:hAnsi="Palatino Linotype"/>
          <w:lang w:val="tr-TR"/>
        </w:rPr>
        <w:t xml:space="preserve"> göre TFV artışlarını incelediğimizde</w:t>
      </w:r>
      <w:r w:rsidR="00302E28">
        <w:rPr>
          <w:rFonts w:ascii="Palatino Linotype" w:hAnsi="Palatino Linotype"/>
          <w:lang w:val="tr-TR"/>
        </w:rPr>
        <w:t xml:space="preserve"> şu sonuçlara ulaşıyoruz:</w:t>
      </w:r>
      <w:r w:rsidRPr="00986E15">
        <w:rPr>
          <w:rFonts w:ascii="Palatino Linotype" w:hAnsi="Palatino Linotype"/>
          <w:lang w:val="tr-TR"/>
        </w:rPr>
        <w:t xml:space="preserve"> </w:t>
      </w:r>
    </w:p>
    <w:p w:rsidR="00497D2D" w:rsidRDefault="00302E28" w:rsidP="00497D2D">
      <w:pPr>
        <w:pStyle w:val="ListeParagraf"/>
        <w:numPr>
          <w:ilvl w:val="0"/>
          <w:numId w:val="2"/>
        </w:numPr>
        <w:spacing w:after="240" w:line="276" w:lineRule="auto"/>
        <w:ind w:right="567"/>
        <w:jc w:val="both"/>
        <w:rPr>
          <w:rFonts w:ascii="Palatino Linotype" w:hAnsi="Palatino Linotype"/>
          <w:lang w:val="tr-TR"/>
        </w:rPr>
      </w:pPr>
      <w:r>
        <w:rPr>
          <w:rFonts w:ascii="Palatino Linotype" w:hAnsi="Palatino Linotype"/>
          <w:lang w:val="tr-TR"/>
        </w:rPr>
        <w:t>T</w:t>
      </w:r>
      <w:r w:rsidR="000B53AE" w:rsidRPr="00497D2D">
        <w:rPr>
          <w:rFonts w:ascii="Palatino Linotype" w:hAnsi="Palatino Linotype"/>
          <w:lang w:val="tr-TR"/>
        </w:rPr>
        <w:t>arımda 80’li yıllar haricinde TFV artışlarının pozitif olduğu görülmektedir. 1990-2002 ve 2003-2013 yıllarında TFV artışı yıllık ortalama %1,5 olurken 2014-2018 döneminde %3,1 TFV artışı yaşanmıştır.</w:t>
      </w:r>
      <w:r w:rsidR="00BA5426" w:rsidRPr="00497D2D">
        <w:rPr>
          <w:rFonts w:ascii="Palatino Linotype" w:hAnsi="Palatino Linotype"/>
          <w:lang w:val="tr-TR"/>
        </w:rPr>
        <w:t xml:space="preserve"> </w:t>
      </w:r>
    </w:p>
    <w:p w:rsidR="00497D2D" w:rsidRDefault="00302E28" w:rsidP="00497D2D">
      <w:pPr>
        <w:pStyle w:val="ListeParagraf"/>
        <w:numPr>
          <w:ilvl w:val="0"/>
          <w:numId w:val="2"/>
        </w:numPr>
        <w:spacing w:after="240" w:line="276" w:lineRule="auto"/>
        <w:ind w:right="567"/>
        <w:jc w:val="both"/>
        <w:rPr>
          <w:rFonts w:ascii="Palatino Linotype" w:hAnsi="Palatino Linotype"/>
          <w:lang w:val="tr-TR"/>
        </w:rPr>
      </w:pPr>
      <w:r>
        <w:rPr>
          <w:rFonts w:ascii="Palatino Linotype" w:hAnsi="Palatino Linotype"/>
          <w:lang w:val="tr-TR"/>
        </w:rPr>
        <w:t>S</w:t>
      </w:r>
      <w:r w:rsidR="00BA5426" w:rsidRPr="00497D2D">
        <w:rPr>
          <w:rFonts w:ascii="Palatino Linotype" w:hAnsi="Palatino Linotype"/>
          <w:lang w:val="tr-TR"/>
        </w:rPr>
        <w:t xml:space="preserve">anayi sektöründe TFV artışı 1981-1989 yılları arasında %4,5 yıllık ortalama ile oldukça yüksek olmuştur. 2011-2013 alt döneminde de %4,6 ile hızlı bir TFV artışı yaşanmıştır. Küresel Finans Krizi’nin etkili olduğu yıllar haricinde sanayi sektöründe TFV sürekli artarken 90’lı yıllarda oldukça zayıf bir performans sergilenmiştir. Dikkat çekici husus 2014-2018 döneminde de sanayi sektörü TFV artışının 90’lı yıllara yakınsamasıdır. </w:t>
      </w:r>
    </w:p>
    <w:p w:rsidR="00497D2D" w:rsidRPr="00497D2D" w:rsidRDefault="00302E28" w:rsidP="00497D2D">
      <w:pPr>
        <w:pStyle w:val="ListeParagraf"/>
        <w:numPr>
          <w:ilvl w:val="0"/>
          <w:numId w:val="2"/>
        </w:numPr>
        <w:spacing w:after="240" w:line="276" w:lineRule="auto"/>
        <w:ind w:right="567"/>
        <w:jc w:val="both"/>
        <w:rPr>
          <w:rFonts w:ascii="Palatino Linotype" w:hAnsi="Palatino Linotype"/>
          <w:lang w:val="tr-TR"/>
        </w:rPr>
      </w:pPr>
      <w:r>
        <w:rPr>
          <w:rFonts w:ascii="Palatino Linotype" w:hAnsi="Palatino Linotype"/>
          <w:lang w:val="tr-TR"/>
        </w:rPr>
        <w:t>İ</w:t>
      </w:r>
      <w:r w:rsidR="00BA5426" w:rsidRPr="00497D2D">
        <w:rPr>
          <w:rFonts w:ascii="Palatino Linotype" w:hAnsi="Palatino Linotype"/>
          <w:lang w:val="tr-TR"/>
        </w:rPr>
        <w:t>nşaat sektöründe TFV 1981-1989 yıllarında %3,2, 1990-2002 döneminde eksi %1,9, 2003-2013 yıllarında ise %4,8 büyümüştür. 2014-2018 yıllarında ise %2,5 daralma kaydedilmiştir.</w:t>
      </w:r>
      <w:r w:rsidR="00BA5426" w:rsidRPr="00BA5426">
        <w:t xml:space="preserve"> </w:t>
      </w:r>
    </w:p>
    <w:p w:rsidR="00497D2D" w:rsidRPr="00AA714D" w:rsidRDefault="00302E28" w:rsidP="00AA714D">
      <w:pPr>
        <w:pStyle w:val="ListeParagraf"/>
        <w:numPr>
          <w:ilvl w:val="0"/>
          <w:numId w:val="2"/>
        </w:numPr>
        <w:spacing w:after="240" w:line="276" w:lineRule="auto"/>
        <w:ind w:right="567"/>
        <w:jc w:val="both"/>
        <w:rPr>
          <w:rFonts w:ascii="Palatino Linotype" w:hAnsi="Palatino Linotype"/>
          <w:lang w:val="tr-TR"/>
        </w:rPr>
      </w:pPr>
      <w:r>
        <w:rPr>
          <w:rFonts w:ascii="Palatino Linotype" w:hAnsi="Palatino Linotype"/>
          <w:lang w:val="tr-TR"/>
        </w:rPr>
        <w:t>Hi</w:t>
      </w:r>
      <w:r w:rsidR="00BA5426" w:rsidRPr="00497D2D">
        <w:rPr>
          <w:rFonts w:ascii="Palatino Linotype" w:hAnsi="Palatino Linotype"/>
          <w:lang w:val="tr-TR"/>
        </w:rPr>
        <w:t>zmetler sektöründe ise tüm dönemlerde TFV azalmıştır.</w:t>
      </w:r>
    </w:p>
    <w:p w:rsidR="007C10F8" w:rsidRDefault="007C10F8" w:rsidP="00CE6600">
      <w:pPr>
        <w:spacing w:before="240" w:after="60" w:line="276" w:lineRule="auto"/>
        <w:jc w:val="both"/>
        <w:rPr>
          <w:rFonts w:ascii="Palatino Linotype" w:hAnsi="Palatino Linotype"/>
          <w:b/>
          <w:bCs/>
          <w:sz w:val="26"/>
          <w:szCs w:val="26"/>
          <w:lang w:val="tr-TR"/>
        </w:rPr>
      </w:pPr>
    </w:p>
    <w:p w:rsidR="00CE6600" w:rsidRPr="00275204" w:rsidRDefault="00CE6600" w:rsidP="00CE6600">
      <w:pPr>
        <w:spacing w:before="240" w:after="60" w:line="276" w:lineRule="auto"/>
        <w:jc w:val="both"/>
        <w:rPr>
          <w:b/>
          <w:bCs/>
          <w:sz w:val="24"/>
          <w:szCs w:val="24"/>
          <w:lang w:val="tr-TR"/>
        </w:rPr>
      </w:pPr>
      <w:r w:rsidRPr="00275204">
        <w:rPr>
          <w:rFonts w:ascii="Palatino Linotype" w:hAnsi="Palatino Linotype"/>
          <w:b/>
          <w:bCs/>
          <w:sz w:val="26"/>
          <w:szCs w:val="26"/>
          <w:lang w:val="tr-TR"/>
        </w:rPr>
        <w:lastRenderedPageBreak/>
        <w:t>Giriş</w:t>
      </w:r>
    </w:p>
    <w:p w:rsidR="00DE6847" w:rsidRDefault="007A29A1" w:rsidP="00437514">
      <w:pPr>
        <w:spacing w:after="240" w:line="276" w:lineRule="auto"/>
        <w:jc w:val="both"/>
        <w:rPr>
          <w:rFonts w:ascii="Palatino Linotype" w:hAnsi="Palatino Linotype"/>
          <w:lang w:val="tr-TR"/>
        </w:rPr>
      </w:pPr>
      <w:r w:rsidRPr="00CE6600">
        <w:rPr>
          <w:rFonts w:ascii="Palatino Linotype" w:hAnsi="Palatino Linotype"/>
          <w:lang w:val="tr-TR"/>
        </w:rPr>
        <w:t xml:space="preserve">Bu not, </w:t>
      </w:r>
      <w:r w:rsidR="00882400">
        <w:rPr>
          <w:rFonts w:ascii="Palatino Linotype" w:hAnsi="Palatino Linotype"/>
          <w:lang w:val="tr-TR"/>
        </w:rPr>
        <w:t>Betam</w:t>
      </w:r>
      <w:r w:rsidRPr="00CE6600">
        <w:rPr>
          <w:rFonts w:ascii="Palatino Linotype" w:hAnsi="Palatino Linotype"/>
          <w:lang w:val="tr-TR"/>
        </w:rPr>
        <w:t xml:space="preserve"> Toplam Faktör Verimliliği Çalışma Tebliği’ne istinaden hazırlanan ikinci araştırma notudur. İlk araştırma notunda Türkiye’de GSYH’nin, istihdamın, iş gücü üretkenliğinin ve Toplam Faktör </w:t>
      </w:r>
      <w:proofErr w:type="spellStart"/>
      <w:r w:rsidRPr="00CE6600">
        <w:rPr>
          <w:rFonts w:ascii="Palatino Linotype" w:hAnsi="Palatino Linotype"/>
          <w:lang w:val="tr-TR"/>
        </w:rPr>
        <w:t>Verimliliği’nin</w:t>
      </w:r>
      <w:proofErr w:type="spellEnd"/>
      <w:r w:rsidRPr="00CE6600">
        <w:rPr>
          <w:rFonts w:ascii="Palatino Linotype" w:hAnsi="Palatino Linotype"/>
          <w:lang w:val="tr-TR"/>
        </w:rPr>
        <w:t xml:space="preserve"> (TFV) 1980-2018 yılları arasındaki seyrini dört ana döneme ayırarak incelemiştik</w:t>
      </w:r>
      <w:r w:rsidR="001C1700">
        <w:rPr>
          <w:rStyle w:val="DipnotBavurusu"/>
          <w:rFonts w:ascii="Palatino Linotype" w:hAnsi="Palatino Linotype"/>
          <w:lang w:val="tr-TR"/>
        </w:rPr>
        <w:footnoteReference w:id="5"/>
      </w:r>
      <w:r w:rsidRPr="00CE6600">
        <w:rPr>
          <w:rFonts w:ascii="Palatino Linotype" w:hAnsi="Palatino Linotype"/>
          <w:lang w:val="tr-TR"/>
        </w:rPr>
        <w:t>. Bu araştırma notunda ise bahsi geçen verilere tarım,</w:t>
      </w:r>
      <w:r w:rsidRPr="006F21D7">
        <w:rPr>
          <w:sz w:val="24"/>
          <w:szCs w:val="24"/>
          <w:lang w:val="tr-TR"/>
        </w:rPr>
        <w:t xml:space="preserve"> </w:t>
      </w:r>
      <w:r w:rsidRPr="00CE6600">
        <w:rPr>
          <w:rFonts w:ascii="Palatino Linotype" w:hAnsi="Palatino Linotype"/>
          <w:lang w:val="tr-TR"/>
        </w:rPr>
        <w:t xml:space="preserve">sanayi, inşaat ve hizmetler olmak üzere </w:t>
      </w:r>
      <w:proofErr w:type="spellStart"/>
      <w:r w:rsidRPr="00CE6600">
        <w:rPr>
          <w:rFonts w:ascii="Palatino Linotype" w:hAnsi="Palatino Linotype"/>
          <w:lang w:val="tr-TR"/>
        </w:rPr>
        <w:t>sektörel</w:t>
      </w:r>
      <w:proofErr w:type="spellEnd"/>
      <w:r w:rsidRPr="00CE6600">
        <w:rPr>
          <w:rFonts w:ascii="Palatino Linotype" w:hAnsi="Palatino Linotype"/>
          <w:lang w:val="tr-TR"/>
        </w:rPr>
        <w:t xml:space="preserve"> bazda yaklaşılacaktır.</w:t>
      </w:r>
      <w:r w:rsidR="00DE6847" w:rsidRPr="00CE6600">
        <w:rPr>
          <w:rFonts w:ascii="Palatino Linotype" w:hAnsi="Palatino Linotype"/>
          <w:lang w:val="tr-TR"/>
        </w:rPr>
        <w:t xml:space="preserve"> Yine bu sektörlerin seyri 1980-1989, 1990-2002, 2003-2013 ve 2014-2018 dönemlerine göre incelenecektir.</w:t>
      </w:r>
      <w:r w:rsidRPr="00CE6600">
        <w:rPr>
          <w:rFonts w:ascii="Palatino Linotype" w:hAnsi="Palatino Linotype"/>
          <w:lang w:val="tr-TR"/>
        </w:rPr>
        <w:t xml:space="preserve"> </w:t>
      </w:r>
    </w:p>
    <w:p w:rsidR="00C42551" w:rsidRPr="006F21D7" w:rsidRDefault="00C42551" w:rsidP="00C42551">
      <w:pPr>
        <w:spacing w:before="240" w:after="60" w:line="276" w:lineRule="auto"/>
        <w:jc w:val="both"/>
        <w:rPr>
          <w:sz w:val="24"/>
          <w:szCs w:val="24"/>
          <w:lang w:val="tr-TR"/>
        </w:rPr>
      </w:pPr>
      <w:proofErr w:type="spellStart"/>
      <w:r w:rsidRPr="00437514">
        <w:rPr>
          <w:rFonts w:ascii="Palatino Linotype" w:hAnsi="Palatino Linotype"/>
          <w:b/>
          <w:sz w:val="26"/>
          <w:szCs w:val="26"/>
          <w:lang w:val="tr-TR"/>
        </w:rPr>
        <w:t>Sektörel</w:t>
      </w:r>
      <w:proofErr w:type="spellEnd"/>
      <w:r w:rsidRPr="00437514">
        <w:rPr>
          <w:rFonts w:ascii="Palatino Linotype" w:hAnsi="Palatino Linotype"/>
          <w:b/>
          <w:sz w:val="26"/>
          <w:szCs w:val="26"/>
          <w:lang w:val="tr-TR"/>
        </w:rPr>
        <w:t xml:space="preserve"> Büyümeler</w:t>
      </w:r>
    </w:p>
    <w:p w:rsidR="00C42551" w:rsidRPr="00437514" w:rsidRDefault="00C42551" w:rsidP="00C42551">
      <w:pPr>
        <w:spacing w:after="240" w:line="276" w:lineRule="auto"/>
        <w:jc w:val="both"/>
        <w:rPr>
          <w:rFonts w:ascii="Palatino Linotype" w:hAnsi="Palatino Linotype"/>
          <w:b/>
          <w:bCs/>
          <w:lang w:val="tr-TR"/>
        </w:rPr>
      </w:pPr>
      <w:r w:rsidRPr="00437514">
        <w:rPr>
          <w:rFonts w:ascii="Palatino Linotype" w:hAnsi="Palatino Linotype"/>
          <w:b/>
          <w:bCs/>
          <w:lang w:val="tr-TR"/>
        </w:rPr>
        <w:t xml:space="preserve">Grafik </w:t>
      </w:r>
      <w:r w:rsidR="00BC211A">
        <w:rPr>
          <w:rFonts w:ascii="Palatino Linotype" w:hAnsi="Palatino Linotype"/>
          <w:b/>
          <w:bCs/>
          <w:lang w:val="tr-TR"/>
        </w:rPr>
        <w:t>1</w:t>
      </w:r>
      <w:r w:rsidRPr="00437514">
        <w:rPr>
          <w:rFonts w:ascii="Palatino Linotype" w:hAnsi="Palatino Linotype"/>
          <w:b/>
          <w:bCs/>
          <w:lang w:val="tr-TR"/>
        </w:rPr>
        <w:t xml:space="preserve">: </w:t>
      </w:r>
      <w:proofErr w:type="spellStart"/>
      <w:r w:rsidRPr="00437514">
        <w:rPr>
          <w:rFonts w:ascii="Palatino Linotype" w:hAnsi="Palatino Linotype"/>
          <w:b/>
          <w:bCs/>
          <w:lang w:val="tr-TR"/>
        </w:rPr>
        <w:t>Sektörel</w:t>
      </w:r>
      <w:proofErr w:type="spellEnd"/>
      <w:r w:rsidRPr="00437514">
        <w:rPr>
          <w:rFonts w:ascii="Palatino Linotype" w:hAnsi="Palatino Linotype"/>
          <w:b/>
          <w:bCs/>
          <w:lang w:val="tr-TR"/>
        </w:rPr>
        <w:t xml:space="preserve"> Çıktıların Yıllara Göre Büyüme Oranları (%)</w:t>
      </w:r>
    </w:p>
    <w:p w:rsidR="00C42551" w:rsidRDefault="00C42551" w:rsidP="00C42551">
      <w:pPr>
        <w:spacing w:after="0" w:line="240" w:lineRule="auto"/>
        <w:rPr>
          <w:lang w:val="tr-TR"/>
        </w:rPr>
      </w:pPr>
      <w:r>
        <w:rPr>
          <w:noProof/>
          <w:lang w:eastAsia="en-GB"/>
        </w:rPr>
        <w:drawing>
          <wp:inline distT="0" distB="0" distL="0" distR="0" wp14:anchorId="3C94B442" wp14:editId="2FD42ABC">
            <wp:extent cx="6250411" cy="374418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8480" cy="3755010"/>
                    </a:xfrm>
                    <a:prstGeom prst="rect">
                      <a:avLst/>
                    </a:prstGeom>
                    <a:noFill/>
                  </pic:spPr>
                </pic:pic>
              </a:graphicData>
            </a:graphic>
          </wp:inline>
        </w:drawing>
      </w:r>
    </w:p>
    <w:p w:rsidR="00C42551" w:rsidRDefault="00C42551" w:rsidP="00C42551">
      <w:pPr>
        <w:spacing w:after="240" w:line="276" w:lineRule="auto"/>
        <w:jc w:val="both"/>
        <w:rPr>
          <w:rFonts w:ascii="Palatino Linotype" w:hAnsi="Palatino Linotype"/>
          <w:lang w:val="tr-TR"/>
        </w:rPr>
      </w:pPr>
      <w:r w:rsidRPr="00437514">
        <w:rPr>
          <w:rFonts w:ascii="Palatino Linotype" w:hAnsi="Palatino Linotype"/>
          <w:b/>
          <w:bCs/>
          <w:lang w:val="tr-TR"/>
        </w:rPr>
        <w:t xml:space="preserve">Kaynak: </w:t>
      </w:r>
      <w:r>
        <w:rPr>
          <w:rFonts w:ascii="Palatino Linotype" w:hAnsi="Palatino Linotype"/>
          <w:lang w:val="tr-TR"/>
        </w:rPr>
        <w:t>Betam</w:t>
      </w:r>
    </w:p>
    <w:p w:rsidR="00C42551" w:rsidRPr="00437514" w:rsidRDefault="00C42551" w:rsidP="00C42551">
      <w:pPr>
        <w:spacing w:after="240" w:line="276" w:lineRule="auto"/>
        <w:jc w:val="both"/>
        <w:rPr>
          <w:rFonts w:ascii="Palatino Linotype" w:hAnsi="Palatino Linotype"/>
          <w:lang w:val="tr-TR"/>
        </w:rPr>
      </w:pPr>
      <w:r>
        <w:rPr>
          <w:rFonts w:ascii="Palatino Linotype" w:hAnsi="Palatino Linotype"/>
          <w:lang w:val="tr-TR"/>
        </w:rPr>
        <w:t xml:space="preserve">Grafik </w:t>
      </w:r>
      <w:r w:rsidR="00BC211A">
        <w:rPr>
          <w:rFonts w:ascii="Palatino Linotype" w:hAnsi="Palatino Linotype"/>
          <w:lang w:val="tr-TR"/>
        </w:rPr>
        <w:t>1</w:t>
      </w:r>
      <w:r>
        <w:rPr>
          <w:rFonts w:ascii="Palatino Linotype" w:hAnsi="Palatino Linotype"/>
          <w:lang w:val="tr-TR"/>
        </w:rPr>
        <w:t>, dört ana sektör için 1980’den günümüze GSYH büyüme oranlarını göstermektedir. Bunlardan</w:t>
      </w:r>
      <w:r w:rsidRPr="00437514">
        <w:rPr>
          <w:rFonts w:ascii="Palatino Linotype" w:hAnsi="Palatino Linotype"/>
          <w:lang w:val="tr-TR"/>
        </w:rPr>
        <w:t xml:space="preserve"> tarımın büyümesinin oldukça oynak olduğu görülmektedir. </w:t>
      </w:r>
      <w:r>
        <w:rPr>
          <w:rFonts w:ascii="Palatino Linotype" w:hAnsi="Palatino Linotype"/>
          <w:lang w:val="tr-TR"/>
        </w:rPr>
        <w:t xml:space="preserve">Tarım sektörü </w:t>
      </w:r>
      <w:r w:rsidRPr="00437514">
        <w:rPr>
          <w:rFonts w:ascii="Palatino Linotype" w:hAnsi="Palatino Linotype"/>
          <w:lang w:val="tr-TR"/>
        </w:rPr>
        <w:t>1980-2018 yılları arasında toplamda 11 kere daralma yaşamıştır. Tarım sektörünün yapısı dolayısıyla bu durum şaşırtıcı olmayabilir.</w:t>
      </w:r>
      <w:r>
        <w:rPr>
          <w:rFonts w:ascii="Palatino Linotype" w:hAnsi="Palatino Linotype"/>
          <w:lang w:val="tr-TR"/>
        </w:rPr>
        <w:t xml:space="preserve"> İnşaat sektörü tarım kadar fazla daralma yaşamasa da dalgalanmaların boyutu en fazla olan ve bu anlamda en oynak olan sektördür.</w:t>
      </w:r>
      <w:r w:rsidRPr="00437514">
        <w:rPr>
          <w:rFonts w:ascii="Palatino Linotype" w:hAnsi="Palatino Linotype"/>
          <w:lang w:val="tr-TR"/>
        </w:rPr>
        <w:t xml:space="preserve"> İnşaat sektörü olağanüstü büyüme rakamlarına ulaşan ve sonra çok sert düşüşler gösteren bir gelişim izlemiştir. Sanayi ve hizmetler bu yıllar boyunca daha istikrarlı bir görüntü sergilemiştir.</w:t>
      </w:r>
    </w:p>
    <w:p w:rsidR="00C42551" w:rsidRDefault="00C42551" w:rsidP="00C42551">
      <w:pPr>
        <w:spacing w:after="240" w:line="276" w:lineRule="auto"/>
        <w:jc w:val="both"/>
        <w:rPr>
          <w:rFonts w:ascii="Palatino Linotype" w:hAnsi="Palatino Linotype"/>
          <w:lang w:val="tr-TR"/>
        </w:rPr>
      </w:pPr>
      <w:r w:rsidRPr="00437514">
        <w:rPr>
          <w:rFonts w:ascii="Palatino Linotype" w:hAnsi="Palatino Linotype"/>
          <w:lang w:val="tr-TR"/>
        </w:rPr>
        <w:lastRenderedPageBreak/>
        <w:t>1980-2018 yılları arasında tarım sektörü yıllık ortalama yüzde 2,1 büyürken sanayi 5,7, hizmetler ise yüzde 4,4 genişlemiştir. İnşaat sektörü bu dönemde yıllık ortalama yüzde 6,3 ile en hızlı büyüyen sektör olmuştur.</w:t>
      </w:r>
    </w:p>
    <w:p w:rsidR="00C42551" w:rsidRPr="00C42551" w:rsidRDefault="00C42551" w:rsidP="00C42551">
      <w:pPr>
        <w:spacing w:after="240" w:line="276" w:lineRule="auto"/>
        <w:jc w:val="both"/>
        <w:rPr>
          <w:sz w:val="24"/>
          <w:szCs w:val="24"/>
          <w:lang w:val="tr-TR"/>
        </w:rPr>
      </w:pPr>
      <w:r w:rsidRPr="00437514">
        <w:rPr>
          <w:rFonts w:ascii="Palatino Linotype" w:hAnsi="Palatino Linotype"/>
          <w:lang w:val="tr-TR"/>
        </w:rPr>
        <w:t>Dönemlik ortalama büyümeler incelendiğinde 1981-1989 ile 2003-2013 dönemlerine</w:t>
      </w:r>
      <w:r>
        <w:rPr>
          <w:rFonts w:ascii="Palatino Linotype" w:hAnsi="Palatino Linotype"/>
          <w:lang w:val="tr-TR"/>
        </w:rPr>
        <w:t>,</w:t>
      </w:r>
      <w:r w:rsidRPr="00437514">
        <w:rPr>
          <w:rFonts w:ascii="Palatino Linotype" w:hAnsi="Palatino Linotype"/>
          <w:lang w:val="tr-TR"/>
        </w:rPr>
        <w:t xml:space="preserve"> güçlü inşaat ve sanayi büyümelerinin damga vurduğu görülmektedir. 1990-2002 yılları arasındaki durgunluk döneminin tarım hariç bütün sektörlerde büyümeyi yavaşlattığı; ancak, hizmetlerin bu dönemde oldukça az etkilendiği tespit edilmektedir. 2014-2018 döneminde ise inşaatın bir adım geri plana çekildiği ve sanayi ile hizmetlerin ekonominin motor gücü olduğu bir tablo yaşanmıştır. </w:t>
      </w:r>
    </w:p>
    <w:p w:rsidR="00C42551" w:rsidRPr="00437514" w:rsidRDefault="00C42551" w:rsidP="00C42551">
      <w:pPr>
        <w:spacing w:after="240" w:line="276" w:lineRule="auto"/>
        <w:jc w:val="both"/>
        <w:rPr>
          <w:rFonts w:ascii="Palatino Linotype" w:hAnsi="Palatino Linotype"/>
          <w:b/>
          <w:bCs/>
          <w:lang w:val="tr-TR"/>
        </w:rPr>
      </w:pPr>
      <w:r w:rsidRPr="00437514">
        <w:rPr>
          <w:rFonts w:ascii="Palatino Linotype" w:hAnsi="Palatino Linotype"/>
          <w:b/>
          <w:bCs/>
          <w:lang w:val="tr-TR"/>
        </w:rPr>
        <w:t xml:space="preserve">Tablo </w:t>
      </w:r>
      <w:r w:rsidR="00BC211A">
        <w:rPr>
          <w:rFonts w:ascii="Palatino Linotype" w:hAnsi="Palatino Linotype"/>
          <w:b/>
          <w:bCs/>
          <w:lang w:val="tr-TR"/>
        </w:rPr>
        <w:t>1</w:t>
      </w:r>
      <w:r w:rsidRPr="00437514">
        <w:rPr>
          <w:rFonts w:ascii="Palatino Linotype" w:hAnsi="Palatino Linotype"/>
          <w:b/>
          <w:bCs/>
          <w:lang w:val="tr-TR"/>
        </w:rPr>
        <w:t xml:space="preserve">: </w:t>
      </w:r>
      <w:proofErr w:type="spellStart"/>
      <w:r w:rsidRPr="00437514">
        <w:rPr>
          <w:rFonts w:ascii="Palatino Linotype" w:hAnsi="Palatino Linotype"/>
          <w:b/>
          <w:bCs/>
          <w:lang w:val="tr-TR"/>
        </w:rPr>
        <w:t>Sektörel</w:t>
      </w:r>
      <w:proofErr w:type="spellEnd"/>
      <w:r w:rsidRPr="00437514">
        <w:rPr>
          <w:rFonts w:ascii="Palatino Linotype" w:hAnsi="Palatino Linotype"/>
          <w:b/>
          <w:bCs/>
          <w:lang w:val="tr-TR"/>
        </w:rPr>
        <w:t xml:space="preserve"> Çıktıların Döneml</w:t>
      </w:r>
      <w:r>
        <w:rPr>
          <w:rFonts w:ascii="Palatino Linotype" w:hAnsi="Palatino Linotype"/>
          <w:b/>
          <w:bCs/>
          <w:lang w:val="tr-TR"/>
        </w:rPr>
        <w:t>ere Göre</w:t>
      </w:r>
      <w:r w:rsidRPr="00437514">
        <w:rPr>
          <w:rFonts w:ascii="Palatino Linotype" w:hAnsi="Palatino Linotype"/>
          <w:b/>
          <w:bCs/>
          <w:lang w:val="tr-TR"/>
        </w:rPr>
        <w:t xml:space="preserve"> Büyüme Oranları (</w:t>
      </w:r>
      <w:r>
        <w:rPr>
          <w:rFonts w:ascii="Palatino Linotype" w:hAnsi="Palatino Linotype"/>
          <w:b/>
          <w:bCs/>
          <w:lang w:val="tr-TR"/>
        </w:rPr>
        <w:t xml:space="preserve">Yıllık Ortalama </w:t>
      </w:r>
      <w:r w:rsidRPr="00437514">
        <w:rPr>
          <w:rFonts w:ascii="Palatino Linotype" w:hAnsi="Palatino Linotype"/>
          <w:b/>
          <w:bCs/>
          <w:lang w:val="tr-TR"/>
        </w:rPr>
        <w:t>%)</w:t>
      </w:r>
    </w:p>
    <w:tbl>
      <w:tblPr>
        <w:tblW w:w="6737" w:type="dxa"/>
        <w:tblLook w:val="04A0" w:firstRow="1" w:lastRow="0" w:firstColumn="1" w:lastColumn="0" w:noHBand="0" w:noVBand="1"/>
      </w:tblPr>
      <w:tblGrid>
        <w:gridCol w:w="2279"/>
        <w:gridCol w:w="1072"/>
        <w:gridCol w:w="1072"/>
        <w:gridCol w:w="1072"/>
        <w:gridCol w:w="1242"/>
      </w:tblGrid>
      <w:tr w:rsidR="00C42551" w:rsidRPr="00437514" w:rsidTr="00825A2B">
        <w:trPr>
          <w:trHeight w:val="322"/>
        </w:trPr>
        <w:tc>
          <w:tcPr>
            <w:tcW w:w="2279" w:type="dxa"/>
            <w:tcBorders>
              <w:top w:val="single" w:sz="4" w:space="0" w:color="auto"/>
              <w:left w:val="nil"/>
              <w:bottom w:val="single" w:sz="4" w:space="0" w:color="auto"/>
              <w:right w:val="nil"/>
            </w:tcBorders>
            <w:shd w:val="clear" w:color="000000" w:fill="FFFFFF"/>
            <w:noWrap/>
            <w:vAlign w:val="bottom"/>
            <w:hideMark/>
          </w:tcPr>
          <w:p w:rsidR="00C42551" w:rsidRPr="00437514" w:rsidRDefault="00C42551" w:rsidP="00825A2B">
            <w:pPr>
              <w:spacing w:after="0" w:line="240" w:lineRule="auto"/>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 </w:t>
            </w:r>
          </w:p>
        </w:tc>
        <w:tc>
          <w:tcPr>
            <w:tcW w:w="1072" w:type="dxa"/>
            <w:tcBorders>
              <w:top w:val="single" w:sz="4" w:space="0" w:color="auto"/>
              <w:left w:val="nil"/>
              <w:bottom w:val="single" w:sz="4" w:space="0" w:color="auto"/>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Tarım</w:t>
            </w:r>
          </w:p>
        </w:tc>
        <w:tc>
          <w:tcPr>
            <w:tcW w:w="1072" w:type="dxa"/>
            <w:tcBorders>
              <w:top w:val="single" w:sz="4" w:space="0" w:color="auto"/>
              <w:left w:val="nil"/>
              <w:bottom w:val="single" w:sz="4" w:space="0" w:color="auto"/>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Sanayi</w:t>
            </w:r>
          </w:p>
        </w:tc>
        <w:tc>
          <w:tcPr>
            <w:tcW w:w="1072" w:type="dxa"/>
            <w:tcBorders>
              <w:top w:val="single" w:sz="4" w:space="0" w:color="auto"/>
              <w:left w:val="nil"/>
              <w:bottom w:val="single" w:sz="4" w:space="0" w:color="auto"/>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İnşaat</w:t>
            </w:r>
          </w:p>
        </w:tc>
        <w:tc>
          <w:tcPr>
            <w:tcW w:w="1242" w:type="dxa"/>
            <w:tcBorders>
              <w:top w:val="single" w:sz="4" w:space="0" w:color="auto"/>
              <w:left w:val="nil"/>
              <w:bottom w:val="single" w:sz="4" w:space="0" w:color="auto"/>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Hizmetler</w:t>
            </w:r>
          </w:p>
        </w:tc>
      </w:tr>
      <w:tr w:rsidR="00C42551" w:rsidRPr="00437514" w:rsidTr="00825A2B">
        <w:trPr>
          <w:trHeight w:val="322"/>
        </w:trPr>
        <w:tc>
          <w:tcPr>
            <w:tcW w:w="2279"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rPr>
                <w:rFonts w:ascii="Palatino Linotype" w:eastAsia="Times New Roman" w:hAnsi="Palatino Linotype" w:cs="Calibri Light"/>
                <w:b/>
                <w:bCs/>
                <w:sz w:val="20"/>
                <w:szCs w:val="20"/>
                <w:lang w:val="tr-TR" w:eastAsia="en-GB"/>
              </w:rPr>
            </w:pPr>
            <w:r w:rsidRPr="00437514">
              <w:rPr>
                <w:rFonts w:ascii="Palatino Linotype" w:eastAsia="Times New Roman" w:hAnsi="Palatino Linotype" w:cs="Calibri Light"/>
                <w:b/>
                <w:bCs/>
                <w:sz w:val="20"/>
                <w:szCs w:val="20"/>
                <w:lang w:val="tr-TR" w:eastAsia="en-GB"/>
              </w:rPr>
              <w:t>Büyüme Oranları (%)</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 </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 </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 </w:t>
            </w:r>
          </w:p>
        </w:tc>
        <w:tc>
          <w:tcPr>
            <w:tcW w:w="124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 </w:t>
            </w:r>
          </w:p>
        </w:tc>
      </w:tr>
      <w:tr w:rsidR="00C42551" w:rsidRPr="00437514" w:rsidTr="00825A2B">
        <w:trPr>
          <w:trHeight w:val="322"/>
        </w:trPr>
        <w:tc>
          <w:tcPr>
            <w:tcW w:w="2279" w:type="dxa"/>
            <w:tcBorders>
              <w:top w:val="single" w:sz="4" w:space="0" w:color="auto"/>
              <w:left w:val="nil"/>
              <w:bottom w:val="nil"/>
              <w:right w:val="nil"/>
            </w:tcBorders>
            <w:shd w:val="clear" w:color="000000" w:fill="FFFFFF"/>
            <w:noWrap/>
            <w:vAlign w:val="bottom"/>
            <w:hideMark/>
          </w:tcPr>
          <w:p w:rsidR="00C42551" w:rsidRPr="00437514" w:rsidRDefault="00C42551" w:rsidP="00825A2B">
            <w:pPr>
              <w:spacing w:after="0" w:line="240" w:lineRule="auto"/>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1981-1989</w:t>
            </w:r>
          </w:p>
        </w:tc>
        <w:tc>
          <w:tcPr>
            <w:tcW w:w="1072" w:type="dxa"/>
            <w:tcBorders>
              <w:top w:val="single" w:sz="4" w:space="0" w:color="auto"/>
              <w:left w:val="nil"/>
              <w:bottom w:val="nil"/>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0.8</w:t>
            </w:r>
          </w:p>
        </w:tc>
        <w:tc>
          <w:tcPr>
            <w:tcW w:w="1072" w:type="dxa"/>
            <w:tcBorders>
              <w:top w:val="single" w:sz="4" w:space="0" w:color="auto"/>
              <w:left w:val="nil"/>
              <w:bottom w:val="nil"/>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6.9</w:t>
            </w:r>
          </w:p>
        </w:tc>
        <w:tc>
          <w:tcPr>
            <w:tcW w:w="1072" w:type="dxa"/>
            <w:tcBorders>
              <w:top w:val="single" w:sz="4" w:space="0" w:color="auto"/>
              <w:left w:val="nil"/>
              <w:bottom w:val="nil"/>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6.6</w:t>
            </w:r>
          </w:p>
        </w:tc>
        <w:tc>
          <w:tcPr>
            <w:tcW w:w="1242" w:type="dxa"/>
            <w:tcBorders>
              <w:top w:val="single" w:sz="4" w:space="0" w:color="auto"/>
              <w:left w:val="nil"/>
              <w:bottom w:val="nil"/>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3.9</w:t>
            </w:r>
          </w:p>
        </w:tc>
      </w:tr>
      <w:tr w:rsidR="00C42551" w:rsidRPr="00437514" w:rsidTr="00825A2B">
        <w:trPr>
          <w:trHeight w:val="322"/>
        </w:trPr>
        <w:tc>
          <w:tcPr>
            <w:tcW w:w="2279"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1990-2002</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1.8</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3.5</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1.3</w:t>
            </w:r>
          </w:p>
        </w:tc>
        <w:tc>
          <w:tcPr>
            <w:tcW w:w="124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3.5</w:t>
            </w:r>
          </w:p>
        </w:tc>
      </w:tr>
      <w:tr w:rsidR="00C42551" w:rsidRPr="00437514" w:rsidTr="00825A2B">
        <w:trPr>
          <w:trHeight w:val="322"/>
        </w:trPr>
        <w:tc>
          <w:tcPr>
            <w:tcW w:w="2279"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2003-2013</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2.7</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6.7</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10.7</w:t>
            </w:r>
          </w:p>
        </w:tc>
        <w:tc>
          <w:tcPr>
            <w:tcW w:w="124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5.0</w:t>
            </w:r>
          </w:p>
        </w:tc>
      </w:tr>
      <w:tr w:rsidR="00C42551" w:rsidRPr="00437514" w:rsidTr="00825A2B">
        <w:trPr>
          <w:trHeight w:val="322"/>
        </w:trPr>
        <w:tc>
          <w:tcPr>
            <w:tcW w:w="2279"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i/>
                <w:iCs/>
                <w:sz w:val="18"/>
                <w:szCs w:val="18"/>
                <w:lang w:val="tr-TR" w:eastAsia="en-GB"/>
              </w:rPr>
            </w:pPr>
            <w:r w:rsidRPr="00437514">
              <w:rPr>
                <w:rFonts w:ascii="Palatino Linotype" w:eastAsia="Times New Roman" w:hAnsi="Palatino Linotype" w:cs="Calibri Light"/>
                <w:i/>
                <w:iCs/>
                <w:sz w:val="18"/>
                <w:szCs w:val="18"/>
                <w:lang w:val="tr-TR" w:eastAsia="en-GB"/>
              </w:rPr>
              <w:t>2003-2007</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right"/>
              <w:rPr>
                <w:rFonts w:ascii="Palatino Linotype" w:eastAsia="Times New Roman" w:hAnsi="Palatino Linotype" w:cs="Calibri Light"/>
                <w:i/>
                <w:iCs/>
                <w:sz w:val="18"/>
                <w:szCs w:val="18"/>
                <w:lang w:val="tr-TR" w:eastAsia="en-GB"/>
              </w:rPr>
            </w:pPr>
            <w:r w:rsidRPr="00437514">
              <w:rPr>
                <w:rFonts w:ascii="Palatino Linotype" w:eastAsia="Times New Roman" w:hAnsi="Palatino Linotype" w:cs="Calibri Light"/>
                <w:i/>
                <w:iCs/>
                <w:sz w:val="18"/>
                <w:szCs w:val="18"/>
                <w:lang w:val="tr-TR" w:eastAsia="en-GB"/>
              </w:rPr>
              <w:t>1.2</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right"/>
              <w:rPr>
                <w:rFonts w:ascii="Palatino Linotype" w:eastAsia="Times New Roman" w:hAnsi="Palatino Linotype" w:cs="Calibri Light"/>
                <w:i/>
                <w:iCs/>
                <w:sz w:val="18"/>
                <w:szCs w:val="18"/>
                <w:lang w:val="tr-TR" w:eastAsia="en-GB"/>
              </w:rPr>
            </w:pPr>
            <w:r w:rsidRPr="00437514">
              <w:rPr>
                <w:rFonts w:ascii="Palatino Linotype" w:eastAsia="Times New Roman" w:hAnsi="Palatino Linotype" w:cs="Calibri Light"/>
                <w:i/>
                <w:iCs/>
                <w:sz w:val="18"/>
                <w:szCs w:val="18"/>
                <w:lang w:val="tr-TR" w:eastAsia="en-GB"/>
              </w:rPr>
              <w:t>8.6</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right"/>
              <w:rPr>
                <w:rFonts w:ascii="Palatino Linotype" w:eastAsia="Times New Roman" w:hAnsi="Palatino Linotype" w:cs="Calibri Light"/>
                <w:i/>
                <w:iCs/>
                <w:sz w:val="18"/>
                <w:szCs w:val="18"/>
                <w:lang w:val="tr-TR" w:eastAsia="en-GB"/>
              </w:rPr>
            </w:pPr>
            <w:r w:rsidRPr="00437514">
              <w:rPr>
                <w:rFonts w:ascii="Palatino Linotype" w:eastAsia="Times New Roman" w:hAnsi="Palatino Linotype" w:cs="Calibri Light"/>
                <w:i/>
                <w:iCs/>
                <w:sz w:val="18"/>
                <w:szCs w:val="18"/>
                <w:lang w:val="tr-TR" w:eastAsia="en-GB"/>
              </w:rPr>
              <w:t>16.0</w:t>
            </w:r>
          </w:p>
        </w:tc>
        <w:tc>
          <w:tcPr>
            <w:tcW w:w="124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right"/>
              <w:rPr>
                <w:rFonts w:ascii="Palatino Linotype" w:eastAsia="Times New Roman" w:hAnsi="Palatino Linotype" w:cs="Calibri Light"/>
                <w:i/>
                <w:iCs/>
                <w:sz w:val="18"/>
                <w:szCs w:val="18"/>
                <w:lang w:val="tr-TR" w:eastAsia="en-GB"/>
              </w:rPr>
            </w:pPr>
            <w:r w:rsidRPr="00437514">
              <w:rPr>
                <w:rFonts w:ascii="Palatino Linotype" w:eastAsia="Times New Roman" w:hAnsi="Palatino Linotype" w:cs="Calibri Light"/>
                <w:i/>
                <w:iCs/>
                <w:sz w:val="18"/>
                <w:szCs w:val="18"/>
                <w:lang w:val="tr-TR" w:eastAsia="en-GB"/>
              </w:rPr>
              <w:t>5.8</w:t>
            </w:r>
          </w:p>
        </w:tc>
      </w:tr>
      <w:tr w:rsidR="00C42551" w:rsidRPr="00437514" w:rsidTr="00825A2B">
        <w:trPr>
          <w:trHeight w:val="322"/>
        </w:trPr>
        <w:tc>
          <w:tcPr>
            <w:tcW w:w="2279"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i/>
                <w:iCs/>
                <w:sz w:val="18"/>
                <w:szCs w:val="18"/>
                <w:lang w:val="tr-TR" w:eastAsia="en-GB"/>
              </w:rPr>
            </w:pPr>
            <w:r w:rsidRPr="00437514">
              <w:rPr>
                <w:rFonts w:ascii="Palatino Linotype" w:eastAsia="Times New Roman" w:hAnsi="Palatino Linotype" w:cs="Calibri Light"/>
                <w:i/>
                <w:iCs/>
                <w:sz w:val="18"/>
                <w:szCs w:val="18"/>
                <w:lang w:val="tr-TR" w:eastAsia="en-GB"/>
              </w:rPr>
              <w:t>2008-2010</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right"/>
              <w:rPr>
                <w:rFonts w:ascii="Palatino Linotype" w:eastAsia="Times New Roman" w:hAnsi="Palatino Linotype" w:cs="Calibri Light"/>
                <w:i/>
                <w:iCs/>
                <w:sz w:val="18"/>
                <w:szCs w:val="18"/>
                <w:lang w:val="tr-TR" w:eastAsia="en-GB"/>
              </w:rPr>
            </w:pPr>
            <w:r w:rsidRPr="00437514">
              <w:rPr>
                <w:rFonts w:ascii="Palatino Linotype" w:eastAsia="Times New Roman" w:hAnsi="Palatino Linotype" w:cs="Calibri Light"/>
                <w:i/>
                <w:iCs/>
                <w:sz w:val="18"/>
                <w:szCs w:val="18"/>
                <w:lang w:val="tr-TR" w:eastAsia="en-GB"/>
              </w:rPr>
              <w:t>5.5</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right"/>
              <w:rPr>
                <w:rFonts w:ascii="Palatino Linotype" w:eastAsia="Times New Roman" w:hAnsi="Palatino Linotype" w:cs="Calibri Light"/>
                <w:i/>
                <w:iCs/>
                <w:sz w:val="18"/>
                <w:szCs w:val="18"/>
                <w:lang w:val="tr-TR" w:eastAsia="en-GB"/>
              </w:rPr>
            </w:pPr>
            <w:r w:rsidRPr="00437514">
              <w:rPr>
                <w:rFonts w:ascii="Palatino Linotype" w:eastAsia="Times New Roman" w:hAnsi="Palatino Linotype" w:cs="Calibri Light"/>
                <w:i/>
                <w:iCs/>
                <w:sz w:val="18"/>
                <w:szCs w:val="18"/>
                <w:lang w:val="tr-TR" w:eastAsia="en-GB"/>
              </w:rPr>
              <w:t>0.7</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right"/>
              <w:rPr>
                <w:rFonts w:ascii="Palatino Linotype" w:eastAsia="Times New Roman" w:hAnsi="Palatino Linotype" w:cs="Calibri Light"/>
                <w:i/>
                <w:iCs/>
                <w:sz w:val="18"/>
                <w:szCs w:val="18"/>
                <w:lang w:val="tr-TR" w:eastAsia="en-GB"/>
              </w:rPr>
            </w:pPr>
            <w:r w:rsidRPr="00437514">
              <w:rPr>
                <w:rFonts w:ascii="Palatino Linotype" w:eastAsia="Times New Roman" w:hAnsi="Palatino Linotype" w:cs="Calibri Light"/>
                <w:i/>
                <w:iCs/>
                <w:sz w:val="18"/>
                <w:szCs w:val="18"/>
                <w:lang w:val="tr-TR" w:eastAsia="en-GB"/>
              </w:rPr>
              <w:t>-1.9</w:t>
            </w:r>
          </w:p>
        </w:tc>
        <w:tc>
          <w:tcPr>
            <w:tcW w:w="124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right"/>
              <w:rPr>
                <w:rFonts w:ascii="Palatino Linotype" w:eastAsia="Times New Roman" w:hAnsi="Palatino Linotype" w:cs="Calibri Light"/>
                <w:i/>
                <w:iCs/>
                <w:sz w:val="18"/>
                <w:szCs w:val="18"/>
                <w:lang w:val="tr-TR" w:eastAsia="en-GB"/>
              </w:rPr>
            </w:pPr>
            <w:r w:rsidRPr="00437514">
              <w:rPr>
                <w:rFonts w:ascii="Palatino Linotype" w:eastAsia="Times New Roman" w:hAnsi="Palatino Linotype" w:cs="Calibri Light"/>
                <w:i/>
                <w:iCs/>
                <w:sz w:val="18"/>
                <w:szCs w:val="18"/>
                <w:lang w:val="tr-TR" w:eastAsia="en-GB"/>
              </w:rPr>
              <w:t>1.6</w:t>
            </w:r>
          </w:p>
        </w:tc>
      </w:tr>
      <w:tr w:rsidR="00C42551" w:rsidRPr="00437514" w:rsidTr="00825A2B">
        <w:trPr>
          <w:trHeight w:val="322"/>
        </w:trPr>
        <w:tc>
          <w:tcPr>
            <w:tcW w:w="2279"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i/>
                <w:iCs/>
                <w:sz w:val="18"/>
                <w:szCs w:val="18"/>
                <w:lang w:val="tr-TR" w:eastAsia="en-GB"/>
              </w:rPr>
            </w:pPr>
            <w:r w:rsidRPr="00437514">
              <w:rPr>
                <w:rFonts w:ascii="Palatino Linotype" w:eastAsia="Times New Roman" w:hAnsi="Palatino Linotype" w:cs="Calibri Light"/>
                <w:i/>
                <w:iCs/>
                <w:sz w:val="18"/>
                <w:szCs w:val="18"/>
                <w:lang w:val="tr-TR" w:eastAsia="en-GB"/>
              </w:rPr>
              <w:t>2011-2013</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right"/>
              <w:rPr>
                <w:rFonts w:ascii="Palatino Linotype" w:eastAsia="Times New Roman" w:hAnsi="Palatino Linotype" w:cs="Calibri Light"/>
                <w:i/>
                <w:iCs/>
                <w:sz w:val="18"/>
                <w:szCs w:val="18"/>
                <w:lang w:val="tr-TR" w:eastAsia="en-GB"/>
              </w:rPr>
            </w:pPr>
            <w:r w:rsidRPr="00437514">
              <w:rPr>
                <w:rFonts w:ascii="Palatino Linotype" w:eastAsia="Times New Roman" w:hAnsi="Palatino Linotype" w:cs="Calibri Light"/>
                <w:i/>
                <w:iCs/>
                <w:sz w:val="18"/>
                <w:szCs w:val="18"/>
                <w:lang w:val="tr-TR" w:eastAsia="en-GB"/>
              </w:rPr>
              <w:t>2.6</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right"/>
              <w:rPr>
                <w:rFonts w:ascii="Palatino Linotype" w:eastAsia="Times New Roman" w:hAnsi="Palatino Linotype" w:cs="Calibri Light"/>
                <w:i/>
                <w:iCs/>
                <w:sz w:val="18"/>
                <w:szCs w:val="18"/>
                <w:lang w:val="tr-TR" w:eastAsia="en-GB"/>
              </w:rPr>
            </w:pPr>
            <w:r w:rsidRPr="00437514">
              <w:rPr>
                <w:rFonts w:ascii="Palatino Linotype" w:eastAsia="Times New Roman" w:hAnsi="Palatino Linotype" w:cs="Calibri Light"/>
                <w:i/>
                <w:iCs/>
                <w:sz w:val="18"/>
                <w:szCs w:val="18"/>
                <w:lang w:val="tr-TR" w:eastAsia="en-GB"/>
              </w:rPr>
              <w:t>9.3</w:t>
            </w:r>
          </w:p>
        </w:tc>
        <w:tc>
          <w:tcPr>
            <w:tcW w:w="107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right"/>
              <w:rPr>
                <w:rFonts w:ascii="Palatino Linotype" w:eastAsia="Times New Roman" w:hAnsi="Palatino Linotype" w:cs="Calibri Light"/>
                <w:i/>
                <w:iCs/>
                <w:sz w:val="18"/>
                <w:szCs w:val="18"/>
                <w:lang w:val="tr-TR" w:eastAsia="en-GB"/>
              </w:rPr>
            </w:pPr>
            <w:r w:rsidRPr="00437514">
              <w:rPr>
                <w:rFonts w:ascii="Palatino Linotype" w:eastAsia="Times New Roman" w:hAnsi="Palatino Linotype" w:cs="Calibri Light"/>
                <w:i/>
                <w:iCs/>
                <w:sz w:val="18"/>
                <w:szCs w:val="18"/>
                <w:lang w:val="tr-TR" w:eastAsia="en-GB"/>
              </w:rPr>
              <w:t>14.4</w:t>
            </w:r>
          </w:p>
        </w:tc>
        <w:tc>
          <w:tcPr>
            <w:tcW w:w="1242" w:type="dxa"/>
            <w:tcBorders>
              <w:top w:val="nil"/>
              <w:left w:val="nil"/>
              <w:bottom w:val="nil"/>
              <w:right w:val="nil"/>
            </w:tcBorders>
            <w:shd w:val="clear" w:color="000000" w:fill="FFFFFF"/>
            <w:noWrap/>
            <w:vAlign w:val="bottom"/>
            <w:hideMark/>
          </w:tcPr>
          <w:p w:rsidR="00C42551" w:rsidRPr="00437514" w:rsidRDefault="00C42551" w:rsidP="00825A2B">
            <w:pPr>
              <w:spacing w:after="0" w:line="240" w:lineRule="auto"/>
              <w:jc w:val="right"/>
              <w:rPr>
                <w:rFonts w:ascii="Palatino Linotype" w:eastAsia="Times New Roman" w:hAnsi="Palatino Linotype" w:cs="Calibri Light"/>
                <w:i/>
                <w:iCs/>
                <w:sz w:val="18"/>
                <w:szCs w:val="18"/>
                <w:lang w:val="tr-TR" w:eastAsia="en-GB"/>
              </w:rPr>
            </w:pPr>
            <w:r w:rsidRPr="00437514">
              <w:rPr>
                <w:rFonts w:ascii="Palatino Linotype" w:eastAsia="Times New Roman" w:hAnsi="Palatino Linotype" w:cs="Calibri Light"/>
                <w:i/>
                <w:iCs/>
                <w:sz w:val="18"/>
                <w:szCs w:val="18"/>
                <w:lang w:val="tr-TR" w:eastAsia="en-GB"/>
              </w:rPr>
              <w:t>7.2</w:t>
            </w:r>
          </w:p>
        </w:tc>
      </w:tr>
      <w:tr w:rsidR="00C42551" w:rsidRPr="00437514" w:rsidTr="00825A2B">
        <w:trPr>
          <w:trHeight w:val="322"/>
        </w:trPr>
        <w:tc>
          <w:tcPr>
            <w:tcW w:w="2279" w:type="dxa"/>
            <w:tcBorders>
              <w:top w:val="nil"/>
              <w:left w:val="nil"/>
              <w:bottom w:val="single" w:sz="4" w:space="0" w:color="auto"/>
              <w:right w:val="nil"/>
            </w:tcBorders>
            <w:shd w:val="clear" w:color="000000" w:fill="FFFFFF"/>
            <w:noWrap/>
            <w:vAlign w:val="bottom"/>
            <w:hideMark/>
          </w:tcPr>
          <w:p w:rsidR="00C42551" w:rsidRPr="00437514" w:rsidRDefault="00C42551" w:rsidP="00825A2B">
            <w:pPr>
              <w:spacing w:after="0" w:line="240" w:lineRule="auto"/>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2014-2018</w:t>
            </w:r>
          </w:p>
        </w:tc>
        <w:tc>
          <w:tcPr>
            <w:tcW w:w="1072" w:type="dxa"/>
            <w:tcBorders>
              <w:top w:val="nil"/>
              <w:left w:val="nil"/>
              <w:bottom w:val="single" w:sz="4" w:space="0" w:color="auto"/>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2.6</w:t>
            </w:r>
          </w:p>
        </w:tc>
        <w:tc>
          <w:tcPr>
            <w:tcW w:w="1072" w:type="dxa"/>
            <w:tcBorders>
              <w:top w:val="nil"/>
              <w:left w:val="nil"/>
              <w:bottom w:val="single" w:sz="4" w:space="0" w:color="auto"/>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4.8</w:t>
            </w:r>
          </w:p>
        </w:tc>
        <w:tc>
          <w:tcPr>
            <w:tcW w:w="1072" w:type="dxa"/>
            <w:tcBorders>
              <w:top w:val="nil"/>
              <w:left w:val="nil"/>
              <w:bottom w:val="single" w:sz="4" w:space="0" w:color="auto"/>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4.2</w:t>
            </w:r>
          </w:p>
        </w:tc>
        <w:tc>
          <w:tcPr>
            <w:tcW w:w="1242" w:type="dxa"/>
            <w:tcBorders>
              <w:top w:val="nil"/>
              <w:left w:val="nil"/>
              <w:bottom w:val="single" w:sz="4" w:space="0" w:color="auto"/>
              <w:right w:val="nil"/>
            </w:tcBorders>
            <w:shd w:val="clear" w:color="000000" w:fill="FFFFFF"/>
            <w:noWrap/>
            <w:vAlign w:val="bottom"/>
            <w:hideMark/>
          </w:tcPr>
          <w:p w:rsidR="00C42551" w:rsidRPr="00437514" w:rsidRDefault="00C42551" w:rsidP="00825A2B">
            <w:pPr>
              <w:spacing w:after="0" w:line="240" w:lineRule="auto"/>
              <w:jc w:val="center"/>
              <w:rPr>
                <w:rFonts w:ascii="Palatino Linotype" w:eastAsia="Times New Roman" w:hAnsi="Palatino Linotype" w:cs="Calibri Light"/>
                <w:sz w:val="20"/>
                <w:szCs w:val="20"/>
                <w:lang w:val="tr-TR" w:eastAsia="en-GB"/>
              </w:rPr>
            </w:pPr>
            <w:r w:rsidRPr="00437514">
              <w:rPr>
                <w:rFonts w:ascii="Palatino Linotype" w:eastAsia="Times New Roman" w:hAnsi="Palatino Linotype" w:cs="Calibri Light"/>
                <w:sz w:val="20"/>
                <w:szCs w:val="20"/>
                <w:lang w:val="tr-TR" w:eastAsia="en-GB"/>
              </w:rPr>
              <w:t>5.2</w:t>
            </w:r>
          </w:p>
        </w:tc>
      </w:tr>
    </w:tbl>
    <w:p w:rsidR="00C42551" w:rsidRPr="00CE6600" w:rsidRDefault="00C42551" w:rsidP="00C42551">
      <w:pPr>
        <w:spacing w:after="240" w:line="276" w:lineRule="auto"/>
        <w:rPr>
          <w:rFonts w:ascii="Palatino Linotype" w:hAnsi="Palatino Linotype"/>
          <w:lang w:val="tr-TR"/>
        </w:rPr>
      </w:pPr>
      <w:r w:rsidRPr="00437514">
        <w:rPr>
          <w:rFonts w:ascii="Palatino Linotype" w:hAnsi="Palatino Linotype"/>
          <w:b/>
          <w:bCs/>
          <w:lang w:val="tr-TR"/>
        </w:rPr>
        <w:t xml:space="preserve">Kaynak: </w:t>
      </w:r>
      <w:r>
        <w:rPr>
          <w:rFonts w:ascii="Palatino Linotype" w:hAnsi="Palatino Linotype"/>
          <w:lang w:val="tr-TR"/>
        </w:rPr>
        <w:t>Betam</w:t>
      </w:r>
    </w:p>
    <w:p w:rsidR="00B11995" w:rsidRPr="00CE6600" w:rsidRDefault="00DE6847" w:rsidP="00437514">
      <w:pPr>
        <w:spacing w:before="240" w:after="60" w:line="276" w:lineRule="auto"/>
        <w:jc w:val="both"/>
        <w:rPr>
          <w:rFonts w:ascii="Palatino Linotype" w:hAnsi="Palatino Linotype"/>
          <w:lang w:val="tr-TR"/>
        </w:rPr>
      </w:pPr>
      <w:r w:rsidRPr="00CE6600">
        <w:rPr>
          <w:rFonts w:ascii="Palatino Linotype" w:hAnsi="Palatino Linotype"/>
          <w:b/>
          <w:bCs/>
          <w:sz w:val="26"/>
          <w:szCs w:val="26"/>
          <w:lang w:val="tr-TR"/>
        </w:rPr>
        <w:t>Sektörlerin İstihdam Seyri</w:t>
      </w:r>
    </w:p>
    <w:p w:rsidR="009A27C2" w:rsidRPr="00CE6600" w:rsidRDefault="00882400" w:rsidP="00437514">
      <w:pPr>
        <w:spacing w:after="240" w:line="276" w:lineRule="auto"/>
        <w:jc w:val="both"/>
        <w:rPr>
          <w:rFonts w:ascii="Palatino Linotype" w:hAnsi="Palatino Linotype"/>
          <w:lang w:val="tr-TR"/>
        </w:rPr>
      </w:pPr>
      <w:proofErr w:type="spellStart"/>
      <w:r>
        <w:rPr>
          <w:rFonts w:ascii="Palatino Linotype" w:hAnsi="Palatino Linotype"/>
          <w:lang w:val="tr-TR"/>
        </w:rPr>
        <w:t>B</w:t>
      </w:r>
      <w:r w:rsidR="00E042FC">
        <w:rPr>
          <w:rFonts w:ascii="Palatino Linotype" w:hAnsi="Palatino Linotype"/>
          <w:lang w:val="tr-TR"/>
        </w:rPr>
        <w:t>etam</w:t>
      </w:r>
      <w:r w:rsidR="00B11995" w:rsidRPr="00CE6600">
        <w:rPr>
          <w:rFonts w:ascii="Palatino Linotype" w:hAnsi="Palatino Linotype"/>
          <w:lang w:val="tr-TR"/>
        </w:rPr>
        <w:t>’ın</w:t>
      </w:r>
      <w:proofErr w:type="spellEnd"/>
      <w:r w:rsidR="00B11995" w:rsidRPr="00CE6600">
        <w:rPr>
          <w:rFonts w:ascii="Palatino Linotype" w:hAnsi="Palatino Linotype"/>
          <w:lang w:val="tr-TR"/>
        </w:rPr>
        <w:t xml:space="preserve"> hesaplamaları sonucunda 1980-2018 yılları arası için oluşturulan </w:t>
      </w:r>
      <w:proofErr w:type="spellStart"/>
      <w:r w:rsidR="00B11995" w:rsidRPr="00CE6600">
        <w:rPr>
          <w:rFonts w:ascii="Palatino Linotype" w:hAnsi="Palatino Linotype"/>
          <w:lang w:val="tr-TR"/>
        </w:rPr>
        <w:t>sektörel</w:t>
      </w:r>
      <w:proofErr w:type="spellEnd"/>
      <w:r w:rsidR="00B11995" w:rsidRPr="00CE6600">
        <w:rPr>
          <w:rFonts w:ascii="Palatino Linotype" w:hAnsi="Palatino Linotype"/>
          <w:lang w:val="tr-TR"/>
        </w:rPr>
        <w:t xml:space="preserve"> istihdam verilerine göre, y</w:t>
      </w:r>
      <w:r w:rsidR="009A27C2" w:rsidRPr="00CE6600">
        <w:rPr>
          <w:rFonts w:ascii="Palatino Linotype" w:hAnsi="Palatino Linotype"/>
          <w:lang w:val="tr-TR"/>
        </w:rPr>
        <w:t>ıllar içerisinde tarım hariç diğer sektörlerde istihdam artışı görülmektedir</w:t>
      </w:r>
      <w:r w:rsidR="001C1700">
        <w:rPr>
          <w:rStyle w:val="DipnotBavurusu"/>
          <w:rFonts w:ascii="Palatino Linotype" w:hAnsi="Palatino Linotype"/>
          <w:lang w:val="tr-TR"/>
        </w:rPr>
        <w:footnoteReference w:id="6"/>
      </w:r>
      <w:r w:rsidR="009A27C2" w:rsidRPr="00CE6600">
        <w:rPr>
          <w:rFonts w:ascii="Palatino Linotype" w:hAnsi="Palatino Linotype"/>
          <w:lang w:val="tr-TR"/>
        </w:rPr>
        <w:t>. 1980-2018 yılları arasında en hızlı istihdam artışını hizmetler sektörü yaşarken (yüzde 296 artış), sanayide istihdam artış</w:t>
      </w:r>
      <w:r w:rsidR="001C1700">
        <w:rPr>
          <w:rFonts w:ascii="Palatino Linotype" w:hAnsi="Palatino Linotype"/>
          <w:lang w:val="tr-TR"/>
        </w:rPr>
        <w:t>ı</w:t>
      </w:r>
      <w:r w:rsidR="009A27C2" w:rsidRPr="00CE6600">
        <w:rPr>
          <w:rFonts w:ascii="Palatino Linotype" w:hAnsi="Palatino Linotype"/>
          <w:lang w:val="tr-TR"/>
        </w:rPr>
        <w:t xml:space="preserve"> toplamda yüzde 152 ve inşaatta ise yüzde 137 olmuştur. Tarımda ise bu yıllarda istihdam sayısı yüzde 20 azalmıştır.  </w:t>
      </w:r>
    </w:p>
    <w:p w:rsidR="00DE6847" w:rsidRDefault="00BC211A" w:rsidP="00437514">
      <w:pPr>
        <w:spacing w:after="240" w:line="276" w:lineRule="auto"/>
        <w:rPr>
          <w:rFonts w:ascii="Palatino Linotype" w:hAnsi="Palatino Linotype"/>
          <w:b/>
          <w:bCs/>
          <w:lang w:val="tr-TR"/>
        </w:rPr>
      </w:pPr>
      <w:r>
        <w:rPr>
          <w:rFonts w:ascii="Palatino Linotype" w:hAnsi="Palatino Linotype"/>
          <w:b/>
          <w:bCs/>
          <w:lang w:val="tr-TR"/>
        </w:rPr>
        <w:br w:type="column"/>
      </w:r>
      <w:r w:rsidR="004F2856" w:rsidRPr="00CE6600">
        <w:rPr>
          <w:rFonts w:ascii="Palatino Linotype" w:hAnsi="Palatino Linotype"/>
          <w:b/>
          <w:bCs/>
          <w:lang w:val="tr-TR"/>
        </w:rPr>
        <w:lastRenderedPageBreak/>
        <w:t xml:space="preserve">Tablo </w:t>
      </w:r>
      <w:r>
        <w:rPr>
          <w:rFonts w:ascii="Palatino Linotype" w:hAnsi="Palatino Linotype"/>
          <w:b/>
          <w:bCs/>
          <w:lang w:val="tr-TR"/>
        </w:rPr>
        <w:t>2</w:t>
      </w:r>
      <w:r w:rsidR="004F2856" w:rsidRPr="00CE6600">
        <w:rPr>
          <w:rFonts w:ascii="Palatino Linotype" w:hAnsi="Palatino Linotype"/>
          <w:b/>
          <w:bCs/>
          <w:lang w:val="tr-TR"/>
        </w:rPr>
        <w:t>: Sektörlerdeki İstihdamın Değişimi (</w:t>
      </w:r>
      <w:r w:rsidR="001C1700">
        <w:rPr>
          <w:rFonts w:ascii="Palatino Linotype" w:hAnsi="Palatino Linotype"/>
          <w:b/>
          <w:bCs/>
          <w:lang w:val="tr-TR"/>
        </w:rPr>
        <w:t xml:space="preserve">Yıllık Ortalama </w:t>
      </w:r>
      <w:r w:rsidR="004F2856" w:rsidRPr="00CE6600">
        <w:rPr>
          <w:rFonts w:ascii="Palatino Linotype" w:hAnsi="Palatino Linotype"/>
          <w:b/>
          <w:bCs/>
          <w:lang w:val="tr-TR"/>
        </w:rPr>
        <w:t>%)</w:t>
      </w:r>
    </w:p>
    <w:tbl>
      <w:tblPr>
        <w:tblW w:w="0" w:type="auto"/>
        <w:tblInd w:w="-30" w:type="dxa"/>
        <w:tblLayout w:type="fixed"/>
        <w:tblLook w:val="0000" w:firstRow="0" w:lastRow="0" w:firstColumn="0" w:lastColumn="0" w:noHBand="0" w:noVBand="0"/>
      </w:tblPr>
      <w:tblGrid>
        <w:gridCol w:w="2420"/>
        <w:gridCol w:w="1140"/>
        <w:gridCol w:w="1140"/>
        <w:gridCol w:w="1140"/>
        <w:gridCol w:w="1140"/>
      </w:tblGrid>
      <w:tr w:rsidR="00C665DB" w:rsidRPr="00C665DB" w:rsidTr="00C665DB">
        <w:trPr>
          <w:trHeight w:val="315"/>
        </w:trPr>
        <w:tc>
          <w:tcPr>
            <w:tcW w:w="2420" w:type="dxa"/>
            <w:tcBorders>
              <w:top w:val="single" w:sz="6" w:space="0" w:color="auto"/>
              <w:left w:val="nil"/>
              <w:bottom w:val="single" w:sz="6" w:space="0" w:color="auto"/>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color w:val="000000"/>
                <w:sz w:val="20"/>
                <w:szCs w:val="20"/>
                <w:lang w:val="en-US"/>
              </w:rPr>
            </w:pPr>
          </w:p>
        </w:tc>
        <w:tc>
          <w:tcPr>
            <w:tcW w:w="1140" w:type="dxa"/>
            <w:tcBorders>
              <w:top w:val="single" w:sz="6" w:space="0" w:color="auto"/>
              <w:left w:val="nil"/>
              <w:bottom w:val="single" w:sz="6" w:space="0" w:color="auto"/>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proofErr w:type="spellStart"/>
            <w:r w:rsidRPr="00C665DB">
              <w:rPr>
                <w:rFonts w:ascii="Palatino Linotype" w:hAnsi="Palatino Linotype" w:cs="Calibri Light"/>
                <w:color w:val="000000"/>
                <w:sz w:val="20"/>
                <w:szCs w:val="20"/>
                <w:lang w:val="en-US"/>
              </w:rPr>
              <w:t>Tarım</w:t>
            </w:r>
            <w:proofErr w:type="spellEnd"/>
          </w:p>
        </w:tc>
        <w:tc>
          <w:tcPr>
            <w:tcW w:w="1140" w:type="dxa"/>
            <w:tcBorders>
              <w:top w:val="single" w:sz="6" w:space="0" w:color="auto"/>
              <w:left w:val="nil"/>
              <w:bottom w:val="single" w:sz="6" w:space="0" w:color="auto"/>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Sanayi</w:t>
            </w:r>
          </w:p>
        </w:tc>
        <w:tc>
          <w:tcPr>
            <w:tcW w:w="1140" w:type="dxa"/>
            <w:tcBorders>
              <w:top w:val="single" w:sz="6" w:space="0" w:color="auto"/>
              <w:left w:val="nil"/>
              <w:bottom w:val="single" w:sz="6" w:space="0" w:color="auto"/>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proofErr w:type="spellStart"/>
            <w:r w:rsidRPr="00C665DB">
              <w:rPr>
                <w:rFonts w:ascii="Palatino Linotype" w:hAnsi="Palatino Linotype" w:cs="Calibri Light"/>
                <w:color w:val="000000"/>
                <w:sz w:val="20"/>
                <w:szCs w:val="20"/>
                <w:lang w:val="en-US"/>
              </w:rPr>
              <w:t>İnşaat</w:t>
            </w:r>
            <w:proofErr w:type="spellEnd"/>
          </w:p>
        </w:tc>
        <w:tc>
          <w:tcPr>
            <w:tcW w:w="1140" w:type="dxa"/>
            <w:tcBorders>
              <w:top w:val="single" w:sz="6" w:space="0" w:color="auto"/>
              <w:left w:val="nil"/>
              <w:bottom w:val="single" w:sz="6" w:space="0" w:color="auto"/>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proofErr w:type="spellStart"/>
            <w:r w:rsidRPr="00C665DB">
              <w:rPr>
                <w:rFonts w:ascii="Palatino Linotype" w:hAnsi="Palatino Linotype" w:cs="Calibri Light"/>
                <w:color w:val="000000"/>
                <w:sz w:val="20"/>
                <w:szCs w:val="20"/>
                <w:lang w:val="en-US"/>
              </w:rPr>
              <w:t>Hizmetler</w:t>
            </w:r>
            <w:proofErr w:type="spellEnd"/>
          </w:p>
        </w:tc>
      </w:tr>
      <w:tr w:rsidR="00C665DB" w:rsidRPr="00C665DB" w:rsidTr="00C665DB">
        <w:trPr>
          <w:trHeight w:val="315"/>
        </w:trPr>
        <w:tc>
          <w:tcPr>
            <w:tcW w:w="242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rPr>
                <w:rFonts w:ascii="Palatino Linotype" w:hAnsi="Palatino Linotype" w:cs="Calibri Light"/>
                <w:b/>
                <w:bCs/>
                <w:color w:val="000000"/>
                <w:sz w:val="20"/>
                <w:szCs w:val="20"/>
                <w:lang w:val="en-US"/>
              </w:rPr>
            </w:pPr>
            <w:proofErr w:type="spellStart"/>
            <w:r w:rsidRPr="00C665DB">
              <w:rPr>
                <w:rFonts w:ascii="Palatino Linotype" w:hAnsi="Palatino Linotype" w:cs="Calibri Light"/>
                <w:b/>
                <w:bCs/>
                <w:color w:val="000000"/>
                <w:sz w:val="20"/>
                <w:szCs w:val="20"/>
                <w:lang w:val="en-US"/>
              </w:rPr>
              <w:t>Büyüme</w:t>
            </w:r>
            <w:proofErr w:type="spellEnd"/>
            <w:r w:rsidRPr="00C665DB">
              <w:rPr>
                <w:rFonts w:ascii="Palatino Linotype" w:hAnsi="Palatino Linotype" w:cs="Calibri Light"/>
                <w:b/>
                <w:bCs/>
                <w:color w:val="000000"/>
                <w:sz w:val="20"/>
                <w:szCs w:val="20"/>
                <w:lang w:val="en-US"/>
              </w:rPr>
              <w:t xml:space="preserve"> </w:t>
            </w:r>
            <w:proofErr w:type="spellStart"/>
            <w:r w:rsidRPr="00C665DB">
              <w:rPr>
                <w:rFonts w:ascii="Palatino Linotype" w:hAnsi="Palatino Linotype" w:cs="Calibri Light"/>
                <w:b/>
                <w:bCs/>
                <w:color w:val="000000"/>
                <w:sz w:val="20"/>
                <w:szCs w:val="20"/>
                <w:lang w:val="en-US"/>
              </w:rPr>
              <w:t>Oranları</w:t>
            </w:r>
            <w:proofErr w:type="spellEnd"/>
            <w:r w:rsidRPr="00C665DB">
              <w:rPr>
                <w:rFonts w:ascii="Palatino Linotype" w:hAnsi="Palatino Linotype" w:cs="Calibri Light"/>
                <w:b/>
                <w:bCs/>
                <w:color w:val="000000"/>
                <w:sz w:val="20"/>
                <w:szCs w:val="20"/>
                <w:lang w:val="en-US"/>
              </w:rPr>
              <w:t xml:space="preserve"> (%)</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color w:val="000000"/>
                <w:sz w:val="20"/>
                <w:szCs w:val="20"/>
                <w:lang w:val="en-US"/>
              </w:rPr>
            </w:pP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color w:val="000000"/>
                <w:sz w:val="20"/>
                <w:szCs w:val="20"/>
                <w:lang w:val="en-US"/>
              </w:rPr>
            </w:pP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color w:val="000000"/>
                <w:sz w:val="20"/>
                <w:szCs w:val="20"/>
                <w:lang w:val="en-US"/>
              </w:rPr>
            </w:pP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color w:val="000000"/>
                <w:sz w:val="20"/>
                <w:szCs w:val="20"/>
                <w:lang w:val="en-US"/>
              </w:rPr>
            </w:pPr>
          </w:p>
        </w:tc>
      </w:tr>
      <w:tr w:rsidR="00C665DB" w:rsidRPr="00C665DB" w:rsidTr="00C665DB">
        <w:trPr>
          <w:trHeight w:val="315"/>
        </w:trPr>
        <w:tc>
          <w:tcPr>
            <w:tcW w:w="2420" w:type="dxa"/>
            <w:tcBorders>
              <w:top w:val="single" w:sz="6" w:space="0" w:color="auto"/>
              <w:left w:val="nil"/>
              <w:bottom w:val="nil"/>
              <w:right w:val="nil"/>
            </w:tcBorders>
            <w:shd w:val="solid" w:color="FFFFFF" w:fill="auto"/>
          </w:tcPr>
          <w:p w:rsidR="00C665DB" w:rsidRPr="00C665DB" w:rsidRDefault="00C665DB">
            <w:pPr>
              <w:autoSpaceDE w:val="0"/>
              <w:autoSpaceDN w:val="0"/>
              <w:adjustRightInd w:val="0"/>
              <w:spacing w:after="0" w:line="240" w:lineRule="auto"/>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1981-1989</w:t>
            </w:r>
          </w:p>
        </w:tc>
        <w:tc>
          <w:tcPr>
            <w:tcW w:w="1140" w:type="dxa"/>
            <w:tcBorders>
              <w:top w:val="single" w:sz="6" w:space="0" w:color="auto"/>
              <w:left w:val="nil"/>
              <w:bottom w:val="nil"/>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0.4</w:t>
            </w:r>
          </w:p>
        </w:tc>
        <w:tc>
          <w:tcPr>
            <w:tcW w:w="1140" w:type="dxa"/>
            <w:tcBorders>
              <w:top w:val="single" w:sz="6" w:space="0" w:color="auto"/>
              <w:left w:val="nil"/>
              <w:bottom w:val="nil"/>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2.4</w:t>
            </w:r>
          </w:p>
        </w:tc>
        <w:tc>
          <w:tcPr>
            <w:tcW w:w="1140" w:type="dxa"/>
            <w:tcBorders>
              <w:top w:val="single" w:sz="6" w:space="0" w:color="auto"/>
              <w:left w:val="nil"/>
              <w:bottom w:val="nil"/>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0.5</w:t>
            </w:r>
          </w:p>
        </w:tc>
        <w:tc>
          <w:tcPr>
            <w:tcW w:w="1140" w:type="dxa"/>
            <w:tcBorders>
              <w:top w:val="single" w:sz="6" w:space="0" w:color="auto"/>
              <w:left w:val="nil"/>
              <w:bottom w:val="nil"/>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3.7</w:t>
            </w:r>
          </w:p>
        </w:tc>
      </w:tr>
      <w:tr w:rsidR="00C665DB" w:rsidRPr="00C665DB" w:rsidTr="00C665DB">
        <w:trPr>
          <w:trHeight w:val="315"/>
        </w:trPr>
        <w:tc>
          <w:tcPr>
            <w:tcW w:w="242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1990-2002</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-1.1</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2.5</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0.1</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3.4</w:t>
            </w:r>
          </w:p>
        </w:tc>
      </w:tr>
      <w:tr w:rsidR="00C665DB" w:rsidRPr="00C665DB" w:rsidTr="00C665DB">
        <w:trPr>
          <w:trHeight w:val="315"/>
        </w:trPr>
        <w:tc>
          <w:tcPr>
            <w:tcW w:w="242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2003-2013</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0.4</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2.2</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6.2</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3.5</w:t>
            </w:r>
          </w:p>
        </w:tc>
      </w:tr>
      <w:tr w:rsidR="00C665DB" w:rsidRPr="00C665DB" w:rsidTr="00C665DB">
        <w:trPr>
          <w:trHeight w:val="315"/>
        </w:trPr>
        <w:tc>
          <w:tcPr>
            <w:tcW w:w="242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i/>
                <w:iCs/>
                <w:color w:val="000000"/>
                <w:sz w:val="18"/>
                <w:szCs w:val="18"/>
                <w:lang w:val="en-US"/>
              </w:rPr>
            </w:pPr>
            <w:r w:rsidRPr="00C665DB">
              <w:rPr>
                <w:rFonts w:ascii="Palatino Linotype" w:hAnsi="Palatino Linotype" w:cs="Calibri Light"/>
                <w:i/>
                <w:iCs/>
                <w:color w:val="000000"/>
                <w:sz w:val="18"/>
                <w:szCs w:val="18"/>
                <w:lang w:val="en-US"/>
              </w:rPr>
              <w:t>2003-2007</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C665DB">
              <w:rPr>
                <w:rFonts w:ascii="Palatino Linotype" w:hAnsi="Palatino Linotype" w:cs="Calibri Light"/>
                <w:i/>
                <w:iCs/>
                <w:color w:val="000000"/>
                <w:sz w:val="18"/>
                <w:szCs w:val="18"/>
                <w:lang w:val="en-US"/>
              </w:rPr>
              <w:t>-3.4</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C665DB">
              <w:rPr>
                <w:rFonts w:ascii="Palatino Linotype" w:hAnsi="Palatino Linotype" w:cs="Calibri Light"/>
                <w:i/>
                <w:iCs/>
                <w:color w:val="000000"/>
                <w:sz w:val="18"/>
                <w:szCs w:val="18"/>
                <w:lang w:val="en-US"/>
              </w:rPr>
              <w:t>2.1</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C665DB">
              <w:rPr>
                <w:rFonts w:ascii="Palatino Linotype" w:hAnsi="Palatino Linotype" w:cs="Calibri Light"/>
                <w:i/>
                <w:iCs/>
                <w:color w:val="000000"/>
                <w:sz w:val="18"/>
                <w:szCs w:val="18"/>
                <w:lang w:val="en-US"/>
              </w:rPr>
              <w:t>6.3</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C665DB">
              <w:rPr>
                <w:rFonts w:ascii="Palatino Linotype" w:hAnsi="Palatino Linotype" w:cs="Calibri Light"/>
                <w:i/>
                <w:iCs/>
                <w:color w:val="000000"/>
                <w:sz w:val="18"/>
                <w:szCs w:val="18"/>
                <w:lang w:val="en-US"/>
              </w:rPr>
              <w:t>3.5</w:t>
            </w:r>
          </w:p>
        </w:tc>
      </w:tr>
      <w:tr w:rsidR="00C665DB" w:rsidRPr="00C665DB" w:rsidTr="00C665DB">
        <w:trPr>
          <w:trHeight w:val="315"/>
        </w:trPr>
        <w:tc>
          <w:tcPr>
            <w:tcW w:w="242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i/>
                <w:iCs/>
                <w:color w:val="000000"/>
                <w:sz w:val="18"/>
                <w:szCs w:val="18"/>
                <w:lang w:val="en-US"/>
              </w:rPr>
            </w:pPr>
            <w:r w:rsidRPr="00C665DB">
              <w:rPr>
                <w:rFonts w:ascii="Palatino Linotype" w:hAnsi="Palatino Linotype" w:cs="Calibri Light"/>
                <w:i/>
                <w:iCs/>
                <w:color w:val="000000"/>
                <w:sz w:val="18"/>
                <w:szCs w:val="18"/>
                <w:lang w:val="en-US"/>
              </w:rPr>
              <w:t>2008-2010</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C665DB">
              <w:rPr>
                <w:rFonts w:ascii="Palatino Linotype" w:hAnsi="Palatino Linotype" w:cs="Calibri Light"/>
                <w:i/>
                <w:iCs/>
                <w:color w:val="000000"/>
                <w:sz w:val="18"/>
                <w:szCs w:val="18"/>
                <w:lang w:val="en-US"/>
              </w:rPr>
              <w:t>5.2</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C665DB">
              <w:rPr>
                <w:rFonts w:ascii="Palatino Linotype" w:hAnsi="Palatino Linotype" w:cs="Calibri Light"/>
                <w:i/>
                <w:iCs/>
                <w:color w:val="000000"/>
                <w:sz w:val="18"/>
                <w:szCs w:val="18"/>
                <w:lang w:val="en-US"/>
              </w:rPr>
              <w:t>1.4</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C665DB">
              <w:rPr>
                <w:rFonts w:ascii="Palatino Linotype" w:hAnsi="Palatino Linotype" w:cs="Calibri Light"/>
                <w:i/>
                <w:iCs/>
                <w:color w:val="000000"/>
                <w:sz w:val="18"/>
                <w:szCs w:val="18"/>
                <w:lang w:val="en-US"/>
              </w:rPr>
              <w:t>5.0</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C665DB">
              <w:rPr>
                <w:rFonts w:ascii="Palatino Linotype" w:hAnsi="Palatino Linotype" w:cs="Calibri Light"/>
                <w:i/>
                <w:iCs/>
                <w:color w:val="000000"/>
                <w:sz w:val="18"/>
                <w:szCs w:val="18"/>
                <w:lang w:val="en-US"/>
              </w:rPr>
              <w:t>2.1</w:t>
            </w:r>
          </w:p>
        </w:tc>
      </w:tr>
      <w:tr w:rsidR="00C665DB" w:rsidRPr="00C665DB" w:rsidTr="00C665DB">
        <w:trPr>
          <w:trHeight w:val="315"/>
        </w:trPr>
        <w:tc>
          <w:tcPr>
            <w:tcW w:w="242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i/>
                <w:iCs/>
                <w:color w:val="000000"/>
                <w:sz w:val="18"/>
                <w:szCs w:val="18"/>
                <w:lang w:val="en-US"/>
              </w:rPr>
            </w:pPr>
            <w:r w:rsidRPr="00C665DB">
              <w:rPr>
                <w:rFonts w:ascii="Palatino Linotype" w:hAnsi="Palatino Linotype" w:cs="Calibri Light"/>
                <w:i/>
                <w:iCs/>
                <w:color w:val="000000"/>
                <w:sz w:val="18"/>
                <w:szCs w:val="18"/>
                <w:lang w:val="en-US"/>
              </w:rPr>
              <w:t>2011-2013</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C665DB">
              <w:rPr>
                <w:rFonts w:ascii="Palatino Linotype" w:hAnsi="Palatino Linotype" w:cs="Calibri Light"/>
                <w:i/>
                <w:iCs/>
                <w:color w:val="000000"/>
                <w:sz w:val="18"/>
                <w:szCs w:val="18"/>
                <w:lang w:val="en-US"/>
              </w:rPr>
              <w:t>1.9</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C665DB">
              <w:rPr>
                <w:rFonts w:ascii="Palatino Linotype" w:hAnsi="Palatino Linotype" w:cs="Calibri Light"/>
                <w:i/>
                <w:iCs/>
                <w:color w:val="000000"/>
                <w:sz w:val="18"/>
                <w:szCs w:val="18"/>
                <w:lang w:val="en-US"/>
              </w:rPr>
              <w:t>3.2</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C665DB">
              <w:rPr>
                <w:rFonts w:ascii="Palatino Linotype" w:hAnsi="Palatino Linotype" w:cs="Calibri Light"/>
                <w:i/>
                <w:iCs/>
                <w:color w:val="000000"/>
                <w:sz w:val="18"/>
                <w:szCs w:val="18"/>
                <w:lang w:val="en-US"/>
              </w:rPr>
              <w:t>7.3</w:t>
            </w:r>
          </w:p>
        </w:tc>
        <w:tc>
          <w:tcPr>
            <w:tcW w:w="1140" w:type="dxa"/>
            <w:tcBorders>
              <w:top w:val="nil"/>
              <w:left w:val="nil"/>
              <w:bottom w:val="nil"/>
              <w:right w:val="nil"/>
            </w:tcBorders>
            <w:shd w:val="solid" w:color="FFFFFF" w:fill="auto"/>
          </w:tcPr>
          <w:p w:rsidR="00C665DB" w:rsidRPr="00C665DB" w:rsidRDefault="00C665D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C665DB">
              <w:rPr>
                <w:rFonts w:ascii="Palatino Linotype" w:hAnsi="Palatino Linotype" w:cs="Calibri Light"/>
                <w:i/>
                <w:iCs/>
                <w:color w:val="000000"/>
                <w:sz w:val="18"/>
                <w:szCs w:val="18"/>
                <w:lang w:val="en-US"/>
              </w:rPr>
              <w:t>5.0</w:t>
            </w:r>
          </w:p>
        </w:tc>
      </w:tr>
      <w:tr w:rsidR="00C665DB" w:rsidRPr="00C665DB" w:rsidTr="00C665DB">
        <w:trPr>
          <w:trHeight w:val="315"/>
        </w:trPr>
        <w:tc>
          <w:tcPr>
            <w:tcW w:w="2420" w:type="dxa"/>
            <w:tcBorders>
              <w:top w:val="nil"/>
              <w:left w:val="nil"/>
              <w:bottom w:val="single" w:sz="6" w:space="0" w:color="auto"/>
              <w:right w:val="nil"/>
            </w:tcBorders>
            <w:shd w:val="solid" w:color="FFFFFF" w:fill="auto"/>
          </w:tcPr>
          <w:p w:rsidR="00C665DB" w:rsidRPr="00C665DB" w:rsidRDefault="00C665DB">
            <w:pPr>
              <w:autoSpaceDE w:val="0"/>
              <w:autoSpaceDN w:val="0"/>
              <w:adjustRightInd w:val="0"/>
              <w:spacing w:after="0" w:line="240" w:lineRule="auto"/>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2014-2018</w:t>
            </w:r>
          </w:p>
        </w:tc>
        <w:tc>
          <w:tcPr>
            <w:tcW w:w="1140" w:type="dxa"/>
            <w:tcBorders>
              <w:top w:val="nil"/>
              <w:left w:val="nil"/>
              <w:bottom w:val="single" w:sz="6" w:space="0" w:color="auto"/>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-2.5</w:t>
            </w:r>
          </w:p>
        </w:tc>
        <w:tc>
          <w:tcPr>
            <w:tcW w:w="1140" w:type="dxa"/>
            <w:tcBorders>
              <w:top w:val="nil"/>
              <w:left w:val="nil"/>
              <w:bottom w:val="single" w:sz="6" w:space="0" w:color="auto"/>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2.7</w:t>
            </w:r>
          </w:p>
        </w:tc>
        <w:tc>
          <w:tcPr>
            <w:tcW w:w="1140" w:type="dxa"/>
            <w:tcBorders>
              <w:top w:val="nil"/>
              <w:left w:val="nil"/>
              <w:bottom w:val="single" w:sz="6" w:space="0" w:color="auto"/>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2.2</w:t>
            </w:r>
          </w:p>
        </w:tc>
        <w:tc>
          <w:tcPr>
            <w:tcW w:w="1140" w:type="dxa"/>
            <w:tcBorders>
              <w:top w:val="nil"/>
              <w:left w:val="nil"/>
              <w:bottom w:val="single" w:sz="6" w:space="0" w:color="auto"/>
              <w:right w:val="nil"/>
            </w:tcBorders>
            <w:shd w:val="solid" w:color="FFFFFF" w:fill="auto"/>
          </w:tcPr>
          <w:p w:rsidR="00C665DB" w:rsidRPr="00C665DB" w:rsidRDefault="00C665D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C665DB">
              <w:rPr>
                <w:rFonts w:ascii="Palatino Linotype" w:hAnsi="Palatino Linotype" w:cs="Calibri Light"/>
                <w:color w:val="000000"/>
                <w:sz w:val="20"/>
                <w:szCs w:val="20"/>
                <w:lang w:val="en-US"/>
              </w:rPr>
              <w:t>4.2</w:t>
            </w:r>
          </w:p>
        </w:tc>
      </w:tr>
    </w:tbl>
    <w:p w:rsidR="009A27C2" w:rsidRPr="00CE6600" w:rsidRDefault="00AC313C" w:rsidP="00437514">
      <w:pPr>
        <w:spacing w:after="240" w:line="276" w:lineRule="auto"/>
        <w:rPr>
          <w:rFonts w:ascii="Palatino Linotype" w:hAnsi="Palatino Linotype"/>
          <w:lang w:val="tr-TR"/>
        </w:rPr>
      </w:pPr>
      <w:r w:rsidRPr="00CE6600">
        <w:rPr>
          <w:rFonts w:ascii="Palatino Linotype" w:hAnsi="Palatino Linotype"/>
          <w:b/>
          <w:bCs/>
          <w:lang w:val="tr-TR"/>
        </w:rPr>
        <w:t>Kaynak:</w:t>
      </w:r>
      <w:r w:rsidRPr="00CE6600">
        <w:rPr>
          <w:rFonts w:ascii="Palatino Linotype" w:hAnsi="Palatino Linotype"/>
          <w:lang w:val="tr-TR"/>
        </w:rPr>
        <w:t xml:space="preserve"> </w:t>
      </w:r>
      <w:r w:rsidR="00882400">
        <w:rPr>
          <w:rFonts w:ascii="Palatino Linotype" w:hAnsi="Palatino Linotype"/>
          <w:lang w:val="tr-TR"/>
        </w:rPr>
        <w:t>B</w:t>
      </w:r>
      <w:r w:rsidR="00E042FC">
        <w:rPr>
          <w:rFonts w:ascii="Palatino Linotype" w:hAnsi="Palatino Linotype"/>
          <w:lang w:val="tr-TR"/>
        </w:rPr>
        <w:t>etam</w:t>
      </w:r>
    </w:p>
    <w:p w:rsidR="0025169D" w:rsidRPr="00CE6600" w:rsidRDefault="004F2856" w:rsidP="00437514">
      <w:pPr>
        <w:spacing w:after="240" w:line="276" w:lineRule="auto"/>
        <w:jc w:val="both"/>
        <w:rPr>
          <w:rFonts w:ascii="Palatino Linotype" w:hAnsi="Palatino Linotype"/>
          <w:lang w:val="tr-TR"/>
        </w:rPr>
      </w:pPr>
      <w:r w:rsidRPr="00CE6600">
        <w:rPr>
          <w:rFonts w:ascii="Palatino Linotype" w:hAnsi="Palatino Linotype"/>
          <w:lang w:val="tr-TR"/>
        </w:rPr>
        <w:t>Tarım istihdamında 1990-2002 ve 2014-2018 yılları arasında istihdam daralırken diğer dönemlerde istihdam artmıştır. Özellikle 2013 yılı tarım istihdamı için bir dönüm noktası olmuş ve bu yıldan sonra tarımda çalışan kişi sayısı hızl</w:t>
      </w:r>
      <w:r w:rsidR="001C1700">
        <w:rPr>
          <w:rFonts w:ascii="Palatino Linotype" w:hAnsi="Palatino Linotype"/>
          <w:lang w:val="tr-TR"/>
        </w:rPr>
        <w:t>a</w:t>
      </w:r>
      <w:r w:rsidRPr="00CE6600">
        <w:rPr>
          <w:rFonts w:ascii="Palatino Linotype" w:hAnsi="Palatino Linotype"/>
          <w:lang w:val="tr-TR"/>
        </w:rPr>
        <w:t xml:space="preserve"> azalmaya başlamıştır. Tablo </w:t>
      </w:r>
      <w:r w:rsidR="00BC211A">
        <w:rPr>
          <w:rFonts w:ascii="Palatino Linotype" w:hAnsi="Palatino Linotype"/>
          <w:lang w:val="tr-TR"/>
        </w:rPr>
        <w:t>2</w:t>
      </w:r>
      <w:r w:rsidRPr="00CE6600">
        <w:rPr>
          <w:rFonts w:ascii="Palatino Linotype" w:hAnsi="Palatino Linotype"/>
          <w:lang w:val="tr-TR"/>
        </w:rPr>
        <w:t>’de özellikle dikkat çeken rakamlar inşaat sektörüne ait 2002 sonrası istihdam artışlarıdır. 2018 yılında ekonomik durgunluk nedeniyle bir önceki yıla göre yüzde 5 istihdam kaybı yaşayan sektörün 2014-2018 yılları arasında yıllık ortalama istihdam artışı yüzde 2,</w:t>
      </w:r>
      <w:r w:rsidR="00C665DB">
        <w:rPr>
          <w:rFonts w:ascii="Palatino Linotype" w:hAnsi="Palatino Linotype"/>
          <w:lang w:val="tr-TR"/>
        </w:rPr>
        <w:t>2</w:t>
      </w:r>
      <w:r w:rsidRPr="00CE6600">
        <w:rPr>
          <w:rFonts w:ascii="Palatino Linotype" w:hAnsi="Palatino Linotype"/>
          <w:lang w:val="tr-TR"/>
        </w:rPr>
        <w:t>’e gerilemiştir. Hizmetlerde ve sanayide istihdam artışının daha istikrarlı olduğu görülmektedir.</w:t>
      </w:r>
    </w:p>
    <w:p w:rsidR="00467527" w:rsidRDefault="005F2F5B" w:rsidP="00437514">
      <w:pPr>
        <w:spacing w:after="240" w:line="276" w:lineRule="auto"/>
        <w:jc w:val="both"/>
        <w:rPr>
          <w:rFonts w:ascii="Palatino Linotype" w:hAnsi="Palatino Linotype"/>
          <w:lang w:val="tr-TR"/>
        </w:rPr>
      </w:pPr>
      <w:r w:rsidRPr="00CE6600">
        <w:rPr>
          <w:rFonts w:ascii="Palatino Linotype" w:hAnsi="Palatino Linotype"/>
          <w:lang w:val="tr-TR"/>
        </w:rPr>
        <w:t xml:space="preserve">Türkiye ekonomisinin yıllar içerisinde geçirdiği dönüşüme bağlı olarak sektörlerin istihdam payları değişiklik göstermiştir. </w:t>
      </w:r>
      <w:r w:rsidR="007E7AD1" w:rsidRPr="00CE6600">
        <w:rPr>
          <w:rFonts w:ascii="Palatino Linotype" w:hAnsi="Palatino Linotype"/>
          <w:lang w:val="tr-TR"/>
        </w:rPr>
        <w:t>Ülkede kentleşmenin artması sonucunda t</w:t>
      </w:r>
      <w:r w:rsidR="00D25B1A" w:rsidRPr="00CE6600">
        <w:rPr>
          <w:rFonts w:ascii="Palatino Linotype" w:hAnsi="Palatino Linotype"/>
          <w:lang w:val="tr-TR"/>
        </w:rPr>
        <w:t>arımın istihdamdaki payı 1980 yılında yüzde 48’</w:t>
      </w:r>
      <w:r w:rsidR="001C1700">
        <w:rPr>
          <w:rFonts w:ascii="Palatino Linotype" w:hAnsi="Palatino Linotype"/>
          <w:lang w:val="tr-TR"/>
        </w:rPr>
        <w:t>d</w:t>
      </w:r>
      <w:r w:rsidR="00D25B1A" w:rsidRPr="00CE6600">
        <w:rPr>
          <w:rFonts w:ascii="Palatino Linotype" w:hAnsi="Palatino Linotype"/>
          <w:lang w:val="tr-TR"/>
        </w:rPr>
        <w:t xml:space="preserve">en 2018 yılında yüzde 18’e düşmüştür. Hizmetlerin istihdam payı tam tersine sürekli artarak yüzde 29’dan yüzde 55’e yükselmiştir. Sanayinin payı daha istikrarlı seyretmiş ve 1980’de yüzde 17 iken 2018’de yüzde 20’ye yükselmiştir. İnşaatın payı ise bu yıllar arasında yüzde 6-7 bandında kalmıştır. </w:t>
      </w:r>
    </w:p>
    <w:p w:rsidR="00E91250" w:rsidRPr="00CE6600" w:rsidRDefault="007E7AD1" w:rsidP="00437514">
      <w:pPr>
        <w:spacing w:after="240" w:line="276" w:lineRule="auto"/>
        <w:jc w:val="both"/>
        <w:rPr>
          <w:rFonts w:ascii="Palatino Linotype" w:hAnsi="Palatino Linotype"/>
          <w:b/>
          <w:bCs/>
          <w:lang w:val="tr-TR"/>
        </w:rPr>
      </w:pPr>
      <w:r w:rsidRPr="00CE6600">
        <w:rPr>
          <w:rFonts w:ascii="Palatino Linotype" w:hAnsi="Palatino Linotype"/>
          <w:b/>
          <w:bCs/>
          <w:lang w:val="tr-TR"/>
        </w:rPr>
        <w:t xml:space="preserve">Grafik </w:t>
      </w:r>
      <w:r w:rsidR="00BC211A">
        <w:rPr>
          <w:rFonts w:ascii="Palatino Linotype" w:hAnsi="Palatino Linotype"/>
          <w:b/>
          <w:bCs/>
          <w:lang w:val="tr-TR"/>
        </w:rPr>
        <w:t>2</w:t>
      </w:r>
      <w:r w:rsidRPr="00CE6600">
        <w:rPr>
          <w:rFonts w:ascii="Palatino Linotype" w:hAnsi="Palatino Linotype"/>
          <w:b/>
          <w:bCs/>
          <w:lang w:val="tr-TR"/>
        </w:rPr>
        <w:t>: Sektörlerin İstihdam Paylarının 1980’den 2018’e Değişimi</w:t>
      </w:r>
    </w:p>
    <w:p w:rsidR="00E91250" w:rsidRDefault="007E7AD1" w:rsidP="007E7AD1">
      <w:pPr>
        <w:spacing w:after="0" w:line="240" w:lineRule="auto"/>
        <w:rPr>
          <w:lang w:val="tr-TR"/>
        </w:rPr>
      </w:pPr>
      <w:r>
        <w:rPr>
          <w:noProof/>
          <w:lang w:eastAsia="en-GB"/>
        </w:rPr>
        <w:drawing>
          <wp:inline distT="0" distB="0" distL="0" distR="0" wp14:anchorId="77105EFE">
            <wp:extent cx="6015520" cy="1799639"/>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61600" cy="1813425"/>
                    </a:xfrm>
                    <a:prstGeom prst="rect">
                      <a:avLst/>
                    </a:prstGeom>
                    <a:noFill/>
                  </pic:spPr>
                </pic:pic>
              </a:graphicData>
            </a:graphic>
          </wp:inline>
        </w:drawing>
      </w:r>
    </w:p>
    <w:p w:rsidR="007E7AD1" w:rsidRPr="00CE6600" w:rsidRDefault="00AC313C" w:rsidP="00437514">
      <w:pPr>
        <w:spacing w:after="240" w:line="276" w:lineRule="auto"/>
        <w:rPr>
          <w:rFonts w:ascii="Palatino Linotype" w:hAnsi="Palatino Linotype"/>
          <w:lang w:val="tr-TR"/>
        </w:rPr>
      </w:pPr>
      <w:r w:rsidRPr="00CE6600">
        <w:rPr>
          <w:rFonts w:ascii="Palatino Linotype" w:hAnsi="Palatino Linotype"/>
          <w:b/>
          <w:bCs/>
          <w:lang w:val="tr-TR"/>
        </w:rPr>
        <w:t>Kaynak:</w:t>
      </w:r>
      <w:r w:rsidRPr="00CE6600">
        <w:rPr>
          <w:rFonts w:ascii="Palatino Linotype" w:hAnsi="Palatino Linotype"/>
          <w:lang w:val="tr-TR"/>
        </w:rPr>
        <w:t xml:space="preserve"> </w:t>
      </w:r>
      <w:r w:rsidR="00882400">
        <w:rPr>
          <w:rFonts w:ascii="Palatino Linotype" w:hAnsi="Palatino Linotype"/>
          <w:lang w:val="tr-TR"/>
        </w:rPr>
        <w:t>B</w:t>
      </w:r>
      <w:r w:rsidR="00E042FC">
        <w:rPr>
          <w:rFonts w:ascii="Palatino Linotype" w:hAnsi="Palatino Linotype"/>
          <w:lang w:val="tr-TR"/>
        </w:rPr>
        <w:t>etam</w:t>
      </w:r>
    </w:p>
    <w:p w:rsidR="00244CEE" w:rsidRPr="006F21D7" w:rsidRDefault="00BC211A" w:rsidP="00437514">
      <w:pPr>
        <w:spacing w:before="240" w:after="60" w:line="276" w:lineRule="auto"/>
        <w:rPr>
          <w:sz w:val="24"/>
          <w:szCs w:val="24"/>
          <w:lang w:val="tr-TR"/>
        </w:rPr>
      </w:pPr>
      <w:r>
        <w:rPr>
          <w:rFonts w:ascii="Palatino Linotype" w:hAnsi="Palatino Linotype"/>
          <w:b/>
          <w:sz w:val="26"/>
          <w:szCs w:val="26"/>
          <w:lang w:val="tr-TR"/>
        </w:rPr>
        <w:br w:type="column"/>
      </w:r>
      <w:r w:rsidR="00244CEE" w:rsidRPr="00CE6600">
        <w:rPr>
          <w:rFonts w:ascii="Palatino Linotype" w:hAnsi="Palatino Linotype"/>
          <w:b/>
          <w:sz w:val="26"/>
          <w:szCs w:val="26"/>
          <w:lang w:val="tr-TR"/>
        </w:rPr>
        <w:lastRenderedPageBreak/>
        <w:t>Sektörlerde İş Gücü Verimliliği</w:t>
      </w:r>
    </w:p>
    <w:p w:rsidR="00AC313C" w:rsidRPr="006F21D7" w:rsidRDefault="00AC313C" w:rsidP="00437514">
      <w:pPr>
        <w:spacing w:after="240" w:line="276" w:lineRule="auto"/>
        <w:jc w:val="both"/>
        <w:rPr>
          <w:sz w:val="24"/>
          <w:szCs w:val="24"/>
          <w:lang w:val="tr-TR"/>
        </w:rPr>
      </w:pPr>
      <w:r w:rsidRPr="00CE6600">
        <w:rPr>
          <w:rFonts w:ascii="Palatino Linotype" w:hAnsi="Palatino Linotype"/>
          <w:lang w:val="tr-TR"/>
        </w:rPr>
        <w:t>İş gücü verimliliği sektörlerin reel çıktılarının istihdam sayılarına bölünmesiyle hesaplanm</w:t>
      </w:r>
      <w:r w:rsidR="001C1700">
        <w:rPr>
          <w:rFonts w:ascii="Palatino Linotype" w:hAnsi="Palatino Linotype"/>
          <w:lang w:val="tr-TR"/>
        </w:rPr>
        <w:t>ışt</w:t>
      </w:r>
      <w:r w:rsidRPr="00CE6600">
        <w:rPr>
          <w:rFonts w:ascii="Palatino Linotype" w:hAnsi="Palatino Linotype"/>
          <w:lang w:val="tr-TR"/>
        </w:rPr>
        <w:t xml:space="preserve">ır. Sektörlerin reel çıktılarına dair veriyi </w:t>
      </w:r>
      <w:r w:rsidR="00882400">
        <w:rPr>
          <w:rFonts w:ascii="Palatino Linotype" w:hAnsi="Palatino Linotype"/>
          <w:lang w:val="tr-TR"/>
        </w:rPr>
        <w:t>B</w:t>
      </w:r>
      <w:r w:rsidR="00E042FC">
        <w:rPr>
          <w:rFonts w:ascii="Palatino Linotype" w:hAnsi="Palatino Linotype"/>
          <w:lang w:val="tr-TR"/>
        </w:rPr>
        <w:t>etam</w:t>
      </w:r>
      <w:r w:rsidRPr="00CE6600">
        <w:rPr>
          <w:rFonts w:ascii="Palatino Linotype" w:hAnsi="Palatino Linotype"/>
          <w:lang w:val="tr-TR"/>
        </w:rPr>
        <w:t xml:space="preserve"> hesaplamıştır</w:t>
      </w:r>
      <w:r w:rsidRPr="00CE6600">
        <w:rPr>
          <w:rStyle w:val="DipnotBavurusu"/>
          <w:rFonts w:ascii="Palatino Linotype" w:hAnsi="Palatino Linotype"/>
          <w:lang w:val="tr-TR"/>
        </w:rPr>
        <w:footnoteReference w:id="7"/>
      </w:r>
      <w:r w:rsidRPr="00CE6600">
        <w:rPr>
          <w:rFonts w:ascii="Palatino Linotype" w:hAnsi="Palatino Linotype"/>
          <w:lang w:val="tr-TR"/>
        </w:rPr>
        <w:t xml:space="preserve">. </w:t>
      </w:r>
      <w:r w:rsidR="00BC211A">
        <w:rPr>
          <w:rFonts w:ascii="Palatino Linotype" w:hAnsi="Palatino Linotype"/>
          <w:lang w:val="tr-TR"/>
        </w:rPr>
        <w:t>Grafik</w:t>
      </w:r>
      <w:r w:rsidRPr="00CE6600">
        <w:rPr>
          <w:rFonts w:ascii="Palatino Linotype" w:hAnsi="Palatino Linotype"/>
          <w:lang w:val="tr-TR"/>
        </w:rPr>
        <w:t xml:space="preserve"> </w:t>
      </w:r>
      <w:r w:rsidR="00BC211A">
        <w:rPr>
          <w:rFonts w:ascii="Palatino Linotype" w:hAnsi="Palatino Linotype"/>
          <w:lang w:val="tr-TR"/>
        </w:rPr>
        <w:t>3</w:t>
      </w:r>
      <w:r w:rsidRPr="00CE6600">
        <w:rPr>
          <w:rFonts w:ascii="Palatino Linotype" w:hAnsi="Palatino Linotype"/>
          <w:lang w:val="tr-TR"/>
        </w:rPr>
        <w:t xml:space="preserve"> oluşturulurken her sektörün iş gücü verimlilik seviyesi 1980’de 100’e eşitlenmiş ve diğer yıllar artış oranlarına uygun bir şekilde </w:t>
      </w:r>
      <w:r w:rsidR="001C1700">
        <w:rPr>
          <w:rFonts w:ascii="Palatino Linotype" w:hAnsi="Palatino Linotype"/>
          <w:lang w:val="tr-TR"/>
        </w:rPr>
        <w:t>normalleştirilmiştir</w:t>
      </w:r>
      <w:r w:rsidRPr="00CE6600">
        <w:rPr>
          <w:rFonts w:ascii="Palatino Linotype" w:hAnsi="Palatino Linotype"/>
          <w:lang w:val="tr-TR"/>
        </w:rPr>
        <w:t>.</w:t>
      </w:r>
    </w:p>
    <w:p w:rsidR="00AC313C" w:rsidRPr="00CE6600" w:rsidRDefault="003D77C7" w:rsidP="00437514">
      <w:pPr>
        <w:spacing w:after="240" w:line="276" w:lineRule="auto"/>
        <w:rPr>
          <w:rFonts w:ascii="Palatino Linotype" w:hAnsi="Palatino Linotype"/>
          <w:b/>
          <w:bCs/>
          <w:lang w:val="tr-TR"/>
        </w:rPr>
      </w:pPr>
      <w:r w:rsidRPr="00CE6600">
        <w:rPr>
          <w:rFonts w:ascii="Palatino Linotype" w:hAnsi="Palatino Linotype"/>
          <w:b/>
          <w:bCs/>
          <w:lang w:val="tr-TR"/>
        </w:rPr>
        <w:t>Grafik</w:t>
      </w:r>
      <w:r w:rsidR="00AC313C" w:rsidRPr="00CE6600">
        <w:rPr>
          <w:rFonts w:ascii="Palatino Linotype" w:hAnsi="Palatino Linotype"/>
          <w:b/>
          <w:bCs/>
          <w:lang w:val="tr-TR"/>
        </w:rPr>
        <w:t xml:space="preserve"> </w:t>
      </w:r>
      <w:r w:rsidR="00BC211A">
        <w:rPr>
          <w:rFonts w:ascii="Palatino Linotype" w:hAnsi="Palatino Linotype"/>
          <w:b/>
          <w:bCs/>
          <w:lang w:val="tr-TR"/>
        </w:rPr>
        <w:t>3</w:t>
      </w:r>
      <w:r w:rsidR="00AC313C" w:rsidRPr="00CE6600">
        <w:rPr>
          <w:rFonts w:ascii="Palatino Linotype" w:hAnsi="Palatino Linotype"/>
          <w:b/>
          <w:bCs/>
          <w:lang w:val="tr-TR"/>
        </w:rPr>
        <w:t>: Sektörlerin İş Gücü Verimliliğinin Değişimi (1980=100)</w:t>
      </w:r>
    </w:p>
    <w:p w:rsidR="00AC313C" w:rsidRDefault="00AC313C" w:rsidP="00AC313C">
      <w:pPr>
        <w:spacing w:after="0" w:line="240" w:lineRule="auto"/>
        <w:rPr>
          <w:lang w:val="tr-TR"/>
        </w:rPr>
      </w:pPr>
      <w:r>
        <w:rPr>
          <w:noProof/>
          <w:lang w:eastAsia="en-GB"/>
        </w:rPr>
        <w:drawing>
          <wp:inline distT="0" distB="0" distL="0" distR="0" wp14:anchorId="0F096D15" wp14:editId="5AD7CA09">
            <wp:extent cx="5971430" cy="3156668"/>
            <wp:effectExtent l="0" t="0" r="10795" b="571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C313C" w:rsidRPr="00CE6600" w:rsidRDefault="00AC313C" w:rsidP="00BA6B8A">
      <w:pPr>
        <w:spacing w:after="240" w:line="276" w:lineRule="auto"/>
        <w:rPr>
          <w:rFonts w:ascii="Palatino Linotype" w:hAnsi="Palatino Linotype"/>
          <w:lang w:val="tr-TR"/>
        </w:rPr>
      </w:pPr>
      <w:r w:rsidRPr="00CE6600">
        <w:rPr>
          <w:rFonts w:ascii="Palatino Linotype" w:hAnsi="Palatino Linotype"/>
          <w:b/>
          <w:bCs/>
          <w:lang w:val="tr-TR"/>
        </w:rPr>
        <w:t>Kaynak:</w:t>
      </w:r>
      <w:r w:rsidRPr="00CE6600">
        <w:rPr>
          <w:rFonts w:ascii="Palatino Linotype" w:hAnsi="Palatino Linotype"/>
          <w:lang w:val="tr-TR"/>
        </w:rPr>
        <w:t xml:space="preserve"> </w:t>
      </w:r>
      <w:r w:rsidR="00882400">
        <w:rPr>
          <w:rFonts w:ascii="Palatino Linotype" w:hAnsi="Palatino Linotype"/>
          <w:lang w:val="tr-TR"/>
        </w:rPr>
        <w:t>B</w:t>
      </w:r>
      <w:r w:rsidR="00E042FC">
        <w:rPr>
          <w:rFonts w:ascii="Palatino Linotype" w:hAnsi="Palatino Linotype"/>
          <w:lang w:val="tr-TR"/>
        </w:rPr>
        <w:t>etam</w:t>
      </w:r>
    </w:p>
    <w:p w:rsidR="00AC313C" w:rsidRPr="00CE6600" w:rsidRDefault="004405FB" w:rsidP="00BA6B8A">
      <w:pPr>
        <w:spacing w:after="240" w:line="276" w:lineRule="auto"/>
        <w:jc w:val="both"/>
        <w:rPr>
          <w:rFonts w:ascii="Palatino Linotype" w:hAnsi="Palatino Linotype"/>
          <w:lang w:val="tr-TR"/>
        </w:rPr>
      </w:pPr>
      <w:r w:rsidRPr="00CE6600">
        <w:rPr>
          <w:rFonts w:ascii="Palatino Linotype" w:hAnsi="Palatino Linotype"/>
          <w:lang w:val="tr-TR"/>
        </w:rPr>
        <w:t xml:space="preserve">Yıllar içerisinde </w:t>
      </w:r>
      <w:r w:rsidR="00334446" w:rsidRPr="00CE6600">
        <w:rPr>
          <w:rFonts w:ascii="Palatino Linotype" w:hAnsi="Palatino Linotype"/>
          <w:lang w:val="tr-TR"/>
        </w:rPr>
        <w:t xml:space="preserve">iş gücü verimliliğinde en hızlı artış </w:t>
      </w:r>
      <w:r w:rsidR="00C27A6C" w:rsidRPr="00CE6600">
        <w:rPr>
          <w:rFonts w:ascii="Palatino Linotype" w:hAnsi="Palatino Linotype"/>
          <w:lang w:val="tr-TR"/>
        </w:rPr>
        <w:t xml:space="preserve">inşaat sektöründe yaşanmış ve 2018’de 1980 yılına göre </w:t>
      </w:r>
      <w:r w:rsidR="001C1700">
        <w:rPr>
          <w:rFonts w:ascii="Palatino Linotype" w:hAnsi="Palatino Linotype"/>
          <w:lang w:val="tr-TR"/>
        </w:rPr>
        <w:t xml:space="preserve">toplamda </w:t>
      </w:r>
      <w:r w:rsidR="00C27A6C" w:rsidRPr="00CE6600">
        <w:rPr>
          <w:rFonts w:ascii="Palatino Linotype" w:hAnsi="Palatino Linotype"/>
          <w:lang w:val="tr-TR"/>
        </w:rPr>
        <w:t>yüzde 260 büyümüştür. Sanayi sektöründe aynı dönemde artış yüzde 208, tarımda yüzde 154 ve hizmetlerde ise yüzde 28 oranında olmuştur. Tarımda iş gücü verimliliğinin artmasında tarım istihdamının azalmasına rağmen tarımsal çıktının artması</w:t>
      </w:r>
      <w:r w:rsidR="00C27A6C" w:rsidRPr="006F21D7">
        <w:rPr>
          <w:sz w:val="24"/>
          <w:szCs w:val="24"/>
          <w:lang w:val="tr-TR"/>
        </w:rPr>
        <w:t xml:space="preserve"> </w:t>
      </w:r>
      <w:r w:rsidR="00C27A6C" w:rsidRPr="00CE6600">
        <w:rPr>
          <w:rFonts w:ascii="Palatino Linotype" w:hAnsi="Palatino Linotype"/>
          <w:lang w:val="tr-TR"/>
        </w:rPr>
        <w:t>etkili olmuştur. Bu anlamda iş gücünün tarımdan başka sektörlere kayarak daha verimli bir dağılıma doğru gidildiği söylenebilir. Diğer sektörlerde iş gücü verimliliğinin artması, çıktının istihdamdan daha fazla artması sonucunda gerçekleşmiştir. Hizmetlerde ise iş gücü verimliliği anlamında bir tıkanıklık olduğu görülmektedir.</w:t>
      </w:r>
    </w:p>
    <w:p w:rsidR="00C27A6C" w:rsidRPr="00CE6600" w:rsidRDefault="00BC211A" w:rsidP="00BA6B8A">
      <w:pPr>
        <w:spacing w:after="240" w:line="276" w:lineRule="auto"/>
        <w:rPr>
          <w:rFonts w:ascii="Palatino Linotype" w:hAnsi="Palatino Linotype"/>
          <w:b/>
          <w:bCs/>
          <w:lang w:val="tr-TR"/>
        </w:rPr>
      </w:pPr>
      <w:r>
        <w:rPr>
          <w:rFonts w:ascii="Palatino Linotype" w:hAnsi="Palatino Linotype"/>
          <w:b/>
          <w:bCs/>
          <w:lang w:val="tr-TR"/>
        </w:rPr>
        <w:br w:type="column"/>
      </w:r>
      <w:r w:rsidR="00C27A6C" w:rsidRPr="00CE6600">
        <w:rPr>
          <w:rFonts w:ascii="Palatino Linotype" w:hAnsi="Palatino Linotype"/>
          <w:b/>
          <w:bCs/>
          <w:lang w:val="tr-TR"/>
        </w:rPr>
        <w:lastRenderedPageBreak/>
        <w:t xml:space="preserve">Tablo </w:t>
      </w:r>
      <w:r>
        <w:rPr>
          <w:rFonts w:ascii="Palatino Linotype" w:hAnsi="Palatino Linotype"/>
          <w:b/>
          <w:bCs/>
          <w:lang w:val="tr-TR"/>
        </w:rPr>
        <w:t>3</w:t>
      </w:r>
      <w:r w:rsidR="00C27A6C" w:rsidRPr="00CE6600">
        <w:rPr>
          <w:rFonts w:ascii="Palatino Linotype" w:hAnsi="Palatino Linotype"/>
          <w:b/>
          <w:bCs/>
          <w:lang w:val="tr-TR"/>
        </w:rPr>
        <w:t>: İş Gücü Verimlilik Artışları (</w:t>
      </w:r>
      <w:r w:rsidR="00AE3822">
        <w:rPr>
          <w:rFonts w:ascii="Palatino Linotype" w:hAnsi="Palatino Linotype"/>
          <w:b/>
          <w:bCs/>
          <w:lang w:val="tr-TR"/>
        </w:rPr>
        <w:t xml:space="preserve">Yıllık Ortalama </w:t>
      </w:r>
      <w:r w:rsidR="00C27A6C" w:rsidRPr="00CE6600">
        <w:rPr>
          <w:rFonts w:ascii="Palatino Linotype" w:hAnsi="Palatino Linotype"/>
          <w:b/>
          <w:bCs/>
          <w:lang w:val="tr-TR"/>
        </w:rPr>
        <w:t>%)</w:t>
      </w:r>
    </w:p>
    <w:tbl>
      <w:tblPr>
        <w:tblW w:w="6510" w:type="dxa"/>
        <w:tblLook w:val="04A0" w:firstRow="1" w:lastRow="0" w:firstColumn="1" w:lastColumn="0" w:noHBand="0" w:noVBand="1"/>
      </w:tblPr>
      <w:tblGrid>
        <w:gridCol w:w="2202"/>
        <w:gridCol w:w="1036"/>
        <w:gridCol w:w="1036"/>
        <w:gridCol w:w="1036"/>
        <w:gridCol w:w="1200"/>
      </w:tblGrid>
      <w:tr w:rsidR="00C27A6C" w:rsidRPr="00CE6600" w:rsidTr="00AE3822">
        <w:trPr>
          <w:trHeight w:val="325"/>
        </w:trPr>
        <w:tc>
          <w:tcPr>
            <w:tcW w:w="2202" w:type="dxa"/>
            <w:tcBorders>
              <w:top w:val="single" w:sz="4" w:space="0" w:color="auto"/>
              <w:left w:val="nil"/>
              <w:bottom w:val="single" w:sz="4" w:space="0" w:color="auto"/>
              <w:right w:val="nil"/>
            </w:tcBorders>
            <w:shd w:val="clear" w:color="000000" w:fill="FFFFFF"/>
            <w:noWrap/>
            <w:vAlign w:val="bottom"/>
            <w:hideMark/>
          </w:tcPr>
          <w:p w:rsidR="00C27A6C" w:rsidRPr="00CE6600" w:rsidRDefault="00C27A6C" w:rsidP="00C27A6C">
            <w:pPr>
              <w:spacing w:after="0" w:line="240" w:lineRule="auto"/>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 </w:t>
            </w:r>
          </w:p>
        </w:tc>
        <w:tc>
          <w:tcPr>
            <w:tcW w:w="1036" w:type="dxa"/>
            <w:tcBorders>
              <w:top w:val="single" w:sz="4" w:space="0" w:color="auto"/>
              <w:left w:val="nil"/>
              <w:bottom w:val="single" w:sz="4" w:space="0" w:color="auto"/>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Tarım</w:t>
            </w:r>
          </w:p>
        </w:tc>
        <w:tc>
          <w:tcPr>
            <w:tcW w:w="1036" w:type="dxa"/>
            <w:tcBorders>
              <w:top w:val="single" w:sz="4" w:space="0" w:color="auto"/>
              <w:left w:val="nil"/>
              <w:bottom w:val="single" w:sz="4" w:space="0" w:color="auto"/>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Sanayi</w:t>
            </w:r>
          </w:p>
        </w:tc>
        <w:tc>
          <w:tcPr>
            <w:tcW w:w="1036" w:type="dxa"/>
            <w:tcBorders>
              <w:top w:val="single" w:sz="4" w:space="0" w:color="auto"/>
              <w:left w:val="nil"/>
              <w:bottom w:val="single" w:sz="4" w:space="0" w:color="auto"/>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İnşaat</w:t>
            </w:r>
          </w:p>
        </w:tc>
        <w:tc>
          <w:tcPr>
            <w:tcW w:w="1200" w:type="dxa"/>
            <w:tcBorders>
              <w:top w:val="single" w:sz="4" w:space="0" w:color="auto"/>
              <w:left w:val="nil"/>
              <w:bottom w:val="single" w:sz="4" w:space="0" w:color="auto"/>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Hizmetler</w:t>
            </w:r>
          </w:p>
        </w:tc>
      </w:tr>
      <w:tr w:rsidR="00C27A6C" w:rsidRPr="00CE6600" w:rsidTr="00AE3822">
        <w:trPr>
          <w:trHeight w:val="325"/>
        </w:trPr>
        <w:tc>
          <w:tcPr>
            <w:tcW w:w="2202"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rPr>
                <w:rFonts w:ascii="Palatino Linotype" w:eastAsia="Times New Roman" w:hAnsi="Palatino Linotype" w:cs="Calibri Light"/>
                <w:b/>
                <w:bCs/>
                <w:sz w:val="20"/>
                <w:szCs w:val="20"/>
                <w:lang w:val="tr-TR" w:eastAsia="en-GB"/>
              </w:rPr>
            </w:pPr>
            <w:r w:rsidRPr="00CE6600">
              <w:rPr>
                <w:rFonts w:ascii="Palatino Linotype" w:eastAsia="Times New Roman" w:hAnsi="Palatino Linotype" w:cs="Calibri Light"/>
                <w:b/>
                <w:bCs/>
                <w:sz w:val="20"/>
                <w:szCs w:val="20"/>
                <w:lang w:val="tr-TR" w:eastAsia="en-GB"/>
              </w:rPr>
              <w:t>Büyüme Oranları (%)</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 </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 </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 </w:t>
            </w:r>
          </w:p>
        </w:tc>
        <w:tc>
          <w:tcPr>
            <w:tcW w:w="1200"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 </w:t>
            </w:r>
          </w:p>
        </w:tc>
      </w:tr>
      <w:tr w:rsidR="00C27A6C" w:rsidRPr="00CE6600" w:rsidTr="00AE3822">
        <w:trPr>
          <w:trHeight w:val="325"/>
        </w:trPr>
        <w:tc>
          <w:tcPr>
            <w:tcW w:w="2202" w:type="dxa"/>
            <w:tcBorders>
              <w:top w:val="single" w:sz="4" w:space="0" w:color="auto"/>
              <w:left w:val="nil"/>
              <w:bottom w:val="nil"/>
              <w:right w:val="nil"/>
            </w:tcBorders>
            <w:shd w:val="clear" w:color="000000" w:fill="FFFFFF"/>
            <w:noWrap/>
            <w:vAlign w:val="bottom"/>
            <w:hideMark/>
          </w:tcPr>
          <w:p w:rsidR="00C27A6C" w:rsidRPr="00CE6600" w:rsidRDefault="00C27A6C" w:rsidP="00C27A6C">
            <w:pPr>
              <w:spacing w:after="0" w:line="240" w:lineRule="auto"/>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1981-1989</w:t>
            </w:r>
          </w:p>
        </w:tc>
        <w:tc>
          <w:tcPr>
            <w:tcW w:w="1036" w:type="dxa"/>
            <w:tcBorders>
              <w:top w:val="single" w:sz="4" w:space="0" w:color="auto"/>
              <w:left w:val="nil"/>
              <w:bottom w:val="nil"/>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0.6</w:t>
            </w:r>
          </w:p>
        </w:tc>
        <w:tc>
          <w:tcPr>
            <w:tcW w:w="1036" w:type="dxa"/>
            <w:tcBorders>
              <w:top w:val="single" w:sz="4" w:space="0" w:color="auto"/>
              <w:left w:val="nil"/>
              <w:bottom w:val="nil"/>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4.7</w:t>
            </w:r>
          </w:p>
        </w:tc>
        <w:tc>
          <w:tcPr>
            <w:tcW w:w="1036" w:type="dxa"/>
            <w:tcBorders>
              <w:top w:val="single" w:sz="4" w:space="0" w:color="auto"/>
              <w:left w:val="nil"/>
              <w:bottom w:val="nil"/>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6.5</w:t>
            </w:r>
          </w:p>
        </w:tc>
        <w:tc>
          <w:tcPr>
            <w:tcW w:w="1200" w:type="dxa"/>
            <w:tcBorders>
              <w:top w:val="single" w:sz="4" w:space="0" w:color="auto"/>
              <w:left w:val="nil"/>
              <w:bottom w:val="nil"/>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0.2</w:t>
            </w:r>
          </w:p>
        </w:tc>
      </w:tr>
      <w:tr w:rsidR="00C27A6C" w:rsidRPr="00CE6600" w:rsidTr="00AE3822">
        <w:trPr>
          <w:trHeight w:val="325"/>
        </w:trPr>
        <w:tc>
          <w:tcPr>
            <w:tcW w:w="2202"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1990-2002</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3.4</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1.3</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1.7</w:t>
            </w:r>
          </w:p>
        </w:tc>
        <w:tc>
          <w:tcPr>
            <w:tcW w:w="1200"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0.2</w:t>
            </w:r>
          </w:p>
        </w:tc>
      </w:tr>
      <w:tr w:rsidR="00C27A6C" w:rsidRPr="00CE6600" w:rsidTr="00AE3822">
        <w:trPr>
          <w:trHeight w:val="325"/>
        </w:trPr>
        <w:tc>
          <w:tcPr>
            <w:tcW w:w="2202"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2003-2013</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2.6</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4.6</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5.1</w:t>
            </w:r>
          </w:p>
        </w:tc>
        <w:tc>
          <w:tcPr>
            <w:tcW w:w="1200"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1.5</w:t>
            </w:r>
          </w:p>
        </w:tc>
      </w:tr>
      <w:tr w:rsidR="00C27A6C" w:rsidRPr="00CE6600" w:rsidTr="00AE3822">
        <w:trPr>
          <w:trHeight w:val="325"/>
        </w:trPr>
        <w:tc>
          <w:tcPr>
            <w:tcW w:w="2202"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i/>
                <w:iCs/>
                <w:sz w:val="18"/>
                <w:szCs w:val="18"/>
                <w:lang w:val="tr-TR" w:eastAsia="en-GB"/>
              </w:rPr>
            </w:pPr>
            <w:r w:rsidRPr="00CE6600">
              <w:rPr>
                <w:rFonts w:ascii="Palatino Linotype" w:eastAsia="Times New Roman" w:hAnsi="Palatino Linotype" w:cs="Calibri Light"/>
                <w:i/>
                <w:iCs/>
                <w:sz w:val="18"/>
                <w:szCs w:val="18"/>
                <w:lang w:val="tr-TR" w:eastAsia="en-GB"/>
              </w:rPr>
              <w:t>2003-2007</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right"/>
              <w:rPr>
                <w:rFonts w:ascii="Palatino Linotype" w:eastAsia="Times New Roman" w:hAnsi="Palatino Linotype" w:cs="Calibri Light"/>
                <w:i/>
                <w:iCs/>
                <w:sz w:val="18"/>
                <w:szCs w:val="18"/>
                <w:lang w:val="tr-TR" w:eastAsia="en-GB"/>
              </w:rPr>
            </w:pPr>
            <w:r w:rsidRPr="00CE6600">
              <w:rPr>
                <w:rFonts w:ascii="Palatino Linotype" w:eastAsia="Times New Roman" w:hAnsi="Palatino Linotype" w:cs="Calibri Light"/>
                <w:i/>
                <w:iCs/>
                <w:sz w:val="18"/>
                <w:szCs w:val="18"/>
                <w:lang w:val="tr-TR" w:eastAsia="en-GB"/>
              </w:rPr>
              <w:t>5.0</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right"/>
              <w:rPr>
                <w:rFonts w:ascii="Palatino Linotype" w:eastAsia="Times New Roman" w:hAnsi="Palatino Linotype" w:cs="Calibri Light"/>
                <w:i/>
                <w:iCs/>
                <w:sz w:val="18"/>
                <w:szCs w:val="18"/>
                <w:lang w:val="tr-TR" w:eastAsia="en-GB"/>
              </w:rPr>
            </w:pPr>
            <w:r w:rsidRPr="00CE6600">
              <w:rPr>
                <w:rFonts w:ascii="Palatino Linotype" w:eastAsia="Times New Roman" w:hAnsi="Palatino Linotype" w:cs="Calibri Light"/>
                <w:i/>
                <w:iCs/>
                <w:sz w:val="18"/>
                <w:szCs w:val="18"/>
                <w:lang w:val="tr-TR" w:eastAsia="en-GB"/>
              </w:rPr>
              <w:t>6.8</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right"/>
              <w:rPr>
                <w:rFonts w:ascii="Palatino Linotype" w:eastAsia="Times New Roman" w:hAnsi="Palatino Linotype" w:cs="Calibri Light"/>
                <w:i/>
                <w:iCs/>
                <w:sz w:val="18"/>
                <w:szCs w:val="18"/>
                <w:lang w:val="tr-TR" w:eastAsia="en-GB"/>
              </w:rPr>
            </w:pPr>
            <w:r w:rsidRPr="00CE6600">
              <w:rPr>
                <w:rFonts w:ascii="Palatino Linotype" w:eastAsia="Times New Roman" w:hAnsi="Palatino Linotype" w:cs="Calibri Light"/>
                <w:i/>
                <w:iCs/>
                <w:sz w:val="18"/>
                <w:szCs w:val="18"/>
                <w:lang w:val="tr-TR" w:eastAsia="en-GB"/>
              </w:rPr>
              <w:t>10.3</w:t>
            </w:r>
          </w:p>
        </w:tc>
        <w:tc>
          <w:tcPr>
            <w:tcW w:w="1200"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right"/>
              <w:rPr>
                <w:rFonts w:ascii="Palatino Linotype" w:eastAsia="Times New Roman" w:hAnsi="Palatino Linotype" w:cs="Calibri Light"/>
                <w:i/>
                <w:iCs/>
                <w:sz w:val="18"/>
                <w:szCs w:val="18"/>
                <w:lang w:val="tr-TR" w:eastAsia="en-GB"/>
              </w:rPr>
            </w:pPr>
            <w:r w:rsidRPr="00CE6600">
              <w:rPr>
                <w:rFonts w:ascii="Palatino Linotype" w:eastAsia="Times New Roman" w:hAnsi="Palatino Linotype" w:cs="Calibri Light"/>
                <w:i/>
                <w:iCs/>
                <w:sz w:val="18"/>
                <w:szCs w:val="18"/>
                <w:lang w:val="tr-TR" w:eastAsia="en-GB"/>
              </w:rPr>
              <w:t>2.3</w:t>
            </w:r>
          </w:p>
        </w:tc>
      </w:tr>
      <w:tr w:rsidR="00C27A6C" w:rsidRPr="00CE6600" w:rsidTr="00AE3822">
        <w:trPr>
          <w:trHeight w:val="325"/>
        </w:trPr>
        <w:tc>
          <w:tcPr>
            <w:tcW w:w="2202"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i/>
                <w:iCs/>
                <w:sz w:val="18"/>
                <w:szCs w:val="18"/>
                <w:lang w:val="tr-TR" w:eastAsia="en-GB"/>
              </w:rPr>
            </w:pPr>
            <w:r w:rsidRPr="00CE6600">
              <w:rPr>
                <w:rFonts w:ascii="Palatino Linotype" w:eastAsia="Times New Roman" w:hAnsi="Palatino Linotype" w:cs="Calibri Light"/>
                <w:i/>
                <w:iCs/>
                <w:sz w:val="18"/>
                <w:szCs w:val="18"/>
                <w:lang w:val="tr-TR" w:eastAsia="en-GB"/>
              </w:rPr>
              <w:t>2008-2010</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right"/>
              <w:rPr>
                <w:rFonts w:ascii="Palatino Linotype" w:eastAsia="Times New Roman" w:hAnsi="Palatino Linotype" w:cs="Calibri Light"/>
                <w:i/>
                <w:iCs/>
                <w:sz w:val="18"/>
                <w:szCs w:val="18"/>
                <w:lang w:val="tr-TR" w:eastAsia="en-GB"/>
              </w:rPr>
            </w:pPr>
            <w:r w:rsidRPr="00CE6600">
              <w:rPr>
                <w:rFonts w:ascii="Palatino Linotype" w:eastAsia="Times New Roman" w:hAnsi="Palatino Linotype" w:cs="Calibri Light"/>
                <w:i/>
                <w:iCs/>
                <w:sz w:val="18"/>
                <w:szCs w:val="18"/>
                <w:lang w:val="tr-TR" w:eastAsia="en-GB"/>
              </w:rPr>
              <w:t>0.3</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right"/>
              <w:rPr>
                <w:rFonts w:ascii="Palatino Linotype" w:eastAsia="Times New Roman" w:hAnsi="Palatino Linotype" w:cs="Calibri Light"/>
                <w:i/>
                <w:iCs/>
                <w:sz w:val="18"/>
                <w:szCs w:val="18"/>
                <w:lang w:val="tr-TR" w:eastAsia="en-GB"/>
              </w:rPr>
            </w:pPr>
            <w:r w:rsidRPr="00CE6600">
              <w:rPr>
                <w:rFonts w:ascii="Palatino Linotype" w:eastAsia="Times New Roman" w:hAnsi="Palatino Linotype" w:cs="Calibri Light"/>
                <w:i/>
                <w:iCs/>
                <w:sz w:val="18"/>
                <w:szCs w:val="18"/>
                <w:lang w:val="tr-TR" w:eastAsia="en-GB"/>
              </w:rPr>
              <w:t>-0.7</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right"/>
              <w:rPr>
                <w:rFonts w:ascii="Palatino Linotype" w:eastAsia="Times New Roman" w:hAnsi="Palatino Linotype" w:cs="Calibri Light"/>
                <w:i/>
                <w:iCs/>
                <w:sz w:val="18"/>
                <w:szCs w:val="18"/>
                <w:lang w:val="tr-TR" w:eastAsia="en-GB"/>
              </w:rPr>
            </w:pPr>
            <w:r w:rsidRPr="00CE6600">
              <w:rPr>
                <w:rFonts w:ascii="Palatino Linotype" w:eastAsia="Times New Roman" w:hAnsi="Palatino Linotype" w:cs="Calibri Light"/>
                <w:i/>
                <w:iCs/>
                <w:sz w:val="18"/>
                <w:szCs w:val="18"/>
                <w:lang w:val="tr-TR" w:eastAsia="en-GB"/>
              </w:rPr>
              <w:t>-5.9</w:t>
            </w:r>
          </w:p>
        </w:tc>
        <w:tc>
          <w:tcPr>
            <w:tcW w:w="1200"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right"/>
              <w:rPr>
                <w:rFonts w:ascii="Palatino Linotype" w:eastAsia="Times New Roman" w:hAnsi="Palatino Linotype" w:cs="Calibri Light"/>
                <w:i/>
                <w:iCs/>
                <w:sz w:val="18"/>
                <w:szCs w:val="18"/>
                <w:lang w:val="tr-TR" w:eastAsia="en-GB"/>
              </w:rPr>
            </w:pPr>
            <w:r w:rsidRPr="00CE6600">
              <w:rPr>
                <w:rFonts w:ascii="Palatino Linotype" w:eastAsia="Times New Roman" w:hAnsi="Palatino Linotype" w:cs="Calibri Light"/>
                <w:i/>
                <w:iCs/>
                <w:sz w:val="18"/>
                <w:szCs w:val="18"/>
                <w:lang w:val="tr-TR" w:eastAsia="en-GB"/>
              </w:rPr>
              <w:t>-0.4</w:t>
            </w:r>
          </w:p>
        </w:tc>
      </w:tr>
      <w:tr w:rsidR="00C27A6C" w:rsidRPr="00CE6600" w:rsidTr="00AE3822">
        <w:trPr>
          <w:trHeight w:val="325"/>
        </w:trPr>
        <w:tc>
          <w:tcPr>
            <w:tcW w:w="2202"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i/>
                <w:iCs/>
                <w:sz w:val="18"/>
                <w:szCs w:val="18"/>
                <w:lang w:val="tr-TR" w:eastAsia="en-GB"/>
              </w:rPr>
            </w:pPr>
            <w:r w:rsidRPr="00CE6600">
              <w:rPr>
                <w:rFonts w:ascii="Palatino Linotype" w:eastAsia="Times New Roman" w:hAnsi="Palatino Linotype" w:cs="Calibri Light"/>
                <w:i/>
                <w:iCs/>
                <w:sz w:val="18"/>
                <w:szCs w:val="18"/>
                <w:lang w:val="tr-TR" w:eastAsia="en-GB"/>
              </w:rPr>
              <w:t>2011-2013</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right"/>
              <w:rPr>
                <w:rFonts w:ascii="Palatino Linotype" w:eastAsia="Times New Roman" w:hAnsi="Palatino Linotype" w:cs="Calibri Light"/>
                <w:i/>
                <w:iCs/>
                <w:sz w:val="18"/>
                <w:szCs w:val="18"/>
                <w:lang w:val="tr-TR" w:eastAsia="en-GB"/>
              </w:rPr>
            </w:pPr>
            <w:r w:rsidRPr="00CE6600">
              <w:rPr>
                <w:rFonts w:ascii="Palatino Linotype" w:eastAsia="Times New Roman" w:hAnsi="Palatino Linotype" w:cs="Calibri Light"/>
                <w:i/>
                <w:iCs/>
                <w:sz w:val="18"/>
                <w:szCs w:val="18"/>
                <w:lang w:val="tr-TR" w:eastAsia="en-GB"/>
              </w:rPr>
              <w:t>0.8</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right"/>
              <w:rPr>
                <w:rFonts w:ascii="Palatino Linotype" w:eastAsia="Times New Roman" w:hAnsi="Palatino Linotype" w:cs="Calibri Light"/>
                <w:i/>
                <w:iCs/>
                <w:sz w:val="18"/>
                <w:szCs w:val="18"/>
                <w:lang w:val="tr-TR" w:eastAsia="en-GB"/>
              </w:rPr>
            </w:pPr>
            <w:r w:rsidRPr="00CE6600">
              <w:rPr>
                <w:rFonts w:ascii="Palatino Linotype" w:eastAsia="Times New Roman" w:hAnsi="Palatino Linotype" w:cs="Calibri Light"/>
                <w:i/>
                <w:iCs/>
                <w:sz w:val="18"/>
                <w:szCs w:val="18"/>
                <w:lang w:val="tr-TR" w:eastAsia="en-GB"/>
              </w:rPr>
              <w:t>6.4</w:t>
            </w:r>
          </w:p>
        </w:tc>
        <w:tc>
          <w:tcPr>
            <w:tcW w:w="1036"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right"/>
              <w:rPr>
                <w:rFonts w:ascii="Palatino Linotype" w:eastAsia="Times New Roman" w:hAnsi="Palatino Linotype" w:cs="Calibri Light"/>
                <w:i/>
                <w:iCs/>
                <w:sz w:val="18"/>
                <w:szCs w:val="18"/>
                <w:lang w:val="tr-TR" w:eastAsia="en-GB"/>
              </w:rPr>
            </w:pPr>
            <w:r w:rsidRPr="00CE6600">
              <w:rPr>
                <w:rFonts w:ascii="Palatino Linotype" w:eastAsia="Times New Roman" w:hAnsi="Palatino Linotype" w:cs="Calibri Light"/>
                <w:i/>
                <w:iCs/>
                <w:sz w:val="18"/>
                <w:szCs w:val="18"/>
                <w:lang w:val="tr-TR" w:eastAsia="en-GB"/>
              </w:rPr>
              <w:t>7.3</w:t>
            </w:r>
          </w:p>
        </w:tc>
        <w:tc>
          <w:tcPr>
            <w:tcW w:w="1200" w:type="dxa"/>
            <w:tcBorders>
              <w:top w:val="nil"/>
              <w:left w:val="nil"/>
              <w:bottom w:val="nil"/>
              <w:right w:val="nil"/>
            </w:tcBorders>
            <w:shd w:val="clear" w:color="000000" w:fill="FFFFFF"/>
            <w:noWrap/>
            <w:vAlign w:val="bottom"/>
            <w:hideMark/>
          </w:tcPr>
          <w:p w:rsidR="00C27A6C" w:rsidRPr="00CE6600" w:rsidRDefault="00C27A6C" w:rsidP="00C27A6C">
            <w:pPr>
              <w:spacing w:after="0" w:line="240" w:lineRule="auto"/>
              <w:jc w:val="right"/>
              <w:rPr>
                <w:rFonts w:ascii="Palatino Linotype" w:eastAsia="Times New Roman" w:hAnsi="Palatino Linotype" w:cs="Calibri Light"/>
                <w:i/>
                <w:iCs/>
                <w:sz w:val="18"/>
                <w:szCs w:val="18"/>
                <w:lang w:val="tr-TR" w:eastAsia="en-GB"/>
              </w:rPr>
            </w:pPr>
            <w:r w:rsidRPr="00CE6600">
              <w:rPr>
                <w:rFonts w:ascii="Palatino Linotype" w:eastAsia="Times New Roman" w:hAnsi="Palatino Linotype" w:cs="Calibri Light"/>
                <w:i/>
                <w:iCs/>
                <w:sz w:val="18"/>
                <w:szCs w:val="18"/>
                <w:lang w:val="tr-TR" w:eastAsia="en-GB"/>
              </w:rPr>
              <w:t>2.2</w:t>
            </w:r>
          </w:p>
        </w:tc>
      </w:tr>
      <w:tr w:rsidR="00C27A6C" w:rsidRPr="00CE6600" w:rsidTr="00AE3822">
        <w:trPr>
          <w:trHeight w:val="325"/>
        </w:trPr>
        <w:tc>
          <w:tcPr>
            <w:tcW w:w="2202" w:type="dxa"/>
            <w:tcBorders>
              <w:top w:val="nil"/>
              <w:left w:val="nil"/>
              <w:bottom w:val="single" w:sz="4" w:space="0" w:color="auto"/>
              <w:right w:val="nil"/>
            </w:tcBorders>
            <w:shd w:val="clear" w:color="000000" w:fill="FFFFFF"/>
            <w:noWrap/>
            <w:vAlign w:val="bottom"/>
            <w:hideMark/>
          </w:tcPr>
          <w:p w:rsidR="00C27A6C" w:rsidRPr="00CE6600" w:rsidRDefault="00C27A6C" w:rsidP="00C27A6C">
            <w:pPr>
              <w:spacing w:after="0" w:line="240" w:lineRule="auto"/>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2014-2018</w:t>
            </w:r>
          </w:p>
        </w:tc>
        <w:tc>
          <w:tcPr>
            <w:tcW w:w="1036" w:type="dxa"/>
            <w:tcBorders>
              <w:top w:val="nil"/>
              <w:left w:val="nil"/>
              <w:bottom w:val="single" w:sz="4" w:space="0" w:color="auto"/>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5.3</w:t>
            </w:r>
          </w:p>
        </w:tc>
        <w:tc>
          <w:tcPr>
            <w:tcW w:w="1036" w:type="dxa"/>
            <w:tcBorders>
              <w:top w:val="nil"/>
              <w:left w:val="nil"/>
              <w:bottom w:val="single" w:sz="4" w:space="0" w:color="auto"/>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2.2</w:t>
            </w:r>
          </w:p>
        </w:tc>
        <w:tc>
          <w:tcPr>
            <w:tcW w:w="1036" w:type="dxa"/>
            <w:tcBorders>
              <w:top w:val="nil"/>
              <w:left w:val="nil"/>
              <w:bottom w:val="single" w:sz="4" w:space="0" w:color="auto"/>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2.0</w:t>
            </w:r>
          </w:p>
        </w:tc>
        <w:tc>
          <w:tcPr>
            <w:tcW w:w="1200" w:type="dxa"/>
            <w:tcBorders>
              <w:top w:val="nil"/>
              <w:left w:val="nil"/>
              <w:bottom w:val="single" w:sz="4" w:space="0" w:color="auto"/>
              <w:right w:val="nil"/>
            </w:tcBorders>
            <w:shd w:val="clear" w:color="000000" w:fill="FFFFFF"/>
            <w:noWrap/>
            <w:vAlign w:val="bottom"/>
            <w:hideMark/>
          </w:tcPr>
          <w:p w:rsidR="00C27A6C" w:rsidRPr="00CE6600" w:rsidRDefault="00C27A6C" w:rsidP="00C27A6C">
            <w:pPr>
              <w:spacing w:after="0" w:line="240" w:lineRule="auto"/>
              <w:jc w:val="center"/>
              <w:rPr>
                <w:rFonts w:ascii="Palatino Linotype" w:eastAsia="Times New Roman" w:hAnsi="Palatino Linotype" w:cs="Calibri Light"/>
                <w:sz w:val="20"/>
                <w:szCs w:val="20"/>
                <w:lang w:val="tr-TR" w:eastAsia="en-GB"/>
              </w:rPr>
            </w:pPr>
            <w:r w:rsidRPr="00CE6600">
              <w:rPr>
                <w:rFonts w:ascii="Palatino Linotype" w:eastAsia="Times New Roman" w:hAnsi="Palatino Linotype" w:cs="Calibri Light"/>
                <w:sz w:val="20"/>
                <w:szCs w:val="20"/>
                <w:lang w:val="tr-TR" w:eastAsia="en-GB"/>
              </w:rPr>
              <w:t>1.0</w:t>
            </w:r>
          </w:p>
        </w:tc>
      </w:tr>
    </w:tbl>
    <w:p w:rsidR="00C27A6C" w:rsidRPr="00CE6600" w:rsidRDefault="00C27A6C" w:rsidP="00BA6B8A">
      <w:pPr>
        <w:spacing w:after="240" w:line="276" w:lineRule="auto"/>
        <w:rPr>
          <w:rFonts w:ascii="Palatino Linotype" w:hAnsi="Palatino Linotype"/>
          <w:lang w:val="tr-TR"/>
        </w:rPr>
      </w:pPr>
      <w:r w:rsidRPr="00CE6600">
        <w:rPr>
          <w:rFonts w:ascii="Palatino Linotype" w:hAnsi="Palatino Linotype"/>
          <w:b/>
          <w:bCs/>
          <w:lang w:val="tr-TR"/>
        </w:rPr>
        <w:t>Kaynak:</w:t>
      </w:r>
      <w:r w:rsidRPr="00CE6600">
        <w:rPr>
          <w:rFonts w:ascii="Palatino Linotype" w:hAnsi="Palatino Linotype"/>
          <w:lang w:val="tr-TR"/>
        </w:rPr>
        <w:t xml:space="preserve"> </w:t>
      </w:r>
      <w:r w:rsidR="00882400">
        <w:rPr>
          <w:rFonts w:ascii="Palatino Linotype" w:hAnsi="Palatino Linotype"/>
          <w:lang w:val="tr-TR"/>
        </w:rPr>
        <w:t>B</w:t>
      </w:r>
      <w:r w:rsidR="00E042FC">
        <w:rPr>
          <w:rFonts w:ascii="Palatino Linotype" w:hAnsi="Palatino Linotype"/>
          <w:lang w:val="tr-TR"/>
        </w:rPr>
        <w:t>etam</w:t>
      </w:r>
    </w:p>
    <w:p w:rsidR="00C27A6C" w:rsidRPr="00CE6600" w:rsidRDefault="008F31BE" w:rsidP="00BA6B8A">
      <w:pPr>
        <w:spacing w:after="240" w:line="276" w:lineRule="auto"/>
        <w:jc w:val="both"/>
        <w:rPr>
          <w:rFonts w:ascii="Palatino Linotype" w:hAnsi="Palatino Linotype" w:cstheme="minorHAnsi"/>
          <w:lang w:val="tr-TR"/>
        </w:rPr>
      </w:pPr>
      <w:r w:rsidRPr="00CE6600">
        <w:rPr>
          <w:rFonts w:ascii="Palatino Linotype" w:hAnsi="Palatino Linotype" w:cstheme="minorHAnsi"/>
          <w:lang w:val="tr-TR"/>
        </w:rPr>
        <w:t xml:space="preserve">İş gücü verimliliğinde dönemlik olarak en çarpıcı artışın 1981-1989 yılları arasında inşaat sektöründe yıllık ortalama yüzde 6,5 ile gerçekleştiğini görüyoruz. Yine 2003-2013 yıllarında inşaat sektöründe hızlı bir artış yaşanırken sanayide de bu yıllar oldukça olumlu seyretmiştir. Hizmetlerde 1981-1989 ve 1990-2002 yılları arasında iş gücü verimliliği oldukça ılımlı bir seyir izlerken </w:t>
      </w:r>
      <w:r w:rsidR="00AE3822">
        <w:rPr>
          <w:rFonts w:ascii="Palatino Linotype" w:hAnsi="Palatino Linotype" w:cstheme="minorHAnsi"/>
          <w:lang w:val="tr-TR"/>
        </w:rPr>
        <w:t>tüm</w:t>
      </w:r>
      <w:r w:rsidRPr="00CE6600">
        <w:rPr>
          <w:rFonts w:ascii="Palatino Linotype" w:hAnsi="Palatino Linotype" w:cstheme="minorHAnsi"/>
          <w:lang w:val="tr-TR"/>
        </w:rPr>
        <w:t xml:space="preserve"> dönemlerde de en yavaş artış hızına sahip sektör olmuştur. Tarımda 2014-2018 yılları arasında istihdam kayıplarının ve çıktı artışlarının desteğiyle iş gücü üretkenliği hızla yükselmiştir.</w:t>
      </w:r>
    </w:p>
    <w:p w:rsidR="008F31BE" w:rsidRPr="00CE6600" w:rsidRDefault="004C336D" w:rsidP="00BA6B8A">
      <w:pPr>
        <w:spacing w:before="240" w:after="60" w:line="276" w:lineRule="auto"/>
        <w:rPr>
          <w:rFonts w:ascii="Palatino Linotype" w:hAnsi="Palatino Linotype" w:cstheme="minorHAnsi"/>
          <w:b/>
          <w:sz w:val="26"/>
          <w:szCs w:val="26"/>
          <w:lang w:val="tr-TR"/>
        </w:rPr>
      </w:pPr>
      <w:r w:rsidRPr="00CE6600">
        <w:rPr>
          <w:rFonts w:ascii="Palatino Linotype" w:hAnsi="Palatino Linotype" w:cstheme="minorHAnsi"/>
          <w:b/>
          <w:sz w:val="26"/>
          <w:szCs w:val="26"/>
          <w:lang w:val="tr-TR"/>
        </w:rPr>
        <w:t xml:space="preserve">Sektörlerde </w:t>
      </w:r>
      <w:proofErr w:type="spellStart"/>
      <w:r w:rsidRPr="00CE6600">
        <w:rPr>
          <w:rFonts w:ascii="Palatino Linotype" w:hAnsi="Palatino Linotype" w:cstheme="minorHAnsi"/>
          <w:b/>
          <w:sz w:val="26"/>
          <w:szCs w:val="26"/>
          <w:lang w:val="tr-TR"/>
        </w:rPr>
        <w:t>TFV’nin</w:t>
      </w:r>
      <w:proofErr w:type="spellEnd"/>
      <w:r w:rsidRPr="00CE6600">
        <w:rPr>
          <w:rFonts w:ascii="Palatino Linotype" w:hAnsi="Palatino Linotype" w:cstheme="minorHAnsi"/>
          <w:b/>
          <w:sz w:val="26"/>
          <w:szCs w:val="26"/>
          <w:lang w:val="tr-TR"/>
        </w:rPr>
        <w:t xml:space="preserve"> Seyri</w:t>
      </w:r>
    </w:p>
    <w:p w:rsidR="004C336D" w:rsidRDefault="004C336D" w:rsidP="00BA6B8A">
      <w:pPr>
        <w:spacing w:after="240" w:line="276" w:lineRule="auto"/>
        <w:jc w:val="both"/>
        <w:rPr>
          <w:rFonts w:ascii="Palatino Linotype" w:hAnsi="Palatino Linotype" w:cstheme="minorHAnsi"/>
          <w:lang w:val="tr-TR"/>
        </w:rPr>
      </w:pPr>
      <w:r w:rsidRPr="00CE6600">
        <w:rPr>
          <w:rFonts w:ascii="Palatino Linotype" w:hAnsi="Palatino Linotype" w:cstheme="minorHAnsi"/>
          <w:lang w:val="tr-TR"/>
        </w:rPr>
        <w:t xml:space="preserve">Bir ülke için TFV serisinin hesaplanmasıyla bir sektör için hesaplanması arasında temelde bir fark yoktur. </w:t>
      </w:r>
      <w:proofErr w:type="spellStart"/>
      <w:r w:rsidR="00DA13F6" w:rsidRPr="00CE6600">
        <w:rPr>
          <w:rFonts w:ascii="Palatino Linotype" w:hAnsi="Palatino Linotype" w:cstheme="minorHAnsi"/>
          <w:lang w:val="tr-TR"/>
        </w:rPr>
        <w:t>Sektörel</w:t>
      </w:r>
      <w:proofErr w:type="spellEnd"/>
      <w:r w:rsidR="00DA13F6" w:rsidRPr="00CE6600">
        <w:rPr>
          <w:rFonts w:ascii="Palatino Linotype" w:hAnsi="Palatino Linotype" w:cstheme="minorHAnsi"/>
          <w:lang w:val="tr-TR"/>
        </w:rPr>
        <w:t xml:space="preserve"> TFV hesaplanırken o sektör için bir üretim fonksiyonu varsayılır; istihdam, sermaye stoku ve reel çıktı verileri oluşturulur</w:t>
      </w:r>
      <w:r w:rsidR="00DA13F6" w:rsidRPr="00CE6600">
        <w:rPr>
          <w:rStyle w:val="DipnotBavurusu"/>
          <w:rFonts w:ascii="Palatino Linotype" w:hAnsi="Palatino Linotype" w:cstheme="minorHAnsi"/>
          <w:lang w:val="tr-TR"/>
        </w:rPr>
        <w:footnoteReference w:id="8"/>
      </w:r>
      <w:r w:rsidR="00DA13F6" w:rsidRPr="00CE6600">
        <w:rPr>
          <w:rFonts w:ascii="Palatino Linotype" w:hAnsi="Palatino Linotype" w:cstheme="minorHAnsi"/>
          <w:lang w:val="tr-TR"/>
        </w:rPr>
        <w:t xml:space="preserve">. </w:t>
      </w:r>
      <w:r w:rsidR="00E406AF" w:rsidRPr="00CE6600">
        <w:rPr>
          <w:rFonts w:ascii="Palatino Linotype" w:hAnsi="Palatino Linotype" w:cstheme="minorHAnsi"/>
          <w:lang w:val="tr-TR"/>
        </w:rPr>
        <w:t>Bir sektördeki çıktının sermaye miktarı ve iş gücü miktarındaki değişimlerle açıklanamayan kısmı o sektör i</w:t>
      </w:r>
      <w:r w:rsidR="00DA13F6" w:rsidRPr="00CE6600">
        <w:rPr>
          <w:rFonts w:ascii="Palatino Linotype" w:hAnsi="Palatino Linotype" w:cstheme="minorHAnsi"/>
          <w:lang w:val="tr-TR"/>
        </w:rPr>
        <w:t xml:space="preserve">çin </w:t>
      </w:r>
      <w:proofErr w:type="spellStart"/>
      <w:r w:rsidR="00DA13F6" w:rsidRPr="00CE6600">
        <w:rPr>
          <w:rFonts w:ascii="Palatino Linotype" w:hAnsi="Palatino Linotype" w:cstheme="minorHAnsi"/>
          <w:lang w:val="tr-TR"/>
        </w:rPr>
        <w:t>TFV’deki</w:t>
      </w:r>
      <w:proofErr w:type="spellEnd"/>
      <w:r w:rsidR="00DA13F6" w:rsidRPr="00CE6600">
        <w:rPr>
          <w:rFonts w:ascii="Palatino Linotype" w:hAnsi="Palatino Linotype" w:cstheme="minorHAnsi"/>
          <w:lang w:val="tr-TR"/>
        </w:rPr>
        <w:t xml:space="preserve"> değişikliklere işaret etmektedir. TFV artışları bir sektörde teknoloji, bilgi birikimi, daha etkin yönetim, kaynakların daha etkin dağılımı gibi olumlu gelişmelere işaret etmektedir ve bir ekonominin sürdürülebilir büyümesi için önem arz etmektedir.</w:t>
      </w:r>
    </w:p>
    <w:p w:rsidR="0003084E" w:rsidRDefault="0003084E" w:rsidP="00BA6B8A">
      <w:pPr>
        <w:spacing w:after="240" w:line="276" w:lineRule="auto"/>
        <w:jc w:val="both"/>
        <w:rPr>
          <w:rFonts w:ascii="Palatino Linotype" w:hAnsi="Palatino Linotype" w:cstheme="minorHAnsi"/>
          <w:lang w:val="tr-TR"/>
        </w:rPr>
      </w:pPr>
      <w:r>
        <w:rPr>
          <w:rFonts w:ascii="Palatino Linotype" w:hAnsi="Palatino Linotype" w:cstheme="minorHAnsi"/>
          <w:lang w:val="tr-TR"/>
        </w:rPr>
        <w:t>TFV hesaplanması için elzem olan sermaye stokunun elde edilmesinde</w:t>
      </w:r>
      <w:r w:rsidRPr="0003084E">
        <w:rPr>
          <w:rFonts w:ascii="Palatino Linotype" w:hAnsi="Palatino Linotype" w:cstheme="minorHAnsi"/>
          <w:lang w:val="tr-TR"/>
        </w:rPr>
        <w:t xml:space="preserve"> daimî envanter yöntemi (</w:t>
      </w:r>
      <w:proofErr w:type="spellStart"/>
      <w:r w:rsidRPr="0003084E">
        <w:rPr>
          <w:rFonts w:ascii="Palatino Linotype" w:hAnsi="Palatino Linotype" w:cstheme="minorHAnsi"/>
          <w:i/>
          <w:iCs/>
          <w:lang w:val="tr-TR"/>
        </w:rPr>
        <w:t>perpetual-inventory</w:t>
      </w:r>
      <w:proofErr w:type="spellEnd"/>
      <w:r w:rsidRPr="0003084E">
        <w:rPr>
          <w:rFonts w:ascii="Palatino Linotype" w:hAnsi="Palatino Linotype" w:cstheme="minorHAnsi"/>
          <w:i/>
          <w:iCs/>
          <w:lang w:val="tr-TR"/>
        </w:rPr>
        <w:t xml:space="preserve"> </w:t>
      </w:r>
      <w:proofErr w:type="spellStart"/>
      <w:r w:rsidRPr="0003084E">
        <w:rPr>
          <w:rFonts w:ascii="Palatino Linotype" w:hAnsi="Palatino Linotype" w:cstheme="minorHAnsi"/>
          <w:i/>
          <w:iCs/>
          <w:lang w:val="tr-TR"/>
        </w:rPr>
        <w:t>method</w:t>
      </w:r>
      <w:proofErr w:type="spellEnd"/>
      <w:r w:rsidRPr="0003084E">
        <w:rPr>
          <w:rFonts w:ascii="Palatino Linotype" w:hAnsi="Palatino Linotype" w:cstheme="minorHAnsi"/>
          <w:lang w:val="tr-TR"/>
        </w:rPr>
        <w:t>)</w:t>
      </w:r>
      <w:r>
        <w:rPr>
          <w:rFonts w:ascii="Palatino Linotype" w:hAnsi="Palatino Linotype" w:cstheme="minorHAnsi"/>
          <w:lang w:val="tr-TR"/>
        </w:rPr>
        <w:t xml:space="preserve"> kullanılmıştır. Oldukça basit şekilde ifade etmek gerekirse, her yıl yapılan yatırımlardan her yıl oluşan amortisman düşülerek sermaye stoku serisi elde edilir. Bu yöntemin yapılabilmesi için dönem başı sermaye stokunun tahmin edilmesi ve bir amortisman oranının belirlenmesi gerekir. </w:t>
      </w:r>
      <w:proofErr w:type="spellStart"/>
      <w:r>
        <w:rPr>
          <w:rFonts w:ascii="Palatino Linotype" w:hAnsi="Palatino Linotype" w:cstheme="minorHAnsi"/>
          <w:lang w:val="tr-TR"/>
        </w:rPr>
        <w:t>TÜİK’in</w:t>
      </w:r>
      <w:proofErr w:type="spellEnd"/>
      <w:r>
        <w:rPr>
          <w:rFonts w:ascii="Palatino Linotype" w:hAnsi="Palatino Linotype" w:cstheme="minorHAnsi"/>
          <w:lang w:val="tr-TR"/>
        </w:rPr>
        <w:t xml:space="preserve"> hesapladığı </w:t>
      </w:r>
      <w:r w:rsidR="00412729">
        <w:rPr>
          <w:rFonts w:ascii="Palatino Linotype" w:hAnsi="Palatino Linotype" w:cstheme="minorHAnsi"/>
          <w:lang w:val="tr-TR"/>
        </w:rPr>
        <w:t>bir amortisman</w:t>
      </w:r>
      <w:r>
        <w:rPr>
          <w:rFonts w:ascii="Palatino Linotype" w:hAnsi="Palatino Linotype" w:cstheme="minorHAnsi"/>
          <w:lang w:val="tr-TR"/>
        </w:rPr>
        <w:t xml:space="preserve"> oranı </w:t>
      </w:r>
      <w:r w:rsidR="00412729">
        <w:rPr>
          <w:rFonts w:ascii="Palatino Linotype" w:hAnsi="Palatino Linotype" w:cstheme="minorHAnsi"/>
          <w:lang w:val="tr-TR"/>
        </w:rPr>
        <w:t xml:space="preserve">olmadığı için Bakış ve Acar (2020) TFV literatüründe yaygın olarak varsayılan yüzde 6’yı toplulaştırılmış veri için kullanmıştır. İnşaat sektörünün diğer sektörlerden daha yüksek ve tarımın ise daha düşük amortismana sahip olduğuna ilişkin çalışmalar nedeniyle </w:t>
      </w:r>
      <w:r w:rsidR="00412729">
        <w:rPr>
          <w:rFonts w:ascii="Palatino Linotype" w:hAnsi="Palatino Linotype" w:cstheme="minorHAnsi"/>
          <w:lang w:val="tr-TR"/>
        </w:rPr>
        <w:lastRenderedPageBreak/>
        <w:t>(</w:t>
      </w:r>
      <w:proofErr w:type="spellStart"/>
      <w:r w:rsidR="00412729" w:rsidRPr="00412729">
        <w:rPr>
          <w:rFonts w:ascii="Palatino Linotype" w:hAnsi="Palatino Linotype" w:cstheme="minorHAnsi"/>
          <w:lang w:val="tr-TR"/>
        </w:rPr>
        <w:t>Jorgenson</w:t>
      </w:r>
      <w:proofErr w:type="spellEnd"/>
      <w:r w:rsidR="00412729" w:rsidRPr="00412729">
        <w:rPr>
          <w:rFonts w:ascii="Palatino Linotype" w:hAnsi="Palatino Linotype" w:cstheme="minorHAnsi"/>
          <w:lang w:val="tr-TR"/>
        </w:rPr>
        <w:t xml:space="preserve">, 1996; </w:t>
      </w:r>
      <w:proofErr w:type="spellStart"/>
      <w:r w:rsidR="00412729" w:rsidRPr="00412729">
        <w:rPr>
          <w:rFonts w:ascii="Palatino Linotype" w:hAnsi="Palatino Linotype" w:cstheme="minorHAnsi"/>
          <w:lang w:val="tr-TR"/>
        </w:rPr>
        <w:t>Hulten</w:t>
      </w:r>
      <w:proofErr w:type="spellEnd"/>
      <w:r w:rsidR="00412729" w:rsidRPr="00412729">
        <w:rPr>
          <w:rFonts w:ascii="Palatino Linotype" w:hAnsi="Palatino Linotype" w:cstheme="minorHAnsi"/>
          <w:lang w:val="tr-TR"/>
        </w:rPr>
        <w:t xml:space="preserve"> ve </w:t>
      </w:r>
      <w:proofErr w:type="spellStart"/>
      <w:r w:rsidR="00412729" w:rsidRPr="00412729">
        <w:rPr>
          <w:rFonts w:ascii="Palatino Linotype" w:hAnsi="Palatino Linotype" w:cstheme="minorHAnsi"/>
          <w:lang w:val="tr-TR"/>
        </w:rPr>
        <w:t>Wykoff</w:t>
      </w:r>
      <w:proofErr w:type="spellEnd"/>
      <w:r w:rsidR="00412729" w:rsidRPr="00412729">
        <w:rPr>
          <w:rFonts w:ascii="Palatino Linotype" w:hAnsi="Palatino Linotype" w:cstheme="minorHAnsi"/>
          <w:lang w:val="tr-TR"/>
        </w:rPr>
        <w:t>, 1981</w:t>
      </w:r>
      <w:r w:rsidR="00412729">
        <w:rPr>
          <w:rFonts w:ascii="Palatino Linotype" w:hAnsi="Palatino Linotype" w:cstheme="minorHAnsi"/>
          <w:lang w:val="tr-TR"/>
        </w:rPr>
        <w:t xml:space="preserve">) </w:t>
      </w:r>
      <w:proofErr w:type="spellStart"/>
      <w:r w:rsidR="00412729">
        <w:rPr>
          <w:rFonts w:ascii="Palatino Linotype" w:hAnsi="Palatino Linotype" w:cstheme="minorHAnsi"/>
          <w:lang w:val="tr-TR"/>
        </w:rPr>
        <w:t>sektörel</w:t>
      </w:r>
      <w:proofErr w:type="spellEnd"/>
      <w:r w:rsidR="00412729">
        <w:rPr>
          <w:rFonts w:ascii="Palatino Linotype" w:hAnsi="Palatino Linotype" w:cstheme="minorHAnsi"/>
          <w:lang w:val="tr-TR"/>
        </w:rPr>
        <w:t xml:space="preserve"> amortisman oranları sanayi ve hizmetler için yüzde 6, tarım için yüzde 4 ve inşaat için yüzde 8 olarak varsayılmıştır</w:t>
      </w:r>
      <w:r w:rsidR="00412729">
        <w:rPr>
          <w:rStyle w:val="DipnotBavurusu"/>
          <w:rFonts w:ascii="Palatino Linotype" w:hAnsi="Palatino Linotype" w:cstheme="minorHAnsi"/>
          <w:lang w:val="tr-TR"/>
        </w:rPr>
        <w:footnoteReference w:id="9"/>
      </w:r>
      <w:r w:rsidR="00412729">
        <w:rPr>
          <w:rFonts w:ascii="Palatino Linotype" w:hAnsi="Palatino Linotype" w:cstheme="minorHAnsi"/>
          <w:lang w:val="tr-TR"/>
        </w:rPr>
        <w:t>.</w:t>
      </w:r>
    </w:p>
    <w:p w:rsidR="003D77C7" w:rsidRPr="006F21D7" w:rsidRDefault="00DA13F6" w:rsidP="00BA6B8A">
      <w:pPr>
        <w:spacing w:after="240" w:line="276" w:lineRule="auto"/>
        <w:jc w:val="both"/>
        <w:rPr>
          <w:rFonts w:eastAsiaTheme="minorEastAsia" w:cstheme="minorHAnsi"/>
          <w:sz w:val="24"/>
          <w:szCs w:val="24"/>
          <w:lang w:val="tr-TR"/>
        </w:rPr>
      </w:pPr>
      <w:r w:rsidRPr="00CE6600">
        <w:rPr>
          <w:rFonts w:ascii="Palatino Linotype" w:hAnsi="Palatino Linotype" w:cstheme="minorHAnsi"/>
          <w:lang w:val="tr-TR"/>
        </w:rPr>
        <w:t>TFV hesapları</w:t>
      </w:r>
      <w:r w:rsidR="0029385B">
        <w:rPr>
          <w:rFonts w:ascii="Palatino Linotype" w:hAnsi="Palatino Linotype" w:cstheme="minorHAnsi"/>
          <w:lang w:val="tr-TR"/>
        </w:rPr>
        <w:t xml:space="preserve"> için</w:t>
      </w:r>
      <w:r w:rsidRPr="00CE6600">
        <w:rPr>
          <w:rFonts w:ascii="Palatino Linotype" w:hAnsi="Palatino Linotype" w:cstheme="minorHAnsi"/>
          <w:lang w:val="tr-TR"/>
        </w:rPr>
        <w:t xml:space="preserve"> </w:t>
      </w:r>
      <w:r w:rsidR="0029385B">
        <w:rPr>
          <w:rFonts w:ascii="Palatino Linotype" w:hAnsi="Palatino Linotype" w:cstheme="minorHAnsi"/>
          <w:lang w:val="tr-TR"/>
        </w:rPr>
        <w:t xml:space="preserve">TFV yazınında </w:t>
      </w:r>
      <w:r w:rsidRPr="00CE6600">
        <w:rPr>
          <w:rFonts w:ascii="Palatino Linotype" w:hAnsi="Palatino Linotype" w:cstheme="minorHAnsi"/>
          <w:lang w:val="tr-TR"/>
        </w:rPr>
        <w:t>genel</w:t>
      </w:r>
      <w:r w:rsidR="0029385B">
        <w:rPr>
          <w:rFonts w:ascii="Palatino Linotype" w:hAnsi="Palatino Linotype" w:cstheme="minorHAnsi"/>
          <w:lang w:val="tr-TR"/>
        </w:rPr>
        <w:t>likle</w:t>
      </w:r>
      <w:r w:rsidRPr="00CE6600">
        <w:rPr>
          <w:rFonts w:ascii="Palatino Linotype" w:hAnsi="Palatino Linotype" w:cstheme="minorHAnsi"/>
          <w:lang w:val="tr-TR"/>
        </w:rPr>
        <w:t xml:space="preserve"> </w:t>
      </w:r>
      <w:r w:rsidR="0029385B">
        <w:rPr>
          <w:rFonts w:ascii="Palatino Linotype" w:hAnsi="Palatino Linotype" w:cstheme="minorHAnsi"/>
          <w:lang w:val="tr-TR"/>
        </w:rPr>
        <w:t xml:space="preserve">tercih edilen </w:t>
      </w:r>
      <w:proofErr w:type="spellStart"/>
      <w:r w:rsidRPr="00CE6600">
        <w:rPr>
          <w:rFonts w:ascii="Palatino Linotype" w:hAnsi="Palatino Linotype" w:cstheme="minorHAnsi"/>
          <w:lang w:val="tr-TR"/>
        </w:rPr>
        <w:t>Cobb</w:t>
      </w:r>
      <w:proofErr w:type="spellEnd"/>
      <w:r w:rsidRPr="00CE6600">
        <w:rPr>
          <w:rFonts w:ascii="Palatino Linotype" w:hAnsi="Palatino Linotype" w:cstheme="minorHAnsi"/>
          <w:lang w:val="tr-TR"/>
        </w:rPr>
        <w:t>-Douglas tipi iki girdili (iş gücü ve sermaye) bir üretim fonksiyonu kullanıl</w:t>
      </w:r>
      <w:r w:rsidR="0029385B">
        <w:rPr>
          <w:rFonts w:ascii="Palatino Linotype" w:hAnsi="Palatino Linotype" w:cstheme="minorHAnsi"/>
          <w:lang w:val="tr-TR"/>
        </w:rPr>
        <w:t>mıştır</w:t>
      </w:r>
      <w:r w:rsidRPr="00CE6600">
        <w:rPr>
          <w:rFonts w:ascii="Palatino Linotype" w:hAnsi="Palatino Linotype" w:cstheme="minorHAnsi"/>
          <w:lang w:val="tr-TR"/>
        </w:rPr>
        <w:t xml:space="preserve">. Türkiye ekonomisinin geneli için yapılan </w:t>
      </w:r>
      <w:r w:rsidR="00882400" w:rsidRPr="00467527">
        <w:rPr>
          <w:rFonts w:ascii="Palatino Linotype" w:hAnsi="Palatino Linotype" w:cstheme="minorHAnsi"/>
          <w:lang w:val="tr-TR"/>
        </w:rPr>
        <w:t>B</w:t>
      </w:r>
      <w:r w:rsidR="00E042FC" w:rsidRPr="00467527">
        <w:rPr>
          <w:rFonts w:ascii="Palatino Linotype" w:hAnsi="Palatino Linotype" w:cstheme="minorHAnsi"/>
          <w:lang w:val="tr-TR"/>
        </w:rPr>
        <w:t>etam</w:t>
      </w:r>
      <w:r w:rsidRPr="00467527">
        <w:rPr>
          <w:rFonts w:ascii="Palatino Linotype" w:hAnsi="Palatino Linotype" w:cstheme="minorHAnsi"/>
          <w:lang w:val="tr-TR"/>
        </w:rPr>
        <w:t xml:space="preserve"> TFV Çalışma Tebliği’nde bu üretim fonksiyonu için sermaye katsayısı</w:t>
      </w:r>
      <w:r w:rsidR="00B6707A" w:rsidRPr="00467527">
        <w:rPr>
          <w:rFonts w:ascii="Palatino Linotype" w:hAnsi="Palatino Linotype" w:cstheme="minorHAnsi"/>
          <w:lang w:val="tr-TR"/>
        </w:rPr>
        <w:t xml:space="preserve"> </w:t>
      </w:r>
      <m:oMath>
        <m:r>
          <w:rPr>
            <w:rFonts w:ascii="Cambria Math" w:hAnsi="Cambria Math" w:cstheme="minorHAnsi"/>
            <w:lang w:val="tr-TR"/>
          </w:rPr>
          <m:t>α=0,51</m:t>
        </m:r>
      </m:oMath>
      <w:r w:rsidR="00B6707A" w:rsidRPr="00467527">
        <w:rPr>
          <w:rFonts w:ascii="Palatino Linotype" w:eastAsiaTheme="minorEastAsia" w:hAnsi="Palatino Linotype" w:cstheme="minorHAnsi"/>
          <w:lang w:val="tr-TR"/>
        </w:rPr>
        <w:t xml:space="preserve">, emek katsayısı ise </w:t>
      </w:r>
      <m:oMath>
        <m:r>
          <w:rPr>
            <w:rFonts w:ascii="Cambria Math" w:eastAsiaTheme="minorEastAsia" w:hAnsi="Cambria Math" w:cstheme="minorHAnsi"/>
            <w:lang w:val="tr-TR"/>
          </w:rPr>
          <m:t>0,49</m:t>
        </m:r>
      </m:oMath>
      <w:r w:rsidR="006F2676">
        <w:rPr>
          <w:rFonts w:ascii="Palatino Linotype" w:eastAsiaTheme="minorEastAsia" w:hAnsi="Palatino Linotype" w:cstheme="minorHAnsi"/>
          <w:lang w:val="tr-TR"/>
        </w:rPr>
        <w:t xml:space="preserve"> </w:t>
      </w:r>
      <w:r w:rsidR="00806F49">
        <w:rPr>
          <w:rFonts w:ascii="Palatino Linotype" w:eastAsiaTheme="minorEastAsia" w:hAnsi="Palatino Linotype" w:cstheme="minorHAnsi"/>
          <w:lang w:val="tr-TR"/>
        </w:rPr>
        <w:t>olarak hesaplanmıştır</w:t>
      </w:r>
      <w:r w:rsidR="00B6707A" w:rsidRPr="00467527">
        <w:rPr>
          <w:rFonts w:ascii="Palatino Linotype" w:eastAsiaTheme="minorEastAsia" w:hAnsi="Palatino Linotype" w:cstheme="minorHAnsi"/>
          <w:lang w:val="tr-TR"/>
        </w:rPr>
        <w:t>.</w:t>
      </w:r>
      <w:r w:rsidR="00B6707A" w:rsidRPr="00CE6600">
        <w:rPr>
          <w:rFonts w:ascii="Palatino Linotype" w:eastAsiaTheme="minorEastAsia" w:hAnsi="Palatino Linotype" w:cstheme="minorHAnsi"/>
          <w:lang w:val="tr-TR"/>
        </w:rPr>
        <w:t xml:space="preserve"> </w:t>
      </w:r>
      <w:proofErr w:type="spellStart"/>
      <w:r w:rsidR="00B6707A" w:rsidRPr="00CE6600">
        <w:rPr>
          <w:rFonts w:ascii="Palatino Linotype" w:eastAsiaTheme="minorEastAsia" w:hAnsi="Palatino Linotype" w:cstheme="minorHAnsi"/>
          <w:lang w:val="tr-TR"/>
        </w:rPr>
        <w:t>Sektörel</w:t>
      </w:r>
      <w:proofErr w:type="spellEnd"/>
      <w:r w:rsidR="00B6707A" w:rsidRPr="00CE6600">
        <w:rPr>
          <w:rFonts w:ascii="Palatino Linotype" w:eastAsiaTheme="minorEastAsia" w:hAnsi="Palatino Linotype" w:cstheme="minorHAnsi"/>
          <w:lang w:val="tr-TR"/>
        </w:rPr>
        <w:t xml:space="preserve"> TFV hesaplarında ise </w:t>
      </w:r>
      <w:r w:rsidR="0081135C">
        <w:rPr>
          <w:rFonts w:ascii="Palatino Linotype" w:eastAsiaTheme="minorEastAsia" w:hAnsi="Palatino Linotype" w:cstheme="minorHAnsi"/>
          <w:lang w:val="tr-TR"/>
        </w:rPr>
        <w:t xml:space="preserve">her sektör için </w:t>
      </w:r>
      <w:r w:rsidR="00B6707A" w:rsidRPr="00CE6600">
        <w:rPr>
          <w:rFonts w:ascii="Palatino Linotype" w:eastAsiaTheme="minorEastAsia" w:hAnsi="Palatino Linotype" w:cstheme="minorHAnsi"/>
          <w:lang w:val="tr-TR"/>
        </w:rPr>
        <w:t xml:space="preserve">sermaye ve emek katsayıları </w:t>
      </w:r>
      <w:r w:rsidR="0081135C">
        <w:rPr>
          <w:rFonts w:ascii="Palatino Linotype" w:eastAsiaTheme="minorEastAsia" w:hAnsi="Palatino Linotype" w:cstheme="minorHAnsi"/>
          <w:lang w:val="tr-TR"/>
        </w:rPr>
        <w:t xml:space="preserve">ayrı ayrı </w:t>
      </w:r>
      <w:r w:rsidR="00B6707A" w:rsidRPr="00CE6600">
        <w:rPr>
          <w:rFonts w:ascii="Palatino Linotype" w:eastAsiaTheme="minorEastAsia" w:hAnsi="Palatino Linotype" w:cstheme="minorHAnsi"/>
          <w:lang w:val="tr-TR"/>
        </w:rPr>
        <w:t>hesaplanmıştır. Tarım sektörü için sermaye katsayısı 0,39; sanayi için 0,6; inşaat için 0,6</w:t>
      </w:r>
      <w:r w:rsidR="00467527">
        <w:rPr>
          <w:rFonts w:ascii="Palatino Linotype" w:eastAsiaTheme="minorEastAsia" w:hAnsi="Palatino Linotype" w:cstheme="minorHAnsi"/>
          <w:lang w:val="tr-TR"/>
        </w:rPr>
        <w:t>7</w:t>
      </w:r>
      <w:r w:rsidR="00B6707A" w:rsidRPr="00CE6600">
        <w:rPr>
          <w:rFonts w:ascii="Palatino Linotype" w:eastAsiaTheme="minorEastAsia" w:hAnsi="Palatino Linotype" w:cstheme="minorHAnsi"/>
          <w:lang w:val="tr-TR"/>
        </w:rPr>
        <w:t xml:space="preserve"> ve hizmetler için</w:t>
      </w:r>
      <w:r w:rsidR="0081135C">
        <w:rPr>
          <w:rFonts w:ascii="Palatino Linotype" w:eastAsiaTheme="minorEastAsia" w:hAnsi="Palatino Linotype" w:cstheme="minorHAnsi"/>
          <w:lang w:val="tr-TR"/>
        </w:rPr>
        <w:t xml:space="preserve"> i</w:t>
      </w:r>
      <w:r w:rsidR="00B6707A" w:rsidRPr="00CE6600">
        <w:rPr>
          <w:rFonts w:ascii="Palatino Linotype" w:eastAsiaTheme="minorEastAsia" w:hAnsi="Palatino Linotype" w:cstheme="minorHAnsi"/>
          <w:lang w:val="tr-TR"/>
        </w:rPr>
        <w:t>se 0,47 olarak belirlenmiştir.</w:t>
      </w:r>
      <w:r w:rsidR="00B80A85">
        <w:rPr>
          <w:rFonts w:ascii="Palatino Linotype" w:eastAsiaTheme="minorEastAsia" w:hAnsi="Palatino Linotype" w:cstheme="minorHAnsi"/>
          <w:lang w:val="tr-TR"/>
        </w:rPr>
        <w:t xml:space="preserve"> Bu hesaplamada </w:t>
      </w:r>
      <w:proofErr w:type="spellStart"/>
      <w:r w:rsidR="00B80A85">
        <w:rPr>
          <w:rFonts w:ascii="Palatino Linotype" w:eastAsiaTheme="minorEastAsia" w:hAnsi="Palatino Linotype" w:cstheme="minorHAnsi"/>
          <w:lang w:val="tr-TR"/>
        </w:rPr>
        <w:t>TÜİK’in</w:t>
      </w:r>
      <w:proofErr w:type="spellEnd"/>
      <w:r w:rsidR="00B80A85">
        <w:rPr>
          <w:rFonts w:ascii="Palatino Linotype" w:eastAsiaTheme="minorEastAsia" w:hAnsi="Palatino Linotype" w:cstheme="minorHAnsi"/>
          <w:lang w:val="tr-TR"/>
        </w:rPr>
        <w:t xml:space="preserve"> gelir yöntemine göre hesapladığı GSYH serilerinden hareket edilmiştir. Bahsi geçen serilerde, sermaye ödemeleri, katma değerden işgücü ve (net) vergi ödemeleri düşülerek hesaplanır. Bu seri ücretsiz çalışan aile işçileri, kendi hesabına çalışanlar ve işverenler için düzeltilmelidir. Bakış ve Acar (2020) bu düzeltmeyi her sektör için ayrıca yapmaktadır. Bu düzeltme yapıldıktan sonra üretim fonksiyonları için sermaye ve emek payları yukarıda ifade edildiği şekilde hesaplanmıştır</w:t>
      </w:r>
      <w:r w:rsidR="00B80A85">
        <w:rPr>
          <w:rStyle w:val="DipnotBavurusu"/>
          <w:rFonts w:ascii="Palatino Linotype" w:eastAsiaTheme="minorEastAsia" w:hAnsi="Palatino Linotype" w:cstheme="minorHAnsi"/>
          <w:lang w:val="tr-TR"/>
        </w:rPr>
        <w:footnoteReference w:id="10"/>
      </w:r>
      <w:r w:rsidR="0003084E">
        <w:rPr>
          <w:rFonts w:ascii="Palatino Linotype" w:eastAsiaTheme="minorEastAsia" w:hAnsi="Palatino Linotype" w:cstheme="minorHAnsi"/>
          <w:lang w:val="tr-TR"/>
        </w:rPr>
        <w:t>.</w:t>
      </w:r>
    </w:p>
    <w:p w:rsidR="003D77C7" w:rsidRPr="00CE6600" w:rsidRDefault="003D77C7" w:rsidP="00BA6B8A">
      <w:pPr>
        <w:spacing w:after="240" w:line="276" w:lineRule="auto"/>
        <w:jc w:val="both"/>
        <w:rPr>
          <w:rFonts w:ascii="Palatino Linotype" w:eastAsiaTheme="minorEastAsia" w:hAnsi="Palatino Linotype" w:cstheme="minorHAnsi"/>
          <w:b/>
          <w:bCs/>
          <w:lang w:val="tr-TR"/>
        </w:rPr>
      </w:pPr>
      <w:r w:rsidRPr="00CE6600">
        <w:rPr>
          <w:rFonts w:ascii="Palatino Linotype" w:eastAsiaTheme="minorEastAsia" w:hAnsi="Palatino Linotype" w:cstheme="minorHAnsi"/>
          <w:b/>
          <w:bCs/>
          <w:lang w:val="tr-TR"/>
        </w:rPr>
        <w:t xml:space="preserve">Grafik </w:t>
      </w:r>
      <w:r w:rsidR="00BC211A">
        <w:rPr>
          <w:rFonts w:ascii="Palatino Linotype" w:eastAsiaTheme="minorEastAsia" w:hAnsi="Palatino Linotype" w:cstheme="minorHAnsi"/>
          <w:b/>
          <w:bCs/>
          <w:lang w:val="tr-TR"/>
        </w:rPr>
        <w:t>4</w:t>
      </w:r>
      <w:r w:rsidRPr="00CE6600">
        <w:rPr>
          <w:rFonts w:ascii="Palatino Linotype" w:eastAsiaTheme="minorEastAsia" w:hAnsi="Palatino Linotype" w:cstheme="minorHAnsi"/>
          <w:b/>
          <w:bCs/>
          <w:lang w:val="tr-TR"/>
        </w:rPr>
        <w:t xml:space="preserve">: Sektörlerde </w:t>
      </w:r>
      <w:proofErr w:type="spellStart"/>
      <w:r w:rsidRPr="00CE6600">
        <w:rPr>
          <w:rFonts w:ascii="Palatino Linotype" w:eastAsiaTheme="minorEastAsia" w:hAnsi="Palatino Linotype" w:cstheme="minorHAnsi"/>
          <w:b/>
          <w:bCs/>
          <w:lang w:val="tr-TR"/>
        </w:rPr>
        <w:t>TFV’nin</w:t>
      </w:r>
      <w:proofErr w:type="spellEnd"/>
      <w:r w:rsidRPr="00CE6600">
        <w:rPr>
          <w:rFonts w:ascii="Palatino Linotype" w:eastAsiaTheme="minorEastAsia" w:hAnsi="Palatino Linotype" w:cstheme="minorHAnsi"/>
          <w:b/>
          <w:bCs/>
          <w:lang w:val="tr-TR"/>
        </w:rPr>
        <w:t xml:space="preserve"> Seyri (1980=100)</w:t>
      </w:r>
    </w:p>
    <w:p w:rsidR="003D77C7" w:rsidRDefault="003F0ECE" w:rsidP="003D77C7">
      <w:pPr>
        <w:spacing w:after="0" w:line="240" w:lineRule="auto"/>
        <w:rPr>
          <w:lang w:val="tr-TR"/>
        </w:rPr>
      </w:pPr>
      <w:r>
        <w:rPr>
          <w:noProof/>
          <w:lang w:val="tr-TR"/>
        </w:rPr>
        <w:drawing>
          <wp:inline distT="0" distB="0" distL="0" distR="0" wp14:anchorId="40C41A22">
            <wp:extent cx="6041390" cy="36576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1390" cy="3657600"/>
                    </a:xfrm>
                    <a:prstGeom prst="rect">
                      <a:avLst/>
                    </a:prstGeom>
                    <a:noFill/>
                  </pic:spPr>
                </pic:pic>
              </a:graphicData>
            </a:graphic>
          </wp:inline>
        </w:drawing>
      </w:r>
    </w:p>
    <w:p w:rsidR="003D77C7" w:rsidRPr="00CE6600" w:rsidRDefault="003D77C7" w:rsidP="00BA6B8A">
      <w:pPr>
        <w:spacing w:after="240" w:line="276" w:lineRule="auto"/>
        <w:rPr>
          <w:rFonts w:ascii="Palatino Linotype" w:hAnsi="Palatino Linotype"/>
          <w:lang w:val="tr-TR"/>
        </w:rPr>
      </w:pPr>
      <w:r w:rsidRPr="00CE6600">
        <w:rPr>
          <w:rFonts w:ascii="Palatino Linotype" w:hAnsi="Palatino Linotype"/>
          <w:b/>
          <w:bCs/>
          <w:lang w:val="tr-TR"/>
        </w:rPr>
        <w:t>Kaynak:</w:t>
      </w:r>
      <w:r w:rsidRPr="00CE6600">
        <w:rPr>
          <w:rFonts w:ascii="Palatino Linotype" w:hAnsi="Palatino Linotype"/>
          <w:lang w:val="tr-TR"/>
        </w:rPr>
        <w:t xml:space="preserve"> </w:t>
      </w:r>
      <w:r w:rsidR="00882400">
        <w:rPr>
          <w:rFonts w:ascii="Palatino Linotype" w:hAnsi="Palatino Linotype"/>
          <w:lang w:val="tr-TR"/>
        </w:rPr>
        <w:t>B</w:t>
      </w:r>
      <w:r w:rsidR="00E042FC">
        <w:rPr>
          <w:rFonts w:ascii="Palatino Linotype" w:hAnsi="Palatino Linotype"/>
          <w:lang w:val="tr-TR"/>
        </w:rPr>
        <w:t>etam</w:t>
      </w:r>
    </w:p>
    <w:p w:rsidR="00EA6565" w:rsidRDefault="003D77C7" w:rsidP="00BA6B8A">
      <w:pPr>
        <w:spacing w:after="240" w:line="276" w:lineRule="auto"/>
        <w:jc w:val="both"/>
        <w:rPr>
          <w:rFonts w:ascii="Palatino Linotype" w:hAnsi="Palatino Linotype"/>
          <w:lang w:val="tr-TR"/>
        </w:rPr>
      </w:pPr>
      <w:r w:rsidRPr="00CE6600">
        <w:rPr>
          <w:rFonts w:ascii="Palatino Linotype" w:hAnsi="Palatino Linotype"/>
          <w:lang w:val="tr-TR"/>
        </w:rPr>
        <w:t>1980-2018 yılları arasında hizmetler haricinde bütün sektörlerde TFV artışı yaşanmıştır. Bu yıllar arasında en büyük TFV artışı toplamda yüzde 1</w:t>
      </w:r>
      <w:r w:rsidR="003F0ECE">
        <w:rPr>
          <w:rFonts w:ascii="Palatino Linotype" w:hAnsi="Palatino Linotype"/>
          <w:lang w:val="tr-TR"/>
        </w:rPr>
        <w:t>23</w:t>
      </w:r>
      <w:r w:rsidR="00427154">
        <w:rPr>
          <w:rFonts w:ascii="Palatino Linotype" w:hAnsi="Palatino Linotype"/>
          <w:lang w:val="tr-TR"/>
        </w:rPr>
        <w:t>,</w:t>
      </w:r>
      <w:r w:rsidR="003F0ECE">
        <w:rPr>
          <w:rFonts w:ascii="Palatino Linotype" w:hAnsi="Palatino Linotype"/>
          <w:lang w:val="tr-TR"/>
        </w:rPr>
        <w:t>2</w:t>
      </w:r>
      <w:r w:rsidRPr="00CE6600">
        <w:rPr>
          <w:rFonts w:ascii="Palatino Linotype" w:hAnsi="Palatino Linotype"/>
          <w:lang w:val="tr-TR"/>
        </w:rPr>
        <w:t xml:space="preserve"> ile </w:t>
      </w:r>
      <w:r w:rsidR="00427154">
        <w:rPr>
          <w:rFonts w:ascii="Palatino Linotype" w:hAnsi="Palatino Linotype"/>
          <w:lang w:val="tr-TR"/>
        </w:rPr>
        <w:t>sanayi</w:t>
      </w:r>
      <w:r w:rsidRPr="00CE6600">
        <w:rPr>
          <w:rFonts w:ascii="Palatino Linotype" w:hAnsi="Palatino Linotype"/>
          <w:lang w:val="tr-TR"/>
        </w:rPr>
        <w:t xml:space="preserve"> sektöründe gerçekleşirken </w:t>
      </w:r>
      <w:r w:rsidR="00427154">
        <w:rPr>
          <w:rFonts w:ascii="Palatino Linotype" w:hAnsi="Palatino Linotype"/>
          <w:lang w:val="tr-TR"/>
        </w:rPr>
        <w:t>tarımda</w:t>
      </w:r>
      <w:r w:rsidRPr="00CE6600">
        <w:rPr>
          <w:rFonts w:ascii="Palatino Linotype" w:hAnsi="Palatino Linotype"/>
          <w:lang w:val="tr-TR"/>
        </w:rPr>
        <w:t xml:space="preserve"> ise yüzde </w:t>
      </w:r>
      <w:r w:rsidR="003F0ECE">
        <w:rPr>
          <w:rFonts w:ascii="Palatino Linotype" w:hAnsi="Palatino Linotype"/>
          <w:lang w:val="tr-TR"/>
        </w:rPr>
        <w:t>5</w:t>
      </w:r>
      <w:r w:rsidR="00427154">
        <w:rPr>
          <w:rFonts w:ascii="Palatino Linotype" w:hAnsi="Palatino Linotype"/>
          <w:lang w:val="tr-TR"/>
        </w:rPr>
        <w:t>8</w:t>
      </w:r>
      <w:r w:rsidR="003F0ECE">
        <w:rPr>
          <w:rFonts w:ascii="Palatino Linotype" w:hAnsi="Palatino Linotype"/>
          <w:lang w:val="tr-TR"/>
        </w:rPr>
        <w:t>,3</w:t>
      </w:r>
      <w:r w:rsidRPr="00CE6600">
        <w:rPr>
          <w:rFonts w:ascii="Palatino Linotype" w:hAnsi="Palatino Linotype"/>
          <w:lang w:val="tr-TR"/>
        </w:rPr>
        <w:t xml:space="preserve"> büyüme </w:t>
      </w:r>
      <w:r w:rsidR="00427154">
        <w:rPr>
          <w:rFonts w:ascii="Palatino Linotype" w:hAnsi="Palatino Linotype"/>
          <w:lang w:val="tr-TR"/>
        </w:rPr>
        <w:t>yaşanmıştır</w:t>
      </w:r>
      <w:r w:rsidRPr="00CE6600">
        <w:rPr>
          <w:rFonts w:ascii="Palatino Linotype" w:hAnsi="Palatino Linotype"/>
          <w:lang w:val="tr-TR"/>
        </w:rPr>
        <w:t xml:space="preserve">. </w:t>
      </w:r>
      <w:r w:rsidR="00427154">
        <w:rPr>
          <w:rFonts w:ascii="Palatino Linotype" w:hAnsi="Palatino Linotype"/>
          <w:lang w:val="tr-TR"/>
        </w:rPr>
        <w:t>İnşaat</w:t>
      </w:r>
      <w:r w:rsidRPr="00CE6600">
        <w:rPr>
          <w:rFonts w:ascii="Palatino Linotype" w:hAnsi="Palatino Linotype"/>
          <w:lang w:val="tr-TR"/>
        </w:rPr>
        <w:t xml:space="preserve"> sektöründe TFV büyümesi yüzde </w:t>
      </w:r>
      <w:r w:rsidR="003F0ECE">
        <w:rPr>
          <w:rFonts w:ascii="Palatino Linotype" w:hAnsi="Palatino Linotype"/>
          <w:lang w:val="tr-TR"/>
        </w:rPr>
        <w:t>56</w:t>
      </w:r>
      <w:r w:rsidRPr="00CE6600">
        <w:rPr>
          <w:rFonts w:ascii="Palatino Linotype" w:hAnsi="Palatino Linotype"/>
          <w:lang w:val="tr-TR"/>
        </w:rPr>
        <w:t>,</w:t>
      </w:r>
      <w:r w:rsidR="003F0ECE">
        <w:rPr>
          <w:rFonts w:ascii="Palatino Linotype" w:hAnsi="Palatino Linotype"/>
          <w:lang w:val="tr-TR"/>
        </w:rPr>
        <w:t>4</w:t>
      </w:r>
      <w:r w:rsidRPr="00CE6600">
        <w:rPr>
          <w:rFonts w:ascii="Palatino Linotype" w:hAnsi="Palatino Linotype"/>
          <w:lang w:val="tr-TR"/>
        </w:rPr>
        <w:t xml:space="preserve"> ile </w:t>
      </w:r>
      <w:r w:rsidR="003F0ECE">
        <w:rPr>
          <w:rFonts w:ascii="Palatino Linotype" w:hAnsi="Palatino Linotype"/>
          <w:lang w:val="tr-TR"/>
        </w:rPr>
        <w:lastRenderedPageBreak/>
        <w:t>tarıma oldukça yakın olur</w:t>
      </w:r>
      <w:r w:rsidRPr="00CE6600">
        <w:rPr>
          <w:rFonts w:ascii="Palatino Linotype" w:hAnsi="Palatino Linotype"/>
          <w:lang w:val="tr-TR"/>
        </w:rPr>
        <w:t xml:space="preserve">ken hizmetlerde ise yüzde </w:t>
      </w:r>
      <w:r w:rsidR="00427154">
        <w:rPr>
          <w:rFonts w:ascii="Palatino Linotype" w:hAnsi="Palatino Linotype"/>
          <w:lang w:val="tr-TR"/>
        </w:rPr>
        <w:t>4</w:t>
      </w:r>
      <w:r w:rsidR="003F0ECE">
        <w:rPr>
          <w:rFonts w:ascii="Palatino Linotype" w:hAnsi="Palatino Linotype"/>
          <w:lang w:val="tr-TR"/>
        </w:rPr>
        <w:t>1</w:t>
      </w:r>
      <w:r w:rsidR="00427154">
        <w:rPr>
          <w:rFonts w:ascii="Palatino Linotype" w:hAnsi="Palatino Linotype"/>
          <w:lang w:val="tr-TR"/>
        </w:rPr>
        <w:t>,</w:t>
      </w:r>
      <w:r w:rsidR="003F0ECE">
        <w:rPr>
          <w:rFonts w:ascii="Palatino Linotype" w:hAnsi="Palatino Linotype"/>
          <w:lang w:val="tr-TR"/>
        </w:rPr>
        <w:t>3</w:t>
      </w:r>
      <w:r w:rsidRPr="00CE6600">
        <w:rPr>
          <w:rFonts w:ascii="Palatino Linotype" w:hAnsi="Palatino Linotype"/>
          <w:lang w:val="tr-TR"/>
        </w:rPr>
        <w:t>’l</w:t>
      </w:r>
      <w:r w:rsidR="00427154">
        <w:rPr>
          <w:rFonts w:ascii="Palatino Linotype" w:hAnsi="Palatino Linotype"/>
          <w:lang w:val="tr-TR"/>
        </w:rPr>
        <w:t>ü</w:t>
      </w:r>
      <w:r w:rsidRPr="00CE6600">
        <w:rPr>
          <w:rFonts w:ascii="Palatino Linotype" w:hAnsi="Palatino Linotype"/>
          <w:lang w:val="tr-TR"/>
        </w:rPr>
        <w:t>k bir daralma söz konusudur.</w:t>
      </w:r>
      <w:r w:rsidR="00EA6565">
        <w:rPr>
          <w:rFonts w:ascii="Palatino Linotype" w:hAnsi="Palatino Linotype"/>
          <w:lang w:val="tr-TR"/>
        </w:rPr>
        <w:t xml:space="preserve"> Sanayi sektörü TFV artışlarında en istikrarlı trende sahip olan sektördür. İnşaat ve tarım ortalamada birbirine yakın seyretmektedir ancak inşaat sektöründe </w:t>
      </w:r>
      <w:proofErr w:type="spellStart"/>
      <w:r w:rsidR="00EA6565">
        <w:rPr>
          <w:rFonts w:ascii="Palatino Linotype" w:hAnsi="Palatino Linotype"/>
          <w:lang w:val="tr-TR"/>
        </w:rPr>
        <w:t>TFV’nin</w:t>
      </w:r>
      <w:proofErr w:type="spellEnd"/>
      <w:r w:rsidR="00EA6565">
        <w:rPr>
          <w:rFonts w:ascii="Palatino Linotype" w:hAnsi="Palatino Linotype"/>
          <w:lang w:val="tr-TR"/>
        </w:rPr>
        <w:t xml:space="preserve"> seyri fazlasıyla dalgalıdır. Bu nedenle inşaat sektöründe yaşanan toplam TFV artışı tarım</w:t>
      </w:r>
      <w:r w:rsidR="003F0ECE">
        <w:rPr>
          <w:rFonts w:ascii="Palatino Linotype" w:hAnsi="Palatino Linotype"/>
          <w:lang w:val="tr-TR"/>
        </w:rPr>
        <w:t>daki TFV artışıyla ile hemen hemen aynı</w:t>
      </w:r>
      <w:r w:rsidR="00EA6565">
        <w:rPr>
          <w:rFonts w:ascii="Palatino Linotype" w:hAnsi="Palatino Linotype"/>
          <w:lang w:val="tr-TR"/>
        </w:rPr>
        <w:t xml:space="preserve"> kalmıştır. Bu durum </w:t>
      </w:r>
      <w:r w:rsidR="00EA6565" w:rsidRPr="00EA6565">
        <w:rPr>
          <w:rFonts w:ascii="Palatino Linotype" w:hAnsi="Palatino Linotype"/>
          <w:lang w:val="tr-TR"/>
        </w:rPr>
        <w:t>inşaat sektörüne yapılan yatırımların kalitesi ve inşaat sektörünün katma değer üretebilme potansiyeli ile yakından ilişkilidir.</w:t>
      </w:r>
      <w:r w:rsidR="00EA6565">
        <w:rPr>
          <w:rFonts w:ascii="Palatino Linotype" w:hAnsi="Palatino Linotype"/>
          <w:lang w:val="tr-TR"/>
        </w:rPr>
        <w:t xml:space="preserve"> </w:t>
      </w:r>
      <w:r w:rsidR="00EA6565" w:rsidRPr="00EA6565">
        <w:rPr>
          <w:rFonts w:ascii="Palatino Linotype" w:hAnsi="Palatino Linotype"/>
          <w:lang w:val="tr-TR"/>
        </w:rPr>
        <w:t xml:space="preserve">Hizmetler sektörü için negatif veya çok düşük TFV artışları Türkiye’ye özgü değildir, OECD ve ABD’de benzer bir durum söz konusudur (bkz. </w:t>
      </w:r>
      <w:proofErr w:type="spellStart"/>
      <w:r w:rsidR="00EA6565" w:rsidRPr="00EA6565">
        <w:rPr>
          <w:rFonts w:ascii="Palatino Linotype" w:hAnsi="Palatino Linotype"/>
          <w:lang w:val="tr-TR"/>
        </w:rPr>
        <w:t>Kets</w:t>
      </w:r>
      <w:proofErr w:type="spellEnd"/>
      <w:r w:rsidR="00EA6565" w:rsidRPr="00EA6565">
        <w:rPr>
          <w:rFonts w:ascii="Palatino Linotype" w:hAnsi="Palatino Linotype"/>
          <w:lang w:val="tr-TR"/>
        </w:rPr>
        <w:t xml:space="preserve"> </w:t>
      </w:r>
      <w:proofErr w:type="spellStart"/>
      <w:r w:rsidR="00EA6565" w:rsidRPr="00EA6565">
        <w:rPr>
          <w:rFonts w:ascii="Palatino Linotype" w:hAnsi="Palatino Linotype"/>
          <w:lang w:val="tr-TR"/>
        </w:rPr>
        <w:t>and</w:t>
      </w:r>
      <w:proofErr w:type="spellEnd"/>
      <w:r w:rsidR="00EA6565" w:rsidRPr="00EA6565">
        <w:rPr>
          <w:rFonts w:ascii="Palatino Linotype" w:hAnsi="Palatino Linotype"/>
          <w:lang w:val="tr-TR"/>
        </w:rPr>
        <w:t xml:space="preserve"> </w:t>
      </w:r>
      <w:proofErr w:type="spellStart"/>
      <w:r w:rsidR="00EA6565" w:rsidRPr="00EA6565">
        <w:rPr>
          <w:rFonts w:ascii="Palatino Linotype" w:hAnsi="Palatino Linotype"/>
          <w:lang w:val="tr-TR"/>
        </w:rPr>
        <w:t>Lejour</w:t>
      </w:r>
      <w:proofErr w:type="spellEnd"/>
      <w:r w:rsidR="00EA6565" w:rsidRPr="00EA6565">
        <w:rPr>
          <w:rFonts w:ascii="Palatino Linotype" w:hAnsi="Palatino Linotype"/>
          <w:lang w:val="tr-TR"/>
        </w:rPr>
        <w:t xml:space="preserve">, 2003; </w:t>
      </w:r>
      <w:proofErr w:type="spellStart"/>
      <w:r w:rsidR="00EA6565" w:rsidRPr="00EA6565">
        <w:rPr>
          <w:rFonts w:ascii="Palatino Linotype" w:hAnsi="Palatino Linotype"/>
          <w:lang w:val="tr-TR"/>
        </w:rPr>
        <w:t>Foerster</w:t>
      </w:r>
      <w:proofErr w:type="spellEnd"/>
      <w:r w:rsidR="00EA6565" w:rsidRPr="00EA6565">
        <w:rPr>
          <w:rFonts w:ascii="Palatino Linotype" w:hAnsi="Palatino Linotype"/>
          <w:lang w:val="tr-TR"/>
        </w:rPr>
        <w:t xml:space="preserve"> et al., 2019).</w:t>
      </w:r>
    </w:p>
    <w:p w:rsidR="00C42551" w:rsidRDefault="00C42551" w:rsidP="00C42551">
      <w:pPr>
        <w:spacing w:after="240" w:line="276" w:lineRule="auto"/>
        <w:jc w:val="both"/>
        <w:rPr>
          <w:rFonts w:ascii="Palatino Linotype" w:hAnsi="Palatino Linotype"/>
          <w:b/>
          <w:bCs/>
          <w:lang w:val="tr-TR"/>
        </w:rPr>
      </w:pPr>
      <w:r w:rsidRPr="00CE6600">
        <w:rPr>
          <w:rFonts w:ascii="Palatino Linotype" w:hAnsi="Palatino Linotype"/>
          <w:b/>
          <w:bCs/>
          <w:lang w:val="tr-TR"/>
        </w:rPr>
        <w:t xml:space="preserve">Tablo </w:t>
      </w:r>
      <w:r w:rsidR="00BC211A">
        <w:rPr>
          <w:rFonts w:ascii="Palatino Linotype" w:hAnsi="Palatino Linotype"/>
          <w:b/>
          <w:bCs/>
          <w:lang w:val="tr-TR"/>
        </w:rPr>
        <w:t>4</w:t>
      </w:r>
      <w:r w:rsidRPr="00CE6600">
        <w:rPr>
          <w:rFonts w:ascii="Palatino Linotype" w:hAnsi="Palatino Linotype"/>
          <w:b/>
          <w:bCs/>
          <w:lang w:val="tr-TR"/>
        </w:rPr>
        <w:t>: Sektörlerin TFV Büyüme Oranları (%)</w:t>
      </w:r>
    </w:p>
    <w:tbl>
      <w:tblPr>
        <w:tblW w:w="0" w:type="auto"/>
        <w:tblInd w:w="-30" w:type="dxa"/>
        <w:tblLayout w:type="fixed"/>
        <w:tblLook w:val="0000" w:firstRow="0" w:lastRow="0" w:firstColumn="0" w:lastColumn="0" w:noHBand="0" w:noVBand="0"/>
      </w:tblPr>
      <w:tblGrid>
        <w:gridCol w:w="2004"/>
        <w:gridCol w:w="1540"/>
        <w:gridCol w:w="1540"/>
        <w:gridCol w:w="1539"/>
        <w:gridCol w:w="1540"/>
      </w:tblGrid>
      <w:tr w:rsidR="00C42551" w:rsidRPr="00DF590F" w:rsidTr="00825A2B">
        <w:trPr>
          <w:trHeight w:val="307"/>
        </w:trPr>
        <w:tc>
          <w:tcPr>
            <w:tcW w:w="2004" w:type="dxa"/>
            <w:tcBorders>
              <w:top w:val="single" w:sz="6" w:space="0" w:color="auto"/>
              <w:left w:val="nil"/>
              <w:bottom w:val="single" w:sz="6" w:space="0" w:color="auto"/>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color w:val="000000"/>
                <w:sz w:val="20"/>
                <w:szCs w:val="20"/>
                <w:lang w:val="en-US"/>
              </w:rPr>
            </w:pPr>
          </w:p>
        </w:tc>
        <w:tc>
          <w:tcPr>
            <w:tcW w:w="1540" w:type="dxa"/>
            <w:tcBorders>
              <w:top w:val="single" w:sz="6" w:space="0" w:color="auto"/>
              <w:left w:val="nil"/>
              <w:bottom w:val="single" w:sz="6" w:space="0" w:color="auto"/>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proofErr w:type="spellStart"/>
            <w:r w:rsidRPr="00DF590F">
              <w:rPr>
                <w:rFonts w:ascii="Palatino Linotype" w:hAnsi="Palatino Linotype" w:cs="Calibri Light"/>
                <w:color w:val="000000"/>
                <w:sz w:val="20"/>
                <w:szCs w:val="20"/>
                <w:lang w:val="en-US"/>
              </w:rPr>
              <w:t>Tarım</w:t>
            </w:r>
            <w:proofErr w:type="spellEnd"/>
            <w:r w:rsidRPr="00DF590F">
              <w:rPr>
                <w:rFonts w:ascii="Palatino Linotype" w:hAnsi="Palatino Linotype" w:cs="Calibri Light"/>
                <w:color w:val="000000"/>
                <w:sz w:val="20"/>
                <w:szCs w:val="20"/>
                <w:lang w:val="en-US"/>
              </w:rPr>
              <w:t xml:space="preserve"> TFV</w:t>
            </w:r>
          </w:p>
        </w:tc>
        <w:tc>
          <w:tcPr>
            <w:tcW w:w="1540" w:type="dxa"/>
            <w:tcBorders>
              <w:top w:val="single" w:sz="6" w:space="0" w:color="auto"/>
              <w:left w:val="nil"/>
              <w:bottom w:val="single" w:sz="6" w:space="0" w:color="auto"/>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Sanayi TFV</w:t>
            </w:r>
          </w:p>
        </w:tc>
        <w:tc>
          <w:tcPr>
            <w:tcW w:w="1539" w:type="dxa"/>
            <w:tcBorders>
              <w:top w:val="single" w:sz="6" w:space="0" w:color="auto"/>
              <w:left w:val="nil"/>
              <w:bottom w:val="single" w:sz="6" w:space="0" w:color="auto"/>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proofErr w:type="spellStart"/>
            <w:r w:rsidRPr="00DF590F">
              <w:rPr>
                <w:rFonts w:ascii="Palatino Linotype" w:hAnsi="Palatino Linotype" w:cs="Calibri Light"/>
                <w:color w:val="000000"/>
                <w:sz w:val="20"/>
                <w:szCs w:val="20"/>
                <w:lang w:val="en-US"/>
              </w:rPr>
              <w:t>İnşaat</w:t>
            </w:r>
            <w:proofErr w:type="spellEnd"/>
            <w:r w:rsidRPr="00DF590F">
              <w:rPr>
                <w:rFonts w:ascii="Palatino Linotype" w:hAnsi="Palatino Linotype" w:cs="Calibri Light"/>
                <w:color w:val="000000"/>
                <w:sz w:val="20"/>
                <w:szCs w:val="20"/>
                <w:lang w:val="en-US"/>
              </w:rPr>
              <w:t xml:space="preserve"> TFV</w:t>
            </w:r>
          </w:p>
        </w:tc>
        <w:tc>
          <w:tcPr>
            <w:tcW w:w="1540" w:type="dxa"/>
            <w:tcBorders>
              <w:top w:val="single" w:sz="6" w:space="0" w:color="auto"/>
              <w:left w:val="nil"/>
              <w:bottom w:val="single" w:sz="6" w:space="0" w:color="auto"/>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proofErr w:type="spellStart"/>
            <w:r w:rsidRPr="00DF590F">
              <w:rPr>
                <w:rFonts w:ascii="Palatino Linotype" w:hAnsi="Palatino Linotype" w:cs="Calibri Light"/>
                <w:color w:val="000000"/>
                <w:sz w:val="20"/>
                <w:szCs w:val="20"/>
                <w:lang w:val="en-US"/>
              </w:rPr>
              <w:t>Hizmetler</w:t>
            </w:r>
            <w:proofErr w:type="spellEnd"/>
            <w:r w:rsidRPr="00DF590F">
              <w:rPr>
                <w:rFonts w:ascii="Palatino Linotype" w:hAnsi="Palatino Linotype" w:cs="Calibri Light"/>
                <w:color w:val="000000"/>
                <w:sz w:val="20"/>
                <w:szCs w:val="20"/>
                <w:lang w:val="en-US"/>
              </w:rPr>
              <w:t xml:space="preserve"> TFV</w:t>
            </w:r>
          </w:p>
        </w:tc>
      </w:tr>
      <w:tr w:rsidR="00C42551" w:rsidRPr="00DF590F" w:rsidTr="00825A2B">
        <w:trPr>
          <w:trHeight w:val="307"/>
        </w:trPr>
        <w:tc>
          <w:tcPr>
            <w:tcW w:w="2004"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rPr>
                <w:rFonts w:ascii="Palatino Linotype" w:hAnsi="Palatino Linotype" w:cs="Calibri Light"/>
                <w:b/>
                <w:bCs/>
                <w:color w:val="000000"/>
                <w:sz w:val="20"/>
                <w:szCs w:val="20"/>
                <w:lang w:val="en-US"/>
              </w:rPr>
            </w:pPr>
            <w:proofErr w:type="spellStart"/>
            <w:r w:rsidRPr="00DF590F">
              <w:rPr>
                <w:rFonts w:ascii="Palatino Linotype" w:hAnsi="Palatino Linotype" w:cs="Calibri Light"/>
                <w:b/>
                <w:bCs/>
                <w:color w:val="000000"/>
                <w:sz w:val="20"/>
                <w:szCs w:val="20"/>
                <w:lang w:val="en-US"/>
              </w:rPr>
              <w:t>Büyüme</w:t>
            </w:r>
            <w:proofErr w:type="spellEnd"/>
            <w:r w:rsidRPr="00DF590F">
              <w:rPr>
                <w:rFonts w:ascii="Palatino Linotype" w:hAnsi="Palatino Linotype" w:cs="Calibri Light"/>
                <w:b/>
                <w:bCs/>
                <w:color w:val="000000"/>
                <w:sz w:val="20"/>
                <w:szCs w:val="20"/>
                <w:lang w:val="en-US"/>
              </w:rPr>
              <w:t xml:space="preserve"> </w:t>
            </w:r>
            <w:proofErr w:type="spellStart"/>
            <w:r w:rsidRPr="00DF590F">
              <w:rPr>
                <w:rFonts w:ascii="Palatino Linotype" w:hAnsi="Palatino Linotype" w:cs="Calibri Light"/>
                <w:b/>
                <w:bCs/>
                <w:color w:val="000000"/>
                <w:sz w:val="20"/>
                <w:szCs w:val="20"/>
                <w:lang w:val="en-US"/>
              </w:rPr>
              <w:t>Oranı</w:t>
            </w:r>
            <w:proofErr w:type="spellEnd"/>
            <w:r w:rsidRPr="00DF590F">
              <w:rPr>
                <w:rFonts w:ascii="Palatino Linotype" w:hAnsi="Palatino Linotype" w:cs="Calibri Light"/>
                <w:b/>
                <w:bCs/>
                <w:color w:val="000000"/>
                <w:sz w:val="20"/>
                <w:szCs w:val="20"/>
                <w:lang w:val="en-US"/>
              </w:rPr>
              <w:t xml:space="preserve"> (%)</w:t>
            </w: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color w:val="000000"/>
                <w:sz w:val="20"/>
                <w:szCs w:val="20"/>
                <w:lang w:val="en-US"/>
              </w:rPr>
            </w:pP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color w:val="000000"/>
                <w:sz w:val="20"/>
                <w:szCs w:val="20"/>
                <w:lang w:val="en-US"/>
              </w:rPr>
            </w:pPr>
          </w:p>
        </w:tc>
        <w:tc>
          <w:tcPr>
            <w:tcW w:w="1539"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color w:val="000000"/>
                <w:sz w:val="20"/>
                <w:szCs w:val="20"/>
                <w:lang w:val="en-US"/>
              </w:rPr>
            </w:pP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color w:val="000000"/>
                <w:sz w:val="20"/>
                <w:szCs w:val="20"/>
                <w:lang w:val="en-US"/>
              </w:rPr>
            </w:pPr>
          </w:p>
        </w:tc>
      </w:tr>
      <w:tr w:rsidR="00C42551" w:rsidRPr="00DF590F" w:rsidTr="00825A2B">
        <w:trPr>
          <w:trHeight w:val="307"/>
        </w:trPr>
        <w:tc>
          <w:tcPr>
            <w:tcW w:w="2004" w:type="dxa"/>
            <w:tcBorders>
              <w:top w:val="single" w:sz="6" w:space="0" w:color="auto"/>
              <w:left w:val="nil"/>
              <w:bottom w:val="nil"/>
              <w:right w:val="nil"/>
            </w:tcBorders>
            <w:shd w:val="solid" w:color="FFFFFF" w:fill="auto"/>
          </w:tcPr>
          <w:p w:rsidR="00C42551" w:rsidRPr="00DF590F" w:rsidRDefault="00C42551" w:rsidP="00825A2B">
            <w:pPr>
              <w:autoSpaceDE w:val="0"/>
              <w:autoSpaceDN w:val="0"/>
              <w:adjustRightInd w:val="0"/>
              <w:spacing w:after="0" w:line="240" w:lineRule="auto"/>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1981-1989</w:t>
            </w:r>
          </w:p>
        </w:tc>
        <w:tc>
          <w:tcPr>
            <w:tcW w:w="1540" w:type="dxa"/>
            <w:tcBorders>
              <w:top w:val="single" w:sz="6" w:space="0" w:color="auto"/>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-0.6</w:t>
            </w:r>
          </w:p>
        </w:tc>
        <w:tc>
          <w:tcPr>
            <w:tcW w:w="1540" w:type="dxa"/>
            <w:tcBorders>
              <w:top w:val="single" w:sz="6" w:space="0" w:color="auto"/>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4.5</w:t>
            </w:r>
          </w:p>
        </w:tc>
        <w:tc>
          <w:tcPr>
            <w:tcW w:w="1539" w:type="dxa"/>
            <w:tcBorders>
              <w:top w:val="single" w:sz="6" w:space="0" w:color="auto"/>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3.2</w:t>
            </w:r>
          </w:p>
        </w:tc>
        <w:tc>
          <w:tcPr>
            <w:tcW w:w="1540" w:type="dxa"/>
            <w:tcBorders>
              <w:top w:val="single" w:sz="6" w:space="0" w:color="auto"/>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-0.8</w:t>
            </w:r>
          </w:p>
        </w:tc>
      </w:tr>
      <w:tr w:rsidR="00C42551" w:rsidRPr="00DF590F" w:rsidTr="00825A2B">
        <w:trPr>
          <w:trHeight w:val="307"/>
        </w:trPr>
        <w:tc>
          <w:tcPr>
            <w:tcW w:w="2004"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1990-2002</w:t>
            </w: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1.5</w:t>
            </w: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0.9</w:t>
            </w:r>
          </w:p>
        </w:tc>
        <w:tc>
          <w:tcPr>
            <w:tcW w:w="1539"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-1.9</w:t>
            </w: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-2.3</w:t>
            </w:r>
          </w:p>
        </w:tc>
      </w:tr>
      <w:tr w:rsidR="00C42551" w:rsidRPr="00DF590F" w:rsidTr="00825A2B">
        <w:trPr>
          <w:trHeight w:val="307"/>
        </w:trPr>
        <w:tc>
          <w:tcPr>
            <w:tcW w:w="2004"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2003-2013</w:t>
            </w: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1.5</w:t>
            </w: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2.1</w:t>
            </w:r>
          </w:p>
        </w:tc>
        <w:tc>
          <w:tcPr>
            <w:tcW w:w="1539"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4.8</w:t>
            </w: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-1.2</w:t>
            </w:r>
          </w:p>
        </w:tc>
      </w:tr>
      <w:tr w:rsidR="00C42551" w:rsidRPr="00DF590F" w:rsidTr="00825A2B">
        <w:trPr>
          <w:trHeight w:val="307"/>
        </w:trPr>
        <w:tc>
          <w:tcPr>
            <w:tcW w:w="2004"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i/>
                <w:iCs/>
                <w:color w:val="000000"/>
                <w:sz w:val="18"/>
                <w:szCs w:val="18"/>
                <w:lang w:val="en-US"/>
              </w:rPr>
            </w:pPr>
            <w:r w:rsidRPr="00DF590F">
              <w:rPr>
                <w:rFonts w:ascii="Palatino Linotype" w:hAnsi="Palatino Linotype" w:cs="Calibri Light"/>
                <w:i/>
                <w:iCs/>
                <w:color w:val="000000"/>
                <w:sz w:val="18"/>
                <w:szCs w:val="18"/>
                <w:lang w:val="en-US"/>
              </w:rPr>
              <w:t>2003-2007</w:t>
            </w: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DF590F">
              <w:rPr>
                <w:rFonts w:ascii="Palatino Linotype" w:hAnsi="Palatino Linotype" w:cs="Calibri Light"/>
                <w:i/>
                <w:iCs/>
                <w:color w:val="000000"/>
                <w:sz w:val="18"/>
                <w:szCs w:val="18"/>
                <w:lang w:val="en-US"/>
              </w:rPr>
              <w:t>2.2</w:t>
            </w: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DF590F">
              <w:rPr>
                <w:rFonts w:ascii="Palatino Linotype" w:hAnsi="Palatino Linotype" w:cs="Calibri Light"/>
                <w:i/>
                <w:iCs/>
                <w:color w:val="000000"/>
                <w:sz w:val="18"/>
                <w:szCs w:val="18"/>
                <w:lang w:val="en-US"/>
              </w:rPr>
              <w:t>3.3</w:t>
            </w:r>
          </w:p>
        </w:tc>
        <w:tc>
          <w:tcPr>
            <w:tcW w:w="1539"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DF590F">
              <w:rPr>
                <w:rFonts w:ascii="Palatino Linotype" w:hAnsi="Palatino Linotype" w:cs="Calibri Light"/>
                <w:i/>
                <w:iCs/>
                <w:color w:val="000000"/>
                <w:sz w:val="18"/>
                <w:szCs w:val="18"/>
                <w:lang w:val="en-US"/>
              </w:rPr>
              <w:t>10.0</w:t>
            </w: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DF590F">
              <w:rPr>
                <w:rFonts w:ascii="Palatino Linotype" w:hAnsi="Palatino Linotype" w:cs="Calibri Light"/>
                <w:i/>
                <w:iCs/>
                <w:color w:val="000000"/>
                <w:sz w:val="18"/>
                <w:szCs w:val="18"/>
                <w:lang w:val="en-US"/>
              </w:rPr>
              <w:t>-0.8</w:t>
            </w:r>
          </w:p>
        </w:tc>
      </w:tr>
      <w:tr w:rsidR="00C42551" w:rsidRPr="00DF590F" w:rsidTr="00825A2B">
        <w:trPr>
          <w:trHeight w:val="307"/>
        </w:trPr>
        <w:tc>
          <w:tcPr>
            <w:tcW w:w="2004"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i/>
                <w:iCs/>
                <w:color w:val="000000"/>
                <w:sz w:val="18"/>
                <w:szCs w:val="18"/>
                <w:lang w:val="en-US"/>
              </w:rPr>
            </w:pPr>
            <w:r w:rsidRPr="00DF590F">
              <w:rPr>
                <w:rFonts w:ascii="Palatino Linotype" w:hAnsi="Palatino Linotype" w:cs="Calibri Light"/>
                <w:i/>
                <w:iCs/>
                <w:color w:val="000000"/>
                <w:sz w:val="18"/>
                <w:szCs w:val="18"/>
                <w:lang w:val="en-US"/>
              </w:rPr>
              <w:t>2008-2010</w:t>
            </w: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DF590F">
              <w:rPr>
                <w:rFonts w:ascii="Palatino Linotype" w:hAnsi="Palatino Linotype" w:cs="Calibri Light"/>
                <w:i/>
                <w:iCs/>
                <w:color w:val="000000"/>
                <w:sz w:val="18"/>
                <w:szCs w:val="18"/>
                <w:lang w:val="en-US"/>
              </w:rPr>
              <w:t>1.7</w:t>
            </w: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DF590F">
              <w:rPr>
                <w:rFonts w:ascii="Palatino Linotype" w:hAnsi="Palatino Linotype" w:cs="Calibri Light"/>
                <w:i/>
                <w:iCs/>
                <w:color w:val="000000"/>
                <w:sz w:val="18"/>
                <w:szCs w:val="18"/>
                <w:lang w:val="en-US"/>
              </w:rPr>
              <w:t>-2.5</w:t>
            </w:r>
          </w:p>
        </w:tc>
        <w:tc>
          <w:tcPr>
            <w:tcW w:w="1539"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DF590F">
              <w:rPr>
                <w:rFonts w:ascii="Palatino Linotype" w:hAnsi="Palatino Linotype" w:cs="Calibri Light"/>
                <w:i/>
                <w:iCs/>
                <w:color w:val="000000"/>
                <w:sz w:val="18"/>
                <w:szCs w:val="18"/>
                <w:lang w:val="en-US"/>
              </w:rPr>
              <w:t>-6.3</w:t>
            </w: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DF590F">
              <w:rPr>
                <w:rFonts w:ascii="Palatino Linotype" w:hAnsi="Palatino Linotype" w:cs="Calibri Light"/>
                <w:i/>
                <w:iCs/>
                <w:color w:val="000000"/>
                <w:sz w:val="18"/>
                <w:szCs w:val="18"/>
                <w:lang w:val="en-US"/>
              </w:rPr>
              <w:t>-3.4</w:t>
            </w:r>
          </w:p>
        </w:tc>
      </w:tr>
      <w:tr w:rsidR="00C42551" w:rsidRPr="00DF590F" w:rsidTr="00825A2B">
        <w:trPr>
          <w:trHeight w:val="307"/>
        </w:trPr>
        <w:tc>
          <w:tcPr>
            <w:tcW w:w="2004"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i/>
                <w:iCs/>
                <w:color w:val="000000"/>
                <w:sz w:val="18"/>
                <w:szCs w:val="18"/>
                <w:lang w:val="en-US"/>
              </w:rPr>
            </w:pPr>
            <w:r w:rsidRPr="00DF590F">
              <w:rPr>
                <w:rFonts w:ascii="Palatino Linotype" w:hAnsi="Palatino Linotype" w:cs="Calibri Light"/>
                <w:i/>
                <w:iCs/>
                <w:color w:val="000000"/>
                <w:sz w:val="18"/>
                <w:szCs w:val="18"/>
                <w:lang w:val="en-US"/>
              </w:rPr>
              <w:t>2011-2013</w:t>
            </w: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DF590F">
              <w:rPr>
                <w:rFonts w:ascii="Palatino Linotype" w:hAnsi="Palatino Linotype" w:cs="Calibri Light"/>
                <w:i/>
                <w:iCs/>
                <w:color w:val="000000"/>
                <w:sz w:val="18"/>
                <w:szCs w:val="18"/>
                <w:lang w:val="en-US"/>
              </w:rPr>
              <w:t>0.0</w:t>
            </w: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DF590F">
              <w:rPr>
                <w:rFonts w:ascii="Palatino Linotype" w:hAnsi="Palatino Linotype" w:cs="Calibri Light"/>
                <w:i/>
                <w:iCs/>
                <w:color w:val="000000"/>
                <w:sz w:val="18"/>
                <w:szCs w:val="18"/>
                <w:lang w:val="en-US"/>
              </w:rPr>
              <w:t>4.6</w:t>
            </w:r>
          </w:p>
        </w:tc>
        <w:tc>
          <w:tcPr>
            <w:tcW w:w="1539"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DF590F">
              <w:rPr>
                <w:rFonts w:ascii="Palatino Linotype" w:hAnsi="Palatino Linotype" w:cs="Calibri Light"/>
                <w:i/>
                <w:iCs/>
                <w:color w:val="000000"/>
                <w:sz w:val="18"/>
                <w:szCs w:val="18"/>
                <w:lang w:val="en-US"/>
              </w:rPr>
              <w:t>7.1</w:t>
            </w:r>
          </w:p>
        </w:tc>
        <w:tc>
          <w:tcPr>
            <w:tcW w:w="1540" w:type="dxa"/>
            <w:tcBorders>
              <w:top w:val="nil"/>
              <w:left w:val="nil"/>
              <w:bottom w:val="nil"/>
              <w:right w:val="nil"/>
            </w:tcBorders>
            <w:shd w:val="solid" w:color="FFFFFF" w:fill="auto"/>
          </w:tcPr>
          <w:p w:rsidR="00C42551" w:rsidRPr="00DF590F" w:rsidRDefault="00C42551" w:rsidP="00825A2B">
            <w:pPr>
              <w:autoSpaceDE w:val="0"/>
              <w:autoSpaceDN w:val="0"/>
              <w:adjustRightInd w:val="0"/>
              <w:spacing w:after="0" w:line="240" w:lineRule="auto"/>
              <w:jc w:val="right"/>
              <w:rPr>
                <w:rFonts w:ascii="Palatino Linotype" w:hAnsi="Palatino Linotype" w:cs="Calibri Light"/>
                <w:i/>
                <w:iCs/>
                <w:color w:val="000000"/>
                <w:sz w:val="18"/>
                <w:szCs w:val="18"/>
                <w:lang w:val="en-US"/>
              </w:rPr>
            </w:pPr>
            <w:r w:rsidRPr="00DF590F">
              <w:rPr>
                <w:rFonts w:ascii="Palatino Linotype" w:hAnsi="Palatino Linotype" w:cs="Calibri Light"/>
                <w:i/>
                <w:iCs/>
                <w:color w:val="000000"/>
                <w:sz w:val="18"/>
                <w:szCs w:val="18"/>
                <w:lang w:val="en-US"/>
              </w:rPr>
              <w:t>0.2</w:t>
            </w:r>
          </w:p>
        </w:tc>
      </w:tr>
      <w:tr w:rsidR="00C42551" w:rsidRPr="00DF590F" w:rsidTr="00825A2B">
        <w:trPr>
          <w:trHeight w:val="307"/>
        </w:trPr>
        <w:tc>
          <w:tcPr>
            <w:tcW w:w="2004" w:type="dxa"/>
            <w:tcBorders>
              <w:top w:val="nil"/>
              <w:left w:val="nil"/>
              <w:bottom w:val="single" w:sz="6" w:space="0" w:color="auto"/>
              <w:right w:val="nil"/>
            </w:tcBorders>
            <w:shd w:val="solid" w:color="FFFFFF" w:fill="auto"/>
          </w:tcPr>
          <w:p w:rsidR="00C42551" w:rsidRPr="00DF590F" w:rsidRDefault="00C42551" w:rsidP="00825A2B">
            <w:pPr>
              <w:autoSpaceDE w:val="0"/>
              <w:autoSpaceDN w:val="0"/>
              <w:adjustRightInd w:val="0"/>
              <w:spacing w:after="0" w:line="240" w:lineRule="auto"/>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2014-2018</w:t>
            </w:r>
          </w:p>
        </w:tc>
        <w:tc>
          <w:tcPr>
            <w:tcW w:w="1540" w:type="dxa"/>
            <w:tcBorders>
              <w:top w:val="nil"/>
              <w:left w:val="nil"/>
              <w:bottom w:val="single" w:sz="6" w:space="0" w:color="auto"/>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3.1</w:t>
            </w:r>
          </w:p>
        </w:tc>
        <w:tc>
          <w:tcPr>
            <w:tcW w:w="1540" w:type="dxa"/>
            <w:tcBorders>
              <w:top w:val="nil"/>
              <w:left w:val="nil"/>
              <w:bottom w:val="single" w:sz="6" w:space="0" w:color="auto"/>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1.1</w:t>
            </w:r>
          </w:p>
        </w:tc>
        <w:tc>
          <w:tcPr>
            <w:tcW w:w="1539" w:type="dxa"/>
            <w:tcBorders>
              <w:top w:val="nil"/>
              <w:left w:val="nil"/>
              <w:bottom w:val="single" w:sz="6" w:space="0" w:color="auto"/>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-2.5</w:t>
            </w:r>
          </w:p>
        </w:tc>
        <w:tc>
          <w:tcPr>
            <w:tcW w:w="1540" w:type="dxa"/>
            <w:tcBorders>
              <w:top w:val="nil"/>
              <w:left w:val="nil"/>
              <w:bottom w:val="single" w:sz="6" w:space="0" w:color="auto"/>
              <w:right w:val="nil"/>
            </w:tcBorders>
            <w:shd w:val="solid" w:color="FFFFFF" w:fill="auto"/>
          </w:tcPr>
          <w:p w:rsidR="00C42551" w:rsidRPr="00DF590F" w:rsidRDefault="00C42551" w:rsidP="00825A2B">
            <w:pPr>
              <w:autoSpaceDE w:val="0"/>
              <w:autoSpaceDN w:val="0"/>
              <w:adjustRightInd w:val="0"/>
              <w:spacing w:after="0" w:line="240" w:lineRule="auto"/>
              <w:jc w:val="center"/>
              <w:rPr>
                <w:rFonts w:ascii="Palatino Linotype" w:hAnsi="Palatino Linotype" w:cs="Calibri Light"/>
                <w:color w:val="000000"/>
                <w:sz w:val="20"/>
                <w:szCs w:val="20"/>
                <w:lang w:val="en-US"/>
              </w:rPr>
            </w:pPr>
            <w:r w:rsidRPr="00DF590F">
              <w:rPr>
                <w:rFonts w:ascii="Palatino Linotype" w:hAnsi="Palatino Linotype" w:cs="Calibri Light"/>
                <w:color w:val="000000"/>
                <w:sz w:val="20"/>
                <w:szCs w:val="20"/>
                <w:lang w:val="en-US"/>
              </w:rPr>
              <w:t>-0.5</w:t>
            </w:r>
          </w:p>
        </w:tc>
      </w:tr>
    </w:tbl>
    <w:p w:rsidR="00C42551" w:rsidRPr="00437514" w:rsidRDefault="00C42551" w:rsidP="00C42551">
      <w:pPr>
        <w:spacing w:after="240" w:line="276" w:lineRule="auto"/>
        <w:rPr>
          <w:rFonts w:ascii="Palatino Linotype" w:hAnsi="Palatino Linotype"/>
          <w:lang w:val="tr-TR"/>
        </w:rPr>
      </w:pPr>
      <w:r w:rsidRPr="00437514">
        <w:rPr>
          <w:rFonts w:ascii="Palatino Linotype" w:hAnsi="Palatino Linotype"/>
          <w:b/>
          <w:bCs/>
          <w:lang w:val="tr-TR"/>
        </w:rPr>
        <w:t>Kaynak:</w:t>
      </w:r>
      <w:r w:rsidRPr="00437514">
        <w:rPr>
          <w:rFonts w:ascii="Palatino Linotype" w:hAnsi="Palatino Linotype"/>
          <w:lang w:val="tr-TR"/>
        </w:rPr>
        <w:t xml:space="preserve"> </w:t>
      </w:r>
      <w:r>
        <w:rPr>
          <w:rFonts w:ascii="Palatino Linotype" w:hAnsi="Palatino Linotype"/>
          <w:lang w:val="tr-TR"/>
        </w:rPr>
        <w:t>Betam</w:t>
      </w:r>
    </w:p>
    <w:p w:rsidR="00C42551" w:rsidRPr="00986E15" w:rsidRDefault="00C42551" w:rsidP="00C42551">
      <w:pPr>
        <w:spacing w:after="240" w:line="276" w:lineRule="auto"/>
        <w:jc w:val="both"/>
        <w:rPr>
          <w:rFonts w:ascii="Palatino Linotype" w:hAnsi="Palatino Linotype"/>
          <w:lang w:val="tr-TR"/>
        </w:rPr>
      </w:pPr>
      <w:r w:rsidRPr="00986E15">
        <w:rPr>
          <w:rFonts w:ascii="Palatino Linotype" w:hAnsi="Palatino Linotype"/>
          <w:lang w:val="tr-TR"/>
        </w:rPr>
        <w:t xml:space="preserve">Geniş </w:t>
      </w:r>
      <w:proofErr w:type="spellStart"/>
      <w:r w:rsidRPr="00986E15">
        <w:rPr>
          <w:rFonts w:ascii="Palatino Linotype" w:hAnsi="Palatino Linotype"/>
          <w:lang w:val="tr-TR"/>
        </w:rPr>
        <w:t>dönemlendirmeye</w:t>
      </w:r>
      <w:proofErr w:type="spellEnd"/>
      <w:r w:rsidRPr="00986E15">
        <w:rPr>
          <w:rFonts w:ascii="Palatino Linotype" w:hAnsi="Palatino Linotype"/>
          <w:lang w:val="tr-TR"/>
        </w:rPr>
        <w:t xml:space="preserve"> göre TFV artışlarını incelediğimizde, tarımda 80’li yıllar haricinde TFV artışlarının pozitif olduğu görülmektedir.</w:t>
      </w:r>
      <w:r>
        <w:rPr>
          <w:rFonts w:ascii="Palatino Linotype" w:hAnsi="Palatino Linotype"/>
          <w:lang w:val="tr-TR"/>
        </w:rPr>
        <w:t xml:space="preserve"> 1990-2002 ve 2003-2013 yıllarında TFV artışı yıllık ortalama %1,5 olurken 2014-2018 döneminde %3,1 TFV artışı yaşanmıştır.</w:t>
      </w:r>
      <w:r w:rsidRPr="00986E15">
        <w:rPr>
          <w:rFonts w:ascii="Palatino Linotype" w:hAnsi="Palatino Linotype"/>
          <w:lang w:val="tr-TR"/>
        </w:rPr>
        <w:t xml:space="preserve"> 2003-2007 alt döneminde ve 2014-2018 yılları arasında </w:t>
      </w:r>
      <w:r>
        <w:rPr>
          <w:rFonts w:ascii="Palatino Linotype" w:hAnsi="Palatino Linotype"/>
          <w:lang w:val="tr-TR"/>
        </w:rPr>
        <w:t xml:space="preserve">yaşanan </w:t>
      </w:r>
      <w:r w:rsidRPr="00986E15">
        <w:rPr>
          <w:rFonts w:ascii="Palatino Linotype" w:hAnsi="Palatino Linotype"/>
          <w:lang w:val="tr-TR"/>
        </w:rPr>
        <w:t>güçlü TFV artış</w:t>
      </w:r>
      <w:r>
        <w:rPr>
          <w:rFonts w:ascii="Palatino Linotype" w:hAnsi="Palatino Linotype"/>
          <w:lang w:val="tr-TR"/>
        </w:rPr>
        <w:t>larında</w:t>
      </w:r>
      <w:r w:rsidRPr="00986E15">
        <w:rPr>
          <w:rFonts w:ascii="Palatino Linotype" w:hAnsi="Palatino Linotype"/>
          <w:lang w:val="tr-TR"/>
        </w:rPr>
        <w:t xml:space="preserve"> azalan iş gücü</w:t>
      </w:r>
      <w:r>
        <w:rPr>
          <w:rFonts w:ascii="Palatino Linotype" w:hAnsi="Palatino Linotype"/>
          <w:lang w:val="tr-TR"/>
        </w:rPr>
        <w:t xml:space="preserve"> etkilidir.</w:t>
      </w:r>
      <w:r w:rsidRPr="00986E15">
        <w:rPr>
          <w:rFonts w:ascii="Palatino Linotype" w:hAnsi="Palatino Linotype"/>
          <w:lang w:val="tr-TR"/>
        </w:rPr>
        <w:t xml:space="preserve"> (</w:t>
      </w:r>
      <w:r>
        <w:rPr>
          <w:rFonts w:ascii="Palatino Linotype" w:hAnsi="Palatino Linotype"/>
          <w:lang w:val="tr-TR"/>
        </w:rPr>
        <w:t>B</w:t>
      </w:r>
      <w:r w:rsidRPr="00986E15">
        <w:rPr>
          <w:rFonts w:ascii="Palatino Linotype" w:hAnsi="Palatino Linotype"/>
          <w:lang w:val="tr-TR"/>
        </w:rPr>
        <w:t>u dönemlerde yıllık ortalama sırasıyla -3,4 ve -2,5). Bu durum tarımdaki gizli işsizliğe işaret etmektedir. Tarımda istihdamın azaldığı yıllarda tarımsal çıktıda bir düşüş yaşanmadan kırdan kente göç eden nüfus üretim yapar hale gelmiştir. Tarım sektörüne yönelik bir diğer şaşırtıcı gözlem, 2008-2010 yılları arasında krizin etkisiyle artan tarımsal iş gücündeki %5,2’lik artış tarım üretimini de %5,5 oranında artırmıştır.</w:t>
      </w:r>
    </w:p>
    <w:p w:rsidR="00353AF4" w:rsidRPr="00986E15" w:rsidRDefault="00986E15" w:rsidP="00BA6B8A">
      <w:pPr>
        <w:spacing w:after="240" w:line="276" w:lineRule="auto"/>
        <w:jc w:val="both"/>
        <w:rPr>
          <w:rFonts w:ascii="Palatino Linotype" w:hAnsi="Palatino Linotype"/>
          <w:lang w:val="tr-TR"/>
        </w:rPr>
      </w:pPr>
      <w:r w:rsidRPr="00986E15">
        <w:rPr>
          <w:rFonts w:ascii="Palatino Linotype" w:hAnsi="Palatino Linotype"/>
          <w:lang w:val="tr-TR"/>
        </w:rPr>
        <w:t>Sanayi sektöründe TFV artışı 1981-1989 yılları arasında %4,5 yıllık ortalama ile oldukça yüksek olmuştur. 2011-2013 alt döneminde de %4,6 ile hızlı bir TFV artışı yaşanmıştır. Küresel Finans Krizi’nin etkili olduğu yıllar haricinde sanayi sektöründe TFV sürekli artarken 90’lı yıllarda oldukça zayıf bir performans sergilenmiştir. Dikkat çekici husus 2014-2018 döneminde de sanayi sektörü TFV artışının 90’lı yıllara yakınsamasıdır. Bu durum sanayide yeniden bir teknolojik atılım yakalamanın gerekliliğini göstermektedir.</w:t>
      </w:r>
    </w:p>
    <w:p w:rsidR="00986E15" w:rsidRDefault="00986E15" w:rsidP="00BA6B8A">
      <w:pPr>
        <w:spacing w:after="240" w:line="276" w:lineRule="auto"/>
        <w:jc w:val="both"/>
        <w:rPr>
          <w:rFonts w:ascii="Palatino Linotype" w:hAnsi="Palatino Linotype"/>
          <w:lang w:val="tr-TR"/>
        </w:rPr>
      </w:pPr>
      <w:r w:rsidRPr="00986E15">
        <w:rPr>
          <w:rFonts w:ascii="Palatino Linotype" w:hAnsi="Palatino Linotype"/>
          <w:lang w:val="tr-TR"/>
        </w:rPr>
        <w:t xml:space="preserve">İnşaat </w:t>
      </w:r>
      <w:r>
        <w:rPr>
          <w:rFonts w:ascii="Palatino Linotype" w:hAnsi="Palatino Linotype"/>
          <w:lang w:val="tr-TR"/>
        </w:rPr>
        <w:t xml:space="preserve">sektörü hem </w:t>
      </w:r>
      <w:proofErr w:type="spellStart"/>
      <w:r>
        <w:rPr>
          <w:rFonts w:ascii="Palatino Linotype" w:hAnsi="Palatino Linotype"/>
          <w:lang w:val="tr-TR"/>
        </w:rPr>
        <w:t>sektörel</w:t>
      </w:r>
      <w:proofErr w:type="spellEnd"/>
      <w:r>
        <w:rPr>
          <w:rFonts w:ascii="Palatino Linotype" w:hAnsi="Palatino Linotype"/>
          <w:lang w:val="tr-TR"/>
        </w:rPr>
        <w:t xml:space="preserve"> GSYH anlamında hem de TFV artışları anlamında en </w:t>
      </w:r>
      <w:proofErr w:type="spellStart"/>
      <w:r>
        <w:rPr>
          <w:rFonts w:ascii="Palatino Linotype" w:hAnsi="Palatino Linotype"/>
          <w:lang w:val="tr-TR"/>
        </w:rPr>
        <w:t>volatil</w:t>
      </w:r>
      <w:proofErr w:type="spellEnd"/>
      <w:r>
        <w:rPr>
          <w:rFonts w:ascii="Palatino Linotype" w:hAnsi="Palatino Linotype"/>
          <w:lang w:val="tr-TR"/>
        </w:rPr>
        <w:t xml:space="preserve"> sektördür. </w:t>
      </w:r>
      <w:r w:rsidR="00DF590F">
        <w:rPr>
          <w:rFonts w:ascii="Palatino Linotype" w:hAnsi="Palatino Linotype"/>
          <w:lang w:val="tr-TR"/>
        </w:rPr>
        <w:t xml:space="preserve">İnşaat sektörü krizlerden en kötü etkilenen sektör olmakla birlikte ekonominin iyi gittiği yıllarda da en hızlı büyüme rakamlarını yakalamaktadır. </w:t>
      </w:r>
      <w:r>
        <w:rPr>
          <w:rFonts w:ascii="Palatino Linotype" w:hAnsi="Palatino Linotype"/>
          <w:lang w:val="tr-TR"/>
        </w:rPr>
        <w:t xml:space="preserve">Sektörün istihdam ve sermaye artışlarının görece istikrarlı olduğuna bakılırsa </w:t>
      </w:r>
      <w:proofErr w:type="spellStart"/>
      <w:r>
        <w:rPr>
          <w:rFonts w:ascii="Palatino Linotype" w:hAnsi="Palatino Linotype"/>
          <w:lang w:val="tr-TR"/>
        </w:rPr>
        <w:t>sektörel</w:t>
      </w:r>
      <w:proofErr w:type="spellEnd"/>
      <w:r>
        <w:rPr>
          <w:rFonts w:ascii="Palatino Linotype" w:hAnsi="Palatino Linotype"/>
          <w:lang w:val="tr-TR"/>
        </w:rPr>
        <w:t xml:space="preserve"> çıktıdaki oynaklık da </w:t>
      </w:r>
      <w:proofErr w:type="spellStart"/>
      <w:r>
        <w:rPr>
          <w:rFonts w:ascii="Palatino Linotype" w:hAnsi="Palatino Linotype"/>
          <w:lang w:val="tr-TR"/>
        </w:rPr>
        <w:t>TFV’deki</w:t>
      </w:r>
      <w:proofErr w:type="spellEnd"/>
      <w:r>
        <w:rPr>
          <w:rFonts w:ascii="Palatino Linotype" w:hAnsi="Palatino Linotype"/>
          <w:lang w:val="tr-TR"/>
        </w:rPr>
        <w:t xml:space="preserve"> </w:t>
      </w:r>
      <w:r>
        <w:rPr>
          <w:rFonts w:ascii="Palatino Linotype" w:hAnsi="Palatino Linotype"/>
          <w:lang w:val="tr-TR"/>
        </w:rPr>
        <w:lastRenderedPageBreak/>
        <w:t xml:space="preserve">dalgalanmalardan kaynaklanmaktadır. </w:t>
      </w:r>
      <w:r w:rsidR="00BA5426">
        <w:rPr>
          <w:rFonts w:ascii="Palatino Linotype" w:hAnsi="Palatino Linotype"/>
          <w:lang w:val="tr-TR"/>
        </w:rPr>
        <w:t>İnşaat sektöründe TFV 1981-1989 yıllarında %3,2, 1990-2002 döneminde eksi %1,9, 2003-2013 yıllarında ise %4,8 büyümüştür. 2014-2018 yıllarında ise %2,5 daralma kaydedilmiştir.</w:t>
      </w:r>
    </w:p>
    <w:p w:rsidR="008961AD" w:rsidRPr="00986E15" w:rsidRDefault="00C5191D" w:rsidP="00BA6B8A">
      <w:pPr>
        <w:spacing w:after="240" w:line="276" w:lineRule="auto"/>
        <w:jc w:val="both"/>
        <w:rPr>
          <w:rFonts w:ascii="Palatino Linotype" w:hAnsi="Palatino Linotype"/>
          <w:lang w:val="tr-TR"/>
        </w:rPr>
      </w:pPr>
      <w:r>
        <w:rPr>
          <w:rFonts w:ascii="Palatino Linotype" w:hAnsi="Palatino Linotype"/>
          <w:lang w:val="tr-TR"/>
        </w:rPr>
        <w:t>Hizmetler sektöründe tüm dönemlerde TFV azalmıştır. Bu durum kısmen eğitim ve sağlık gibi sektörlerde tam bir piyasanın işlememesi nedeniyle katma değerin ölçümünde yaşanan sorunlardan kısmen de birçok farklı iş kolunun (ulaştırmadan, yiyecek içecek sektörüne) bu kalemde toplanmasından kaynaklanmaktadır. Buna rağmen hizmetler sektörü 2018 yılı itibariyle GSYH’nin %63’ünü istihdamın ise %55’ini oluşturduğu için son derece önemlidir. Türkiye’nin orta gelir tuzağından kurtulması için hizmetler sektöründe TFV artışları yaşaması elzemdir.</w:t>
      </w:r>
    </w:p>
    <w:p w:rsidR="00D706FF" w:rsidRPr="00437514" w:rsidRDefault="00D706FF" w:rsidP="002E536E">
      <w:pPr>
        <w:spacing w:before="240" w:after="60" w:line="276" w:lineRule="auto"/>
        <w:rPr>
          <w:rFonts w:ascii="Palatino Linotype" w:hAnsi="Palatino Linotype"/>
          <w:b/>
          <w:sz w:val="26"/>
          <w:szCs w:val="26"/>
          <w:lang w:val="tr-TR"/>
        </w:rPr>
      </w:pPr>
      <w:proofErr w:type="spellStart"/>
      <w:r w:rsidRPr="00437514">
        <w:rPr>
          <w:rFonts w:ascii="Palatino Linotype" w:hAnsi="Palatino Linotype"/>
          <w:b/>
          <w:sz w:val="26"/>
          <w:szCs w:val="26"/>
          <w:lang w:val="tr-TR"/>
        </w:rPr>
        <w:t>TFV’nin</w:t>
      </w:r>
      <w:proofErr w:type="spellEnd"/>
      <w:r w:rsidRPr="00437514">
        <w:rPr>
          <w:rFonts w:ascii="Palatino Linotype" w:hAnsi="Palatino Linotype"/>
          <w:b/>
          <w:sz w:val="26"/>
          <w:szCs w:val="26"/>
          <w:lang w:val="tr-TR"/>
        </w:rPr>
        <w:t xml:space="preserve"> Büyümeye Katkısı</w:t>
      </w:r>
    </w:p>
    <w:p w:rsidR="002E536E" w:rsidRDefault="008C1939" w:rsidP="002E536E">
      <w:pPr>
        <w:spacing w:after="240" w:line="276" w:lineRule="auto"/>
        <w:jc w:val="both"/>
        <w:rPr>
          <w:rFonts w:ascii="Palatino Linotype" w:hAnsi="Palatino Linotype"/>
          <w:lang w:val="tr-TR"/>
        </w:rPr>
      </w:pPr>
      <w:r w:rsidRPr="00437514">
        <w:rPr>
          <w:rFonts w:ascii="Palatino Linotype" w:hAnsi="Palatino Linotype"/>
          <w:lang w:val="tr-TR"/>
        </w:rPr>
        <w:t>Tablo 5, sermaye, istihdam ve TFV artışlarının büyümeye katkısını dönemlere ve sektörlere göre sunmaktadır.</w:t>
      </w:r>
      <w:r w:rsidR="002E536E" w:rsidRPr="002E536E">
        <w:rPr>
          <w:rFonts w:ascii="Palatino Linotype" w:hAnsi="Palatino Linotype"/>
          <w:lang w:val="tr-TR"/>
        </w:rPr>
        <w:t xml:space="preserve"> </w:t>
      </w:r>
      <w:r w:rsidR="002E536E" w:rsidRPr="00437514">
        <w:rPr>
          <w:rFonts w:ascii="Palatino Linotype" w:hAnsi="Palatino Linotype"/>
          <w:lang w:val="tr-TR"/>
        </w:rPr>
        <w:t>Tarım sektöründe yaşanan genişlemede emek katkısı genelde negatif olmuştur. Bu</w:t>
      </w:r>
      <w:r w:rsidR="00CB0EAD">
        <w:rPr>
          <w:rFonts w:ascii="Palatino Linotype" w:hAnsi="Palatino Linotype"/>
          <w:lang w:val="tr-TR"/>
        </w:rPr>
        <w:t xml:space="preserve">nun sebebi </w:t>
      </w:r>
      <w:r w:rsidR="002E536E" w:rsidRPr="00437514">
        <w:rPr>
          <w:rFonts w:ascii="Palatino Linotype" w:hAnsi="Palatino Linotype"/>
          <w:lang w:val="tr-TR"/>
        </w:rPr>
        <w:t>tarımdaki istihdamın azalması</w:t>
      </w:r>
      <w:r w:rsidR="00CB0EAD">
        <w:rPr>
          <w:rFonts w:ascii="Palatino Linotype" w:hAnsi="Palatino Linotype"/>
          <w:lang w:val="tr-TR"/>
        </w:rPr>
        <w:t>dır</w:t>
      </w:r>
      <w:r w:rsidR="002E536E" w:rsidRPr="00437514">
        <w:rPr>
          <w:rFonts w:ascii="Palatino Linotype" w:hAnsi="Palatino Linotype"/>
          <w:lang w:val="tr-TR"/>
        </w:rPr>
        <w:t xml:space="preserve">. Bunun yanında tarımda sabit sermaye yatırımları büyümeye </w:t>
      </w:r>
      <w:r w:rsidR="002E536E">
        <w:rPr>
          <w:rFonts w:ascii="Palatino Linotype" w:hAnsi="Palatino Linotype"/>
          <w:lang w:val="tr-TR"/>
        </w:rPr>
        <w:t>ılımlı ama istikrarlı</w:t>
      </w:r>
      <w:r w:rsidR="002E536E" w:rsidRPr="00437514">
        <w:rPr>
          <w:rFonts w:ascii="Palatino Linotype" w:hAnsi="Palatino Linotype"/>
          <w:lang w:val="tr-TR"/>
        </w:rPr>
        <w:t xml:space="preserve"> katkılar yaparken TFV katkıları sermaye</w:t>
      </w:r>
      <w:r w:rsidR="002E536E">
        <w:rPr>
          <w:rFonts w:ascii="Palatino Linotype" w:hAnsi="Palatino Linotype"/>
          <w:lang w:val="tr-TR"/>
        </w:rPr>
        <w:t>den daha fazla olmuştur.</w:t>
      </w:r>
      <w:r w:rsidR="002E536E" w:rsidRPr="00437514">
        <w:rPr>
          <w:rFonts w:ascii="Palatino Linotype" w:hAnsi="Palatino Linotype"/>
          <w:lang w:val="tr-TR"/>
        </w:rPr>
        <w:t xml:space="preserve"> </w:t>
      </w:r>
      <w:r w:rsidR="002E536E">
        <w:rPr>
          <w:rFonts w:ascii="Palatino Linotype" w:hAnsi="Palatino Linotype"/>
          <w:lang w:val="tr-TR"/>
        </w:rPr>
        <w:t>Tarım sektöründeki büyümeye en güçlü TFV katkısı 2014-2018 yılları arasında 3,1 yüzde puanla gerçekleşmiştir. 2003-2013 ve 1990-2002 döneminde bu sayı 1,5 yüzde puan olmuştur. 1981-1989 yıllarında ise TFV tarım sektöründeki büyümeyi 0,6 yüzde puan baskılamıştır.</w:t>
      </w:r>
    </w:p>
    <w:p w:rsidR="00E0502E" w:rsidRPr="00437514" w:rsidRDefault="00E0502E" w:rsidP="00E0502E">
      <w:pPr>
        <w:spacing w:after="240" w:line="276" w:lineRule="auto"/>
        <w:jc w:val="both"/>
        <w:rPr>
          <w:rFonts w:ascii="Palatino Linotype" w:hAnsi="Palatino Linotype"/>
          <w:lang w:val="tr-TR"/>
        </w:rPr>
      </w:pPr>
      <w:proofErr w:type="spellStart"/>
      <w:r w:rsidRPr="00437514">
        <w:rPr>
          <w:rFonts w:ascii="Palatino Linotype" w:hAnsi="Palatino Linotype"/>
          <w:lang w:val="tr-TR"/>
        </w:rPr>
        <w:t>TFV’nin</w:t>
      </w:r>
      <w:proofErr w:type="spellEnd"/>
      <w:r w:rsidRPr="00437514">
        <w:rPr>
          <w:rFonts w:ascii="Palatino Linotype" w:hAnsi="Palatino Linotype"/>
          <w:lang w:val="tr-TR"/>
        </w:rPr>
        <w:t xml:space="preserve"> büyümeye katkısı </w:t>
      </w:r>
      <w:r>
        <w:rPr>
          <w:rFonts w:ascii="Palatino Linotype" w:hAnsi="Palatino Linotype"/>
          <w:lang w:val="tr-TR"/>
        </w:rPr>
        <w:t>sanayi</w:t>
      </w:r>
      <w:r w:rsidRPr="00437514">
        <w:rPr>
          <w:rFonts w:ascii="Palatino Linotype" w:hAnsi="Palatino Linotype"/>
          <w:lang w:val="tr-TR"/>
        </w:rPr>
        <w:t xml:space="preserve"> sektörü</w:t>
      </w:r>
      <w:r>
        <w:rPr>
          <w:rFonts w:ascii="Palatino Linotype" w:hAnsi="Palatino Linotype"/>
          <w:lang w:val="tr-TR"/>
        </w:rPr>
        <w:t>nde en yüksektir.</w:t>
      </w:r>
      <w:r w:rsidRPr="00437514">
        <w:rPr>
          <w:rFonts w:ascii="Palatino Linotype" w:hAnsi="Palatino Linotype"/>
          <w:lang w:val="tr-TR"/>
        </w:rPr>
        <w:t xml:space="preserve"> 1981-1989 ve 2003-2013 dönemleri sanayi sektörü için oldukça olumlu yıllardır.</w:t>
      </w:r>
      <w:r>
        <w:rPr>
          <w:rFonts w:ascii="Palatino Linotype" w:hAnsi="Palatino Linotype"/>
          <w:lang w:val="tr-TR"/>
        </w:rPr>
        <w:t xml:space="preserve"> Bu iki dönemde sanayi sektöründe </w:t>
      </w:r>
      <w:proofErr w:type="spellStart"/>
      <w:r>
        <w:rPr>
          <w:rFonts w:ascii="Palatino Linotype" w:hAnsi="Palatino Linotype"/>
          <w:lang w:val="tr-TR"/>
        </w:rPr>
        <w:t>TFV’nin</w:t>
      </w:r>
      <w:proofErr w:type="spellEnd"/>
      <w:r>
        <w:rPr>
          <w:rFonts w:ascii="Palatino Linotype" w:hAnsi="Palatino Linotype"/>
          <w:lang w:val="tr-TR"/>
        </w:rPr>
        <w:t xml:space="preserve"> büyümeye katkısı sırasıyla 4,5 ve 2,1 yüzde puan olmuştur.</w:t>
      </w:r>
      <w:r w:rsidRPr="00437514">
        <w:rPr>
          <w:rFonts w:ascii="Palatino Linotype" w:hAnsi="Palatino Linotype"/>
          <w:lang w:val="tr-TR"/>
        </w:rPr>
        <w:t xml:space="preserve"> </w:t>
      </w:r>
      <w:proofErr w:type="spellStart"/>
      <w:r>
        <w:rPr>
          <w:rFonts w:ascii="Palatino Linotype" w:hAnsi="Palatino Linotype"/>
          <w:lang w:val="tr-TR"/>
        </w:rPr>
        <w:t>Sektörel</w:t>
      </w:r>
      <w:proofErr w:type="spellEnd"/>
      <w:r>
        <w:rPr>
          <w:rFonts w:ascii="Palatino Linotype" w:hAnsi="Palatino Linotype"/>
          <w:lang w:val="tr-TR"/>
        </w:rPr>
        <w:t xml:space="preserve"> GSYH’nin yıllık ortalama olarak birbirine yakın büyüdükleri b</w:t>
      </w:r>
      <w:r w:rsidRPr="00437514">
        <w:rPr>
          <w:rFonts w:ascii="Palatino Linotype" w:hAnsi="Palatino Linotype"/>
          <w:lang w:val="tr-TR"/>
        </w:rPr>
        <w:t>u iki dönem arasındaki en önemli fark 1981-1989 döneminde TFV katkısı daha yüksek iken 2003-2013 yıllarında sermaye katkısı</w:t>
      </w:r>
      <w:r>
        <w:rPr>
          <w:rFonts w:ascii="Palatino Linotype" w:hAnsi="Palatino Linotype"/>
          <w:lang w:val="tr-TR"/>
        </w:rPr>
        <w:t>nın</w:t>
      </w:r>
      <w:r w:rsidRPr="00437514">
        <w:rPr>
          <w:rFonts w:ascii="Palatino Linotype" w:hAnsi="Palatino Linotype"/>
          <w:lang w:val="tr-TR"/>
        </w:rPr>
        <w:t xml:space="preserve"> daha önemli hale gelm</w:t>
      </w:r>
      <w:r>
        <w:rPr>
          <w:rFonts w:ascii="Palatino Linotype" w:hAnsi="Palatino Linotype"/>
          <w:lang w:val="tr-TR"/>
        </w:rPr>
        <w:t>esidir</w:t>
      </w:r>
      <w:r w:rsidRPr="00437514">
        <w:rPr>
          <w:rFonts w:ascii="Palatino Linotype" w:hAnsi="Palatino Linotype"/>
          <w:lang w:val="tr-TR"/>
        </w:rPr>
        <w:t xml:space="preserve">. 2014-2018 yıllarında ise </w:t>
      </w:r>
      <w:proofErr w:type="spellStart"/>
      <w:r w:rsidRPr="00437514">
        <w:rPr>
          <w:rFonts w:ascii="Palatino Linotype" w:hAnsi="Palatino Linotype"/>
          <w:lang w:val="tr-TR"/>
        </w:rPr>
        <w:t>sektörel</w:t>
      </w:r>
      <w:proofErr w:type="spellEnd"/>
      <w:r w:rsidRPr="00437514">
        <w:rPr>
          <w:rFonts w:ascii="Palatino Linotype" w:hAnsi="Palatino Linotype"/>
          <w:lang w:val="tr-TR"/>
        </w:rPr>
        <w:t xml:space="preserve"> büyüme de </w:t>
      </w:r>
      <w:proofErr w:type="spellStart"/>
      <w:r w:rsidRPr="00437514">
        <w:rPr>
          <w:rFonts w:ascii="Palatino Linotype" w:hAnsi="Palatino Linotype"/>
          <w:lang w:val="tr-TR"/>
        </w:rPr>
        <w:t>TFV</w:t>
      </w:r>
      <w:r>
        <w:rPr>
          <w:rFonts w:ascii="Palatino Linotype" w:hAnsi="Palatino Linotype"/>
          <w:lang w:val="tr-TR"/>
        </w:rPr>
        <w:t>’nin</w:t>
      </w:r>
      <w:proofErr w:type="spellEnd"/>
      <w:r>
        <w:rPr>
          <w:rFonts w:ascii="Palatino Linotype" w:hAnsi="Palatino Linotype"/>
          <w:lang w:val="tr-TR"/>
        </w:rPr>
        <w:t xml:space="preserve"> büyümeye katkısı</w:t>
      </w:r>
      <w:r w:rsidRPr="00437514">
        <w:rPr>
          <w:rFonts w:ascii="Palatino Linotype" w:hAnsi="Palatino Linotype"/>
          <w:lang w:val="tr-TR"/>
        </w:rPr>
        <w:t xml:space="preserve"> da yavaşlamıştır</w:t>
      </w:r>
      <w:r>
        <w:rPr>
          <w:rFonts w:ascii="Palatino Linotype" w:hAnsi="Palatino Linotype"/>
          <w:lang w:val="tr-TR"/>
        </w:rPr>
        <w:t xml:space="preserve"> ve </w:t>
      </w:r>
      <w:proofErr w:type="spellStart"/>
      <w:r>
        <w:rPr>
          <w:rFonts w:ascii="Palatino Linotype" w:hAnsi="Palatino Linotype"/>
          <w:lang w:val="tr-TR"/>
        </w:rPr>
        <w:t>TFV’nin</w:t>
      </w:r>
      <w:proofErr w:type="spellEnd"/>
      <w:r>
        <w:rPr>
          <w:rFonts w:ascii="Palatino Linotype" w:hAnsi="Palatino Linotype"/>
          <w:lang w:val="tr-TR"/>
        </w:rPr>
        <w:t xml:space="preserve"> katkısı 1,1 yüzde puan olmuştur. 1990-2002 döneminde ise </w:t>
      </w:r>
      <w:proofErr w:type="spellStart"/>
      <w:r>
        <w:rPr>
          <w:rFonts w:ascii="Palatino Linotype" w:hAnsi="Palatino Linotype"/>
          <w:lang w:val="tr-TR"/>
        </w:rPr>
        <w:t>TFV’nin</w:t>
      </w:r>
      <w:proofErr w:type="spellEnd"/>
      <w:r>
        <w:rPr>
          <w:rFonts w:ascii="Palatino Linotype" w:hAnsi="Palatino Linotype"/>
          <w:lang w:val="tr-TR"/>
        </w:rPr>
        <w:t xml:space="preserve"> katkısı 0,9 yüzde puanla en düşük seviyededir.</w:t>
      </w:r>
    </w:p>
    <w:p w:rsidR="000B53AE" w:rsidRDefault="00E0502E" w:rsidP="00BA6B8A">
      <w:pPr>
        <w:spacing w:after="240" w:line="276" w:lineRule="auto"/>
        <w:jc w:val="both"/>
        <w:rPr>
          <w:rFonts w:ascii="Palatino Linotype" w:hAnsi="Palatino Linotype"/>
          <w:lang w:val="tr-TR"/>
        </w:rPr>
      </w:pPr>
      <w:r>
        <w:rPr>
          <w:rFonts w:ascii="Palatino Linotype" w:hAnsi="Palatino Linotype"/>
          <w:lang w:val="tr-TR"/>
        </w:rPr>
        <w:t xml:space="preserve">İnşaat sektöründe sermaye ve emek girdilerindeki artışların </w:t>
      </w:r>
      <w:proofErr w:type="spellStart"/>
      <w:r>
        <w:rPr>
          <w:rFonts w:ascii="Palatino Linotype" w:hAnsi="Palatino Linotype"/>
          <w:lang w:val="tr-TR"/>
        </w:rPr>
        <w:t>sektörel</w:t>
      </w:r>
      <w:proofErr w:type="spellEnd"/>
      <w:r>
        <w:rPr>
          <w:rFonts w:ascii="Palatino Linotype" w:hAnsi="Palatino Linotype"/>
          <w:lang w:val="tr-TR"/>
        </w:rPr>
        <w:t xml:space="preserve"> GSYH’ye görece istikrarlı katkıları olduğu görülmektedir. TFV artışlarındaki oynaklık nedeniyle </w:t>
      </w:r>
      <w:proofErr w:type="spellStart"/>
      <w:r>
        <w:rPr>
          <w:rFonts w:ascii="Palatino Linotype" w:hAnsi="Palatino Linotype"/>
          <w:lang w:val="tr-TR"/>
        </w:rPr>
        <w:t>TFV’nin</w:t>
      </w:r>
      <w:proofErr w:type="spellEnd"/>
      <w:r>
        <w:rPr>
          <w:rFonts w:ascii="Palatino Linotype" w:hAnsi="Palatino Linotype"/>
          <w:lang w:val="tr-TR"/>
        </w:rPr>
        <w:t xml:space="preserve"> büyümeye katkısı da aynı şekilde dalgalıdır. Geniş </w:t>
      </w:r>
      <w:proofErr w:type="spellStart"/>
      <w:r>
        <w:rPr>
          <w:rFonts w:ascii="Palatino Linotype" w:hAnsi="Palatino Linotype"/>
          <w:lang w:val="tr-TR"/>
        </w:rPr>
        <w:t>dönemlendirmelere</w:t>
      </w:r>
      <w:proofErr w:type="spellEnd"/>
      <w:r>
        <w:rPr>
          <w:rFonts w:ascii="Palatino Linotype" w:hAnsi="Palatino Linotype"/>
          <w:lang w:val="tr-TR"/>
        </w:rPr>
        <w:t xml:space="preserve"> göre, 2003-2013</w:t>
      </w:r>
      <w:r w:rsidR="00074699">
        <w:rPr>
          <w:rFonts w:ascii="Palatino Linotype" w:hAnsi="Palatino Linotype"/>
          <w:lang w:val="tr-TR"/>
        </w:rPr>
        <w:t xml:space="preserve"> döneminde </w:t>
      </w:r>
      <w:proofErr w:type="spellStart"/>
      <w:r w:rsidR="00074699">
        <w:rPr>
          <w:rFonts w:ascii="Palatino Linotype" w:hAnsi="Palatino Linotype"/>
          <w:lang w:val="tr-TR"/>
        </w:rPr>
        <w:t>TFV’nin</w:t>
      </w:r>
      <w:proofErr w:type="spellEnd"/>
      <w:r w:rsidR="00074699">
        <w:rPr>
          <w:rFonts w:ascii="Palatino Linotype" w:hAnsi="Palatino Linotype"/>
          <w:lang w:val="tr-TR"/>
        </w:rPr>
        <w:t xml:space="preserve"> inşaat sektöründeki büyümeye katkısı </w:t>
      </w:r>
      <w:r>
        <w:rPr>
          <w:rFonts w:ascii="Palatino Linotype" w:hAnsi="Palatino Linotype"/>
          <w:lang w:val="tr-TR"/>
        </w:rPr>
        <w:t>4,8</w:t>
      </w:r>
      <w:r w:rsidR="00074699">
        <w:rPr>
          <w:rFonts w:ascii="Palatino Linotype" w:hAnsi="Palatino Linotype"/>
          <w:lang w:val="tr-TR"/>
        </w:rPr>
        <w:t xml:space="preserve"> yüzde puanla en yüksek seviyededir. </w:t>
      </w:r>
      <w:r>
        <w:rPr>
          <w:rFonts w:ascii="Palatino Linotype" w:hAnsi="Palatino Linotype"/>
          <w:lang w:val="tr-TR"/>
        </w:rPr>
        <w:t>1981-1989</w:t>
      </w:r>
      <w:r w:rsidR="00074699">
        <w:rPr>
          <w:rFonts w:ascii="Palatino Linotype" w:hAnsi="Palatino Linotype"/>
          <w:lang w:val="tr-TR"/>
        </w:rPr>
        <w:t xml:space="preserve"> dönemi ise bu anlamda ikinci sıradadır</w:t>
      </w:r>
      <w:r>
        <w:rPr>
          <w:rFonts w:ascii="Palatino Linotype" w:hAnsi="Palatino Linotype"/>
          <w:lang w:val="tr-TR"/>
        </w:rPr>
        <w:t xml:space="preserve"> (%3,2)</w:t>
      </w:r>
      <w:r w:rsidR="00074699">
        <w:rPr>
          <w:rFonts w:ascii="Palatino Linotype" w:hAnsi="Palatino Linotype"/>
          <w:lang w:val="tr-TR"/>
        </w:rPr>
        <w:t>.</w:t>
      </w:r>
      <w:r w:rsidR="008C1939" w:rsidRPr="00437514">
        <w:rPr>
          <w:rFonts w:ascii="Palatino Linotype" w:hAnsi="Palatino Linotype"/>
          <w:lang w:val="tr-TR"/>
        </w:rPr>
        <w:t xml:space="preserve"> </w:t>
      </w:r>
      <w:r w:rsidR="000B53AE" w:rsidRPr="00437514">
        <w:rPr>
          <w:rFonts w:ascii="Palatino Linotype" w:hAnsi="Palatino Linotype"/>
          <w:lang w:val="tr-TR"/>
        </w:rPr>
        <w:t xml:space="preserve">2014-2018 döneminde inşaat sektöründe </w:t>
      </w:r>
      <w:proofErr w:type="spellStart"/>
      <w:r w:rsidR="000B53AE" w:rsidRPr="00437514">
        <w:rPr>
          <w:rFonts w:ascii="Palatino Linotype" w:hAnsi="Palatino Linotype"/>
          <w:lang w:val="tr-TR"/>
        </w:rPr>
        <w:t>sektörel</w:t>
      </w:r>
      <w:proofErr w:type="spellEnd"/>
      <w:r w:rsidR="000B53AE" w:rsidRPr="00437514">
        <w:rPr>
          <w:rFonts w:ascii="Palatino Linotype" w:hAnsi="Palatino Linotype"/>
          <w:lang w:val="tr-TR"/>
        </w:rPr>
        <w:t xml:space="preserve"> büyüme oldukça zayıflamıştır</w:t>
      </w:r>
      <w:r w:rsidR="000B53AE">
        <w:rPr>
          <w:rFonts w:ascii="Palatino Linotype" w:hAnsi="Palatino Linotype"/>
          <w:lang w:val="tr-TR"/>
        </w:rPr>
        <w:t xml:space="preserve"> (%4,2) ve bu durumda TFV katkısının eksi 2,5 yüzde puan olması etkilidir. </w:t>
      </w:r>
      <w:r w:rsidR="008C1939" w:rsidRPr="00437514">
        <w:rPr>
          <w:rFonts w:ascii="Palatino Linotype" w:hAnsi="Palatino Linotype"/>
          <w:lang w:val="tr-TR"/>
        </w:rPr>
        <w:t>2003-2007</w:t>
      </w:r>
      <w:r>
        <w:rPr>
          <w:rFonts w:ascii="Palatino Linotype" w:hAnsi="Palatino Linotype"/>
          <w:lang w:val="tr-TR"/>
        </w:rPr>
        <w:t xml:space="preserve"> alt döneminde</w:t>
      </w:r>
      <w:r w:rsidR="008C1939" w:rsidRPr="00437514">
        <w:rPr>
          <w:rFonts w:ascii="Palatino Linotype" w:hAnsi="Palatino Linotype"/>
          <w:lang w:val="tr-TR"/>
        </w:rPr>
        <w:t xml:space="preserve"> </w:t>
      </w:r>
      <w:proofErr w:type="spellStart"/>
      <w:r w:rsidR="008C1939" w:rsidRPr="00437514">
        <w:rPr>
          <w:rFonts w:ascii="Palatino Linotype" w:hAnsi="Palatino Linotype"/>
          <w:lang w:val="tr-TR"/>
        </w:rPr>
        <w:t>TFV’nin</w:t>
      </w:r>
      <w:proofErr w:type="spellEnd"/>
      <w:r w:rsidR="008C1939" w:rsidRPr="00437514">
        <w:rPr>
          <w:rFonts w:ascii="Palatino Linotype" w:hAnsi="Palatino Linotype"/>
          <w:lang w:val="tr-TR"/>
        </w:rPr>
        <w:t xml:space="preserve"> büyümeye katkısı </w:t>
      </w:r>
      <w:r>
        <w:rPr>
          <w:rFonts w:ascii="Palatino Linotype" w:hAnsi="Palatino Linotype"/>
          <w:lang w:val="tr-TR"/>
        </w:rPr>
        <w:t>10</w:t>
      </w:r>
      <w:r w:rsidR="008C1939" w:rsidRPr="00437514">
        <w:rPr>
          <w:rFonts w:ascii="Palatino Linotype" w:hAnsi="Palatino Linotype"/>
          <w:lang w:val="tr-TR"/>
        </w:rPr>
        <w:t xml:space="preserve"> yüzde puanla rekor seviyede yüksektir.</w:t>
      </w:r>
      <w:r w:rsidR="000B53AE">
        <w:rPr>
          <w:rFonts w:ascii="Palatino Linotype" w:hAnsi="Palatino Linotype"/>
          <w:lang w:val="tr-TR"/>
        </w:rPr>
        <w:t xml:space="preserve"> 2011-2013 yılları için bu rakam 7,1 yüzde puandır.</w:t>
      </w:r>
      <w:r w:rsidR="008C1939" w:rsidRPr="00437514">
        <w:rPr>
          <w:rFonts w:ascii="Palatino Linotype" w:hAnsi="Palatino Linotype"/>
          <w:lang w:val="tr-TR"/>
        </w:rPr>
        <w:t xml:space="preserve"> </w:t>
      </w:r>
    </w:p>
    <w:p w:rsidR="00BC211A" w:rsidRDefault="00D3145A" w:rsidP="00BA6B8A">
      <w:pPr>
        <w:spacing w:after="240" w:line="276" w:lineRule="auto"/>
        <w:jc w:val="both"/>
        <w:rPr>
          <w:rFonts w:ascii="Palatino Linotype" w:hAnsi="Palatino Linotype"/>
          <w:lang w:val="tr-TR"/>
        </w:rPr>
      </w:pPr>
      <w:r w:rsidRPr="00437514">
        <w:rPr>
          <w:rFonts w:ascii="Palatino Linotype" w:hAnsi="Palatino Linotype"/>
          <w:lang w:val="tr-TR"/>
        </w:rPr>
        <w:t xml:space="preserve">Hizmetler sektöründe emek ve sermayenin büyümeye olumlu katkılarına rağmen TFV düşüşleri </w:t>
      </w:r>
      <w:proofErr w:type="spellStart"/>
      <w:r w:rsidRPr="00437514">
        <w:rPr>
          <w:rFonts w:ascii="Palatino Linotype" w:hAnsi="Palatino Linotype"/>
          <w:lang w:val="tr-TR"/>
        </w:rPr>
        <w:t>sektörel</w:t>
      </w:r>
      <w:proofErr w:type="spellEnd"/>
      <w:r w:rsidRPr="00437514">
        <w:rPr>
          <w:rFonts w:ascii="Palatino Linotype" w:hAnsi="Palatino Linotype"/>
          <w:lang w:val="tr-TR"/>
        </w:rPr>
        <w:t xml:space="preserve"> büyümeyi baskılamıştır. </w:t>
      </w:r>
      <w:r w:rsidR="00074699">
        <w:rPr>
          <w:rFonts w:ascii="Palatino Linotype" w:hAnsi="Palatino Linotype"/>
          <w:lang w:val="tr-TR"/>
        </w:rPr>
        <w:t>Hizmetler sektöründe sadece</w:t>
      </w:r>
      <w:r w:rsidR="000B53AE">
        <w:rPr>
          <w:rFonts w:ascii="Palatino Linotype" w:hAnsi="Palatino Linotype"/>
          <w:lang w:val="tr-TR"/>
        </w:rPr>
        <w:t xml:space="preserve"> </w:t>
      </w:r>
      <w:r w:rsidR="00074699">
        <w:rPr>
          <w:rFonts w:ascii="Palatino Linotype" w:hAnsi="Palatino Linotype"/>
          <w:lang w:val="tr-TR"/>
        </w:rPr>
        <w:t xml:space="preserve">2011-2013 alt </w:t>
      </w:r>
      <w:r w:rsidR="00074699">
        <w:rPr>
          <w:rFonts w:ascii="Palatino Linotype" w:hAnsi="Palatino Linotype"/>
          <w:lang w:val="tr-TR"/>
        </w:rPr>
        <w:lastRenderedPageBreak/>
        <w:t>dönem</w:t>
      </w:r>
      <w:r w:rsidR="000B53AE">
        <w:rPr>
          <w:rFonts w:ascii="Palatino Linotype" w:hAnsi="Palatino Linotype"/>
          <w:lang w:val="tr-TR"/>
        </w:rPr>
        <w:t>in</w:t>
      </w:r>
      <w:r w:rsidR="00074699">
        <w:rPr>
          <w:rFonts w:ascii="Palatino Linotype" w:hAnsi="Palatino Linotype"/>
          <w:lang w:val="tr-TR"/>
        </w:rPr>
        <w:t xml:space="preserve">de </w:t>
      </w:r>
      <w:proofErr w:type="spellStart"/>
      <w:r w:rsidR="00074699">
        <w:rPr>
          <w:rFonts w:ascii="Palatino Linotype" w:hAnsi="Palatino Linotype"/>
          <w:lang w:val="tr-TR"/>
        </w:rPr>
        <w:t>TFV’nin</w:t>
      </w:r>
      <w:proofErr w:type="spellEnd"/>
      <w:r w:rsidR="00074699">
        <w:rPr>
          <w:rFonts w:ascii="Palatino Linotype" w:hAnsi="Palatino Linotype"/>
          <w:lang w:val="tr-TR"/>
        </w:rPr>
        <w:t xml:space="preserve"> büyümeye pozitif katkı yaptığı gözlenmiştir (0,</w:t>
      </w:r>
      <w:r w:rsidR="000B53AE">
        <w:rPr>
          <w:rFonts w:ascii="Palatino Linotype" w:hAnsi="Palatino Linotype"/>
          <w:lang w:val="tr-TR"/>
        </w:rPr>
        <w:t>2</w:t>
      </w:r>
      <w:r w:rsidR="00074699">
        <w:rPr>
          <w:rFonts w:ascii="Palatino Linotype" w:hAnsi="Palatino Linotype"/>
          <w:lang w:val="tr-TR"/>
        </w:rPr>
        <w:t xml:space="preserve"> yüzde puan). Hizmetler sektöründe </w:t>
      </w:r>
      <w:proofErr w:type="spellStart"/>
      <w:r w:rsidR="00074699">
        <w:rPr>
          <w:rFonts w:ascii="Palatino Linotype" w:hAnsi="Palatino Linotype"/>
          <w:lang w:val="tr-TR"/>
        </w:rPr>
        <w:t>TFV’nin</w:t>
      </w:r>
      <w:proofErr w:type="spellEnd"/>
      <w:r w:rsidR="00074699">
        <w:rPr>
          <w:rFonts w:ascii="Palatino Linotype" w:hAnsi="Palatino Linotype"/>
          <w:lang w:val="tr-TR"/>
        </w:rPr>
        <w:t xml:space="preserve"> büyümeyi en ciddi şekilde baskıladığı dönem 1990-2002 dönemidir. Bu dönemde TFV büyümeyi </w:t>
      </w:r>
      <w:r w:rsidR="000B53AE">
        <w:rPr>
          <w:rFonts w:ascii="Palatino Linotype" w:hAnsi="Palatino Linotype"/>
          <w:lang w:val="tr-TR"/>
        </w:rPr>
        <w:t>2,3</w:t>
      </w:r>
      <w:r w:rsidR="00074699">
        <w:rPr>
          <w:rFonts w:ascii="Palatino Linotype" w:hAnsi="Palatino Linotype"/>
          <w:lang w:val="tr-TR"/>
        </w:rPr>
        <w:t xml:space="preserve"> yüzde puan baskılamıştır.</w:t>
      </w:r>
      <w:r w:rsidR="00AB6165">
        <w:rPr>
          <w:rFonts w:ascii="Palatino Linotype" w:hAnsi="Palatino Linotype"/>
          <w:lang w:val="tr-TR"/>
        </w:rPr>
        <w:t xml:space="preserve"> 1981-1989 dönemi için bu rakam eksi 0,</w:t>
      </w:r>
      <w:r w:rsidR="000B53AE">
        <w:rPr>
          <w:rFonts w:ascii="Palatino Linotype" w:hAnsi="Palatino Linotype"/>
          <w:lang w:val="tr-TR"/>
        </w:rPr>
        <w:t>8</w:t>
      </w:r>
      <w:r w:rsidR="00AB6165">
        <w:rPr>
          <w:rFonts w:ascii="Palatino Linotype" w:hAnsi="Palatino Linotype"/>
          <w:lang w:val="tr-TR"/>
        </w:rPr>
        <w:t xml:space="preserve"> yüzde puan olurken 2003-2013 yıllarında TFV </w:t>
      </w:r>
      <w:proofErr w:type="spellStart"/>
      <w:r w:rsidR="00AB6165">
        <w:rPr>
          <w:rFonts w:ascii="Palatino Linotype" w:hAnsi="Palatino Linotype"/>
          <w:lang w:val="tr-TR"/>
        </w:rPr>
        <w:t>sektörel</w:t>
      </w:r>
      <w:proofErr w:type="spellEnd"/>
      <w:r w:rsidR="00AB6165">
        <w:rPr>
          <w:rFonts w:ascii="Palatino Linotype" w:hAnsi="Palatino Linotype"/>
          <w:lang w:val="tr-TR"/>
        </w:rPr>
        <w:t xml:space="preserve"> büyümeye yıllık ortalama eksi </w:t>
      </w:r>
      <w:r w:rsidR="000B53AE">
        <w:rPr>
          <w:rFonts w:ascii="Palatino Linotype" w:hAnsi="Palatino Linotype"/>
          <w:lang w:val="tr-TR"/>
        </w:rPr>
        <w:t>1,2</w:t>
      </w:r>
      <w:r w:rsidR="00AB6165">
        <w:rPr>
          <w:rFonts w:ascii="Palatino Linotype" w:hAnsi="Palatino Linotype"/>
          <w:lang w:val="tr-TR"/>
        </w:rPr>
        <w:t xml:space="preserve"> yüzde puan katkıda bulunmuştur. 2014-2018 yıllarında </w:t>
      </w:r>
      <w:proofErr w:type="spellStart"/>
      <w:r w:rsidR="00AB6165">
        <w:rPr>
          <w:rFonts w:ascii="Palatino Linotype" w:hAnsi="Palatino Linotype"/>
          <w:lang w:val="tr-TR"/>
        </w:rPr>
        <w:t>TFV’nin</w:t>
      </w:r>
      <w:proofErr w:type="spellEnd"/>
      <w:r w:rsidR="00AB6165">
        <w:rPr>
          <w:rFonts w:ascii="Palatino Linotype" w:hAnsi="Palatino Linotype"/>
          <w:lang w:val="tr-TR"/>
        </w:rPr>
        <w:t xml:space="preserve"> etkisi oldukça sınırlı kalmış ve eksi 0,</w:t>
      </w:r>
      <w:r w:rsidR="000B53AE">
        <w:rPr>
          <w:rFonts w:ascii="Palatino Linotype" w:hAnsi="Palatino Linotype"/>
          <w:lang w:val="tr-TR"/>
        </w:rPr>
        <w:t>5</w:t>
      </w:r>
      <w:r w:rsidR="00AB6165">
        <w:rPr>
          <w:rFonts w:ascii="Palatino Linotype" w:hAnsi="Palatino Linotype"/>
          <w:lang w:val="tr-TR"/>
        </w:rPr>
        <w:t xml:space="preserve"> yüzde puan olmuştur.</w:t>
      </w:r>
    </w:p>
    <w:p w:rsidR="00513393" w:rsidRPr="00437514" w:rsidRDefault="00513393" w:rsidP="00BA6B8A">
      <w:pPr>
        <w:spacing w:after="240" w:line="276" w:lineRule="auto"/>
        <w:jc w:val="both"/>
        <w:rPr>
          <w:rFonts w:ascii="Palatino Linotype" w:hAnsi="Palatino Linotype"/>
          <w:b/>
          <w:bCs/>
          <w:lang w:val="tr-TR"/>
        </w:rPr>
      </w:pPr>
      <w:r w:rsidRPr="00437514">
        <w:rPr>
          <w:rFonts w:ascii="Palatino Linotype" w:hAnsi="Palatino Linotype"/>
          <w:b/>
          <w:bCs/>
          <w:lang w:val="tr-TR"/>
        </w:rPr>
        <w:t>Tablo 5: Sektörlerin Büyümelerine Katkılar (yüzde puan)</w:t>
      </w:r>
    </w:p>
    <w:p w:rsidR="00513393" w:rsidRPr="008C1939" w:rsidRDefault="00427154" w:rsidP="00513393">
      <w:pPr>
        <w:spacing w:after="0" w:line="240" w:lineRule="auto"/>
        <w:rPr>
          <w:b/>
          <w:lang w:val="tr-TR"/>
        </w:rPr>
      </w:pPr>
      <w:r w:rsidRPr="00427154">
        <w:rPr>
          <w:noProof/>
        </w:rPr>
        <w:drawing>
          <wp:inline distT="0" distB="0" distL="0" distR="0">
            <wp:extent cx="5760720" cy="3554730"/>
            <wp:effectExtent l="0" t="0" r="0" b="762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720" cy="3554730"/>
                    </a:xfrm>
                    <a:prstGeom prst="rect">
                      <a:avLst/>
                    </a:prstGeom>
                    <a:noFill/>
                    <a:ln>
                      <a:noFill/>
                    </a:ln>
                  </pic:spPr>
                </pic:pic>
              </a:graphicData>
            </a:graphic>
          </wp:inline>
        </w:drawing>
      </w:r>
    </w:p>
    <w:p w:rsidR="00513393" w:rsidRPr="00437514" w:rsidRDefault="00513393" w:rsidP="00BA6B8A">
      <w:pPr>
        <w:spacing w:after="240" w:line="276" w:lineRule="auto"/>
        <w:rPr>
          <w:rFonts w:ascii="Palatino Linotype" w:hAnsi="Palatino Linotype"/>
          <w:lang w:val="tr-TR"/>
        </w:rPr>
      </w:pPr>
      <w:r w:rsidRPr="00437514">
        <w:rPr>
          <w:rFonts w:ascii="Palatino Linotype" w:hAnsi="Palatino Linotype"/>
          <w:b/>
          <w:bCs/>
          <w:lang w:val="tr-TR"/>
        </w:rPr>
        <w:t>Kaynak:</w:t>
      </w:r>
      <w:r w:rsidRPr="00437514">
        <w:rPr>
          <w:rFonts w:ascii="Palatino Linotype" w:hAnsi="Palatino Linotype"/>
          <w:lang w:val="tr-TR"/>
        </w:rPr>
        <w:t xml:space="preserve"> </w:t>
      </w:r>
      <w:r w:rsidR="00882400">
        <w:rPr>
          <w:rFonts w:ascii="Palatino Linotype" w:hAnsi="Palatino Linotype"/>
          <w:lang w:val="tr-TR"/>
        </w:rPr>
        <w:t>B</w:t>
      </w:r>
      <w:r w:rsidR="00E042FC">
        <w:rPr>
          <w:rFonts w:ascii="Palatino Linotype" w:hAnsi="Palatino Linotype"/>
          <w:lang w:val="tr-TR"/>
        </w:rPr>
        <w:t>etam</w:t>
      </w:r>
    </w:p>
    <w:p w:rsidR="00513393" w:rsidRPr="008C1939" w:rsidRDefault="00513393" w:rsidP="00513393">
      <w:pPr>
        <w:spacing w:line="240" w:lineRule="auto"/>
        <w:rPr>
          <w:lang w:val="tr-TR"/>
        </w:rPr>
      </w:pPr>
    </w:p>
    <w:p w:rsidR="0029385B" w:rsidRPr="00275204" w:rsidRDefault="0029385B" w:rsidP="0029385B">
      <w:pPr>
        <w:spacing w:before="240" w:after="60" w:line="276" w:lineRule="auto"/>
        <w:jc w:val="both"/>
        <w:rPr>
          <w:rFonts w:ascii="Palatino Linotype" w:hAnsi="Palatino Linotype"/>
          <w:b/>
          <w:bCs/>
          <w:sz w:val="26"/>
          <w:szCs w:val="26"/>
          <w:lang w:val="tr-TR"/>
        </w:rPr>
      </w:pPr>
      <w:r w:rsidRPr="00275204">
        <w:rPr>
          <w:rFonts w:ascii="Palatino Linotype" w:hAnsi="Palatino Linotype"/>
          <w:b/>
          <w:bCs/>
          <w:sz w:val="26"/>
          <w:szCs w:val="26"/>
          <w:lang w:val="tr-TR"/>
        </w:rPr>
        <w:t>Kaynakça:</w:t>
      </w:r>
    </w:p>
    <w:p w:rsidR="00513393" w:rsidRPr="00412729" w:rsidRDefault="0029385B" w:rsidP="0029385B">
      <w:pPr>
        <w:pStyle w:val="ListeParagraf"/>
        <w:numPr>
          <w:ilvl w:val="0"/>
          <w:numId w:val="1"/>
        </w:numPr>
        <w:spacing w:after="240" w:line="276" w:lineRule="auto"/>
        <w:jc w:val="both"/>
        <w:rPr>
          <w:rFonts w:ascii="Palatino Linotype" w:hAnsi="Palatino Linotype"/>
          <w:lang w:val="tr-TR"/>
        </w:rPr>
      </w:pPr>
      <w:r w:rsidRPr="00275204">
        <w:rPr>
          <w:rFonts w:ascii="Palatino Linotype" w:hAnsi="Palatino Linotype"/>
          <w:lang w:val="tr-TR"/>
        </w:rPr>
        <w:t xml:space="preserve">Bakış, O. ve Acar, U. (2020): Türkiye Ekonomisinde Toplam Faktör Verimliliğinin Seyri: </w:t>
      </w:r>
      <w:proofErr w:type="spellStart"/>
      <w:r w:rsidRPr="00275204">
        <w:rPr>
          <w:rFonts w:ascii="Palatino Linotype" w:hAnsi="Palatino Linotype"/>
          <w:lang w:val="tr-TR"/>
        </w:rPr>
        <w:t>Sektörel</w:t>
      </w:r>
      <w:proofErr w:type="spellEnd"/>
      <w:r w:rsidRPr="00275204">
        <w:rPr>
          <w:rFonts w:ascii="Palatino Linotype" w:hAnsi="Palatino Linotype"/>
          <w:lang w:val="tr-TR"/>
        </w:rPr>
        <w:t xml:space="preserve"> Bakış, Betam Çalışma Tebliği No. 19 </w:t>
      </w:r>
      <w:r w:rsidRPr="00275204">
        <w:rPr>
          <w:rFonts w:ascii="Palatino Linotype" w:hAnsi="Palatino Linotype"/>
          <w:i/>
          <w:iCs/>
          <w:lang w:val="tr-TR"/>
        </w:rPr>
        <w:t xml:space="preserve">(yakında </w:t>
      </w:r>
      <w:proofErr w:type="spellStart"/>
      <w:r w:rsidRPr="00275204">
        <w:rPr>
          <w:rFonts w:ascii="Palatino Linotype" w:hAnsi="Palatino Linotype"/>
          <w:i/>
          <w:iCs/>
          <w:lang w:val="tr-TR"/>
        </w:rPr>
        <w:t>yayınlacak</w:t>
      </w:r>
      <w:proofErr w:type="spellEnd"/>
      <w:r w:rsidRPr="00275204">
        <w:rPr>
          <w:rFonts w:ascii="Palatino Linotype" w:hAnsi="Palatino Linotype"/>
          <w:i/>
          <w:iCs/>
          <w:lang w:val="tr-TR"/>
        </w:rPr>
        <w:t>)</w:t>
      </w:r>
    </w:p>
    <w:p w:rsidR="005D6B95" w:rsidRPr="0028701D" w:rsidRDefault="005D6B95" w:rsidP="005D6B95">
      <w:pPr>
        <w:pStyle w:val="ListeParagraf"/>
        <w:numPr>
          <w:ilvl w:val="0"/>
          <w:numId w:val="1"/>
        </w:numPr>
        <w:spacing w:after="240" w:line="276" w:lineRule="auto"/>
        <w:jc w:val="both"/>
        <w:rPr>
          <w:rFonts w:ascii="Palatino Linotype" w:hAnsi="Palatino Linotype"/>
          <w:lang w:val="en-US"/>
        </w:rPr>
      </w:pPr>
      <w:r w:rsidRPr="0028701D">
        <w:rPr>
          <w:rFonts w:ascii="Palatino Linotype" w:hAnsi="Palatino Linotype"/>
          <w:lang w:val="en-US"/>
        </w:rPr>
        <w:t xml:space="preserve">Foerster, A., </w:t>
      </w:r>
      <w:proofErr w:type="spellStart"/>
      <w:r w:rsidRPr="0028701D">
        <w:rPr>
          <w:rFonts w:ascii="Palatino Linotype" w:hAnsi="Palatino Linotype"/>
          <w:lang w:val="en-US"/>
        </w:rPr>
        <w:t>Hornstein</w:t>
      </w:r>
      <w:proofErr w:type="spellEnd"/>
      <w:r w:rsidRPr="0028701D">
        <w:rPr>
          <w:rFonts w:ascii="Palatino Linotype" w:hAnsi="Palatino Linotype"/>
          <w:lang w:val="en-US"/>
        </w:rPr>
        <w:t xml:space="preserve">, A., </w:t>
      </w:r>
      <w:proofErr w:type="spellStart"/>
      <w:r w:rsidRPr="0028701D">
        <w:rPr>
          <w:rFonts w:ascii="Palatino Linotype" w:hAnsi="Palatino Linotype"/>
          <w:lang w:val="en-US"/>
        </w:rPr>
        <w:t>Sarte</w:t>
      </w:r>
      <w:proofErr w:type="spellEnd"/>
      <w:r w:rsidRPr="0028701D">
        <w:rPr>
          <w:rFonts w:ascii="Palatino Linotype" w:hAnsi="Palatino Linotype"/>
          <w:lang w:val="en-US"/>
        </w:rPr>
        <w:t xml:space="preserve">, P.D., </w:t>
      </w:r>
      <w:proofErr w:type="spellStart"/>
      <w:r>
        <w:rPr>
          <w:rFonts w:ascii="Palatino Linotype" w:hAnsi="Palatino Linotype"/>
          <w:lang w:val="en-US"/>
        </w:rPr>
        <w:t>ve</w:t>
      </w:r>
      <w:proofErr w:type="spellEnd"/>
      <w:r w:rsidRPr="0028701D">
        <w:rPr>
          <w:rFonts w:ascii="Palatino Linotype" w:hAnsi="Palatino Linotype"/>
          <w:lang w:val="en-US"/>
        </w:rPr>
        <w:t xml:space="preserve"> Watson, M.W. (2019). Aggregate Implications of Changing Sectoral Trends (No. w25867). National Bureau of Economic Research.</w:t>
      </w:r>
    </w:p>
    <w:p w:rsidR="005D6B95" w:rsidRPr="00551409" w:rsidRDefault="005D6B95" w:rsidP="005D6B95">
      <w:pPr>
        <w:pStyle w:val="ListeParagraf"/>
        <w:numPr>
          <w:ilvl w:val="0"/>
          <w:numId w:val="1"/>
        </w:numPr>
        <w:spacing w:after="240" w:line="276" w:lineRule="auto"/>
        <w:jc w:val="both"/>
        <w:rPr>
          <w:rFonts w:ascii="Palatino Linotype" w:hAnsi="Palatino Linotype"/>
          <w:lang w:val="en-US"/>
        </w:rPr>
      </w:pPr>
      <w:proofErr w:type="spellStart"/>
      <w:r w:rsidRPr="00551409">
        <w:rPr>
          <w:rFonts w:ascii="Palatino Linotype" w:hAnsi="Palatino Linotype"/>
          <w:lang w:val="en-US"/>
        </w:rPr>
        <w:t>Hulten</w:t>
      </w:r>
      <w:proofErr w:type="spellEnd"/>
      <w:r w:rsidRPr="00551409">
        <w:rPr>
          <w:rFonts w:ascii="Palatino Linotype" w:hAnsi="Palatino Linotype"/>
          <w:lang w:val="en-US"/>
        </w:rPr>
        <w:t>, C</w:t>
      </w:r>
      <w:r>
        <w:rPr>
          <w:rFonts w:ascii="Palatino Linotype" w:hAnsi="Palatino Linotype"/>
          <w:lang w:val="en-US"/>
        </w:rPr>
        <w:t xml:space="preserve">. </w:t>
      </w:r>
      <w:r w:rsidRPr="00551409">
        <w:rPr>
          <w:rFonts w:ascii="Palatino Linotype" w:hAnsi="Palatino Linotype"/>
          <w:lang w:val="en-US"/>
        </w:rPr>
        <w:t xml:space="preserve">R., </w:t>
      </w:r>
      <w:proofErr w:type="spellStart"/>
      <w:r>
        <w:rPr>
          <w:rFonts w:ascii="Palatino Linotype" w:hAnsi="Palatino Linotype"/>
          <w:lang w:val="en-US"/>
        </w:rPr>
        <w:t>ve</w:t>
      </w:r>
      <w:proofErr w:type="spellEnd"/>
      <w:r w:rsidRPr="00551409">
        <w:rPr>
          <w:rFonts w:ascii="Palatino Linotype" w:hAnsi="Palatino Linotype"/>
          <w:lang w:val="en-US"/>
        </w:rPr>
        <w:t xml:space="preserve"> Wykoff</w:t>
      </w:r>
      <w:r>
        <w:rPr>
          <w:rFonts w:ascii="Palatino Linotype" w:hAnsi="Palatino Linotype"/>
          <w:lang w:val="en-US"/>
        </w:rPr>
        <w:t>, F.C.</w:t>
      </w:r>
      <w:r w:rsidRPr="00551409">
        <w:rPr>
          <w:rFonts w:ascii="Palatino Linotype" w:hAnsi="Palatino Linotype"/>
          <w:lang w:val="en-US"/>
        </w:rPr>
        <w:t xml:space="preserve"> (1981). The measurement of economic depreciation. In </w:t>
      </w:r>
      <w:proofErr w:type="spellStart"/>
      <w:r w:rsidRPr="00551409">
        <w:rPr>
          <w:rFonts w:ascii="Palatino Linotype" w:hAnsi="Palatino Linotype"/>
          <w:lang w:val="en-US"/>
        </w:rPr>
        <w:t>Hulten</w:t>
      </w:r>
      <w:proofErr w:type="spellEnd"/>
      <w:r w:rsidRPr="00551409">
        <w:rPr>
          <w:rFonts w:ascii="Palatino Linotype" w:hAnsi="Palatino Linotype"/>
          <w:lang w:val="en-US"/>
        </w:rPr>
        <w:t>, C</w:t>
      </w:r>
      <w:r>
        <w:rPr>
          <w:rFonts w:ascii="Palatino Linotype" w:hAnsi="Palatino Linotype"/>
          <w:lang w:val="en-US"/>
        </w:rPr>
        <w:t>.</w:t>
      </w:r>
      <w:r w:rsidRPr="00551409">
        <w:rPr>
          <w:rFonts w:ascii="Palatino Linotype" w:hAnsi="Palatino Linotype"/>
          <w:lang w:val="en-US"/>
        </w:rPr>
        <w:t xml:space="preserve"> R. (Ed.). </w:t>
      </w:r>
      <w:r w:rsidRPr="00551409">
        <w:rPr>
          <w:rFonts w:ascii="Palatino Linotype" w:hAnsi="Palatino Linotype"/>
          <w:i/>
          <w:iCs/>
          <w:lang w:val="en-US"/>
        </w:rPr>
        <w:t>Depreciation, inflation &amp; the taxation of income from capital</w:t>
      </w:r>
      <w:r w:rsidRPr="00551409">
        <w:rPr>
          <w:rFonts w:ascii="Palatino Linotype" w:hAnsi="Palatino Linotype"/>
          <w:lang w:val="en-US"/>
        </w:rPr>
        <w:t xml:space="preserve"> (pp. 81-125. Urban Institute Press.</w:t>
      </w:r>
    </w:p>
    <w:p w:rsidR="005D6B95" w:rsidRDefault="005D6B95" w:rsidP="005D6B95">
      <w:pPr>
        <w:pStyle w:val="ListeParagraf"/>
        <w:numPr>
          <w:ilvl w:val="0"/>
          <w:numId w:val="1"/>
        </w:numPr>
        <w:spacing w:after="240" w:line="276" w:lineRule="auto"/>
        <w:jc w:val="both"/>
        <w:rPr>
          <w:rFonts w:ascii="Palatino Linotype" w:hAnsi="Palatino Linotype"/>
          <w:lang w:val="en-US"/>
        </w:rPr>
      </w:pPr>
      <w:r w:rsidRPr="00551409">
        <w:rPr>
          <w:rFonts w:ascii="Palatino Linotype" w:hAnsi="Palatino Linotype"/>
          <w:lang w:val="en-US"/>
        </w:rPr>
        <w:t xml:space="preserve">Jorgenson, D. W. (1996). Empirical studies of depreciation. </w:t>
      </w:r>
      <w:r w:rsidRPr="00551409">
        <w:rPr>
          <w:rFonts w:ascii="Palatino Linotype" w:hAnsi="Palatino Linotype"/>
          <w:i/>
          <w:iCs/>
          <w:lang w:val="en-US"/>
        </w:rPr>
        <w:t>Economic inquiry</w:t>
      </w:r>
      <w:r w:rsidRPr="00551409">
        <w:rPr>
          <w:rFonts w:ascii="Palatino Linotype" w:hAnsi="Palatino Linotype"/>
          <w:lang w:val="en-US"/>
        </w:rPr>
        <w:t>, 34(1), 24-42.</w:t>
      </w:r>
    </w:p>
    <w:p w:rsidR="00412729" w:rsidRPr="005D6B95" w:rsidRDefault="005D6B95" w:rsidP="005D6B95">
      <w:pPr>
        <w:pStyle w:val="ListeParagraf"/>
        <w:numPr>
          <w:ilvl w:val="0"/>
          <w:numId w:val="1"/>
        </w:numPr>
        <w:spacing w:after="240" w:line="276" w:lineRule="auto"/>
        <w:jc w:val="both"/>
        <w:rPr>
          <w:rFonts w:ascii="Palatino Linotype" w:hAnsi="Palatino Linotype"/>
          <w:lang w:val="en-US"/>
        </w:rPr>
      </w:pPr>
      <w:proofErr w:type="spellStart"/>
      <w:r w:rsidRPr="0028701D">
        <w:rPr>
          <w:rFonts w:ascii="Palatino Linotype" w:hAnsi="Palatino Linotype"/>
          <w:lang w:val="en-US"/>
        </w:rPr>
        <w:t>Kets</w:t>
      </w:r>
      <w:proofErr w:type="spellEnd"/>
      <w:r w:rsidRPr="0028701D">
        <w:rPr>
          <w:rFonts w:ascii="Palatino Linotype" w:hAnsi="Palatino Linotype"/>
          <w:lang w:val="en-US"/>
        </w:rPr>
        <w:t xml:space="preserve">, W. </w:t>
      </w:r>
      <w:proofErr w:type="spellStart"/>
      <w:r>
        <w:rPr>
          <w:rFonts w:ascii="Palatino Linotype" w:hAnsi="Palatino Linotype"/>
          <w:lang w:val="en-US"/>
        </w:rPr>
        <w:t>ve</w:t>
      </w:r>
      <w:proofErr w:type="spellEnd"/>
      <w:r w:rsidRPr="0028701D">
        <w:rPr>
          <w:rFonts w:ascii="Palatino Linotype" w:hAnsi="Palatino Linotype"/>
          <w:lang w:val="en-US"/>
        </w:rPr>
        <w:t xml:space="preserve"> </w:t>
      </w:r>
      <w:proofErr w:type="spellStart"/>
      <w:r w:rsidRPr="0028701D">
        <w:rPr>
          <w:rFonts w:ascii="Palatino Linotype" w:hAnsi="Palatino Linotype"/>
          <w:lang w:val="en-US"/>
        </w:rPr>
        <w:t>Lejour</w:t>
      </w:r>
      <w:proofErr w:type="spellEnd"/>
      <w:r w:rsidRPr="0028701D">
        <w:rPr>
          <w:rFonts w:ascii="Palatino Linotype" w:hAnsi="Palatino Linotype"/>
          <w:lang w:val="en-US"/>
        </w:rPr>
        <w:t>, A. (2003). Sectoral TFP developments in the OECD (No. 58). CPB Netherlands Bureau for Economic Policy Analysis.</w:t>
      </w:r>
    </w:p>
    <w:sectPr w:rsidR="00412729" w:rsidRPr="005D6B9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4920" w:rsidRDefault="00214920" w:rsidP="007A29A1">
      <w:pPr>
        <w:spacing w:after="0" w:line="240" w:lineRule="auto"/>
      </w:pPr>
      <w:r>
        <w:separator/>
      </w:r>
    </w:p>
  </w:endnote>
  <w:endnote w:type="continuationSeparator" w:id="0">
    <w:p w:rsidR="00214920" w:rsidRDefault="00214920" w:rsidP="007A2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A2"/>
    <w:family w:val="roman"/>
    <w:pitch w:val="variable"/>
    <w:sig w:usb0="E0000287" w:usb1="40000013" w:usb2="00000000" w:usb3="00000000" w:csb0="000001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Math">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4920" w:rsidRDefault="00214920" w:rsidP="007A29A1">
      <w:pPr>
        <w:spacing w:after="0" w:line="240" w:lineRule="auto"/>
      </w:pPr>
      <w:r>
        <w:separator/>
      </w:r>
    </w:p>
  </w:footnote>
  <w:footnote w:type="continuationSeparator" w:id="0">
    <w:p w:rsidR="00214920" w:rsidRDefault="00214920" w:rsidP="007A29A1">
      <w:pPr>
        <w:spacing w:after="0" w:line="240" w:lineRule="auto"/>
      </w:pPr>
      <w:r>
        <w:continuationSeparator/>
      </w:r>
    </w:p>
  </w:footnote>
  <w:footnote w:id="1">
    <w:p w:rsidR="00CE6600" w:rsidRPr="00437514" w:rsidRDefault="00CE6600" w:rsidP="00437514">
      <w:pPr>
        <w:pStyle w:val="DipnotMetni"/>
        <w:jc w:val="both"/>
        <w:rPr>
          <w:rFonts w:ascii="Times New Roman" w:hAnsi="Times New Roman" w:cs="Times New Roman"/>
          <w:lang w:val="tr-TR"/>
        </w:rPr>
      </w:pPr>
      <w:r w:rsidRPr="009A57EA">
        <w:rPr>
          <w:rStyle w:val="DipnotBavurusu"/>
        </w:rPr>
        <w:sym w:font="Symbol" w:char="F023"/>
      </w:r>
      <w:r>
        <w:t xml:space="preserve"> </w:t>
      </w:r>
      <w:r w:rsidRPr="00437514">
        <w:rPr>
          <w:rFonts w:ascii="Times New Roman" w:hAnsi="Times New Roman" w:cs="Times New Roman"/>
          <w:lang w:val="tr-TR"/>
        </w:rPr>
        <w:t>Bu notun hazırlanması sırasında fikir ve önerileriyle destek olan Seyfettin Gürsel hocamıza teşekkür ediyoruz.</w:t>
      </w:r>
    </w:p>
  </w:footnote>
  <w:footnote w:id="2">
    <w:p w:rsidR="00CE6600" w:rsidRPr="00437514" w:rsidRDefault="00CE6600" w:rsidP="00437514">
      <w:pPr>
        <w:pStyle w:val="DipnotMetni"/>
        <w:jc w:val="both"/>
        <w:rPr>
          <w:rFonts w:ascii="Times New Roman" w:hAnsi="Times New Roman" w:cs="Times New Roman"/>
          <w:lang w:val="tr-TR"/>
        </w:rPr>
      </w:pPr>
      <w:r w:rsidRPr="00437514">
        <w:rPr>
          <w:rStyle w:val="DipnotBavurusu"/>
          <w:rFonts w:ascii="Times New Roman" w:hAnsi="Times New Roman" w:cs="Times New Roman"/>
        </w:rPr>
        <w:t>*</w:t>
      </w:r>
      <w:r w:rsidRPr="00437514">
        <w:rPr>
          <w:rFonts w:ascii="Times New Roman" w:hAnsi="Times New Roman" w:cs="Times New Roman"/>
        </w:rPr>
        <w:t xml:space="preserve"> </w:t>
      </w:r>
      <w:r w:rsidRPr="00437514">
        <w:rPr>
          <w:rFonts w:ascii="Times New Roman" w:hAnsi="Times New Roman" w:cs="Times New Roman"/>
          <w:lang w:val="tr-TR"/>
        </w:rPr>
        <w:t xml:space="preserve">Ozan Bakış, </w:t>
      </w:r>
      <w:r w:rsidR="00882400">
        <w:rPr>
          <w:rFonts w:ascii="Times New Roman" w:hAnsi="Times New Roman" w:cs="Times New Roman"/>
          <w:lang w:val="tr-TR"/>
        </w:rPr>
        <w:t>Betam</w:t>
      </w:r>
      <w:r w:rsidRPr="00437514">
        <w:rPr>
          <w:rFonts w:ascii="Times New Roman" w:hAnsi="Times New Roman" w:cs="Times New Roman"/>
          <w:lang w:val="tr-TR"/>
        </w:rPr>
        <w:t xml:space="preserve">, Kıdemli Araştırmacı, </w:t>
      </w:r>
      <w:hyperlink r:id="rId1" w:history="1">
        <w:r w:rsidRPr="00437514">
          <w:rPr>
            <w:rStyle w:val="Kpr"/>
            <w:rFonts w:ascii="Times New Roman" w:hAnsi="Times New Roman" w:cs="Times New Roman"/>
            <w:lang w:val="tr-TR"/>
          </w:rPr>
          <w:t>ozan.bakis@eas.bau.edu.tr</w:t>
        </w:r>
      </w:hyperlink>
      <w:r w:rsidRPr="00437514">
        <w:rPr>
          <w:rFonts w:ascii="Times New Roman" w:hAnsi="Times New Roman" w:cs="Times New Roman"/>
          <w:lang w:val="tr-TR"/>
        </w:rPr>
        <w:t xml:space="preserve"> </w:t>
      </w:r>
    </w:p>
  </w:footnote>
  <w:footnote w:id="3">
    <w:p w:rsidR="00CE6600" w:rsidRPr="00437514" w:rsidRDefault="00CE6600" w:rsidP="00437514">
      <w:pPr>
        <w:pStyle w:val="DipnotMetni"/>
        <w:jc w:val="both"/>
        <w:rPr>
          <w:rFonts w:ascii="Times New Roman" w:hAnsi="Times New Roman" w:cs="Times New Roman"/>
          <w:lang w:val="tr-TR"/>
        </w:rPr>
      </w:pPr>
      <w:r w:rsidRPr="00437514">
        <w:rPr>
          <w:rStyle w:val="DipnotBavurusu"/>
          <w:rFonts w:ascii="Times New Roman" w:hAnsi="Times New Roman" w:cs="Times New Roman"/>
          <w:lang w:val="tr-TR"/>
        </w:rPr>
        <w:t>**</w:t>
      </w:r>
      <w:r w:rsidRPr="00437514">
        <w:rPr>
          <w:rFonts w:ascii="Times New Roman" w:hAnsi="Times New Roman" w:cs="Times New Roman"/>
          <w:lang w:val="tr-TR"/>
        </w:rPr>
        <w:t xml:space="preserve"> Uğurcan Acar, </w:t>
      </w:r>
      <w:r w:rsidR="00882400">
        <w:rPr>
          <w:rFonts w:ascii="Times New Roman" w:hAnsi="Times New Roman" w:cs="Times New Roman"/>
          <w:lang w:val="tr-TR"/>
        </w:rPr>
        <w:t>Betam</w:t>
      </w:r>
      <w:r w:rsidRPr="00437514">
        <w:rPr>
          <w:rFonts w:ascii="Times New Roman" w:hAnsi="Times New Roman" w:cs="Times New Roman"/>
          <w:lang w:val="tr-TR"/>
        </w:rPr>
        <w:t xml:space="preserve">, Araştırma görevlisi, </w:t>
      </w:r>
      <w:hyperlink r:id="rId2" w:history="1">
        <w:r w:rsidRPr="00437514">
          <w:rPr>
            <w:rStyle w:val="Kpr"/>
            <w:rFonts w:ascii="Times New Roman" w:hAnsi="Times New Roman" w:cs="Times New Roman"/>
            <w:lang w:val="tr-TR"/>
          </w:rPr>
          <w:t>ugurcan.acars@eas.bau.edu.tr</w:t>
        </w:r>
      </w:hyperlink>
    </w:p>
  </w:footnote>
  <w:footnote w:id="4">
    <w:p w:rsidR="00CE6600" w:rsidRPr="00437514" w:rsidRDefault="00CE6600" w:rsidP="00437514">
      <w:pPr>
        <w:pStyle w:val="DipnotMetni"/>
        <w:jc w:val="both"/>
        <w:rPr>
          <w:rFonts w:ascii="Times New Roman" w:hAnsi="Times New Roman" w:cs="Times New Roman"/>
          <w:lang w:val="tr-TR"/>
        </w:rPr>
      </w:pPr>
      <w:r w:rsidRPr="00437514">
        <w:rPr>
          <w:rStyle w:val="DipnotBavurusu"/>
          <w:rFonts w:ascii="Times New Roman" w:hAnsi="Times New Roman" w:cs="Times New Roman"/>
          <w:lang w:val="tr-TR"/>
        </w:rPr>
        <w:t>**</w:t>
      </w:r>
      <w:r w:rsidRPr="00437514">
        <w:rPr>
          <w:rFonts w:ascii="Times New Roman" w:hAnsi="Times New Roman" w:cs="Times New Roman"/>
          <w:lang w:val="tr-TR"/>
        </w:rPr>
        <w:t xml:space="preserve"> Gökhan Dilek, </w:t>
      </w:r>
      <w:r w:rsidR="00882400">
        <w:rPr>
          <w:rFonts w:ascii="Times New Roman" w:hAnsi="Times New Roman" w:cs="Times New Roman"/>
          <w:lang w:val="tr-TR"/>
        </w:rPr>
        <w:t>Betam</w:t>
      </w:r>
      <w:r w:rsidRPr="00437514">
        <w:rPr>
          <w:rFonts w:ascii="Times New Roman" w:hAnsi="Times New Roman" w:cs="Times New Roman"/>
          <w:lang w:val="tr-TR"/>
        </w:rPr>
        <w:t xml:space="preserve">, Araştırma görevlisi, </w:t>
      </w:r>
      <w:hyperlink r:id="rId3" w:history="1">
        <w:r w:rsidRPr="00437514">
          <w:rPr>
            <w:rStyle w:val="Kpr"/>
            <w:rFonts w:ascii="Times New Roman" w:hAnsi="Times New Roman" w:cs="Times New Roman"/>
            <w:lang w:val="tr-TR"/>
          </w:rPr>
          <w:t>gokhan.dilek@eas.bau.edu.tr</w:t>
        </w:r>
      </w:hyperlink>
    </w:p>
  </w:footnote>
  <w:footnote w:id="5">
    <w:p w:rsidR="001C1700" w:rsidRPr="001C1700" w:rsidRDefault="001C1700">
      <w:pPr>
        <w:pStyle w:val="DipnotMetni"/>
        <w:rPr>
          <w:lang w:val="tr-TR"/>
        </w:rPr>
      </w:pPr>
      <w:r>
        <w:rPr>
          <w:rStyle w:val="DipnotBavurusu"/>
        </w:rPr>
        <w:footnoteRef/>
      </w:r>
      <w:r>
        <w:t xml:space="preserve"> </w:t>
      </w:r>
      <w:r w:rsidRPr="00437514">
        <w:rPr>
          <w:rFonts w:ascii="Times New Roman" w:hAnsi="Times New Roman" w:cs="Times New Roman"/>
          <w:lang w:val="tr-TR"/>
        </w:rPr>
        <w:t xml:space="preserve">Bu dönemler: 1980-1989, 1990-2002, 2003-2013 ve 2014-2018’dir. </w:t>
      </w:r>
      <w:proofErr w:type="spellStart"/>
      <w:r w:rsidRPr="00437514">
        <w:rPr>
          <w:rFonts w:ascii="Times New Roman" w:hAnsi="Times New Roman" w:cs="Times New Roman"/>
          <w:lang w:val="tr-TR"/>
        </w:rPr>
        <w:t>Dönemlendirmeye</w:t>
      </w:r>
      <w:proofErr w:type="spellEnd"/>
      <w:r w:rsidRPr="00437514">
        <w:rPr>
          <w:rFonts w:ascii="Times New Roman" w:hAnsi="Times New Roman" w:cs="Times New Roman"/>
          <w:lang w:val="tr-TR"/>
        </w:rPr>
        <w:t xml:space="preserve"> dair ayrıntı</w:t>
      </w:r>
      <w:r w:rsidR="0079221F">
        <w:rPr>
          <w:rFonts w:ascii="Times New Roman" w:hAnsi="Times New Roman" w:cs="Times New Roman"/>
          <w:lang w:val="tr-TR"/>
        </w:rPr>
        <w:t xml:space="preserve">lılar </w:t>
      </w:r>
      <w:r w:rsidR="0079221F" w:rsidRPr="00FD76E8">
        <w:rPr>
          <w:rFonts w:ascii="Times New Roman" w:hAnsi="Times New Roman" w:cs="Times New Roman"/>
          <w:lang w:val="tr-TR"/>
        </w:rPr>
        <w:t>yakında yayınlanacak olan Betam TFV çalışma tebliği</w:t>
      </w:r>
      <w:r w:rsidR="0079221F">
        <w:rPr>
          <w:rFonts w:ascii="Times New Roman" w:hAnsi="Times New Roman" w:cs="Times New Roman"/>
          <w:lang w:val="tr-TR"/>
        </w:rPr>
        <w:t>nde yer almaktadır (Bakış ve Acar, 2020)</w:t>
      </w:r>
      <w:r w:rsidRPr="00437514">
        <w:rPr>
          <w:rFonts w:ascii="Times New Roman" w:hAnsi="Times New Roman" w:cs="Times New Roman"/>
          <w:lang w:val="tr-TR"/>
        </w:rPr>
        <w:t>.</w:t>
      </w:r>
    </w:p>
  </w:footnote>
  <w:footnote w:id="6">
    <w:p w:rsidR="001C1700" w:rsidRPr="001C1700" w:rsidRDefault="001C1700">
      <w:pPr>
        <w:pStyle w:val="DipnotMetni"/>
        <w:rPr>
          <w:lang w:val="tr-TR"/>
        </w:rPr>
      </w:pPr>
      <w:r>
        <w:rPr>
          <w:rStyle w:val="DipnotBavurusu"/>
        </w:rPr>
        <w:footnoteRef/>
      </w:r>
      <w:r>
        <w:t xml:space="preserve"> </w:t>
      </w:r>
      <w:proofErr w:type="spellStart"/>
      <w:r w:rsidRPr="00437514">
        <w:rPr>
          <w:rFonts w:ascii="Times New Roman" w:hAnsi="Times New Roman" w:cs="Times New Roman"/>
          <w:lang w:val="tr-TR"/>
        </w:rPr>
        <w:t>Sektörel</w:t>
      </w:r>
      <w:proofErr w:type="spellEnd"/>
      <w:r w:rsidRPr="00437514">
        <w:rPr>
          <w:rFonts w:ascii="Times New Roman" w:hAnsi="Times New Roman" w:cs="Times New Roman"/>
          <w:lang w:val="tr-TR"/>
        </w:rPr>
        <w:t xml:space="preserve"> istihdam verilerinin oluşturulmasına dair detaylar için bkz</w:t>
      </w:r>
      <w:r w:rsidR="0079221F">
        <w:rPr>
          <w:rFonts w:ascii="Times New Roman" w:hAnsi="Times New Roman" w:cs="Times New Roman"/>
          <w:lang w:val="tr-TR"/>
        </w:rPr>
        <w:t>. Bakış ve Acar</w:t>
      </w:r>
      <w:r w:rsidR="00F628E8">
        <w:rPr>
          <w:rFonts w:ascii="Times New Roman" w:hAnsi="Times New Roman" w:cs="Times New Roman"/>
          <w:lang w:val="tr-TR"/>
        </w:rPr>
        <w:t xml:space="preserve"> (</w:t>
      </w:r>
      <w:r w:rsidR="0079221F">
        <w:rPr>
          <w:rFonts w:ascii="Times New Roman" w:hAnsi="Times New Roman" w:cs="Times New Roman"/>
          <w:lang w:val="tr-TR"/>
        </w:rPr>
        <w:t>2020).</w:t>
      </w:r>
    </w:p>
  </w:footnote>
  <w:footnote w:id="7">
    <w:p w:rsidR="00AC313C" w:rsidRPr="00437514" w:rsidRDefault="00AC313C" w:rsidP="00437514">
      <w:pPr>
        <w:pStyle w:val="DipnotMetni"/>
        <w:jc w:val="both"/>
        <w:rPr>
          <w:rFonts w:ascii="Times New Roman" w:hAnsi="Times New Roman" w:cs="Times New Roman"/>
          <w:lang w:val="tr-TR"/>
        </w:rPr>
      </w:pPr>
      <w:r w:rsidRPr="00437514">
        <w:rPr>
          <w:rStyle w:val="DipnotBavurusu"/>
          <w:rFonts w:ascii="Times New Roman" w:hAnsi="Times New Roman" w:cs="Times New Roman"/>
          <w:lang w:val="tr-TR"/>
        </w:rPr>
        <w:footnoteRef/>
      </w:r>
      <w:r w:rsidRPr="00437514">
        <w:rPr>
          <w:rFonts w:ascii="Times New Roman" w:hAnsi="Times New Roman" w:cs="Times New Roman"/>
          <w:lang w:val="tr-TR"/>
        </w:rPr>
        <w:t xml:space="preserve"> Ayrıntılar için bkz</w:t>
      </w:r>
      <w:r w:rsidR="00F90E0A">
        <w:rPr>
          <w:rFonts w:ascii="Times New Roman" w:hAnsi="Times New Roman" w:cs="Times New Roman"/>
          <w:lang w:val="tr-TR"/>
        </w:rPr>
        <w:t xml:space="preserve">. (Bakış ve </w:t>
      </w:r>
      <w:proofErr w:type="gramStart"/>
      <w:r w:rsidR="00F90E0A">
        <w:rPr>
          <w:rFonts w:ascii="Times New Roman" w:hAnsi="Times New Roman" w:cs="Times New Roman"/>
          <w:lang w:val="tr-TR"/>
        </w:rPr>
        <w:t>Acar,  2020</w:t>
      </w:r>
      <w:proofErr w:type="gramEnd"/>
      <w:r w:rsidR="00F90E0A">
        <w:rPr>
          <w:rFonts w:ascii="Times New Roman" w:hAnsi="Times New Roman" w:cs="Times New Roman"/>
          <w:lang w:val="tr-TR"/>
        </w:rPr>
        <w:t>)</w:t>
      </w:r>
      <w:r w:rsidRPr="00437514">
        <w:rPr>
          <w:rFonts w:ascii="Times New Roman" w:hAnsi="Times New Roman" w:cs="Times New Roman"/>
          <w:lang w:val="tr-TR"/>
        </w:rPr>
        <w:t>.</w:t>
      </w:r>
    </w:p>
  </w:footnote>
  <w:footnote w:id="8">
    <w:p w:rsidR="00DA13F6" w:rsidRPr="00437514" w:rsidRDefault="00DA13F6" w:rsidP="00437514">
      <w:pPr>
        <w:pStyle w:val="DipnotMetni"/>
        <w:jc w:val="both"/>
        <w:rPr>
          <w:rFonts w:ascii="Times New Roman" w:hAnsi="Times New Roman" w:cs="Times New Roman"/>
        </w:rPr>
      </w:pPr>
      <w:r w:rsidRPr="00437514">
        <w:rPr>
          <w:rStyle w:val="DipnotBavurusu"/>
          <w:rFonts w:ascii="Times New Roman" w:hAnsi="Times New Roman" w:cs="Times New Roman"/>
        </w:rPr>
        <w:footnoteRef/>
      </w:r>
      <w:r w:rsidRPr="00437514">
        <w:rPr>
          <w:rFonts w:ascii="Times New Roman" w:hAnsi="Times New Roman" w:cs="Times New Roman"/>
        </w:rPr>
        <w:t xml:space="preserve"> </w:t>
      </w:r>
      <w:r w:rsidRPr="00437514">
        <w:rPr>
          <w:rFonts w:ascii="Times New Roman" w:hAnsi="Times New Roman" w:cs="Times New Roman"/>
          <w:lang w:val="tr-TR"/>
        </w:rPr>
        <w:t xml:space="preserve">Bu serilerin her sektör için nasıl elde edildiğine dair </w:t>
      </w:r>
      <w:r w:rsidR="00806F49">
        <w:rPr>
          <w:rFonts w:ascii="Times New Roman" w:hAnsi="Times New Roman" w:cs="Times New Roman"/>
          <w:lang w:val="tr-TR"/>
        </w:rPr>
        <w:t xml:space="preserve">ayrıntılı açıklamaya </w:t>
      </w:r>
      <w:r w:rsidR="00FD76E8" w:rsidRPr="00FD76E8">
        <w:rPr>
          <w:rFonts w:ascii="Times New Roman" w:hAnsi="Times New Roman" w:cs="Times New Roman"/>
          <w:lang w:val="tr-TR"/>
        </w:rPr>
        <w:t>yakında yayınlanacak olan Betam TFV çalışma tebliği</w:t>
      </w:r>
      <w:r w:rsidR="00806F49">
        <w:rPr>
          <w:rFonts w:ascii="Times New Roman" w:hAnsi="Times New Roman" w:cs="Times New Roman"/>
          <w:lang w:val="tr-TR"/>
        </w:rPr>
        <w:t xml:space="preserve">nde yer verilmektedir (Bakış ve </w:t>
      </w:r>
      <w:proofErr w:type="gramStart"/>
      <w:r w:rsidR="00806F49">
        <w:rPr>
          <w:rFonts w:ascii="Times New Roman" w:hAnsi="Times New Roman" w:cs="Times New Roman"/>
          <w:lang w:val="tr-TR"/>
        </w:rPr>
        <w:t>Acar,  2020</w:t>
      </w:r>
      <w:proofErr w:type="gramEnd"/>
      <w:r w:rsidR="00806F49">
        <w:rPr>
          <w:rFonts w:ascii="Times New Roman" w:hAnsi="Times New Roman" w:cs="Times New Roman"/>
          <w:lang w:val="tr-TR"/>
        </w:rPr>
        <w:t>)</w:t>
      </w:r>
      <w:r w:rsidRPr="00437514">
        <w:rPr>
          <w:rFonts w:ascii="Times New Roman" w:hAnsi="Times New Roman" w:cs="Times New Roman"/>
          <w:lang w:val="tr-TR"/>
        </w:rPr>
        <w:t>.</w:t>
      </w:r>
    </w:p>
  </w:footnote>
  <w:footnote w:id="9">
    <w:p w:rsidR="00412729" w:rsidRPr="00412729" w:rsidRDefault="00412729">
      <w:pPr>
        <w:pStyle w:val="DipnotMetni"/>
        <w:rPr>
          <w:lang w:val="tr-TR"/>
        </w:rPr>
      </w:pPr>
      <w:r>
        <w:rPr>
          <w:rStyle w:val="DipnotBavurusu"/>
        </w:rPr>
        <w:footnoteRef/>
      </w:r>
      <w:r>
        <w:t xml:space="preserve"> </w:t>
      </w:r>
      <w:r w:rsidRPr="00437514">
        <w:rPr>
          <w:rFonts w:ascii="Times New Roman" w:hAnsi="Times New Roman" w:cs="Times New Roman"/>
          <w:lang w:val="tr-TR"/>
        </w:rPr>
        <w:t>Detaylı tartışma için bkz</w:t>
      </w:r>
      <w:r>
        <w:rPr>
          <w:rFonts w:ascii="Times New Roman" w:hAnsi="Times New Roman" w:cs="Times New Roman"/>
          <w:lang w:val="tr-TR"/>
        </w:rPr>
        <w:t>. Bakış ve Acar (2020)</w:t>
      </w:r>
      <w:r w:rsidRPr="00437514">
        <w:rPr>
          <w:rFonts w:ascii="Times New Roman" w:hAnsi="Times New Roman" w:cs="Times New Roman"/>
          <w:lang w:val="tr-TR"/>
        </w:rPr>
        <w:t>.</w:t>
      </w:r>
    </w:p>
  </w:footnote>
  <w:footnote w:id="10">
    <w:p w:rsidR="00B80A85" w:rsidRPr="00B80A85" w:rsidRDefault="00B80A85">
      <w:pPr>
        <w:pStyle w:val="DipnotMetni"/>
        <w:rPr>
          <w:lang w:val="tr-TR"/>
        </w:rPr>
      </w:pPr>
      <w:r>
        <w:rPr>
          <w:rStyle w:val="DipnotBavurusu"/>
        </w:rPr>
        <w:footnoteRef/>
      </w:r>
      <w:r>
        <w:t xml:space="preserve"> </w:t>
      </w:r>
      <w:r w:rsidR="0003084E" w:rsidRPr="00437514">
        <w:rPr>
          <w:rFonts w:ascii="Times New Roman" w:hAnsi="Times New Roman" w:cs="Times New Roman"/>
          <w:lang w:val="tr-TR"/>
        </w:rPr>
        <w:t>Detaylı tartışma için bkz</w:t>
      </w:r>
      <w:r w:rsidR="0003084E">
        <w:rPr>
          <w:rFonts w:ascii="Times New Roman" w:hAnsi="Times New Roman" w:cs="Times New Roman"/>
          <w:lang w:val="tr-TR"/>
        </w:rPr>
        <w:t>. Bakış ve Acar (2020)</w:t>
      </w:r>
      <w:r w:rsidR="0003084E" w:rsidRPr="00437514">
        <w:rPr>
          <w:rFonts w:ascii="Times New Roman" w:hAnsi="Times New Roman" w:cs="Times New Roman"/>
          <w:lang w:val="tr-T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714EE1"/>
    <w:multiLevelType w:val="hybridMultilevel"/>
    <w:tmpl w:val="BD18E8E4"/>
    <w:lvl w:ilvl="0" w:tplc="9DF42084">
      <w:start w:val="2014"/>
      <w:numFmt w:val="bullet"/>
      <w:lvlText w:val="-"/>
      <w:lvlJc w:val="left"/>
      <w:pPr>
        <w:ind w:left="720" w:hanging="360"/>
      </w:pPr>
      <w:rPr>
        <w:rFonts w:ascii="Palatino Linotype" w:eastAsiaTheme="minorHAnsi" w:hAnsi="Palatino Linotype"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E4B1339"/>
    <w:multiLevelType w:val="hybridMultilevel"/>
    <w:tmpl w:val="859AC512"/>
    <w:lvl w:ilvl="0" w:tplc="7F86A140">
      <w:numFmt w:val="bullet"/>
      <w:lvlText w:val="-"/>
      <w:lvlJc w:val="left"/>
      <w:pPr>
        <w:ind w:left="1080" w:hanging="360"/>
      </w:pPr>
      <w:rPr>
        <w:rFonts w:ascii="Palatino Linotype" w:eastAsiaTheme="minorHAnsi" w:hAnsi="Palatino Linotype"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733"/>
    <w:rsid w:val="0003084E"/>
    <w:rsid w:val="00074699"/>
    <w:rsid w:val="000B53AE"/>
    <w:rsid w:val="000F2AAA"/>
    <w:rsid w:val="0014146D"/>
    <w:rsid w:val="00175E31"/>
    <w:rsid w:val="001C1700"/>
    <w:rsid w:val="00214920"/>
    <w:rsid w:val="00244CEE"/>
    <w:rsid w:val="0025169D"/>
    <w:rsid w:val="0029385B"/>
    <w:rsid w:val="002E528A"/>
    <w:rsid w:val="002E536E"/>
    <w:rsid w:val="00302E28"/>
    <w:rsid w:val="00313318"/>
    <w:rsid w:val="00334446"/>
    <w:rsid w:val="00353AF4"/>
    <w:rsid w:val="00381F2C"/>
    <w:rsid w:val="003A602E"/>
    <w:rsid w:val="003D77C7"/>
    <w:rsid w:val="003F0ECE"/>
    <w:rsid w:val="00412729"/>
    <w:rsid w:val="00427154"/>
    <w:rsid w:val="00430596"/>
    <w:rsid w:val="00437514"/>
    <w:rsid w:val="004405FB"/>
    <w:rsid w:val="00467527"/>
    <w:rsid w:val="004938BB"/>
    <w:rsid w:val="00497D2D"/>
    <w:rsid w:val="004C336D"/>
    <w:rsid w:val="004C3B8C"/>
    <w:rsid w:val="004F2856"/>
    <w:rsid w:val="00513393"/>
    <w:rsid w:val="00566327"/>
    <w:rsid w:val="005D6B95"/>
    <w:rsid w:val="005F2F5B"/>
    <w:rsid w:val="00635D67"/>
    <w:rsid w:val="006C74BB"/>
    <w:rsid w:val="006E3DBF"/>
    <w:rsid w:val="006F21D7"/>
    <w:rsid w:val="006F2676"/>
    <w:rsid w:val="00711D02"/>
    <w:rsid w:val="00727371"/>
    <w:rsid w:val="00772D60"/>
    <w:rsid w:val="0079221F"/>
    <w:rsid w:val="007A29A1"/>
    <w:rsid w:val="007C10F8"/>
    <w:rsid w:val="007E7AD1"/>
    <w:rsid w:val="00806F49"/>
    <w:rsid w:val="0081135C"/>
    <w:rsid w:val="00882400"/>
    <w:rsid w:val="008961AD"/>
    <w:rsid w:val="008B22BA"/>
    <w:rsid w:val="008C0202"/>
    <w:rsid w:val="008C1939"/>
    <w:rsid w:val="008D7D28"/>
    <w:rsid w:val="008E4FD9"/>
    <w:rsid w:val="008F31BE"/>
    <w:rsid w:val="009654A1"/>
    <w:rsid w:val="00986E15"/>
    <w:rsid w:val="009A27C2"/>
    <w:rsid w:val="009C532B"/>
    <w:rsid w:val="00A17AAA"/>
    <w:rsid w:val="00A620CB"/>
    <w:rsid w:val="00A830B6"/>
    <w:rsid w:val="00A86155"/>
    <w:rsid w:val="00AA714D"/>
    <w:rsid w:val="00AB6165"/>
    <w:rsid w:val="00AC313C"/>
    <w:rsid w:val="00AC31F3"/>
    <w:rsid w:val="00AC7923"/>
    <w:rsid w:val="00AD4A29"/>
    <w:rsid w:val="00AE3822"/>
    <w:rsid w:val="00B01577"/>
    <w:rsid w:val="00B11995"/>
    <w:rsid w:val="00B6707A"/>
    <w:rsid w:val="00B80A85"/>
    <w:rsid w:val="00BA5426"/>
    <w:rsid w:val="00BA6B8A"/>
    <w:rsid w:val="00BC211A"/>
    <w:rsid w:val="00C27A6C"/>
    <w:rsid w:val="00C42551"/>
    <w:rsid w:val="00C5191D"/>
    <w:rsid w:val="00C665DB"/>
    <w:rsid w:val="00CB0EAD"/>
    <w:rsid w:val="00CE0197"/>
    <w:rsid w:val="00CE6600"/>
    <w:rsid w:val="00D25B1A"/>
    <w:rsid w:val="00D3145A"/>
    <w:rsid w:val="00D706FF"/>
    <w:rsid w:val="00D74571"/>
    <w:rsid w:val="00DA0CD4"/>
    <w:rsid w:val="00DA13F6"/>
    <w:rsid w:val="00DB1733"/>
    <w:rsid w:val="00DE6847"/>
    <w:rsid w:val="00DF590F"/>
    <w:rsid w:val="00DF5BCE"/>
    <w:rsid w:val="00E042FC"/>
    <w:rsid w:val="00E0502E"/>
    <w:rsid w:val="00E134DD"/>
    <w:rsid w:val="00E406AF"/>
    <w:rsid w:val="00E91250"/>
    <w:rsid w:val="00EA6565"/>
    <w:rsid w:val="00EC2C3C"/>
    <w:rsid w:val="00F410A0"/>
    <w:rsid w:val="00F45467"/>
    <w:rsid w:val="00F5153F"/>
    <w:rsid w:val="00F52E53"/>
    <w:rsid w:val="00F628E8"/>
    <w:rsid w:val="00F90E0A"/>
    <w:rsid w:val="00FD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1E3D"/>
  <w15:chartTrackingRefBased/>
  <w15:docId w15:val="{6FB98C4C-A845-4655-B706-819E5D6A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CE6600"/>
    <w:pPr>
      <w:keepNext/>
      <w:keepLines/>
      <w:suppressAutoHyphens/>
      <w:spacing w:before="240" w:after="0" w:line="276" w:lineRule="auto"/>
      <w:jc w:val="both"/>
      <w:outlineLvl w:val="0"/>
    </w:pPr>
    <w:rPr>
      <w:rFonts w:asciiTheme="majorHAnsi" w:eastAsiaTheme="majorEastAsia" w:hAnsiTheme="majorHAnsi" w:cstheme="majorBidi"/>
      <w:color w:val="2E74B5" w:themeColor="accent1" w:themeShade="BF"/>
      <w:sz w:val="32"/>
      <w:szCs w:val="32"/>
      <w:lang w:val="tr-TR" w:eastAsia="ar-SA"/>
    </w:rPr>
  </w:style>
  <w:style w:type="paragraph" w:styleId="Balk2">
    <w:name w:val="heading 2"/>
    <w:basedOn w:val="Normal"/>
    <w:next w:val="Normal"/>
    <w:link w:val="Balk2Char"/>
    <w:uiPriority w:val="99"/>
    <w:qFormat/>
    <w:rsid w:val="00CE6600"/>
    <w:pPr>
      <w:keepNext/>
      <w:suppressAutoHyphens/>
      <w:spacing w:before="240" w:after="60" w:line="276" w:lineRule="auto"/>
      <w:jc w:val="both"/>
      <w:outlineLvl w:val="1"/>
    </w:pPr>
    <w:rPr>
      <w:rFonts w:ascii="Palatino Linotype" w:eastAsia="Times New Roman" w:hAnsi="Palatino Linotype" w:cs="Arial"/>
      <w:b/>
      <w:bCs/>
      <w:iCs/>
      <w:sz w:val="26"/>
      <w:szCs w:val="28"/>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A29A1"/>
    <w:pPr>
      <w:spacing w:after="0" w:line="240" w:lineRule="auto"/>
    </w:pPr>
    <w:rPr>
      <w:sz w:val="20"/>
      <w:szCs w:val="20"/>
    </w:rPr>
  </w:style>
  <w:style w:type="character" w:customStyle="1" w:styleId="DipnotMetniChar">
    <w:name w:val="Dipnot Metni Char"/>
    <w:basedOn w:val="VarsaylanParagrafYazTipi"/>
    <w:link w:val="DipnotMetni"/>
    <w:uiPriority w:val="99"/>
    <w:rsid w:val="007A29A1"/>
    <w:rPr>
      <w:sz w:val="20"/>
      <w:szCs w:val="20"/>
    </w:rPr>
  </w:style>
  <w:style w:type="character" w:styleId="DipnotBavurusu">
    <w:name w:val="footnote reference"/>
    <w:basedOn w:val="VarsaylanParagrafYazTipi"/>
    <w:uiPriority w:val="99"/>
    <w:semiHidden/>
    <w:unhideWhenUsed/>
    <w:rsid w:val="007A29A1"/>
    <w:rPr>
      <w:vertAlign w:val="superscript"/>
    </w:rPr>
  </w:style>
  <w:style w:type="character" w:styleId="YerTutucuMetni">
    <w:name w:val="Placeholder Text"/>
    <w:basedOn w:val="VarsaylanParagrafYazTipi"/>
    <w:uiPriority w:val="99"/>
    <w:semiHidden/>
    <w:rsid w:val="00B6707A"/>
    <w:rPr>
      <w:color w:val="808080"/>
    </w:rPr>
  </w:style>
  <w:style w:type="character" w:customStyle="1" w:styleId="Balk1Char">
    <w:name w:val="Başlık 1 Char"/>
    <w:basedOn w:val="VarsaylanParagrafYazTipi"/>
    <w:link w:val="Balk1"/>
    <w:uiPriority w:val="9"/>
    <w:rsid w:val="00CE6600"/>
    <w:rPr>
      <w:rFonts w:asciiTheme="majorHAnsi" w:eastAsiaTheme="majorEastAsia" w:hAnsiTheme="majorHAnsi" w:cstheme="majorBidi"/>
      <w:color w:val="2E74B5" w:themeColor="accent1" w:themeShade="BF"/>
      <w:sz w:val="32"/>
      <w:szCs w:val="32"/>
      <w:lang w:val="tr-TR" w:eastAsia="ar-SA"/>
    </w:rPr>
  </w:style>
  <w:style w:type="character" w:customStyle="1" w:styleId="Balk2Char">
    <w:name w:val="Başlık 2 Char"/>
    <w:basedOn w:val="VarsaylanParagrafYazTipi"/>
    <w:link w:val="Balk2"/>
    <w:uiPriority w:val="99"/>
    <w:rsid w:val="00CE6600"/>
    <w:rPr>
      <w:rFonts w:ascii="Palatino Linotype" w:eastAsia="Times New Roman" w:hAnsi="Palatino Linotype" w:cs="Arial"/>
      <w:b/>
      <w:bCs/>
      <w:iCs/>
      <w:sz w:val="26"/>
      <w:szCs w:val="28"/>
      <w:lang w:eastAsia="ar-SA"/>
    </w:rPr>
  </w:style>
  <w:style w:type="character" w:styleId="Kpr">
    <w:name w:val="Hyperlink"/>
    <w:basedOn w:val="VarsaylanParagrafYazTipi"/>
    <w:uiPriority w:val="99"/>
    <w:unhideWhenUsed/>
    <w:rsid w:val="00CE6600"/>
    <w:rPr>
      <w:color w:val="0000FF"/>
      <w:u w:val="single"/>
    </w:rPr>
  </w:style>
  <w:style w:type="paragraph" w:styleId="BalonMetni">
    <w:name w:val="Balloon Text"/>
    <w:basedOn w:val="Normal"/>
    <w:link w:val="BalonMetniChar"/>
    <w:uiPriority w:val="99"/>
    <w:semiHidden/>
    <w:unhideWhenUsed/>
    <w:rsid w:val="00F4546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45467"/>
    <w:rPr>
      <w:rFonts w:ascii="Segoe UI" w:hAnsi="Segoe UI" w:cs="Segoe UI"/>
      <w:sz w:val="18"/>
      <w:szCs w:val="18"/>
    </w:rPr>
  </w:style>
  <w:style w:type="paragraph" w:styleId="ListeParagraf">
    <w:name w:val="List Paragraph"/>
    <w:basedOn w:val="Normal"/>
    <w:uiPriority w:val="34"/>
    <w:qFormat/>
    <w:rsid w:val="0029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61271">
      <w:bodyDiv w:val="1"/>
      <w:marLeft w:val="0"/>
      <w:marRight w:val="0"/>
      <w:marTop w:val="0"/>
      <w:marBottom w:val="0"/>
      <w:divBdr>
        <w:top w:val="none" w:sz="0" w:space="0" w:color="auto"/>
        <w:left w:val="none" w:sz="0" w:space="0" w:color="auto"/>
        <w:bottom w:val="none" w:sz="0" w:space="0" w:color="auto"/>
        <w:right w:val="none" w:sz="0" w:space="0" w:color="auto"/>
      </w:divBdr>
    </w:div>
    <w:div w:id="475295200">
      <w:bodyDiv w:val="1"/>
      <w:marLeft w:val="0"/>
      <w:marRight w:val="0"/>
      <w:marTop w:val="0"/>
      <w:marBottom w:val="0"/>
      <w:divBdr>
        <w:top w:val="none" w:sz="0" w:space="0" w:color="auto"/>
        <w:left w:val="none" w:sz="0" w:space="0" w:color="auto"/>
        <w:bottom w:val="none" w:sz="0" w:space="0" w:color="auto"/>
        <w:right w:val="none" w:sz="0" w:space="0" w:color="auto"/>
      </w:divBdr>
    </w:div>
    <w:div w:id="553320546">
      <w:bodyDiv w:val="1"/>
      <w:marLeft w:val="0"/>
      <w:marRight w:val="0"/>
      <w:marTop w:val="0"/>
      <w:marBottom w:val="0"/>
      <w:divBdr>
        <w:top w:val="none" w:sz="0" w:space="0" w:color="auto"/>
        <w:left w:val="none" w:sz="0" w:space="0" w:color="auto"/>
        <w:bottom w:val="none" w:sz="0" w:space="0" w:color="auto"/>
        <w:right w:val="none" w:sz="0" w:space="0" w:color="auto"/>
      </w:divBdr>
    </w:div>
    <w:div w:id="761872518">
      <w:bodyDiv w:val="1"/>
      <w:marLeft w:val="0"/>
      <w:marRight w:val="0"/>
      <w:marTop w:val="0"/>
      <w:marBottom w:val="0"/>
      <w:divBdr>
        <w:top w:val="none" w:sz="0" w:space="0" w:color="auto"/>
        <w:left w:val="none" w:sz="0" w:space="0" w:color="auto"/>
        <w:bottom w:val="none" w:sz="0" w:space="0" w:color="auto"/>
        <w:right w:val="none" w:sz="0" w:space="0" w:color="auto"/>
      </w:divBdr>
    </w:div>
    <w:div w:id="852188412">
      <w:bodyDiv w:val="1"/>
      <w:marLeft w:val="0"/>
      <w:marRight w:val="0"/>
      <w:marTop w:val="0"/>
      <w:marBottom w:val="0"/>
      <w:divBdr>
        <w:top w:val="none" w:sz="0" w:space="0" w:color="auto"/>
        <w:left w:val="none" w:sz="0" w:space="0" w:color="auto"/>
        <w:bottom w:val="none" w:sz="0" w:space="0" w:color="auto"/>
        <w:right w:val="none" w:sz="0" w:space="0" w:color="auto"/>
      </w:divBdr>
    </w:div>
    <w:div w:id="900677207">
      <w:bodyDiv w:val="1"/>
      <w:marLeft w:val="0"/>
      <w:marRight w:val="0"/>
      <w:marTop w:val="0"/>
      <w:marBottom w:val="0"/>
      <w:divBdr>
        <w:top w:val="none" w:sz="0" w:space="0" w:color="auto"/>
        <w:left w:val="none" w:sz="0" w:space="0" w:color="auto"/>
        <w:bottom w:val="none" w:sz="0" w:space="0" w:color="auto"/>
        <w:right w:val="none" w:sz="0" w:space="0" w:color="auto"/>
      </w:divBdr>
    </w:div>
    <w:div w:id="1292129738">
      <w:bodyDiv w:val="1"/>
      <w:marLeft w:val="0"/>
      <w:marRight w:val="0"/>
      <w:marTop w:val="0"/>
      <w:marBottom w:val="0"/>
      <w:divBdr>
        <w:top w:val="none" w:sz="0" w:space="0" w:color="auto"/>
        <w:left w:val="none" w:sz="0" w:space="0" w:color="auto"/>
        <w:bottom w:val="none" w:sz="0" w:space="0" w:color="auto"/>
        <w:right w:val="none" w:sz="0" w:space="0" w:color="auto"/>
      </w:divBdr>
    </w:div>
    <w:div w:id="210379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gokhan.dilek@eas.bau.edu.tr" TargetMode="External"/><Relationship Id="rId2" Type="http://schemas.openxmlformats.org/officeDocument/2006/relationships/hyperlink" Target="mailto:ugurcan.acars@eas.bau.edu.tr" TargetMode="External"/><Relationship Id="rId1" Type="http://schemas.openxmlformats.org/officeDocument/2006/relationships/hyperlink" Target="mailto:ozan.bakis@eas.bau.edu.t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khan.dilek\Dropbox\betam_tfp\data\Seriler\AN2.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LP!$L$1</c:f>
              <c:strCache>
                <c:ptCount val="1"/>
                <c:pt idx="0">
                  <c:v>Tarım</c:v>
                </c:pt>
              </c:strCache>
            </c:strRef>
          </c:tx>
          <c:spPr>
            <a:ln w="28575" cap="rnd">
              <a:solidFill>
                <a:schemeClr val="accent1"/>
              </a:solidFill>
              <a:round/>
            </a:ln>
            <a:effectLst/>
          </c:spPr>
          <c:marker>
            <c:symbol val="none"/>
          </c:marker>
          <c:cat>
            <c:numRef>
              <c:f>LP!$K$2:$K$40</c:f>
              <c:numCache>
                <c:formatCode>General</c:formatCode>
                <c:ptCount val="39"/>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numCache>
            </c:numRef>
          </c:cat>
          <c:val>
            <c:numRef>
              <c:f>LP!$L$2:$L$40</c:f>
              <c:numCache>
                <c:formatCode>General</c:formatCode>
                <c:ptCount val="39"/>
                <c:pt idx="0">
                  <c:v>100</c:v>
                </c:pt>
                <c:pt idx="1">
                  <c:v>98.386424692808689</c:v>
                </c:pt>
                <c:pt idx="2">
                  <c:v>101.72411914967461</c:v>
                </c:pt>
                <c:pt idx="3">
                  <c:v>101.66729063019821</c:v>
                </c:pt>
                <c:pt idx="4">
                  <c:v>102.67273108859214</c:v>
                </c:pt>
                <c:pt idx="5">
                  <c:v>103.23132972630017</c:v>
                </c:pt>
                <c:pt idx="6">
                  <c:v>109.12013400807601</c:v>
                </c:pt>
                <c:pt idx="7">
                  <c:v>110.69727553917137</c:v>
                </c:pt>
                <c:pt idx="8">
                  <c:v>118.03459268627346</c:v>
                </c:pt>
                <c:pt idx="9">
                  <c:v>104.04979617757832</c:v>
                </c:pt>
                <c:pt idx="10">
                  <c:v>111.90096248366952</c:v>
                </c:pt>
                <c:pt idx="11">
                  <c:v>104.77545211330025</c:v>
                </c:pt>
                <c:pt idx="12">
                  <c:v>115.94876782003959</c:v>
                </c:pt>
                <c:pt idx="13">
                  <c:v>128.51102924213615</c:v>
                </c:pt>
                <c:pt idx="14">
                  <c:v>111.72680973389558</c:v>
                </c:pt>
                <c:pt idx="15">
                  <c:v>110.91809679640652</c:v>
                </c:pt>
                <c:pt idx="16">
                  <c:v>114.31421211218142</c:v>
                </c:pt>
                <c:pt idx="17">
                  <c:v>117.63313987803791</c:v>
                </c:pt>
                <c:pt idx="18">
                  <c:v>124.31191438202693</c:v>
                </c:pt>
                <c:pt idx="19">
                  <c:v>120.8735401001167</c:v>
                </c:pt>
                <c:pt idx="20">
                  <c:v>146.83154017215784</c:v>
                </c:pt>
                <c:pt idx="21">
                  <c:v>128.55055883074513</c:v>
                </c:pt>
                <c:pt idx="22">
                  <c:v>151.66337683191858</c:v>
                </c:pt>
                <c:pt idx="23">
                  <c:v>155.86213248260913</c:v>
                </c:pt>
                <c:pt idx="24">
                  <c:v>157.09417920488184</c:v>
                </c:pt>
                <c:pt idx="25">
                  <c:v>188.54209333918956</c:v>
                </c:pt>
                <c:pt idx="26">
                  <c:v>201.19960405272994</c:v>
                </c:pt>
                <c:pt idx="27">
                  <c:v>190.50505713883774</c:v>
                </c:pt>
                <c:pt idx="28">
                  <c:v>192.86652591195053</c:v>
                </c:pt>
                <c:pt idx="29">
                  <c:v>191.2669717923898</c:v>
                </c:pt>
                <c:pt idx="30">
                  <c:v>192.18634758958027</c:v>
                </c:pt>
                <c:pt idx="31">
                  <c:v>183.68524064500647</c:v>
                </c:pt>
                <c:pt idx="32">
                  <c:v>188.36561603920791</c:v>
                </c:pt>
                <c:pt idx="33">
                  <c:v>196.29072442883185</c:v>
                </c:pt>
                <c:pt idx="34">
                  <c:v>216.27630783767378</c:v>
                </c:pt>
                <c:pt idx="35">
                  <c:v>236.98273187586312</c:v>
                </c:pt>
                <c:pt idx="36">
                  <c:v>238.78084718019778</c:v>
                </c:pt>
                <c:pt idx="37">
                  <c:v>242.24174321400042</c:v>
                </c:pt>
                <c:pt idx="38">
                  <c:v>253.82452914962772</c:v>
                </c:pt>
              </c:numCache>
            </c:numRef>
          </c:val>
          <c:smooth val="0"/>
          <c:extLst>
            <c:ext xmlns:c16="http://schemas.microsoft.com/office/drawing/2014/chart" uri="{C3380CC4-5D6E-409C-BE32-E72D297353CC}">
              <c16:uniqueId val="{00000000-73A5-4223-82CD-93B19F85B439}"/>
            </c:ext>
          </c:extLst>
        </c:ser>
        <c:ser>
          <c:idx val="1"/>
          <c:order val="1"/>
          <c:tx>
            <c:strRef>
              <c:f>LP!$M$1</c:f>
              <c:strCache>
                <c:ptCount val="1"/>
                <c:pt idx="0">
                  <c:v>Sanayi</c:v>
                </c:pt>
              </c:strCache>
            </c:strRef>
          </c:tx>
          <c:spPr>
            <a:ln w="28575" cap="rnd">
              <a:solidFill>
                <a:schemeClr val="accent2"/>
              </a:solidFill>
              <a:round/>
            </a:ln>
            <a:effectLst/>
          </c:spPr>
          <c:marker>
            <c:symbol val="none"/>
          </c:marker>
          <c:cat>
            <c:numRef>
              <c:f>LP!$K$2:$K$40</c:f>
              <c:numCache>
                <c:formatCode>General</c:formatCode>
                <c:ptCount val="39"/>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numCache>
            </c:numRef>
          </c:cat>
          <c:val>
            <c:numRef>
              <c:f>LP!$M$2:$M$40</c:f>
              <c:numCache>
                <c:formatCode>General</c:formatCode>
                <c:ptCount val="39"/>
                <c:pt idx="0">
                  <c:v>100</c:v>
                </c:pt>
                <c:pt idx="1">
                  <c:v>108.76136453310114</c:v>
                </c:pt>
                <c:pt idx="2">
                  <c:v>110.11517880914543</c:v>
                </c:pt>
                <c:pt idx="3">
                  <c:v>113.44086301284065</c:v>
                </c:pt>
                <c:pt idx="4">
                  <c:v>121.81634852919176</c:v>
                </c:pt>
                <c:pt idx="5">
                  <c:v>125.35611302731871</c:v>
                </c:pt>
                <c:pt idx="6">
                  <c:v>138.22047799595322</c:v>
                </c:pt>
                <c:pt idx="7">
                  <c:v>146.99636092443319</c:v>
                </c:pt>
                <c:pt idx="8">
                  <c:v>144.95124733212967</c:v>
                </c:pt>
                <c:pt idx="9">
                  <c:v>150.05155498552256</c:v>
                </c:pt>
                <c:pt idx="10">
                  <c:v>164.22022608425996</c:v>
                </c:pt>
                <c:pt idx="11">
                  <c:v>163.94524867083601</c:v>
                </c:pt>
                <c:pt idx="12">
                  <c:v>161.76375156175746</c:v>
                </c:pt>
                <c:pt idx="13">
                  <c:v>188.80790440395418</c:v>
                </c:pt>
                <c:pt idx="14">
                  <c:v>157.53923674160791</c:v>
                </c:pt>
                <c:pt idx="15">
                  <c:v>175.38566980524149</c:v>
                </c:pt>
                <c:pt idx="16">
                  <c:v>178.41477375326815</c:v>
                </c:pt>
                <c:pt idx="17">
                  <c:v>185.29285020805438</c:v>
                </c:pt>
                <c:pt idx="18">
                  <c:v>188.76503522424645</c:v>
                </c:pt>
                <c:pt idx="19">
                  <c:v>175.12894505600929</c:v>
                </c:pt>
                <c:pt idx="20">
                  <c:v>185.12061729326896</c:v>
                </c:pt>
                <c:pt idx="21">
                  <c:v>171.3637486730928</c:v>
                </c:pt>
                <c:pt idx="22">
                  <c:v>169.60192498070379</c:v>
                </c:pt>
                <c:pt idx="23">
                  <c:v>188.19159233733893</c:v>
                </c:pt>
                <c:pt idx="24">
                  <c:v>202.68810466780653</c:v>
                </c:pt>
                <c:pt idx="25">
                  <c:v>209.10931205014489</c:v>
                </c:pt>
                <c:pt idx="26">
                  <c:v>223.33348281106925</c:v>
                </c:pt>
                <c:pt idx="27">
                  <c:v>235.32668048864645</c:v>
                </c:pt>
                <c:pt idx="28">
                  <c:v>229.99740886078897</c:v>
                </c:pt>
                <c:pt idx="29">
                  <c:v>227.70433801239739</c:v>
                </c:pt>
                <c:pt idx="30">
                  <c:v>230.57904437085958</c:v>
                </c:pt>
                <c:pt idx="31">
                  <c:v>258.24267795022195</c:v>
                </c:pt>
                <c:pt idx="32">
                  <c:v>263.67656948796559</c:v>
                </c:pt>
                <c:pt idx="33">
                  <c:v>276.87665774519309</c:v>
                </c:pt>
                <c:pt idx="34">
                  <c:v>271.69776555629653</c:v>
                </c:pt>
                <c:pt idx="35">
                  <c:v>285.74149037886104</c:v>
                </c:pt>
                <c:pt idx="36">
                  <c:v>300.18873319133513</c:v>
                </c:pt>
                <c:pt idx="37">
                  <c:v>321.42192053781287</c:v>
                </c:pt>
                <c:pt idx="38">
                  <c:v>307.86088184844169</c:v>
                </c:pt>
              </c:numCache>
            </c:numRef>
          </c:val>
          <c:smooth val="0"/>
          <c:extLst>
            <c:ext xmlns:c16="http://schemas.microsoft.com/office/drawing/2014/chart" uri="{C3380CC4-5D6E-409C-BE32-E72D297353CC}">
              <c16:uniqueId val="{00000001-73A5-4223-82CD-93B19F85B439}"/>
            </c:ext>
          </c:extLst>
        </c:ser>
        <c:ser>
          <c:idx val="2"/>
          <c:order val="2"/>
          <c:tx>
            <c:strRef>
              <c:f>LP!$N$1</c:f>
              <c:strCache>
                <c:ptCount val="1"/>
                <c:pt idx="0">
                  <c:v>İnşaat</c:v>
                </c:pt>
              </c:strCache>
            </c:strRef>
          </c:tx>
          <c:spPr>
            <a:ln w="28575" cap="rnd">
              <a:solidFill>
                <a:schemeClr val="accent3"/>
              </a:solidFill>
              <a:round/>
            </a:ln>
            <a:effectLst/>
          </c:spPr>
          <c:marker>
            <c:symbol val="none"/>
          </c:marker>
          <c:cat>
            <c:numRef>
              <c:f>LP!$K$2:$K$40</c:f>
              <c:numCache>
                <c:formatCode>General</c:formatCode>
                <c:ptCount val="39"/>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numCache>
            </c:numRef>
          </c:cat>
          <c:val>
            <c:numRef>
              <c:f>LP!$N$2:$N$40</c:f>
              <c:numCache>
                <c:formatCode>General</c:formatCode>
                <c:ptCount val="39"/>
                <c:pt idx="0">
                  <c:v>100</c:v>
                </c:pt>
                <c:pt idx="1">
                  <c:v>102.04301365901497</c:v>
                </c:pt>
                <c:pt idx="2">
                  <c:v>92.140689947713241</c:v>
                </c:pt>
                <c:pt idx="3">
                  <c:v>108.42741595529561</c:v>
                </c:pt>
                <c:pt idx="4">
                  <c:v>117.39015858245985</c:v>
                </c:pt>
                <c:pt idx="5">
                  <c:v>130.64661931803965</c:v>
                </c:pt>
                <c:pt idx="6">
                  <c:v>138.39988707875125</c:v>
                </c:pt>
                <c:pt idx="7">
                  <c:v>150.88790861186541</c:v>
                </c:pt>
                <c:pt idx="8">
                  <c:v>151.36358275009084</c:v>
                </c:pt>
                <c:pt idx="9">
                  <c:v>172.23202993156781</c:v>
                </c:pt>
                <c:pt idx="10">
                  <c:v>181.99419953581736</c:v>
                </c:pt>
                <c:pt idx="11">
                  <c:v>168.8258923783514</c:v>
                </c:pt>
                <c:pt idx="12">
                  <c:v>167.42170899438585</c:v>
                </c:pt>
                <c:pt idx="13">
                  <c:v>154.93753950217135</c:v>
                </c:pt>
                <c:pt idx="14">
                  <c:v>152.70738289829814</c:v>
                </c:pt>
                <c:pt idx="15">
                  <c:v>142.49549979894516</c:v>
                </c:pt>
                <c:pt idx="16">
                  <c:v>144.81300013637969</c:v>
                </c:pt>
                <c:pt idx="17">
                  <c:v>150.38512967483649</c:v>
                </c:pt>
                <c:pt idx="18">
                  <c:v>150.55408655528737</c:v>
                </c:pt>
                <c:pt idx="19">
                  <c:v>140.48123050511717</c:v>
                </c:pt>
                <c:pt idx="20">
                  <c:v>149.78246631587263</c:v>
                </c:pt>
                <c:pt idx="21">
                  <c:v>146.66933812982936</c:v>
                </c:pt>
                <c:pt idx="22">
                  <c:v>200.24260419714616</c:v>
                </c:pt>
                <c:pt idx="23">
                  <c:v>226.80652584073948</c:v>
                </c:pt>
                <c:pt idx="24">
                  <c:v>258.40848680356964</c:v>
                </c:pt>
                <c:pt idx="25">
                  <c:v>260.10060352970225</c:v>
                </c:pt>
                <c:pt idx="26">
                  <c:v>302.42225078745884</c:v>
                </c:pt>
                <c:pt idx="27">
                  <c:v>325.34214919524322</c:v>
                </c:pt>
                <c:pt idx="28">
                  <c:v>307.15482759674921</c:v>
                </c:pt>
                <c:pt idx="29">
                  <c:v>244.31507204964649</c:v>
                </c:pt>
                <c:pt idx="30">
                  <c:v>264.34957832798983</c:v>
                </c:pt>
                <c:pt idx="31">
                  <c:v>281.199082460809</c:v>
                </c:pt>
                <c:pt idx="32">
                  <c:v>297.39352153164327</c:v>
                </c:pt>
                <c:pt idx="33">
                  <c:v>326.7693725285182</c:v>
                </c:pt>
                <c:pt idx="34">
                  <c:v>318.53784228632026</c:v>
                </c:pt>
                <c:pt idx="35">
                  <c:v>335.21988043393617</c:v>
                </c:pt>
                <c:pt idx="36">
                  <c:v>340.46459531018292</c:v>
                </c:pt>
                <c:pt idx="37">
                  <c:v>350.54290660955047</c:v>
                </c:pt>
                <c:pt idx="38">
                  <c:v>359.82136303599634</c:v>
                </c:pt>
              </c:numCache>
            </c:numRef>
          </c:val>
          <c:smooth val="0"/>
          <c:extLst>
            <c:ext xmlns:c16="http://schemas.microsoft.com/office/drawing/2014/chart" uri="{C3380CC4-5D6E-409C-BE32-E72D297353CC}">
              <c16:uniqueId val="{00000002-73A5-4223-82CD-93B19F85B439}"/>
            </c:ext>
          </c:extLst>
        </c:ser>
        <c:ser>
          <c:idx val="3"/>
          <c:order val="3"/>
          <c:tx>
            <c:strRef>
              <c:f>LP!$O$1</c:f>
              <c:strCache>
                <c:ptCount val="1"/>
                <c:pt idx="0">
                  <c:v>Hizmetler</c:v>
                </c:pt>
              </c:strCache>
            </c:strRef>
          </c:tx>
          <c:spPr>
            <a:ln w="28575" cap="rnd">
              <a:solidFill>
                <a:srgbClr val="00B050"/>
              </a:solidFill>
              <a:round/>
            </a:ln>
            <a:effectLst/>
          </c:spPr>
          <c:marker>
            <c:symbol val="none"/>
          </c:marker>
          <c:cat>
            <c:numRef>
              <c:f>LP!$K$2:$K$40</c:f>
              <c:numCache>
                <c:formatCode>General</c:formatCode>
                <c:ptCount val="39"/>
                <c:pt idx="0">
                  <c:v>1980</c:v>
                </c:pt>
                <c:pt idx="1">
                  <c:v>1981</c:v>
                </c:pt>
                <c:pt idx="2">
                  <c:v>1982</c:v>
                </c:pt>
                <c:pt idx="3">
                  <c:v>1983</c:v>
                </c:pt>
                <c:pt idx="4">
                  <c:v>1984</c:v>
                </c:pt>
                <c:pt idx="5">
                  <c:v>1985</c:v>
                </c:pt>
                <c:pt idx="6">
                  <c:v>1986</c:v>
                </c:pt>
                <c:pt idx="7">
                  <c:v>1987</c:v>
                </c:pt>
                <c:pt idx="8">
                  <c:v>1988</c:v>
                </c:pt>
                <c:pt idx="9">
                  <c:v>1989</c:v>
                </c:pt>
                <c:pt idx="10">
                  <c:v>1990</c:v>
                </c:pt>
                <c:pt idx="11">
                  <c:v>1991</c:v>
                </c:pt>
                <c:pt idx="12">
                  <c:v>1992</c:v>
                </c:pt>
                <c:pt idx="13">
                  <c:v>1993</c:v>
                </c:pt>
                <c:pt idx="14">
                  <c:v>1994</c:v>
                </c:pt>
                <c:pt idx="15">
                  <c:v>1995</c:v>
                </c:pt>
                <c:pt idx="16">
                  <c:v>1996</c:v>
                </c:pt>
                <c:pt idx="17">
                  <c:v>1997</c:v>
                </c:pt>
                <c:pt idx="18">
                  <c:v>1998</c:v>
                </c:pt>
                <c:pt idx="19">
                  <c:v>1999</c:v>
                </c:pt>
                <c:pt idx="20">
                  <c:v>2000</c:v>
                </c:pt>
                <c:pt idx="21">
                  <c:v>2001</c:v>
                </c:pt>
                <c:pt idx="22">
                  <c:v>2002</c:v>
                </c:pt>
                <c:pt idx="23">
                  <c:v>2003</c:v>
                </c:pt>
                <c:pt idx="24">
                  <c:v>2004</c:v>
                </c:pt>
                <c:pt idx="25">
                  <c:v>2005</c:v>
                </c:pt>
                <c:pt idx="26">
                  <c:v>2006</c:v>
                </c:pt>
                <c:pt idx="27">
                  <c:v>2007</c:v>
                </c:pt>
                <c:pt idx="28">
                  <c:v>2008</c:v>
                </c:pt>
                <c:pt idx="29">
                  <c:v>2009</c:v>
                </c:pt>
                <c:pt idx="30">
                  <c:v>2010</c:v>
                </c:pt>
                <c:pt idx="31">
                  <c:v>2011</c:v>
                </c:pt>
                <c:pt idx="32">
                  <c:v>2012</c:v>
                </c:pt>
                <c:pt idx="33">
                  <c:v>2013</c:v>
                </c:pt>
                <c:pt idx="34">
                  <c:v>2014</c:v>
                </c:pt>
                <c:pt idx="35">
                  <c:v>2015</c:v>
                </c:pt>
                <c:pt idx="36">
                  <c:v>2016</c:v>
                </c:pt>
                <c:pt idx="37">
                  <c:v>2017</c:v>
                </c:pt>
                <c:pt idx="38">
                  <c:v>2018</c:v>
                </c:pt>
              </c:numCache>
            </c:numRef>
          </c:cat>
          <c:val>
            <c:numRef>
              <c:f>LP!$O$2:$O$40</c:f>
              <c:numCache>
                <c:formatCode>General</c:formatCode>
                <c:ptCount val="39"/>
                <c:pt idx="0">
                  <c:v>100</c:v>
                </c:pt>
                <c:pt idx="1">
                  <c:v>101.47604937293026</c:v>
                </c:pt>
                <c:pt idx="2">
                  <c:v>101.75107071372955</c:v>
                </c:pt>
                <c:pt idx="3">
                  <c:v>103.2403158386183</c:v>
                </c:pt>
                <c:pt idx="4">
                  <c:v>105.3145649615907</c:v>
                </c:pt>
                <c:pt idx="5">
                  <c:v>104.9265244048059</c:v>
                </c:pt>
                <c:pt idx="6">
                  <c:v>104.34370746071033</c:v>
                </c:pt>
                <c:pt idx="7">
                  <c:v>106.89357495127528</c:v>
                </c:pt>
                <c:pt idx="8">
                  <c:v>102.65566247824735</c:v>
                </c:pt>
                <c:pt idx="9">
                  <c:v>101.59364390943175</c:v>
                </c:pt>
                <c:pt idx="10">
                  <c:v>104.33252454808179</c:v>
                </c:pt>
                <c:pt idx="11">
                  <c:v>104.71690323291335</c:v>
                </c:pt>
                <c:pt idx="12">
                  <c:v>103.98126892264358</c:v>
                </c:pt>
                <c:pt idx="13">
                  <c:v>113.28538266038947</c:v>
                </c:pt>
                <c:pt idx="14">
                  <c:v>105.18673420839798</c:v>
                </c:pt>
                <c:pt idx="15">
                  <c:v>106.82632333722815</c:v>
                </c:pt>
                <c:pt idx="16">
                  <c:v>109.74391400815217</c:v>
                </c:pt>
                <c:pt idx="17">
                  <c:v>113.78752788267651</c:v>
                </c:pt>
                <c:pt idx="18">
                  <c:v>111.98516732412953</c:v>
                </c:pt>
                <c:pt idx="19">
                  <c:v>105.38644148312925</c:v>
                </c:pt>
                <c:pt idx="20">
                  <c:v>104.32786334542018</c:v>
                </c:pt>
                <c:pt idx="21">
                  <c:v>102.24160871030756</c:v>
                </c:pt>
                <c:pt idx="22">
                  <c:v>103.21875424124556</c:v>
                </c:pt>
                <c:pt idx="23">
                  <c:v>105.39875765035026</c:v>
                </c:pt>
                <c:pt idx="24">
                  <c:v>111.29041493931574</c:v>
                </c:pt>
                <c:pt idx="25">
                  <c:v>112.19803927722332</c:v>
                </c:pt>
                <c:pt idx="26">
                  <c:v>112.97070283350797</c:v>
                </c:pt>
                <c:pt idx="27">
                  <c:v>115.74739429293616</c:v>
                </c:pt>
                <c:pt idx="28">
                  <c:v>115.29810759420103</c:v>
                </c:pt>
                <c:pt idx="29">
                  <c:v>110.62586456722741</c:v>
                </c:pt>
                <c:pt idx="30">
                  <c:v>114.13710347470241</c:v>
                </c:pt>
                <c:pt idx="31">
                  <c:v>117.69739734145126</c:v>
                </c:pt>
                <c:pt idx="32">
                  <c:v>117.27775069990076</c:v>
                </c:pt>
                <c:pt idx="33">
                  <c:v>121.81880532859111</c:v>
                </c:pt>
                <c:pt idx="34">
                  <c:v>124.4609992821464</c:v>
                </c:pt>
                <c:pt idx="35">
                  <c:v>125.76388089044219</c:v>
                </c:pt>
                <c:pt idx="36">
                  <c:v>123.4509299718451</c:v>
                </c:pt>
                <c:pt idx="37">
                  <c:v>126.79913602428707</c:v>
                </c:pt>
                <c:pt idx="38">
                  <c:v>127.7439753216596</c:v>
                </c:pt>
              </c:numCache>
            </c:numRef>
          </c:val>
          <c:smooth val="0"/>
          <c:extLst>
            <c:ext xmlns:c16="http://schemas.microsoft.com/office/drawing/2014/chart" uri="{C3380CC4-5D6E-409C-BE32-E72D297353CC}">
              <c16:uniqueId val="{00000003-73A5-4223-82CD-93B19F85B439}"/>
            </c:ext>
          </c:extLst>
        </c:ser>
        <c:dLbls>
          <c:showLegendKey val="0"/>
          <c:showVal val="0"/>
          <c:showCatName val="0"/>
          <c:showSerName val="0"/>
          <c:showPercent val="0"/>
          <c:showBubbleSize val="0"/>
        </c:dLbls>
        <c:smooth val="0"/>
        <c:axId val="330415279"/>
        <c:axId val="330417775"/>
      </c:lineChart>
      <c:catAx>
        <c:axId val="330415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417775"/>
        <c:crosses val="autoZero"/>
        <c:auto val="1"/>
        <c:lblAlgn val="ctr"/>
        <c:lblOffset val="100"/>
        <c:tickLblSkip val="2"/>
        <c:tickMarkSkip val="1"/>
        <c:noMultiLvlLbl val="0"/>
      </c:catAx>
      <c:valAx>
        <c:axId val="33041777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041527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E8BF0-BEC1-477A-959B-52E4FE55D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2672</Words>
  <Characters>15232</Characters>
  <Application>Microsoft Office Word</Application>
  <DocSecurity>0</DocSecurity>
  <Lines>126</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Gokhan DILEK</dc:creator>
  <cp:keywords/>
  <dc:description/>
  <cp:lastModifiedBy>Gökhan Dilek</cp:lastModifiedBy>
  <cp:revision>12</cp:revision>
  <dcterms:created xsi:type="dcterms:W3CDTF">2020-05-10T12:10:00Z</dcterms:created>
  <dcterms:modified xsi:type="dcterms:W3CDTF">2020-05-27T13:14:00Z</dcterms:modified>
</cp:coreProperties>
</file>