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87621" w14:textId="222500F3" w:rsidR="00996E91" w:rsidRPr="00275204" w:rsidRDefault="00996E91" w:rsidP="00272308">
      <w:pPr>
        <w:rPr>
          <w:b/>
          <w:bCs/>
          <w:sz w:val="24"/>
          <w:szCs w:val="24"/>
          <w:lang w:val="tr-TR"/>
        </w:rPr>
      </w:pPr>
      <w:bookmarkStart w:id="0" w:name="_Hlk35972281"/>
      <w:r w:rsidRPr="00275204">
        <w:rPr>
          <w:noProof/>
          <w:lang w:eastAsia="en-GB"/>
        </w:rPr>
        <mc:AlternateContent>
          <mc:Choice Requires="wps">
            <w:drawing>
              <wp:anchor distT="0" distB="0" distL="114935" distR="114935" simplePos="0" relativeHeight="251659264" behindDoc="0" locked="0" layoutInCell="1" allowOverlap="1" wp14:anchorId="1821605D" wp14:editId="2253B1F5">
                <wp:simplePos x="0" y="0"/>
                <wp:positionH relativeFrom="column">
                  <wp:posOffset>1643380</wp:posOffset>
                </wp:positionH>
                <wp:positionV relativeFrom="paragraph">
                  <wp:posOffset>-585470</wp:posOffset>
                </wp:positionV>
                <wp:extent cx="3774644" cy="621792"/>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644" cy="62179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F35DC7" w14:textId="2CE784D3" w:rsidR="00996E91" w:rsidRPr="00E066EE" w:rsidRDefault="00996E91" w:rsidP="00996E91">
                            <w:pPr>
                              <w:pStyle w:val="Balk1"/>
                              <w:jc w:val="left"/>
                              <w:rPr>
                                <w:rFonts w:ascii="Palatino Linotype" w:hAnsi="Palatino Linotype"/>
                                <w:b/>
                                <w:sz w:val="52"/>
                                <w:szCs w:val="52"/>
                              </w:rPr>
                            </w:pPr>
                            <w:r w:rsidRPr="00E066EE">
                              <w:rPr>
                                <w:rFonts w:ascii="Palatino Linotype" w:hAnsi="Palatino Linotype"/>
                                <w:b/>
                                <w:color w:val="auto"/>
                                <w:sz w:val="52"/>
                                <w:szCs w:val="52"/>
                              </w:rPr>
                              <w:t xml:space="preserve">Araştırma </w:t>
                            </w:r>
                            <w:r w:rsidRPr="0018126D">
                              <w:rPr>
                                <w:rFonts w:ascii="Palatino Linotype" w:hAnsi="Palatino Linotype"/>
                                <w:b/>
                                <w:color w:val="auto"/>
                                <w:sz w:val="52"/>
                                <w:szCs w:val="52"/>
                              </w:rPr>
                              <w:t xml:space="preserve">Notu </w:t>
                            </w:r>
                            <w:r w:rsidR="00C3079F">
                              <w:rPr>
                                <w:rFonts w:ascii="Palatino Linotype" w:hAnsi="Palatino Linotype"/>
                                <w:b/>
                                <w:color w:val="auto"/>
                                <w:sz w:val="52"/>
                                <w:szCs w:val="52"/>
                              </w:rPr>
                              <w:t>20</w:t>
                            </w:r>
                            <w:r w:rsidRPr="0018126D">
                              <w:rPr>
                                <w:rFonts w:ascii="Palatino Linotype" w:hAnsi="Palatino Linotype"/>
                                <w:b/>
                                <w:color w:val="auto"/>
                                <w:sz w:val="52"/>
                                <w:szCs w:val="52"/>
                              </w:rPr>
                              <w:t>/</w:t>
                            </w:r>
                            <w:r w:rsidR="00C3079F">
                              <w:rPr>
                                <w:rFonts w:ascii="Palatino Linotype" w:hAnsi="Palatino Linotype"/>
                                <w:b/>
                                <w:color w:val="auto"/>
                                <w:sz w:val="52"/>
                                <w:szCs w:val="52"/>
                              </w:rPr>
                              <w:t>249</w:t>
                            </w:r>
                          </w:p>
                          <w:p w14:paraId="776161A6" w14:textId="77777777" w:rsidR="00996E91" w:rsidRPr="00B54C13" w:rsidRDefault="00996E91" w:rsidP="00996E91">
                            <w:pPr>
                              <w:pStyle w:val="Balk2"/>
                              <w:rPr>
                                <w:b w:val="0"/>
                                <w:bCs w:val="0"/>
                                <w:i/>
                                <w:iCs w:val="0"/>
                                <w:lang w:val="tr-T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1605D" id="_x0000_t202" coordsize="21600,21600" o:spt="202" path="m,l,21600r21600,l21600,xe">
                <v:stroke joinstyle="miter"/>
                <v:path gradientshapeok="t" o:connecttype="rect"/>
              </v:shapetype>
              <v:shape id="Text Box 3" o:spid="_x0000_s1026" type="#_x0000_t202" style="position:absolute;margin-left:129.4pt;margin-top:-46.1pt;width:297.2pt;height:48.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" stroked="f">
                <v:fill opacity="0"/>
                <v:textbox inset="0,0,0,0">
                  <w:txbxContent>
                    <w:p w14:paraId="34F35DC7" w14:textId="2CE784D3" w:rsidR="00996E91" w:rsidRPr="00E066EE" w:rsidRDefault="00996E91" w:rsidP="00996E91">
                      <w:pPr>
                        <w:pStyle w:val="Balk1"/>
                        <w:jc w:val="left"/>
                        <w:rPr>
                          <w:rFonts w:ascii="Palatino Linotype" w:hAnsi="Palatino Linotype"/>
                          <w:b/>
                          <w:sz w:val="52"/>
                          <w:szCs w:val="52"/>
                        </w:rPr>
                      </w:pPr>
                      <w:r w:rsidRPr="00E066EE">
                        <w:rPr>
                          <w:rFonts w:ascii="Palatino Linotype" w:hAnsi="Palatino Linotype"/>
                          <w:b/>
                          <w:color w:val="auto"/>
                          <w:sz w:val="52"/>
                          <w:szCs w:val="52"/>
                        </w:rPr>
                        <w:t xml:space="preserve">Araştırma </w:t>
                      </w:r>
                      <w:r w:rsidRPr="0018126D">
                        <w:rPr>
                          <w:rFonts w:ascii="Palatino Linotype" w:hAnsi="Palatino Linotype"/>
                          <w:b/>
                          <w:color w:val="auto"/>
                          <w:sz w:val="52"/>
                          <w:szCs w:val="52"/>
                        </w:rPr>
                        <w:t xml:space="preserve">Notu </w:t>
                      </w:r>
                      <w:r w:rsidR="00C3079F">
                        <w:rPr>
                          <w:rFonts w:ascii="Palatino Linotype" w:hAnsi="Palatino Linotype"/>
                          <w:b/>
                          <w:color w:val="auto"/>
                          <w:sz w:val="52"/>
                          <w:szCs w:val="52"/>
                        </w:rPr>
                        <w:t>20</w:t>
                      </w:r>
                      <w:r w:rsidRPr="0018126D">
                        <w:rPr>
                          <w:rFonts w:ascii="Palatino Linotype" w:hAnsi="Palatino Linotype"/>
                          <w:b/>
                          <w:color w:val="auto"/>
                          <w:sz w:val="52"/>
                          <w:szCs w:val="52"/>
                        </w:rPr>
                        <w:t>/</w:t>
                      </w:r>
                      <w:r w:rsidR="00C3079F">
                        <w:rPr>
                          <w:rFonts w:ascii="Palatino Linotype" w:hAnsi="Palatino Linotype"/>
                          <w:b/>
                          <w:color w:val="auto"/>
                          <w:sz w:val="52"/>
                          <w:szCs w:val="52"/>
                        </w:rPr>
                        <w:t>249</w:t>
                      </w:r>
                    </w:p>
                    <w:p w14:paraId="776161A6" w14:textId="77777777" w:rsidR="00996E91" w:rsidRPr="00B54C13" w:rsidRDefault="00996E91" w:rsidP="00996E91">
                      <w:pPr>
                        <w:pStyle w:val="Balk2"/>
                        <w:rPr>
                          <w:b w:val="0"/>
                          <w:bCs w:val="0"/>
                          <w:i/>
                          <w:iCs w:val="0"/>
                          <w:lang w:val="tr-TR"/>
                        </w:rPr>
                      </w:pPr>
                    </w:p>
                  </w:txbxContent>
                </v:textbox>
              </v:shape>
            </w:pict>
          </mc:Fallback>
        </mc:AlternateContent>
      </w:r>
      <w:r w:rsidRPr="00275204">
        <w:rPr>
          <w:noProof/>
          <w:lang w:eastAsia="en-GB"/>
        </w:rPr>
        <w:drawing>
          <wp:anchor distT="0" distB="0" distL="114300" distR="114300" simplePos="0" relativeHeight="251657216" behindDoc="1" locked="0" layoutInCell="1" allowOverlap="1" wp14:anchorId="5B69C38F" wp14:editId="41918726">
            <wp:simplePos x="0" y="0"/>
            <wp:positionH relativeFrom="margin">
              <wp:align>center</wp:align>
            </wp:positionH>
            <wp:positionV relativeFrom="paragraph">
              <wp:posOffset>-742950</wp:posOffset>
            </wp:positionV>
            <wp:extent cx="7229475" cy="1322213"/>
            <wp:effectExtent l="0" t="0" r="0" b="0"/>
            <wp:wrapNone/>
            <wp:docPr id="18"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229475" cy="1322213"/>
                    </a:xfrm>
                    <a:prstGeom prst="rect">
                      <a:avLst/>
                    </a:prstGeom>
                    <a:noFill/>
                  </pic:spPr>
                </pic:pic>
              </a:graphicData>
            </a:graphic>
          </wp:anchor>
        </w:drawing>
      </w:r>
    </w:p>
    <w:p w14:paraId="38941CFC" w14:textId="401D6F55" w:rsidR="00996E91" w:rsidRPr="00275204" w:rsidRDefault="00884F08" w:rsidP="00EA436E">
      <w:pPr>
        <w:jc w:val="right"/>
        <w:rPr>
          <w:b/>
          <w:bCs/>
          <w:color w:val="FFFFFF" w:themeColor="background1"/>
          <w:sz w:val="24"/>
          <w:szCs w:val="24"/>
          <w:lang w:val="tr-TR"/>
        </w:rPr>
      </w:pPr>
      <w:r w:rsidRPr="00275204">
        <w:rPr>
          <w:b/>
          <w:bCs/>
          <w:color w:val="FFFFFF" w:themeColor="background1"/>
          <w:sz w:val="24"/>
          <w:szCs w:val="24"/>
          <w:lang w:val="tr-TR"/>
        </w:rPr>
        <w:t>1</w:t>
      </w:r>
      <w:r w:rsidR="00CA5C89" w:rsidRPr="00275204">
        <w:rPr>
          <w:b/>
          <w:bCs/>
          <w:color w:val="FFFFFF" w:themeColor="background1"/>
          <w:sz w:val="24"/>
          <w:szCs w:val="24"/>
          <w:lang w:val="tr-TR"/>
        </w:rPr>
        <w:t>4</w:t>
      </w:r>
      <w:r w:rsidR="00EA436E" w:rsidRPr="00275204">
        <w:rPr>
          <w:b/>
          <w:bCs/>
          <w:color w:val="FFFFFF" w:themeColor="background1"/>
          <w:sz w:val="24"/>
          <w:szCs w:val="24"/>
          <w:lang w:val="tr-TR"/>
        </w:rPr>
        <w:t xml:space="preserve"> Nisan 2020</w:t>
      </w:r>
    </w:p>
    <w:p w14:paraId="5CF60C6B" w14:textId="79E7A76C" w:rsidR="00996E91" w:rsidRPr="00275204" w:rsidRDefault="00996E91" w:rsidP="00272308">
      <w:pPr>
        <w:rPr>
          <w:b/>
          <w:bCs/>
          <w:sz w:val="24"/>
          <w:szCs w:val="24"/>
          <w:lang w:val="tr-TR"/>
        </w:rPr>
      </w:pPr>
    </w:p>
    <w:p w14:paraId="600E15AE" w14:textId="50BC166A" w:rsidR="00272308" w:rsidRPr="00275204" w:rsidRDefault="00272308" w:rsidP="00996E91">
      <w:pPr>
        <w:jc w:val="center"/>
        <w:rPr>
          <w:rFonts w:ascii="Palatino Linotype" w:hAnsi="Palatino Linotype"/>
          <w:b/>
          <w:bCs/>
          <w:sz w:val="32"/>
          <w:szCs w:val="32"/>
          <w:lang w:val="tr-TR"/>
        </w:rPr>
      </w:pPr>
      <w:r w:rsidRPr="00275204">
        <w:rPr>
          <w:rFonts w:ascii="Palatino Linotype" w:hAnsi="Palatino Linotype"/>
          <w:b/>
          <w:bCs/>
          <w:sz w:val="32"/>
          <w:szCs w:val="32"/>
          <w:lang w:val="tr-TR"/>
        </w:rPr>
        <w:t>Türkiye ekonomisinde büyüme döngüleri ve Toplam Faktör Verimliliği: 1980-2018</w:t>
      </w:r>
      <w:r w:rsidR="009A57EA" w:rsidRPr="00275204">
        <w:rPr>
          <w:rStyle w:val="DipnotBavurusu"/>
          <w:rFonts w:ascii="Palatino Linotype" w:hAnsi="Palatino Linotype"/>
          <w:b/>
          <w:bCs/>
          <w:sz w:val="32"/>
          <w:szCs w:val="32"/>
          <w:lang w:val="tr-TR"/>
        </w:rPr>
        <w:footnoteReference w:customMarkFollows="1" w:id="1"/>
        <w:sym w:font="Symbol" w:char="F023"/>
      </w:r>
    </w:p>
    <w:bookmarkEnd w:id="0"/>
    <w:p w14:paraId="66E718E9" w14:textId="675005F0" w:rsidR="00996E91" w:rsidRPr="00275204" w:rsidRDefault="00996E91" w:rsidP="00996E91">
      <w:pPr>
        <w:jc w:val="center"/>
        <w:rPr>
          <w:rFonts w:ascii="Palatino Linotype" w:hAnsi="Palatino Linotype"/>
          <w:b/>
          <w:bCs/>
          <w:lang w:val="tr-TR"/>
        </w:rPr>
      </w:pPr>
      <w:r w:rsidRPr="00275204">
        <w:rPr>
          <w:rFonts w:ascii="Palatino Linotype" w:hAnsi="Palatino Linotype"/>
          <w:b/>
          <w:bCs/>
          <w:lang w:val="tr-TR"/>
        </w:rPr>
        <w:t>Ozan Bakış</w:t>
      </w:r>
      <w:r w:rsidR="000E5093" w:rsidRPr="00275204">
        <w:rPr>
          <w:rStyle w:val="DipnotBavurusu"/>
          <w:rFonts w:ascii="Palatino Linotype" w:hAnsi="Palatino Linotype"/>
          <w:b/>
          <w:bCs/>
          <w:lang w:val="tr-TR"/>
        </w:rPr>
        <w:footnoteReference w:customMarkFollows="1" w:id="2"/>
        <w:t>*</w:t>
      </w:r>
      <w:r w:rsidRPr="00275204">
        <w:rPr>
          <w:rFonts w:ascii="Palatino Linotype" w:hAnsi="Palatino Linotype"/>
          <w:b/>
          <w:bCs/>
          <w:lang w:val="tr-TR"/>
        </w:rPr>
        <w:t>, Uğurcan Acar</w:t>
      </w:r>
      <w:r w:rsidR="000E5093" w:rsidRPr="00275204">
        <w:rPr>
          <w:rStyle w:val="DipnotBavurusu"/>
          <w:rFonts w:ascii="Palatino Linotype" w:hAnsi="Palatino Linotype"/>
          <w:b/>
          <w:bCs/>
          <w:lang w:val="tr-TR"/>
        </w:rPr>
        <w:footnoteReference w:customMarkFollows="1" w:id="3"/>
        <w:t>**</w:t>
      </w:r>
      <w:r w:rsidRPr="00275204">
        <w:rPr>
          <w:rFonts w:ascii="Palatino Linotype" w:hAnsi="Palatino Linotype"/>
          <w:b/>
          <w:bCs/>
          <w:lang w:val="tr-TR"/>
        </w:rPr>
        <w:t xml:space="preserve"> ve Gökhan Dilek</w:t>
      </w:r>
      <w:r w:rsidR="000E5093" w:rsidRPr="00275204">
        <w:rPr>
          <w:rStyle w:val="DipnotBavurusu"/>
          <w:rFonts w:ascii="Palatino Linotype" w:hAnsi="Palatino Linotype"/>
          <w:b/>
          <w:bCs/>
          <w:lang w:val="tr-TR"/>
        </w:rPr>
        <w:footnoteReference w:customMarkFollows="1" w:id="4"/>
        <w:t>**</w:t>
      </w:r>
    </w:p>
    <w:p w14:paraId="0400B822" w14:textId="77777777" w:rsidR="00405483" w:rsidRPr="00275204" w:rsidRDefault="00405483" w:rsidP="00996E91">
      <w:pPr>
        <w:jc w:val="center"/>
        <w:rPr>
          <w:rFonts w:ascii="Palatino Linotype" w:hAnsi="Palatino Linotype"/>
          <w:b/>
          <w:bCs/>
          <w:lang w:val="tr-TR"/>
        </w:rPr>
      </w:pPr>
    </w:p>
    <w:p w14:paraId="02C96535" w14:textId="38351157" w:rsidR="00830C70" w:rsidRPr="00275204" w:rsidRDefault="00830C70" w:rsidP="00996E91">
      <w:pPr>
        <w:jc w:val="center"/>
        <w:rPr>
          <w:rFonts w:ascii="Palatino Linotype" w:hAnsi="Palatino Linotype"/>
          <w:b/>
          <w:bCs/>
          <w:sz w:val="26"/>
          <w:szCs w:val="26"/>
          <w:lang w:val="tr-TR"/>
        </w:rPr>
      </w:pPr>
      <w:r w:rsidRPr="00275204">
        <w:rPr>
          <w:rFonts w:ascii="Palatino Linotype" w:hAnsi="Palatino Linotype"/>
          <w:b/>
          <w:bCs/>
          <w:sz w:val="26"/>
          <w:szCs w:val="26"/>
          <w:lang w:val="tr-TR"/>
        </w:rPr>
        <w:t>Yönetici Özeti</w:t>
      </w:r>
    </w:p>
    <w:p w14:paraId="074AAF4E" w14:textId="1BC16E78" w:rsidR="00B41187" w:rsidRPr="00275204" w:rsidRDefault="001C1135" w:rsidP="00996E91">
      <w:pPr>
        <w:spacing w:after="240" w:line="276" w:lineRule="auto"/>
        <w:ind w:left="567" w:right="567"/>
        <w:jc w:val="both"/>
        <w:rPr>
          <w:rFonts w:ascii="Palatino Linotype" w:hAnsi="Palatino Linotype"/>
          <w:lang w:val="tr-TR"/>
        </w:rPr>
      </w:pPr>
      <w:bookmarkStart w:id="1" w:name="_Hlk35968292"/>
      <w:r w:rsidRPr="00275204">
        <w:rPr>
          <w:rFonts w:ascii="Palatino Linotype" w:hAnsi="Palatino Linotype"/>
          <w:lang w:val="tr-TR"/>
        </w:rPr>
        <w:t xml:space="preserve">Türkiye’nin orta gelir tuzağından kurtulması ve gelişmiş ülkelerin gelir seviyesine ulaşması için yıllık ortalama </w:t>
      </w:r>
      <w:r w:rsidR="000421EA" w:rsidRPr="00275204">
        <w:rPr>
          <w:rFonts w:ascii="Palatino Linotype" w:hAnsi="Palatino Linotype"/>
          <w:lang w:val="tr-TR"/>
        </w:rPr>
        <w:t>%</w:t>
      </w:r>
      <w:r w:rsidRPr="00275204">
        <w:rPr>
          <w:rFonts w:ascii="Palatino Linotype" w:hAnsi="Palatino Linotype"/>
          <w:lang w:val="tr-TR"/>
        </w:rPr>
        <w:t xml:space="preserve">5’in üzerinde büyümesi gerektiği ifade edilir. Sabit sermaye yatırımları ve istihdam artışları büyümeyi artıran </w:t>
      </w:r>
      <w:r w:rsidR="000F004F" w:rsidRPr="00275204">
        <w:rPr>
          <w:rFonts w:ascii="Palatino Linotype" w:hAnsi="Palatino Linotype"/>
          <w:lang w:val="tr-TR"/>
        </w:rPr>
        <w:t>faktörler</w:t>
      </w:r>
      <w:r w:rsidRPr="00275204">
        <w:rPr>
          <w:rFonts w:ascii="Palatino Linotype" w:hAnsi="Palatino Linotype"/>
          <w:lang w:val="tr-TR"/>
        </w:rPr>
        <w:t xml:space="preserve"> olmakla birlikte </w:t>
      </w:r>
      <w:r w:rsidR="000F004F" w:rsidRPr="00275204">
        <w:rPr>
          <w:rFonts w:ascii="Palatino Linotype" w:hAnsi="Palatino Linotype"/>
          <w:lang w:val="tr-TR"/>
        </w:rPr>
        <w:t xml:space="preserve">sadece bu ikisiyle </w:t>
      </w:r>
      <w:r w:rsidRPr="00275204">
        <w:rPr>
          <w:rFonts w:ascii="Palatino Linotype" w:hAnsi="Palatino Linotype"/>
          <w:lang w:val="tr-TR"/>
        </w:rPr>
        <w:t>sürdürülebilir</w:t>
      </w:r>
      <w:r w:rsidR="00B71761" w:rsidRPr="00275204">
        <w:rPr>
          <w:rFonts w:ascii="Palatino Linotype" w:hAnsi="Palatino Linotype"/>
          <w:lang w:val="tr-TR"/>
        </w:rPr>
        <w:t xml:space="preserve"> ve</w:t>
      </w:r>
      <w:r w:rsidRPr="00275204">
        <w:rPr>
          <w:rFonts w:ascii="Palatino Linotype" w:hAnsi="Palatino Linotype"/>
          <w:lang w:val="tr-TR"/>
        </w:rPr>
        <w:t xml:space="preserve"> güçlü </w:t>
      </w:r>
      <w:r w:rsidR="00B71761" w:rsidRPr="00275204">
        <w:rPr>
          <w:rFonts w:ascii="Palatino Linotype" w:hAnsi="Palatino Linotype"/>
          <w:lang w:val="tr-TR"/>
        </w:rPr>
        <w:t xml:space="preserve">bir </w:t>
      </w:r>
      <w:r w:rsidRPr="00275204">
        <w:rPr>
          <w:rFonts w:ascii="Palatino Linotype" w:hAnsi="Palatino Linotype"/>
          <w:lang w:val="tr-TR"/>
        </w:rPr>
        <w:t>ekonomik genişlem</w:t>
      </w:r>
      <w:r w:rsidR="00B71761" w:rsidRPr="00275204">
        <w:rPr>
          <w:rFonts w:ascii="Palatino Linotype" w:hAnsi="Palatino Linotype"/>
          <w:lang w:val="tr-TR"/>
        </w:rPr>
        <w:t>e</w:t>
      </w:r>
      <w:r w:rsidR="000F004F" w:rsidRPr="00275204">
        <w:rPr>
          <w:rFonts w:ascii="Palatino Linotype" w:hAnsi="Palatino Linotype"/>
          <w:lang w:val="tr-TR"/>
        </w:rPr>
        <w:t xml:space="preserve"> sağlanamaz. A</w:t>
      </w:r>
      <w:r w:rsidR="00B40993" w:rsidRPr="00275204">
        <w:rPr>
          <w:rFonts w:ascii="Palatino Linotype" w:hAnsi="Palatino Linotype"/>
          <w:lang w:val="tr-TR"/>
        </w:rPr>
        <w:t>ncak</w:t>
      </w:r>
      <w:r w:rsidR="00B41187" w:rsidRPr="00275204">
        <w:rPr>
          <w:rFonts w:ascii="Palatino Linotype" w:hAnsi="Palatino Linotype"/>
          <w:lang w:val="tr-TR"/>
        </w:rPr>
        <w:t>,</w:t>
      </w:r>
      <w:r w:rsidR="00B71761" w:rsidRPr="00275204">
        <w:rPr>
          <w:rFonts w:ascii="Palatino Linotype" w:hAnsi="Palatino Linotype"/>
          <w:lang w:val="tr-TR"/>
        </w:rPr>
        <w:t xml:space="preserve"> bilgi b</w:t>
      </w:r>
      <w:r w:rsidR="00F37CDB" w:rsidRPr="00275204">
        <w:rPr>
          <w:rFonts w:ascii="Palatino Linotype" w:hAnsi="Palatino Linotype"/>
          <w:lang w:val="tr-TR"/>
        </w:rPr>
        <w:t>irikimi, teknolojik ilerlemeler ve</w:t>
      </w:r>
      <w:r w:rsidR="00B71761" w:rsidRPr="00275204">
        <w:rPr>
          <w:rFonts w:ascii="Palatino Linotype" w:hAnsi="Palatino Linotype"/>
          <w:lang w:val="tr-TR"/>
        </w:rPr>
        <w:t xml:space="preserve"> </w:t>
      </w:r>
      <w:r w:rsidR="001C78EA" w:rsidRPr="00275204">
        <w:rPr>
          <w:rFonts w:ascii="Palatino Linotype" w:hAnsi="Palatino Linotype"/>
          <w:lang w:val="tr-TR"/>
        </w:rPr>
        <w:t xml:space="preserve">mevcut kaynakların daha etkin dağılımı </w:t>
      </w:r>
      <w:r w:rsidR="00B71761" w:rsidRPr="00275204">
        <w:rPr>
          <w:rFonts w:ascii="Palatino Linotype" w:hAnsi="Palatino Linotype"/>
          <w:lang w:val="tr-TR"/>
        </w:rPr>
        <w:t xml:space="preserve">ile </w:t>
      </w:r>
      <w:r w:rsidR="000F004F" w:rsidRPr="00275204">
        <w:rPr>
          <w:rFonts w:ascii="Palatino Linotype" w:hAnsi="Palatino Linotype"/>
          <w:lang w:val="tr-TR"/>
        </w:rPr>
        <w:t xml:space="preserve">kalıcı ve istikrarlı bir büyüme </w:t>
      </w:r>
      <w:r w:rsidR="00B71761" w:rsidRPr="00275204">
        <w:rPr>
          <w:rFonts w:ascii="Palatino Linotype" w:hAnsi="Palatino Linotype"/>
          <w:lang w:val="tr-TR"/>
        </w:rPr>
        <w:t xml:space="preserve">mümkündür. Kısacası, sürdürülebilir büyüme için Toplam Faktör Verimliliği (TFV) artırılmalıdır. </w:t>
      </w:r>
    </w:p>
    <w:p w14:paraId="04985927" w14:textId="2273B90F" w:rsidR="00B41187" w:rsidRPr="00275204" w:rsidRDefault="00B41187" w:rsidP="00996E91">
      <w:pPr>
        <w:spacing w:after="240" w:line="276" w:lineRule="auto"/>
        <w:ind w:left="567" w:right="567"/>
        <w:jc w:val="both"/>
        <w:rPr>
          <w:rFonts w:ascii="Palatino Linotype" w:hAnsi="Palatino Linotype"/>
          <w:lang w:val="tr-TR"/>
        </w:rPr>
      </w:pPr>
      <w:r w:rsidRPr="00275204">
        <w:rPr>
          <w:rFonts w:ascii="Palatino Linotype" w:hAnsi="Palatino Linotype"/>
          <w:lang w:val="tr-TR"/>
        </w:rPr>
        <w:t>Çin, Güney Kore ve Hindistan ile Türkiye karşılaştırıldığında, bu ülkelerin Türkiye’den daha hızlı ve daha istikrarlı büyüdükleri görülmektedir. Bu durumda</w:t>
      </w:r>
      <w:r w:rsidR="00FB5144" w:rsidRPr="00275204">
        <w:rPr>
          <w:rFonts w:ascii="Palatino Linotype" w:hAnsi="Palatino Linotype"/>
          <w:lang w:val="tr-TR"/>
        </w:rPr>
        <w:t xml:space="preserve"> bahsi geçen ülkelerin TFV artışlarının Türkiye’den daha </w:t>
      </w:r>
      <w:r w:rsidR="00CA5C64" w:rsidRPr="00275204">
        <w:rPr>
          <w:rFonts w:ascii="Palatino Linotype" w:hAnsi="Palatino Linotype"/>
          <w:lang w:val="tr-TR"/>
        </w:rPr>
        <w:t>yüksek</w:t>
      </w:r>
      <w:r w:rsidR="00FB5144" w:rsidRPr="00275204">
        <w:rPr>
          <w:rFonts w:ascii="Palatino Linotype" w:hAnsi="Palatino Linotype"/>
          <w:lang w:val="tr-TR"/>
        </w:rPr>
        <w:t xml:space="preserve"> olması başlıca etkendir.</w:t>
      </w:r>
    </w:p>
    <w:p w14:paraId="471ED613" w14:textId="2AA4B211" w:rsidR="00C63692" w:rsidRPr="00275204" w:rsidRDefault="00FB5144" w:rsidP="00011583">
      <w:pPr>
        <w:spacing w:after="240" w:line="276" w:lineRule="auto"/>
        <w:ind w:left="567" w:right="567"/>
        <w:jc w:val="both"/>
        <w:rPr>
          <w:rFonts w:ascii="Palatino Linotype" w:hAnsi="Palatino Linotype"/>
          <w:lang w:val="tr-TR"/>
        </w:rPr>
      </w:pPr>
      <w:r w:rsidRPr="00275204">
        <w:rPr>
          <w:rFonts w:ascii="Palatino Linotype" w:hAnsi="Palatino Linotype"/>
          <w:lang w:val="tr-TR"/>
        </w:rPr>
        <w:t xml:space="preserve">1980-2018 yılları arasında Türkiye’de TFV artışı yıllık ortalama </w:t>
      </w:r>
      <w:r w:rsidR="000421EA" w:rsidRPr="00275204">
        <w:rPr>
          <w:rFonts w:ascii="Palatino Linotype" w:hAnsi="Palatino Linotype"/>
          <w:lang w:val="tr-TR"/>
        </w:rPr>
        <w:t>%</w:t>
      </w:r>
      <w:r w:rsidRPr="00275204">
        <w:rPr>
          <w:rFonts w:ascii="Palatino Linotype" w:hAnsi="Palatino Linotype"/>
          <w:lang w:val="tr-TR"/>
        </w:rPr>
        <w:t xml:space="preserve">1 olmuştur. 1980-1989 yılları TFV artışının en fazla olduğu dönemdir. Bu dönemde TFV yıllık ortalama </w:t>
      </w:r>
      <w:r w:rsidR="000421EA" w:rsidRPr="00275204">
        <w:rPr>
          <w:rFonts w:ascii="Palatino Linotype" w:hAnsi="Palatino Linotype"/>
          <w:lang w:val="tr-TR"/>
        </w:rPr>
        <w:t>%</w:t>
      </w:r>
      <w:r w:rsidRPr="00275204">
        <w:rPr>
          <w:rFonts w:ascii="Palatino Linotype" w:hAnsi="Palatino Linotype"/>
          <w:lang w:val="tr-TR"/>
        </w:rPr>
        <w:t>2,</w:t>
      </w:r>
      <w:r w:rsidR="00BE020D" w:rsidRPr="00275204">
        <w:rPr>
          <w:rFonts w:ascii="Palatino Linotype" w:hAnsi="Palatino Linotype"/>
          <w:lang w:val="tr-TR"/>
        </w:rPr>
        <w:t>2</w:t>
      </w:r>
      <w:r w:rsidRPr="00275204">
        <w:rPr>
          <w:rFonts w:ascii="Palatino Linotype" w:hAnsi="Palatino Linotype"/>
          <w:lang w:val="tr-TR"/>
        </w:rPr>
        <w:t xml:space="preserve"> ile </w:t>
      </w:r>
      <w:r w:rsidR="00CA5C64" w:rsidRPr="00275204">
        <w:rPr>
          <w:rFonts w:ascii="Palatino Linotype" w:hAnsi="Palatino Linotype"/>
          <w:lang w:val="tr-TR"/>
        </w:rPr>
        <w:t>yüksek</w:t>
      </w:r>
      <w:r w:rsidRPr="00275204">
        <w:rPr>
          <w:rFonts w:ascii="Palatino Linotype" w:hAnsi="Palatino Linotype"/>
          <w:lang w:val="tr-TR"/>
        </w:rPr>
        <w:t xml:space="preserve"> bir artış göstermiştir. 2003-2013 yıllarında ise bu sayı </w:t>
      </w:r>
      <w:r w:rsidR="000421EA" w:rsidRPr="00275204">
        <w:rPr>
          <w:rFonts w:ascii="Palatino Linotype" w:hAnsi="Palatino Linotype"/>
          <w:lang w:val="tr-TR"/>
        </w:rPr>
        <w:t>%</w:t>
      </w:r>
      <w:r w:rsidR="000C63C8" w:rsidRPr="00275204">
        <w:rPr>
          <w:rFonts w:ascii="Palatino Linotype" w:hAnsi="Palatino Linotype"/>
          <w:lang w:val="tr-TR"/>
        </w:rPr>
        <w:t>1,</w:t>
      </w:r>
      <w:r w:rsidR="00BE020D" w:rsidRPr="00275204">
        <w:rPr>
          <w:rFonts w:ascii="Palatino Linotype" w:hAnsi="Palatino Linotype"/>
          <w:lang w:val="tr-TR"/>
        </w:rPr>
        <w:t>2</w:t>
      </w:r>
      <w:r w:rsidRPr="00275204">
        <w:rPr>
          <w:rFonts w:ascii="Palatino Linotype" w:hAnsi="Palatino Linotype"/>
          <w:lang w:val="tr-TR"/>
        </w:rPr>
        <w:t xml:space="preserve"> ile </w:t>
      </w:r>
      <w:r w:rsidR="000C63C8" w:rsidRPr="00275204">
        <w:rPr>
          <w:rFonts w:ascii="Palatino Linotype" w:hAnsi="Palatino Linotype"/>
          <w:lang w:val="tr-TR"/>
        </w:rPr>
        <w:t>ortalamanın üzerinde</w:t>
      </w:r>
      <w:r w:rsidRPr="00275204">
        <w:rPr>
          <w:rFonts w:ascii="Palatino Linotype" w:hAnsi="Palatino Linotype"/>
          <w:lang w:val="tr-TR"/>
        </w:rPr>
        <w:t xml:space="preserve"> olurken 1990-2002 dönemi </w:t>
      </w:r>
      <w:r w:rsidR="000421EA" w:rsidRPr="00275204">
        <w:rPr>
          <w:rFonts w:ascii="Palatino Linotype" w:hAnsi="Palatino Linotype"/>
          <w:lang w:val="tr-TR"/>
        </w:rPr>
        <w:t>%</w:t>
      </w:r>
      <w:r w:rsidR="000C63C8" w:rsidRPr="00275204">
        <w:rPr>
          <w:rFonts w:ascii="Palatino Linotype" w:hAnsi="Palatino Linotype"/>
          <w:lang w:val="tr-TR"/>
        </w:rPr>
        <w:t>0</w:t>
      </w:r>
      <w:r w:rsidRPr="00275204">
        <w:rPr>
          <w:rFonts w:ascii="Palatino Linotype" w:hAnsi="Palatino Linotype"/>
          <w:lang w:val="tr-TR"/>
        </w:rPr>
        <w:t>,</w:t>
      </w:r>
      <w:r w:rsidR="00BE020D" w:rsidRPr="00275204">
        <w:rPr>
          <w:rFonts w:ascii="Palatino Linotype" w:hAnsi="Palatino Linotype"/>
          <w:lang w:val="tr-TR"/>
        </w:rPr>
        <w:t>4</w:t>
      </w:r>
      <w:r w:rsidRPr="00275204">
        <w:rPr>
          <w:rFonts w:ascii="Palatino Linotype" w:hAnsi="Palatino Linotype"/>
          <w:lang w:val="tr-TR"/>
        </w:rPr>
        <w:t xml:space="preserve"> ile zayıf bir tablo çizmiştir. Türkiye’de TFV büyümesinin 1980-2018 yılları arasında en yavaş olduğu dönem ise 2014-2018 yılları </w:t>
      </w:r>
      <w:r w:rsidR="00DF11BD" w:rsidRPr="00275204">
        <w:rPr>
          <w:rFonts w:ascii="Palatino Linotype" w:hAnsi="Palatino Linotype"/>
          <w:lang w:val="tr-TR"/>
        </w:rPr>
        <w:t>olmuştur ve bu dönemde TFV sabit kalmıştır</w:t>
      </w:r>
      <w:bookmarkEnd w:id="1"/>
      <w:r w:rsidR="00DF11BD" w:rsidRPr="00275204">
        <w:rPr>
          <w:rFonts w:ascii="Palatino Linotype" w:hAnsi="Palatino Linotype"/>
          <w:lang w:val="tr-TR"/>
        </w:rPr>
        <w:t>.</w:t>
      </w:r>
    </w:p>
    <w:p w14:paraId="0B4FF51E" w14:textId="157B498E" w:rsidR="00405483" w:rsidRPr="00275204" w:rsidRDefault="00405483" w:rsidP="00011583">
      <w:pPr>
        <w:spacing w:after="240" w:line="276" w:lineRule="auto"/>
        <w:ind w:left="567" w:right="567"/>
        <w:jc w:val="both"/>
        <w:rPr>
          <w:rFonts w:ascii="Palatino Linotype" w:hAnsi="Palatino Linotype"/>
          <w:lang w:val="tr-TR"/>
        </w:rPr>
      </w:pPr>
    </w:p>
    <w:p w14:paraId="35C19544" w14:textId="5E8832E2" w:rsidR="00405483" w:rsidRPr="00275204" w:rsidRDefault="00405483" w:rsidP="00011583">
      <w:pPr>
        <w:spacing w:after="240" w:line="276" w:lineRule="auto"/>
        <w:ind w:left="567" w:right="567"/>
        <w:jc w:val="both"/>
        <w:rPr>
          <w:rFonts w:ascii="Palatino Linotype" w:hAnsi="Palatino Linotype"/>
          <w:lang w:val="tr-TR"/>
        </w:rPr>
      </w:pPr>
    </w:p>
    <w:p w14:paraId="2A14F87F" w14:textId="018DE54D" w:rsidR="00405483" w:rsidRPr="00275204" w:rsidRDefault="00405483" w:rsidP="00011583">
      <w:pPr>
        <w:spacing w:after="240" w:line="276" w:lineRule="auto"/>
        <w:ind w:left="567" w:right="567"/>
        <w:jc w:val="both"/>
        <w:rPr>
          <w:rFonts w:ascii="Palatino Linotype" w:hAnsi="Palatino Linotype"/>
          <w:lang w:val="tr-TR"/>
        </w:rPr>
      </w:pPr>
    </w:p>
    <w:p w14:paraId="3BCD22F7" w14:textId="7BDD2C08" w:rsidR="001D58D7" w:rsidRPr="00275204" w:rsidRDefault="001D58D7" w:rsidP="00011583">
      <w:pPr>
        <w:spacing w:before="240" w:after="60" w:line="276" w:lineRule="auto"/>
        <w:rPr>
          <w:b/>
          <w:bCs/>
          <w:sz w:val="24"/>
          <w:szCs w:val="24"/>
          <w:lang w:val="tr-TR"/>
        </w:rPr>
      </w:pPr>
      <w:r w:rsidRPr="00275204">
        <w:rPr>
          <w:rFonts w:ascii="Palatino Linotype" w:hAnsi="Palatino Linotype"/>
          <w:b/>
          <w:bCs/>
          <w:sz w:val="26"/>
          <w:szCs w:val="26"/>
          <w:lang w:val="tr-TR"/>
        </w:rPr>
        <w:lastRenderedPageBreak/>
        <w:t>Giriş</w:t>
      </w:r>
    </w:p>
    <w:p w14:paraId="47C3376B" w14:textId="2B54CE1F" w:rsidR="001D58D7" w:rsidRPr="00275204" w:rsidRDefault="001D58D7" w:rsidP="008D161E">
      <w:pPr>
        <w:spacing w:after="240" w:line="276" w:lineRule="auto"/>
        <w:jc w:val="both"/>
        <w:rPr>
          <w:rFonts w:ascii="Palatino Linotype" w:hAnsi="Palatino Linotype"/>
          <w:lang w:val="tr-TR"/>
        </w:rPr>
      </w:pPr>
      <w:bookmarkStart w:id="2" w:name="_Hlk35968352"/>
      <w:r w:rsidRPr="00275204">
        <w:rPr>
          <w:rFonts w:ascii="Palatino Linotype" w:hAnsi="Palatino Linotype"/>
          <w:lang w:val="tr-TR"/>
        </w:rPr>
        <w:t>Bu araştırma notu</w:t>
      </w:r>
      <w:r w:rsidR="00830C70" w:rsidRPr="00275204">
        <w:rPr>
          <w:rFonts w:ascii="Palatino Linotype" w:hAnsi="Palatino Linotype"/>
          <w:lang w:val="tr-TR"/>
        </w:rPr>
        <w:t xml:space="preserve"> Türkiye ekonomisi için</w:t>
      </w:r>
      <w:r w:rsidRPr="00275204">
        <w:rPr>
          <w:rFonts w:ascii="Palatino Linotype" w:hAnsi="Palatino Linotype"/>
          <w:lang w:val="tr-TR"/>
        </w:rPr>
        <w:t xml:space="preserve"> Toplam Faktör Verimliliği (TFV) hesapla</w:t>
      </w:r>
      <w:r w:rsidR="00830C70" w:rsidRPr="00275204">
        <w:rPr>
          <w:rFonts w:ascii="Palatino Linotype" w:hAnsi="Palatino Linotype"/>
          <w:lang w:val="tr-TR"/>
        </w:rPr>
        <w:t>yarak 1980-2018 dönemi</w:t>
      </w:r>
      <w:r w:rsidR="00EE00A9" w:rsidRPr="00275204">
        <w:rPr>
          <w:rFonts w:ascii="Palatino Linotype" w:hAnsi="Palatino Linotype"/>
          <w:lang w:val="tr-TR"/>
        </w:rPr>
        <w:t>ni farklı alt dönemlere ayırmak suretiyle</w:t>
      </w:r>
      <w:r w:rsidR="00830C70" w:rsidRPr="00275204">
        <w:rPr>
          <w:rFonts w:ascii="Palatino Linotype" w:hAnsi="Palatino Linotype"/>
          <w:lang w:val="tr-TR"/>
        </w:rPr>
        <w:t xml:space="preserve"> verimlilik dinamiklerini analiz etmektedir. 1980 yılının başlangıç yılı olarak seçilmesi tesadüfi değildir. 24 Ocak 1980 kararları ile </w:t>
      </w:r>
      <w:r w:rsidRPr="00275204">
        <w:rPr>
          <w:rFonts w:ascii="Palatino Linotype" w:hAnsi="Palatino Linotype"/>
          <w:lang w:val="tr-TR"/>
        </w:rPr>
        <w:t xml:space="preserve">Türkiye’nin </w:t>
      </w:r>
      <w:r w:rsidR="00830C70" w:rsidRPr="00275204">
        <w:rPr>
          <w:rFonts w:ascii="Palatino Linotype" w:hAnsi="Palatino Linotype"/>
          <w:lang w:val="tr-TR"/>
        </w:rPr>
        <w:t>büyüme rejimini değiştirdiği ve</w:t>
      </w:r>
      <w:r w:rsidR="00CA5C64" w:rsidRPr="00275204">
        <w:rPr>
          <w:rFonts w:ascii="Palatino Linotype" w:hAnsi="Palatino Linotype"/>
          <w:lang w:val="tr-TR"/>
        </w:rPr>
        <w:t xml:space="preserve"> dış rekabete karşı koruma altında</w:t>
      </w:r>
      <w:r w:rsidR="00830C70" w:rsidRPr="00275204">
        <w:rPr>
          <w:rFonts w:ascii="Palatino Linotype" w:hAnsi="Palatino Linotype"/>
          <w:lang w:val="tr-TR"/>
        </w:rPr>
        <w:t xml:space="preserve"> </w:t>
      </w:r>
      <w:r w:rsidRPr="00275204">
        <w:rPr>
          <w:rFonts w:ascii="Palatino Linotype" w:hAnsi="Palatino Linotype"/>
          <w:lang w:val="tr-TR"/>
        </w:rPr>
        <w:t xml:space="preserve">ithal ikameci kalkınmayı bırakarak açık piyasa ekonomisine </w:t>
      </w:r>
      <w:r w:rsidR="001C78EA" w:rsidRPr="00275204">
        <w:rPr>
          <w:rFonts w:ascii="Palatino Linotype" w:hAnsi="Palatino Linotype"/>
          <w:lang w:val="tr-TR"/>
        </w:rPr>
        <w:t xml:space="preserve">geçişi başlattığı </w:t>
      </w:r>
      <w:r w:rsidR="00830C70" w:rsidRPr="00275204">
        <w:rPr>
          <w:rFonts w:ascii="Palatino Linotype" w:hAnsi="Palatino Linotype"/>
          <w:lang w:val="tr-TR"/>
        </w:rPr>
        <w:t xml:space="preserve">genel kabul görmektedir. </w:t>
      </w:r>
    </w:p>
    <w:p w14:paraId="1EA1A6E2" w14:textId="6941BB3B" w:rsidR="00C63692" w:rsidRPr="00275204" w:rsidRDefault="00B81C71" w:rsidP="008D161E">
      <w:pPr>
        <w:spacing w:after="240" w:line="276" w:lineRule="auto"/>
        <w:jc w:val="both"/>
        <w:rPr>
          <w:sz w:val="24"/>
          <w:szCs w:val="24"/>
          <w:lang w:val="tr-TR"/>
        </w:rPr>
      </w:pPr>
      <w:r w:rsidRPr="00275204">
        <w:rPr>
          <w:rFonts w:ascii="Palatino Linotype" w:hAnsi="Palatino Linotype"/>
          <w:lang w:val="tr-TR"/>
        </w:rPr>
        <w:t>Verimlilik analizini toplam ekonomi ve 4 büyük sektör (tarım, sanayi, inşaat ve hizmetler) ayrı ayrı iki araştırma notu şeklinde yapmayı tasarladık. Elinizdeki not toplam ekonomiyi ele alan ilk nottur. Sektörel TFV sonuçla</w:t>
      </w:r>
      <w:r w:rsidR="00CA6D87" w:rsidRPr="00275204">
        <w:rPr>
          <w:rFonts w:ascii="Palatino Linotype" w:hAnsi="Palatino Linotype"/>
          <w:lang w:val="tr-TR"/>
        </w:rPr>
        <w:t xml:space="preserve">rının sunulacağı araştırma notu </w:t>
      </w:r>
      <w:r w:rsidR="009B4B87" w:rsidRPr="00275204">
        <w:rPr>
          <w:rFonts w:ascii="Palatino Linotype" w:hAnsi="Palatino Linotype"/>
          <w:lang w:val="tr-TR"/>
        </w:rPr>
        <w:t xml:space="preserve">önümüzdeki günlerde </w:t>
      </w:r>
      <w:r w:rsidRPr="00275204">
        <w:rPr>
          <w:rFonts w:ascii="Palatino Linotype" w:hAnsi="Palatino Linotype"/>
          <w:lang w:val="tr-TR"/>
        </w:rPr>
        <w:t xml:space="preserve">yayınlanacaktır. Bu iki araştırma notunun da daha kapsamlı ve daha teknik konulara odaklanan </w:t>
      </w:r>
      <w:r w:rsidR="00CA6D87" w:rsidRPr="00275204">
        <w:rPr>
          <w:rFonts w:ascii="Palatino Linotype" w:hAnsi="Palatino Linotype"/>
          <w:lang w:val="tr-TR"/>
        </w:rPr>
        <w:t xml:space="preserve">ve yakında yayınlanacak olan </w:t>
      </w:r>
      <w:r w:rsidRPr="00275204">
        <w:rPr>
          <w:rFonts w:ascii="Palatino Linotype" w:hAnsi="Palatino Linotype"/>
          <w:lang w:val="tr-TR"/>
        </w:rPr>
        <w:t xml:space="preserve">çalışma tebliğinden türetildiğini </w:t>
      </w:r>
      <w:bookmarkStart w:id="3" w:name="_Hlk35968867"/>
      <w:r w:rsidR="001C78EA" w:rsidRPr="00275204">
        <w:rPr>
          <w:rFonts w:ascii="Palatino Linotype" w:hAnsi="Palatino Linotype"/>
          <w:lang w:val="tr-TR"/>
        </w:rPr>
        <w:t xml:space="preserve">belirtmek isteriz </w:t>
      </w:r>
      <w:r w:rsidR="008F44C8" w:rsidRPr="00275204">
        <w:rPr>
          <w:rFonts w:ascii="Palatino Linotype" w:hAnsi="Palatino Linotype"/>
          <w:lang w:val="tr-TR"/>
        </w:rPr>
        <w:t>(Bakış ve Acar, 2020)</w:t>
      </w:r>
      <w:bookmarkEnd w:id="3"/>
      <w:r w:rsidRPr="00275204">
        <w:rPr>
          <w:rFonts w:ascii="Palatino Linotype" w:hAnsi="Palatino Linotype"/>
          <w:lang w:val="tr-TR"/>
        </w:rPr>
        <w:t xml:space="preserve">. </w:t>
      </w:r>
      <w:r w:rsidR="00AF6797" w:rsidRPr="00275204">
        <w:rPr>
          <w:rFonts w:ascii="Palatino Linotype" w:hAnsi="Palatino Linotype"/>
          <w:lang w:val="tr-TR"/>
        </w:rPr>
        <w:t>Betam</w:t>
      </w:r>
      <w:r w:rsidR="002D7865" w:rsidRPr="00275204">
        <w:rPr>
          <w:rFonts w:ascii="Palatino Linotype" w:hAnsi="Palatino Linotype"/>
          <w:lang w:val="tr-TR"/>
        </w:rPr>
        <w:t xml:space="preserve"> TFV </w:t>
      </w:r>
      <w:r w:rsidR="002E0A50" w:rsidRPr="00275204">
        <w:rPr>
          <w:rFonts w:ascii="Palatino Linotype" w:hAnsi="Palatino Linotype"/>
          <w:lang w:val="tr-TR"/>
        </w:rPr>
        <w:t>çalışma tebliği</w:t>
      </w:r>
      <w:r w:rsidR="002D7865" w:rsidRPr="00275204">
        <w:rPr>
          <w:rFonts w:ascii="Palatino Linotype" w:hAnsi="Palatino Linotype"/>
          <w:lang w:val="tr-TR"/>
        </w:rPr>
        <w:t>, Türkiye ekonomisi için dönemsel bir sınıflandırma yapmakta ve makro iktisadi göstergelerle TFV sonuçlarını bu dönemlere göre yorumlamaktadır. Bu dönemler 1980-</w:t>
      </w:r>
      <w:r w:rsidR="008F44C8" w:rsidRPr="00275204">
        <w:rPr>
          <w:rFonts w:ascii="Palatino Linotype" w:hAnsi="Palatino Linotype"/>
          <w:lang w:val="tr-TR"/>
        </w:rPr>
        <w:t>19</w:t>
      </w:r>
      <w:r w:rsidR="002D7865" w:rsidRPr="00275204">
        <w:rPr>
          <w:rFonts w:ascii="Palatino Linotype" w:hAnsi="Palatino Linotype"/>
          <w:lang w:val="tr-TR"/>
        </w:rPr>
        <w:t>89, 1990-2002, 2003-2013 ve 2014-2018 dönemleridir. Bu sınıflandırma, Türkiye ekonomisi için önem arz eden değişikliklerin yaşandığı yılla</w:t>
      </w:r>
      <w:r w:rsidR="00577B32" w:rsidRPr="00275204">
        <w:rPr>
          <w:rFonts w:ascii="Palatino Linotype" w:hAnsi="Palatino Linotype"/>
          <w:lang w:val="tr-TR"/>
        </w:rPr>
        <w:t>r seçilerek oluşturulmuştur</w:t>
      </w:r>
      <w:r w:rsidR="001C2943" w:rsidRPr="00275204">
        <w:rPr>
          <w:rStyle w:val="DipnotBavurusu"/>
          <w:rFonts w:ascii="Palatino Linotype" w:hAnsi="Palatino Linotype"/>
          <w:lang w:val="tr-TR"/>
        </w:rPr>
        <w:footnoteReference w:id="5"/>
      </w:r>
      <w:r w:rsidR="00577B32" w:rsidRPr="00275204">
        <w:rPr>
          <w:rFonts w:ascii="Palatino Linotype" w:hAnsi="Palatino Linotype"/>
          <w:lang w:val="tr-TR"/>
        </w:rPr>
        <w:t>.</w:t>
      </w:r>
      <w:r w:rsidR="00EA77D8" w:rsidRPr="00275204">
        <w:rPr>
          <w:rFonts w:ascii="Palatino Linotype" w:hAnsi="Palatino Linotype"/>
          <w:lang w:val="tr-TR"/>
        </w:rPr>
        <w:t xml:space="preserve"> </w:t>
      </w:r>
      <w:r w:rsidRPr="00275204">
        <w:rPr>
          <w:rFonts w:ascii="Palatino Linotype" w:hAnsi="Palatino Linotype"/>
          <w:lang w:val="tr-TR"/>
        </w:rPr>
        <w:t>Her iki a</w:t>
      </w:r>
      <w:r w:rsidR="00EA77D8" w:rsidRPr="00275204">
        <w:rPr>
          <w:rFonts w:ascii="Palatino Linotype" w:hAnsi="Palatino Linotype"/>
          <w:lang w:val="tr-TR"/>
        </w:rPr>
        <w:t xml:space="preserve">raştırma </w:t>
      </w:r>
      <w:r w:rsidRPr="00275204">
        <w:rPr>
          <w:rFonts w:ascii="Palatino Linotype" w:hAnsi="Palatino Linotype"/>
          <w:lang w:val="tr-TR"/>
        </w:rPr>
        <w:t>notunda da</w:t>
      </w:r>
      <w:r w:rsidR="00EA77D8" w:rsidRPr="00275204">
        <w:rPr>
          <w:rFonts w:ascii="Palatino Linotype" w:hAnsi="Palatino Linotype"/>
          <w:lang w:val="tr-TR"/>
        </w:rPr>
        <w:t xml:space="preserve"> </w:t>
      </w:r>
      <w:r w:rsidR="00AF6797" w:rsidRPr="00275204">
        <w:rPr>
          <w:rFonts w:ascii="Palatino Linotype" w:hAnsi="Palatino Linotype"/>
          <w:lang w:val="tr-TR"/>
        </w:rPr>
        <w:t>Betam</w:t>
      </w:r>
      <w:r w:rsidR="00EA77D8" w:rsidRPr="00275204">
        <w:rPr>
          <w:rFonts w:ascii="Palatino Linotype" w:hAnsi="Palatino Linotype"/>
          <w:lang w:val="tr-TR"/>
        </w:rPr>
        <w:t xml:space="preserve"> TFV </w:t>
      </w:r>
      <w:r w:rsidR="002E0A50" w:rsidRPr="00275204">
        <w:rPr>
          <w:rFonts w:ascii="Palatino Linotype" w:hAnsi="Palatino Linotype"/>
          <w:lang w:val="tr-TR"/>
        </w:rPr>
        <w:t>çalışma tebliğinde</w:t>
      </w:r>
      <w:r w:rsidR="00EA77D8" w:rsidRPr="00275204">
        <w:rPr>
          <w:rFonts w:ascii="Palatino Linotype" w:hAnsi="Palatino Linotype"/>
          <w:lang w:val="tr-TR"/>
        </w:rPr>
        <w:t xml:space="preserve"> kullanılan dönemsel sınıflandırmaya uygun olarak makro iktisadi verileri yorumluyor olacağız.</w:t>
      </w:r>
      <w:bookmarkEnd w:id="2"/>
    </w:p>
    <w:p w14:paraId="4BC5314F" w14:textId="25ED60A7" w:rsidR="004F32DC" w:rsidRPr="00275204" w:rsidRDefault="004F32DC" w:rsidP="00011583">
      <w:pPr>
        <w:spacing w:before="240" w:after="60" w:line="276" w:lineRule="auto"/>
        <w:rPr>
          <w:rFonts w:ascii="Palatino Linotype" w:hAnsi="Palatino Linotype"/>
          <w:b/>
          <w:bCs/>
          <w:sz w:val="26"/>
          <w:szCs w:val="26"/>
          <w:lang w:val="tr-TR"/>
        </w:rPr>
      </w:pPr>
      <w:bookmarkStart w:id="4" w:name="_Hlk35968402"/>
      <w:r w:rsidRPr="00275204">
        <w:rPr>
          <w:rFonts w:ascii="Palatino Linotype" w:hAnsi="Palatino Linotype"/>
          <w:b/>
          <w:bCs/>
          <w:sz w:val="26"/>
          <w:szCs w:val="26"/>
          <w:lang w:val="tr-TR"/>
        </w:rPr>
        <w:t>Türkiye’de İstihdamın Seyri</w:t>
      </w:r>
    </w:p>
    <w:p w14:paraId="115425A1" w14:textId="28704D4F" w:rsidR="000421EA" w:rsidRPr="00275204" w:rsidRDefault="00AD3BC8" w:rsidP="008D161E">
      <w:pPr>
        <w:spacing w:after="240" w:line="276" w:lineRule="auto"/>
        <w:jc w:val="both"/>
        <w:rPr>
          <w:rFonts w:ascii="Palatino Linotype" w:hAnsi="Palatino Linotype"/>
          <w:lang w:val="tr-TR"/>
        </w:rPr>
      </w:pPr>
      <w:bookmarkStart w:id="5" w:name="_Hlk35968600"/>
      <w:bookmarkEnd w:id="4"/>
      <w:r w:rsidRPr="00275204">
        <w:rPr>
          <w:rFonts w:ascii="Palatino Linotype" w:hAnsi="Palatino Linotype"/>
          <w:lang w:val="tr-TR"/>
        </w:rPr>
        <w:t>Türkiye’de toplam</w:t>
      </w:r>
      <w:r w:rsidR="004F32DC" w:rsidRPr="00275204">
        <w:rPr>
          <w:rFonts w:ascii="Palatino Linotype" w:hAnsi="Palatino Linotype"/>
          <w:color w:val="FF0000"/>
          <w:lang w:val="tr-TR"/>
        </w:rPr>
        <w:t xml:space="preserve"> </w:t>
      </w:r>
      <w:r w:rsidR="004F32DC" w:rsidRPr="00275204">
        <w:rPr>
          <w:rFonts w:ascii="Palatino Linotype" w:hAnsi="Palatino Linotype"/>
          <w:lang w:val="tr-TR"/>
        </w:rPr>
        <w:t>istihdam 1980’de 14,9 milyon kişiden 2018 yılında 28,7 milyon</w:t>
      </w:r>
      <w:r w:rsidR="00712B2D" w:rsidRPr="00275204">
        <w:rPr>
          <w:rFonts w:ascii="Palatino Linotype" w:hAnsi="Palatino Linotype"/>
          <w:lang w:val="tr-TR"/>
        </w:rPr>
        <w:t xml:space="preserve"> </w:t>
      </w:r>
      <w:r w:rsidR="004F32DC" w:rsidRPr="00275204">
        <w:rPr>
          <w:rFonts w:ascii="Palatino Linotype" w:hAnsi="Palatino Linotype"/>
          <w:lang w:val="tr-TR"/>
        </w:rPr>
        <w:t>kişiye ulaş</w:t>
      </w:r>
      <w:r w:rsidR="00EE00A9" w:rsidRPr="00275204">
        <w:rPr>
          <w:rFonts w:ascii="Palatino Linotype" w:hAnsi="Palatino Linotype"/>
          <w:lang w:val="tr-TR"/>
        </w:rPr>
        <w:t>mış ve toplamda</w:t>
      </w:r>
      <w:r w:rsidR="004F32DC" w:rsidRPr="00275204">
        <w:rPr>
          <w:rFonts w:ascii="Palatino Linotype" w:hAnsi="Palatino Linotype"/>
          <w:lang w:val="tr-TR"/>
        </w:rPr>
        <w:t xml:space="preserve"> %93,1 oranında artmıştır</w:t>
      </w:r>
      <w:r w:rsidR="00B071B6" w:rsidRPr="00275204">
        <w:rPr>
          <w:rStyle w:val="DipnotBavurusu"/>
          <w:rFonts w:ascii="Palatino Linotype" w:hAnsi="Palatino Linotype"/>
          <w:lang w:val="tr-TR"/>
        </w:rPr>
        <w:footnoteReference w:id="6"/>
      </w:r>
      <w:r w:rsidR="004F32DC" w:rsidRPr="00275204">
        <w:rPr>
          <w:rFonts w:ascii="Palatino Linotype" w:hAnsi="Palatino Linotype"/>
          <w:lang w:val="tr-TR"/>
        </w:rPr>
        <w:t>. Aynı yıllarda toplam nüfus sırasıyla 44,7 ve 82,0 milyon kişidir. Bu da nüfustaki toplam artışın %83,3 olduğunu göstermektedir. İstihdamdaki artışın nüfus artışından daha fazla olması Türkiye gibi genç nüfuslu bir ülke için beklen</w:t>
      </w:r>
      <w:r w:rsidR="006375C2" w:rsidRPr="00275204">
        <w:rPr>
          <w:rFonts w:ascii="Palatino Linotype" w:hAnsi="Palatino Linotype"/>
          <w:lang w:val="tr-TR"/>
        </w:rPr>
        <w:t>en</w:t>
      </w:r>
      <w:r w:rsidR="004F32DC" w:rsidRPr="00275204">
        <w:rPr>
          <w:rFonts w:ascii="Palatino Linotype" w:hAnsi="Palatino Linotype"/>
          <w:lang w:val="tr-TR"/>
        </w:rPr>
        <w:t xml:space="preserve"> bir sonuçtur. İki artış oranının birbirine bu kadar yakın olması iş gücüne katılımdaki</w:t>
      </w:r>
      <w:r w:rsidR="00E56CBB" w:rsidRPr="00275204">
        <w:rPr>
          <w:rFonts w:ascii="Palatino Linotype" w:hAnsi="Palatino Linotype"/>
          <w:lang w:val="tr-TR"/>
        </w:rPr>
        <w:t xml:space="preserve"> özellikle kadınlardaki</w:t>
      </w:r>
      <w:r w:rsidR="004F32DC" w:rsidRPr="00275204">
        <w:rPr>
          <w:rFonts w:ascii="Palatino Linotype" w:hAnsi="Palatino Linotype"/>
          <w:lang w:val="tr-TR"/>
        </w:rPr>
        <w:t xml:space="preserve"> düşüklük nedeniyledir.</w:t>
      </w:r>
      <w:bookmarkEnd w:id="5"/>
    </w:p>
    <w:p w14:paraId="308948EC" w14:textId="7752A185" w:rsidR="00986F10" w:rsidRPr="00275204" w:rsidRDefault="00986F10" w:rsidP="00986F10">
      <w:pPr>
        <w:spacing w:after="240" w:line="276" w:lineRule="auto"/>
        <w:jc w:val="both"/>
        <w:rPr>
          <w:rFonts w:ascii="Palatino Linotype" w:hAnsi="Palatino Linotype"/>
          <w:lang w:val="tr-TR"/>
        </w:rPr>
      </w:pPr>
      <w:r w:rsidRPr="00275204">
        <w:rPr>
          <w:rFonts w:ascii="Palatino Linotype" w:hAnsi="Palatino Linotype"/>
          <w:lang w:val="tr-TR"/>
        </w:rPr>
        <w:t>İstihdamda yıllık düşüşlerin yaşandığı bazı yıllar Şekil 1’de göze çarpmaktadır. Bu yıllar 1988, 1993, 2000, 2001, 2002 ve 2003 yıllarıdır. 2009 yılında ise istihdamda krize rağmen sınırlı bir artış yaşanmıştır.</w:t>
      </w:r>
      <w:r w:rsidR="00E56CBB" w:rsidRPr="00275204">
        <w:rPr>
          <w:rStyle w:val="DipnotBavurusu"/>
          <w:rFonts w:ascii="Palatino Linotype" w:hAnsi="Palatino Linotype"/>
          <w:lang w:val="tr-TR"/>
        </w:rPr>
        <w:footnoteReference w:id="7"/>
      </w:r>
      <w:r w:rsidRPr="00275204">
        <w:rPr>
          <w:rFonts w:ascii="Palatino Linotype" w:hAnsi="Palatino Linotype"/>
          <w:lang w:val="tr-TR"/>
        </w:rPr>
        <w:t xml:space="preserve"> İstihdamda azalma yaşanan yıllar genel olarak ekonomik kriz yıllarıdır. 1988 ve 1989 yıllarında ise ekonomik daralma olmamasına rağmen önemli bir yavaşlama yaşanmıştır (GSYH büyümesi sırasıyla %2,1 ve %0,3). Bu yıllarda istihdamın azalması ise bu durgunlukla bağlantılıdır.</w:t>
      </w:r>
    </w:p>
    <w:p w14:paraId="637FD98B" w14:textId="1DBF651F" w:rsidR="004F32DC" w:rsidRPr="00275204" w:rsidRDefault="00986F10" w:rsidP="008D161E">
      <w:pPr>
        <w:spacing w:after="240" w:line="276" w:lineRule="auto"/>
        <w:jc w:val="both"/>
        <w:rPr>
          <w:rFonts w:ascii="Palatino Linotype" w:hAnsi="Palatino Linotype"/>
          <w:b/>
          <w:bCs/>
          <w:lang w:val="tr-TR"/>
        </w:rPr>
      </w:pPr>
      <w:r w:rsidRPr="00275204">
        <w:rPr>
          <w:rFonts w:ascii="Palatino Linotype" w:hAnsi="Palatino Linotype"/>
          <w:b/>
          <w:bCs/>
          <w:lang w:val="tr-TR"/>
        </w:rPr>
        <w:br w:type="column"/>
      </w:r>
      <w:r w:rsidR="00011583" w:rsidRPr="00275204">
        <w:rPr>
          <w:rFonts w:ascii="Palatino Linotype" w:hAnsi="Palatino Linotype"/>
          <w:b/>
          <w:bCs/>
          <w:lang w:val="tr-TR"/>
        </w:rPr>
        <w:lastRenderedPageBreak/>
        <w:t>Şekil</w:t>
      </w:r>
      <w:r w:rsidR="000421EA" w:rsidRPr="00275204">
        <w:rPr>
          <w:rFonts w:ascii="Palatino Linotype" w:hAnsi="Palatino Linotype"/>
          <w:b/>
          <w:bCs/>
          <w:lang w:val="tr-TR"/>
        </w:rPr>
        <w:t xml:space="preserve"> 1: Toplam</w:t>
      </w:r>
      <w:r w:rsidR="004F32DC" w:rsidRPr="00275204">
        <w:rPr>
          <w:rFonts w:ascii="Palatino Linotype" w:hAnsi="Palatino Linotype"/>
          <w:b/>
          <w:bCs/>
          <w:color w:val="FF0000"/>
          <w:lang w:val="tr-TR"/>
        </w:rPr>
        <w:t xml:space="preserve"> </w:t>
      </w:r>
      <w:r w:rsidR="004F32DC" w:rsidRPr="00275204">
        <w:rPr>
          <w:rFonts w:ascii="Palatino Linotype" w:hAnsi="Palatino Linotype"/>
          <w:b/>
          <w:bCs/>
          <w:lang w:val="tr-TR"/>
        </w:rPr>
        <w:t>İstihdamın Yıllara Göre Değişimi, Milyon Kişi</w:t>
      </w:r>
    </w:p>
    <w:p w14:paraId="3AC989EE" w14:textId="77777777" w:rsidR="004F32DC" w:rsidRPr="00275204" w:rsidRDefault="004F32DC" w:rsidP="008D161E">
      <w:pPr>
        <w:spacing w:after="240" w:line="276" w:lineRule="auto"/>
        <w:jc w:val="both"/>
        <w:rPr>
          <w:b/>
          <w:bCs/>
          <w:sz w:val="24"/>
          <w:szCs w:val="24"/>
          <w:lang w:val="tr-TR"/>
        </w:rPr>
      </w:pPr>
      <w:r w:rsidRPr="00275204">
        <w:rPr>
          <w:noProof/>
          <w:sz w:val="24"/>
          <w:szCs w:val="24"/>
          <w:lang w:eastAsia="en-GB"/>
        </w:rPr>
        <w:drawing>
          <wp:inline distT="0" distB="0" distL="0" distR="0" wp14:anchorId="3706C93D" wp14:editId="1A62EEB2">
            <wp:extent cx="4584700" cy="2755900"/>
            <wp:effectExtent l="0" t="0" r="6350" b="6350"/>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3C98341E" w14:textId="23275E21" w:rsidR="008D161E" w:rsidRPr="00275204" w:rsidRDefault="004F32DC" w:rsidP="008D161E">
      <w:pPr>
        <w:spacing w:after="240" w:line="276" w:lineRule="auto"/>
        <w:jc w:val="both"/>
        <w:rPr>
          <w:rFonts w:ascii="Palatino Linotype" w:hAnsi="Palatino Linotype"/>
          <w:sz w:val="24"/>
          <w:szCs w:val="24"/>
          <w:lang w:val="tr-TR"/>
        </w:rPr>
      </w:pPr>
      <w:r w:rsidRPr="00275204">
        <w:rPr>
          <w:rFonts w:ascii="Palatino Linotype" w:hAnsi="Palatino Linotype"/>
          <w:b/>
          <w:bCs/>
          <w:sz w:val="20"/>
          <w:szCs w:val="20"/>
          <w:lang w:val="tr-TR"/>
        </w:rPr>
        <w:t>Kaynak:</w:t>
      </w:r>
      <w:r w:rsidRPr="00275204">
        <w:rPr>
          <w:rFonts w:ascii="Palatino Linotype" w:hAnsi="Palatino Linotype"/>
          <w:sz w:val="20"/>
          <w:szCs w:val="20"/>
          <w:lang w:val="tr-TR"/>
        </w:rPr>
        <w:t xml:space="preserve"> T</w:t>
      </w:r>
      <w:r w:rsidR="00ED6BDB" w:rsidRPr="00275204">
        <w:rPr>
          <w:rFonts w:ascii="Palatino Linotype" w:hAnsi="Palatino Linotype"/>
          <w:sz w:val="20"/>
          <w:szCs w:val="20"/>
          <w:lang w:val="tr-TR"/>
        </w:rPr>
        <w:t>U</w:t>
      </w:r>
      <w:r w:rsidRPr="00275204">
        <w:rPr>
          <w:rFonts w:ascii="Palatino Linotype" w:hAnsi="Palatino Linotype"/>
          <w:sz w:val="20"/>
          <w:szCs w:val="20"/>
          <w:lang w:val="tr-TR"/>
        </w:rPr>
        <w:t xml:space="preserve">İK, </w:t>
      </w:r>
      <w:r w:rsidR="003435E4" w:rsidRPr="00275204">
        <w:rPr>
          <w:rFonts w:ascii="Palatino Linotype" w:hAnsi="Palatino Linotype"/>
          <w:sz w:val="20"/>
          <w:szCs w:val="20"/>
          <w:lang w:val="tr-TR"/>
        </w:rPr>
        <w:t>Betam</w:t>
      </w:r>
      <w:r w:rsidR="008D161E" w:rsidRPr="00275204">
        <w:rPr>
          <w:rFonts w:ascii="Palatino Linotype" w:hAnsi="Palatino Linotype"/>
          <w:sz w:val="20"/>
          <w:szCs w:val="20"/>
          <w:lang w:val="tr-TR"/>
        </w:rPr>
        <w:t xml:space="preserve">. </w:t>
      </w:r>
    </w:p>
    <w:p w14:paraId="66F86F49" w14:textId="25DCCC98" w:rsidR="006C2557" w:rsidRPr="00275204" w:rsidRDefault="00D91033" w:rsidP="008D161E">
      <w:pPr>
        <w:spacing w:after="240" w:line="276" w:lineRule="auto"/>
        <w:jc w:val="both"/>
        <w:rPr>
          <w:sz w:val="24"/>
          <w:szCs w:val="24"/>
          <w:lang w:val="tr-TR"/>
        </w:rPr>
      </w:pPr>
      <w:r w:rsidRPr="00275204">
        <w:rPr>
          <w:rFonts w:ascii="Palatino Linotype" w:hAnsi="Palatino Linotype"/>
          <w:lang w:val="tr-TR"/>
        </w:rPr>
        <w:t xml:space="preserve">Türkiye’de istihdamın en hızlı arttığı dönem 2003-2013 dönemidir. Bu yıllarda istihdam yıllık ortalama %2,6 genişlemiştir. 2014-2018 döneminde de yıllık ortalama istihdam artış hızı hayli güçlüdür (%2,4). 1990-2002 yılları arasında istihdam artışı yıllık ortalama %1,3 ile sınırlı kalırken 1981-1989 dönemi bu anlamda en kötü dönem olmuştur (%1,1). </w:t>
      </w:r>
      <w:r w:rsidR="006C2557" w:rsidRPr="00275204">
        <w:rPr>
          <w:rFonts w:ascii="Palatino Linotype" w:hAnsi="Palatino Linotype"/>
          <w:lang w:val="tr-TR"/>
        </w:rPr>
        <w:t>2003 sonrası istihdamdaki artışlar işsizlik oranını düşürmeye yetmemiştir zira iş</w:t>
      </w:r>
      <w:r w:rsidR="00986F10" w:rsidRPr="00275204">
        <w:rPr>
          <w:rFonts w:ascii="Palatino Linotype" w:hAnsi="Palatino Linotype"/>
          <w:lang w:val="tr-TR"/>
        </w:rPr>
        <w:t xml:space="preserve"> </w:t>
      </w:r>
      <w:r w:rsidR="006C2557" w:rsidRPr="00275204">
        <w:rPr>
          <w:rFonts w:ascii="Palatino Linotype" w:hAnsi="Palatino Linotype"/>
          <w:lang w:val="tr-TR"/>
        </w:rPr>
        <w:t>gücüne katılan nüfus da her yıl artmış, özellikle de 2010 sonrasında kadınların iş</w:t>
      </w:r>
      <w:r w:rsidR="00986F10" w:rsidRPr="00275204">
        <w:rPr>
          <w:rFonts w:ascii="Palatino Linotype" w:hAnsi="Palatino Linotype"/>
          <w:lang w:val="tr-TR"/>
        </w:rPr>
        <w:t xml:space="preserve"> </w:t>
      </w:r>
      <w:r w:rsidR="006C2557" w:rsidRPr="00275204">
        <w:rPr>
          <w:rFonts w:ascii="Palatino Linotype" w:hAnsi="Palatino Linotype"/>
          <w:lang w:val="tr-TR"/>
        </w:rPr>
        <w:t>gücüne katılımı hızlanmıştır.</w:t>
      </w:r>
    </w:p>
    <w:p w14:paraId="0AE38474" w14:textId="15227BEA" w:rsidR="004F32DC" w:rsidRPr="00275204" w:rsidRDefault="004F32DC" w:rsidP="008D161E">
      <w:pPr>
        <w:spacing w:before="240" w:after="60" w:line="276" w:lineRule="auto"/>
        <w:jc w:val="both"/>
        <w:rPr>
          <w:rFonts w:ascii="Palatino Linotype" w:hAnsi="Palatino Linotype"/>
          <w:b/>
          <w:bCs/>
          <w:sz w:val="26"/>
          <w:szCs w:val="26"/>
          <w:lang w:val="tr-TR"/>
        </w:rPr>
      </w:pPr>
      <w:r w:rsidRPr="00275204">
        <w:rPr>
          <w:rFonts w:ascii="Palatino Linotype" w:hAnsi="Palatino Linotype"/>
          <w:b/>
          <w:bCs/>
          <w:sz w:val="26"/>
          <w:szCs w:val="26"/>
          <w:lang w:val="tr-TR"/>
        </w:rPr>
        <w:t>Türkiye’de İş Gücü Verimliliği</w:t>
      </w:r>
    </w:p>
    <w:p w14:paraId="555D0233" w14:textId="43703DBE" w:rsidR="004F32DC" w:rsidRPr="00275204" w:rsidRDefault="004F32DC" w:rsidP="008D161E">
      <w:pPr>
        <w:spacing w:after="240" w:line="276" w:lineRule="auto"/>
        <w:jc w:val="both"/>
        <w:rPr>
          <w:rFonts w:ascii="Palatino Linotype" w:hAnsi="Palatino Linotype"/>
          <w:lang w:val="tr-TR"/>
        </w:rPr>
      </w:pPr>
      <w:r w:rsidRPr="00275204">
        <w:rPr>
          <w:rFonts w:ascii="Palatino Linotype" w:hAnsi="Palatino Linotype"/>
          <w:lang w:val="tr-TR"/>
        </w:rPr>
        <w:t xml:space="preserve">İş gücü verimliliği </w:t>
      </w:r>
      <w:r w:rsidR="000D3E57" w:rsidRPr="00275204">
        <w:rPr>
          <w:rFonts w:ascii="Palatino Linotype" w:hAnsi="Palatino Linotype"/>
          <w:lang w:val="tr-TR"/>
        </w:rPr>
        <w:t xml:space="preserve">(katma değer / istihdam) </w:t>
      </w:r>
      <w:r w:rsidRPr="00275204">
        <w:rPr>
          <w:rFonts w:ascii="Palatino Linotype" w:hAnsi="Palatino Linotype"/>
          <w:lang w:val="tr-TR"/>
        </w:rPr>
        <w:t>2009 sabit fiyatlarla hesaplanan GSYH’nin istihdama bölünmesiyle elde edilmiştir. İş gücü verimliliği başlangıç yılında (1980) 100’e eşitlenmiş ve diğer yıllar buna göre normal</w:t>
      </w:r>
      <w:r w:rsidR="00AD28E0" w:rsidRPr="00275204">
        <w:rPr>
          <w:rFonts w:ascii="Palatino Linotype" w:hAnsi="Palatino Linotype"/>
          <w:lang w:val="tr-TR"/>
        </w:rPr>
        <w:t>leştirilmiştir</w:t>
      </w:r>
      <w:r w:rsidRPr="00275204">
        <w:rPr>
          <w:rFonts w:ascii="Palatino Linotype" w:hAnsi="Palatino Linotype"/>
          <w:lang w:val="tr-TR"/>
        </w:rPr>
        <w:t xml:space="preserve">. 1980’den 2018’e iş gücü verimliliği yaklaşık 3 kat artış göstermiştir. </w:t>
      </w:r>
    </w:p>
    <w:p w14:paraId="6C2A30DF" w14:textId="6C4680AC" w:rsidR="004F32DC" w:rsidRPr="00275204" w:rsidRDefault="00986F10" w:rsidP="008D161E">
      <w:pPr>
        <w:spacing w:after="240" w:line="276" w:lineRule="auto"/>
        <w:jc w:val="both"/>
        <w:rPr>
          <w:rFonts w:ascii="Palatino Linotype" w:hAnsi="Palatino Linotype"/>
          <w:lang w:val="tr-TR"/>
        </w:rPr>
      </w:pPr>
      <w:r w:rsidRPr="00275204">
        <w:rPr>
          <w:rFonts w:ascii="Palatino Linotype" w:hAnsi="Palatino Linotype"/>
          <w:lang w:val="tr-TR"/>
        </w:rPr>
        <w:t>S</w:t>
      </w:r>
      <w:r w:rsidR="004F32DC" w:rsidRPr="00275204">
        <w:rPr>
          <w:rFonts w:ascii="Palatino Linotype" w:hAnsi="Palatino Linotype"/>
          <w:lang w:val="tr-TR"/>
        </w:rPr>
        <w:t>erinin ekonomik döngülerden etkilendiği görülmektedir. Örneğin 1994, 2001 ve 2009 yıllarında iş gücü verimliliğinde önemli düşüşler olmuştur. Bu yıllarda istihdam azalmasının ekonomik çıktıdan daha yavaş azalması etkili olmaktadır. Emek piyasasında sözleşmeler nedeniyle firmaların üretimleri azalmasına rağmen istihdamlarını aynı oranda düşürememesi, bazı istihdam türlerinin çıktıdan daha az etkilenmesi (özellikle idari işlerde çalışan kesim), kamu istihdamı gibi faktörler bu durumda etkilidir.</w:t>
      </w:r>
    </w:p>
    <w:p w14:paraId="3DB96EE3" w14:textId="43521CDB" w:rsidR="00565883" w:rsidRPr="00275204" w:rsidRDefault="00986F10" w:rsidP="00565883">
      <w:pPr>
        <w:spacing w:after="240" w:line="276" w:lineRule="auto"/>
        <w:jc w:val="both"/>
        <w:rPr>
          <w:rFonts w:ascii="Palatino Linotype" w:hAnsi="Palatino Linotype"/>
          <w:lang w:val="tr-TR"/>
        </w:rPr>
      </w:pPr>
      <w:r w:rsidRPr="00275204">
        <w:rPr>
          <w:rFonts w:ascii="Palatino Linotype" w:hAnsi="Palatino Linotype"/>
          <w:lang w:val="tr-TR"/>
        </w:rPr>
        <w:t xml:space="preserve">Şekil 2’de iş gücü verimliliğinin dönemlere göre yıllık ortalama artış oranları sunulmuştur. </w:t>
      </w:r>
      <w:r w:rsidR="004F32DC" w:rsidRPr="00275204">
        <w:rPr>
          <w:rFonts w:ascii="Palatino Linotype" w:hAnsi="Palatino Linotype"/>
          <w:lang w:val="tr-TR"/>
        </w:rPr>
        <w:t>İ</w:t>
      </w:r>
      <w:r w:rsidR="00D557A2" w:rsidRPr="00275204">
        <w:rPr>
          <w:rFonts w:ascii="Palatino Linotype" w:hAnsi="Palatino Linotype"/>
          <w:lang w:val="tr-TR"/>
        </w:rPr>
        <w:t>ş gücü verimliliği 1981-1989 döneminde %3,7 yıllık ortalama</w:t>
      </w:r>
      <w:r w:rsidR="004F32DC" w:rsidRPr="00275204">
        <w:rPr>
          <w:rFonts w:ascii="Palatino Linotype" w:hAnsi="Palatino Linotype"/>
          <w:lang w:val="tr-TR"/>
        </w:rPr>
        <w:t xml:space="preserve"> artış kaydederken 2003-2013 yılları a</w:t>
      </w:r>
      <w:r w:rsidR="00D557A2" w:rsidRPr="00275204">
        <w:rPr>
          <w:rFonts w:ascii="Palatino Linotype" w:hAnsi="Palatino Linotype"/>
          <w:lang w:val="tr-TR"/>
        </w:rPr>
        <w:t>rasında da hızlı bir büyüme (yıllık ortalama %3</w:t>
      </w:r>
      <w:r w:rsidR="004F32DC" w:rsidRPr="00275204">
        <w:rPr>
          <w:rFonts w:ascii="Palatino Linotype" w:hAnsi="Palatino Linotype"/>
          <w:lang w:val="tr-TR"/>
        </w:rPr>
        <w:t>,2) sergilemiştir. 1990-2002 yıl</w:t>
      </w:r>
      <w:r w:rsidR="00D557A2" w:rsidRPr="00275204">
        <w:rPr>
          <w:rFonts w:ascii="Palatino Linotype" w:hAnsi="Palatino Linotype"/>
          <w:lang w:val="tr-TR"/>
        </w:rPr>
        <w:t xml:space="preserve">larında </w:t>
      </w:r>
      <w:r w:rsidR="00D557A2" w:rsidRPr="00275204">
        <w:rPr>
          <w:rFonts w:ascii="Palatino Linotype" w:hAnsi="Palatino Linotype"/>
          <w:lang w:val="tr-TR"/>
        </w:rPr>
        <w:lastRenderedPageBreak/>
        <w:t>iş gücü üretkenliği %2,5 yıllık ortalama artış</w:t>
      </w:r>
      <w:r w:rsidR="004F32DC" w:rsidRPr="00275204">
        <w:rPr>
          <w:rFonts w:ascii="Palatino Linotype" w:hAnsi="Palatino Linotype"/>
          <w:lang w:val="tr-TR"/>
        </w:rPr>
        <w:t xml:space="preserve"> ile daha ılımlı bir seyir izlerken 2014-2018 yılları arasında</w:t>
      </w:r>
      <w:r w:rsidR="00D557A2" w:rsidRPr="00275204">
        <w:rPr>
          <w:rFonts w:ascii="Palatino Linotype" w:hAnsi="Palatino Linotype"/>
          <w:lang w:val="tr-TR"/>
        </w:rPr>
        <w:t xml:space="preserve"> da bu </w:t>
      </w:r>
      <w:r w:rsidR="000D3E57" w:rsidRPr="00275204">
        <w:rPr>
          <w:rFonts w:ascii="Palatino Linotype" w:hAnsi="Palatino Linotype"/>
          <w:lang w:val="tr-TR"/>
        </w:rPr>
        <w:t>oran</w:t>
      </w:r>
      <w:r w:rsidR="00D557A2" w:rsidRPr="00275204">
        <w:rPr>
          <w:rFonts w:ascii="Palatino Linotype" w:hAnsi="Palatino Linotype"/>
          <w:lang w:val="tr-TR"/>
        </w:rPr>
        <w:t xml:space="preserve"> yine %2,5 olmuştur</w:t>
      </w:r>
      <w:r w:rsidR="004F32DC" w:rsidRPr="00275204">
        <w:rPr>
          <w:rFonts w:ascii="Palatino Linotype" w:hAnsi="Palatino Linotype"/>
          <w:lang w:val="tr-TR"/>
        </w:rPr>
        <w:t>.</w:t>
      </w:r>
    </w:p>
    <w:p w14:paraId="3F38D7C3" w14:textId="31023BB5" w:rsidR="004F32DC" w:rsidRPr="00275204" w:rsidRDefault="00011583" w:rsidP="00565883">
      <w:pPr>
        <w:spacing w:after="240" w:line="276" w:lineRule="auto"/>
        <w:jc w:val="both"/>
        <w:rPr>
          <w:rFonts w:ascii="Palatino Linotype" w:hAnsi="Palatino Linotype"/>
          <w:b/>
          <w:bCs/>
          <w:lang w:val="tr-TR"/>
        </w:rPr>
      </w:pPr>
      <w:r w:rsidRPr="00275204">
        <w:rPr>
          <w:rFonts w:ascii="Palatino Linotype" w:hAnsi="Palatino Linotype"/>
          <w:b/>
          <w:bCs/>
          <w:lang w:val="tr-TR"/>
        </w:rPr>
        <w:t>Şekil</w:t>
      </w:r>
      <w:r w:rsidR="00D557A2" w:rsidRPr="00275204">
        <w:rPr>
          <w:rFonts w:ascii="Palatino Linotype" w:hAnsi="Palatino Linotype"/>
          <w:b/>
          <w:bCs/>
          <w:lang w:val="tr-TR"/>
        </w:rPr>
        <w:t xml:space="preserve"> 2: </w:t>
      </w:r>
      <w:r w:rsidR="004F32DC" w:rsidRPr="00275204">
        <w:rPr>
          <w:rFonts w:ascii="Palatino Linotype" w:hAnsi="Palatino Linotype"/>
          <w:b/>
          <w:bCs/>
          <w:lang w:val="tr-TR"/>
        </w:rPr>
        <w:t>Türkiye’de İş Gücü Üretkenliği</w:t>
      </w:r>
      <w:r w:rsidR="00D557A2" w:rsidRPr="00275204">
        <w:rPr>
          <w:rFonts w:ascii="Palatino Linotype" w:hAnsi="Palatino Linotype"/>
          <w:b/>
          <w:bCs/>
          <w:lang w:val="tr-TR"/>
        </w:rPr>
        <w:t>nin Yıllık Ortalama Büyüme Oranı</w:t>
      </w:r>
    </w:p>
    <w:p w14:paraId="02BA30E8" w14:textId="4D491AC2" w:rsidR="004F32DC" w:rsidRPr="00275204" w:rsidRDefault="002560A4" w:rsidP="008D161E">
      <w:pPr>
        <w:spacing w:after="240" w:line="276" w:lineRule="auto"/>
        <w:jc w:val="both"/>
        <w:rPr>
          <w:sz w:val="24"/>
          <w:szCs w:val="24"/>
          <w:lang w:val="tr-TR"/>
        </w:rPr>
      </w:pPr>
      <w:r w:rsidRPr="00275204">
        <w:rPr>
          <w:noProof/>
          <w:sz w:val="24"/>
          <w:szCs w:val="24"/>
          <w:lang w:eastAsia="en-GB"/>
        </w:rPr>
        <w:drawing>
          <wp:inline distT="0" distB="0" distL="0" distR="0" wp14:anchorId="45803951" wp14:editId="7FED4A52">
            <wp:extent cx="4584700" cy="2755900"/>
            <wp:effectExtent l="0" t="0" r="6350" b="635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6203B710" w14:textId="23D450AA" w:rsidR="004F32DC" w:rsidRPr="00275204" w:rsidRDefault="004F32DC" w:rsidP="008D161E">
      <w:pPr>
        <w:spacing w:after="240" w:line="276" w:lineRule="auto"/>
        <w:jc w:val="both"/>
        <w:rPr>
          <w:rFonts w:ascii="Palatino Linotype" w:hAnsi="Palatino Linotype"/>
          <w:sz w:val="24"/>
          <w:szCs w:val="24"/>
          <w:lang w:val="tr-TR"/>
        </w:rPr>
      </w:pPr>
      <w:r w:rsidRPr="00275204">
        <w:rPr>
          <w:rFonts w:ascii="Palatino Linotype" w:hAnsi="Palatino Linotype"/>
          <w:b/>
          <w:bCs/>
          <w:sz w:val="20"/>
          <w:szCs w:val="20"/>
          <w:lang w:val="tr-TR"/>
        </w:rPr>
        <w:t>Kaynak</w:t>
      </w:r>
      <w:r w:rsidRPr="00275204">
        <w:rPr>
          <w:rFonts w:ascii="Palatino Linotype" w:hAnsi="Palatino Linotype"/>
          <w:sz w:val="20"/>
          <w:szCs w:val="20"/>
          <w:lang w:val="tr-TR"/>
        </w:rPr>
        <w:t>: T</w:t>
      </w:r>
      <w:r w:rsidR="003D4011" w:rsidRPr="00275204">
        <w:rPr>
          <w:rFonts w:ascii="Palatino Linotype" w:hAnsi="Palatino Linotype"/>
          <w:sz w:val="20"/>
          <w:szCs w:val="20"/>
          <w:lang w:val="tr-TR"/>
        </w:rPr>
        <w:t>U</w:t>
      </w:r>
      <w:r w:rsidRPr="00275204">
        <w:rPr>
          <w:rFonts w:ascii="Palatino Linotype" w:hAnsi="Palatino Linotype"/>
          <w:sz w:val="20"/>
          <w:szCs w:val="20"/>
          <w:lang w:val="tr-TR"/>
        </w:rPr>
        <w:t xml:space="preserve">İK, </w:t>
      </w:r>
      <w:r w:rsidR="003435E4" w:rsidRPr="00275204">
        <w:rPr>
          <w:rFonts w:ascii="Palatino Linotype" w:hAnsi="Palatino Linotype"/>
          <w:sz w:val="20"/>
          <w:szCs w:val="20"/>
          <w:lang w:val="tr-TR"/>
        </w:rPr>
        <w:t>Betam</w:t>
      </w:r>
      <w:r w:rsidR="003D4011" w:rsidRPr="00275204">
        <w:rPr>
          <w:rFonts w:ascii="Palatino Linotype" w:hAnsi="Palatino Linotype"/>
          <w:sz w:val="20"/>
          <w:szCs w:val="20"/>
          <w:lang w:val="tr-TR"/>
        </w:rPr>
        <w:t xml:space="preserve">. </w:t>
      </w:r>
    </w:p>
    <w:p w14:paraId="3FEB4111" w14:textId="76177B3C" w:rsidR="004F32DC" w:rsidRPr="00275204" w:rsidRDefault="004F32DC" w:rsidP="008D161E">
      <w:pPr>
        <w:spacing w:before="240" w:after="60" w:line="276" w:lineRule="auto"/>
        <w:jc w:val="both"/>
        <w:rPr>
          <w:rFonts w:ascii="Palatino Linotype" w:hAnsi="Palatino Linotype"/>
          <w:b/>
          <w:bCs/>
          <w:sz w:val="26"/>
          <w:szCs w:val="26"/>
          <w:lang w:val="tr-TR"/>
        </w:rPr>
      </w:pPr>
      <w:r w:rsidRPr="00275204">
        <w:rPr>
          <w:rFonts w:ascii="Palatino Linotype" w:hAnsi="Palatino Linotype"/>
          <w:b/>
          <w:bCs/>
          <w:sz w:val="26"/>
          <w:szCs w:val="26"/>
          <w:lang w:val="tr-TR"/>
        </w:rPr>
        <w:t>Türkiye’de T</w:t>
      </w:r>
      <w:r w:rsidR="00F078CB" w:rsidRPr="00275204">
        <w:rPr>
          <w:rFonts w:ascii="Palatino Linotype" w:hAnsi="Palatino Linotype"/>
          <w:b/>
          <w:bCs/>
          <w:sz w:val="26"/>
          <w:szCs w:val="26"/>
          <w:lang w:val="tr-TR"/>
        </w:rPr>
        <w:t xml:space="preserve">oplam </w:t>
      </w:r>
      <w:r w:rsidRPr="00275204">
        <w:rPr>
          <w:rFonts w:ascii="Palatino Linotype" w:hAnsi="Palatino Linotype"/>
          <w:b/>
          <w:bCs/>
          <w:sz w:val="26"/>
          <w:szCs w:val="26"/>
          <w:lang w:val="tr-TR"/>
        </w:rPr>
        <w:t>F</w:t>
      </w:r>
      <w:r w:rsidR="00F078CB" w:rsidRPr="00275204">
        <w:rPr>
          <w:rFonts w:ascii="Palatino Linotype" w:hAnsi="Palatino Linotype"/>
          <w:b/>
          <w:bCs/>
          <w:sz w:val="26"/>
          <w:szCs w:val="26"/>
          <w:lang w:val="tr-TR"/>
        </w:rPr>
        <w:t xml:space="preserve">aktör </w:t>
      </w:r>
      <w:r w:rsidRPr="00275204">
        <w:rPr>
          <w:rFonts w:ascii="Palatino Linotype" w:hAnsi="Palatino Linotype"/>
          <w:b/>
          <w:bCs/>
          <w:sz w:val="26"/>
          <w:szCs w:val="26"/>
          <w:lang w:val="tr-TR"/>
        </w:rPr>
        <w:t>V</w:t>
      </w:r>
      <w:r w:rsidR="00F078CB" w:rsidRPr="00275204">
        <w:rPr>
          <w:rFonts w:ascii="Palatino Linotype" w:hAnsi="Palatino Linotype"/>
          <w:b/>
          <w:bCs/>
          <w:sz w:val="26"/>
          <w:szCs w:val="26"/>
          <w:lang w:val="tr-TR"/>
        </w:rPr>
        <w:t>erimliliğinin</w:t>
      </w:r>
      <w:r w:rsidRPr="00275204">
        <w:rPr>
          <w:rFonts w:ascii="Palatino Linotype" w:hAnsi="Palatino Linotype"/>
          <w:b/>
          <w:bCs/>
          <w:sz w:val="26"/>
          <w:szCs w:val="26"/>
          <w:lang w:val="tr-TR"/>
        </w:rPr>
        <w:t xml:space="preserve"> Seyri</w:t>
      </w:r>
    </w:p>
    <w:p w14:paraId="161226EA" w14:textId="631A7A0E" w:rsidR="004F32DC" w:rsidRPr="00275204" w:rsidRDefault="004F32DC" w:rsidP="00ED6BDB">
      <w:pPr>
        <w:spacing w:after="240" w:line="276" w:lineRule="auto"/>
        <w:jc w:val="both"/>
        <w:rPr>
          <w:rFonts w:ascii="Palatino Linotype" w:hAnsi="Palatino Linotype"/>
          <w:lang w:val="tr-TR"/>
        </w:rPr>
      </w:pPr>
      <w:r w:rsidRPr="00275204">
        <w:rPr>
          <w:rFonts w:ascii="Palatino Linotype" w:hAnsi="Palatino Linotype"/>
          <w:lang w:val="tr-TR"/>
        </w:rPr>
        <w:t>Toplam Faktör Verimliliği (TFV), bir ülkedeki ekonomik çıktının istihdam ve sabit sermaye stokuyla açıklanamayan kısmıdır. Bu açıklanamayan kısım bir ülkedeki teknolojik gelişme</w:t>
      </w:r>
      <w:r w:rsidR="00EA6EE0" w:rsidRPr="00275204">
        <w:rPr>
          <w:rFonts w:ascii="Palatino Linotype" w:hAnsi="Palatino Linotype"/>
          <w:lang w:val="tr-TR"/>
        </w:rPr>
        <w:t>de</w:t>
      </w:r>
      <w:r w:rsidRPr="00275204">
        <w:rPr>
          <w:rFonts w:ascii="Palatino Linotype" w:hAnsi="Palatino Linotype"/>
          <w:lang w:val="tr-TR"/>
        </w:rPr>
        <w:t>, bilgi birikimin</w:t>
      </w:r>
      <w:r w:rsidR="00EA6EE0" w:rsidRPr="00275204">
        <w:rPr>
          <w:rFonts w:ascii="Palatino Linotype" w:hAnsi="Palatino Linotype"/>
          <w:lang w:val="tr-TR"/>
        </w:rPr>
        <w:t>d</w:t>
      </w:r>
      <w:r w:rsidRPr="00275204">
        <w:rPr>
          <w:rFonts w:ascii="Palatino Linotype" w:hAnsi="Palatino Linotype"/>
          <w:lang w:val="tr-TR"/>
        </w:rPr>
        <w:t>e, üretim kaynaklarının daha verimli bir şekilde yeniden dağıtılmasın</w:t>
      </w:r>
      <w:r w:rsidR="00EA6EE0" w:rsidRPr="00275204">
        <w:rPr>
          <w:rFonts w:ascii="Palatino Linotype" w:hAnsi="Palatino Linotype"/>
          <w:lang w:val="tr-TR"/>
        </w:rPr>
        <w:t>d</w:t>
      </w:r>
      <w:r w:rsidRPr="00275204">
        <w:rPr>
          <w:rFonts w:ascii="Palatino Linotype" w:hAnsi="Palatino Linotype"/>
          <w:lang w:val="tr-TR"/>
        </w:rPr>
        <w:t xml:space="preserve">a </w:t>
      </w:r>
      <w:r w:rsidR="00EA6EE0" w:rsidRPr="00275204">
        <w:rPr>
          <w:rFonts w:ascii="Palatino Linotype" w:hAnsi="Palatino Linotype"/>
          <w:lang w:val="tr-TR"/>
        </w:rPr>
        <w:t>gerçekleşen ilerlemeleri ve iyileşmeleri kapsamaktadır</w:t>
      </w:r>
      <w:r w:rsidRPr="00275204">
        <w:rPr>
          <w:rFonts w:ascii="Palatino Linotype" w:hAnsi="Palatino Linotype"/>
          <w:lang w:val="tr-TR"/>
        </w:rPr>
        <w:t>. TFV serisinin oluşturulması için ülke genelini temsil ettiği düşünülen bir üretim fonksiyonu varsayılır; istihdam, sermaye stoku ve reel GSYH verileri oluşturulur</w:t>
      </w:r>
      <w:r w:rsidRPr="00275204">
        <w:rPr>
          <w:rStyle w:val="DipnotBavurusu"/>
          <w:rFonts w:ascii="Palatino Linotype" w:hAnsi="Palatino Linotype"/>
          <w:lang w:val="tr-TR"/>
        </w:rPr>
        <w:footnoteReference w:id="8"/>
      </w:r>
      <w:r w:rsidRPr="00275204">
        <w:rPr>
          <w:rFonts w:ascii="Palatino Linotype" w:hAnsi="Palatino Linotype"/>
          <w:lang w:val="tr-TR"/>
        </w:rPr>
        <w:t>. GSYH’nin istihdam ve sermaye stokuyla açıklanamayan kısmı TFV olarak kabul edilir.</w:t>
      </w:r>
      <w:r w:rsidR="000A40A2" w:rsidRPr="00275204">
        <w:rPr>
          <w:rFonts w:ascii="Palatino Linotype" w:hAnsi="Palatino Linotype"/>
          <w:lang w:val="tr-TR"/>
        </w:rPr>
        <w:t xml:space="preserve"> </w:t>
      </w:r>
      <w:r w:rsidR="00565883" w:rsidRPr="00275204">
        <w:rPr>
          <w:rFonts w:ascii="Palatino Linotype" w:hAnsi="Palatino Linotype"/>
          <w:lang w:val="tr-TR"/>
        </w:rPr>
        <w:t>Şekil</w:t>
      </w:r>
      <w:r w:rsidR="000A40A2" w:rsidRPr="00275204">
        <w:rPr>
          <w:rFonts w:ascii="Palatino Linotype" w:hAnsi="Palatino Linotype"/>
          <w:lang w:val="tr-TR"/>
        </w:rPr>
        <w:t xml:space="preserve"> 3 Türkiye için hesaplanan TFV’</w:t>
      </w:r>
      <w:r w:rsidR="00202154" w:rsidRPr="00275204">
        <w:rPr>
          <w:rFonts w:ascii="Palatino Linotype" w:hAnsi="Palatino Linotype"/>
          <w:lang w:val="tr-TR"/>
        </w:rPr>
        <w:t xml:space="preserve">yi yansıtmaktadır. </w:t>
      </w:r>
      <w:r w:rsidR="0082691E" w:rsidRPr="00275204">
        <w:rPr>
          <w:rFonts w:ascii="Palatino Linotype" w:hAnsi="Palatino Linotype"/>
          <w:lang w:val="tr-TR"/>
        </w:rPr>
        <w:t xml:space="preserve">TFV endeksinin </w:t>
      </w:r>
      <w:r w:rsidRPr="00275204">
        <w:rPr>
          <w:rFonts w:ascii="Palatino Linotype" w:hAnsi="Palatino Linotype"/>
          <w:lang w:val="tr-TR"/>
        </w:rPr>
        <w:t>başlangıç yılı 100</w:t>
      </w:r>
      <w:r w:rsidR="00202154" w:rsidRPr="00275204">
        <w:rPr>
          <w:rFonts w:ascii="Palatino Linotype" w:hAnsi="Palatino Linotype"/>
          <w:lang w:val="tr-TR"/>
        </w:rPr>
        <w:t xml:space="preserve"> olacak şekilde </w:t>
      </w:r>
      <w:r w:rsidRPr="00275204">
        <w:rPr>
          <w:rFonts w:ascii="Palatino Linotype" w:hAnsi="Palatino Linotype"/>
          <w:lang w:val="tr-TR"/>
        </w:rPr>
        <w:t>normal</w:t>
      </w:r>
      <w:r w:rsidR="002255A0" w:rsidRPr="00275204">
        <w:rPr>
          <w:rFonts w:ascii="Palatino Linotype" w:hAnsi="Palatino Linotype"/>
          <w:lang w:val="tr-TR"/>
        </w:rPr>
        <w:t>leştirilmiştir</w:t>
      </w:r>
      <w:r w:rsidRPr="00275204">
        <w:rPr>
          <w:rFonts w:ascii="Palatino Linotype" w:hAnsi="Palatino Linotype"/>
          <w:lang w:val="tr-TR"/>
        </w:rPr>
        <w:t xml:space="preserve">. 1980-2018 yılları arasında TFV </w:t>
      </w:r>
      <w:r w:rsidR="003D1B92" w:rsidRPr="00275204">
        <w:rPr>
          <w:rFonts w:ascii="Palatino Linotype" w:hAnsi="Palatino Linotype"/>
          <w:lang w:val="tr-TR"/>
        </w:rPr>
        <w:t xml:space="preserve">endeksi </w:t>
      </w:r>
      <w:r w:rsidR="0082691E" w:rsidRPr="00275204">
        <w:rPr>
          <w:rFonts w:ascii="Palatino Linotype" w:hAnsi="Palatino Linotype"/>
          <w:lang w:val="tr-TR"/>
        </w:rPr>
        <w:t>kümülatif olarak</w:t>
      </w:r>
      <w:r w:rsidRPr="00275204">
        <w:rPr>
          <w:rFonts w:ascii="Palatino Linotype" w:hAnsi="Palatino Linotype"/>
          <w:lang w:val="tr-TR"/>
        </w:rPr>
        <w:t xml:space="preserve"> %</w:t>
      </w:r>
      <w:r w:rsidR="00BE020D" w:rsidRPr="00275204">
        <w:rPr>
          <w:rFonts w:ascii="Palatino Linotype" w:hAnsi="Palatino Linotype"/>
          <w:lang w:val="tr-TR"/>
        </w:rPr>
        <w:t>38</w:t>
      </w:r>
      <w:r w:rsidR="0082691E" w:rsidRPr="00275204">
        <w:rPr>
          <w:rFonts w:ascii="Palatino Linotype" w:hAnsi="Palatino Linotype"/>
          <w:lang w:val="tr-TR"/>
        </w:rPr>
        <w:t>,</w:t>
      </w:r>
      <w:r w:rsidRPr="00275204">
        <w:rPr>
          <w:rFonts w:ascii="Palatino Linotype" w:hAnsi="Palatino Linotype"/>
          <w:lang w:val="tr-TR"/>
        </w:rPr>
        <w:t xml:space="preserve"> yıllık ortalama </w:t>
      </w:r>
      <w:r w:rsidR="0082691E" w:rsidRPr="00275204">
        <w:rPr>
          <w:rFonts w:ascii="Palatino Linotype" w:hAnsi="Palatino Linotype"/>
          <w:lang w:val="tr-TR"/>
        </w:rPr>
        <w:t xml:space="preserve">olarak ise </w:t>
      </w:r>
      <w:r w:rsidRPr="00275204">
        <w:rPr>
          <w:rFonts w:ascii="Palatino Linotype" w:hAnsi="Palatino Linotype"/>
          <w:lang w:val="tr-TR"/>
        </w:rPr>
        <w:t xml:space="preserve">%1 </w:t>
      </w:r>
      <w:r w:rsidR="0082691E" w:rsidRPr="00275204">
        <w:rPr>
          <w:rFonts w:ascii="Palatino Linotype" w:hAnsi="Palatino Linotype"/>
          <w:lang w:val="tr-TR"/>
        </w:rPr>
        <w:t xml:space="preserve">artış göstermiştir. </w:t>
      </w:r>
      <w:r w:rsidR="000873BD" w:rsidRPr="00275204">
        <w:rPr>
          <w:rFonts w:ascii="Palatino Linotype" w:hAnsi="Palatino Linotype"/>
          <w:lang w:val="tr-TR"/>
        </w:rPr>
        <w:t>Bu artış yüksek büyüme performansına sahip ülkelerle karşılaştırıldığında oldukça düşük kalmaktadır.</w:t>
      </w:r>
    </w:p>
    <w:p w14:paraId="516B910F" w14:textId="3EBC76CD" w:rsidR="004F32DC" w:rsidRPr="00275204" w:rsidRDefault="004F32DC" w:rsidP="00ED6BDB">
      <w:pPr>
        <w:spacing w:after="240" w:line="276" w:lineRule="auto"/>
        <w:jc w:val="both"/>
        <w:rPr>
          <w:rFonts w:ascii="Palatino Linotype" w:hAnsi="Palatino Linotype"/>
          <w:lang w:val="tr-TR"/>
        </w:rPr>
      </w:pPr>
      <w:r w:rsidRPr="00275204">
        <w:rPr>
          <w:rFonts w:ascii="Palatino Linotype" w:hAnsi="Palatino Linotype"/>
          <w:lang w:val="tr-TR"/>
        </w:rPr>
        <w:t xml:space="preserve">TFV </w:t>
      </w:r>
      <w:r w:rsidR="0082691E" w:rsidRPr="00275204">
        <w:rPr>
          <w:rFonts w:ascii="Palatino Linotype" w:hAnsi="Palatino Linotype"/>
          <w:lang w:val="tr-TR"/>
        </w:rPr>
        <w:t>endeksi</w:t>
      </w:r>
      <w:r w:rsidRPr="00275204">
        <w:rPr>
          <w:rFonts w:ascii="Palatino Linotype" w:hAnsi="Palatino Linotype"/>
          <w:lang w:val="tr-TR"/>
        </w:rPr>
        <w:t xml:space="preserve"> ekonomik döngülerden etkilenmektedir.</w:t>
      </w:r>
      <w:r w:rsidR="00E42625" w:rsidRPr="00275204">
        <w:rPr>
          <w:rFonts w:ascii="Palatino Linotype" w:hAnsi="Palatino Linotype"/>
          <w:lang w:val="tr-TR"/>
        </w:rPr>
        <w:t xml:space="preserve"> Ekonominin daraldığı yıllarda TFV azalırken ekonominin büyümeye başladığı yıllarda ise TFV artmaktadır.</w:t>
      </w:r>
      <w:r w:rsidRPr="00275204">
        <w:rPr>
          <w:rFonts w:ascii="Palatino Linotype" w:hAnsi="Palatino Linotype"/>
          <w:lang w:val="tr-TR"/>
        </w:rPr>
        <w:t xml:space="preserve"> Firmaların ekonomik durgunluk/kriz dönemlerinde kapasite kullanımlarının düşmesi, bazı firmaların faaliyetlerine son vermesiyle </w:t>
      </w:r>
      <w:r w:rsidR="00470B95" w:rsidRPr="00275204">
        <w:rPr>
          <w:rFonts w:ascii="Palatino Linotype" w:hAnsi="Palatino Linotype"/>
          <w:lang w:val="tr-TR"/>
        </w:rPr>
        <w:t>atıl</w:t>
      </w:r>
      <w:r w:rsidRPr="00275204">
        <w:rPr>
          <w:rFonts w:ascii="Palatino Linotype" w:hAnsi="Palatino Linotype"/>
          <w:lang w:val="tr-TR"/>
        </w:rPr>
        <w:t xml:space="preserve"> sermayenin oluşması, sözleşmeler nedeniyle istihdamın çıktıyla eş zamanlı azalmaması gibi nedenler TFV serisi</w:t>
      </w:r>
      <w:r w:rsidR="00E42625" w:rsidRPr="00275204">
        <w:rPr>
          <w:rFonts w:ascii="Palatino Linotype" w:hAnsi="Palatino Linotype"/>
          <w:lang w:val="tr-TR"/>
        </w:rPr>
        <w:t>ndeki döngüsellikten sorumludur.</w:t>
      </w:r>
      <w:r w:rsidRPr="00275204">
        <w:rPr>
          <w:rFonts w:ascii="Palatino Linotype" w:hAnsi="Palatino Linotype"/>
          <w:lang w:val="tr-TR"/>
        </w:rPr>
        <w:t xml:space="preserve"> Bu döngüsellik nedeniyle TFV’nin kısa vadede teknolojik gelişim olarak yorumlanması </w:t>
      </w:r>
      <w:r w:rsidRPr="00275204">
        <w:rPr>
          <w:rFonts w:ascii="Palatino Linotype" w:hAnsi="Palatino Linotype"/>
          <w:lang w:val="tr-TR"/>
        </w:rPr>
        <w:lastRenderedPageBreak/>
        <w:t>zorlaşmaktadır.</w:t>
      </w:r>
      <w:r w:rsidRPr="00275204">
        <w:rPr>
          <w:rFonts w:ascii="Palatino Linotype" w:hAnsi="Palatino Linotype"/>
          <w:color w:val="FF0000"/>
          <w:lang w:val="tr-TR"/>
        </w:rPr>
        <w:t xml:space="preserve"> </w:t>
      </w:r>
      <w:r w:rsidRPr="00275204">
        <w:rPr>
          <w:rFonts w:ascii="Palatino Linotype" w:hAnsi="Palatino Linotype"/>
          <w:lang w:val="tr-TR"/>
        </w:rPr>
        <w:t>TFV serisine, bu sebeple, daha uzun dönemli ortalamalar olarak yaklaşmak anlamlı olacaktır.</w:t>
      </w:r>
    </w:p>
    <w:p w14:paraId="58DFAA41" w14:textId="09236400" w:rsidR="005D6574" w:rsidRPr="00275204" w:rsidRDefault="004F32DC" w:rsidP="00ED6BDB">
      <w:pPr>
        <w:spacing w:after="240" w:line="276" w:lineRule="auto"/>
        <w:jc w:val="both"/>
        <w:rPr>
          <w:rFonts w:ascii="Palatino Linotype" w:hAnsi="Palatino Linotype"/>
          <w:lang w:val="tr-TR"/>
        </w:rPr>
      </w:pPr>
      <w:r w:rsidRPr="00275204">
        <w:rPr>
          <w:rFonts w:ascii="Palatino Linotype" w:hAnsi="Palatino Linotype"/>
          <w:lang w:val="tr-TR"/>
        </w:rPr>
        <w:t>1980-1989 yılları TFV artışının en fazla olduğu dönemdir. Bu dönemde TFV yıllık ortalama %2,</w:t>
      </w:r>
      <w:r w:rsidR="00BE020D" w:rsidRPr="00275204">
        <w:rPr>
          <w:rFonts w:ascii="Palatino Linotype" w:hAnsi="Palatino Linotype"/>
          <w:lang w:val="tr-TR"/>
        </w:rPr>
        <w:t>2</w:t>
      </w:r>
      <w:r w:rsidRPr="00275204">
        <w:rPr>
          <w:rFonts w:ascii="Palatino Linotype" w:hAnsi="Palatino Linotype"/>
          <w:lang w:val="tr-TR"/>
        </w:rPr>
        <w:t xml:space="preserve"> ile oldukça hızlı bir artış göstermiştir. 2003-2013 yıllarında ise bu sayı %</w:t>
      </w:r>
      <w:r w:rsidR="00A92F8A" w:rsidRPr="00275204">
        <w:rPr>
          <w:rFonts w:ascii="Palatino Linotype" w:hAnsi="Palatino Linotype"/>
          <w:lang w:val="tr-TR"/>
        </w:rPr>
        <w:t>1,</w:t>
      </w:r>
      <w:r w:rsidR="00BE020D" w:rsidRPr="00275204">
        <w:rPr>
          <w:rFonts w:ascii="Palatino Linotype" w:hAnsi="Palatino Linotype"/>
          <w:lang w:val="tr-TR"/>
        </w:rPr>
        <w:t>2</w:t>
      </w:r>
      <w:r w:rsidRPr="00275204">
        <w:rPr>
          <w:rFonts w:ascii="Palatino Linotype" w:hAnsi="Palatino Linotype"/>
          <w:lang w:val="tr-TR"/>
        </w:rPr>
        <w:t xml:space="preserve"> ile </w:t>
      </w:r>
      <w:r w:rsidR="000873BD" w:rsidRPr="00275204">
        <w:rPr>
          <w:rFonts w:ascii="Palatino Linotype" w:hAnsi="Palatino Linotype"/>
          <w:lang w:val="tr-TR"/>
        </w:rPr>
        <w:t xml:space="preserve">nispeten </w:t>
      </w:r>
      <w:r w:rsidRPr="00275204">
        <w:rPr>
          <w:rFonts w:ascii="Palatino Linotype" w:hAnsi="Palatino Linotype"/>
          <w:lang w:val="tr-TR"/>
        </w:rPr>
        <w:t>güçlü olurken 1990-2002 dönemi %</w:t>
      </w:r>
      <w:r w:rsidR="00A92F8A" w:rsidRPr="00275204">
        <w:rPr>
          <w:rFonts w:ascii="Palatino Linotype" w:hAnsi="Palatino Linotype"/>
          <w:lang w:val="tr-TR"/>
        </w:rPr>
        <w:t>0,</w:t>
      </w:r>
      <w:r w:rsidR="00BE020D" w:rsidRPr="00275204">
        <w:rPr>
          <w:rFonts w:ascii="Palatino Linotype" w:hAnsi="Palatino Linotype"/>
          <w:lang w:val="tr-TR"/>
        </w:rPr>
        <w:t>4</w:t>
      </w:r>
      <w:r w:rsidRPr="00275204">
        <w:rPr>
          <w:rFonts w:ascii="Palatino Linotype" w:hAnsi="Palatino Linotype"/>
          <w:lang w:val="tr-TR"/>
        </w:rPr>
        <w:t xml:space="preserve"> ile zayıf bir tablo çizmiştir. Türkiye’de TFV büyümesinin 1980-2018 yılları arasında en yavaş olduğu dönem ise 2014-2018 yılları arasıdır (%0). </w:t>
      </w:r>
    </w:p>
    <w:p w14:paraId="58641271" w14:textId="209DBF91" w:rsidR="00E42625" w:rsidRPr="00275204" w:rsidRDefault="005D6574" w:rsidP="00ED6BDB">
      <w:pPr>
        <w:spacing w:after="240" w:line="276" w:lineRule="auto"/>
        <w:jc w:val="both"/>
        <w:rPr>
          <w:rFonts w:ascii="Palatino Linotype" w:hAnsi="Palatino Linotype"/>
          <w:lang w:val="tr-TR"/>
        </w:rPr>
      </w:pPr>
      <w:r w:rsidRPr="00275204">
        <w:rPr>
          <w:rFonts w:ascii="Palatino Linotype" w:hAnsi="Palatino Linotype"/>
          <w:lang w:val="tr-TR"/>
        </w:rPr>
        <w:t xml:space="preserve">Şekil 3’te </w:t>
      </w:r>
      <w:r w:rsidR="00A71DD6" w:rsidRPr="00275204">
        <w:rPr>
          <w:rFonts w:ascii="Palatino Linotype" w:hAnsi="Palatino Linotype"/>
          <w:lang w:val="tr-TR"/>
        </w:rPr>
        <w:t>görüleceği üzere,</w:t>
      </w:r>
      <w:r w:rsidRPr="00275204">
        <w:rPr>
          <w:rFonts w:ascii="Palatino Linotype" w:hAnsi="Palatino Linotype"/>
          <w:lang w:val="tr-TR"/>
        </w:rPr>
        <w:t xml:space="preserve"> TFV 2002’den sonra hızlı bir artış yakalamış, takip eden yıllarda özellikle 2008 ve 2009 senelerinde önemli ölçüde gerilemiştir. Krizin ardından TFV’de toparlanma yaşanmışsa da 2006 yılındaki zirve tekrar yakalanamamıştır.</w:t>
      </w:r>
    </w:p>
    <w:p w14:paraId="10A6CDED" w14:textId="48AD10D9" w:rsidR="004F32DC" w:rsidRPr="00275204" w:rsidRDefault="00C820C7" w:rsidP="004F32DC">
      <w:pPr>
        <w:rPr>
          <w:rFonts w:ascii="Palatino Linotype" w:hAnsi="Palatino Linotype"/>
          <w:b/>
          <w:bCs/>
          <w:lang w:val="tr-TR"/>
        </w:rPr>
      </w:pPr>
      <w:r w:rsidRPr="00275204">
        <w:rPr>
          <w:rFonts w:ascii="Palatino Linotype" w:hAnsi="Palatino Linotype"/>
          <w:b/>
          <w:bCs/>
          <w:lang w:val="tr-TR"/>
        </w:rPr>
        <w:t>Şekil</w:t>
      </w:r>
      <w:r w:rsidR="00E42625" w:rsidRPr="00275204">
        <w:rPr>
          <w:rFonts w:ascii="Palatino Linotype" w:hAnsi="Palatino Linotype"/>
          <w:b/>
          <w:bCs/>
          <w:lang w:val="tr-TR"/>
        </w:rPr>
        <w:t xml:space="preserve"> 3: </w:t>
      </w:r>
      <w:r w:rsidR="004F32DC" w:rsidRPr="00275204">
        <w:rPr>
          <w:rFonts w:ascii="Palatino Linotype" w:hAnsi="Palatino Linotype"/>
          <w:b/>
          <w:bCs/>
          <w:lang w:val="tr-TR"/>
        </w:rPr>
        <w:t>Toplam Faktör Verimliliğinin Yıllara Göre Seyri (1980=100)</w:t>
      </w:r>
    </w:p>
    <w:p w14:paraId="6A36AA94" w14:textId="49F91443" w:rsidR="004F32DC" w:rsidRPr="00275204" w:rsidRDefault="00FE6E98" w:rsidP="00C820C7">
      <w:pPr>
        <w:spacing w:after="240" w:line="276" w:lineRule="auto"/>
        <w:rPr>
          <w:sz w:val="24"/>
          <w:szCs w:val="24"/>
          <w:lang w:val="tr-TR"/>
        </w:rPr>
      </w:pPr>
      <w:r w:rsidRPr="00275204">
        <w:rPr>
          <w:noProof/>
          <w:sz w:val="24"/>
          <w:szCs w:val="24"/>
          <w:lang w:eastAsia="en-GB"/>
        </w:rPr>
        <w:drawing>
          <wp:inline distT="0" distB="0" distL="0" distR="0" wp14:anchorId="7C2797FE" wp14:editId="4E31077D">
            <wp:extent cx="4584700" cy="2670175"/>
            <wp:effectExtent l="0" t="0" r="635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670175"/>
                    </a:xfrm>
                    <a:prstGeom prst="rect">
                      <a:avLst/>
                    </a:prstGeom>
                    <a:noFill/>
                  </pic:spPr>
                </pic:pic>
              </a:graphicData>
            </a:graphic>
          </wp:inline>
        </w:drawing>
      </w:r>
    </w:p>
    <w:p w14:paraId="4E3AD36B" w14:textId="4BAEC984" w:rsidR="004F32DC" w:rsidRPr="00275204" w:rsidRDefault="004F32DC" w:rsidP="008D161E">
      <w:pPr>
        <w:spacing w:after="240" w:line="276" w:lineRule="auto"/>
        <w:rPr>
          <w:rFonts w:ascii="Palatino Linotype" w:hAnsi="Palatino Linotype"/>
          <w:sz w:val="20"/>
          <w:szCs w:val="20"/>
          <w:lang w:val="tr-TR"/>
        </w:rPr>
      </w:pPr>
      <w:r w:rsidRPr="00275204">
        <w:rPr>
          <w:rFonts w:ascii="Palatino Linotype" w:hAnsi="Palatino Linotype"/>
          <w:b/>
          <w:bCs/>
          <w:sz w:val="20"/>
          <w:szCs w:val="20"/>
          <w:lang w:val="tr-TR"/>
        </w:rPr>
        <w:t>Kaynak:</w:t>
      </w:r>
      <w:r w:rsidRPr="00275204">
        <w:rPr>
          <w:rFonts w:ascii="Palatino Linotype" w:hAnsi="Palatino Linotype"/>
          <w:sz w:val="20"/>
          <w:szCs w:val="20"/>
          <w:lang w:val="tr-TR"/>
        </w:rPr>
        <w:t xml:space="preserve"> </w:t>
      </w:r>
      <w:r w:rsidR="003435E4" w:rsidRPr="00275204">
        <w:rPr>
          <w:rFonts w:ascii="Palatino Linotype" w:hAnsi="Palatino Linotype"/>
          <w:sz w:val="20"/>
          <w:szCs w:val="20"/>
          <w:lang w:val="tr-TR"/>
        </w:rPr>
        <w:t>Betam</w:t>
      </w:r>
      <w:r w:rsidR="008D161E" w:rsidRPr="00275204">
        <w:rPr>
          <w:rFonts w:ascii="Palatino Linotype" w:hAnsi="Palatino Linotype"/>
          <w:sz w:val="20"/>
          <w:szCs w:val="20"/>
          <w:lang w:val="tr-TR"/>
        </w:rPr>
        <w:t>.</w:t>
      </w:r>
    </w:p>
    <w:p w14:paraId="1F5E13CB" w14:textId="77777777" w:rsidR="004F32DC" w:rsidRPr="00275204" w:rsidRDefault="004F32DC" w:rsidP="001B2D03">
      <w:pPr>
        <w:spacing w:before="240" w:after="60" w:line="276" w:lineRule="auto"/>
        <w:rPr>
          <w:rFonts w:ascii="Palatino Linotype" w:hAnsi="Palatino Linotype"/>
          <w:b/>
          <w:bCs/>
          <w:sz w:val="26"/>
          <w:szCs w:val="26"/>
          <w:lang w:val="tr-TR"/>
        </w:rPr>
      </w:pPr>
      <w:r w:rsidRPr="00275204">
        <w:rPr>
          <w:rFonts w:ascii="Palatino Linotype" w:hAnsi="Palatino Linotype"/>
          <w:b/>
          <w:bCs/>
          <w:sz w:val="26"/>
          <w:szCs w:val="26"/>
          <w:lang w:val="tr-TR"/>
        </w:rPr>
        <w:t>Türkiye’nin Ekonomik Büyüme Görünümü</w:t>
      </w:r>
    </w:p>
    <w:p w14:paraId="772A14E8" w14:textId="676750E4" w:rsidR="004F32DC" w:rsidRPr="00275204" w:rsidRDefault="004F32DC" w:rsidP="001B2D03">
      <w:pPr>
        <w:jc w:val="both"/>
        <w:rPr>
          <w:rFonts w:ascii="Palatino Linotype" w:hAnsi="Palatino Linotype"/>
          <w:lang w:val="tr-TR"/>
        </w:rPr>
      </w:pPr>
      <w:r w:rsidRPr="00275204">
        <w:rPr>
          <w:rFonts w:ascii="Palatino Linotype" w:hAnsi="Palatino Linotype"/>
          <w:lang w:val="tr-TR"/>
        </w:rPr>
        <w:t>Türkiye ekonomisine dair değerlendirmelerde genellikle Türkiye’de kişi başı gelirin gelişmiş</w:t>
      </w:r>
      <w:r w:rsidR="000421EA" w:rsidRPr="00275204">
        <w:rPr>
          <w:rFonts w:ascii="Palatino Linotype" w:hAnsi="Palatino Linotype"/>
          <w:lang w:val="tr-TR"/>
        </w:rPr>
        <w:t xml:space="preserve"> ülkelere yakınsaması için</w:t>
      </w:r>
      <w:r w:rsidRPr="00275204">
        <w:rPr>
          <w:rFonts w:ascii="Palatino Linotype" w:hAnsi="Palatino Linotype"/>
          <w:lang w:val="tr-TR"/>
        </w:rPr>
        <w:t xml:space="preserve"> </w:t>
      </w:r>
      <w:r w:rsidR="000421EA" w:rsidRPr="00275204">
        <w:rPr>
          <w:rFonts w:ascii="Palatino Linotype" w:hAnsi="Palatino Linotype"/>
          <w:lang w:val="tr-TR"/>
        </w:rPr>
        <w:t>%</w:t>
      </w:r>
      <w:r w:rsidRPr="00275204">
        <w:rPr>
          <w:rFonts w:ascii="Palatino Linotype" w:hAnsi="Palatino Linotype"/>
          <w:lang w:val="tr-TR"/>
        </w:rPr>
        <w:t>5’in üzerinde büyümesi ve bu büyümeyi uzun yıllar sürdürmesi gerektiği ifade edilir. Yeni Ekonomi Programı’nda da 2020-22 y</w:t>
      </w:r>
      <w:r w:rsidR="000421EA" w:rsidRPr="00275204">
        <w:rPr>
          <w:rFonts w:ascii="Palatino Linotype" w:hAnsi="Palatino Linotype"/>
          <w:lang w:val="tr-TR"/>
        </w:rPr>
        <w:t>ılları için yıllık büyüme %</w:t>
      </w:r>
      <w:r w:rsidRPr="00275204">
        <w:rPr>
          <w:rFonts w:ascii="Palatino Linotype" w:hAnsi="Palatino Linotype"/>
          <w:lang w:val="tr-TR"/>
        </w:rPr>
        <w:t>5 olarak hedeflenmiştir. Kısacası, Türkiye ekonomisi iç</w:t>
      </w:r>
      <w:r w:rsidR="000421EA" w:rsidRPr="00275204">
        <w:rPr>
          <w:rFonts w:ascii="Palatino Linotype" w:hAnsi="Palatino Linotype"/>
          <w:lang w:val="tr-TR"/>
        </w:rPr>
        <w:t>in %</w:t>
      </w:r>
      <w:r w:rsidRPr="00275204">
        <w:rPr>
          <w:rFonts w:ascii="Palatino Linotype" w:hAnsi="Palatino Linotype"/>
          <w:lang w:val="tr-TR"/>
        </w:rPr>
        <w:t>5 büyüme bir referans noktası haline gelmiştir.</w:t>
      </w:r>
      <w:r w:rsidR="009B4B87" w:rsidRPr="00275204">
        <w:rPr>
          <w:rFonts w:ascii="Palatino Linotype" w:hAnsi="Palatino Linotype"/>
          <w:lang w:val="tr-TR"/>
        </w:rPr>
        <w:t xml:space="preserve"> Bununla birlikte, yüzde 5 büyüme hedefinin ancak 2020’li yıllar Türkiye’si için gerçekçi bir hedef olduğunu 2000’li yılların ilk yarısına kadar olan dönem için yüzde 6’nın altında kalan büyüme oranının başarı sayılamayacağını belirt</w:t>
      </w:r>
      <w:r w:rsidR="00393A92" w:rsidRPr="00275204">
        <w:rPr>
          <w:rFonts w:ascii="Palatino Linotype" w:hAnsi="Palatino Linotype"/>
          <w:lang w:val="tr-TR"/>
        </w:rPr>
        <w:t>en başka bir görüş de bulunmaktadır</w:t>
      </w:r>
      <w:r w:rsidR="00393A92" w:rsidRPr="00275204">
        <w:rPr>
          <w:rStyle w:val="DipnotBavurusu"/>
          <w:rFonts w:ascii="Palatino Linotype" w:hAnsi="Palatino Linotype"/>
          <w:lang w:val="tr-TR"/>
        </w:rPr>
        <w:footnoteReference w:id="9"/>
      </w:r>
      <w:r w:rsidR="009B4B87" w:rsidRPr="00275204">
        <w:rPr>
          <w:rFonts w:ascii="Palatino Linotype" w:hAnsi="Palatino Linotype"/>
          <w:lang w:val="tr-TR"/>
        </w:rPr>
        <w:t xml:space="preserve">. </w:t>
      </w:r>
      <w:r w:rsidR="0087048C" w:rsidRPr="00275204">
        <w:rPr>
          <w:rFonts w:ascii="Palatino Linotype" w:hAnsi="Palatino Linotype"/>
          <w:lang w:val="tr-TR"/>
        </w:rPr>
        <w:t>Bu düşünce</w:t>
      </w:r>
      <w:r w:rsidR="00393A92" w:rsidRPr="00275204">
        <w:rPr>
          <w:rFonts w:ascii="Palatino Linotype" w:hAnsi="Palatino Linotype"/>
          <w:lang w:val="tr-TR"/>
        </w:rPr>
        <w:t>y</w:t>
      </w:r>
      <w:r w:rsidR="0087048C" w:rsidRPr="00275204">
        <w:rPr>
          <w:rFonts w:ascii="Palatino Linotype" w:hAnsi="Palatino Linotype"/>
          <w:lang w:val="tr-TR"/>
        </w:rPr>
        <w:t xml:space="preserve">i destekleyen </w:t>
      </w:r>
      <w:r w:rsidR="00393A92" w:rsidRPr="00275204">
        <w:rPr>
          <w:rFonts w:ascii="Palatino Linotype" w:hAnsi="Palatino Linotype"/>
          <w:lang w:val="tr-TR"/>
        </w:rPr>
        <w:t xml:space="preserve">en az iki </w:t>
      </w:r>
      <w:r w:rsidR="0087048C" w:rsidRPr="00275204">
        <w:rPr>
          <w:rFonts w:ascii="Palatino Linotype" w:hAnsi="Palatino Linotype"/>
          <w:lang w:val="tr-TR"/>
        </w:rPr>
        <w:t>somut gerekçe olduğunu da kabul etme</w:t>
      </w:r>
      <w:r w:rsidR="00393A92" w:rsidRPr="00275204">
        <w:rPr>
          <w:rFonts w:ascii="Palatino Linotype" w:hAnsi="Palatino Linotype"/>
          <w:lang w:val="tr-TR"/>
        </w:rPr>
        <w:t>k gerekir</w:t>
      </w:r>
      <w:r w:rsidR="0087048C" w:rsidRPr="00275204">
        <w:rPr>
          <w:rFonts w:ascii="Palatino Linotype" w:hAnsi="Palatino Linotype"/>
          <w:lang w:val="tr-TR"/>
        </w:rPr>
        <w:t xml:space="preserve">. Bunlardan ilki sermaye stokunun seviyesi, ikincisi ise yapısal dönüşüm kaynaklı verimlilik artışları ile ilgilidir. </w:t>
      </w:r>
      <w:r w:rsidR="009B4B87" w:rsidRPr="00275204">
        <w:rPr>
          <w:rFonts w:ascii="Palatino Linotype" w:hAnsi="Palatino Linotype"/>
          <w:lang w:val="tr-TR"/>
        </w:rPr>
        <w:t>Sermaye stoku</w:t>
      </w:r>
      <w:r w:rsidR="0087048C" w:rsidRPr="00275204">
        <w:rPr>
          <w:rFonts w:ascii="Palatino Linotype" w:hAnsi="Palatino Linotype"/>
          <w:lang w:val="tr-TR"/>
        </w:rPr>
        <w:t xml:space="preserve"> 2000 öncesi dönemde daha düşük </w:t>
      </w:r>
      <w:r w:rsidR="0087048C" w:rsidRPr="00275204">
        <w:rPr>
          <w:rFonts w:ascii="Palatino Linotype" w:hAnsi="Palatino Linotype"/>
          <w:lang w:val="tr-TR"/>
        </w:rPr>
        <w:lastRenderedPageBreak/>
        <w:t>olduğu için aynı yatırım miktarının 2000 öncesi dönemde, bugün ile kıyaslandığında, daha yüksek büyüme getirmesi beklenir. Benzer şekilde kırsal bölgelerde ikamet eden ve tarımda çalışan nüfus iç göçle beraber zamanla azal</w:t>
      </w:r>
      <w:r w:rsidR="00470B95">
        <w:rPr>
          <w:rFonts w:ascii="Palatino Linotype" w:hAnsi="Palatino Linotype"/>
          <w:lang w:val="tr-TR"/>
        </w:rPr>
        <w:t>maya</w:t>
      </w:r>
      <w:r w:rsidR="0087048C" w:rsidRPr="00275204">
        <w:rPr>
          <w:rFonts w:ascii="Palatino Linotype" w:hAnsi="Palatino Linotype"/>
          <w:lang w:val="tr-TR"/>
        </w:rPr>
        <w:t xml:space="preserve"> devam etmektedir. Kentleşmenin hızlı olduğu dönemler yapısal dönüşümün yüksek olduğu, dolayısı ile verimlilik artışlarının görece daha kolay olduğu dönemlerdir. Bunun da sebebi tarımda </w:t>
      </w:r>
      <w:r w:rsidR="004437D4" w:rsidRPr="00275204">
        <w:rPr>
          <w:rFonts w:ascii="Palatino Linotype" w:hAnsi="Palatino Linotype"/>
          <w:lang w:val="tr-TR"/>
        </w:rPr>
        <w:t>“gizli işsiz”</w:t>
      </w:r>
      <w:r w:rsidR="0087048C" w:rsidRPr="00275204">
        <w:rPr>
          <w:rFonts w:ascii="Palatino Linotype" w:hAnsi="Palatino Linotype"/>
          <w:lang w:val="tr-TR"/>
        </w:rPr>
        <w:t xml:space="preserve"> </w:t>
      </w:r>
      <w:r w:rsidR="00403AD3" w:rsidRPr="00275204">
        <w:rPr>
          <w:rFonts w:ascii="Palatino Linotype" w:hAnsi="Palatino Linotype"/>
          <w:lang w:val="tr-TR"/>
        </w:rPr>
        <w:t xml:space="preserve">olan kişiler kırdan </w:t>
      </w:r>
      <w:r w:rsidR="00472619" w:rsidRPr="00275204">
        <w:rPr>
          <w:rFonts w:ascii="Palatino Linotype" w:hAnsi="Palatino Linotype"/>
          <w:lang w:val="tr-TR"/>
        </w:rPr>
        <w:t>göç ettiklerinde</w:t>
      </w:r>
      <w:r w:rsidR="00403AD3" w:rsidRPr="00275204">
        <w:rPr>
          <w:rFonts w:ascii="Palatino Linotype" w:hAnsi="Palatino Linotype"/>
          <w:lang w:val="tr-TR"/>
        </w:rPr>
        <w:t xml:space="preserve"> tarımsal hasılada düşüş yaşanmazken </w:t>
      </w:r>
      <w:r w:rsidR="00456A01" w:rsidRPr="00275204">
        <w:rPr>
          <w:rFonts w:ascii="Palatino Linotype" w:hAnsi="Palatino Linotype"/>
          <w:lang w:val="tr-TR"/>
        </w:rPr>
        <w:t>aynı</w:t>
      </w:r>
      <w:r w:rsidR="00403AD3" w:rsidRPr="00275204">
        <w:rPr>
          <w:rFonts w:ascii="Palatino Linotype" w:hAnsi="Palatino Linotype"/>
          <w:lang w:val="tr-TR"/>
        </w:rPr>
        <w:t xml:space="preserve"> kişiler kentlerde ücretli işlerde çalışınca daha önce olmayan bir katma değer yaratılmış olmaktadır.</w:t>
      </w:r>
      <w:r w:rsidR="0087048C" w:rsidRPr="00275204">
        <w:rPr>
          <w:rFonts w:ascii="Palatino Linotype" w:hAnsi="Palatino Linotype"/>
          <w:lang w:val="tr-TR"/>
        </w:rPr>
        <w:t xml:space="preserve">  Bu</w:t>
      </w:r>
      <w:r w:rsidR="00403AD3" w:rsidRPr="00275204">
        <w:rPr>
          <w:rFonts w:ascii="Palatino Linotype" w:hAnsi="Palatino Linotype"/>
          <w:lang w:val="tr-TR"/>
        </w:rPr>
        <w:t xml:space="preserve"> sebeplerden</w:t>
      </w:r>
      <w:r w:rsidR="0087048C" w:rsidRPr="00275204">
        <w:rPr>
          <w:rFonts w:ascii="Palatino Linotype" w:hAnsi="Palatino Linotype"/>
          <w:lang w:val="tr-TR"/>
        </w:rPr>
        <w:t xml:space="preserve"> do</w:t>
      </w:r>
      <w:r w:rsidR="00403AD3" w:rsidRPr="00275204">
        <w:rPr>
          <w:rFonts w:ascii="Palatino Linotype" w:hAnsi="Palatino Linotype"/>
          <w:lang w:val="tr-TR"/>
        </w:rPr>
        <w:t>layı</w:t>
      </w:r>
      <w:r w:rsidR="0087048C" w:rsidRPr="00275204">
        <w:rPr>
          <w:rFonts w:ascii="Palatino Linotype" w:hAnsi="Palatino Linotype"/>
          <w:lang w:val="tr-TR"/>
        </w:rPr>
        <w:t>, bugün yüzde 5’i başarılı büyüme olarak addediyorsak, daha eski dönemler için başarılı büyüme kıstasımızın daha yüksek olması</w:t>
      </w:r>
      <w:r w:rsidR="00403AD3" w:rsidRPr="00275204">
        <w:rPr>
          <w:rFonts w:ascii="Palatino Linotype" w:hAnsi="Palatino Linotype"/>
          <w:lang w:val="tr-TR"/>
        </w:rPr>
        <w:t xml:space="preserve"> gerekir</w:t>
      </w:r>
      <w:r w:rsidR="0087048C" w:rsidRPr="00275204">
        <w:rPr>
          <w:rFonts w:ascii="Palatino Linotype" w:hAnsi="Palatino Linotype"/>
          <w:lang w:val="tr-TR"/>
        </w:rPr>
        <w:t xml:space="preserve">. </w:t>
      </w:r>
    </w:p>
    <w:p w14:paraId="40795CA2" w14:textId="74794C6D" w:rsidR="004F32DC" w:rsidRPr="00275204" w:rsidRDefault="004F32DC" w:rsidP="001B2D03">
      <w:pPr>
        <w:jc w:val="both"/>
        <w:rPr>
          <w:rFonts w:ascii="Palatino Linotype" w:hAnsi="Palatino Linotype"/>
          <w:lang w:val="tr-TR"/>
        </w:rPr>
      </w:pPr>
      <w:r w:rsidRPr="00275204">
        <w:rPr>
          <w:rFonts w:ascii="Palatino Linotype" w:hAnsi="Palatino Linotype"/>
          <w:lang w:val="tr-TR"/>
        </w:rPr>
        <w:t xml:space="preserve">Türkiye ekonomisinin 1980’den 2018’e GSYH </w:t>
      </w:r>
      <w:r w:rsidR="000421EA" w:rsidRPr="00275204">
        <w:rPr>
          <w:rFonts w:ascii="Palatino Linotype" w:hAnsi="Palatino Linotype"/>
          <w:lang w:val="tr-TR"/>
        </w:rPr>
        <w:t>yıllık ortalama büyümesi %</w:t>
      </w:r>
      <w:r w:rsidRPr="00275204">
        <w:rPr>
          <w:rFonts w:ascii="Palatino Linotype" w:hAnsi="Palatino Linotype"/>
          <w:lang w:val="tr-TR"/>
        </w:rPr>
        <w:t>4,6 olmuştur (Aynı dönemde kişi başı GSYH artışı</w:t>
      </w:r>
      <w:r w:rsidR="000421EA" w:rsidRPr="00275204">
        <w:rPr>
          <w:rFonts w:ascii="Palatino Linotype" w:hAnsi="Palatino Linotype"/>
          <w:lang w:val="tr-TR"/>
        </w:rPr>
        <w:t xml:space="preserve"> ise yıllık ortalama %</w:t>
      </w:r>
      <w:r w:rsidR="00007C35" w:rsidRPr="00275204">
        <w:rPr>
          <w:rFonts w:ascii="Palatino Linotype" w:hAnsi="Palatino Linotype"/>
          <w:lang w:val="tr-TR"/>
        </w:rPr>
        <w:t>2,3’t</w:t>
      </w:r>
      <w:r w:rsidRPr="00275204">
        <w:rPr>
          <w:rFonts w:ascii="Palatino Linotype" w:hAnsi="Palatino Linotype"/>
          <w:lang w:val="tr-TR"/>
        </w:rPr>
        <w:t>ür). Türkiye’</w:t>
      </w:r>
      <w:r w:rsidR="000421EA" w:rsidRPr="00275204">
        <w:rPr>
          <w:rFonts w:ascii="Palatino Linotype" w:hAnsi="Palatino Linotype"/>
          <w:lang w:val="tr-TR"/>
        </w:rPr>
        <w:t>nin uzun dönemli büyümesi %</w:t>
      </w:r>
      <w:r w:rsidRPr="00275204">
        <w:rPr>
          <w:rFonts w:ascii="Palatino Linotype" w:hAnsi="Palatino Linotype"/>
          <w:lang w:val="tr-TR"/>
        </w:rPr>
        <w:t>5 olmamakla birlikte hedeften çok da uzak olmadığı söylenebilir.</w:t>
      </w:r>
      <w:r w:rsidR="00403AD3" w:rsidRPr="00275204">
        <w:rPr>
          <w:rFonts w:ascii="Palatino Linotype" w:hAnsi="Palatino Linotype"/>
          <w:lang w:val="tr-TR"/>
        </w:rPr>
        <w:t xml:space="preserve"> Yukarıdaki tartışma ışığında daha sağlıklı bir değerlendirme için alt dönemleri ayrı ayrı ele almak daha uygun olacaktır. Bu noktaya aşağıda Tablo 1’de tekrar döneceğiz. </w:t>
      </w:r>
      <w:r w:rsidR="00027D18" w:rsidRPr="00275204">
        <w:rPr>
          <w:rFonts w:ascii="Palatino Linotype" w:hAnsi="Palatino Linotype"/>
          <w:lang w:val="tr-TR"/>
        </w:rPr>
        <w:t>O</w:t>
      </w:r>
      <w:r w:rsidRPr="00275204">
        <w:rPr>
          <w:rFonts w:ascii="Palatino Linotype" w:hAnsi="Palatino Linotype"/>
          <w:lang w:val="tr-TR"/>
        </w:rPr>
        <w:t>rtalama büyüme</w:t>
      </w:r>
      <w:r w:rsidR="00027D18" w:rsidRPr="00275204">
        <w:rPr>
          <w:rFonts w:ascii="Palatino Linotype" w:hAnsi="Palatino Linotype"/>
          <w:lang w:val="tr-TR"/>
        </w:rPr>
        <w:t>yi</w:t>
      </w:r>
      <w:r w:rsidRPr="00275204">
        <w:rPr>
          <w:rFonts w:ascii="Palatino Linotype" w:hAnsi="Palatino Linotype"/>
          <w:lang w:val="tr-TR"/>
        </w:rPr>
        <w:t xml:space="preserve"> aşağı </w:t>
      </w:r>
      <w:r w:rsidR="00007C35" w:rsidRPr="00275204">
        <w:rPr>
          <w:rFonts w:ascii="Palatino Linotype" w:hAnsi="Palatino Linotype"/>
          <w:lang w:val="tr-TR"/>
        </w:rPr>
        <w:t>ç</w:t>
      </w:r>
      <w:r w:rsidRPr="00275204">
        <w:rPr>
          <w:rFonts w:ascii="Palatino Linotype" w:hAnsi="Palatino Linotype"/>
          <w:lang w:val="tr-TR"/>
        </w:rPr>
        <w:t xml:space="preserve">eken </w:t>
      </w:r>
      <w:r w:rsidR="00027D18" w:rsidRPr="00275204">
        <w:rPr>
          <w:rFonts w:ascii="Palatino Linotype" w:hAnsi="Palatino Linotype"/>
          <w:lang w:val="tr-TR"/>
        </w:rPr>
        <w:t>ve istikrarlı büyüm</w:t>
      </w:r>
      <w:r w:rsidR="00565883" w:rsidRPr="00275204">
        <w:rPr>
          <w:rFonts w:ascii="Palatino Linotype" w:hAnsi="Palatino Linotype"/>
          <w:lang w:val="tr-TR"/>
        </w:rPr>
        <w:t>e</w:t>
      </w:r>
      <w:r w:rsidR="00027D18" w:rsidRPr="00275204">
        <w:rPr>
          <w:rFonts w:ascii="Palatino Linotype" w:hAnsi="Palatino Linotype"/>
          <w:lang w:val="tr-TR"/>
        </w:rPr>
        <w:t xml:space="preserve"> umutlarını sekteye uğratan belki de en </w:t>
      </w:r>
      <w:r w:rsidRPr="00275204">
        <w:rPr>
          <w:rFonts w:ascii="Palatino Linotype" w:hAnsi="Palatino Linotype"/>
          <w:lang w:val="tr-TR"/>
        </w:rPr>
        <w:t xml:space="preserve">önemli </w:t>
      </w:r>
      <w:r w:rsidR="00027D18" w:rsidRPr="00275204">
        <w:rPr>
          <w:rFonts w:ascii="Palatino Linotype" w:hAnsi="Palatino Linotype"/>
          <w:lang w:val="tr-TR"/>
        </w:rPr>
        <w:t xml:space="preserve">unsur Türkiye ekonomisinin yaşadığı ekonomik krizlerdir. </w:t>
      </w:r>
      <w:r w:rsidRPr="00275204">
        <w:rPr>
          <w:rFonts w:ascii="Palatino Linotype" w:hAnsi="Palatino Linotype"/>
          <w:lang w:val="tr-TR"/>
        </w:rPr>
        <w:t>1980-2018 döneminde toplamda beş kez daralma yaşanmıştır. Bu yıllar; 1980, 1994, 1999, 2001 ve 2009 yıllarıdır. 1980’de</w:t>
      </w:r>
      <w:r w:rsidR="009C2B03" w:rsidRPr="00275204">
        <w:rPr>
          <w:rFonts w:ascii="Palatino Linotype" w:hAnsi="Palatino Linotype"/>
          <w:lang w:val="tr-TR"/>
        </w:rPr>
        <w:t xml:space="preserve"> kapalı komuta ekonomisinin tükenmişliği,</w:t>
      </w:r>
      <w:r w:rsidRPr="00275204">
        <w:rPr>
          <w:rFonts w:ascii="Palatino Linotype" w:hAnsi="Palatino Linotype"/>
          <w:lang w:val="tr-TR"/>
        </w:rPr>
        <w:t xml:space="preserve"> iç karışıklıklar</w:t>
      </w:r>
      <w:r w:rsidR="009C2B03" w:rsidRPr="00275204">
        <w:rPr>
          <w:rFonts w:ascii="Palatino Linotype" w:hAnsi="Palatino Linotype"/>
          <w:lang w:val="tr-TR"/>
        </w:rPr>
        <w:t xml:space="preserve"> ve darbe</w:t>
      </w:r>
      <w:r w:rsidRPr="00275204">
        <w:rPr>
          <w:rFonts w:ascii="Palatino Linotype" w:hAnsi="Palatino Linotype"/>
          <w:lang w:val="tr-TR"/>
        </w:rPr>
        <w:t xml:space="preserve">, 94’te hükümetin yanlış para-faiz ve borçlanma politikaları, 99’da Asya Krizi ve Marmara depreminin etkileri, 2001’de </w:t>
      </w:r>
      <w:r w:rsidR="009C2B03" w:rsidRPr="00275204">
        <w:rPr>
          <w:rFonts w:ascii="Palatino Linotype" w:hAnsi="Palatino Linotype"/>
          <w:lang w:val="tr-TR"/>
        </w:rPr>
        <w:t xml:space="preserve">yüksek kamu borçluluğu, iyi tasarlanmamış bir istikrar programı ve </w:t>
      </w:r>
      <w:r w:rsidRPr="00275204">
        <w:rPr>
          <w:rFonts w:ascii="Palatino Linotype" w:hAnsi="Palatino Linotype"/>
          <w:lang w:val="tr-TR"/>
        </w:rPr>
        <w:t>ticari bankaların likidite sorunlarına ek olarak yaşanan siyasi kriz etkili olmuştur. 2009 yılında ise Küresel Finans Krizi nedeniyle sert bir daralma kaydedilmiştir.</w:t>
      </w:r>
    </w:p>
    <w:p w14:paraId="47DFE2CF" w14:textId="304FD469" w:rsidR="00A050C4" w:rsidRPr="00275204" w:rsidRDefault="00007C35" w:rsidP="001B2D03">
      <w:pPr>
        <w:jc w:val="both"/>
        <w:rPr>
          <w:rFonts w:ascii="Palatino Linotype" w:hAnsi="Palatino Linotype"/>
          <w:lang w:val="tr-TR"/>
        </w:rPr>
      </w:pPr>
      <w:r w:rsidRPr="00275204">
        <w:rPr>
          <w:rFonts w:ascii="Palatino Linotype" w:hAnsi="Palatino Linotype"/>
          <w:lang w:val="tr-TR"/>
        </w:rPr>
        <w:t>Yakında yayınlanacak olan</w:t>
      </w:r>
      <w:r w:rsidRPr="00275204">
        <w:rPr>
          <w:rFonts w:ascii="Palatino Linotype" w:hAnsi="Palatino Linotype"/>
          <w:color w:val="FF0000"/>
          <w:lang w:val="tr-TR"/>
        </w:rPr>
        <w:t xml:space="preserve"> </w:t>
      </w:r>
      <w:r w:rsidR="00AF6797" w:rsidRPr="00275204">
        <w:rPr>
          <w:rFonts w:ascii="Palatino Linotype" w:hAnsi="Palatino Linotype"/>
          <w:lang w:val="tr-TR"/>
        </w:rPr>
        <w:t>Betam</w:t>
      </w:r>
      <w:r w:rsidR="004C02BF" w:rsidRPr="00275204">
        <w:rPr>
          <w:rFonts w:ascii="Palatino Linotype" w:hAnsi="Palatino Linotype"/>
          <w:lang w:val="tr-TR"/>
        </w:rPr>
        <w:t xml:space="preserve"> çalışma tebliğinde kullanılan dönemlendirmeyi esas alarak büyüme rakamlarına bakacak olursak </w:t>
      </w:r>
      <w:r w:rsidR="00EA77D8" w:rsidRPr="00275204">
        <w:rPr>
          <w:rFonts w:ascii="Palatino Linotype" w:hAnsi="Palatino Linotype"/>
          <w:lang w:val="tr-TR"/>
        </w:rPr>
        <w:t>Türkiye ekonomisinin en parlak büyüme performansı</w:t>
      </w:r>
      <w:r w:rsidR="004C02BF" w:rsidRPr="00275204">
        <w:rPr>
          <w:rFonts w:ascii="Palatino Linotype" w:hAnsi="Palatino Linotype"/>
          <w:lang w:val="tr-TR"/>
        </w:rPr>
        <w:t>nın</w:t>
      </w:r>
      <w:r w:rsidR="00EA77D8" w:rsidRPr="00275204">
        <w:rPr>
          <w:rFonts w:ascii="Palatino Linotype" w:hAnsi="Palatino Linotype"/>
          <w:lang w:val="tr-TR"/>
        </w:rPr>
        <w:t xml:space="preserve"> 2003-2013 dön</w:t>
      </w:r>
      <w:r w:rsidR="000421EA" w:rsidRPr="00275204">
        <w:rPr>
          <w:rFonts w:ascii="Palatino Linotype" w:hAnsi="Palatino Linotype"/>
          <w:lang w:val="tr-TR"/>
        </w:rPr>
        <w:t>eminde yıllık ortalama %</w:t>
      </w:r>
      <w:r w:rsidR="00E41552" w:rsidRPr="00275204">
        <w:rPr>
          <w:rFonts w:ascii="Palatino Linotype" w:hAnsi="Palatino Linotype"/>
          <w:lang w:val="tr-TR"/>
        </w:rPr>
        <w:t>5,7</w:t>
      </w:r>
      <w:r w:rsidR="00EA77D8" w:rsidRPr="00275204">
        <w:rPr>
          <w:rFonts w:ascii="Palatino Linotype" w:hAnsi="Palatino Linotype"/>
          <w:lang w:val="tr-TR"/>
        </w:rPr>
        <w:t xml:space="preserve"> ile gerçekleş</w:t>
      </w:r>
      <w:r w:rsidR="004C02BF" w:rsidRPr="00275204">
        <w:rPr>
          <w:rFonts w:ascii="Palatino Linotype" w:hAnsi="Palatino Linotype"/>
          <w:lang w:val="tr-TR"/>
        </w:rPr>
        <w:t>tiğini tespit ediyoruz</w:t>
      </w:r>
      <w:r w:rsidR="00EA77D8" w:rsidRPr="00275204">
        <w:rPr>
          <w:rFonts w:ascii="Palatino Linotype" w:hAnsi="Palatino Linotype"/>
          <w:lang w:val="tr-TR"/>
        </w:rPr>
        <w:t xml:space="preserve">. </w:t>
      </w:r>
      <w:r w:rsidR="00A54AFE" w:rsidRPr="00275204">
        <w:rPr>
          <w:rFonts w:ascii="Palatino Linotype" w:hAnsi="Palatino Linotype"/>
          <w:lang w:val="tr-TR"/>
        </w:rPr>
        <w:t>2014-2018 y</w:t>
      </w:r>
      <w:r w:rsidR="000421EA" w:rsidRPr="00275204">
        <w:rPr>
          <w:rFonts w:ascii="Palatino Linotype" w:hAnsi="Palatino Linotype"/>
          <w:lang w:val="tr-TR"/>
        </w:rPr>
        <w:t>ıllarında ise b</w:t>
      </w:r>
      <w:r w:rsidR="009C2B03" w:rsidRPr="00275204">
        <w:rPr>
          <w:rFonts w:ascii="Palatino Linotype" w:hAnsi="Palatino Linotype"/>
          <w:lang w:val="tr-TR"/>
        </w:rPr>
        <w:t>üyüme oranı</w:t>
      </w:r>
      <w:r w:rsidR="000421EA" w:rsidRPr="00275204">
        <w:rPr>
          <w:rFonts w:ascii="Palatino Linotype" w:hAnsi="Palatino Linotype"/>
          <w:lang w:val="tr-TR"/>
        </w:rPr>
        <w:t xml:space="preserve"> %</w:t>
      </w:r>
      <w:r w:rsidR="00E41552" w:rsidRPr="00275204">
        <w:rPr>
          <w:rFonts w:ascii="Palatino Linotype" w:hAnsi="Palatino Linotype"/>
          <w:lang w:val="tr-TR"/>
        </w:rPr>
        <w:t>4,8’e</w:t>
      </w:r>
      <w:r w:rsidR="00A54AFE" w:rsidRPr="00275204">
        <w:rPr>
          <w:rFonts w:ascii="Palatino Linotype" w:hAnsi="Palatino Linotype"/>
          <w:lang w:val="tr-TR"/>
        </w:rPr>
        <w:t xml:space="preserve"> düşmüştür. Bu </w:t>
      </w:r>
      <w:r w:rsidR="00DC4EB5" w:rsidRPr="00275204">
        <w:rPr>
          <w:rFonts w:ascii="Palatino Linotype" w:hAnsi="Palatino Linotype"/>
          <w:lang w:val="tr-TR"/>
        </w:rPr>
        <w:t>düşüşte</w:t>
      </w:r>
      <w:r w:rsidR="00A54AFE" w:rsidRPr="00275204">
        <w:rPr>
          <w:rFonts w:ascii="Palatino Linotype" w:hAnsi="Palatino Linotype"/>
          <w:lang w:val="tr-TR"/>
        </w:rPr>
        <w:t xml:space="preserve"> 2016 y</w:t>
      </w:r>
      <w:r w:rsidR="00DC4EB5" w:rsidRPr="00275204">
        <w:rPr>
          <w:rFonts w:ascii="Palatino Linotype" w:hAnsi="Palatino Linotype"/>
          <w:lang w:val="tr-TR"/>
        </w:rPr>
        <w:t>ılında yaşanan darbe girişimi</w:t>
      </w:r>
      <w:r w:rsidR="00A54AFE" w:rsidRPr="00275204">
        <w:rPr>
          <w:rFonts w:ascii="Palatino Linotype" w:hAnsi="Palatino Linotype"/>
          <w:lang w:val="tr-TR"/>
        </w:rPr>
        <w:t xml:space="preserve"> ve 2018 yılında</w:t>
      </w:r>
      <w:r w:rsidR="004C02BF" w:rsidRPr="00275204">
        <w:rPr>
          <w:rFonts w:ascii="Palatino Linotype" w:hAnsi="Palatino Linotype"/>
          <w:lang w:val="tr-TR"/>
        </w:rPr>
        <w:t>ki düşük ekonomik büyüme</w:t>
      </w:r>
      <w:r w:rsidR="00A54AFE" w:rsidRPr="00275204">
        <w:rPr>
          <w:rFonts w:ascii="Palatino Linotype" w:hAnsi="Palatino Linotype"/>
          <w:lang w:val="tr-TR"/>
        </w:rPr>
        <w:t xml:space="preserve"> </w:t>
      </w:r>
      <w:r w:rsidR="004C02BF" w:rsidRPr="00275204">
        <w:rPr>
          <w:rFonts w:ascii="Palatino Linotype" w:hAnsi="Palatino Linotype"/>
          <w:lang w:val="tr-TR"/>
        </w:rPr>
        <w:t>e</w:t>
      </w:r>
      <w:r w:rsidR="00A54AFE" w:rsidRPr="00275204">
        <w:rPr>
          <w:rFonts w:ascii="Palatino Linotype" w:hAnsi="Palatino Linotype"/>
          <w:lang w:val="tr-TR"/>
        </w:rPr>
        <w:t xml:space="preserve">tkili olmuştur. </w:t>
      </w:r>
      <w:r w:rsidR="00E41552" w:rsidRPr="00275204">
        <w:rPr>
          <w:rFonts w:ascii="Palatino Linotype" w:hAnsi="Palatino Linotype"/>
          <w:lang w:val="tr-TR"/>
        </w:rPr>
        <w:t>1981</w:t>
      </w:r>
      <w:r w:rsidR="00892F91" w:rsidRPr="00275204">
        <w:rPr>
          <w:rFonts w:ascii="Palatino Linotype" w:hAnsi="Palatino Linotype"/>
          <w:lang w:val="tr-TR"/>
        </w:rPr>
        <w:t xml:space="preserve">-89 yıllarında </w:t>
      </w:r>
      <w:r w:rsidR="000421EA" w:rsidRPr="00275204">
        <w:rPr>
          <w:rFonts w:ascii="Palatino Linotype" w:hAnsi="Palatino Linotype"/>
          <w:lang w:val="tr-TR"/>
        </w:rPr>
        <w:t>yıllık ortalama büyüme %</w:t>
      </w:r>
      <w:r w:rsidR="00E41552" w:rsidRPr="00275204">
        <w:rPr>
          <w:rFonts w:ascii="Palatino Linotype" w:hAnsi="Palatino Linotype"/>
          <w:lang w:val="tr-TR"/>
        </w:rPr>
        <w:t>4,7 ile</w:t>
      </w:r>
      <w:r w:rsidR="00892F91" w:rsidRPr="00275204">
        <w:rPr>
          <w:rFonts w:ascii="Palatino Linotype" w:hAnsi="Palatino Linotype"/>
          <w:lang w:val="tr-TR"/>
        </w:rPr>
        <w:t xml:space="preserve"> ılımlı gerçekleşirken 1990-2002 döneminde peş peşe yaşanan ekonomik ve siyasi krizlere ek olarak Marmara Depremi’nin yıkıcı etkisi sonucunda Türk</w:t>
      </w:r>
      <w:r w:rsidR="000421EA" w:rsidRPr="00275204">
        <w:rPr>
          <w:rFonts w:ascii="Palatino Linotype" w:hAnsi="Palatino Linotype"/>
          <w:lang w:val="tr-TR"/>
        </w:rPr>
        <w:t>iye ekonomisi ortalama %</w:t>
      </w:r>
      <w:r w:rsidR="00E41552" w:rsidRPr="00275204">
        <w:rPr>
          <w:rFonts w:ascii="Palatino Linotype" w:hAnsi="Palatino Linotype"/>
          <w:lang w:val="tr-TR"/>
        </w:rPr>
        <w:t>3,4</w:t>
      </w:r>
      <w:r w:rsidR="00892F91" w:rsidRPr="00275204">
        <w:rPr>
          <w:rFonts w:ascii="Palatino Linotype" w:hAnsi="Palatino Linotype"/>
          <w:lang w:val="tr-TR"/>
        </w:rPr>
        <w:t xml:space="preserve"> genişleyebilmiştir</w:t>
      </w:r>
      <w:r w:rsidR="00054630" w:rsidRPr="00275204">
        <w:rPr>
          <w:rFonts w:ascii="Palatino Linotype" w:hAnsi="Palatino Linotype"/>
          <w:lang w:val="tr-TR"/>
        </w:rPr>
        <w:t xml:space="preserve"> (Tablo 1)</w:t>
      </w:r>
      <w:r w:rsidR="00892F91" w:rsidRPr="00275204">
        <w:rPr>
          <w:rFonts w:ascii="Palatino Linotype" w:hAnsi="Palatino Linotype"/>
          <w:lang w:val="tr-TR"/>
        </w:rPr>
        <w:t>.</w:t>
      </w:r>
    </w:p>
    <w:p w14:paraId="07133529" w14:textId="6B557113" w:rsidR="00054630" w:rsidRPr="00275204" w:rsidRDefault="00054630" w:rsidP="00ED6BDB">
      <w:pPr>
        <w:spacing w:after="240" w:line="276" w:lineRule="auto"/>
        <w:rPr>
          <w:rFonts w:ascii="Palatino Linotype" w:hAnsi="Palatino Linotype"/>
          <w:b/>
          <w:bCs/>
          <w:lang w:val="tr-TR"/>
        </w:rPr>
      </w:pPr>
      <w:r w:rsidRPr="00275204">
        <w:rPr>
          <w:rFonts w:ascii="Palatino Linotype" w:hAnsi="Palatino Linotype"/>
          <w:b/>
          <w:bCs/>
          <w:lang w:val="tr-TR"/>
        </w:rPr>
        <w:t>Tablo 1: Dönemlere göre Türkiye’nin büyüme performa</w:t>
      </w:r>
      <w:r w:rsidR="003835F1" w:rsidRPr="00275204">
        <w:rPr>
          <w:rFonts w:ascii="Palatino Linotype" w:hAnsi="Palatino Linotype"/>
          <w:b/>
          <w:bCs/>
          <w:lang w:val="tr-TR"/>
        </w:rPr>
        <w:t>n</w:t>
      </w:r>
      <w:r w:rsidRPr="00275204">
        <w:rPr>
          <w:rFonts w:ascii="Palatino Linotype" w:hAnsi="Palatino Linotype"/>
          <w:b/>
          <w:bCs/>
          <w:lang w:val="tr-TR"/>
        </w:rPr>
        <w:t>sı</w:t>
      </w:r>
    </w:p>
    <w:p w14:paraId="504D69DF" w14:textId="3ACCCF93" w:rsidR="00054630" w:rsidRPr="00275204" w:rsidRDefault="00ED6BDB" w:rsidP="00ED6BDB">
      <w:pPr>
        <w:spacing w:after="240" w:line="276" w:lineRule="auto"/>
        <w:jc w:val="both"/>
        <w:rPr>
          <w:rFonts w:ascii="Palatino Linotype" w:hAnsi="Palatino Linotype"/>
          <w:sz w:val="20"/>
          <w:szCs w:val="20"/>
          <w:lang w:val="tr-TR"/>
        </w:rPr>
      </w:pPr>
      <w:r w:rsidRPr="00275204">
        <w:rPr>
          <w:noProof/>
          <w:lang w:eastAsia="en-GB"/>
        </w:rPr>
        <w:drawing>
          <wp:inline distT="0" distB="0" distL="0" distR="0" wp14:anchorId="40F4BF70" wp14:editId="035F139E">
            <wp:extent cx="5760720" cy="183769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1837690"/>
                    </a:xfrm>
                    <a:prstGeom prst="rect">
                      <a:avLst/>
                    </a:prstGeom>
                    <a:noFill/>
                    <a:ln>
                      <a:noFill/>
                    </a:ln>
                  </pic:spPr>
                </pic:pic>
              </a:graphicData>
            </a:graphic>
          </wp:inline>
        </w:drawing>
      </w:r>
      <w:r w:rsidR="00054630" w:rsidRPr="00275204">
        <w:rPr>
          <w:rFonts w:ascii="Palatino Linotype" w:hAnsi="Palatino Linotype"/>
          <w:b/>
          <w:bCs/>
          <w:sz w:val="20"/>
          <w:szCs w:val="20"/>
          <w:lang w:val="tr-TR"/>
        </w:rPr>
        <w:t>Kaynak:</w:t>
      </w:r>
      <w:r w:rsidR="00054630" w:rsidRPr="00275204">
        <w:rPr>
          <w:rFonts w:ascii="Palatino Linotype" w:hAnsi="Palatino Linotype"/>
          <w:sz w:val="20"/>
          <w:szCs w:val="20"/>
          <w:lang w:val="tr-TR"/>
        </w:rPr>
        <w:t xml:space="preserve"> T</w:t>
      </w:r>
      <w:r w:rsidRPr="00275204">
        <w:rPr>
          <w:rFonts w:ascii="Palatino Linotype" w:hAnsi="Palatino Linotype"/>
          <w:sz w:val="20"/>
          <w:szCs w:val="20"/>
          <w:lang w:val="tr-TR"/>
        </w:rPr>
        <w:t>U</w:t>
      </w:r>
      <w:r w:rsidR="00054630" w:rsidRPr="00275204">
        <w:rPr>
          <w:rFonts w:ascii="Palatino Linotype" w:hAnsi="Palatino Linotype"/>
          <w:sz w:val="20"/>
          <w:szCs w:val="20"/>
          <w:lang w:val="tr-TR"/>
        </w:rPr>
        <w:t xml:space="preserve">İK, </w:t>
      </w:r>
      <w:r w:rsidR="003435E4" w:rsidRPr="00275204">
        <w:rPr>
          <w:rFonts w:ascii="Palatino Linotype" w:hAnsi="Palatino Linotype"/>
          <w:sz w:val="20"/>
          <w:szCs w:val="20"/>
          <w:lang w:val="tr-TR"/>
        </w:rPr>
        <w:t>Betam</w:t>
      </w:r>
      <w:r w:rsidR="00AA3C1C" w:rsidRPr="00275204">
        <w:rPr>
          <w:rFonts w:ascii="Palatino Linotype" w:hAnsi="Palatino Linotype"/>
          <w:sz w:val="20"/>
          <w:szCs w:val="20"/>
          <w:lang w:val="tr-TR"/>
        </w:rPr>
        <w:t>.</w:t>
      </w:r>
    </w:p>
    <w:p w14:paraId="3C921B3D" w14:textId="594B51E5" w:rsidR="004F32DC" w:rsidRPr="00275204" w:rsidRDefault="00ED6BDB" w:rsidP="00ED6BDB">
      <w:pPr>
        <w:spacing w:after="240" w:line="276" w:lineRule="auto"/>
        <w:jc w:val="both"/>
        <w:rPr>
          <w:rFonts w:ascii="Palatino Linotype" w:hAnsi="Palatino Linotype"/>
          <w:b/>
          <w:bCs/>
          <w:lang w:val="tr-TR"/>
        </w:rPr>
      </w:pPr>
      <w:r w:rsidRPr="00275204">
        <w:rPr>
          <w:rFonts w:ascii="Palatino Linotype" w:hAnsi="Palatino Linotype"/>
          <w:b/>
          <w:bCs/>
          <w:lang w:val="tr-TR"/>
        </w:rPr>
        <w:br w:type="column"/>
      </w:r>
      <w:r w:rsidRPr="00275204">
        <w:rPr>
          <w:rFonts w:ascii="Palatino Linotype" w:hAnsi="Palatino Linotype"/>
          <w:b/>
          <w:bCs/>
          <w:lang w:val="tr-TR"/>
        </w:rPr>
        <w:lastRenderedPageBreak/>
        <w:t>Şekil</w:t>
      </w:r>
      <w:r w:rsidR="00A050C4" w:rsidRPr="00275204">
        <w:rPr>
          <w:rFonts w:ascii="Palatino Linotype" w:hAnsi="Palatino Linotype"/>
          <w:b/>
          <w:bCs/>
          <w:lang w:val="tr-TR"/>
        </w:rPr>
        <w:t xml:space="preserve"> </w:t>
      </w:r>
      <w:r w:rsidR="00986F10" w:rsidRPr="00275204">
        <w:rPr>
          <w:rFonts w:ascii="Palatino Linotype" w:hAnsi="Palatino Linotype"/>
          <w:b/>
          <w:bCs/>
          <w:lang w:val="tr-TR"/>
        </w:rPr>
        <w:t>4</w:t>
      </w:r>
      <w:r w:rsidR="00A050C4" w:rsidRPr="00275204">
        <w:rPr>
          <w:rFonts w:ascii="Palatino Linotype" w:hAnsi="Palatino Linotype"/>
          <w:b/>
          <w:bCs/>
          <w:lang w:val="tr-TR"/>
        </w:rPr>
        <w:t xml:space="preserve">: </w:t>
      </w:r>
      <w:r w:rsidR="000D3D6D" w:rsidRPr="00275204">
        <w:rPr>
          <w:rFonts w:ascii="Palatino Linotype" w:hAnsi="Palatino Linotype"/>
          <w:b/>
          <w:bCs/>
          <w:lang w:val="tr-TR"/>
        </w:rPr>
        <w:t>Türkiye, Çin, Hindistan ve Güney Kore'de kişi başı milli gelir artışının seyri, 1980-2014</w:t>
      </w:r>
    </w:p>
    <w:p w14:paraId="4C2BC1D6" w14:textId="45548C17" w:rsidR="004F32DC" w:rsidRPr="00275204" w:rsidRDefault="000D3D6D" w:rsidP="00ED6BDB">
      <w:pPr>
        <w:spacing w:after="240" w:line="276" w:lineRule="auto"/>
        <w:rPr>
          <w:sz w:val="24"/>
          <w:szCs w:val="24"/>
          <w:lang w:val="tr-TR"/>
        </w:rPr>
      </w:pPr>
      <w:r w:rsidRPr="00275204">
        <w:rPr>
          <w:noProof/>
          <w:lang w:eastAsia="en-GB"/>
        </w:rPr>
        <w:drawing>
          <wp:inline distT="0" distB="0" distL="0" distR="0" wp14:anchorId="578F2173" wp14:editId="49ED97D5">
            <wp:extent cx="5066430" cy="340042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7644" cy="3454934"/>
                    </a:xfrm>
                    <a:prstGeom prst="rect">
                      <a:avLst/>
                    </a:prstGeom>
                    <a:noFill/>
                    <a:ln>
                      <a:noFill/>
                    </a:ln>
                  </pic:spPr>
                </pic:pic>
              </a:graphicData>
            </a:graphic>
          </wp:inline>
        </w:drawing>
      </w:r>
    </w:p>
    <w:p w14:paraId="45B7FDF1" w14:textId="793FC582" w:rsidR="004F32DC" w:rsidRPr="00275204" w:rsidRDefault="004F32DC" w:rsidP="000519DC">
      <w:pPr>
        <w:spacing w:afterLines="240" w:after="576" w:line="276" w:lineRule="auto"/>
        <w:rPr>
          <w:rFonts w:ascii="Palatino Linotype" w:hAnsi="Palatino Linotype"/>
          <w:sz w:val="20"/>
          <w:szCs w:val="20"/>
          <w:lang w:val="tr-TR"/>
        </w:rPr>
      </w:pPr>
      <w:r w:rsidRPr="00275204">
        <w:rPr>
          <w:rFonts w:ascii="Palatino Linotype" w:hAnsi="Palatino Linotype"/>
          <w:b/>
          <w:bCs/>
          <w:sz w:val="20"/>
          <w:szCs w:val="20"/>
          <w:lang w:val="tr-TR"/>
        </w:rPr>
        <w:t>Kaynak:</w:t>
      </w:r>
      <w:r w:rsidRPr="00275204">
        <w:rPr>
          <w:rFonts w:ascii="Palatino Linotype" w:hAnsi="Palatino Linotype"/>
          <w:sz w:val="20"/>
          <w:szCs w:val="20"/>
          <w:lang w:val="tr-TR"/>
        </w:rPr>
        <w:t xml:space="preserve"> </w:t>
      </w:r>
      <w:r w:rsidR="000D3D6D" w:rsidRPr="00275204">
        <w:rPr>
          <w:rFonts w:ascii="Palatino Linotype" w:hAnsi="Palatino Linotype"/>
          <w:sz w:val="20"/>
          <w:szCs w:val="20"/>
          <w:lang w:val="tr-TR"/>
        </w:rPr>
        <w:t>PWT, Betam</w:t>
      </w:r>
      <w:r w:rsidR="0029481A" w:rsidRPr="00275204">
        <w:rPr>
          <w:rFonts w:ascii="Palatino Linotype" w:hAnsi="Palatino Linotype"/>
          <w:sz w:val="20"/>
          <w:szCs w:val="20"/>
          <w:lang w:val="tr-TR"/>
        </w:rPr>
        <w:t>.</w:t>
      </w:r>
    </w:p>
    <w:p w14:paraId="6A8BCA6B" w14:textId="23EF1355" w:rsidR="00EF56B8" w:rsidRPr="00275204" w:rsidRDefault="000519DC" w:rsidP="000519DC">
      <w:pPr>
        <w:spacing w:after="240" w:line="276" w:lineRule="auto"/>
        <w:jc w:val="both"/>
        <w:rPr>
          <w:rFonts w:ascii="Palatino Linotype" w:hAnsi="Palatino Linotype"/>
          <w:b/>
          <w:bCs/>
          <w:lang w:val="tr-TR"/>
        </w:rPr>
      </w:pPr>
      <w:r w:rsidRPr="00275204">
        <w:rPr>
          <w:rFonts w:ascii="Palatino Linotype" w:hAnsi="Palatino Linotype"/>
          <w:b/>
          <w:bCs/>
          <w:lang w:val="tr-TR"/>
        </w:rPr>
        <w:t>Şekil</w:t>
      </w:r>
      <w:r w:rsidR="00A050C4" w:rsidRPr="00275204">
        <w:rPr>
          <w:rFonts w:ascii="Palatino Linotype" w:hAnsi="Palatino Linotype"/>
          <w:b/>
          <w:bCs/>
          <w:lang w:val="tr-TR"/>
        </w:rPr>
        <w:t xml:space="preserve"> </w:t>
      </w:r>
      <w:r w:rsidR="00986F10" w:rsidRPr="00275204">
        <w:rPr>
          <w:rFonts w:ascii="Palatino Linotype" w:hAnsi="Palatino Linotype"/>
          <w:b/>
          <w:bCs/>
          <w:lang w:val="tr-TR"/>
        </w:rPr>
        <w:t>5</w:t>
      </w:r>
      <w:r w:rsidR="00A050C4" w:rsidRPr="00275204">
        <w:rPr>
          <w:rFonts w:ascii="Palatino Linotype" w:hAnsi="Palatino Linotype"/>
          <w:b/>
          <w:bCs/>
          <w:lang w:val="tr-TR"/>
        </w:rPr>
        <w:t xml:space="preserve">: </w:t>
      </w:r>
      <w:r w:rsidR="000D3D6D" w:rsidRPr="00275204">
        <w:rPr>
          <w:rFonts w:ascii="Palatino Linotype" w:hAnsi="Palatino Linotype"/>
          <w:b/>
          <w:bCs/>
          <w:lang w:val="tr-TR"/>
        </w:rPr>
        <w:t>Türkiye, Çin, Hindistan ve Güney Kore'de TFV artışının seyri, 1980-2014</w:t>
      </w:r>
    </w:p>
    <w:p w14:paraId="0FE166CE" w14:textId="660F4830" w:rsidR="00EF56B8" w:rsidRPr="00275204" w:rsidRDefault="000D3D6D" w:rsidP="000519DC">
      <w:pPr>
        <w:spacing w:after="240" w:line="276" w:lineRule="auto"/>
        <w:rPr>
          <w:sz w:val="24"/>
          <w:szCs w:val="24"/>
          <w:lang w:val="tr-TR"/>
        </w:rPr>
      </w:pPr>
      <w:r w:rsidRPr="00275204">
        <w:rPr>
          <w:noProof/>
          <w:lang w:eastAsia="en-GB"/>
        </w:rPr>
        <w:drawing>
          <wp:inline distT="0" distB="0" distL="0" distR="0" wp14:anchorId="735152F8" wp14:editId="45577AB5">
            <wp:extent cx="5134585" cy="3438525"/>
            <wp:effectExtent l="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01763" cy="3483513"/>
                    </a:xfrm>
                    <a:prstGeom prst="rect">
                      <a:avLst/>
                    </a:prstGeom>
                    <a:noFill/>
                    <a:ln>
                      <a:noFill/>
                    </a:ln>
                  </pic:spPr>
                </pic:pic>
              </a:graphicData>
            </a:graphic>
          </wp:inline>
        </w:drawing>
      </w:r>
    </w:p>
    <w:p w14:paraId="5531B0F2" w14:textId="626BD329" w:rsidR="00EF56B8" w:rsidRPr="00275204" w:rsidRDefault="00EF56B8" w:rsidP="000519DC">
      <w:pPr>
        <w:spacing w:afterLines="240" w:after="576" w:line="276" w:lineRule="auto"/>
        <w:jc w:val="both"/>
        <w:rPr>
          <w:rFonts w:ascii="Palatino Linotype" w:hAnsi="Palatino Linotype"/>
          <w:sz w:val="20"/>
          <w:szCs w:val="20"/>
          <w:lang w:val="tr-TR"/>
        </w:rPr>
      </w:pPr>
      <w:r w:rsidRPr="00275204">
        <w:rPr>
          <w:rFonts w:ascii="Palatino Linotype" w:hAnsi="Palatino Linotype"/>
          <w:b/>
          <w:bCs/>
          <w:sz w:val="20"/>
          <w:szCs w:val="20"/>
          <w:lang w:val="tr-TR"/>
        </w:rPr>
        <w:t>Kaynak:</w:t>
      </w:r>
      <w:r w:rsidRPr="00275204">
        <w:rPr>
          <w:rFonts w:ascii="Palatino Linotype" w:hAnsi="Palatino Linotype"/>
          <w:sz w:val="20"/>
          <w:szCs w:val="20"/>
          <w:lang w:val="tr-TR"/>
        </w:rPr>
        <w:t xml:space="preserve"> P</w:t>
      </w:r>
      <w:r w:rsidR="00E72D55" w:rsidRPr="00275204">
        <w:rPr>
          <w:rFonts w:ascii="Palatino Linotype" w:hAnsi="Palatino Linotype"/>
          <w:sz w:val="20"/>
          <w:szCs w:val="20"/>
          <w:lang w:val="tr-TR"/>
        </w:rPr>
        <w:t>WT</w:t>
      </w:r>
      <w:r w:rsidRPr="00275204">
        <w:rPr>
          <w:rFonts w:ascii="Palatino Linotype" w:hAnsi="Palatino Linotype"/>
          <w:sz w:val="20"/>
          <w:szCs w:val="20"/>
          <w:lang w:val="tr-TR"/>
        </w:rPr>
        <w:t xml:space="preserve">, </w:t>
      </w:r>
      <w:r w:rsidR="003435E4" w:rsidRPr="00275204">
        <w:rPr>
          <w:rFonts w:ascii="Palatino Linotype" w:hAnsi="Palatino Linotype"/>
          <w:sz w:val="20"/>
          <w:szCs w:val="20"/>
          <w:lang w:val="tr-TR"/>
        </w:rPr>
        <w:t>Beta</w:t>
      </w:r>
      <w:r w:rsidR="000519DC" w:rsidRPr="00275204">
        <w:rPr>
          <w:rFonts w:ascii="Palatino Linotype" w:hAnsi="Palatino Linotype"/>
          <w:sz w:val="20"/>
          <w:szCs w:val="20"/>
          <w:lang w:val="tr-TR"/>
        </w:rPr>
        <w:t>m.</w:t>
      </w:r>
    </w:p>
    <w:p w14:paraId="51A75D88" w14:textId="7854C4C0" w:rsidR="00E65804" w:rsidRPr="00275204" w:rsidRDefault="00E65804" w:rsidP="00E65804">
      <w:pPr>
        <w:spacing w:after="240" w:line="276" w:lineRule="auto"/>
        <w:jc w:val="both"/>
        <w:rPr>
          <w:rFonts w:ascii="Palatino Linotype" w:hAnsi="Palatino Linotype"/>
          <w:lang w:val="tr-TR"/>
        </w:rPr>
      </w:pPr>
      <w:r w:rsidRPr="00275204">
        <w:rPr>
          <w:rFonts w:ascii="Palatino Linotype" w:hAnsi="Palatino Linotype"/>
          <w:lang w:val="tr-TR"/>
        </w:rPr>
        <w:lastRenderedPageBreak/>
        <w:t>1981-1989 ve 2014-2018 dönemlerind</w:t>
      </w:r>
      <w:r w:rsidR="00457884">
        <w:rPr>
          <w:rFonts w:ascii="Palatino Linotype" w:hAnsi="Palatino Linotype"/>
          <w:lang w:val="tr-TR"/>
        </w:rPr>
        <w:t>e</w:t>
      </w:r>
      <w:r w:rsidRPr="00275204">
        <w:rPr>
          <w:rFonts w:ascii="Palatino Linotype" w:hAnsi="Palatino Linotype"/>
          <w:lang w:val="tr-TR"/>
        </w:rPr>
        <w:t>ki büyümenin yaklaşık ort</w:t>
      </w:r>
      <w:r w:rsidR="00457884">
        <w:rPr>
          <w:rFonts w:ascii="Palatino Linotype" w:hAnsi="Palatino Linotype"/>
          <w:lang w:val="tr-TR"/>
        </w:rPr>
        <w:t>a</w:t>
      </w:r>
      <w:r w:rsidRPr="00275204">
        <w:rPr>
          <w:rFonts w:ascii="Palatino Linotype" w:hAnsi="Palatino Linotype"/>
          <w:lang w:val="tr-TR"/>
        </w:rPr>
        <w:t>lama kadar olduğu, 1990-2002 dönemimin ortalamanın altında kaldığını ve 2003-2013 dönemimin ise ortalam</w:t>
      </w:r>
      <w:r w:rsidR="00457884">
        <w:rPr>
          <w:rFonts w:ascii="Palatino Linotype" w:hAnsi="Palatino Linotype"/>
          <w:lang w:val="tr-TR"/>
        </w:rPr>
        <w:t>a</w:t>
      </w:r>
      <w:r w:rsidRPr="00275204">
        <w:rPr>
          <w:rFonts w:ascii="Palatino Linotype" w:hAnsi="Palatino Linotype"/>
          <w:lang w:val="tr-TR"/>
        </w:rPr>
        <w:t>nın üstüne çıktığını görüyoruz. Her dönem için yüzde 5’i başarılı büyüme oranı olarak kabul etsek bile sadece 2003-2013 arası dönemde başarılı olduğumuz ortadadır. Yukarıda 1980 ve 1990’lı yıllarda yüzde 5’in de üstünde (mesela yüzde 6) büyüme oranının başarı sayılması gerektiğini dile getirmiştik. Bu pencereden bakınca 1980’li, özellikle de 1990’lı yılların başarısızlığı daha da çarpıcı</w:t>
      </w:r>
      <w:r w:rsidR="00A55023">
        <w:rPr>
          <w:rFonts w:ascii="Palatino Linotype" w:hAnsi="Palatino Linotype"/>
          <w:lang w:val="tr-TR"/>
        </w:rPr>
        <w:t xml:space="preserve"> şekilde ortaya çıkıyor</w:t>
      </w:r>
      <w:r w:rsidRPr="00275204">
        <w:rPr>
          <w:rFonts w:ascii="Palatino Linotype" w:hAnsi="Palatino Linotype"/>
          <w:lang w:val="tr-TR"/>
        </w:rPr>
        <w:t>.</w:t>
      </w:r>
    </w:p>
    <w:p w14:paraId="1CBBFBB5" w14:textId="36BBA33E" w:rsidR="00E65804" w:rsidRPr="00275204" w:rsidRDefault="00E65804" w:rsidP="00E65804">
      <w:pPr>
        <w:spacing w:after="240" w:line="276" w:lineRule="auto"/>
        <w:jc w:val="both"/>
        <w:rPr>
          <w:rFonts w:ascii="Palatino Linotype" w:hAnsi="Palatino Linotype"/>
          <w:lang w:val="tr-TR"/>
        </w:rPr>
      </w:pPr>
      <w:r w:rsidRPr="00275204">
        <w:rPr>
          <w:rFonts w:ascii="Palatino Linotype" w:hAnsi="Palatino Linotype"/>
          <w:lang w:val="tr-TR"/>
        </w:rPr>
        <w:t>Bu araştırma notunun verileri esas olarak TÜİK’ten elde edilmiş olmakla birlikte uluslararası kıyaslamalar için “Penn World Table” (kısaca PWT) verileri kullanılacaktır. Hızlı ve istikrarlı büyüyen, bazı Asya ülkeleri ile Türkiye’nin büyümesi Şekil 4’te</w:t>
      </w:r>
      <w:r w:rsidRPr="00275204">
        <w:rPr>
          <w:rFonts w:ascii="Palatino Linotype" w:hAnsi="Palatino Linotype"/>
          <w:color w:val="FF0000"/>
          <w:lang w:val="tr-TR"/>
        </w:rPr>
        <w:t xml:space="preserve"> </w:t>
      </w:r>
      <w:r w:rsidRPr="00275204">
        <w:rPr>
          <w:rFonts w:ascii="Palatino Linotype" w:hAnsi="Palatino Linotype"/>
          <w:lang w:val="tr-TR"/>
        </w:rPr>
        <w:t>karşılaştırılmıştır. Bu ülkeler; Çin, Hindistan ve Güney Kore’dir. Bu üç ülkenin kişi başı GSYH’si 1980 yılında Türkiye’ninkinden daha düşüktü</w:t>
      </w:r>
      <w:r w:rsidR="007F6844">
        <w:rPr>
          <w:rFonts w:ascii="Palatino Linotype" w:hAnsi="Palatino Linotype"/>
          <w:lang w:val="tr-TR"/>
        </w:rPr>
        <w:t xml:space="preserve"> (</w:t>
      </w:r>
      <w:r w:rsidR="007F6844" w:rsidRPr="00275204">
        <w:rPr>
          <w:rFonts w:ascii="Palatino Linotype" w:hAnsi="Palatino Linotype"/>
          <w:lang w:val="tr-TR"/>
        </w:rPr>
        <w:t>satın alma gücü paritesine göre ayarlanmış ve ayarlanmamış veriye göre</w:t>
      </w:r>
      <w:r w:rsidR="007F6844">
        <w:rPr>
          <w:rFonts w:ascii="Palatino Linotype" w:hAnsi="Palatino Linotype"/>
          <w:lang w:val="tr-TR"/>
        </w:rPr>
        <w:t>)</w:t>
      </w:r>
      <w:r w:rsidRPr="00275204">
        <w:rPr>
          <w:rFonts w:ascii="Palatino Linotype" w:hAnsi="Palatino Linotype"/>
          <w:lang w:val="tr-TR"/>
        </w:rPr>
        <w:t xml:space="preserve">. 2018 itibariyle ise Çin ve Güney Kore, kişi başı GSYH (satın alma gücü paritesine göre ayarlanmamış veriye göre) olarak Türkiye’nin önüne geçmişlerdir. Türkiye’nin ekonomik büyümesi, bahsi geçen diğer üç ülkeye göre daha fazla oynaklık sergilemiştir. 1980-2014 zaman diliminde kişi başı milli gelir büyüme hızlarına bakıldığında Çin %6,2, Hindistan %4,3, Güney Kore %5,3 ve Türkiye ise %2,3 ortalama tutturmuşlardır. </w:t>
      </w:r>
    </w:p>
    <w:p w14:paraId="72B4054D" w14:textId="77777777" w:rsidR="00E65804" w:rsidRPr="00275204" w:rsidRDefault="00E65804" w:rsidP="00E65804">
      <w:pPr>
        <w:spacing w:after="240" w:line="276" w:lineRule="auto"/>
        <w:jc w:val="both"/>
        <w:rPr>
          <w:rFonts w:ascii="Palatino Linotype" w:hAnsi="Palatino Linotype"/>
          <w:color w:val="FF0000"/>
          <w:lang w:val="tr-TR"/>
        </w:rPr>
      </w:pPr>
      <w:r w:rsidRPr="00275204">
        <w:rPr>
          <w:rFonts w:ascii="Palatino Linotype" w:hAnsi="Palatino Linotype"/>
          <w:lang w:val="tr-TR"/>
        </w:rPr>
        <w:t>Bu üç ülkeyi Türkiye’yle karşılaştırırken aklımızdaki soru onları farklı kılan unsurların ne olduğudur. Bu unsurlardan bir tanesinin TFV olduğuna şüphe yok (Şekil 5).</w:t>
      </w:r>
      <w:r w:rsidRPr="00275204">
        <w:rPr>
          <w:rFonts w:ascii="Palatino Linotype" w:hAnsi="Palatino Linotype"/>
          <w:color w:val="FF0000"/>
          <w:lang w:val="tr-TR"/>
        </w:rPr>
        <w:t xml:space="preserve"> </w:t>
      </w:r>
      <w:r w:rsidRPr="00275204">
        <w:rPr>
          <w:rFonts w:ascii="Palatino Linotype" w:hAnsi="Palatino Linotype"/>
          <w:lang w:val="tr-TR"/>
        </w:rPr>
        <w:t>Bu üç ülkenin Türkiye’ye kıyasla TFV büyümelerinin daha hızlı ve istikrarlı olduğu görülmektedir. Türkiye’nin yıllar içerisinde bu ülkelerin gerisinde kalmasında TFV artışlarının hızlı ve düzenli olmaması başlıca etmendir diyebiliriz. Burada şu önemli hatırlatmayı yapmak gerekir. Şekil 4 ve 5’teki GSYH ve TFV başta olmak üzere tüm veriler PWT’den gelmektedir (bkz. Feenstra ve ark., 2015). Betam’ın Türkiye için hesapladığı seriler PWT ile nitel olarak benzerlik göstermekle birlikte nicel olarak önemli farklar bulunmaktadır. Farkların sebeplerine dair ayrıntılı tartışma Bakış ve Acar (2020)’de bulunabilir.</w:t>
      </w:r>
    </w:p>
    <w:p w14:paraId="03BB0B98" w14:textId="65E68DB4" w:rsidR="00AF36C0" w:rsidRPr="00275204" w:rsidRDefault="00AF36C0" w:rsidP="000519DC">
      <w:pPr>
        <w:spacing w:before="240" w:after="60" w:line="276" w:lineRule="auto"/>
        <w:jc w:val="both"/>
        <w:rPr>
          <w:rFonts w:ascii="Palatino Linotype" w:hAnsi="Palatino Linotype"/>
          <w:b/>
          <w:bCs/>
          <w:sz w:val="26"/>
          <w:szCs w:val="26"/>
          <w:lang w:val="tr-TR"/>
        </w:rPr>
      </w:pPr>
      <w:r w:rsidRPr="00275204">
        <w:rPr>
          <w:rFonts w:ascii="Palatino Linotype" w:hAnsi="Palatino Linotype"/>
          <w:b/>
          <w:bCs/>
          <w:sz w:val="26"/>
          <w:szCs w:val="26"/>
          <w:lang w:val="tr-TR"/>
        </w:rPr>
        <w:t>T</w:t>
      </w:r>
      <w:r w:rsidR="00F7777F" w:rsidRPr="00275204">
        <w:rPr>
          <w:rFonts w:ascii="Palatino Linotype" w:hAnsi="Palatino Linotype"/>
          <w:b/>
          <w:bCs/>
          <w:sz w:val="26"/>
          <w:szCs w:val="26"/>
          <w:lang w:val="tr-TR"/>
        </w:rPr>
        <w:t xml:space="preserve">oplam </w:t>
      </w:r>
      <w:r w:rsidRPr="00275204">
        <w:rPr>
          <w:rFonts w:ascii="Palatino Linotype" w:hAnsi="Palatino Linotype"/>
          <w:b/>
          <w:bCs/>
          <w:sz w:val="26"/>
          <w:szCs w:val="26"/>
          <w:lang w:val="tr-TR"/>
        </w:rPr>
        <w:t>F</w:t>
      </w:r>
      <w:r w:rsidR="00F7777F" w:rsidRPr="00275204">
        <w:rPr>
          <w:rFonts w:ascii="Palatino Linotype" w:hAnsi="Palatino Linotype"/>
          <w:b/>
          <w:bCs/>
          <w:sz w:val="26"/>
          <w:szCs w:val="26"/>
          <w:lang w:val="tr-TR"/>
        </w:rPr>
        <w:t xml:space="preserve">aktör </w:t>
      </w:r>
      <w:r w:rsidRPr="00275204">
        <w:rPr>
          <w:rFonts w:ascii="Palatino Linotype" w:hAnsi="Palatino Linotype"/>
          <w:b/>
          <w:bCs/>
          <w:sz w:val="26"/>
          <w:szCs w:val="26"/>
          <w:lang w:val="tr-TR"/>
        </w:rPr>
        <w:t>V</w:t>
      </w:r>
      <w:r w:rsidR="00F7777F" w:rsidRPr="00275204">
        <w:rPr>
          <w:rFonts w:ascii="Palatino Linotype" w:hAnsi="Palatino Linotype"/>
          <w:b/>
          <w:bCs/>
          <w:sz w:val="26"/>
          <w:szCs w:val="26"/>
          <w:lang w:val="tr-TR"/>
        </w:rPr>
        <w:t>erimliliğinin</w:t>
      </w:r>
      <w:r w:rsidRPr="00275204">
        <w:rPr>
          <w:rFonts w:ascii="Palatino Linotype" w:hAnsi="Palatino Linotype"/>
          <w:b/>
          <w:bCs/>
          <w:sz w:val="26"/>
          <w:szCs w:val="26"/>
          <w:lang w:val="tr-TR"/>
        </w:rPr>
        <w:t xml:space="preserve"> Büyümeye Katkısı</w:t>
      </w:r>
      <w:r w:rsidR="00EB6D25" w:rsidRPr="00275204">
        <w:rPr>
          <w:rFonts w:ascii="Palatino Linotype" w:hAnsi="Palatino Linotype"/>
          <w:b/>
          <w:bCs/>
          <w:sz w:val="26"/>
          <w:szCs w:val="26"/>
          <w:lang w:val="tr-TR"/>
        </w:rPr>
        <w:t>: 1980-2018</w:t>
      </w:r>
    </w:p>
    <w:p w14:paraId="49AEC7B8" w14:textId="0387ABE4" w:rsidR="0014516A" w:rsidRPr="00275204" w:rsidRDefault="00AF36C0" w:rsidP="000519DC">
      <w:pPr>
        <w:spacing w:after="240" w:line="276" w:lineRule="auto"/>
        <w:jc w:val="both"/>
        <w:rPr>
          <w:rFonts w:ascii="Palatino Linotype" w:hAnsi="Palatino Linotype"/>
          <w:lang w:val="tr-TR"/>
        </w:rPr>
      </w:pPr>
      <w:r w:rsidRPr="00275204">
        <w:rPr>
          <w:rFonts w:ascii="Palatino Linotype" w:hAnsi="Palatino Linotype"/>
          <w:lang w:val="tr-TR"/>
        </w:rPr>
        <w:t>TFV’nin büyümeye katkısı 1980-</w:t>
      </w:r>
      <w:r w:rsidR="0052708F" w:rsidRPr="00275204">
        <w:rPr>
          <w:rFonts w:ascii="Palatino Linotype" w:hAnsi="Palatino Linotype"/>
          <w:lang w:val="tr-TR"/>
        </w:rPr>
        <w:t xml:space="preserve">2018 yılları arasında ortalama </w:t>
      </w:r>
      <w:r w:rsidRPr="00275204">
        <w:rPr>
          <w:rFonts w:ascii="Palatino Linotype" w:hAnsi="Palatino Linotype"/>
          <w:lang w:val="tr-TR"/>
        </w:rPr>
        <w:t>1</w:t>
      </w:r>
      <w:r w:rsidR="000421EA" w:rsidRPr="00275204">
        <w:rPr>
          <w:rFonts w:ascii="Palatino Linotype" w:hAnsi="Palatino Linotype"/>
          <w:lang w:val="tr-TR"/>
        </w:rPr>
        <w:t xml:space="preserve"> yüzde </w:t>
      </w:r>
      <w:r w:rsidR="0052708F" w:rsidRPr="00275204">
        <w:rPr>
          <w:rFonts w:ascii="Palatino Linotype" w:hAnsi="Palatino Linotype"/>
          <w:lang w:val="tr-TR"/>
        </w:rPr>
        <w:t>puan</w:t>
      </w:r>
      <w:r w:rsidRPr="00275204">
        <w:rPr>
          <w:rFonts w:ascii="Palatino Linotype" w:hAnsi="Palatino Linotype"/>
          <w:lang w:val="tr-TR"/>
        </w:rPr>
        <w:t xml:space="preserve"> seviyesinde </w:t>
      </w:r>
      <w:r w:rsidR="00F7777F" w:rsidRPr="00275204">
        <w:rPr>
          <w:rFonts w:ascii="Palatino Linotype" w:hAnsi="Palatino Linotype"/>
          <w:lang w:val="tr-TR"/>
        </w:rPr>
        <w:t>olduğunu görmüştük.</w:t>
      </w:r>
      <w:r w:rsidRPr="00275204">
        <w:rPr>
          <w:rFonts w:ascii="Palatino Linotype" w:hAnsi="Palatino Linotype"/>
          <w:lang w:val="tr-TR"/>
        </w:rPr>
        <w:t xml:space="preserve"> TFV’nin katkısı</w:t>
      </w:r>
      <w:r w:rsidR="0052708F" w:rsidRPr="00275204">
        <w:rPr>
          <w:rFonts w:ascii="Palatino Linotype" w:hAnsi="Palatino Linotype"/>
          <w:lang w:val="tr-TR"/>
        </w:rPr>
        <w:t xml:space="preserve"> yıllar içerisinde önemli dalgalanmalar göstermektedir. TFV serisinin döngüselliğiyle paralel olarak TFV’nin büyümeye katkısı da ekonomik dalgalanmalardan etkilenmiştir.</w:t>
      </w:r>
      <w:r w:rsidR="003633CA" w:rsidRPr="00275204">
        <w:rPr>
          <w:rFonts w:ascii="Palatino Linotype" w:hAnsi="Palatino Linotype"/>
          <w:lang w:val="tr-TR"/>
        </w:rPr>
        <w:t xml:space="preserve"> </w:t>
      </w:r>
      <w:r w:rsidR="0014516A" w:rsidRPr="00275204">
        <w:rPr>
          <w:rFonts w:ascii="Palatino Linotype" w:hAnsi="Palatino Linotype"/>
          <w:lang w:val="tr-TR"/>
        </w:rPr>
        <w:t xml:space="preserve"> </w:t>
      </w:r>
    </w:p>
    <w:p w14:paraId="77D29E3E" w14:textId="3FEB3169" w:rsidR="0014325E" w:rsidRPr="00275204" w:rsidRDefault="0014516A" w:rsidP="000519DC">
      <w:pPr>
        <w:spacing w:after="240" w:line="276" w:lineRule="auto"/>
        <w:jc w:val="both"/>
        <w:rPr>
          <w:rFonts w:ascii="Palatino Linotype" w:hAnsi="Palatino Linotype"/>
          <w:lang w:val="tr-TR"/>
        </w:rPr>
      </w:pPr>
      <w:r w:rsidRPr="00275204">
        <w:rPr>
          <w:rFonts w:ascii="Palatino Linotype" w:hAnsi="Palatino Linotype"/>
          <w:lang w:val="tr-TR"/>
        </w:rPr>
        <w:t xml:space="preserve">Alt dönemler için TFV hesabı ve büyümeye katkısı </w:t>
      </w:r>
      <w:r w:rsidR="00AA3C1C" w:rsidRPr="00275204">
        <w:rPr>
          <w:rFonts w:ascii="Palatino Linotype" w:hAnsi="Palatino Linotype"/>
          <w:lang w:val="tr-TR"/>
        </w:rPr>
        <w:t>Şekil</w:t>
      </w:r>
      <w:r w:rsidRPr="00275204">
        <w:rPr>
          <w:rFonts w:ascii="Palatino Linotype" w:hAnsi="Palatino Linotype"/>
          <w:lang w:val="tr-TR"/>
        </w:rPr>
        <w:t xml:space="preserve"> </w:t>
      </w:r>
      <w:r w:rsidR="00AA3C1C" w:rsidRPr="00275204">
        <w:rPr>
          <w:rFonts w:ascii="Palatino Linotype" w:hAnsi="Palatino Linotype"/>
          <w:lang w:val="tr-TR"/>
        </w:rPr>
        <w:t>6</w:t>
      </w:r>
      <w:r w:rsidRPr="00275204">
        <w:rPr>
          <w:rFonts w:ascii="Palatino Linotype" w:hAnsi="Palatino Linotype"/>
          <w:lang w:val="tr-TR"/>
        </w:rPr>
        <w:t>’d</w:t>
      </w:r>
      <w:r w:rsidR="00AA3C1C" w:rsidRPr="00275204">
        <w:rPr>
          <w:rFonts w:ascii="Palatino Linotype" w:hAnsi="Palatino Linotype"/>
          <w:lang w:val="tr-TR"/>
        </w:rPr>
        <w:t>a</w:t>
      </w:r>
      <w:r w:rsidRPr="00275204">
        <w:rPr>
          <w:rFonts w:ascii="Palatino Linotype" w:hAnsi="Palatino Linotype"/>
          <w:lang w:val="tr-TR"/>
        </w:rPr>
        <w:t xml:space="preserve"> okuyucuya sunulmuştur. </w:t>
      </w:r>
      <w:r w:rsidR="00853D79" w:rsidRPr="00275204">
        <w:rPr>
          <w:rFonts w:ascii="Palatino Linotype" w:hAnsi="Palatino Linotype"/>
          <w:lang w:val="tr-TR"/>
        </w:rPr>
        <w:t>1981-1989 arası dönemde, ekonomide yakalanan yıllık ortalama %4,7’lik büyümeye TFV’nin yaptığı katkı 2,</w:t>
      </w:r>
      <w:r w:rsidR="00BE020D" w:rsidRPr="00275204">
        <w:rPr>
          <w:rFonts w:ascii="Palatino Linotype" w:hAnsi="Palatino Linotype"/>
          <w:lang w:val="tr-TR"/>
        </w:rPr>
        <w:t>2</w:t>
      </w:r>
      <w:r w:rsidR="00853D79" w:rsidRPr="00275204">
        <w:rPr>
          <w:rFonts w:ascii="Palatino Linotype" w:hAnsi="Palatino Linotype"/>
          <w:lang w:val="tr-TR"/>
        </w:rPr>
        <w:t xml:space="preserve"> yüzde puandır. Diğer bir deyişle 1980-1989 arası büyümenin %</w:t>
      </w:r>
      <w:r w:rsidR="008750E7" w:rsidRPr="00275204">
        <w:rPr>
          <w:rFonts w:ascii="Palatino Linotype" w:hAnsi="Palatino Linotype"/>
          <w:lang w:val="tr-TR"/>
        </w:rPr>
        <w:t>4</w:t>
      </w:r>
      <w:r w:rsidR="00853D79" w:rsidRPr="00275204">
        <w:rPr>
          <w:rFonts w:ascii="Palatino Linotype" w:hAnsi="Palatino Linotype"/>
          <w:lang w:val="tr-TR"/>
        </w:rPr>
        <w:t xml:space="preserve">7’si TFV artışından kaynaklanmıştır. </w:t>
      </w:r>
      <w:r w:rsidR="0014325E" w:rsidRPr="00275204">
        <w:rPr>
          <w:rFonts w:ascii="Palatino Linotype" w:hAnsi="Palatino Linotype"/>
          <w:lang w:val="tr-TR"/>
        </w:rPr>
        <w:t>Büyüme oranın</w:t>
      </w:r>
      <w:r w:rsidR="00BA5DF5" w:rsidRPr="00275204">
        <w:rPr>
          <w:rFonts w:ascii="Palatino Linotype" w:hAnsi="Palatino Linotype"/>
          <w:lang w:val="tr-TR"/>
        </w:rPr>
        <w:t>ın</w:t>
      </w:r>
      <w:r w:rsidR="0014325E" w:rsidRPr="00275204">
        <w:rPr>
          <w:rFonts w:ascii="Palatino Linotype" w:hAnsi="Palatino Linotype"/>
          <w:lang w:val="tr-TR"/>
        </w:rPr>
        <w:t xml:space="preserve"> göreli düşüklüğünün nedeni sermaye stok artışının katkısının 1,9 yüzde puan gibi son derece düşük bir seviyede kalmasıdır. Bu sonuç </w:t>
      </w:r>
      <w:r w:rsidR="0014325E" w:rsidRPr="00275204">
        <w:rPr>
          <w:rFonts w:ascii="Palatino Linotype" w:hAnsi="Palatino Linotype"/>
          <w:lang w:val="tr-TR"/>
        </w:rPr>
        <w:lastRenderedPageBreak/>
        <w:t>şaşırtıcı değildir çünkü bu dönemde yatırımlar, 1970’li yılların mirası olan kullanılmayan kapasite oranlarının yüksekliği nedeniyle düşük seviyede kalmıştır.</w:t>
      </w:r>
    </w:p>
    <w:p w14:paraId="3FD823AE" w14:textId="0D51C481" w:rsidR="00BA5DF5" w:rsidRPr="00275204" w:rsidRDefault="00BA5DF5" w:rsidP="000519DC">
      <w:pPr>
        <w:spacing w:after="240" w:line="276" w:lineRule="auto"/>
        <w:jc w:val="both"/>
        <w:rPr>
          <w:rFonts w:ascii="Palatino Linotype" w:hAnsi="Palatino Linotype"/>
          <w:lang w:val="tr-TR"/>
        </w:rPr>
      </w:pPr>
      <w:r w:rsidRPr="00275204">
        <w:rPr>
          <w:rFonts w:ascii="Palatino Linotype" w:hAnsi="Palatino Linotype"/>
          <w:lang w:val="tr-TR"/>
        </w:rPr>
        <w:t xml:space="preserve">Ortalama büyümenin yüzde 3,4 olduğu </w:t>
      </w:r>
      <w:r w:rsidR="00853D79" w:rsidRPr="00275204">
        <w:rPr>
          <w:rFonts w:ascii="Palatino Linotype" w:hAnsi="Palatino Linotype"/>
          <w:lang w:val="tr-TR"/>
        </w:rPr>
        <w:t xml:space="preserve">1990-2002 arası dönemde ise TFV katkısı </w:t>
      </w:r>
      <w:r w:rsidR="00BE020D" w:rsidRPr="00275204">
        <w:rPr>
          <w:rFonts w:ascii="Palatino Linotype" w:hAnsi="Palatino Linotype"/>
          <w:lang w:val="tr-TR"/>
        </w:rPr>
        <w:t>0,4</w:t>
      </w:r>
      <w:r w:rsidR="00853D79" w:rsidRPr="00275204">
        <w:rPr>
          <w:rFonts w:ascii="Palatino Linotype" w:hAnsi="Palatino Linotype"/>
          <w:lang w:val="tr-TR"/>
        </w:rPr>
        <w:t xml:space="preserve"> yüzde puana düşmüştür</w:t>
      </w:r>
      <w:r w:rsidRPr="00275204">
        <w:rPr>
          <w:rFonts w:ascii="Palatino Linotype" w:hAnsi="Palatino Linotype"/>
          <w:lang w:val="tr-TR"/>
        </w:rPr>
        <w:t xml:space="preserve"> (TFV’nin büyümeye katkısı yüzde 11’de kalmıştır)</w:t>
      </w:r>
      <w:r w:rsidR="00853D79" w:rsidRPr="00275204">
        <w:rPr>
          <w:rFonts w:ascii="Palatino Linotype" w:hAnsi="Palatino Linotype"/>
          <w:lang w:val="tr-TR"/>
        </w:rPr>
        <w:t xml:space="preserve">. </w:t>
      </w:r>
      <w:r w:rsidRPr="00275204">
        <w:rPr>
          <w:rFonts w:ascii="Palatino Linotype" w:hAnsi="Palatino Linotype"/>
          <w:lang w:val="tr-TR"/>
        </w:rPr>
        <w:t>Büyümeye esas katkı ortalam</w:t>
      </w:r>
      <w:r w:rsidR="00EC6CA1" w:rsidRPr="00275204">
        <w:rPr>
          <w:rFonts w:ascii="Palatino Linotype" w:hAnsi="Palatino Linotype"/>
          <w:lang w:val="tr-TR"/>
        </w:rPr>
        <w:t>a</w:t>
      </w:r>
      <w:r w:rsidRPr="00275204">
        <w:rPr>
          <w:rFonts w:ascii="Palatino Linotype" w:hAnsi="Palatino Linotype"/>
          <w:lang w:val="tr-TR"/>
        </w:rPr>
        <w:t xml:space="preserve"> yüzde 4,9 artan sermaye stokundan gelmektedir ki büyümeye katkısı yüzde 71,7 düzeyindedir. </w:t>
      </w:r>
    </w:p>
    <w:p w14:paraId="6924DFAC" w14:textId="16BC06BC" w:rsidR="0014325E" w:rsidRPr="00275204" w:rsidRDefault="00853D79" w:rsidP="000519DC">
      <w:pPr>
        <w:spacing w:after="240" w:line="276" w:lineRule="auto"/>
        <w:jc w:val="both"/>
        <w:rPr>
          <w:rFonts w:ascii="Palatino Linotype" w:hAnsi="Palatino Linotype"/>
          <w:lang w:val="tr-TR"/>
        </w:rPr>
      </w:pPr>
      <w:r w:rsidRPr="00275204">
        <w:rPr>
          <w:rFonts w:ascii="Palatino Linotype" w:hAnsi="Palatino Linotype"/>
          <w:lang w:val="tr-TR"/>
        </w:rPr>
        <w:t xml:space="preserve">2003-2007 </w:t>
      </w:r>
      <w:r w:rsidR="00BA5DF5" w:rsidRPr="00275204">
        <w:rPr>
          <w:rFonts w:ascii="Palatino Linotype" w:hAnsi="Palatino Linotype"/>
          <w:lang w:val="tr-TR"/>
        </w:rPr>
        <w:t>ve 2011-2013 yılları GSYH büyümesinin yüzde 7 ve üzeri olduğu nadir iki alt dönemdir.</w:t>
      </w:r>
      <w:r w:rsidR="00F7777F" w:rsidRPr="00275204">
        <w:rPr>
          <w:rFonts w:ascii="Palatino Linotype" w:hAnsi="Palatino Linotype"/>
          <w:color w:val="FF0000"/>
          <w:lang w:val="tr-TR"/>
        </w:rPr>
        <w:t xml:space="preserve"> </w:t>
      </w:r>
      <w:r w:rsidR="00F7777F" w:rsidRPr="00275204">
        <w:rPr>
          <w:rFonts w:ascii="Palatino Linotype" w:hAnsi="Palatino Linotype"/>
          <w:lang w:val="tr-TR"/>
        </w:rPr>
        <w:t xml:space="preserve">Bu </w:t>
      </w:r>
      <w:r w:rsidR="00961DFB" w:rsidRPr="00275204">
        <w:rPr>
          <w:rFonts w:ascii="Palatino Linotype" w:hAnsi="Palatino Linotype"/>
          <w:lang w:val="tr-TR"/>
        </w:rPr>
        <w:t xml:space="preserve">alt </w:t>
      </w:r>
      <w:r w:rsidR="00F7777F" w:rsidRPr="00275204">
        <w:rPr>
          <w:rFonts w:ascii="Palatino Linotype" w:hAnsi="Palatino Linotype"/>
          <w:lang w:val="tr-TR"/>
        </w:rPr>
        <w:t>dönem</w:t>
      </w:r>
      <w:r w:rsidR="00961DFB" w:rsidRPr="00275204">
        <w:rPr>
          <w:rFonts w:ascii="Palatino Linotype" w:hAnsi="Palatino Linotype"/>
          <w:lang w:val="tr-TR"/>
        </w:rPr>
        <w:t>ler</w:t>
      </w:r>
      <w:r w:rsidR="00F7777F" w:rsidRPr="00275204">
        <w:rPr>
          <w:rFonts w:ascii="Palatino Linotype" w:hAnsi="Palatino Linotype"/>
          <w:lang w:val="tr-TR"/>
        </w:rPr>
        <w:t xml:space="preserve">de yakalanan </w:t>
      </w:r>
      <w:r w:rsidR="00961DFB" w:rsidRPr="00275204">
        <w:rPr>
          <w:rFonts w:ascii="Palatino Linotype" w:hAnsi="Palatino Linotype"/>
          <w:lang w:val="tr-TR"/>
        </w:rPr>
        <w:t xml:space="preserve">ortalama </w:t>
      </w:r>
      <w:r w:rsidR="00F7777F" w:rsidRPr="00275204">
        <w:rPr>
          <w:rFonts w:ascii="Palatino Linotype" w:hAnsi="Palatino Linotype"/>
          <w:lang w:val="tr-TR"/>
        </w:rPr>
        <w:t>yıllık büyüme</w:t>
      </w:r>
      <w:r w:rsidR="00961DFB" w:rsidRPr="00275204">
        <w:rPr>
          <w:rFonts w:ascii="Palatino Linotype" w:hAnsi="Palatino Linotype"/>
          <w:lang w:val="tr-TR"/>
        </w:rPr>
        <w:t>lerde</w:t>
      </w:r>
      <w:r w:rsidR="00F7777F" w:rsidRPr="00275204">
        <w:rPr>
          <w:rFonts w:ascii="Palatino Linotype" w:hAnsi="Palatino Linotype"/>
          <w:lang w:val="tr-TR"/>
        </w:rPr>
        <w:t xml:space="preserve"> TFV katkısı </w:t>
      </w:r>
      <w:r w:rsidR="00961DFB" w:rsidRPr="00275204">
        <w:rPr>
          <w:rFonts w:ascii="Palatino Linotype" w:hAnsi="Palatino Linotype"/>
          <w:lang w:val="tr-TR"/>
        </w:rPr>
        <w:t xml:space="preserve">sırası ile </w:t>
      </w:r>
      <w:r w:rsidR="00F7777F" w:rsidRPr="00275204">
        <w:rPr>
          <w:rFonts w:ascii="Palatino Linotype" w:hAnsi="Palatino Linotype"/>
          <w:lang w:val="tr-TR"/>
        </w:rPr>
        <w:t xml:space="preserve">3,1 </w:t>
      </w:r>
      <w:r w:rsidR="00961DFB" w:rsidRPr="00275204">
        <w:rPr>
          <w:rFonts w:ascii="Palatino Linotype" w:hAnsi="Palatino Linotype"/>
          <w:lang w:val="tr-TR"/>
        </w:rPr>
        <w:t xml:space="preserve">ve 2,5 </w:t>
      </w:r>
      <w:r w:rsidR="00F7777F" w:rsidRPr="00275204">
        <w:rPr>
          <w:rFonts w:ascii="Palatino Linotype" w:hAnsi="Palatino Linotype"/>
          <w:lang w:val="tr-TR"/>
        </w:rPr>
        <w:t xml:space="preserve">yüzde puandır; incelenen </w:t>
      </w:r>
      <w:r w:rsidR="0014325E" w:rsidRPr="00275204">
        <w:rPr>
          <w:rFonts w:ascii="Palatino Linotype" w:hAnsi="Palatino Linotype"/>
          <w:lang w:val="tr-TR"/>
        </w:rPr>
        <w:t xml:space="preserve">1980-2018 </w:t>
      </w:r>
      <w:r w:rsidR="00F7777F" w:rsidRPr="00275204">
        <w:rPr>
          <w:rFonts w:ascii="Palatino Linotype" w:hAnsi="Palatino Linotype"/>
          <w:lang w:val="tr-TR"/>
        </w:rPr>
        <w:t>dönem</w:t>
      </w:r>
      <w:r w:rsidR="0014325E" w:rsidRPr="00275204">
        <w:rPr>
          <w:rFonts w:ascii="Palatino Linotype" w:hAnsi="Palatino Linotype"/>
          <w:lang w:val="tr-TR"/>
        </w:rPr>
        <w:t>in</w:t>
      </w:r>
      <w:r w:rsidR="00F7777F" w:rsidRPr="00275204">
        <w:rPr>
          <w:rFonts w:ascii="Palatino Linotype" w:hAnsi="Palatino Linotype"/>
          <w:lang w:val="tr-TR"/>
        </w:rPr>
        <w:t xml:space="preserve">de uzak ara en yüksek </w:t>
      </w:r>
      <w:r w:rsidR="003B19E1" w:rsidRPr="00275204">
        <w:rPr>
          <w:rFonts w:ascii="Palatino Linotype" w:hAnsi="Palatino Linotype"/>
          <w:lang w:val="tr-TR"/>
        </w:rPr>
        <w:t xml:space="preserve">ortalama </w:t>
      </w:r>
      <w:r w:rsidR="00F7777F" w:rsidRPr="00275204">
        <w:rPr>
          <w:rFonts w:ascii="Palatino Linotype" w:hAnsi="Palatino Linotype"/>
          <w:lang w:val="tr-TR"/>
        </w:rPr>
        <w:t xml:space="preserve">TFV </w:t>
      </w:r>
      <w:r w:rsidR="003B19E1" w:rsidRPr="00275204">
        <w:rPr>
          <w:rFonts w:ascii="Palatino Linotype" w:hAnsi="Palatino Linotype"/>
          <w:lang w:val="tr-TR"/>
        </w:rPr>
        <w:t>artışı bu</w:t>
      </w:r>
      <w:r w:rsidR="00961DFB" w:rsidRPr="00275204">
        <w:rPr>
          <w:rFonts w:ascii="Palatino Linotype" w:hAnsi="Palatino Linotype"/>
          <w:lang w:val="tr-TR"/>
        </w:rPr>
        <w:t xml:space="preserve"> iki alt dönemdedir.</w:t>
      </w:r>
      <w:r w:rsidR="003B19E1" w:rsidRPr="00275204">
        <w:rPr>
          <w:rFonts w:ascii="Palatino Linotype" w:hAnsi="Palatino Linotype"/>
          <w:lang w:val="tr-TR"/>
        </w:rPr>
        <w:t xml:space="preserve"> </w:t>
      </w:r>
      <w:r w:rsidR="00961DFB" w:rsidRPr="00275204">
        <w:rPr>
          <w:rFonts w:ascii="Palatino Linotype" w:hAnsi="Palatino Linotype"/>
          <w:lang w:val="tr-TR"/>
        </w:rPr>
        <w:t xml:space="preserve">TFV’nin büyümeye </w:t>
      </w:r>
      <w:r w:rsidR="003B19E1" w:rsidRPr="00275204">
        <w:rPr>
          <w:rFonts w:ascii="Palatino Linotype" w:hAnsi="Palatino Linotype"/>
          <w:lang w:val="tr-TR"/>
        </w:rPr>
        <w:t xml:space="preserve">katkısı </w:t>
      </w:r>
      <w:r w:rsidR="00961DFB" w:rsidRPr="00275204">
        <w:rPr>
          <w:rFonts w:ascii="Palatino Linotype" w:hAnsi="Palatino Linotype"/>
          <w:lang w:val="tr-TR"/>
        </w:rPr>
        <w:t>bu alt dönemler için sırası ile 3,1 ve 2,5 yüzde puan (yaklaşık olarak yüzde</w:t>
      </w:r>
      <w:r w:rsidR="003B19E1" w:rsidRPr="00275204">
        <w:rPr>
          <w:rFonts w:ascii="Palatino Linotype" w:hAnsi="Palatino Linotype"/>
          <w:lang w:val="tr-TR"/>
        </w:rPr>
        <w:t xml:space="preserve"> 45</w:t>
      </w:r>
      <w:r w:rsidR="00961DFB" w:rsidRPr="00275204">
        <w:rPr>
          <w:rFonts w:ascii="Palatino Linotype" w:hAnsi="Palatino Linotype"/>
          <w:lang w:val="tr-TR"/>
        </w:rPr>
        <w:t>) olarak gerçekleşmiştir.</w:t>
      </w:r>
      <w:r w:rsidR="003B19E1" w:rsidRPr="00275204">
        <w:rPr>
          <w:rFonts w:ascii="Palatino Linotype" w:hAnsi="Palatino Linotype"/>
          <w:lang w:val="tr-TR"/>
        </w:rPr>
        <w:t xml:space="preserve"> </w:t>
      </w:r>
      <w:r w:rsidR="00961DFB" w:rsidRPr="00275204">
        <w:rPr>
          <w:rFonts w:ascii="Palatino Linotype" w:hAnsi="Palatino Linotype"/>
          <w:lang w:val="tr-TR"/>
        </w:rPr>
        <w:t xml:space="preserve">Her iki alt dönemde de </w:t>
      </w:r>
      <w:r w:rsidR="0014325E" w:rsidRPr="00275204">
        <w:rPr>
          <w:rFonts w:ascii="Palatino Linotype" w:hAnsi="Palatino Linotype"/>
          <w:lang w:val="tr-TR"/>
        </w:rPr>
        <w:t>sermaye stok</w:t>
      </w:r>
      <w:r w:rsidR="0098454B" w:rsidRPr="00275204">
        <w:rPr>
          <w:rFonts w:ascii="Palatino Linotype" w:hAnsi="Palatino Linotype"/>
          <w:lang w:val="tr-TR"/>
        </w:rPr>
        <w:t>u</w:t>
      </w:r>
      <w:r w:rsidR="0014325E" w:rsidRPr="00275204">
        <w:rPr>
          <w:rFonts w:ascii="Palatino Linotype" w:hAnsi="Palatino Linotype"/>
          <w:lang w:val="tr-TR"/>
        </w:rPr>
        <w:t xml:space="preserve"> artışı</w:t>
      </w:r>
      <w:r w:rsidR="00961DFB" w:rsidRPr="00275204">
        <w:rPr>
          <w:rFonts w:ascii="Palatino Linotype" w:hAnsi="Palatino Linotype"/>
          <w:lang w:val="tr-TR"/>
        </w:rPr>
        <w:t>nın</w:t>
      </w:r>
      <w:r w:rsidR="0014325E" w:rsidRPr="00275204">
        <w:rPr>
          <w:rFonts w:ascii="Palatino Linotype" w:hAnsi="Palatino Linotype"/>
          <w:lang w:val="tr-TR"/>
        </w:rPr>
        <w:t xml:space="preserve"> yüksek yatırım oranları sayesinde TVF kadar katkı </w:t>
      </w:r>
      <w:r w:rsidR="00961DFB" w:rsidRPr="00275204">
        <w:rPr>
          <w:rFonts w:ascii="Palatino Linotype" w:hAnsi="Palatino Linotype"/>
          <w:lang w:val="tr-TR"/>
        </w:rPr>
        <w:t xml:space="preserve">yaptığını </w:t>
      </w:r>
      <w:r w:rsidR="0014325E" w:rsidRPr="00275204">
        <w:rPr>
          <w:rFonts w:ascii="Palatino Linotype" w:hAnsi="Palatino Linotype"/>
          <w:lang w:val="tr-TR"/>
        </w:rPr>
        <w:t>(</w:t>
      </w:r>
      <w:r w:rsidR="00961DFB" w:rsidRPr="00275204">
        <w:rPr>
          <w:rFonts w:ascii="Palatino Linotype" w:hAnsi="Palatino Linotype"/>
          <w:lang w:val="tr-TR"/>
        </w:rPr>
        <w:t xml:space="preserve">sırası ile </w:t>
      </w:r>
      <w:r w:rsidR="0014325E" w:rsidRPr="00275204">
        <w:rPr>
          <w:rFonts w:ascii="Palatino Linotype" w:hAnsi="Palatino Linotype"/>
          <w:lang w:val="tr-TR"/>
        </w:rPr>
        <w:t xml:space="preserve">3,1 </w:t>
      </w:r>
      <w:r w:rsidR="00961DFB" w:rsidRPr="00275204">
        <w:rPr>
          <w:rFonts w:ascii="Palatino Linotype" w:hAnsi="Palatino Linotype"/>
          <w:lang w:val="tr-TR"/>
        </w:rPr>
        <w:t xml:space="preserve">ve 3,3 </w:t>
      </w:r>
      <w:r w:rsidR="0014325E" w:rsidRPr="00275204">
        <w:rPr>
          <w:rFonts w:ascii="Palatino Linotype" w:hAnsi="Palatino Linotype"/>
          <w:lang w:val="tr-TR"/>
        </w:rPr>
        <w:t xml:space="preserve">yüzde puan) </w:t>
      </w:r>
      <w:r w:rsidR="00961DFB" w:rsidRPr="00275204">
        <w:rPr>
          <w:rFonts w:ascii="Palatino Linotype" w:hAnsi="Palatino Linotype"/>
          <w:lang w:val="tr-TR"/>
        </w:rPr>
        <w:t>belirtmek gerekir</w:t>
      </w:r>
      <w:r w:rsidR="0014325E" w:rsidRPr="00275204">
        <w:rPr>
          <w:rFonts w:ascii="Palatino Linotype" w:hAnsi="Palatino Linotype"/>
          <w:lang w:val="tr-TR"/>
        </w:rPr>
        <w:t xml:space="preserve"> (Şekil 6)</w:t>
      </w:r>
      <w:r w:rsidR="00961DFB" w:rsidRPr="00275204">
        <w:rPr>
          <w:rFonts w:ascii="Palatino Linotype" w:hAnsi="Palatino Linotype"/>
          <w:lang w:val="tr-TR"/>
        </w:rPr>
        <w:t>.</w:t>
      </w:r>
      <w:r w:rsidR="00835C58" w:rsidRPr="00275204">
        <w:rPr>
          <w:rFonts w:ascii="Palatino Linotype" w:hAnsi="Palatino Linotype"/>
          <w:lang w:val="tr-TR"/>
        </w:rPr>
        <w:t xml:space="preserve"> </w:t>
      </w:r>
    </w:p>
    <w:p w14:paraId="3C41F042" w14:textId="65886E1B" w:rsidR="0098454B" w:rsidRPr="00275204" w:rsidRDefault="00853D79" w:rsidP="000519DC">
      <w:pPr>
        <w:spacing w:after="240" w:line="276" w:lineRule="auto"/>
        <w:jc w:val="both"/>
        <w:rPr>
          <w:rFonts w:ascii="Palatino Linotype" w:hAnsi="Palatino Linotype"/>
          <w:lang w:val="tr-TR"/>
        </w:rPr>
      </w:pPr>
      <w:r w:rsidRPr="00275204">
        <w:rPr>
          <w:rFonts w:ascii="Palatino Linotype" w:hAnsi="Palatino Linotype"/>
          <w:lang w:val="tr-TR"/>
        </w:rPr>
        <w:t xml:space="preserve">Küresel ekonomik kriz etkisindeki 2008-2010 arası dönemde ise TFV’nin büyümeye katkısı </w:t>
      </w:r>
      <w:r w:rsidR="0098454B" w:rsidRPr="00275204">
        <w:rPr>
          <w:rFonts w:ascii="Palatino Linotype" w:hAnsi="Palatino Linotype"/>
          <w:lang w:val="tr-TR"/>
        </w:rPr>
        <w:t xml:space="preserve">bekleneceği gibi </w:t>
      </w:r>
      <w:r w:rsidRPr="00275204">
        <w:rPr>
          <w:rFonts w:ascii="Palatino Linotype" w:hAnsi="Palatino Linotype"/>
          <w:lang w:val="tr-TR"/>
        </w:rPr>
        <w:t>negatif</w:t>
      </w:r>
      <w:r w:rsidR="003B19E1" w:rsidRPr="00275204">
        <w:rPr>
          <w:rFonts w:ascii="Palatino Linotype" w:hAnsi="Palatino Linotype"/>
          <w:lang w:val="tr-TR"/>
        </w:rPr>
        <w:t>tir</w:t>
      </w:r>
      <w:r w:rsidRPr="00275204">
        <w:rPr>
          <w:rFonts w:ascii="Palatino Linotype" w:hAnsi="Palatino Linotype"/>
          <w:lang w:val="tr-TR"/>
        </w:rPr>
        <w:t xml:space="preserve">. </w:t>
      </w:r>
      <w:r w:rsidR="00835C58" w:rsidRPr="00275204">
        <w:rPr>
          <w:rFonts w:ascii="Palatino Linotype" w:hAnsi="Palatino Linotype"/>
          <w:lang w:val="tr-TR"/>
        </w:rPr>
        <w:t xml:space="preserve"> Çarpıcı olan sermaye stoku artışı ve istihdam artışının 2003-2007 ve 2011-2013 dönemleri ortalamalarına olan yakınlığına rağmen (sırası ile yüzde 6,4 ve yüzde 2,9’luk bir artış söz konusudur) ortalama GSYH artışının sadece yüzde 1,4 ile sınırlı kalmasıdır </w:t>
      </w:r>
      <w:r w:rsidR="0098454B" w:rsidRPr="00275204">
        <w:rPr>
          <w:rFonts w:ascii="Palatino Linotype" w:hAnsi="Palatino Linotype"/>
          <w:lang w:val="tr-TR"/>
        </w:rPr>
        <w:t xml:space="preserve">(Şekil 6). </w:t>
      </w:r>
    </w:p>
    <w:p w14:paraId="0E1E1DEA" w14:textId="77777777" w:rsidR="00E65804" w:rsidRPr="00275204" w:rsidRDefault="00853D79" w:rsidP="000519DC">
      <w:pPr>
        <w:spacing w:after="240" w:line="276" w:lineRule="auto"/>
        <w:jc w:val="both"/>
        <w:rPr>
          <w:rFonts w:ascii="Palatino Linotype" w:hAnsi="Palatino Linotype"/>
          <w:lang w:val="tr-TR"/>
        </w:rPr>
      </w:pPr>
      <w:r w:rsidRPr="00275204">
        <w:rPr>
          <w:rFonts w:ascii="Palatino Linotype" w:hAnsi="Palatino Linotype"/>
          <w:lang w:val="tr-TR"/>
        </w:rPr>
        <w:t xml:space="preserve">2014-2018 arasını kapsayan son dönemde ise TFV </w:t>
      </w:r>
      <w:r w:rsidR="008750E7" w:rsidRPr="00275204">
        <w:rPr>
          <w:rFonts w:ascii="Palatino Linotype" w:hAnsi="Palatino Linotype"/>
          <w:lang w:val="tr-TR"/>
        </w:rPr>
        <w:t>artmadığı için</w:t>
      </w:r>
      <w:r w:rsidRPr="00275204">
        <w:rPr>
          <w:rFonts w:ascii="Palatino Linotype" w:hAnsi="Palatino Linotype"/>
          <w:lang w:val="tr-TR"/>
        </w:rPr>
        <w:t xml:space="preserve"> büyümeye katkı </w:t>
      </w:r>
      <w:r w:rsidR="008750E7" w:rsidRPr="00275204">
        <w:rPr>
          <w:rFonts w:ascii="Palatino Linotype" w:hAnsi="Palatino Linotype"/>
          <w:lang w:val="tr-TR"/>
        </w:rPr>
        <w:t>yapmamış</w:t>
      </w:r>
      <w:r w:rsidR="009D4201" w:rsidRPr="00275204">
        <w:rPr>
          <w:rFonts w:ascii="Palatino Linotype" w:hAnsi="Palatino Linotype"/>
          <w:lang w:val="tr-TR"/>
        </w:rPr>
        <w:t xml:space="preserve"> ve büyüme nispeten düşük kalmıştır (yüzde 4,8)</w:t>
      </w:r>
      <w:r w:rsidRPr="00275204">
        <w:rPr>
          <w:rFonts w:ascii="Palatino Linotype" w:hAnsi="Palatino Linotype"/>
          <w:lang w:val="tr-TR"/>
        </w:rPr>
        <w:t xml:space="preserve">. </w:t>
      </w:r>
      <w:r w:rsidR="0098454B" w:rsidRPr="00275204">
        <w:rPr>
          <w:rFonts w:ascii="Palatino Linotype" w:hAnsi="Palatino Linotype"/>
          <w:lang w:val="tr-TR"/>
        </w:rPr>
        <w:t>Bu dönemde büyümeyi ayakta tutan</w:t>
      </w:r>
      <w:r w:rsidR="00BA5CFB" w:rsidRPr="00275204">
        <w:rPr>
          <w:rFonts w:ascii="Palatino Linotype" w:hAnsi="Palatino Linotype"/>
          <w:lang w:val="tr-TR"/>
        </w:rPr>
        <w:t xml:space="preserve"> yüksek yatırımlar dolayısıyla sermaye stokunda gerçekleşen yüksek artışlar olmuştur</w:t>
      </w:r>
      <w:r w:rsidR="00835C58" w:rsidRPr="00275204">
        <w:rPr>
          <w:rFonts w:ascii="Palatino Linotype" w:hAnsi="Palatino Linotype"/>
          <w:lang w:val="tr-TR"/>
        </w:rPr>
        <w:t xml:space="preserve"> (yüzde 7,2)</w:t>
      </w:r>
      <w:r w:rsidR="00BA5CFB" w:rsidRPr="00275204">
        <w:rPr>
          <w:rFonts w:ascii="Palatino Linotype" w:hAnsi="Palatino Linotype"/>
          <w:lang w:val="tr-TR"/>
        </w:rPr>
        <w:t xml:space="preserve">; </w:t>
      </w:r>
      <w:r w:rsidR="00835C58" w:rsidRPr="00275204">
        <w:rPr>
          <w:rFonts w:ascii="Palatino Linotype" w:hAnsi="Palatino Linotype"/>
          <w:lang w:val="tr-TR"/>
        </w:rPr>
        <w:t xml:space="preserve">incelen 1980-2018 dönemi içinde </w:t>
      </w:r>
      <w:r w:rsidR="00BA5CFB" w:rsidRPr="00275204">
        <w:rPr>
          <w:rFonts w:ascii="Palatino Linotype" w:hAnsi="Palatino Linotype"/>
          <w:lang w:val="tr-TR"/>
        </w:rPr>
        <w:t>sermaye stokunun büyümeye 3,7 yüzde puanla en yüksek katkıyı yaptığı dönem 2014-2018 dönemidir</w:t>
      </w:r>
      <w:r w:rsidR="00835C58" w:rsidRPr="00275204">
        <w:rPr>
          <w:rFonts w:ascii="Palatino Linotype" w:hAnsi="Palatino Linotype"/>
          <w:lang w:val="tr-TR"/>
        </w:rPr>
        <w:t xml:space="preserve"> (yüzde 75,7)</w:t>
      </w:r>
      <w:r w:rsidR="00BA5CFB" w:rsidRPr="00275204">
        <w:rPr>
          <w:rFonts w:ascii="Palatino Linotype" w:hAnsi="Palatino Linotype"/>
          <w:lang w:val="tr-TR"/>
        </w:rPr>
        <w:t>. Bu sonuç, yatırımlar yüksek seviyelere ulaşsa bile, eğer verimlilik artışlarına yol açmıyorlarsa büyümenin arzulanan seviyelere ulaşması</w:t>
      </w:r>
      <w:r w:rsidR="00C35BFD" w:rsidRPr="00275204">
        <w:rPr>
          <w:rFonts w:ascii="Palatino Linotype" w:hAnsi="Palatino Linotype"/>
          <w:lang w:val="tr-TR"/>
        </w:rPr>
        <w:t>nın</w:t>
      </w:r>
      <w:r w:rsidR="00BA5CFB" w:rsidRPr="00275204">
        <w:rPr>
          <w:rFonts w:ascii="Palatino Linotype" w:hAnsi="Palatino Linotype"/>
          <w:lang w:val="tr-TR"/>
        </w:rPr>
        <w:t xml:space="preserve"> mümkün </w:t>
      </w:r>
      <w:r w:rsidR="00C35BFD" w:rsidRPr="00275204">
        <w:rPr>
          <w:rFonts w:ascii="Palatino Linotype" w:hAnsi="Palatino Linotype"/>
          <w:lang w:val="tr-TR"/>
        </w:rPr>
        <w:t>olamayacağını gösteriyor</w:t>
      </w:r>
      <w:r w:rsidR="00922FB9" w:rsidRPr="00275204">
        <w:rPr>
          <w:rFonts w:ascii="Palatino Linotype" w:hAnsi="Palatino Linotype"/>
          <w:lang w:val="tr-TR"/>
        </w:rPr>
        <w:t xml:space="preserve">. </w:t>
      </w:r>
    </w:p>
    <w:p w14:paraId="13B273BE" w14:textId="48B2CAE2" w:rsidR="00922FB9" w:rsidRPr="00275204" w:rsidRDefault="00107E8C" w:rsidP="000519DC">
      <w:pPr>
        <w:spacing w:after="240" w:line="276" w:lineRule="auto"/>
        <w:jc w:val="both"/>
        <w:rPr>
          <w:rFonts w:ascii="Palatino Linotype" w:hAnsi="Palatino Linotype"/>
          <w:color w:val="FF0000"/>
          <w:lang w:val="tr-TR"/>
        </w:rPr>
      </w:pPr>
      <w:r w:rsidRPr="00275204">
        <w:rPr>
          <w:rFonts w:ascii="Palatino Linotype" w:hAnsi="Palatino Linotype"/>
          <w:lang w:val="tr-TR"/>
        </w:rPr>
        <w:t xml:space="preserve">TÜİK’in yayınladığı cari fiyatlı gayrisafi sabit sermaye oluşumu verisine bakıldığında 2009-2012 arası dönemde inşaat yatırımlarının payının ortalama olarak yüzde 51,3, makine ve teçhizat yatırımlarının payının ise yüzde 39,3 olduğu görülüyor. 2013’ten itibaren bu oranlar inşaat lehine hızla </w:t>
      </w:r>
      <w:r w:rsidR="00EC6CA1" w:rsidRPr="00275204">
        <w:rPr>
          <w:rFonts w:ascii="Palatino Linotype" w:hAnsi="Palatino Linotype"/>
          <w:lang w:val="tr-TR"/>
        </w:rPr>
        <w:t>değişmektedir. Öyle ki 2013-2018 arası dönemde inşaat yatırımlarının payı ortalama olarak yüzde 56,5’e çıkarken makine ve teçhizat yatırımlarının payı yüzde 35,7 düzeyine inmiştir. Bu da makine teçhizat yatırımlarından inşaat yatırımlarına yaklaşık olarak 5 yüzde puanlık bir kayma olduğunu ortaya koymaktadır. İnşaat yatırımlarının makine ve teçhizat yatırımlarına kıyasla daha verimsiz oldukları düşünüldüğünde 2014-2018 arası düşük TFV’yi açıklayan faktörlerden birinin verimsiz yatırımlar olduğu rahatlıkla söylenebilir.</w:t>
      </w:r>
    </w:p>
    <w:p w14:paraId="451BD1CA" w14:textId="77777777" w:rsidR="00E65804" w:rsidRPr="00275204" w:rsidRDefault="00E65804" w:rsidP="000519DC">
      <w:pPr>
        <w:spacing w:after="240" w:line="276" w:lineRule="auto"/>
        <w:jc w:val="both"/>
        <w:rPr>
          <w:rFonts w:ascii="Palatino Linotype" w:hAnsi="Palatino Linotype"/>
          <w:b/>
          <w:bCs/>
          <w:lang w:val="tr-TR"/>
        </w:rPr>
      </w:pPr>
    </w:p>
    <w:p w14:paraId="44EF00C7" w14:textId="574C1703" w:rsidR="003A78F9" w:rsidRPr="00275204" w:rsidRDefault="000519DC" w:rsidP="000519DC">
      <w:pPr>
        <w:spacing w:after="240" w:line="276" w:lineRule="auto"/>
        <w:jc w:val="both"/>
        <w:rPr>
          <w:rFonts w:ascii="Palatino Linotype" w:hAnsi="Palatino Linotype"/>
          <w:b/>
          <w:bCs/>
          <w:lang w:val="tr-TR"/>
        </w:rPr>
      </w:pPr>
      <w:r w:rsidRPr="00275204">
        <w:rPr>
          <w:rFonts w:ascii="Palatino Linotype" w:hAnsi="Palatino Linotype"/>
          <w:b/>
          <w:bCs/>
          <w:lang w:val="tr-TR"/>
        </w:rPr>
        <w:lastRenderedPageBreak/>
        <w:t>Şekil</w:t>
      </w:r>
      <w:r w:rsidR="00AA3E5B" w:rsidRPr="00275204">
        <w:rPr>
          <w:rFonts w:ascii="Palatino Linotype" w:hAnsi="Palatino Linotype"/>
          <w:b/>
          <w:bCs/>
          <w:lang w:val="tr-TR"/>
        </w:rPr>
        <w:t xml:space="preserve"> </w:t>
      </w:r>
      <w:r w:rsidR="00986F10" w:rsidRPr="00275204">
        <w:rPr>
          <w:rFonts w:ascii="Palatino Linotype" w:hAnsi="Palatino Linotype"/>
          <w:b/>
          <w:bCs/>
          <w:lang w:val="tr-TR"/>
        </w:rPr>
        <w:t>6</w:t>
      </w:r>
      <w:r w:rsidR="00AA3E5B" w:rsidRPr="00275204">
        <w:rPr>
          <w:rFonts w:ascii="Palatino Linotype" w:hAnsi="Palatino Linotype"/>
          <w:b/>
          <w:bCs/>
          <w:lang w:val="tr-TR"/>
        </w:rPr>
        <w:t xml:space="preserve">: </w:t>
      </w:r>
      <w:r w:rsidR="0014516A" w:rsidRPr="00275204">
        <w:rPr>
          <w:rFonts w:ascii="Palatino Linotype" w:hAnsi="Palatino Linotype"/>
          <w:b/>
          <w:bCs/>
          <w:lang w:val="tr-TR"/>
        </w:rPr>
        <w:t>Sermaye, İstihdam ve TFV Artışları ve GSYH Büyümesine Katkıları</w:t>
      </w:r>
    </w:p>
    <w:p w14:paraId="1FFDB6C6" w14:textId="242DF593" w:rsidR="003A78F9" w:rsidRPr="00275204" w:rsidRDefault="00137671" w:rsidP="000519DC">
      <w:pPr>
        <w:spacing w:after="240" w:line="276" w:lineRule="auto"/>
        <w:rPr>
          <w:sz w:val="24"/>
          <w:szCs w:val="24"/>
          <w:lang w:val="tr-TR"/>
        </w:rPr>
      </w:pPr>
      <w:r w:rsidRPr="00275204">
        <w:rPr>
          <w:rFonts w:ascii="Palatino Linotype" w:hAnsi="Palatino Linotype"/>
          <w:b/>
          <w:bCs/>
          <w:noProof/>
          <w:sz w:val="20"/>
          <w:szCs w:val="20"/>
          <w:lang w:eastAsia="en-GB"/>
        </w:rPr>
        <w:drawing>
          <wp:inline distT="0" distB="0" distL="0" distR="0" wp14:anchorId="09E0783B" wp14:editId="4EA17C64">
            <wp:extent cx="5121275" cy="3078480"/>
            <wp:effectExtent l="0" t="0" r="3175" b="762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21275" cy="3078480"/>
                    </a:xfrm>
                    <a:prstGeom prst="rect">
                      <a:avLst/>
                    </a:prstGeom>
                    <a:noFill/>
                  </pic:spPr>
                </pic:pic>
              </a:graphicData>
            </a:graphic>
          </wp:inline>
        </w:drawing>
      </w:r>
      <w:r w:rsidR="003A78F9" w:rsidRPr="00275204">
        <w:rPr>
          <w:sz w:val="24"/>
          <w:szCs w:val="24"/>
          <w:lang w:val="tr-TR"/>
        </w:rPr>
        <w:br/>
      </w:r>
      <w:r w:rsidR="003A78F9" w:rsidRPr="00275204">
        <w:rPr>
          <w:rFonts w:ascii="Palatino Linotype" w:hAnsi="Palatino Linotype"/>
          <w:b/>
          <w:bCs/>
          <w:sz w:val="20"/>
          <w:szCs w:val="20"/>
          <w:lang w:val="tr-TR"/>
        </w:rPr>
        <w:t>Kaynak:</w:t>
      </w:r>
      <w:r w:rsidR="003A78F9" w:rsidRPr="00275204">
        <w:rPr>
          <w:rFonts w:ascii="Palatino Linotype" w:hAnsi="Palatino Linotype"/>
          <w:sz w:val="20"/>
          <w:szCs w:val="20"/>
          <w:lang w:val="tr-TR"/>
        </w:rPr>
        <w:t xml:space="preserve"> </w:t>
      </w:r>
      <w:r w:rsidR="00AF6797" w:rsidRPr="00275204">
        <w:rPr>
          <w:rFonts w:ascii="Palatino Linotype" w:hAnsi="Palatino Linotype"/>
          <w:sz w:val="20"/>
          <w:szCs w:val="20"/>
          <w:lang w:val="tr-TR"/>
        </w:rPr>
        <w:t>Betam</w:t>
      </w:r>
    </w:p>
    <w:p w14:paraId="6A5CA6EA" w14:textId="77777777" w:rsidR="007F389F" w:rsidRPr="00275204" w:rsidRDefault="007F389F" w:rsidP="000519DC">
      <w:pPr>
        <w:spacing w:before="240" w:after="60" w:line="276" w:lineRule="auto"/>
        <w:jc w:val="both"/>
        <w:rPr>
          <w:rFonts w:ascii="Palatino Linotype" w:hAnsi="Palatino Linotype"/>
          <w:b/>
          <w:bCs/>
          <w:sz w:val="26"/>
          <w:szCs w:val="26"/>
          <w:lang w:val="tr-TR"/>
        </w:rPr>
      </w:pPr>
    </w:p>
    <w:p w14:paraId="60842FE0" w14:textId="077D0832" w:rsidR="00AF36C0" w:rsidRPr="00275204" w:rsidRDefault="00951295" w:rsidP="000519DC">
      <w:pPr>
        <w:spacing w:before="240" w:after="60" w:line="276" w:lineRule="auto"/>
        <w:jc w:val="both"/>
        <w:rPr>
          <w:rFonts w:ascii="Palatino Linotype" w:hAnsi="Palatino Linotype"/>
          <w:b/>
          <w:bCs/>
          <w:sz w:val="26"/>
          <w:szCs w:val="26"/>
          <w:lang w:val="tr-TR"/>
        </w:rPr>
      </w:pPr>
      <w:r w:rsidRPr="00275204">
        <w:rPr>
          <w:rFonts w:ascii="Palatino Linotype" w:hAnsi="Palatino Linotype"/>
          <w:b/>
          <w:bCs/>
          <w:sz w:val="26"/>
          <w:szCs w:val="26"/>
          <w:lang w:val="tr-TR"/>
        </w:rPr>
        <w:t>Kaynak</w:t>
      </w:r>
      <w:r w:rsidR="006B6578" w:rsidRPr="00275204">
        <w:rPr>
          <w:rFonts w:ascii="Palatino Linotype" w:hAnsi="Palatino Linotype"/>
          <w:b/>
          <w:bCs/>
          <w:sz w:val="26"/>
          <w:szCs w:val="26"/>
          <w:lang w:val="tr-TR"/>
        </w:rPr>
        <w:t>ça</w:t>
      </w:r>
      <w:r w:rsidRPr="00275204">
        <w:rPr>
          <w:rFonts w:ascii="Palatino Linotype" w:hAnsi="Palatino Linotype"/>
          <w:b/>
          <w:bCs/>
          <w:sz w:val="26"/>
          <w:szCs w:val="26"/>
          <w:lang w:val="tr-TR"/>
        </w:rPr>
        <w:t>:</w:t>
      </w:r>
    </w:p>
    <w:p w14:paraId="3953FB49" w14:textId="645EB5D1" w:rsidR="00951295" w:rsidRPr="00275204" w:rsidRDefault="00951295" w:rsidP="00AC72C4">
      <w:pPr>
        <w:pStyle w:val="ListeParagraf"/>
        <w:numPr>
          <w:ilvl w:val="0"/>
          <w:numId w:val="1"/>
        </w:numPr>
        <w:spacing w:after="240" w:line="276" w:lineRule="auto"/>
        <w:jc w:val="both"/>
        <w:rPr>
          <w:rFonts w:ascii="Palatino Linotype" w:hAnsi="Palatino Linotype"/>
          <w:lang w:val="tr-TR"/>
        </w:rPr>
      </w:pPr>
      <w:r w:rsidRPr="00275204">
        <w:rPr>
          <w:rFonts w:ascii="Palatino Linotype" w:hAnsi="Palatino Linotype"/>
          <w:lang w:val="tr-TR"/>
        </w:rPr>
        <w:t xml:space="preserve">Bakış, O. </w:t>
      </w:r>
      <w:r w:rsidR="00D460A6" w:rsidRPr="00275204">
        <w:rPr>
          <w:rFonts w:ascii="Palatino Linotype" w:hAnsi="Palatino Linotype"/>
          <w:lang w:val="tr-TR"/>
        </w:rPr>
        <w:t>v</w:t>
      </w:r>
      <w:r w:rsidRPr="00275204">
        <w:rPr>
          <w:rFonts w:ascii="Palatino Linotype" w:hAnsi="Palatino Linotype"/>
          <w:lang w:val="tr-TR"/>
        </w:rPr>
        <w:t>e Acar</w:t>
      </w:r>
      <w:r w:rsidR="00D460A6" w:rsidRPr="00275204">
        <w:rPr>
          <w:rFonts w:ascii="Palatino Linotype" w:hAnsi="Palatino Linotype"/>
          <w:lang w:val="tr-TR"/>
        </w:rPr>
        <w:t>, U.</w:t>
      </w:r>
      <w:r w:rsidRPr="00275204">
        <w:rPr>
          <w:rFonts w:ascii="Palatino Linotype" w:hAnsi="Palatino Linotype"/>
          <w:lang w:val="tr-TR"/>
        </w:rPr>
        <w:t xml:space="preserve"> (2020): </w:t>
      </w:r>
      <w:r w:rsidR="00FE6E4B" w:rsidRPr="00275204">
        <w:rPr>
          <w:rFonts w:ascii="Palatino Linotype" w:hAnsi="Palatino Linotype"/>
          <w:lang w:val="tr-TR"/>
        </w:rPr>
        <w:t>Türkiye Ekonomisinde Toplam Faktör Verimliliğinin Seyri: Sektörel Bakış, Betam Çalışma Tebliği No. 19</w:t>
      </w:r>
      <w:r w:rsidR="008249DA" w:rsidRPr="00275204">
        <w:rPr>
          <w:rFonts w:ascii="Palatino Linotype" w:hAnsi="Palatino Linotype"/>
          <w:lang w:val="tr-TR"/>
        </w:rPr>
        <w:t xml:space="preserve"> </w:t>
      </w:r>
      <w:r w:rsidR="008249DA" w:rsidRPr="00275204">
        <w:rPr>
          <w:rFonts w:ascii="Palatino Linotype" w:hAnsi="Palatino Linotype"/>
          <w:i/>
          <w:iCs/>
          <w:lang w:val="tr-TR"/>
        </w:rPr>
        <w:t>(yakında yayınlacak)</w:t>
      </w:r>
    </w:p>
    <w:p w14:paraId="4F8ED1FB" w14:textId="33F26D4E" w:rsidR="00961DFB" w:rsidRPr="00275204" w:rsidRDefault="00961DFB" w:rsidP="00AC72C4">
      <w:pPr>
        <w:pStyle w:val="ListeParagraf"/>
        <w:numPr>
          <w:ilvl w:val="0"/>
          <w:numId w:val="1"/>
        </w:numPr>
        <w:spacing w:after="240" w:line="276" w:lineRule="auto"/>
        <w:jc w:val="both"/>
        <w:rPr>
          <w:rFonts w:ascii="Palatino Linotype" w:hAnsi="Palatino Linotype"/>
          <w:lang w:val="tr-TR"/>
        </w:rPr>
      </w:pPr>
      <w:r w:rsidRPr="00275204">
        <w:rPr>
          <w:rFonts w:ascii="Palatino Linotype" w:hAnsi="Palatino Linotype"/>
          <w:lang w:val="tr-TR"/>
        </w:rPr>
        <w:t xml:space="preserve">Feenstra, R.C., R. Inklaar ve M.P. Timmer (2015), "The Next Generation of the Penn World Table" American Economic Review, 105, 3150-3182. </w:t>
      </w:r>
      <w:r w:rsidR="001D283B" w:rsidRPr="00275204">
        <w:rPr>
          <w:rFonts w:ascii="Palatino Linotype" w:hAnsi="Palatino Linotype"/>
          <w:lang w:val="tr-TR"/>
        </w:rPr>
        <w:t xml:space="preserve">Güncellenmiş </w:t>
      </w:r>
      <w:r w:rsidRPr="00275204">
        <w:rPr>
          <w:rFonts w:ascii="Palatino Linotype" w:hAnsi="Palatino Linotype"/>
          <w:lang w:val="tr-TR"/>
        </w:rPr>
        <w:t xml:space="preserve">PWT </w:t>
      </w:r>
      <w:r w:rsidR="001D283B" w:rsidRPr="00275204">
        <w:rPr>
          <w:rFonts w:ascii="Palatino Linotype" w:hAnsi="Palatino Linotype"/>
          <w:lang w:val="tr-TR"/>
        </w:rPr>
        <w:t xml:space="preserve">verilerine </w:t>
      </w:r>
      <w:r w:rsidRPr="00275204">
        <w:rPr>
          <w:rFonts w:ascii="Palatino Linotype" w:hAnsi="Palatino Linotype"/>
          <w:lang w:val="tr-TR"/>
        </w:rPr>
        <w:t xml:space="preserve"> </w:t>
      </w:r>
      <w:hyperlink r:id="rId16" w:history="1">
        <w:r w:rsidR="001D283B" w:rsidRPr="00275204">
          <w:rPr>
            <w:rStyle w:val="Kpr"/>
            <w:rFonts w:ascii="Palatino Linotype" w:hAnsi="Palatino Linotype"/>
            <w:lang w:val="tr-TR"/>
          </w:rPr>
          <w:t>www.ggdc.net/pwt</w:t>
        </w:r>
      </w:hyperlink>
      <w:r w:rsidR="001D283B" w:rsidRPr="00275204">
        <w:rPr>
          <w:rFonts w:ascii="Palatino Linotype" w:hAnsi="Palatino Linotype"/>
          <w:lang w:val="tr-TR"/>
        </w:rPr>
        <w:t xml:space="preserve"> adresinden ulaşılabilir (Erişim tarihi: 2 Nisan 2020).</w:t>
      </w:r>
    </w:p>
    <w:sectPr w:rsidR="00961DFB" w:rsidRPr="002752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5BFB8" w14:textId="77777777" w:rsidR="001311AD" w:rsidRDefault="001311AD" w:rsidP="00B432CB">
      <w:pPr>
        <w:spacing w:after="0" w:line="240" w:lineRule="auto"/>
      </w:pPr>
      <w:r>
        <w:separator/>
      </w:r>
    </w:p>
  </w:endnote>
  <w:endnote w:type="continuationSeparator" w:id="0">
    <w:p w14:paraId="795D5E7C" w14:textId="77777777" w:rsidR="001311AD" w:rsidRDefault="001311AD" w:rsidP="00B43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F9B79" w14:textId="77777777" w:rsidR="001311AD" w:rsidRDefault="001311AD" w:rsidP="00B432CB">
      <w:pPr>
        <w:spacing w:after="0" w:line="240" w:lineRule="auto"/>
      </w:pPr>
      <w:r>
        <w:separator/>
      </w:r>
    </w:p>
  </w:footnote>
  <w:footnote w:type="continuationSeparator" w:id="0">
    <w:p w14:paraId="267E3B61" w14:textId="77777777" w:rsidR="001311AD" w:rsidRDefault="001311AD" w:rsidP="00B432CB">
      <w:pPr>
        <w:spacing w:after="0" w:line="240" w:lineRule="auto"/>
      </w:pPr>
      <w:r>
        <w:continuationSeparator/>
      </w:r>
    </w:p>
  </w:footnote>
  <w:footnote w:id="1">
    <w:p w14:paraId="5AB4C895" w14:textId="45D1583A" w:rsidR="009A57EA" w:rsidRPr="009A57EA" w:rsidRDefault="009A57EA">
      <w:pPr>
        <w:pStyle w:val="DipnotMetni"/>
        <w:rPr>
          <w:rFonts w:ascii="Palatino Linotype" w:hAnsi="Palatino Linotype"/>
          <w:sz w:val="18"/>
          <w:szCs w:val="18"/>
          <w:lang w:val="tr-TR"/>
        </w:rPr>
      </w:pPr>
      <w:r w:rsidRPr="009A57EA">
        <w:rPr>
          <w:rStyle w:val="DipnotBavurusu"/>
        </w:rPr>
        <w:sym w:font="Symbol" w:char="F023"/>
      </w:r>
      <w:r>
        <w:t xml:space="preserve"> </w:t>
      </w:r>
      <w:r w:rsidRPr="009A57EA">
        <w:rPr>
          <w:rFonts w:ascii="Palatino Linotype" w:hAnsi="Palatino Linotype"/>
          <w:sz w:val="18"/>
          <w:szCs w:val="18"/>
          <w:lang w:val="tr-TR"/>
        </w:rPr>
        <w:t>Bu notun hazırlanması sırasında fikir ve önerileriyle destek olan Seyfettin Gürsel hocamıza teşekkür ediyoruz.</w:t>
      </w:r>
    </w:p>
  </w:footnote>
  <w:footnote w:id="2">
    <w:p w14:paraId="4B8A09A8" w14:textId="3504F60E" w:rsidR="000E5093" w:rsidRPr="00ED6BDB" w:rsidRDefault="000E5093">
      <w:pPr>
        <w:pStyle w:val="DipnotMetni"/>
        <w:rPr>
          <w:rFonts w:ascii="Times New Roman" w:hAnsi="Times New Roman" w:cs="Times New Roman"/>
          <w:lang w:val="tr-TR"/>
        </w:rPr>
      </w:pPr>
      <w:r w:rsidRPr="00ED6BDB">
        <w:rPr>
          <w:rStyle w:val="DipnotBavurusu"/>
          <w:rFonts w:ascii="Times New Roman" w:hAnsi="Times New Roman" w:cs="Times New Roman"/>
        </w:rPr>
        <w:t>*</w:t>
      </w:r>
      <w:r w:rsidRPr="00ED6BDB">
        <w:rPr>
          <w:rFonts w:ascii="Times New Roman" w:hAnsi="Times New Roman" w:cs="Times New Roman"/>
        </w:rPr>
        <w:t xml:space="preserve"> </w:t>
      </w:r>
      <w:r w:rsidRPr="00ED6BDB">
        <w:rPr>
          <w:rFonts w:ascii="Times New Roman" w:hAnsi="Times New Roman" w:cs="Times New Roman"/>
          <w:lang w:val="tr-TR"/>
        </w:rPr>
        <w:t xml:space="preserve">Ozan Bakış, Betam, Kıdemli Araştırmacı, </w:t>
      </w:r>
      <w:hyperlink r:id="rId1" w:history="1">
        <w:r w:rsidRPr="00ED6BDB">
          <w:rPr>
            <w:rStyle w:val="Kpr"/>
            <w:rFonts w:ascii="Times New Roman" w:hAnsi="Times New Roman" w:cs="Times New Roman"/>
            <w:lang w:val="tr-TR"/>
          </w:rPr>
          <w:t>ozan.bakis@eas.bau.edu.tr</w:t>
        </w:r>
      </w:hyperlink>
      <w:r w:rsidRPr="00ED6BDB">
        <w:rPr>
          <w:rFonts w:ascii="Times New Roman" w:hAnsi="Times New Roman" w:cs="Times New Roman"/>
          <w:lang w:val="tr-TR"/>
        </w:rPr>
        <w:t xml:space="preserve"> </w:t>
      </w:r>
    </w:p>
  </w:footnote>
  <w:footnote w:id="3">
    <w:p w14:paraId="20F4F260" w14:textId="6E874EDB" w:rsidR="000E5093" w:rsidRPr="00ED6BDB" w:rsidRDefault="000E5093">
      <w:pPr>
        <w:pStyle w:val="DipnotMetni"/>
        <w:rPr>
          <w:rFonts w:ascii="Times New Roman" w:hAnsi="Times New Roman" w:cs="Times New Roman"/>
          <w:lang w:val="tr-TR"/>
        </w:rPr>
      </w:pPr>
      <w:r w:rsidRPr="00ED6BDB">
        <w:rPr>
          <w:rStyle w:val="DipnotBavurusu"/>
          <w:rFonts w:ascii="Times New Roman" w:hAnsi="Times New Roman" w:cs="Times New Roman"/>
          <w:lang w:val="tr-TR"/>
        </w:rPr>
        <w:t>**</w:t>
      </w:r>
      <w:r w:rsidRPr="00ED6BDB">
        <w:rPr>
          <w:rFonts w:ascii="Times New Roman" w:hAnsi="Times New Roman" w:cs="Times New Roman"/>
          <w:lang w:val="tr-TR"/>
        </w:rPr>
        <w:t xml:space="preserve"> Uğurcan Acar, Betam, Araştırma görevlisi, </w:t>
      </w:r>
      <w:hyperlink r:id="rId2" w:history="1">
        <w:r w:rsidRPr="00ED6BDB">
          <w:rPr>
            <w:rStyle w:val="Kpr"/>
            <w:rFonts w:ascii="Times New Roman" w:hAnsi="Times New Roman" w:cs="Times New Roman"/>
            <w:lang w:val="tr-TR"/>
          </w:rPr>
          <w:t>ugurcan.acars@eas.bau.edu.tr</w:t>
        </w:r>
      </w:hyperlink>
    </w:p>
  </w:footnote>
  <w:footnote w:id="4">
    <w:p w14:paraId="4F1F78A8" w14:textId="6960905A" w:rsidR="000E5093" w:rsidRPr="006A0169" w:rsidRDefault="000E5093">
      <w:pPr>
        <w:pStyle w:val="DipnotMetni"/>
        <w:rPr>
          <w:lang w:val="tr-TR"/>
        </w:rPr>
      </w:pPr>
      <w:r w:rsidRPr="00ED6BDB">
        <w:rPr>
          <w:rStyle w:val="DipnotBavurusu"/>
          <w:rFonts w:ascii="Times New Roman" w:hAnsi="Times New Roman" w:cs="Times New Roman"/>
          <w:lang w:val="tr-TR"/>
        </w:rPr>
        <w:t>**</w:t>
      </w:r>
      <w:r w:rsidRPr="00ED6BDB">
        <w:rPr>
          <w:rFonts w:ascii="Times New Roman" w:hAnsi="Times New Roman" w:cs="Times New Roman"/>
          <w:lang w:val="tr-TR"/>
        </w:rPr>
        <w:t xml:space="preserve"> Gökhan Dilek, Betam, Araştırma görevlisi, </w:t>
      </w:r>
      <w:hyperlink r:id="rId3" w:history="1">
        <w:r w:rsidR="006A0169" w:rsidRPr="00ED6BDB">
          <w:rPr>
            <w:rStyle w:val="Kpr"/>
            <w:rFonts w:ascii="Times New Roman" w:hAnsi="Times New Roman" w:cs="Times New Roman"/>
            <w:lang w:val="tr-TR"/>
          </w:rPr>
          <w:t>gokhan.dilek@eas.bau.edu.tr</w:t>
        </w:r>
      </w:hyperlink>
    </w:p>
  </w:footnote>
  <w:footnote w:id="5">
    <w:p w14:paraId="19B8C0F2" w14:textId="2DC4BEF7" w:rsidR="001C2943" w:rsidRPr="003D10DB" w:rsidRDefault="001C2943">
      <w:pPr>
        <w:pStyle w:val="DipnotMetni"/>
        <w:rPr>
          <w:lang w:val="tr-TR"/>
        </w:rPr>
      </w:pPr>
      <w:r>
        <w:rPr>
          <w:rStyle w:val="DipnotBavurusu"/>
        </w:rPr>
        <w:footnoteRef/>
      </w:r>
      <w:r>
        <w:t xml:space="preserve"> </w:t>
      </w:r>
      <w:r w:rsidRPr="003D10DB">
        <w:rPr>
          <w:rFonts w:ascii="Times New Roman" w:hAnsi="Times New Roman" w:cs="Times New Roman"/>
          <w:lang w:val="tr-TR"/>
        </w:rPr>
        <w:t>Bu dönemlerin nasıl belirlendiğine dair detaylı tartışma için bakınız: yakında yayınlanacak olan Betam TFV çalışma tebliği (Bakış ve Acar, 2020).</w:t>
      </w:r>
    </w:p>
  </w:footnote>
  <w:footnote w:id="6">
    <w:p w14:paraId="02212A84" w14:textId="13562E20" w:rsidR="00B071B6" w:rsidRPr="00472619" w:rsidRDefault="00B071B6">
      <w:pPr>
        <w:pStyle w:val="DipnotMetni"/>
        <w:rPr>
          <w:lang w:val="tr-TR"/>
        </w:rPr>
      </w:pPr>
      <w:r w:rsidRPr="003D10DB">
        <w:rPr>
          <w:rStyle w:val="DipnotBavurusu"/>
          <w:lang w:val="tr-TR"/>
        </w:rPr>
        <w:footnoteRef/>
      </w:r>
      <w:r w:rsidRPr="003D10DB">
        <w:rPr>
          <w:lang w:val="tr-TR"/>
        </w:rPr>
        <w:t xml:space="preserve"> </w:t>
      </w:r>
      <w:r w:rsidRPr="003D10DB">
        <w:rPr>
          <w:rFonts w:ascii="Times New Roman" w:hAnsi="Times New Roman" w:cs="Times New Roman"/>
          <w:lang w:val="tr-TR"/>
        </w:rPr>
        <w:t>İstihdam serisinin 2004 öncesi değerlerinin</w:t>
      </w:r>
      <w:r w:rsidRPr="001C2943">
        <w:rPr>
          <w:rFonts w:ascii="Times New Roman" w:hAnsi="Times New Roman" w:cs="Times New Roman"/>
          <w:lang w:val="tr-TR"/>
        </w:rPr>
        <w:t xml:space="preserve"> elde edilmesine dair detaylı bilgi için bakınız: </w:t>
      </w:r>
      <w:r w:rsidRPr="00ED6BDB">
        <w:rPr>
          <w:rFonts w:ascii="Times New Roman" w:hAnsi="Times New Roman" w:cs="Times New Roman"/>
          <w:lang w:val="tr-TR"/>
        </w:rPr>
        <w:t xml:space="preserve">yakında yayınlanacak </w:t>
      </w:r>
      <w:r w:rsidRPr="00472619">
        <w:rPr>
          <w:rFonts w:ascii="Times New Roman" w:hAnsi="Times New Roman" w:cs="Times New Roman"/>
          <w:lang w:val="tr-TR"/>
        </w:rPr>
        <w:t>olan Betam TFV çalışma tebliği (Bakış ve Acar, 2020).</w:t>
      </w:r>
    </w:p>
  </w:footnote>
  <w:footnote w:id="7">
    <w:p w14:paraId="380B52A5" w14:textId="59C5E8AB" w:rsidR="00E56CBB" w:rsidRPr="00E56CBB" w:rsidRDefault="00E56CBB">
      <w:pPr>
        <w:pStyle w:val="DipnotMetni"/>
        <w:rPr>
          <w:lang w:val="tr-TR"/>
        </w:rPr>
      </w:pPr>
      <w:r w:rsidRPr="00472619">
        <w:rPr>
          <w:rStyle w:val="DipnotBavurusu"/>
        </w:rPr>
        <w:footnoteRef/>
      </w:r>
      <w:r w:rsidRPr="00472619">
        <w:rPr>
          <w:lang w:val="tr-TR"/>
        </w:rPr>
        <w:t xml:space="preserve"> </w:t>
      </w:r>
      <w:r w:rsidRPr="001C2943">
        <w:rPr>
          <w:rFonts w:ascii="Times New Roman" w:hAnsi="Times New Roman" w:cs="Times New Roman"/>
          <w:lang w:val="tr-TR"/>
        </w:rPr>
        <w:t>İlk yaklaşımda paradoksal gibi görünen bu artış kadınlarda görülen “ek çalışan etkisi” ile kadın istihdamına yönelik teşviklerden kaynaklanmıştır. Erkeklerde ise istihdam düşüşü söz konusudur.</w:t>
      </w:r>
    </w:p>
  </w:footnote>
  <w:footnote w:id="8">
    <w:p w14:paraId="5083FC9E" w14:textId="57F93E5C" w:rsidR="004F32DC" w:rsidRPr="001C78EA" w:rsidRDefault="004F32DC" w:rsidP="00921FAF">
      <w:pPr>
        <w:pStyle w:val="DipnotMetni"/>
        <w:jc w:val="both"/>
        <w:rPr>
          <w:color w:val="FF0000"/>
          <w:lang w:val="tr-TR"/>
        </w:rPr>
      </w:pPr>
      <w:r>
        <w:rPr>
          <w:rStyle w:val="DipnotBavurusu"/>
        </w:rPr>
        <w:footnoteRef/>
      </w:r>
      <w:r w:rsidRPr="00CA5C64">
        <w:rPr>
          <w:lang w:val="tr-TR"/>
        </w:rPr>
        <w:t xml:space="preserve"> </w:t>
      </w:r>
      <w:r w:rsidRPr="001C2943">
        <w:rPr>
          <w:rFonts w:ascii="Times New Roman" w:hAnsi="Times New Roman" w:cs="Times New Roman"/>
          <w:lang w:val="tr-TR"/>
        </w:rPr>
        <w:t xml:space="preserve">Bu çalışmada kullanılan TFV serisi </w:t>
      </w:r>
      <w:r w:rsidR="003435E4" w:rsidRPr="001C2943">
        <w:rPr>
          <w:rFonts w:ascii="Times New Roman" w:hAnsi="Times New Roman" w:cs="Times New Roman"/>
          <w:lang w:val="tr-TR"/>
        </w:rPr>
        <w:t>Betam</w:t>
      </w:r>
      <w:r w:rsidRPr="001C2943">
        <w:rPr>
          <w:rFonts w:ascii="Times New Roman" w:hAnsi="Times New Roman" w:cs="Times New Roman"/>
          <w:lang w:val="tr-TR"/>
        </w:rPr>
        <w:t xml:space="preserve"> tarafından hesaplanmıştır. Hesaplamanın </w:t>
      </w:r>
      <w:r w:rsidR="00EA6EE0" w:rsidRPr="001C2943">
        <w:rPr>
          <w:rFonts w:ascii="Times New Roman" w:hAnsi="Times New Roman" w:cs="Times New Roman"/>
          <w:lang w:val="tr-TR"/>
        </w:rPr>
        <w:t>ayrıntılarına</w:t>
      </w:r>
      <w:r w:rsidRPr="001C2943">
        <w:rPr>
          <w:rFonts w:ascii="Times New Roman" w:hAnsi="Times New Roman" w:cs="Times New Roman"/>
          <w:lang w:val="tr-TR"/>
        </w:rPr>
        <w:t xml:space="preserve"> </w:t>
      </w:r>
      <w:r w:rsidR="00AF6797" w:rsidRPr="001C2943">
        <w:rPr>
          <w:rFonts w:ascii="Times New Roman" w:hAnsi="Times New Roman" w:cs="Times New Roman"/>
          <w:lang w:val="tr-TR"/>
        </w:rPr>
        <w:t>Betam</w:t>
      </w:r>
      <w:r w:rsidRPr="001C2943">
        <w:rPr>
          <w:rFonts w:ascii="Times New Roman" w:hAnsi="Times New Roman" w:cs="Times New Roman"/>
          <w:lang w:val="tr-TR"/>
        </w:rPr>
        <w:t xml:space="preserve"> TFV çalışma tebliğinden </w:t>
      </w:r>
      <w:r w:rsidR="004A48EC" w:rsidRPr="001C2943">
        <w:rPr>
          <w:rFonts w:ascii="Times New Roman" w:hAnsi="Times New Roman" w:cs="Times New Roman"/>
          <w:lang w:val="tr-TR"/>
        </w:rPr>
        <w:t xml:space="preserve">(Bakış ve Acar, 2020) </w:t>
      </w:r>
      <w:r w:rsidRPr="001C2943">
        <w:rPr>
          <w:rFonts w:ascii="Times New Roman" w:hAnsi="Times New Roman" w:cs="Times New Roman"/>
          <w:lang w:val="tr-TR"/>
        </w:rPr>
        <w:t>ulaşılabilir.</w:t>
      </w:r>
      <w:r w:rsidR="002255A0">
        <w:rPr>
          <w:color w:val="FF0000"/>
          <w:lang w:val="tr-TR"/>
        </w:rPr>
        <w:t xml:space="preserve"> </w:t>
      </w:r>
    </w:p>
  </w:footnote>
  <w:footnote w:id="9">
    <w:p w14:paraId="367927C8" w14:textId="6735D501" w:rsidR="00393A92" w:rsidRPr="00393A92" w:rsidRDefault="00393A92">
      <w:pPr>
        <w:pStyle w:val="DipnotMetni"/>
        <w:rPr>
          <w:lang w:val="tr-TR"/>
        </w:rPr>
      </w:pPr>
      <w:r>
        <w:rPr>
          <w:rStyle w:val="DipnotBavurusu"/>
        </w:rPr>
        <w:footnoteRef/>
      </w:r>
      <w:r>
        <w:t xml:space="preserve"> </w:t>
      </w:r>
      <w:r w:rsidRPr="00E1379B">
        <w:rPr>
          <w:rFonts w:ascii="Times New Roman" w:hAnsi="Times New Roman" w:cs="Times New Roman"/>
          <w:lang w:val="tr-TR"/>
        </w:rPr>
        <w:t>Bu hatırlatmada bulunan Seyfettin Gürsel hocamıza teşekkür ederiz.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14EE1"/>
    <w:multiLevelType w:val="hybridMultilevel"/>
    <w:tmpl w:val="BD18E8E4"/>
    <w:lvl w:ilvl="0" w:tplc="9DF42084">
      <w:start w:val="2014"/>
      <w:numFmt w:val="bullet"/>
      <w:lvlText w:val="-"/>
      <w:lvlJc w:val="left"/>
      <w:pPr>
        <w:ind w:left="720" w:hanging="360"/>
      </w:pPr>
      <w:rPr>
        <w:rFonts w:ascii="Palatino Linotype" w:eastAsiaTheme="minorHAnsi" w:hAnsi="Palatino Linotype"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3sTQ1sDC3MDQ1sTBW0lEKTi0uzszPAykwrgUA3unK/CwAAAA="/>
  </w:docVars>
  <w:rsids>
    <w:rsidRoot w:val="00F65E97"/>
    <w:rsid w:val="00007C35"/>
    <w:rsid w:val="00011583"/>
    <w:rsid w:val="00027D18"/>
    <w:rsid w:val="00034F02"/>
    <w:rsid w:val="00037B81"/>
    <w:rsid w:val="000421EA"/>
    <w:rsid w:val="00045517"/>
    <w:rsid w:val="000519DC"/>
    <w:rsid w:val="000542C0"/>
    <w:rsid w:val="00054630"/>
    <w:rsid w:val="000873BD"/>
    <w:rsid w:val="000904F6"/>
    <w:rsid w:val="0009286F"/>
    <w:rsid w:val="000A40A2"/>
    <w:rsid w:val="000C63C8"/>
    <w:rsid w:val="000D3D6D"/>
    <w:rsid w:val="000D3E57"/>
    <w:rsid w:val="000E5093"/>
    <w:rsid w:val="000F004F"/>
    <w:rsid w:val="000F0649"/>
    <w:rsid w:val="000F3F78"/>
    <w:rsid w:val="00105744"/>
    <w:rsid w:val="00107E8C"/>
    <w:rsid w:val="00127B8C"/>
    <w:rsid w:val="001311AD"/>
    <w:rsid w:val="00136DAB"/>
    <w:rsid w:val="00137671"/>
    <w:rsid w:val="00140F19"/>
    <w:rsid w:val="0014325E"/>
    <w:rsid w:val="0014516A"/>
    <w:rsid w:val="001670A1"/>
    <w:rsid w:val="001812D2"/>
    <w:rsid w:val="001905C0"/>
    <w:rsid w:val="00197218"/>
    <w:rsid w:val="001B2D03"/>
    <w:rsid w:val="001C1135"/>
    <w:rsid w:val="001C2943"/>
    <w:rsid w:val="001C78EA"/>
    <w:rsid w:val="001D283B"/>
    <w:rsid w:val="001D58D7"/>
    <w:rsid w:val="001E523C"/>
    <w:rsid w:val="00202154"/>
    <w:rsid w:val="002104F5"/>
    <w:rsid w:val="002255A0"/>
    <w:rsid w:val="002560A4"/>
    <w:rsid w:val="00272308"/>
    <w:rsid w:val="00275204"/>
    <w:rsid w:val="0029149F"/>
    <w:rsid w:val="0029481A"/>
    <w:rsid w:val="00294E3E"/>
    <w:rsid w:val="002D49CD"/>
    <w:rsid w:val="002D7865"/>
    <w:rsid w:val="002E0A50"/>
    <w:rsid w:val="0030035B"/>
    <w:rsid w:val="00302FD0"/>
    <w:rsid w:val="00310456"/>
    <w:rsid w:val="00315428"/>
    <w:rsid w:val="003251C3"/>
    <w:rsid w:val="00330965"/>
    <w:rsid w:val="00334CE4"/>
    <w:rsid w:val="003435E4"/>
    <w:rsid w:val="003468C1"/>
    <w:rsid w:val="003573B3"/>
    <w:rsid w:val="00362429"/>
    <w:rsid w:val="003633CA"/>
    <w:rsid w:val="003835F1"/>
    <w:rsid w:val="00390ED4"/>
    <w:rsid w:val="00393A92"/>
    <w:rsid w:val="003A0C95"/>
    <w:rsid w:val="003A2C65"/>
    <w:rsid w:val="003A78F9"/>
    <w:rsid w:val="003B19E1"/>
    <w:rsid w:val="003B4D5B"/>
    <w:rsid w:val="003B4E8C"/>
    <w:rsid w:val="003D10DB"/>
    <w:rsid w:val="003D1B92"/>
    <w:rsid w:val="003D2F7F"/>
    <w:rsid w:val="003D4011"/>
    <w:rsid w:val="003D5AB2"/>
    <w:rsid w:val="00403AD3"/>
    <w:rsid w:val="00405483"/>
    <w:rsid w:val="00427658"/>
    <w:rsid w:val="00435AB7"/>
    <w:rsid w:val="004437D4"/>
    <w:rsid w:val="00454D65"/>
    <w:rsid w:val="00456A01"/>
    <w:rsid w:val="00457884"/>
    <w:rsid w:val="00470B95"/>
    <w:rsid w:val="00472619"/>
    <w:rsid w:val="004768B6"/>
    <w:rsid w:val="004A14D1"/>
    <w:rsid w:val="004A48EC"/>
    <w:rsid w:val="004C02BF"/>
    <w:rsid w:val="004D49B7"/>
    <w:rsid w:val="004F32DC"/>
    <w:rsid w:val="00525D5B"/>
    <w:rsid w:val="0052708F"/>
    <w:rsid w:val="00565883"/>
    <w:rsid w:val="00577B32"/>
    <w:rsid w:val="0058357A"/>
    <w:rsid w:val="005A1F83"/>
    <w:rsid w:val="005A3DB7"/>
    <w:rsid w:val="005C528C"/>
    <w:rsid w:val="005D6574"/>
    <w:rsid w:val="005E2BA1"/>
    <w:rsid w:val="0060505F"/>
    <w:rsid w:val="0060743D"/>
    <w:rsid w:val="0063109C"/>
    <w:rsid w:val="006375C2"/>
    <w:rsid w:val="00663969"/>
    <w:rsid w:val="00667C11"/>
    <w:rsid w:val="006A0169"/>
    <w:rsid w:val="006A427A"/>
    <w:rsid w:val="006B4E2F"/>
    <w:rsid w:val="006B6578"/>
    <w:rsid w:val="006C2557"/>
    <w:rsid w:val="006C4EAA"/>
    <w:rsid w:val="006C594D"/>
    <w:rsid w:val="006C5965"/>
    <w:rsid w:val="006E47F1"/>
    <w:rsid w:val="006E7D82"/>
    <w:rsid w:val="00706645"/>
    <w:rsid w:val="00706D8F"/>
    <w:rsid w:val="00710DCF"/>
    <w:rsid w:val="00712B2D"/>
    <w:rsid w:val="0071430D"/>
    <w:rsid w:val="007422FB"/>
    <w:rsid w:val="00783BF4"/>
    <w:rsid w:val="007A0420"/>
    <w:rsid w:val="007B15A5"/>
    <w:rsid w:val="007B56EC"/>
    <w:rsid w:val="007C427B"/>
    <w:rsid w:val="007E1E3C"/>
    <w:rsid w:val="007E2EAD"/>
    <w:rsid w:val="007E32D2"/>
    <w:rsid w:val="007F389F"/>
    <w:rsid w:val="007F3B50"/>
    <w:rsid w:val="007F6844"/>
    <w:rsid w:val="008249DA"/>
    <w:rsid w:val="0082691E"/>
    <w:rsid w:val="00830C70"/>
    <w:rsid w:val="00835C58"/>
    <w:rsid w:val="00835CE1"/>
    <w:rsid w:val="008445E2"/>
    <w:rsid w:val="008473EC"/>
    <w:rsid w:val="00853D79"/>
    <w:rsid w:val="008574F4"/>
    <w:rsid w:val="0087048C"/>
    <w:rsid w:val="008750E7"/>
    <w:rsid w:val="00884F08"/>
    <w:rsid w:val="00885964"/>
    <w:rsid w:val="00892F91"/>
    <w:rsid w:val="008B73BB"/>
    <w:rsid w:val="008C379E"/>
    <w:rsid w:val="008D0694"/>
    <w:rsid w:val="008D161E"/>
    <w:rsid w:val="008F44C8"/>
    <w:rsid w:val="00901D96"/>
    <w:rsid w:val="00921FAF"/>
    <w:rsid w:val="00922FB9"/>
    <w:rsid w:val="00923311"/>
    <w:rsid w:val="00923934"/>
    <w:rsid w:val="00925A99"/>
    <w:rsid w:val="00925C8C"/>
    <w:rsid w:val="00940D45"/>
    <w:rsid w:val="00951295"/>
    <w:rsid w:val="00961DFB"/>
    <w:rsid w:val="0098454B"/>
    <w:rsid w:val="00986F10"/>
    <w:rsid w:val="00996E91"/>
    <w:rsid w:val="009A57EA"/>
    <w:rsid w:val="009A5E30"/>
    <w:rsid w:val="009B4B87"/>
    <w:rsid w:val="009C1314"/>
    <w:rsid w:val="009C18FF"/>
    <w:rsid w:val="009C2B03"/>
    <w:rsid w:val="009D059D"/>
    <w:rsid w:val="009D4201"/>
    <w:rsid w:val="00A050C4"/>
    <w:rsid w:val="00A12A68"/>
    <w:rsid w:val="00A24756"/>
    <w:rsid w:val="00A54AFE"/>
    <w:rsid w:val="00A55023"/>
    <w:rsid w:val="00A71DD6"/>
    <w:rsid w:val="00A8570F"/>
    <w:rsid w:val="00A92F8A"/>
    <w:rsid w:val="00A94F39"/>
    <w:rsid w:val="00AA3C1C"/>
    <w:rsid w:val="00AA3E5B"/>
    <w:rsid w:val="00AC54F9"/>
    <w:rsid w:val="00AC72C4"/>
    <w:rsid w:val="00AD28E0"/>
    <w:rsid w:val="00AD3BC8"/>
    <w:rsid w:val="00AF36C0"/>
    <w:rsid w:val="00AF6797"/>
    <w:rsid w:val="00B06796"/>
    <w:rsid w:val="00B071B6"/>
    <w:rsid w:val="00B172D5"/>
    <w:rsid w:val="00B40993"/>
    <w:rsid w:val="00B41187"/>
    <w:rsid w:val="00B432CB"/>
    <w:rsid w:val="00B4597A"/>
    <w:rsid w:val="00B5080D"/>
    <w:rsid w:val="00B6216E"/>
    <w:rsid w:val="00B6285E"/>
    <w:rsid w:val="00B71761"/>
    <w:rsid w:val="00B80380"/>
    <w:rsid w:val="00B81C71"/>
    <w:rsid w:val="00BA5CFB"/>
    <w:rsid w:val="00BA5DF5"/>
    <w:rsid w:val="00BB388F"/>
    <w:rsid w:val="00BD51E8"/>
    <w:rsid w:val="00BE020D"/>
    <w:rsid w:val="00BE64AE"/>
    <w:rsid w:val="00BF0D63"/>
    <w:rsid w:val="00C01E9D"/>
    <w:rsid w:val="00C04F06"/>
    <w:rsid w:val="00C06AAC"/>
    <w:rsid w:val="00C2612A"/>
    <w:rsid w:val="00C3079F"/>
    <w:rsid w:val="00C35BFD"/>
    <w:rsid w:val="00C41315"/>
    <w:rsid w:val="00C62256"/>
    <w:rsid w:val="00C63692"/>
    <w:rsid w:val="00C70291"/>
    <w:rsid w:val="00C820C7"/>
    <w:rsid w:val="00CA5C64"/>
    <w:rsid w:val="00CA5C89"/>
    <w:rsid w:val="00CA6D87"/>
    <w:rsid w:val="00CB2D29"/>
    <w:rsid w:val="00CC315C"/>
    <w:rsid w:val="00CC3A96"/>
    <w:rsid w:val="00D018C0"/>
    <w:rsid w:val="00D1756B"/>
    <w:rsid w:val="00D45000"/>
    <w:rsid w:val="00D460A6"/>
    <w:rsid w:val="00D5332D"/>
    <w:rsid w:val="00D53581"/>
    <w:rsid w:val="00D557A2"/>
    <w:rsid w:val="00D55D5A"/>
    <w:rsid w:val="00D72180"/>
    <w:rsid w:val="00D91033"/>
    <w:rsid w:val="00DA0438"/>
    <w:rsid w:val="00DA0CD4"/>
    <w:rsid w:val="00DA1275"/>
    <w:rsid w:val="00DA3B5D"/>
    <w:rsid w:val="00DB24A2"/>
    <w:rsid w:val="00DC2C1F"/>
    <w:rsid w:val="00DC4EB5"/>
    <w:rsid w:val="00DD16BB"/>
    <w:rsid w:val="00DF11BD"/>
    <w:rsid w:val="00DF2EC6"/>
    <w:rsid w:val="00DF4C83"/>
    <w:rsid w:val="00DF5BCE"/>
    <w:rsid w:val="00E11A42"/>
    <w:rsid w:val="00E1379B"/>
    <w:rsid w:val="00E2708C"/>
    <w:rsid w:val="00E41552"/>
    <w:rsid w:val="00E42625"/>
    <w:rsid w:val="00E56CBB"/>
    <w:rsid w:val="00E65804"/>
    <w:rsid w:val="00E72D55"/>
    <w:rsid w:val="00E85DF6"/>
    <w:rsid w:val="00E92606"/>
    <w:rsid w:val="00E92F8E"/>
    <w:rsid w:val="00E94539"/>
    <w:rsid w:val="00E95349"/>
    <w:rsid w:val="00EA436E"/>
    <w:rsid w:val="00EA6EE0"/>
    <w:rsid w:val="00EA77D8"/>
    <w:rsid w:val="00EB4355"/>
    <w:rsid w:val="00EB6D25"/>
    <w:rsid w:val="00EC463E"/>
    <w:rsid w:val="00EC4688"/>
    <w:rsid w:val="00EC6CA1"/>
    <w:rsid w:val="00ED6BDB"/>
    <w:rsid w:val="00EE00A9"/>
    <w:rsid w:val="00EF56B8"/>
    <w:rsid w:val="00EF5BB4"/>
    <w:rsid w:val="00F025F8"/>
    <w:rsid w:val="00F02B07"/>
    <w:rsid w:val="00F06D4C"/>
    <w:rsid w:val="00F078CB"/>
    <w:rsid w:val="00F11C33"/>
    <w:rsid w:val="00F212AC"/>
    <w:rsid w:val="00F33C91"/>
    <w:rsid w:val="00F37CDB"/>
    <w:rsid w:val="00F445F2"/>
    <w:rsid w:val="00F617CA"/>
    <w:rsid w:val="00F62816"/>
    <w:rsid w:val="00F65E97"/>
    <w:rsid w:val="00F7777F"/>
    <w:rsid w:val="00F83819"/>
    <w:rsid w:val="00F8638A"/>
    <w:rsid w:val="00FB5144"/>
    <w:rsid w:val="00FD2532"/>
    <w:rsid w:val="00FE6E4B"/>
    <w:rsid w:val="00FE6E98"/>
    <w:rsid w:val="00FE7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920DF"/>
  <w15:docId w15:val="{36354213-ED63-4F20-BEF9-E2A8E5E1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D7"/>
  </w:style>
  <w:style w:type="paragraph" w:styleId="Balk1">
    <w:name w:val="heading 1"/>
    <w:basedOn w:val="Normal"/>
    <w:next w:val="Normal"/>
    <w:link w:val="Balk1Char"/>
    <w:uiPriority w:val="9"/>
    <w:qFormat/>
    <w:rsid w:val="00996E91"/>
    <w:pPr>
      <w:keepNext/>
      <w:keepLines/>
      <w:suppressAutoHyphens/>
      <w:spacing w:before="240" w:after="0" w:line="276" w:lineRule="auto"/>
      <w:jc w:val="both"/>
      <w:outlineLvl w:val="0"/>
    </w:pPr>
    <w:rPr>
      <w:rFonts w:asciiTheme="majorHAnsi" w:eastAsiaTheme="majorEastAsia" w:hAnsiTheme="majorHAnsi" w:cstheme="majorBidi"/>
      <w:color w:val="2E74B5" w:themeColor="accent1" w:themeShade="BF"/>
      <w:sz w:val="32"/>
      <w:szCs w:val="32"/>
      <w:lang w:val="tr-TR" w:eastAsia="ar-SA"/>
    </w:rPr>
  </w:style>
  <w:style w:type="paragraph" w:styleId="Balk2">
    <w:name w:val="heading 2"/>
    <w:basedOn w:val="Normal"/>
    <w:next w:val="Normal"/>
    <w:link w:val="Balk2Char"/>
    <w:uiPriority w:val="99"/>
    <w:qFormat/>
    <w:rsid w:val="00996E91"/>
    <w:pPr>
      <w:keepNext/>
      <w:suppressAutoHyphens/>
      <w:spacing w:before="240" w:after="60" w:line="276" w:lineRule="auto"/>
      <w:jc w:val="both"/>
      <w:outlineLvl w:val="1"/>
    </w:pPr>
    <w:rPr>
      <w:rFonts w:ascii="Palatino Linotype" w:eastAsia="Times New Roman" w:hAnsi="Palatino Linotype" w:cs="Arial"/>
      <w:b/>
      <w:bCs/>
      <w:iCs/>
      <w:sz w:val="26"/>
      <w:szCs w:val="28"/>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B432CB"/>
    <w:pPr>
      <w:spacing w:after="0" w:line="240" w:lineRule="auto"/>
    </w:pPr>
    <w:rPr>
      <w:sz w:val="20"/>
      <w:szCs w:val="20"/>
    </w:rPr>
  </w:style>
  <w:style w:type="character" w:customStyle="1" w:styleId="DipnotMetniChar">
    <w:name w:val="Dipnot Metni Char"/>
    <w:basedOn w:val="VarsaylanParagrafYazTipi"/>
    <w:link w:val="DipnotMetni"/>
    <w:uiPriority w:val="99"/>
    <w:rsid w:val="00B432CB"/>
    <w:rPr>
      <w:sz w:val="20"/>
      <w:szCs w:val="20"/>
    </w:rPr>
  </w:style>
  <w:style w:type="character" w:styleId="DipnotBavurusu">
    <w:name w:val="footnote reference"/>
    <w:basedOn w:val="VarsaylanParagrafYazTipi"/>
    <w:uiPriority w:val="99"/>
    <w:semiHidden/>
    <w:unhideWhenUsed/>
    <w:rsid w:val="00B432CB"/>
    <w:rPr>
      <w:vertAlign w:val="superscript"/>
    </w:rPr>
  </w:style>
  <w:style w:type="character" w:styleId="AklamaBavurusu">
    <w:name w:val="annotation reference"/>
    <w:basedOn w:val="VarsaylanParagrafYazTipi"/>
    <w:uiPriority w:val="99"/>
    <w:semiHidden/>
    <w:unhideWhenUsed/>
    <w:rsid w:val="00710DCF"/>
    <w:rPr>
      <w:sz w:val="16"/>
      <w:szCs w:val="16"/>
    </w:rPr>
  </w:style>
  <w:style w:type="paragraph" w:styleId="AklamaMetni">
    <w:name w:val="annotation text"/>
    <w:basedOn w:val="Normal"/>
    <w:link w:val="AklamaMetniChar"/>
    <w:uiPriority w:val="99"/>
    <w:semiHidden/>
    <w:unhideWhenUsed/>
    <w:rsid w:val="00710DC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10DCF"/>
    <w:rPr>
      <w:sz w:val="20"/>
      <w:szCs w:val="20"/>
    </w:rPr>
  </w:style>
  <w:style w:type="paragraph" w:styleId="AklamaKonusu">
    <w:name w:val="annotation subject"/>
    <w:basedOn w:val="AklamaMetni"/>
    <w:next w:val="AklamaMetni"/>
    <w:link w:val="AklamaKonusuChar"/>
    <w:uiPriority w:val="99"/>
    <w:semiHidden/>
    <w:unhideWhenUsed/>
    <w:rsid w:val="00710DCF"/>
    <w:rPr>
      <w:b/>
      <w:bCs/>
    </w:rPr>
  </w:style>
  <w:style w:type="character" w:customStyle="1" w:styleId="AklamaKonusuChar">
    <w:name w:val="Açıklama Konusu Char"/>
    <w:basedOn w:val="AklamaMetniChar"/>
    <w:link w:val="AklamaKonusu"/>
    <w:uiPriority w:val="99"/>
    <w:semiHidden/>
    <w:rsid w:val="00710DCF"/>
    <w:rPr>
      <w:b/>
      <w:bCs/>
      <w:sz w:val="20"/>
      <w:szCs w:val="20"/>
    </w:rPr>
  </w:style>
  <w:style w:type="paragraph" w:styleId="BalonMetni">
    <w:name w:val="Balloon Text"/>
    <w:basedOn w:val="Normal"/>
    <w:link w:val="BalonMetniChar"/>
    <w:uiPriority w:val="99"/>
    <w:semiHidden/>
    <w:unhideWhenUsed/>
    <w:rsid w:val="00710DC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0DCF"/>
    <w:rPr>
      <w:rFonts w:ascii="Segoe UI" w:hAnsi="Segoe UI" w:cs="Segoe UI"/>
      <w:sz w:val="18"/>
      <w:szCs w:val="18"/>
    </w:rPr>
  </w:style>
  <w:style w:type="character" w:customStyle="1" w:styleId="Balk1Char">
    <w:name w:val="Başlık 1 Char"/>
    <w:basedOn w:val="VarsaylanParagrafYazTipi"/>
    <w:link w:val="Balk1"/>
    <w:uiPriority w:val="9"/>
    <w:rsid w:val="00996E91"/>
    <w:rPr>
      <w:rFonts w:asciiTheme="majorHAnsi" w:eastAsiaTheme="majorEastAsia" w:hAnsiTheme="majorHAnsi" w:cstheme="majorBidi"/>
      <w:color w:val="2E74B5" w:themeColor="accent1" w:themeShade="BF"/>
      <w:sz w:val="32"/>
      <w:szCs w:val="32"/>
      <w:lang w:val="tr-TR" w:eastAsia="ar-SA"/>
    </w:rPr>
  </w:style>
  <w:style w:type="character" w:customStyle="1" w:styleId="Balk2Char">
    <w:name w:val="Başlık 2 Char"/>
    <w:basedOn w:val="VarsaylanParagrafYazTipi"/>
    <w:link w:val="Balk2"/>
    <w:uiPriority w:val="99"/>
    <w:rsid w:val="00996E91"/>
    <w:rPr>
      <w:rFonts w:ascii="Palatino Linotype" w:eastAsia="Times New Roman" w:hAnsi="Palatino Linotype" w:cs="Arial"/>
      <w:b/>
      <w:bCs/>
      <w:iCs/>
      <w:sz w:val="26"/>
      <w:szCs w:val="28"/>
      <w:lang w:eastAsia="ar-SA"/>
    </w:rPr>
  </w:style>
  <w:style w:type="character" w:styleId="Kpr">
    <w:name w:val="Hyperlink"/>
    <w:basedOn w:val="VarsaylanParagrafYazTipi"/>
    <w:uiPriority w:val="99"/>
    <w:unhideWhenUsed/>
    <w:rsid w:val="000E5093"/>
    <w:rPr>
      <w:color w:val="0000FF"/>
      <w:u w:val="single"/>
    </w:rPr>
  </w:style>
  <w:style w:type="character" w:customStyle="1" w:styleId="zmlenmeyenBahsetme1">
    <w:name w:val="Çözümlenmeyen Bahsetme1"/>
    <w:basedOn w:val="VarsaylanParagrafYazTipi"/>
    <w:uiPriority w:val="99"/>
    <w:semiHidden/>
    <w:unhideWhenUsed/>
    <w:rsid w:val="000E5093"/>
    <w:rPr>
      <w:color w:val="605E5C"/>
      <w:shd w:val="clear" w:color="auto" w:fill="E1DFDD"/>
    </w:rPr>
  </w:style>
  <w:style w:type="character" w:styleId="zmlenmeyenBahsetme">
    <w:name w:val="Unresolved Mention"/>
    <w:basedOn w:val="VarsaylanParagrafYazTipi"/>
    <w:uiPriority w:val="99"/>
    <w:semiHidden/>
    <w:unhideWhenUsed/>
    <w:rsid w:val="001D283B"/>
    <w:rPr>
      <w:color w:val="605E5C"/>
      <w:shd w:val="clear" w:color="auto" w:fill="E1DFDD"/>
    </w:rPr>
  </w:style>
  <w:style w:type="paragraph" w:styleId="ListeParagraf">
    <w:name w:val="List Paragraph"/>
    <w:basedOn w:val="Normal"/>
    <w:uiPriority w:val="34"/>
    <w:qFormat/>
    <w:rsid w:val="00AC7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944195">
      <w:bodyDiv w:val="1"/>
      <w:marLeft w:val="0"/>
      <w:marRight w:val="0"/>
      <w:marTop w:val="0"/>
      <w:marBottom w:val="0"/>
      <w:divBdr>
        <w:top w:val="none" w:sz="0" w:space="0" w:color="auto"/>
        <w:left w:val="none" w:sz="0" w:space="0" w:color="auto"/>
        <w:bottom w:val="none" w:sz="0" w:space="0" w:color="auto"/>
        <w:right w:val="none" w:sz="0" w:space="0" w:color="auto"/>
      </w:divBdr>
    </w:div>
    <w:div w:id="166897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gdc.net/pw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_rels/footnotes.xml.rels><?xml version="1.0" encoding="UTF-8" standalone="yes"?>
<Relationships xmlns="http://schemas.openxmlformats.org/package/2006/relationships"><Relationship Id="rId3" Type="http://schemas.openxmlformats.org/officeDocument/2006/relationships/hyperlink" Target="mailto:gokhan.dilek@eas.bau.edu.tr" TargetMode="External"/><Relationship Id="rId2" Type="http://schemas.openxmlformats.org/officeDocument/2006/relationships/hyperlink" Target="mailto:ugurcan.acars@eas.bau.edu.tr" TargetMode="External"/><Relationship Id="rId1" Type="http://schemas.openxmlformats.org/officeDocument/2006/relationships/hyperlink" Target="mailto:ozan.bakis@eas.ba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5F568-0560-42F0-9870-DD635B8E9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10</Pages>
  <Words>2732</Words>
  <Characters>15576</Characters>
  <Application>Microsoft Office Word</Application>
  <DocSecurity>0</DocSecurity>
  <Lines>129</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Gokhan DILEK</dc:creator>
  <cp:lastModifiedBy>Gökhan Dilek</cp:lastModifiedBy>
  <cp:revision>35</cp:revision>
  <dcterms:created xsi:type="dcterms:W3CDTF">2020-04-10T19:25:00Z</dcterms:created>
  <dcterms:modified xsi:type="dcterms:W3CDTF">2020-04-21T08:43:00Z</dcterms:modified>
</cp:coreProperties>
</file>