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DD1B7D" w14:textId="77777777" w:rsidR="00917330" w:rsidRPr="00CC0355" w:rsidRDefault="00917330">
      <w:pPr>
        <w:rPr>
          <w:rFonts w:ascii="Palatino Linotype" w:hAnsi="Palatino Linotype" w:cstheme="minorHAnsi"/>
        </w:rPr>
      </w:pPr>
    </w:p>
    <w:p w14:paraId="4E745BEF" w14:textId="77777777" w:rsidR="00D07713" w:rsidRPr="00CC0355" w:rsidRDefault="00062A8A">
      <w:pPr>
        <w:rPr>
          <w:rFonts w:ascii="Palatino Linotype" w:hAnsi="Palatino Linotype" w:cstheme="minorHAnsi"/>
        </w:rPr>
      </w:pPr>
      <w:r w:rsidRPr="00CC0355">
        <w:rPr>
          <w:rFonts w:ascii="Palatino Linotype" w:hAnsi="Palatino Linotype" w:cstheme="minorHAnsi"/>
          <w:noProof/>
          <w:lang w:val="en-GB" w:eastAsia="en-GB"/>
        </w:rPr>
        <mc:AlternateContent>
          <mc:Choice Requires="wps">
            <w:drawing>
              <wp:anchor distT="0" distB="0" distL="114935" distR="114935" simplePos="0" relativeHeight="251659264" behindDoc="0" locked="0" layoutInCell="1" allowOverlap="1" wp14:anchorId="3C0B86FB" wp14:editId="21462121">
                <wp:simplePos x="0" y="0"/>
                <wp:positionH relativeFrom="column">
                  <wp:posOffset>5394876</wp:posOffset>
                </wp:positionH>
                <wp:positionV relativeFrom="paragraph">
                  <wp:posOffset>53663</wp:posOffset>
                </wp:positionV>
                <wp:extent cx="1209675" cy="4191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4191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0CFDC6" w14:textId="013A704E" w:rsidR="00D07713" w:rsidRPr="00D07713" w:rsidRDefault="00E37C95" w:rsidP="00D07713">
                            <w:pPr>
                              <w:pStyle w:val="Heading3"/>
                              <w:keepLines w:val="0"/>
                              <w:tabs>
                                <w:tab w:val="num" w:pos="720"/>
                              </w:tabs>
                              <w:suppressAutoHyphens/>
                              <w:spacing w:before="240" w:after="60"/>
                              <w:ind w:left="720" w:hanging="720"/>
                              <w:rPr>
                                <w:rFonts w:ascii="Arial" w:eastAsia="Times New Roman" w:hAnsi="Arial" w:cs="Arial"/>
                                <w:b/>
                                <w:bCs/>
                                <w:color w:val="FFFFFF"/>
                                <w:sz w:val="22"/>
                                <w:szCs w:val="22"/>
                                <w:lang w:eastAsia="ar-SA"/>
                              </w:rPr>
                            </w:pPr>
                            <w:r>
                              <w:rPr>
                                <w:rFonts w:ascii="Arial" w:eastAsia="Times New Roman" w:hAnsi="Arial" w:cs="Arial"/>
                                <w:b/>
                                <w:bCs/>
                                <w:color w:val="FFFFFF"/>
                                <w:sz w:val="22"/>
                                <w:szCs w:val="22"/>
                                <w:lang w:eastAsia="ar-SA"/>
                              </w:rPr>
                              <w:t>02</w:t>
                            </w:r>
                            <w:r w:rsidR="006F0FC6">
                              <w:rPr>
                                <w:rFonts w:ascii="Arial" w:eastAsia="Times New Roman" w:hAnsi="Arial" w:cs="Arial"/>
                                <w:b/>
                                <w:bCs/>
                                <w:color w:val="FFFFFF"/>
                                <w:sz w:val="22"/>
                                <w:szCs w:val="22"/>
                                <w:lang w:eastAsia="ar-SA"/>
                              </w:rPr>
                              <w:t xml:space="preserve"> </w:t>
                            </w:r>
                            <w:r>
                              <w:rPr>
                                <w:rFonts w:ascii="Arial" w:eastAsia="Times New Roman" w:hAnsi="Arial" w:cs="Arial"/>
                                <w:b/>
                                <w:bCs/>
                                <w:color w:val="FFFFFF"/>
                                <w:sz w:val="22"/>
                                <w:szCs w:val="22"/>
                                <w:lang w:eastAsia="ar-SA"/>
                              </w:rPr>
                              <w:t>Mart 2020</w:t>
                            </w:r>
                          </w:p>
                          <w:p w14:paraId="1C706E2C" w14:textId="77777777" w:rsidR="00D07713" w:rsidRPr="00187FA0" w:rsidRDefault="00D07713" w:rsidP="00D0771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C0B86FB" id="_x0000_t202" coordsize="21600,21600" o:spt="202" path="m,l,21600r21600,l21600,xe">
                <v:stroke joinstyle="miter"/>
                <v:path gradientshapeok="t" o:connecttype="rect"/>
              </v:shapetype>
              <v:shape id="Text Box 3" o:spid="_x0000_s1026" type="#_x0000_t202" style="position:absolute;margin-left:424.8pt;margin-top:4.25pt;width:95.25pt;height:33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" stroked="f">
                <v:fill opacity="0"/>
                <v:textbox inset="0,0,0,0">
                  <w:txbxContent>
                    <w:p w14:paraId="5B0CFDC6" w14:textId="013A704E" w:rsidR="00D07713" w:rsidRPr="00D07713" w:rsidRDefault="00E37C95" w:rsidP="00D07713">
                      <w:pPr>
                        <w:pStyle w:val="Heading3"/>
                        <w:keepLines w:val="0"/>
                        <w:tabs>
                          <w:tab w:val="num" w:pos="720"/>
                        </w:tabs>
                        <w:suppressAutoHyphens/>
                        <w:spacing w:before="240" w:after="60"/>
                        <w:ind w:left="720" w:hanging="720"/>
                        <w:rPr>
                          <w:rFonts w:ascii="Arial" w:eastAsia="Times New Roman" w:hAnsi="Arial" w:cs="Arial"/>
                          <w:b/>
                          <w:bCs/>
                          <w:color w:val="FFFFFF"/>
                          <w:sz w:val="22"/>
                          <w:szCs w:val="22"/>
                          <w:lang w:eastAsia="ar-SA"/>
                        </w:rPr>
                      </w:pPr>
                      <w:r>
                        <w:rPr>
                          <w:rFonts w:ascii="Arial" w:eastAsia="Times New Roman" w:hAnsi="Arial" w:cs="Arial"/>
                          <w:b/>
                          <w:bCs/>
                          <w:color w:val="FFFFFF"/>
                          <w:sz w:val="22"/>
                          <w:szCs w:val="22"/>
                          <w:lang w:eastAsia="ar-SA"/>
                        </w:rPr>
                        <w:t>02</w:t>
                      </w:r>
                      <w:r w:rsidR="006F0FC6">
                        <w:rPr>
                          <w:rFonts w:ascii="Arial" w:eastAsia="Times New Roman" w:hAnsi="Arial" w:cs="Arial"/>
                          <w:b/>
                          <w:bCs/>
                          <w:color w:val="FFFFFF"/>
                          <w:sz w:val="22"/>
                          <w:szCs w:val="22"/>
                          <w:lang w:eastAsia="ar-SA"/>
                        </w:rPr>
                        <w:t xml:space="preserve"> </w:t>
                      </w:r>
                      <w:r>
                        <w:rPr>
                          <w:rFonts w:ascii="Arial" w:eastAsia="Times New Roman" w:hAnsi="Arial" w:cs="Arial"/>
                          <w:b/>
                          <w:bCs/>
                          <w:color w:val="FFFFFF"/>
                          <w:sz w:val="22"/>
                          <w:szCs w:val="22"/>
                          <w:lang w:eastAsia="ar-SA"/>
                        </w:rPr>
                        <w:t>Mart 2020</w:t>
                      </w:r>
                    </w:p>
                    <w:p w14:paraId="1C706E2C" w14:textId="77777777" w:rsidR="00D07713" w:rsidRPr="00187FA0" w:rsidRDefault="00D07713" w:rsidP="00D07713"/>
                  </w:txbxContent>
                </v:textbox>
              </v:shape>
            </w:pict>
          </mc:Fallback>
        </mc:AlternateContent>
      </w:r>
      <w:r w:rsidR="007F39BB" w:rsidRPr="00CC0355">
        <w:rPr>
          <w:rFonts w:ascii="Palatino Linotype" w:hAnsi="Palatino Linotype" w:cstheme="minorHAnsi"/>
          <w:noProof/>
          <w:lang w:val="en-GB" w:eastAsia="en-GB"/>
        </w:rPr>
        <mc:AlternateContent>
          <mc:Choice Requires="wps">
            <w:drawing>
              <wp:anchor distT="0" distB="0" distL="114935" distR="114935" simplePos="0" relativeHeight="251657216" behindDoc="0" locked="0" layoutInCell="1" allowOverlap="1" wp14:anchorId="1A71AF94" wp14:editId="16698A46">
                <wp:simplePos x="0" y="0"/>
                <wp:positionH relativeFrom="column">
                  <wp:posOffset>1367155</wp:posOffset>
                </wp:positionH>
                <wp:positionV relativeFrom="paragraph">
                  <wp:posOffset>-709295</wp:posOffset>
                </wp:positionV>
                <wp:extent cx="3819525" cy="64770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647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AAA76D" w14:textId="77777777" w:rsidR="00D07713" w:rsidRDefault="00D07713" w:rsidP="00D07713">
                            <w:pPr>
                              <w:pStyle w:val="Heading1"/>
                              <w:rPr>
                                <w:rFonts w:ascii="Times New Roman" w:hAnsi="Times New Roman" w:cs="Times New Roman"/>
                                <w:sz w:val="40"/>
                                <w:szCs w:val="40"/>
                              </w:rPr>
                            </w:pPr>
                            <w:r w:rsidRPr="00803E3E">
                              <w:rPr>
                                <w:rFonts w:ascii="Times New Roman" w:hAnsi="Times New Roman" w:cs="Times New Roman"/>
                                <w:sz w:val="40"/>
                                <w:szCs w:val="40"/>
                              </w:rPr>
                              <w:t xml:space="preserve">Büyüme </w:t>
                            </w:r>
                            <w:r w:rsidR="00125770">
                              <w:rPr>
                                <w:rFonts w:ascii="Times New Roman" w:hAnsi="Times New Roman" w:cs="Times New Roman"/>
                                <w:sz w:val="40"/>
                                <w:szCs w:val="40"/>
                              </w:rPr>
                              <w:t>Değerlendirmesi</w:t>
                            </w:r>
                            <w:r w:rsidR="00125770" w:rsidRPr="00803E3E">
                              <w:rPr>
                                <w:rFonts w:ascii="Times New Roman" w:hAnsi="Times New Roman" w:cs="Times New Roman"/>
                                <w:sz w:val="40"/>
                                <w:szCs w:val="40"/>
                              </w:rPr>
                              <w:t>:</w:t>
                            </w:r>
                          </w:p>
                          <w:p w14:paraId="28E5CBD4" w14:textId="3F07224C" w:rsidR="00D07713" w:rsidRPr="00526178" w:rsidRDefault="001537D8" w:rsidP="00D07713">
                            <w:pPr>
                              <w:pStyle w:val="Heading1"/>
                              <w:rPr>
                                <w:b w:val="0"/>
                                <w:bCs w:val="0"/>
                                <w:i/>
                                <w:iCs/>
                              </w:rPr>
                            </w:pPr>
                            <w:r>
                              <w:rPr>
                                <w:rFonts w:ascii="Times New Roman" w:hAnsi="Times New Roman" w:cs="Times New Roman"/>
                                <w:sz w:val="40"/>
                                <w:szCs w:val="40"/>
                              </w:rPr>
                              <w:t>201</w:t>
                            </w:r>
                            <w:r w:rsidR="004017B2">
                              <w:rPr>
                                <w:rFonts w:ascii="Times New Roman" w:hAnsi="Times New Roman" w:cs="Times New Roman"/>
                                <w:sz w:val="40"/>
                                <w:szCs w:val="40"/>
                              </w:rPr>
                              <w:t>9</w:t>
                            </w:r>
                            <w:r>
                              <w:rPr>
                                <w:rFonts w:ascii="Times New Roman" w:hAnsi="Times New Roman" w:cs="Times New Roman"/>
                                <w:sz w:val="40"/>
                                <w:szCs w:val="40"/>
                              </w:rPr>
                              <w:t xml:space="preserve"> </w:t>
                            </w:r>
                            <w:r w:rsidR="008B0385">
                              <w:rPr>
                                <w:rFonts w:ascii="Times New Roman" w:hAnsi="Times New Roman" w:cs="Times New Roman"/>
                                <w:sz w:val="40"/>
                                <w:szCs w:val="40"/>
                              </w:rPr>
                              <w:t>4</w:t>
                            </w:r>
                            <w:r w:rsidR="00D07713" w:rsidRPr="00803E3E">
                              <w:rPr>
                                <w:rFonts w:ascii="Times New Roman" w:hAnsi="Times New Roman" w:cs="Times New Roman"/>
                                <w:sz w:val="40"/>
                                <w:szCs w:val="40"/>
                              </w:rPr>
                              <w:t>. Çeyrek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A71AF94" id="Text Box 2" o:spid="_x0000_s1027" type="#_x0000_t202" style="position:absolute;margin-left:107.65pt;margin-top:-55.85pt;width:300.75pt;height:51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" stroked="f">
                <v:fill opacity="0"/>
                <v:textbox inset="0,0,0,0">
                  <w:txbxContent>
                    <w:p w14:paraId="37AAA76D" w14:textId="77777777" w:rsidR="00D07713" w:rsidRDefault="00D07713" w:rsidP="00D07713">
                      <w:pPr>
                        <w:pStyle w:val="Heading1"/>
                        <w:rPr>
                          <w:rFonts w:ascii="Times New Roman" w:hAnsi="Times New Roman" w:cs="Times New Roman"/>
                          <w:sz w:val="40"/>
                          <w:szCs w:val="40"/>
                        </w:rPr>
                      </w:pPr>
                      <w:r w:rsidRPr="00803E3E">
                        <w:rPr>
                          <w:rFonts w:ascii="Times New Roman" w:hAnsi="Times New Roman" w:cs="Times New Roman"/>
                          <w:sz w:val="40"/>
                          <w:szCs w:val="40"/>
                        </w:rPr>
                        <w:t xml:space="preserve">Büyüme </w:t>
                      </w:r>
                      <w:r w:rsidR="00125770">
                        <w:rPr>
                          <w:rFonts w:ascii="Times New Roman" w:hAnsi="Times New Roman" w:cs="Times New Roman"/>
                          <w:sz w:val="40"/>
                          <w:szCs w:val="40"/>
                        </w:rPr>
                        <w:t>Değerlendirmesi</w:t>
                      </w:r>
                      <w:r w:rsidR="00125770" w:rsidRPr="00803E3E">
                        <w:rPr>
                          <w:rFonts w:ascii="Times New Roman" w:hAnsi="Times New Roman" w:cs="Times New Roman"/>
                          <w:sz w:val="40"/>
                          <w:szCs w:val="40"/>
                        </w:rPr>
                        <w:t>:</w:t>
                      </w:r>
                    </w:p>
                    <w:p w14:paraId="28E5CBD4" w14:textId="3F07224C" w:rsidR="00D07713" w:rsidRPr="00526178" w:rsidRDefault="001537D8" w:rsidP="00D07713">
                      <w:pPr>
                        <w:pStyle w:val="Heading1"/>
                        <w:rPr>
                          <w:b w:val="0"/>
                          <w:bCs w:val="0"/>
                          <w:i/>
                          <w:iCs/>
                        </w:rPr>
                      </w:pPr>
                      <w:r>
                        <w:rPr>
                          <w:rFonts w:ascii="Times New Roman" w:hAnsi="Times New Roman" w:cs="Times New Roman"/>
                          <w:sz w:val="40"/>
                          <w:szCs w:val="40"/>
                        </w:rPr>
                        <w:t>201</w:t>
                      </w:r>
                      <w:r w:rsidR="004017B2">
                        <w:rPr>
                          <w:rFonts w:ascii="Times New Roman" w:hAnsi="Times New Roman" w:cs="Times New Roman"/>
                          <w:sz w:val="40"/>
                          <w:szCs w:val="40"/>
                        </w:rPr>
                        <w:t>9</w:t>
                      </w:r>
                      <w:r>
                        <w:rPr>
                          <w:rFonts w:ascii="Times New Roman" w:hAnsi="Times New Roman" w:cs="Times New Roman"/>
                          <w:sz w:val="40"/>
                          <w:szCs w:val="40"/>
                        </w:rPr>
                        <w:t xml:space="preserve"> </w:t>
                      </w:r>
                      <w:r w:rsidR="008B0385">
                        <w:rPr>
                          <w:rFonts w:ascii="Times New Roman" w:hAnsi="Times New Roman" w:cs="Times New Roman"/>
                          <w:sz w:val="40"/>
                          <w:szCs w:val="40"/>
                        </w:rPr>
                        <w:t>4</w:t>
                      </w:r>
                      <w:r w:rsidR="00D07713" w:rsidRPr="00803E3E">
                        <w:rPr>
                          <w:rFonts w:ascii="Times New Roman" w:hAnsi="Times New Roman" w:cs="Times New Roman"/>
                          <w:sz w:val="40"/>
                          <w:szCs w:val="40"/>
                        </w:rPr>
                        <w:t>. Çeyrek</w:t>
                      </w:r>
                    </w:p>
                  </w:txbxContent>
                </v:textbox>
              </v:shape>
            </w:pict>
          </mc:Fallback>
        </mc:AlternateContent>
      </w:r>
      <w:r w:rsidR="00D07713" w:rsidRPr="00CC0355">
        <w:rPr>
          <w:rFonts w:ascii="Palatino Linotype" w:hAnsi="Palatino Linotype" w:cstheme="minorHAnsi"/>
          <w:noProof/>
          <w:lang w:val="en-GB" w:eastAsia="en-GB"/>
        </w:rPr>
        <w:drawing>
          <wp:anchor distT="0" distB="0" distL="114300" distR="114300" simplePos="0" relativeHeight="251656192" behindDoc="1" locked="0" layoutInCell="1" allowOverlap="1" wp14:anchorId="69EA5A2C" wp14:editId="5E923368">
            <wp:simplePos x="0" y="0"/>
            <wp:positionH relativeFrom="margin">
              <wp:align>center</wp:align>
            </wp:positionH>
            <wp:positionV relativeFrom="paragraph">
              <wp:posOffset>-855345</wp:posOffset>
            </wp:positionV>
            <wp:extent cx="7315200" cy="1330325"/>
            <wp:effectExtent l="0" t="0" r="0" b="3175"/>
            <wp:wrapNone/>
            <wp:docPr id="1"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8"/>
                    <a:srcRect/>
                    <a:stretch>
                      <a:fillRect/>
                    </a:stretch>
                  </pic:blipFill>
                  <pic:spPr bwMode="auto">
                    <a:xfrm>
                      <a:off x="0" y="0"/>
                      <a:ext cx="7315200" cy="1330325"/>
                    </a:xfrm>
                    <a:prstGeom prst="rect">
                      <a:avLst/>
                    </a:prstGeom>
                    <a:noFill/>
                  </pic:spPr>
                </pic:pic>
              </a:graphicData>
            </a:graphic>
          </wp:anchor>
        </w:drawing>
      </w:r>
    </w:p>
    <w:p w14:paraId="60F7B6BD" w14:textId="77777777" w:rsidR="00D07713" w:rsidRPr="00CC0355" w:rsidRDefault="00D07713">
      <w:pPr>
        <w:rPr>
          <w:rFonts w:ascii="Palatino Linotype" w:hAnsi="Palatino Linotype" w:cstheme="minorHAnsi"/>
        </w:rPr>
      </w:pPr>
    </w:p>
    <w:p w14:paraId="1A2A657A" w14:textId="77777777" w:rsidR="00D07713" w:rsidRPr="00CC0355" w:rsidRDefault="00D07713" w:rsidP="00D07713">
      <w:pPr>
        <w:spacing w:line="288" w:lineRule="auto"/>
        <w:ind w:right="-319"/>
        <w:jc w:val="center"/>
        <w:outlineLvl w:val="0"/>
        <w:rPr>
          <w:rFonts w:ascii="Palatino Linotype" w:hAnsi="Palatino Linotype" w:cstheme="minorHAnsi"/>
          <w:b/>
          <w:bCs/>
          <w:sz w:val="28"/>
          <w:szCs w:val="28"/>
        </w:rPr>
      </w:pPr>
    </w:p>
    <w:p w14:paraId="6783B39D" w14:textId="4E364705" w:rsidR="00D34702" w:rsidRPr="00CC0355" w:rsidRDefault="00610889" w:rsidP="00D34702">
      <w:pPr>
        <w:spacing w:line="288" w:lineRule="auto"/>
        <w:ind w:right="-319"/>
        <w:jc w:val="center"/>
        <w:outlineLvl w:val="0"/>
        <w:rPr>
          <w:rFonts w:ascii="Palatino Linotype" w:hAnsi="Palatino Linotype" w:cstheme="minorHAnsi"/>
          <w:b/>
          <w:bCs/>
          <w:sz w:val="28"/>
          <w:szCs w:val="28"/>
        </w:rPr>
      </w:pPr>
      <w:r>
        <w:rPr>
          <w:rFonts w:ascii="Palatino Linotype" w:hAnsi="Palatino Linotype" w:cstheme="minorHAnsi"/>
          <w:b/>
          <w:bCs/>
          <w:sz w:val="28"/>
          <w:szCs w:val="28"/>
        </w:rPr>
        <w:t>NET DIŞ TİCARET BÜYÜMEYİ BASKILIYOR</w:t>
      </w:r>
    </w:p>
    <w:p w14:paraId="428E7403" w14:textId="5430D498" w:rsidR="00D07713" w:rsidRPr="00CC0355" w:rsidRDefault="00D07713" w:rsidP="004623F2">
      <w:pPr>
        <w:spacing w:line="288" w:lineRule="auto"/>
        <w:ind w:right="-319"/>
        <w:jc w:val="center"/>
        <w:outlineLvl w:val="0"/>
        <w:rPr>
          <w:rFonts w:ascii="Palatino Linotype" w:hAnsi="Palatino Linotype" w:cstheme="minorHAnsi"/>
        </w:rPr>
      </w:pPr>
      <w:r w:rsidRPr="00CC0355">
        <w:rPr>
          <w:rFonts w:ascii="Palatino Linotype" w:hAnsi="Palatino Linotype" w:cstheme="minorHAnsi"/>
          <w:b/>
          <w:bCs/>
          <w:sz w:val="22"/>
          <w:szCs w:val="22"/>
        </w:rPr>
        <w:t>Ozan Bakış</w:t>
      </w:r>
      <w:r w:rsidR="00C32789" w:rsidRPr="00CC0355">
        <w:rPr>
          <w:rStyle w:val="FootnoteReference"/>
          <w:rFonts w:ascii="Palatino Linotype" w:hAnsi="Palatino Linotype" w:cstheme="minorHAnsi"/>
          <w:b/>
          <w:bCs/>
          <w:sz w:val="22"/>
          <w:szCs w:val="22"/>
        </w:rPr>
        <w:footnoteReference w:id="1"/>
      </w:r>
      <w:r w:rsidR="001537D8" w:rsidRPr="00CC0355">
        <w:rPr>
          <w:rFonts w:ascii="Palatino Linotype" w:hAnsi="Palatino Linotype" w:cstheme="minorHAnsi"/>
          <w:b/>
          <w:bCs/>
          <w:sz w:val="22"/>
          <w:szCs w:val="22"/>
        </w:rPr>
        <w:t xml:space="preserve"> ve </w:t>
      </w:r>
      <w:r w:rsidR="008B0385">
        <w:rPr>
          <w:rFonts w:ascii="Palatino Linotype" w:hAnsi="Palatino Linotype" w:cstheme="minorHAnsi"/>
          <w:b/>
          <w:bCs/>
          <w:sz w:val="22"/>
          <w:szCs w:val="22"/>
        </w:rPr>
        <w:t>Gökhan Dilek</w:t>
      </w:r>
      <w:r w:rsidR="001537D8" w:rsidRPr="00CC0355">
        <w:rPr>
          <w:rStyle w:val="FootnoteReference"/>
          <w:rFonts w:ascii="Palatino Linotype" w:hAnsi="Palatino Linotype" w:cstheme="minorHAnsi"/>
          <w:b/>
          <w:bCs/>
          <w:sz w:val="22"/>
          <w:szCs w:val="22"/>
        </w:rPr>
        <w:footnoteReference w:id="2"/>
      </w:r>
    </w:p>
    <w:p w14:paraId="6E057918" w14:textId="77777777" w:rsidR="00405BD8" w:rsidRPr="00CC0355" w:rsidRDefault="00405BD8" w:rsidP="00751F72">
      <w:pPr>
        <w:jc w:val="center"/>
        <w:rPr>
          <w:rFonts w:ascii="Palatino Linotype" w:hAnsi="Palatino Linotype" w:cstheme="minorHAnsi"/>
          <w:b/>
          <w:sz w:val="22"/>
          <w:szCs w:val="22"/>
        </w:rPr>
      </w:pPr>
    </w:p>
    <w:p w14:paraId="180703E7" w14:textId="77777777" w:rsidR="00111CED" w:rsidRPr="00CC0355" w:rsidRDefault="00D257C1" w:rsidP="00405BD8">
      <w:pPr>
        <w:spacing w:line="360" w:lineRule="auto"/>
        <w:jc w:val="center"/>
        <w:rPr>
          <w:rFonts w:ascii="Palatino Linotype" w:hAnsi="Palatino Linotype" w:cstheme="minorHAnsi"/>
          <w:b/>
          <w:sz w:val="22"/>
          <w:szCs w:val="22"/>
        </w:rPr>
      </w:pPr>
      <w:r w:rsidRPr="00CC0355">
        <w:rPr>
          <w:rFonts w:ascii="Palatino Linotype" w:hAnsi="Palatino Linotype" w:cstheme="minorHAnsi"/>
          <w:b/>
          <w:sz w:val="22"/>
          <w:szCs w:val="22"/>
        </w:rPr>
        <w:t>Yönetici</w:t>
      </w:r>
      <w:r w:rsidR="00C86475" w:rsidRPr="00CC0355">
        <w:rPr>
          <w:rFonts w:ascii="Palatino Linotype" w:hAnsi="Palatino Linotype" w:cstheme="minorHAnsi"/>
          <w:b/>
          <w:sz w:val="22"/>
          <w:szCs w:val="22"/>
        </w:rPr>
        <w:t xml:space="preserve"> </w:t>
      </w:r>
      <w:r w:rsidRPr="00CC0355">
        <w:rPr>
          <w:rFonts w:ascii="Palatino Linotype" w:hAnsi="Palatino Linotype" w:cstheme="minorHAnsi"/>
          <w:b/>
          <w:sz w:val="22"/>
          <w:szCs w:val="22"/>
        </w:rPr>
        <w:t>Özeti</w:t>
      </w:r>
    </w:p>
    <w:p w14:paraId="7BBC6B1D" w14:textId="5990AF01" w:rsidR="00ED266F" w:rsidRDefault="00ED266F" w:rsidP="001004FF">
      <w:pPr>
        <w:spacing w:line="300" w:lineRule="auto"/>
        <w:ind w:left="567" w:right="567"/>
        <w:jc w:val="both"/>
        <w:rPr>
          <w:rFonts w:ascii="Palatino Linotype" w:hAnsi="Palatino Linotype" w:cstheme="minorHAnsi"/>
          <w:sz w:val="22"/>
          <w:szCs w:val="22"/>
        </w:rPr>
      </w:pPr>
      <w:r>
        <w:rPr>
          <w:rFonts w:ascii="Palatino Linotype" w:hAnsi="Palatino Linotype" w:cstheme="minorHAnsi"/>
          <w:sz w:val="22"/>
          <w:szCs w:val="22"/>
        </w:rPr>
        <w:t xml:space="preserve">2019 yılının son çeyreğinde Gayri Safi Yurtiçi Hasıla (GSYH) mevsim ve takvim etkisinden arındırılmış seriye göre bir önceki çeyreğe kıyasla yüzde 1,9 artarken geçen yılın aynı çeyreğine göre ise yüzde 6 büyüdü. Böylece GSYH 2019 yılında 2018’e göre yüzde 0,9 arttı ve Yeni Ekonomi Programı hedefinin (yüzde 0,5) üzerinde gerçekleşti. 2019 yılının dördüncü çeyreğinde yıldan yıla büyümeye özel tüketim 3,8 yüzde puan ile güçlü bir katkı yaparken kamu harcamaları 0,4 yüzde puan ile oldukça </w:t>
      </w:r>
      <w:r w:rsidR="00F5534B">
        <w:rPr>
          <w:rFonts w:ascii="Palatino Linotype" w:hAnsi="Palatino Linotype" w:cstheme="minorHAnsi"/>
          <w:sz w:val="22"/>
          <w:szCs w:val="22"/>
        </w:rPr>
        <w:t>sınırlı</w:t>
      </w:r>
      <w:r>
        <w:rPr>
          <w:rFonts w:ascii="Palatino Linotype" w:hAnsi="Palatino Linotype" w:cstheme="minorHAnsi"/>
          <w:sz w:val="22"/>
          <w:szCs w:val="22"/>
        </w:rPr>
        <w:t xml:space="preserve"> bir destek verdi. Yatırım harcamaları büyümeyi kısmen baskıladı ve 0,2 yüzde puan negatif katkı yaptı. Net dış ticaret ise büyümeyi oldukça aşağı çekti: İhracatın katkısı 1,4 yüzde puan olurken ithalatın katkısı ise eksi 7,9 yüzde puan oldu</w:t>
      </w:r>
      <w:r w:rsidR="00F5534B">
        <w:rPr>
          <w:rFonts w:ascii="Palatino Linotype" w:hAnsi="Palatino Linotype" w:cstheme="minorHAnsi"/>
          <w:sz w:val="22"/>
          <w:szCs w:val="22"/>
        </w:rPr>
        <w:t xml:space="preserve"> ve net dış ticaretin büyümeye katkısı eksi 6,5 yüzde puan oldu</w:t>
      </w:r>
      <w:r>
        <w:rPr>
          <w:rFonts w:ascii="Palatino Linotype" w:hAnsi="Palatino Linotype" w:cstheme="minorHAnsi"/>
          <w:sz w:val="22"/>
          <w:szCs w:val="22"/>
        </w:rPr>
        <w:t>.</w:t>
      </w:r>
    </w:p>
    <w:p w14:paraId="746C5C1C" w14:textId="30FC5313" w:rsidR="00E40DD5" w:rsidRDefault="00E40DD5" w:rsidP="001004FF">
      <w:pPr>
        <w:spacing w:line="300" w:lineRule="auto"/>
        <w:ind w:left="567" w:right="567"/>
        <w:jc w:val="both"/>
        <w:rPr>
          <w:rFonts w:ascii="Palatino Linotype" w:hAnsi="Palatino Linotype" w:cstheme="minorHAnsi"/>
          <w:sz w:val="22"/>
          <w:szCs w:val="22"/>
        </w:rPr>
      </w:pPr>
    </w:p>
    <w:p w14:paraId="602D6638" w14:textId="5E90E669" w:rsidR="00C73CC1" w:rsidRPr="00CC0355" w:rsidRDefault="002729B4" w:rsidP="002729B4">
      <w:pPr>
        <w:spacing w:line="300" w:lineRule="auto"/>
        <w:ind w:left="567" w:right="567"/>
        <w:jc w:val="both"/>
        <w:rPr>
          <w:rFonts w:ascii="Palatino Linotype" w:hAnsi="Palatino Linotype" w:cstheme="minorHAnsi"/>
          <w:sz w:val="22"/>
          <w:szCs w:val="22"/>
        </w:rPr>
      </w:pPr>
      <w:r>
        <w:rPr>
          <w:rFonts w:ascii="Palatino Linotype" w:hAnsi="Palatino Linotype" w:cstheme="minorHAnsi"/>
          <w:color w:val="000000" w:themeColor="text1"/>
          <w:sz w:val="22"/>
          <w:szCs w:val="22"/>
        </w:rPr>
        <w:t>Mevsim ve takvim etkilerinden arındırılmış verilere göre özel tüketim (1,8 yüzde puan) ve stok değişimi (2,7 yüzde puan) çeyrekten çeyreğe büyümeye yüksek katkıda bulunurken kamu harcamaları, yatırımlar ve ihracatın da pozitif katkıları oldu. İthalat ise eksi 3,8 yüzde puan katkıyla büyümeyi baskıladı.</w:t>
      </w:r>
      <w:r w:rsidR="00C066D2" w:rsidRPr="00CC0355">
        <w:rPr>
          <w:rFonts w:ascii="Palatino Linotype" w:hAnsi="Palatino Linotype" w:cstheme="minorHAnsi"/>
          <w:sz w:val="22"/>
          <w:szCs w:val="22"/>
        </w:rPr>
        <w:t xml:space="preserve"> </w:t>
      </w:r>
    </w:p>
    <w:p w14:paraId="6E1AE999" w14:textId="77777777" w:rsidR="00E40DD5" w:rsidRPr="00CC0355" w:rsidRDefault="00E40DD5" w:rsidP="001004FF">
      <w:pPr>
        <w:spacing w:line="300" w:lineRule="auto"/>
        <w:ind w:left="567" w:right="567"/>
        <w:jc w:val="both"/>
        <w:rPr>
          <w:rFonts w:ascii="Palatino Linotype" w:hAnsi="Palatino Linotype" w:cstheme="minorHAnsi"/>
          <w:sz w:val="22"/>
          <w:szCs w:val="22"/>
        </w:rPr>
      </w:pPr>
    </w:p>
    <w:p w14:paraId="2871DC86" w14:textId="1F837882" w:rsidR="00E40DD5" w:rsidRPr="00CC0355" w:rsidRDefault="00E40DD5" w:rsidP="001004FF">
      <w:pPr>
        <w:spacing w:line="300" w:lineRule="auto"/>
        <w:ind w:left="567" w:right="567"/>
        <w:jc w:val="both"/>
        <w:rPr>
          <w:rFonts w:ascii="Palatino Linotype" w:hAnsi="Palatino Linotype" w:cstheme="minorHAnsi"/>
          <w:sz w:val="22"/>
          <w:szCs w:val="22"/>
        </w:rPr>
      </w:pPr>
      <w:r w:rsidRPr="00CC0355">
        <w:rPr>
          <w:rFonts w:ascii="Palatino Linotype" w:hAnsi="Palatino Linotype" w:cstheme="minorHAnsi"/>
          <w:sz w:val="22"/>
          <w:szCs w:val="22"/>
        </w:rPr>
        <w:t xml:space="preserve">Bir önceki notumuzda olduğu gibi stok değişiminin ekonominin kötü gittiği bir dönemde pozitif katkı yapmasını içinde bulunduğumuz dönemde talebin düşük olmasına rağmen üretimin devam ettiği, dolayısı ile geleceğe dönük üretici beklentilerinin iyi olduğu şeklinde yorumluyoruz. </w:t>
      </w:r>
      <w:r w:rsidR="002729B4">
        <w:rPr>
          <w:rFonts w:ascii="Palatino Linotype" w:hAnsi="Palatino Linotype" w:cstheme="minorHAnsi"/>
          <w:sz w:val="22"/>
          <w:szCs w:val="22"/>
        </w:rPr>
        <w:t xml:space="preserve">Öte yandan yatırımlarda da toparlanmanın başladığı </w:t>
      </w:r>
      <w:r w:rsidR="001F5841">
        <w:rPr>
          <w:rFonts w:ascii="Palatino Linotype" w:hAnsi="Palatino Linotype" w:cstheme="minorHAnsi"/>
          <w:sz w:val="22"/>
          <w:szCs w:val="22"/>
        </w:rPr>
        <w:t xml:space="preserve">ve ithalatın hızla artmaya başladığı </w:t>
      </w:r>
      <w:r w:rsidR="002729B4">
        <w:rPr>
          <w:rFonts w:ascii="Palatino Linotype" w:hAnsi="Palatino Linotype" w:cstheme="minorHAnsi"/>
          <w:sz w:val="22"/>
          <w:szCs w:val="22"/>
        </w:rPr>
        <w:t>görülmektedir. 2019 yılının dördüncü çeyreğinde yatırı</w:t>
      </w:r>
      <w:r w:rsidR="007201BD">
        <w:rPr>
          <w:rFonts w:ascii="Palatino Linotype" w:hAnsi="Palatino Linotype" w:cstheme="minorHAnsi"/>
          <w:sz w:val="22"/>
          <w:szCs w:val="22"/>
        </w:rPr>
        <w:t>m harcamalarının</w:t>
      </w:r>
      <w:r w:rsidR="002729B4">
        <w:rPr>
          <w:rFonts w:ascii="Palatino Linotype" w:hAnsi="Palatino Linotype" w:cstheme="minorHAnsi"/>
          <w:sz w:val="22"/>
          <w:szCs w:val="22"/>
        </w:rPr>
        <w:t xml:space="preserve"> çeyreklik art</w:t>
      </w:r>
      <w:r w:rsidR="007201BD">
        <w:rPr>
          <w:rFonts w:ascii="Palatino Linotype" w:hAnsi="Palatino Linotype" w:cstheme="minorHAnsi"/>
          <w:sz w:val="22"/>
          <w:szCs w:val="22"/>
        </w:rPr>
        <w:t>ış hızı</w:t>
      </w:r>
      <w:r w:rsidR="002729B4">
        <w:rPr>
          <w:rFonts w:ascii="Palatino Linotype" w:hAnsi="Palatino Linotype" w:cstheme="minorHAnsi"/>
          <w:sz w:val="22"/>
          <w:szCs w:val="22"/>
        </w:rPr>
        <w:t xml:space="preserve"> yükselmiş ve buna bağlı olarak da büyümeye yaptığı katkı artmıştır. </w:t>
      </w:r>
      <w:bookmarkStart w:id="0" w:name="OLE_LINK5"/>
      <w:bookmarkStart w:id="1" w:name="OLE_LINK6"/>
      <w:r w:rsidRPr="00CC0355">
        <w:rPr>
          <w:rFonts w:ascii="Palatino Linotype" w:hAnsi="Palatino Linotype" w:cstheme="minorHAnsi"/>
          <w:sz w:val="22"/>
          <w:szCs w:val="22"/>
        </w:rPr>
        <w:t xml:space="preserve">Tüm bu işaretleri birlikte değerlendirdiğimizde en azından önümüzdeki yakın dönem için ekonomik büyümenin devam edeceğini öngörüyoruz. </w:t>
      </w:r>
    </w:p>
    <w:bookmarkEnd w:id="0"/>
    <w:bookmarkEnd w:id="1"/>
    <w:p w14:paraId="225AD36F" w14:textId="2B23A9D5" w:rsidR="00C1422A" w:rsidRPr="00CC0355" w:rsidRDefault="001004FF" w:rsidP="00C1422A">
      <w:pPr>
        <w:keepNext/>
        <w:ind w:right="77"/>
        <w:jc w:val="both"/>
        <w:rPr>
          <w:rFonts w:ascii="Palatino Linotype" w:hAnsi="Palatino Linotype" w:cstheme="minorHAnsi"/>
          <w:b/>
          <w:bCs/>
          <w:sz w:val="22"/>
          <w:szCs w:val="22"/>
        </w:rPr>
      </w:pPr>
      <w:r w:rsidRPr="00CC0355">
        <w:rPr>
          <w:rFonts w:ascii="Palatino Linotype" w:hAnsi="Palatino Linotype" w:cstheme="minorHAnsi"/>
          <w:sz w:val="22"/>
          <w:szCs w:val="22"/>
        </w:rPr>
        <w:lastRenderedPageBreak/>
        <w:br/>
      </w:r>
      <w:r w:rsidR="00C1422A" w:rsidRPr="00CC0355">
        <w:rPr>
          <w:rFonts w:ascii="Palatino Linotype" w:hAnsi="Palatino Linotype" w:cstheme="minorHAnsi"/>
          <w:b/>
          <w:bCs/>
          <w:sz w:val="22"/>
          <w:szCs w:val="22"/>
        </w:rPr>
        <w:t xml:space="preserve">Şekil 1: GSYH alt kalemlerinin 2019 </w:t>
      </w:r>
      <w:r w:rsidR="00CC0355">
        <w:rPr>
          <w:rFonts w:ascii="Palatino Linotype" w:hAnsi="Palatino Linotype" w:cstheme="minorHAnsi"/>
          <w:b/>
          <w:bCs/>
          <w:sz w:val="22"/>
          <w:szCs w:val="22"/>
        </w:rPr>
        <w:t>4</w:t>
      </w:r>
      <w:r w:rsidR="00C1422A" w:rsidRPr="00CC0355">
        <w:rPr>
          <w:rFonts w:ascii="Palatino Linotype" w:hAnsi="Palatino Linotype" w:cstheme="minorHAnsi"/>
          <w:b/>
          <w:bCs/>
          <w:sz w:val="22"/>
          <w:szCs w:val="22"/>
        </w:rPr>
        <w:t xml:space="preserve">. çeyrekte bir önceki yılın aynı çeyreğine göre büyümeye katkıları (sol şekil) ve büyüme oranları (sağ şekil) </w:t>
      </w:r>
    </w:p>
    <w:p w14:paraId="116E1D3F" w14:textId="77777777" w:rsidR="00C1422A" w:rsidRPr="00CC0355" w:rsidRDefault="00C1422A" w:rsidP="00C1422A">
      <w:pPr>
        <w:keepNext/>
        <w:rPr>
          <w:rFonts w:ascii="Palatino Linotype" w:hAnsi="Palatino Linotype" w:cstheme="minorHAnsi"/>
        </w:rPr>
      </w:pPr>
    </w:p>
    <w:p w14:paraId="4864BE25" w14:textId="43AEAFCC" w:rsidR="00C1422A" w:rsidRPr="00CC0355" w:rsidRDefault="00E04EFE" w:rsidP="00C1422A">
      <w:pPr>
        <w:keepNext/>
        <w:ind w:left="-567" w:right="-567"/>
        <w:jc w:val="center"/>
        <w:rPr>
          <w:rFonts w:ascii="Palatino Linotype" w:hAnsi="Palatino Linotype" w:cstheme="minorHAnsi"/>
        </w:rPr>
      </w:pPr>
      <w:r w:rsidRPr="00CC0355">
        <w:rPr>
          <w:noProof/>
          <w:lang w:val="en-GB" w:eastAsia="en-GB"/>
        </w:rPr>
        <w:drawing>
          <wp:inline distT="0" distB="0" distL="0" distR="0" wp14:anchorId="4F55CC62" wp14:editId="1844B544">
            <wp:extent cx="3212326" cy="2470840"/>
            <wp:effectExtent l="0" t="0" r="7620" b="5715"/>
            <wp:docPr id="3" name="Chart 3">
              <a:extLst xmlns:a="http://schemas.openxmlformats.org/drawingml/2006/main">
                <a:ext uri="{FF2B5EF4-FFF2-40B4-BE49-F238E27FC236}">
                  <a16:creationId xmlns:a16="http://schemas.microsoft.com/office/drawing/2014/main" id="{00000000-0008-0000-0B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C1422A" w:rsidRPr="00CC0355">
        <w:rPr>
          <w:noProof/>
          <w:lang w:eastAsia="en-GB"/>
        </w:rPr>
        <w:t xml:space="preserve"> </w:t>
      </w:r>
      <w:r w:rsidRPr="00CC0355">
        <w:rPr>
          <w:noProof/>
          <w:lang w:val="en-GB" w:eastAsia="en-GB"/>
        </w:rPr>
        <w:drawing>
          <wp:inline distT="0" distB="0" distL="0" distR="0" wp14:anchorId="1F9B07DE" wp14:editId="053EB679">
            <wp:extent cx="3108960" cy="2472856"/>
            <wp:effectExtent l="0" t="0" r="15240" b="3810"/>
            <wp:docPr id="5" name="Chart 5">
              <a:extLst xmlns:a="http://schemas.openxmlformats.org/drawingml/2006/main">
                <a:ext uri="{FF2B5EF4-FFF2-40B4-BE49-F238E27FC236}">
                  <a16:creationId xmlns:a16="http://schemas.microsoft.com/office/drawing/2014/main" id="{00000000-0008-0000-0B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7DDFB67" w14:textId="583A80FC" w:rsidR="00C1422A" w:rsidRPr="00CC0355" w:rsidRDefault="00C1422A" w:rsidP="00C1422A">
      <w:pPr>
        <w:keepNext/>
        <w:rPr>
          <w:rFonts w:ascii="Palatino Linotype" w:hAnsi="Palatino Linotype" w:cstheme="minorHAnsi"/>
        </w:rPr>
      </w:pPr>
      <w:r w:rsidRPr="00CC0355">
        <w:rPr>
          <w:rFonts w:ascii="Palatino Linotype" w:hAnsi="Palatino Linotype" w:cstheme="minorHAnsi"/>
          <w:sz w:val="18"/>
          <w:szCs w:val="18"/>
        </w:rPr>
        <w:t>Kaynak: TÜİK, Betam</w:t>
      </w:r>
      <w:r w:rsidRPr="00CC0355">
        <w:rPr>
          <w:rFonts w:ascii="Palatino Linotype" w:hAnsi="Palatino Linotype" w:cstheme="minorHAnsi"/>
          <w:sz w:val="16"/>
          <w:szCs w:val="16"/>
        </w:rPr>
        <w:t xml:space="preserve">. </w:t>
      </w:r>
    </w:p>
    <w:p w14:paraId="24C6C2F1" w14:textId="77777777" w:rsidR="0033649B" w:rsidRPr="00CC0355" w:rsidRDefault="0033649B" w:rsidP="006C3EE6">
      <w:pPr>
        <w:pStyle w:val="NormalWeb"/>
        <w:spacing w:before="0" w:beforeAutospacing="0" w:after="0" w:afterAutospacing="0" w:line="360" w:lineRule="auto"/>
        <w:ind w:right="77"/>
        <w:rPr>
          <w:rFonts w:ascii="Palatino Linotype" w:hAnsi="Palatino Linotype" w:cstheme="minorHAnsi"/>
          <w:b/>
          <w:bCs/>
          <w:sz w:val="22"/>
          <w:szCs w:val="22"/>
        </w:rPr>
      </w:pPr>
    </w:p>
    <w:p w14:paraId="2781E629" w14:textId="7AACC798" w:rsidR="006C3EE6" w:rsidRPr="00CC0355" w:rsidRDefault="00BA7E44" w:rsidP="006C3EE6">
      <w:pPr>
        <w:pStyle w:val="NormalWeb"/>
        <w:spacing w:before="0" w:beforeAutospacing="0" w:after="0" w:afterAutospacing="0" w:line="360" w:lineRule="auto"/>
        <w:ind w:right="77"/>
        <w:rPr>
          <w:rFonts w:ascii="Palatino Linotype" w:hAnsi="Palatino Linotype" w:cstheme="minorHAnsi"/>
          <w:b/>
          <w:bCs/>
          <w:color w:val="FF0000"/>
          <w:sz w:val="22"/>
          <w:szCs w:val="22"/>
        </w:rPr>
      </w:pPr>
      <w:r w:rsidRPr="00CC0355">
        <w:rPr>
          <w:rFonts w:ascii="Palatino Linotype" w:hAnsi="Palatino Linotype" w:cstheme="minorHAnsi"/>
          <w:b/>
          <w:bCs/>
          <w:sz w:val="22"/>
          <w:szCs w:val="22"/>
        </w:rPr>
        <w:t xml:space="preserve"> </w:t>
      </w:r>
      <w:r w:rsidR="00C21E02" w:rsidRPr="00CC0355">
        <w:rPr>
          <w:rFonts w:ascii="Palatino Linotype" w:hAnsi="Palatino Linotype" w:cstheme="minorHAnsi"/>
          <w:b/>
          <w:bCs/>
          <w:sz w:val="22"/>
          <w:szCs w:val="22"/>
        </w:rPr>
        <w:t>Özel</w:t>
      </w:r>
      <w:r w:rsidR="00C11B5A" w:rsidRPr="00CC0355">
        <w:rPr>
          <w:rFonts w:ascii="Palatino Linotype" w:hAnsi="Palatino Linotype" w:cstheme="minorHAnsi"/>
          <w:b/>
          <w:bCs/>
          <w:sz w:val="22"/>
          <w:szCs w:val="22"/>
        </w:rPr>
        <w:t xml:space="preserve"> t</w:t>
      </w:r>
      <w:r w:rsidR="00D1282D" w:rsidRPr="00CC0355">
        <w:rPr>
          <w:rFonts w:ascii="Palatino Linotype" w:hAnsi="Palatino Linotype" w:cstheme="minorHAnsi"/>
          <w:b/>
          <w:bCs/>
          <w:sz w:val="22"/>
          <w:szCs w:val="22"/>
        </w:rPr>
        <w:t>üketim</w:t>
      </w:r>
      <w:r w:rsidR="005F26AF">
        <w:rPr>
          <w:rFonts w:ascii="Palatino Linotype" w:hAnsi="Palatino Linotype" w:cstheme="minorHAnsi"/>
          <w:b/>
          <w:bCs/>
          <w:sz w:val="22"/>
          <w:szCs w:val="22"/>
        </w:rPr>
        <w:t>in büyümeye desteği artıyor</w:t>
      </w:r>
    </w:p>
    <w:p w14:paraId="6CC05D02" w14:textId="1674EFAD" w:rsidR="003F00A9" w:rsidRPr="00CC0355" w:rsidRDefault="003F00A9" w:rsidP="003F00A9">
      <w:pPr>
        <w:pStyle w:val="NormalWeb"/>
        <w:spacing w:before="0" w:beforeAutospacing="0" w:after="0" w:afterAutospacing="0" w:line="360" w:lineRule="auto"/>
        <w:ind w:right="77"/>
        <w:jc w:val="both"/>
        <w:rPr>
          <w:rFonts w:ascii="Palatino Linotype" w:hAnsi="Palatino Linotype" w:cstheme="minorHAnsi"/>
          <w:sz w:val="22"/>
          <w:szCs w:val="22"/>
        </w:rPr>
      </w:pPr>
      <w:r w:rsidRPr="00CC0355">
        <w:rPr>
          <w:rFonts w:ascii="Palatino Linotype" w:hAnsi="Palatino Linotype" w:cstheme="minorHAnsi"/>
          <w:sz w:val="22"/>
          <w:szCs w:val="22"/>
        </w:rPr>
        <w:t>Geçen yılın aynı çeyreğine göre birinci çeyrekte yüzde 5</w:t>
      </w:r>
      <w:r w:rsidR="0061333E" w:rsidRPr="00CC0355">
        <w:rPr>
          <w:rFonts w:ascii="Palatino Linotype" w:hAnsi="Palatino Linotype" w:cstheme="minorHAnsi"/>
          <w:sz w:val="22"/>
          <w:szCs w:val="22"/>
        </w:rPr>
        <w:t xml:space="preserve">, ikinci çeyrekte ise yüzde 1 </w:t>
      </w:r>
      <w:r w:rsidRPr="00CC0355">
        <w:rPr>
          <w:rFonts w:ascii="Palatino Linotype" w:hAnsi="Palatino Linotype" w:cstheme="minorHAnsi"/>
          <w:sz w:val="22"/>
          <w:szCs w:val="22"/>
        </w:rPr>
        <w:t xml:space="preserve">azalan özel tüketim </w:t>
      </w:r>
      <w:r w:rsidR="0061333E" w:rsidRPr="00CC0355">
        <w:rPr>
          <w:rFonts w:ascii="Palatino Linotype" w:hAnsi="Palatino Linotype" w:cstheme="minorHAnsi"/>
          <w:sz w:val="22"/>
          <w:szCs w:val="22"/>
        </w:rPr>
        <w:t>üçüncü</w:t>
      </w:r>
      <w:r w:rsidRPr="00CC0355">
        <w:rPr>
          <w:rFonts w:ascii="Palatino Linotype" w:hAnsi="Palatino Linotype" w:cstheme="minorHAnsi"/>
          <w:sz w:val="22"/>
          <w:szCs w:val="22"/>
        </w:rPr>
        <w:t xml:space="preserve"> çeyrekte yüzde 1,</w:t>
      </w:r>
      <w:r w:rsidR="00BD7F4E">
        <w:rPr>
          <w:rFonts w:ascii="Palatino Linotype" w:hAnsi="Palatino Linotype" w:cstheme="minorHAnsi"/>
          <w:sz w:val="22"/>
          <w:szCs w:val="22"/>
        </w:rPr>
        <w:t>9</w:t>
      </w:r>
      <w:r w:rsidRPr="00CC0355">
        <w:rPr>
          <w:rFonts w:ascii="Palatino Linotype" w:hAnsi="Palatino Linotype" w:cstheme="minorHAnsi"/>
          <w:sz w:val="22"/>
          <w:szCs w:val="22"/>
        </w:rPr>
        <w:t xml:space="preserve"> </w:t>
      </w:r>
      <w:r w:rsidR="0061333E" w:rsidRPr="00CC0355">
        <w:rPr>
          <w:rFonts w:ascii="Palatino Linotype" w:hAnsi="Palatino Linotype" w:cstheme="minorHAnsi"/>
          <w:sz w:val="22"/>
          <w:szCs w:val="22"/>
        </w:rPr>
        <w:t>arttı</w:t>
      </w:r>
      <w:r w:rsidRPr="00CC0355">
        <w:rPr>
          <w:rFonts w:ascii="Palatino Linotype" w:hAnsi="Palatino Linotype" w:cstheme="minorHAnsi"/>
          <w:sz w:val="22"/>
          <w:szCs w:val="22"/>
        </w:rPr>
        <w:t xml:space="preserve">. </w:t>
      </w:r>
      <w:r w:rsidR="00BD7F4E">
        <w:rPr>
          <w:rFonts w:ascii="Palatino Linotype" w:hAnsi="Palatino Linotype" w:cstheme="minorHAnsi"/>
          <w:sz w:val="22"/>
          <w:szCs w:val="22"/>
        </w:rPr>
        <w:t xml:space="preserve">Dördüncü çeyrekte ise yıllık artış hızı yüzde 6,8’e yükseldi. </w:t>
      </w:r>
      <w:r w:rsidRPr="00CC0355">
        <w:rPr>
          <w:rFonts w:ascii="Palatino Linotype" w:hAnsi="Palatino Linotype" w:cstheme="minorHAnsi"/>
          <w:sz w:val="22"/>
          <w:szCs w:val="22"/>
        </w:rPr>
        <w:t xml:space="preserve">Büyümeye yaptığı katkı </w:t>
      </w:r>
      <w:r w:rsidR="0061333E" w:rsidRPr="00CC0355">
        <w:rPr>
          <w:rFonts w:ascii="Palatino Linotype" w:hAnsi="Palatino Linotype" w:cstheme="minorHAnsi"/>
          <w:sz w:val="22"/>
          <w:szCs w:val="22"/>
        </w:rPr>
        <w:t>da</w:t>
      </w:r>
      <w:r w:rsidR="00BD7F4E">
        <w:rPr>
          <w:rFonts w:ascii="Palatino Linotype" w:hAnsi="Palatino Linotype" w:cstheme="minorHAnsi"/>
          <w:sz w:val="22"/>
          <w:szCs w:val="22"/>
        </w:rPr>
        <w:t xml:space="preserve"> 3</w:t>
      </w:r>
      <w:r w:rsidRPr="00CC0355">
        <w:rPr>
          <w:rFonts w:ascii="Palatino Linotype" w:hAnsi="Palatino Linotype" w:cstheme="minorHAnsi"/>
          <w:sz w:val="22"/>
          <w:szCs w:val="22"/>
        </w:rPr>
        <w:t>,</w:t>
      </w:r>
      <w:r w:rsidR="00BD7F4E">
        <w:rPr>
          <w:rFonts w:ascii="Palatino Linotype" w:hAnsi="Palatino Linotype" w:cstheme="minorHAnsi"/>
          <w:sz w:val="22"/>
          <w:szCs w:val="22"/>
        </w:rPr>
        <w:t>8</w:t>
      </w:r>
      <w:r w:rsidRPr="00CC0355">
        <w:rPr>
          <w:rFonts w:ascii="Palatino Linotype" w:hAnsi="Palatino Linotype" w:cstheme="minorHAnsi"/>
          <w:sz w:val="22"/>
          <w:szCs w:val="22"/>
        </w:rPr>
        <w:t xml:space="preserve"> yüzde puan oldu (Tablo 1). Mevsim ve takvim etkilerinden arındırılmış rakamlara baktığımızda ise özel tüketim</w:t>
      </w:r>
      <w:r w:rsidR="0061333E" w:rsidRPr="00CC0355">
        <w:rPr>
          <w:rFonts w:ascii="Palatino Linotype" w:hAnsi="Palatino Linotype" w:cstheme="minorHAnsi"/>
          <w:sz w:val="22"/>
          <w:szCs w:val="22"/>
        </w:rPr>
        <w:t>in</w:t>
      </w:r>
      <w:r w:rsidRPr="00CC0355">
        <w:rPr>
          <w:rFonts w:ascii="Palatino Linotype" w:hAnsi="Palatino Linotype" w:cstheme="minorHAnsi"/>
          <w:sz w:val="22"/>
          <w:szCs w:val="22"/>
        </w:rPr>
        <w:t xml:space="preserve"> </w:t>
      </w:r>
      <w:r w:rsidR="00BD7F4E">
        <w:rPr>
          <w:rFonts w:ascii="Palatino Linotype" w:hAnsi="Palatino Linotype" w:cstheme="minorHAnsi"/>
          <w:sz w:val="22"/>
          <w:szCs w:val="22"/>
        </w:rPr>
        <w:t>yüzde 3,1 artarak büyümeye 1,8</w:t>
      </w:r>
      <w:r w:rsidR="0061333E" w:rsidRPr="00CC0355">
        <w:rPr>
          <w:rFonts w:ascii="Palatino Linotype" w:hAnsi="Palatino Linotype" w:cstheme="minorHAnsi"/>
          <w:sz w:val="22"/>
          <w:szCs w:val="22"/>
        </w:rPr>
        <w:t xml:space="preserve"> yüzde puan katkı yaptığını görüyoruz</w:t>
      </w:r>
      <w:r w:rsidRPr="00CC0355">
        <w:rPr>
          <w:rFonts w:ascii="Palatino Linotype" w:hAnsi="Palatino Linotype" w:cstheme="minorHAnsi"/>
          <w:sz w:val="22"/>
          <w:szCs w:val="22"/>
        </w:rPr>
        <w:t xml:space="preserve"> (Tablo 2). </w:t>
      </w:r>
      <w:r w:rsidR="00BD7F4E">
        <w:rPr>
          <w:rFonts w:ascii="Palatino Linotype" w:hAnsi="Palatino Linotype" w:cstheme="minorHAnsi"/>
          <w:sz w:val="22"/>
          <w:szCs w:val="22"/>
        </w:rPr>
        <w:t>Özel tüketimin büyümeye olan desteğinin artmasında kredi faizlerindeki azalmayla kredi kullanımının artışının ve ertelenmiş talebin gerçekleşmesinin etkili olduğunu düşünüyoruz.</w:t>
      </w:r>
    </w:p>
    <w:p w14:paraId="3D67829E" w14:textId="7A39B170" w:rsidR="00044AF3" w:rsidRPr="00CC0355" w:rsidRDefault="00044AF3" w:rsidP="00916C78">
      <w:pPr>
        <w:pStyle w:val="NormalWeb"/>
        <w:spacing w:before="0" w:beforeAutospacing="0" w:after="0" w:afterAutospacing="0" w:line="360" w:lineRule="auto"/>
        <w:ind w:right="77"/>
        <w:jc w:val="both"/>
        <w:rPr>
          <w:rFonts w:ascii="Palatino Linotype" w:hAnsi="Palatino Linotype" w:cstheme="minorHAnsi"/>
          <w:sz w:val="22"/>
          <w:szCs w:val="22"/>
        </w:rPr>
      </w:pPr>
    </w:p>
    <w:p w14:paraId="470ACB6D" w14:textId="2CDFB472" w:rsidR="003D44CE" w:rsidRPr="00CC0355" w:rsidRDefault="006C3EE6" w:rsidP="006C3EE6">
      <w:pPr>
        <w:keepNext/>
        <w:ind w:right="77"/>
        <w:jc w:val="both"/>
        <w:rPr>
          <w:rFonts w:ascii="Palatino Linotype" w:hAnsi="Palatino Linotype" w:cstheme="minorHAnsi"/>
          <w:b/>
          <w:bCs/>
          <w:sz w:val="22"/>
          <w:szCs w:val="22"/>
        </w:rPr>
      </w:pPr>
      <w:r w:rsidRPr="00CC0355">
        <w:rPr>
          <w:rFonts w:ascii="Palatino Linotype" w:hAnsi="Palatino Linotype" w:cstheme="minorHAnsi"/>
          <w:b/>
          <w:bCs/>
          <w:sz w:val="22"/>
          <w:szCs w:val="22"/>
        </w:rPr>
        <w:t xml:space="preserve">Tablo 1: </w:t>
      </w:r>
      <w:r w:rsidR="00D53424" w:rsidRPr="00CC0355">
        <w:rPr>
          <w:rFonts w:ascii="Palatino Linotype" w:hAnsi="Palatino Linotype" w:cstheme="minorHAnsi"/>
          <w:b/>
          <w:bCs/>
          <w:sz w:val="22"/>
          <w:szCs w:val="22"/>
        </w:rPr>
        <w:t xml:space="preserve">GSYH alt kalemlerinin </w:t>
      </w:r>
      <w:bookmarkStart w:id="2" w:name="OLE_LINK1"/>
      <w:bookmarkStart w:id="3" w:name="OLE_LINK2"/>
      <w:r w:rsidR="009F2483" w:rsidRPr="00CC0355">
        <w:rPr>
          <w:rFonts w:ascii="Palatino Linotype" w:hAnsi="Palatino Linotype" w:cstheme="minorHAnsi"/>
          <w:b/>
          <w:bCs/>
          <w:sz w:val="22"/>
          <w:szCs w:val="22"/>
        </w:rPr>
        <w:t>201</w:t>
      </w:r>
      <w:r w:rsidR="005D27F8" w:rsidRPr="00CC0355">
        <w:rPr>
          <w:rFonts w:ascii="Palatino Linotype" w:hAnsi="Palatino Linotype" w:cstheme="minorHAnsi"/>
          <w:b/>
          <w:bCs/>
          <w:sz w:val="22"/>
          <w:szCs w:val="22"/>
        </w:rPr>
        <w:t>9</w:t>
      </w:r>
      <w:r w:rsidR="009F2483" w:rsidRPr="00CC0355">
        <w:rPr>
          <w:rFonts w:ascii="Palatino Linotype" w:hAnsi="Palatino Linotype" w:cstheme="minorHAnsi"/>
          <w:b/>
          <w:bCs/>
          <w:sz w:val="22"/>
          <w:szCs w:val="22"/>
        </w:rPr>
        <w:t xml:space="preserve"> </w:t>
      </w:r>
      <w:r w:rsidR="00CC0355">
        <w:rPr>
          <w:rFonts w:ascii="Palatino Linotype" w:hAnsi="Palatino Linotype" w:cstheme="minorHAnsi"/>
          <w:b/>
          <w:bCs/>
          <w:sz w:val="22"/>
          <w:szCs w:val="22"/>
        </w:rPr>
        <w:t>3</w:t>
      </w:r>
      <w:r w:rsidR="00632CF6" w:rsidRPr="00CC0355">
        <w:rPr>
          <w:rFonts w:ascii="Palatino Linotype" w:hAnsi="Palatino Linotype" w:cstheme="minorHAnsi"/>
          <w:b/>
          <w:bCs/>
          <w:sz w:val="22"/>
          <w:szCs w:val="22"/>
        </w:rPr>
        <w:t xml:space="preserve">. ve 2019 </w:t>
      </w:r>
      <w:r w:rsidR="00CC0355">
        <w:rPr>
          <w:rFonts w:ascii="Palatino Linotype" w:hAnsi="Palatino Linotype" w:cstheme="minorHAnsi"/>
          <w:b/>
          <w:bCs/>
          <w:sz w:val="22"/>
          <w:szCs w:val="22"/>
        </w:rPr>
        <w:t>4</w:t>
      </w:r>
      <w:r w:rsidR="009F2483" w:rsidRPr="00CC0355">
        <w:rPr>
          <w:rFonts w:ascii="Palatino Linotype" w:hAnsi="Palatino Linotype" w:cstheme="minorHAnsi"/>
          <w:b/>
          <w:bCs/>
          <w:sz w:val="22"/>
          <w:szCs w:val="22"/>
        </w:rPr>
        <w:t>. çeyrekte</w:t>
      </w:r>
      <w:bookmarkEnd w:id="2"/>
      <w:bookmarkEnd w:id="3"/>
      <w:r w:rsidR="009F2483" w:rsidRPr="00CC0355">
        <w:rPr>
          <w:rFonts w:ascii="Palatino Linotype" w:hAnsi="Palatino Linotype" w:cstheme="minorHAnsi"/>
          <w:b/>
          <w:bCs/>
          <w:sz w:val="22"/>
          <w:szCs w:val="22"/>
        </w:rPr>
        <w:t xml:space="preserve"> </w:t>
      </w:r>
      <w:r w:rsidRPr="00CC0355">
        <w:rPr>
          <w:rFonts w:ascii="Palatino Linotype" w:hAnsi="Palatino Linotype" w:cstheme="minorHAnsi"/>
          <w:b/>
          <w:bCs/>
          <w:sz w:val="22"/>
          <w:szCs w:val="22"/>
        </w:rPr>
        <w:t>bir önceki yılın aynı çeyreğine göre büyüme oranları ve büyümeye katkıları</w:t>
      </w:r>
    </w:p>
    <w:p w14:paraId="377690AE" w14:textId="77777777" w:rsidR="00E04EFE" w:rsidRPr="00CC0355" w:rsidRDefault="00E04EFE" w:rsidP="006C3EE6">
      <w:pPr>
        <w:keepNext/>
        <w:ind w:right="77"/>
        <w:jc w:val="both"/>
        <w:rPr>
          <w:rFonts w:ascii="Palatino Linotype" w:hAnsi="Palatino Linotype" w:cstheme="minorHAnsi"/>
          <w:b/>
          <w:bCs/>
          <w:sz w:val="22"/>
          <w:szCs w:val="22"/>
        </w:rPr>
      </w:pPr>
    </w:p>
    <w:tbl>
      <w:tblPr>
        <w:tblW w:w="5920" w:type="dxa"/>
        <w:tblLook w:val="04A0" w:firstRow="1" w:lastRow="0" w:firstColumn="1" w:lastColumn="0" w:noHBand="0" w:noVBand="1"/>
      </w:tblPr>
      <w:tblGrid>
        <w:gridCol w:w="1480"/>
        <w:gridCol w:w="1259"/>
        <w:gridCol w:w="961"/>
        <w:gridCol w:w="1259"/>
        <w:gridCol w:w="961"/>
      </w:tblGrid>
      <w:tr w:rsidR="00E04EFE" w:rsidRPr="00E04EFE" w14:paraId="6ADC888B" w14:textId="77777777" w:rsidTr="00E04EFE">
        <w:trPr>
          <w:trHeight w:val="282"/>
        </w:trPr>
        <w:tc>
          <w:tcPr>
            <w:tcW w:w="1480" w:type="dxa"/>
            <w:tcBorders>
              <w:top w:val="nil"/>
              <w:left w:val="nil"/>
              <w:bottom w:val="nil"/>
              <w:right w:val="nil"/>
            </w:tcBorders>
            <w:shd w:val="clear" w:color="000000" w:fill="FFFFFF"/>
            <w:noWrap/>
            <w:vAlign w:val="bottom"/>
            <w:hideMark/>
          </w:tcPr>
          <w:p w14:paraId="3D666EB4" w14:textId="77777777" w:rsidR="00E04EFE" w:rsidRPr="00E04EFE" w:rsidRDefault="00E04EFE" w:rsidP="00E04EFE">
            <w:pPr>
              <w:rPr>
                <w:rFonts w:ascii="Calibri" w:hAnsi="Calibri" w:cs="Calibri"/>
                <w:b/>
                <w:bCs/>
                <w:color w:val="000000"/>
                <w:sz w:val="20"/>
                <w:szCs w:val="20"/>
                <w:lang w:eastAsia="en-GB"/>
              </w:rPr>
            </w:pPr>
            <w:r w:rsidRPr="00E04EFE">
              <w:rPr>
                <w:rFonts w:ascii="Calibri" w:hAnsi="Calibri" w:cs="Calibri"/>
                <w:b/>
                <w:bCs/>
                <w:color w:val="000000"/>
                <w:sz w:val="20"/>
                <w:szCs w:val="20"/>
                <w:lang w:eastAsia="en-GB"/>
              </w:rPr>
              <w:t> </w:t>
            </w:r>
          </w:p>
        </w:tc>
        <w:tc>
          <w:tcPr>
            <w:tcW w:w="2220"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1DB1D346" w14:textId="77777777" w:rsidR="00E04EFE" w:rsidRPr="00E04EFE" w:rsidRDefault="00E04EFE" w:rsidP="00E04EFE">
            <w:pPr>
              <w:jc w:val="center"/>
              <w:rPr>
                <w:rFonts w:ascii="Calibri" w:hAnsi="Calibri" w:cs="Calibri"/>
                <w:b/>
                <w:bCs/>
                <w:color w:val="000000"/>
                <w:sz w:val="20"/>
                <w:szCs w:val="20"/>
                <w:lang w:eastAsia="en-GB"/>
              </w:rPr>
            </w:pPr>
            <w:r w:rsidRPr="00E04EFE">
              <w:rPr>
                <w:rFonts w:ascii="Calibri" w:hAnsi="Calibri" w:cs="Calibri"/>
                <w:b/>
                <w:bCs/>
                <w:color w:val="000000"/>
                <w:sz w:val="20"/>
                <w:szCs w:val="20"/>
                <w:lang w:eastAsia="en-GB"/>
              </w:rPr>
              <w:t>2019Q3</w:t>
            </w:r>
          </w:p>
        </w:tc>
        <w:tc>
          <w:tcPr>
            <w:tcW w:w="2220"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4A02DCC7" w14:textId="77777777" w:rsidR="00E04EFE" w:rsidRPr="00E04EFE" w:rsidRDefault="00E04EFE" w:rsidP="00E04EFE">
            <w:pPr>
              <w:jc w:val="center"/>
              <w:rPr>
                <w:rFonts w:ascii="Calibri" w:hAnsi="Calibri" w:cs="Calibri"/>
                <w:b/>
                <w:bCs/>
                <w:color w:val="000000"/>
                <w:sz w:val="20"/>
                <w:szCs w:val="20"/>
                <w:lang w:eastAsia="en-GB"/>
              </w:rPr>
            </w:pPr>
            <w:r w:rsidRPr="00E04EFE">
              <w:rPr>
                <w:rFonts w:ascii="Calibri" w:hAnsi="Calibri" w:cs="Calibri"/>
                <w:b/>
                <w:bCs/>
                <w:color w:val="000000"/>
                <w:sz w:val="20"/>
                <w:szCs w:val="20"/>
                <w:lang w:eastAsia="en-GB"/>
              </w:rPr>
              <w:t>2019Q4</w:t>
            </w:r>
          </w:p>
        </w:tc>
      </w:tr>
      <w:tr w:rsidR="00E04EFE" w:rsidRPr="00E04EFE" w14:paraId="0509122E" w14:textId="77777777" w:rsidTr="00E04EFE">
        <w:trPr>
          <w:trHeight w:val="282"/>
        </w:trPr>
        <w:tc>
          <w:tcPr>
            <w:tcW w:w="1480" w:type="dxa"/>
            <w:tcBorders>
              <w:top w:val="nil"/>
              <w:left w:val="nil"/>
              <w:bottom w:val="nil"/>
              <w:right w:val="nil"/>
            </w:tcBorders>
            <w:shd w:val="clear" w:color="000000" w:fill="FFFFFF"/>
            <w:noWrap/>
            <w:vAlign w:val="bottom"/>
            <w:hideMark/>
          </w:tcPr>
          <w:p w14:paraId="296F3CED" w14:textId="77777777" w:rsidR="00E04EFE" w:rsidRPr="00E04EFE" w:rsidRDefault="00E04EFE" w:rsidP="00E04EFE">
            <w:pPr>
              <w:rPr>
                <w:rFonts w:ascii="Calibri" w:hAnsi="Calibri" w:cs="Calibri"/>
                <w:b/>
                <w:bCs/>
                <w:color w:val="000000"/>
                <w:sz w:val="20"/>
                <w:szCs w:val="20"/>
                <w:lang w:eastAsia="en-GB"/>
              </w:rPr>
            </w:pPr>
            <w:r w:rsidRPr="00E04EFE">
              <w:rPr>
                <w:rFonts w:ascii="Calibri" w:hAnsi="Calibri" w:cs="Calibri"/>
                <w:b/>
                <w:bCs/>
                <w:color w:val="000000"/>
                <w:sz w:val="20"/>
                <w:szCs w:val="20"/>
                <w:lang w:eastAsia="en-GB"/>
              </w:rPr>
              <w:t> </w:t>
            </w:r>
          </w:p>
        </w:tc>
        <w:tc>
          <w:tcPr>
            <w:tcW w:w="1259" w:type="dxa"/>
            <w:tcBorders>
              <w:top w:val="nil"/>
              <w:left w:val="single" w:sz="4" w:space="0" w:color="auto"/>
              <w:bottom w:val="single" w:sz="4" w:space="0" w:color="auto"/>
              <w:right w:val="nil"/>
            </w:tcBorders>
            <w:shd w:val="clear" w:color="000000" w:fill="FFFFFF"/>
            <w:noWrap/>
            <w:vAlign w:val="bottom"/>
            <w:hideMark/>
          </w:tcPr>
          <w:p w14:paraId="2B811076" w14:textId="77777777" w:rsidR="00E04EFE" w:rsidRPr="00E04EFE" w:rsidRDefault="00E04EFE" w:rsidP="00E04EFE">
            <w:pPr>
              <w:jc w:val="center"/>
              <w:rPr>
                <w:rFonts w:ascii="Calibri" w:hAnsi="Calibri" w:cs="Calibri"/>
                <w:b/>
                <w:bCs/>
                <w:color w:val="000000"/>
                <w:sz w:val="20"/>
                <w:szCs w:val="20"/>
                <w:lang w:eastAsia="en-GB"/>
              </w:rPr>
            </w:pPr>
            <w:r w:rsidRPr="00E04EFE">
              <w:rPr>
                <w:rFonts w:ascii="Calibri" w:hAnsi="Calibri" w:cs="Calibri"/>
                <w:b/>
                <w:bCs/>
                <w:color w:val="000000"/>
                <w:sz w:val="20"/>
                <w:szCs w:val="20"/>
                <w:lang w:eastAsia="en-GB"/>
              </w:rPr>
              <w:t>Değişim (%)</w:t>
            </w:r>
          </w:p>
        </w:tc>
        <w:tc>
          <w:tcPr>
            <w:tcW w:w="961" w:type="dxa"/>
            <w:tcBorders>
              <w:top w:val="nil"/>
              <w:left w:val="nil"/>
              <w:bottom w:val="nil"/>
              <w:right w:val="single" w:sz="4" w:space="0" w:color="auto"/>
            </w:tcBorders>
            <w:shd w:val="clear" w:color="000000" w:fill="FFFFFF"/>
            <w:noWrap/>
            <w:vAlign w:val="bottom"/>
            <w:hideMark/>
          </w:tcPr>
          <w:p w14:paraId="116159D5" w14:textId="77777777" w:rsidR="00E04EFE" w:rsidRPr="00E04EFE" w:rsidRDefault="00E04EFE" w:rsidP="00E04EFE">
            <w:pPr>
              <w:jc w:val="center"/>
              <w:rPr>
                <w:rFonts w:ascii="Calibri" w:hAnsi="Calibri" w:cs="Calibri"/>
                <w:b/>
                <w:bCs/>
                <w:color w:val="000000"/>
                <w:sz w:val="20"/>
                <w:szCs w:val="20"/>
                <w:lang w:eastAsia="en-GB"/>
              </w:rPr>
            </w:pPr>
            <w:r w:rsidRPr="00E04EFE">
              <w:rPr>
                <w:rFonts w:ascii="Calibri" w:hAnsi="Calibri" w:cs="Calibri"/>
                <w:b/>
                <w:bCs/>
                <w:color w:val="000000"/>
                <w:sz w:val="20"/>
                <w:szCs w:val="20"/>
                <w:lang w:eastAsia="en-GB"/>
              </w:rPr>
              <w:t>Katkı (%)</w:t>
            </w:r>
          </w:p>
        </w:tc>
        <w:tc>
          <w:tcPr>
            <w:tcW w:w="1259" w:type="dxa"/>
            <w:tcBorders>
              <w:top w:val="nil"/>
              <w:left w:val="nil"/>
              <w:bottom w:val="nil"/>
              <w:right w:val="nil"/>
            </w:tcBorders>
            <w:shd w:val="clear" w:color="000000" w:fill="FFFFFF"/>
            <w:noWrap/>
            <w:vAlign w:val="bottom"/>
            <w:hideMark/>
          </w:tcPr>
          <w:p w14:paraId="5EC0077C" w14:textId="77777777" w:rsidR="00E04EFE" w:rsidRPr="00E04EFE" w:rsidRDefault="00E04EFE" w:rsidP="00E04EFE">
            <w:pPr>
              <w:jc w:val="center"/>
              <w:rPr>
                <w:rFonts w:ascii="Calibri" w:hAnsi="Calibri" w:cs="Calibri"/>
                <w:b/>
                <w:bCs/>
                <w:color w:val="000000"/>
                <w:sz w:val="20"/>
                <w:szCs w:val="20"/>
                <w:lang w:eastAsia="en-GB"/>
              </w:rPr>
            </w:pPr>
            <w:r w:rsidRPr="00E04EFE">
              <w:rPr>
                <w:rFonts w:ascii="Calibri" w:hAnsi="Calibri" w:cs="Calibri"/>
                <w:b/>
                <w:bCs/>
                <w:color w:val="000000"/>
                <w:sz w:val="20"/>
                <w:szCs w:val="20"/>
                <w:lang w:eastAsia="en-GB"/>
              </w:rPr>
              <w:t>Değişim (%)</w:t>
            </w:r>
          </w:p>
        </w:tc>
        <w:tc>
          <w:tcPr>
            <w:tcW w:w="961" w:type="dxa"/>
            <w:tcBorders>
              <w:top w:val="nil"/>
              <w:left w:val="nil"/>
              <w:bottom w:val="nil"/>
              <w:right w:val="single" w:sz="4" w:space="0" w:color="auto"/>
            </w:tcBorders>
            <w:shd w:val="clear" w:color="000000" w:fill="FFFFFF"/>
            <w:noWrap/>
            <w:vAlign w:val="bottom"/>
            <w:hideMark/>
          </w:tcPr>
          <w:p w14:paraId="07EC085A" w14:textId="77777777" w:rsidR="00E04EFE" w:rsidRPr="00E04EFE" w:rsidRDefault="00E04EFE" w:rsidP="00E04EFE">
            <w:pPr>
              <w:jc w:val="center"/>
              <w:rPr>
                <w:rFonts w:ascii="Calibri" w:hAnsi="Calibri" w:cs="Calibri"/>
                <w:b/>
                <w:bCs/>
                <w:color w:val="000000"/>
                <w:sz w:val="20"/>
                <w:szCs w:val="20"/>
                <w:lang w:eastAsia="en-GB"/>
              </w:rPr>
            </w:pPr>
            <w:r w:rsidRPr="00E04EFE">
              <w:rPr>
                <w:rFonts w:ascii="Calibri" w:hAnsi="Calibri" w:cs="Calibri"/>
                <w:b/>
                <w:bCs/>
                <w:color w:val="000000"/>
                <w:sz w:val="20"/>
                <w:szCs w:val="20"/>
                <w:lang w:eastAsia="en-GB"/>
              </w:rPr>
              <w:t>Katkı (%)</w:t>
            </w:r>
          </w:p>
        </w:tc>
      </w:tr>
      <w:tr w:rsidR="00E04EFE" w:rsidRPr="00E04EFE" w14:paraId="35BCF80F" w14:textId="77777777" w:rsidTr="00E04EFE">
        <w:trPr>
          <w:trHeight w:val="282"/>
        </w:trPr>
        <w:tc>
          <w:tcPr>
            <w:tcW w:w="1480" w:type="dxa"/>
            <w:tcBorders>
              <w:top w:val="single" w:sz="4" w:space="0" w:color="auto"/>
              <w:left w:val="nil"/>
              <w:bottom w:val="nil"/>
              <w:right w:val="nil"/>
            </w:tcBorders>
            <w:shd w:val="clear" w:color="000000" w:fill="FFFFFF"/>
            <w:noWrap/>
            <w:vAlign w:val="bottom"/>
            <w:hideMark/>
          </w:tcPr>
          <w:p w14:paraId="480B2C01" w14:textId="77777777" w:rsidR="00E04EFE" w:rsidRPr="00E04EFE" w:rsidRDefault="00E04EFE" w:rsidP="00E04EFE">
            <w:pPr>
              <w:rPr>
                <w:rFonts w:ascii="Calibri" w:hAnsi="Calibri" w:cs="Calibri"/>
                <w:b/>
                <w:bCs/>
                <w:color w:val="000000"/>
                <w:sz w:val="20"/>
                <w:szCs w:val="20"/>
                <w:lang w:eastAsia="en-GB"/>
              </w:rPr>
            </w:pPr>
            <w:r w:rsidRPr="00E04EFE">
              <w:rPr>
                <w:rFonts w:ascii="Calibri" w:hAnsi="Calibri" w:cs="Calibri"/>
                <w:b/>
                <w:bCs/>
                <w:color w:val="000000"/>
                <w:sz w:val="20"/>
                <w:szCs w:val="20"/>
                <w:lang w:eastAsia="en-GB"/>
              </w:rPr>
              <w:t>Özel Tüketim</w:t>
            </w:r>
          </w:p>
        </w:tc>
        <w:tc>
          <w:tcPr>
            <w:tcW w:w="1259" w:type="dxa"/>
            <w:tcBorders>
              <w:top w:val="nil"/>
              <w:left w:val="single" w:sz="4" w:space="0" w:color="auto"/>
              <w:bottom w:val="nil"/>
              <w:right w:val="nil"/>
            </w:tcBorders>
            <w:shd w:val="clear" w:color="000000" w:fill="FFFFFF"/>
            <w:noWrap/>
            <w:vAlign w:val="bottom"/>
            <w:hideMark/>
          </w:tcPr>
          <w:p w14:paraId="6FA3EC2A" w14:textId="77777777" w:rsidR="00E04EFE" w:rsidRPr="00E04EFE" w:rsidRDefault="00E04EFE" w:rsidP="00E04EFE">
            <w:pPr>
              <w:jc w:val="center"/>
              <w:rPr>
                <w:rFonts w:ascii="Calibri" w:hAnsi="Calibri" w:cs="Calibri"/>
                <w:color w:val="000000"/>
                <w:sz w:val="20"/>
                <w:szCs w:val="20"/>
                <w:lang w:eastAsia="en-GB"/>
              </w:rPr>
            </w:pPr>
            <w:r w:rsidRPr="00E04EFE">
              <w:rPr>
                <w:rFonts w:ascii="Calibri" w:hAnsi="Calibri" w:cs="Calibri"/>
                <w:color w:val="000000"/>
                <w:sz w:val="20"/>
                <w:szCs w:val="20"/>
                <w:lang w:eastAsia="en-GB"/>
              </w:rPr>
              <w:t>1.9</w:t>
            </w:r>
          </w:p>
        </w:tc>
        <w:tc>
          <w:tcPr>
            <w:tcW w:w="961" w:type="dxa"/>
            <w:tcBorders>
              <w:top w:val="single" w:sz="4" w:space="0" w:color="auto"/>
              <w:left w:val="nil"/>
              <w:bottom w:val="nil"/>
              <w:right w:val="single" w:sz="4" w:space="0" w:color="auto"/>
            </w:tcBorders>
            <w:shd w:val="clear" w:color="000000" w:fill="FFFFFF"/>
            <w:noWrap/>
            <w:vAlign w:val="bottom"/>
            <w:hideMark/>
          </w:tcPr>
          <w:p w14:paraId="7EA8043C" w14:textId="77777777" w:rsidR="00E04EFE" w:rsidRPr="00E04EFE" w:rsidRDefault="00E04EFE" w:rsidP="00E04EFE">
            <w:pPr>
              <w:jc w:val="center"/>
              <w:rPr>
                <w:rFonts w:ascii="Calibri" w:hAnsi="Calibri" w:cs="Calibri"/>
                <w:color w:val="000000"/>
                <w:sz w:val="20"/>
                <w:szCs w:val="20"/>
                <w:lang w:eastAsia="en-GB"/>
              </w:rPr>
            </w:pPr>
            <w:r w:rsidRPr="00E04EFE">
              <w:rPr>
                <w:rFonts w:ascii="Calibri" w:hAnsi="Calibri" w:cs="Calibri"/>
                <w:color w:val="000000"/>
                <w:sz w:val="20"/>
                <w:szCs w:val="20"/>
                <w:lang w:eastAsia="en-GB"/>
              </w:rPr>
              <w:t>1.1</w:t>
            </w:r>
          </w:p>
        </w:tc>
        <w:tc>
          <w:tcPr>
            <w:tcW w:w="1259" w:type="dxa"/>
            <w:tcBorders>
              <w:top w:val="single" w:sz="4" w:space="0" w:color="auto"/>
              <w:left w:val="nil"/>
              <w:bottom w:val="nil"/>
              <w:right w:val="nil"/>
            </w:tcBorders>
            <w:shd w:val="clear" w:color="000000" w:fill="FFFFFF"/>
            <w:noWrap/>
            <w:vAlign w:val="bottom"/>
            <w:hideMark/>
          </w:tcPr>
          <w:p w14:paraId="0EB7711A" w14:textId="77777777" w:rsidR="00E04EFE" w:rsidRPr="00E04EFE" w:rsidRDefault="00E04EFE" w:rsidP="00E04EFE">
            <w:pPr>
              <w:jc w:val="center"/>
              <w:rPr>
                <w:rFonts w:ascii="Calibri" w:hAnsi="Calibri" w:cs="Calibri"/>
                <w:color w:val="000000"/>
                <w:sz w:val="20"/>
                <w:szCs w:val="20"/>
                <w:lang w:eastAsia="en-GB"/>
              </w:rPr>
            </w:pPr>
            <w:r w:rsidRPr="00E04EFE">
              <w:rPr>
                <w:rFonts w:ascii="Calibri" w:hAnsi="Calibri" w:cs="Calibri"/>
                <w:color w:val="000000"/>
                <w:sz w:val="20"/>
                <w:szCs w:val="20"/>
                <w:lang w:eastAsia="en-GB"/>
              </w:rPr>
              <w:t>6.8</w:t>
            </w:r>
          </w:p>
        </w:tc>
        <w:tc>
          <w:tcPr>
            <w:tcW w:w="961" w:type="dxa"/>
            <w:tcBorders>
              <w:top w:val="single" w:sz="4" w:space="0" w:color="auto"/>
              <w:left w:val="nil"/>
              <w:bottom w:val="nil"/>
              <w:right w:val="single" w:sz="4" w:space="0" w:color="auto"/>
            </w:tcBorders>
            <w:shd w:val="clear" w:color="000000" w:fill="FFFFFF"/>
            <w:noWrap/>
            <w:vAlign w:val="bottom"/>
            <w:hideMark/>
          </w:tcPr>
          <w:p w14:paraId="2E7ABD4D" w14:textId="77777777" w:rsidR="00E04EFE" w:rsidRPr="00E04EFE" w:rsidRDefault="00E04EFE" w:rsidP="00E04EFE">
            <w:pPr>
              <w:jc w:val="center"/>
              <w:rPr>
                <w:rFonts w:ascii="Calibri" w:hAnsi="Calibri" w:cs="Calibri"/>
                <w:color w:val="000000"/>
                <w:sz w:val="20"/>
                <w:szCs w:val="20"/>
                <w:lang w:eastAsia="en-GB"/>
              </w:rPr>
            </w:pPr>
            <w:r w:rsidRPr="00E04EFE">
              <w:rPr>
                <w:rFonts w:ascii="Calibri" w:hAnsi="Calibri" w:cs="Calibri"/>
                <w:color w:val="000000"/>
                <w:sz w:val="20"/>
                <w:szCs w:val="20"/>
                <w:lang w:eastAsia="en-GB"/>
              </w:rPr>
              <w:t>3.8</w:t>
            </w:r>
          </w:p>
        </w:tc>
      </w:tr>
      <w:tr w:rsidR="00E04EFE" w:rsidRPr="00E04EFE" w14:paraId="404E5DC6" w14:textId="77777777" w:rsidTr="00E04EFE">
        <w:trPr>
          <w:trHeight w:val="282"/>
        </w:trPr>
        <w:tc>
          <w:tcPr>
            <w:tcW w:w="1480" w:type="dxa"/>
            <w:tcBorders>
              <w:top w:val="nil"/>
              <w:left w:val="nil"/>
              <w:bottom w:val="nil"/>
              <w:right w:val="nil"/>
            </w:tcBorders>
            <w:shd w:val="clear" w:color="000000" w:fill="FFFFFF"/>
            <w:noWrap/>
            <w:vAlign w:val="bottom"/>
            <w:hideMark/>
          </w:tcPr>
          <w:p w14:paraId="2D851D0F" w14:textId="77777777" w:rsidR="00E04EFE" w:rsidRPr="00E04EFE" w:rsidRDefault="00E04EFE" w:rsidP="00E04EFE">
            <w:pPr>
              <w:rPr>
                <w:rFonts w:ascii="Calibri" w:hAnsi="Calibri" w:cs="Calibri"/>
                <w:b/>
                <w:bCs/>
                <w:color w:val="000000"/>
                <w:sz w:val="20"/>
                <w:szCs w:val="20"/>
                <w:lang w:eastAsia="en-GB"/>
              </w:rPr>
            </w:pPr>
            <w:r w:rsidRPr="00E04EFE">
              <w:rPr>
                <w:rFonts w:ascii="Calibri" w:hAnsi="Calibri" w:cs="Calibri"/>
                <w:b/>
                <w:bCs/>
                <w:color w:val="000000"/>
                <w:sz w:val="20"/>
                <w:szCs w:val="20"/>
                <w:lang w:eastAsia="en-GB"/>
              </w:rPr>
              <w:t>Kamu Tüketimi</w:t>
            </w:r>
          </w:p>
        </w:tc>
        <w:tc>
          <w:tcPr>
            <w:tcW w:w="1259" w:type="dxa"/>
            <w:tcBorders>
              <w:top w:val="nil"/>
              <w:left w:val="single" w:sz="4" w:space="0" w:color="auto"/>
              <w:bottom w:val="nil"/>
              <w:right w:val="nil"/>
            </w:tcBorders>
            <w:shd w:val="clear" w:color="000000" w:fill="FFFFFF"/>
            <w:noWrap/>
            <w:vAlign w:val="bottom"/>
            <w:hideMark/>
          </w:tcPr>
          <w:p w14:paraId="66B89878" w14:textId="77777777" w:rsidR="00E04EFE" w:rsidRPr="00E04EFE" w:rsidRDefault="00E04EFE" w:rsidP="00E04EFE">
            <w:pPr>
              <w:jc w:val="center"/>
              <w:rPr>
                <w:rFonts w:ascii="Calibri" w:hAnsi="Calibri" w:cs="Calibri"/>
                <w:color w:val="000000"/>
                <w:sz w:val="20"/>
                <w:szCs w:val="20"/>
                <w:lang w:eastAsia="en-GB"/>
              </w:rPr>
            </w:pPr>
            <w:r w:rsidRPr="00E04EFE">
              <w:rPr>
                <w:rFonts w:ascii="Calibri" w:hAnsi="Calibri" w:cs="Calibri"/>
                <w:color w:val="000000"/>
                <w:sz w:val="20"/>
                <w:szCs w:val="20"/>
                <w:lang w:eastAsia="en-GB"/>
              </w:rPr>
              <w:t>5.7</w:t>
            </w:r>
          </w:p>
        </w:tc>
        <w:tc>
          <w:tcPr>
            <w:tcW w:w="961" w:type="dxa"/>
            <w:tcBorders>
              <w:top w:val="nil"/>
              <w:left w:val="nil"/>
              <w:bottom w:val="nil"/>
              <w:right w:val="single" w:sz="4" w:space="0" w:color="auto"/>
            </w:tcBorders>
            <w:shd w:val="clear" w:color="000000" w:fill="FFFFFF"/>
            <w:noWrap/>
            <w:vAlign w:val="bottom"/>
            <w:hideMark/>
          </w:tcPr>
          <w:p w14:paraId="52BE337F" w14:textId="77777777" w:rsidR="00E04EFE" w:rsidRPr="00E04EFE" w:rsidRDefault="00E04EFE" w:rsidP="00E04EFE">
            <w:pPr>
              <w:jc w:val="center"/>
              <w:rPr>
                <w:rFonts w:ascii="Calibri" w:hAnsi="Calibri" w:cs="Calibri"/>
                <w:color w:val="000000"/>
                <w:sz w:val="20"/>
                <w:szCs w:val="20"/>
                <w:lang w:eastAsia="en-GB"/>
              </w:rPr>
            </w:pPr>
            <w:r w:rsidRPr="00E04EFE">
              <w:rPr>
                <w:rFonts w:ascii="Calibri" w:hAnsi="Calibri" w:cs="Calibri"/>
                <w:color w:val="000000"/>
                <w:sz w:val="20"/>
                <w:szCs w:val="20"/>
                <w:lang w:eastAsia="en-GB"/>
              </w:rPr>
              <w:t>0.8</w:t>
            </w:r>
          </w:p>
        </w:tc>
        <w:tc>
          <w:tcPr>
            <w:tcW w:w="1259" w:type="dxa"/>
            <w:tcBorders>
              <w:top w:val="nil"/>
              <w:left w:val="nil"/>
              <w:bottom w:val="nil"/>
              <w:right w:val="nil"/>
            </w:tcBorders>
            <w:shd w:val="clear" w:color="000000" w:fill="FFFFFF"/>
            <w:noWrap/>
            <w:vAlign w:val="bottom"/>
            <w:hideMark/>
          </w:tcPr>
          <w:p w14:paraId="65CA6B4C" w14:textId="77777777" w:rsidR="00E04EFE" w:rsidRPr="00E04EFE" w:rsidRDefault="00E04EFE" w:rsidP="00E04EFE">
            <w:pPr>
              <w:jc w:val="center"/>
              <w:rPr>
                <w:rFonts w:ascii="Calibri" w:hAnsi="Calibri" w:cs="Calibri"/>
                <w:color w:val="000000"/>
                <w:sz w:val="20"/>
                <w:szCs w:val="20"/>
                <w:lang w:eastAsia="en-GB"/>
              </w:rPr>
            </w:pPr>
            <w:r w:rsidRPr="00E04EFE">
              <w:rPr>
                <w:rFonts w:ascii="Calibri" w:hAnsi="Calibri" w:cs="Calibri"/>
                <w:color w:val="000000"/>
                <w:sz w:val="20"/>
                <w:szCs w:val="20"/>
                <w:lang w:eastAsia="en-GB"/>
              </w:rPr>
              <w:t>2.7</w:t>
            </w:r>
          </w:p>
        </w:tc>
        <w:tc>
          <w:tcPr>
            <w:tcW w:w="961" w:type="dxa"/>
            <w:tcBorders>
              <w:top w:val="nil"/>
              <w:left w:val="nil"/>
              <w:bottom w:val="nil"/>
              <w:right w:val="single" w:sz="4" w:space="0" w:color="auto"/>
            </w:tcBorders>
            <w:shd w:val="clear" w:color="000000" w:fill="FFFFFF"/>
            <w:noWrap/>
            <w:vAlign w:val="bottom"/>
            <w:hideMark/>
          </w:tcPr>
          <w:p w14:paraId="21832C7C" w14:textId="77777777" w:rsidR="00E04EFE" w:rsidRPr="00E04EFE" w:rsidRDefault="00E04EFE" w:rsidP="00E04EFE">
            <w:pPr>
              <w:jc w:val="center"/>
              <w:rPr>
                <w:rFonts w:ascii="Calibri" w:hAnsi="Calibri" w:cs="Calibri"/>
                <w:color w:val="000000"/>
                <w:sz w:val="20"/>
                <w:szCs w:val="20"/>
                <w:lang w:eastAsia="en-GB"/>
              </w:rPr>
            </w:pPr>
            <w:r w:rsidRPr="00E04EFE">
              <w:rPr>
                <w:rFonts w:ascii="Calibri" w:hAnsi="Calibri" w:cs="Calibri"/>
                <w:color w:val="000000"/>
                <w:sz w:val="20"/>
                <w:szCs w:val="20"/>
                <w:lang w:eastAsia="en-GB"/>
              </w:rPr>
              <w:t>0.4</w:t>
            </w:r>
          </w:p>
        </w:tc>
      </w:tr>
      <w:tr w:rsidR="00E04EFE" w:rsidRPr="00E04EFE" w14:paraId="73138D61" w14:textId="77777777" w:rsidTr="00E04EFE">
        <w:trPr>
          <w:trHeight w:val="282"/>
        </w:trPr>
        <w:tc>
          <w:tcPr>
            <w:tcW w:w="1480" w:type="dxa"/>
            <w:tcBorders>
              <w:top w:val="nil"/>
              <w:left w:val="nil"/>
              <w:bottom w:val="nil"/>
              <w:right w:val="nil"/>
            </w:tcBorders>
            <w:shd w:val="clear" w:color="000000" w:fill="FFFFFF"/>
            <w:noWrap/>
            <w:vAlign w:val="bottom"/>
            <w:hideMark/>
          </w:tcPr>
          <w:p w14:paraId="19704EC5" w14:textId="77777777" w:rsidR="00E04EFE" w:rsidRPr="00E04EFE" w:rsidRDefault="00E04EFE" w:rsidP="00E04EFE">
            <w:pPr>
              <w:rPr>
                <w:rFonts w:ascii="Calibri" w:hAnsi="Calibri" w:cs="Calibri"/>
                <w:b/>
                <w:bCs/>
                <w:color w:val="000000"/>
                <w:sz w:val="20"/>
                <w:szCs w:val="20"/>
                <w:lang w:eastAsia="en-GB"/>
              </w:rPr>
            </w:pPr>
            <w:r w:rsidRPr="00E04EFE">
              <w:rPr>
                <w:rFonts w:ascii="Calibri" w:hAnsi="Calibri" w:cs="Calibri"/>
                <w:b/>
                <w:bCs/>
                <w:color w:val="000000"/>
                <w:sz w:val="20"/>
                <w:szCs w:val="20"/>
                <w:lang w:eastAsia="en-GB"/>
              </w:rPr>
              <w:t>Yatırım</w:t>
            </w:r>
          </w:p>
        </w:tc>
        <w:tc>
          <w:tcPr>
            <w:tcW w:w="1259" w:type="dxa"/>
            <w:tcBorders>
              <w:top w:val="nil"/>
              <w:left w:val="single" w:sz="4" w:space="0" w:color="auto"/>
              <w:bottom w:val="nil"/>
              <w:right w:val="nil"/>
            </w:tcBorders>
            <w:shd w:val="clear" w:color="000000" w:fill="FFFFFF"/>
            <w:noWrap/>
            <w:vAlign w:val="bottom"/>
            <w:hideMark/>
          </w:tcPr>
          <w:p w14:paraId="048AAD3E" w14:textId="77777777" w:rsidR="00E04EFE" w:rsidRPr="00E04EFE" w:rsidRDefault="00E04EFE" w:rsidP="00E04EFE">
            <w:pPr>
              <w:jc w:val="center"/>
              <w:rPr>
                <w:rFonts w:ascii="Calibri" w:hAnsi="Calibri" w:cs="Calibri"/>
                <w:color w:val="000000"/>
                <w:sz w:val="20"/>
                <w:szCs w:val="20"/>
                <w:lang w:eastAsia="en-GB"/>
              </w:rPr>
            </w:pPr>
            <w:r w:rsidRPr="00E04EFE">
              <w:rPr>
                <w:rFonts w:ascii="Calibri" w:hAnsi="Calibri" w:cs="Calibri"/>
                <w:color w:val="000000"/>
                <w:sz w:val="20"/>
                <w:szCs w:val="20"/>
                <w:lang w:eastAsia="en-GB"/>
              </w:rPr>
              <w:t>-12.8</w:t>
            </w:r>
          </w:p>
        </w:tc>
        <w:tc>
          <w:tcPr>
            <w:tcW w:w="961" w:type="dxa"/>
            <w:tcBorders>
              <w:top w:val="nil"/>
              <w:left w:val="nil"/>
              <w:bottom w:val="nil"/>
              <w:right w:val="single" w:sz="4" w:space="0" w:color="auto"/>
            </w:tcBorders>
            <w:shd w:val="clear" w:color="000000" w:fill="FFFFFF"/>
            <w:noWrap/>
            <w:vAlign w:val="bottom"/>
            <w:hideMark/>
          </w:tcPr>
          <w:p w14:paraId="5724D68C" w14:textId="77777777" w:rsidR="00E04EFE" w:rsidRPr="00E04EFE" w:rsidRDefault="00E04EFE" w:rsidP="00E04EFE">
            <w:pPr>
              <w:jc w:val="center"/>
              <w:rPr>
                <w:rFonts w:ascii="Calibri" w:hAnsi="Calibri" w:cs="Calibri"/>
                <w:color w:val="000000"/>
                <w:sz w:val="20"/>
                <w:szCs w:val="20"/>
                <w:lang w:eastAsia="en-GB"/>
              </w:rPr>
            </w:pPr>
            <w:r w:rsidRPr="00E04EFE">
              <w:rPr>
                <w:rFonts w:ascii="Calibri" w:hAnsi="Calibri" w:cs="Calibri"/>
                <w:color w:val="000000"/>
                <w:sz w:val="20"/>
                <w:szCs w:val="20"/>
                <w:lang w:eastAsia="en-GB"/>
              </w:rPr>
              <w:t>-3.7</w:t>
            </w:r>
          </w:p>
        </w:tc>
        <w:tc>
          <w:tcPr>
            <w:tcW w:w="1259" w:type="dxa"/>
            <w:tcBorders>
              <w:top w:val="nil"/>
              <w:left w:val="nil"/>
              <w:bottom w:val="nil"/>
              <w:right w:val="nil"/>
            </w:tcBorders>
            <w:shd w:val="clear" w:color="000000" w:fill="FFFFFF"/>
            <w:noWrap/>
            <w:vAlign w:val="bottom"/>
            <w:hideMark/>
          </w:tcPr>
          <w:p w14:paraId="3B47AD73" w14:textId="77777777" w:rsidR="00E04EFE" w:rsidRPr="00E04EFE" w:rsidRDefault="00E04EFE" w:rsidP="00E04EFE">
            <w:pPr>
              <w:jc w:val="center"/>
              <w:rPr>
                <w:rFonts w:ascii="Calibri" w:hAnsi="Calibri" w:cs="Calibri"/>
                <w:color w:val="000000"/>
                <w:sz w:val="20"/>
                <w:szCs w:val="20"/>
                <w:lang w:eastAsia="en-GB"/>
              </w:rPr>
            </w:pPr>
            <w:r w:rsidRPr="00E04EFE">
              <w:rPr>
                <w:rFonts w:ascii="Calibri" w:hAnsi="Calibri" w:cs="Calibri"/>
                <w:color w:val="000000"/>
                <w:sz w:val="20"/>
                <w:szCs w:val="20"/>
                <w:lang w:eastAsia="en-GB"/>
              </w:rPr>
              <w:t>-0.6</w:t>
            </w:r>
          </w:p>
        </w:tc>
        <w:tc>
          <w:tcPr>
            <w:tcW w:w="961" w:type="dxa"/>
            <w:tcBorders>
              <w:top w:val="nil"/>
              <w:left w:val="nil"/>
              <w:bottom w:val="nil"/>
              <w:right w:val="single" w:sz="4" w:space="0" w:color="auto"/>
            </w:tcBorders>
            <w:shd w:val="clear" w:color="000000" w:fill="FFFFFF"/>
            <w:noWrap/>
            <w:vAlign w:val="bottom"/>
            <w:hideMark/>
          </w:tcPr>
          <w:p w14:paraId="47D5E088" w14:textId="77777777" w:rsidR="00E04EFE" w:rsidRPr="00E04EFE" w:rsidRDefault="00E04EFE" w:rsidP="00E04EFE">
            <w:pPr>
              <w:jc w:val="center"/>
              <w:rPr>
                <w:rFonts w:ascii="Calibri" w:hAnsi="Calibri" w:cs="Calibri"/>
                <w:color w:val="000000"/>
                <w:sz w:val="20"/>
                <w:szCs w:val="20"/>
                <w:lang w:eastAsia="en-GB"/>
              </w:rPr>
            </w:pPr>
            <w:r w:rsidRPr="00E04EFE">
              <w:rPr>
                <w:rFonts w:ascii="Calibri" w:hAnsi="Calibri" w:cs="Calibri"/>
                <w:color w:val="000000"/>
                <w:sz w:val="20"/>
                <w:szCs w:val="20"/>
                <w:lang w:eastAsia="en-GB"/>
              </w:rPr>
              <w:t>-0.2</w:t>
            </w:r>
          </w:p>
        </w:tc>
      </w:tr>
      <w:tr w:rsidR="00E04EFE" w:rsidRPr="00E04EFE" w14:paraId="47403C10" w14:textId="77777777" w:rsidTr="00E04EFE">
        <w:trPr>
          <w:trHeight w:val="282"/>
        </w:trPr>
        <w:tc>
          <w:tcPr>
            <w:tcW w:w="1480" w:type="dxa"/>
            <w:tcBorders>
              <w:top w:val="nil"/>
              <w:left w:val="nil"/>
              <w:bottom w:val="nil"/>
              <w:right w:val="nil"/>
            </w:tcBorders>
            <w:shd w:val="clear" w:color="000000" w:fill="FFFFFF"/>
            <w:noWrap/>
            <w:vAlign w:val="bottom"/>
            <w:hideMark/>
          </w:tcPr>
          <w:p w14:paraId="5023C97C" w14:textId="77777777" w:rsidR="00E04EFE" w:rsidRPr="00E04EFE" w:rsidRDefault="00E04EFE" w:rsidP="00E04EFE">
            <w:pPr>
              <w:rPr>
                <w:rFonts w:ascii="Calibri" w:hAnsi="Calibri" w:cs="Calibri"/>
                <w:b/>
                <w:bCs/>
                <w:color w:val="000000"/>
                <w:sz w:val="20"/>
                <w:szCs w:val="20"/>
                <w:lang w:eastAsia="en-GB"/>
              </w:rPr>
            </w:pPr>
            <w:r w:rsidRPr="00E04EFE">
              <w:rPr>
                <w:rFonts w:ascii="Calibri" w:hAnsi="Calibri" w:cs="Calibri"/>
                <w:b/>
                <w:bCs/>
                <w:color w:val="000000"/>
                <w:sz w:val="20"/>
                <w:szCs w:val="20"/>
                <w:lang w:eastAsia="en-GB"/>
              </w:rPr>
              <w:t>Stok Değişimi</w:t>
            </w:r>
          </w:p>
        </w:tc>
        <w:tc>
          <w:tcPr>
            <w:tcW w:w="1259" w:type="dxa"/>
            <w:tcBorders>
              <w:top w:val="nil"/>
              <w:left w:val="single" w:sz="4" w:space="0" w:color="auto"/>
              <w:bottom w:val="nil"/>
              <w:right w:val="nil"/>
            </w:tcBorders>
            <w:shd w:val="clear" w:color="000000" w:fill="FFFFFF"/>
            <w:noWrap/>
            <w:vAlign w:val="bottom"/>
            <w:hideMark/>
          </w:tcPr>
          <w:p w14:paraId="07F56EA5" w14:textId="77777777" w:rsidR="00E04EFE" w:rsidRPr="00E04EFE" w:rsidRDefault="00E04EFE" w:rsidP="00E04EFE">
            <w:pPr>
              <w:jc w:val="center"/>
              <w:rPr>
                <w:rFonts w:ascii="Calibri" w:hAnsi="Calibri" w:cs="Calibri"/>
                <w:color w:val="000000"/>
                <w:sz w:val="20"/>
                <w:szCs w:val="20"/>
                <w:lang w:eastAsia="en-GB"/>
              </w:rPr>
            </w:pPr>
            <w:r w:rsidRPr="00E04EFE">
              <w:rPr>
                <w:rFonts w:ascii="Calibri" w:hAnsi="Calibri" w:cs="Calibri"/>
                <w:color w:val="000000"/>
                <w:sz w:val="20"/>
                <w:szCs w:val="20"/>
                <w:lang w:eastAsia="en-GB"/>
              </w:rPr>
              <w:t> </w:t>
            </w:r>
          </w:p>
        </w:tc>
        <w:tc>
          <w:tcPr>
            <w:tcW w:w="961" w:type="dxa"/>
            <w:tcBorders>
              <w:top w:val="nil"/>
              <w:left w:val="nil"/>
              <w:bottom w:val="nil"/>
              <w:right w:val="single" w:sz="4" w:space="0" w:color="auto"/>
            </w:tcBorders>
            <w:shd w:val="clear" w:color="000000" w:fill="FFFFFF"/>
            <w:noWrap/>
            <w:vAlign w:val="bottom"/>
            <w:hideMark/>
          </w:tcPr>
          <w:p w14:paraId="6DA26630" w14:textId="77777777" w:rsidR="00E04EFE" w:rsidRPr="00E04EFE" w:rsidRDefault="00E04EFE" w:rsidP="00E04EFE">
            <w:pPr>
              <w:jc w:val="center"/>
              <w:rPr>
                <w:rFonts w:ascii="Calibri" w:hAnsi="Calibri" w:cs="Calibri"/>
                <w:color w:val="000000"/>
                <w:sz w:val="20"/>
                <w:szCs w:val="20"/>
                <w:lang w:eastAsia="en-GB"/>
              </w:rPr>
            </w:pPr>
            <w:r w:rsidRPr="00E04EFE">
              <w:rPr>
                <w:rFonts w:ascii="Calibri" w:hAnsi="Calibri" w:cs="Calibri"/>
                <w:color w:val="000000"/>
                <w:sz w:val="20"/>
                <w:szCs w:val="20"/>
                <w:lang w:eastAsia="en-GB"/>
              </w:rPr>
              <w:t>2.6</w:t>
            </w:r>
          </w:p>
        </w:tc>
        <w:tc>
          <w:tcPr>
            <w:tcW w:w="1259" w:type="dxa"/>
            <w:tcBorders>
              <w:top w:val="nil"/>
              <w:left w:val="nil"/>
              <w:bottom w:val="nil"/>
              <w:right w:val="nil"/>
            </w:tcBorders>
            <w:shd w:val="clear" w:color="000000" w:fill="FFFFFF"/>
            <w:noWrap/>
            <w:vAlign w:val="bottom"/>
            <w:hideMark/>
          </w:tcPr>
          <w:p w14:paraId="0A372CC3" w14:textId="77777777" w:rsidR="00E04EFE" w:rsidRPr="00E04EFE" w:rsidRDefault="00E04EFE" w:rsidP="00E04EFE">
            <w:pPr>
              <w:jc w:val="center"/>
              <w:rPr>
                <w:rFonts w:ascii="Calibri" w:hAnsi="Calibri" w:cs="Calibri"/>
                <w:color w:val="000000"/>
                <w:sz w:val="20"/>
                <w:szCs w:val="20"/>
                <w:lang w:eastAsia="en-GB"/>
              </w:rPr>
            </w:pPr>
            <w:r w:rsidRPr="00E04EFE">
              <w:rPr>
                <w:rFonts w:ascii="Calibri" w:hAnsi="Calibri" w:cs="Calibri"/>
                <w:color w:val="000000"/>
                <w:sz w:val="20"/>
                <w:szCs w:val="20"/>
                <w:lang w:eastAsia="en-GB"/>
              </w:rPr>
              <w:t> </w:t>
            </w:r>
          </w:p>
        </w:tc>
        <w:tc>
          <w:tcPr>
            <w:tcW w:w="961" w:type="dxa"/>
            <w:tcBorders>
              <w:top w:val="nil"/>
              <w:left w:val="nil"/>
              <w:bottom w:val="nil"/>
              <w:right w:val="single" w:sz="4" w:space="0" w:color="auto"/>
            </w:tcBorders>
            <w:shd w:val="clear" w:color="000000" w:fill="FFFFFF"/>
            <w:noWrap/>
            <w:vAlign w:val="bottom"/>
            <w:hideMark/>
          </w:tcPr>
          <w:p w14:paraId="01BCE8EB" w14:textId="77777777" w:rsidR="00E04EFE" w:rsidRPr="00E04EFE" w:rsidRDefault="00E04EFE" w:rsidP="00E04EFE">
            <w:pPr>
              <w:jc w:val="center"/>
              <w:rPr>
                <w:rFonts w:ascii="Calibri" w:hAnsi="Calibri" w:cs="Calibri"/>
                <w:color w:val="000000"/>
                <w:sz w:val="20"/>
                <w:szCs w:val="20"/>
                <w:lang w:eastAsia="en-GB"/>
              </w:rPr>
            </w:pPr>
            <w:r w:rsidRPr="00E04EFE">
              <w:rPr>
                <w:rFonts w:ascii="Calibri" w:hAnsi="Calibri" w:cs="Calibri"/>
                <w:color w:val="000000"/>
                <w:sz w:val="20"/>
                <w:szCs w:val="20"/>
                <w:lang w:eastAsia="en-GB"/>
              </w:rPr>
              <w:t>8.4</w:t>
            </w:r>
          </w:p>
        </w:tc>
      </w:tr>
      <w:tr w:rsidR="00E04EFE" w:rsidRPr="00E04EFE" w14:paraId="36FFE8B8" w14:textId="77777777" w:rsidTr="00E04EFE">
        <w:trPr>
          <w:trHeight w:val="282"/>
        </w:trPr>
        <w:tc>
          <w:tcPr>
            <w:tcW w:w="1480" w:type="dxa"/>
            <w:tcBorders>
              <w:top w:val="nil"/>
              <w:left w:val="nil"/>
              <w:bottom w:val="nil"/>
              <w:right w:val="nil"/>
            </w:tcBorders>
            <w:shd w:val="clear" w:color="000000" w:fill="FFFFFF"/>
            <w:noWrap/>
            <w:vAlign w:val="bottom"/>
            <w:hideMark/>
          </w:tcPr>
          <w:p w14:paraId="064D109A" w14:textId="77777777" w:rsidR="00E04EFE" w:rsidRPr="00E04EFE" w:rsidRDefault="00E04EFE" w:rsidP="00E04EFE">
            <w:pPr>
              <w:rPr>
                <w:rFonts w:ascii="Calibri" w:hAnsi="Calibri" w:cs="Calibri"/>
                <w:b/>
                <w:bCs/>
                <w:color w:val="000000"/>
                <w:sz w:val="20"/>
                <w:szCs w:val="20"/>
                <w:lang w:eastAsia="en-GB"/>
              </w:rPr>
            </w:pPr>
            <w:r w:rsidRPr="00E04EFE">
              <w:rPr>
                <w:rFonts w:ascii="Calibri" w:hAnsi="Calibri" w:cs="Calibri"/>
                <w:b/>
                <w:bCs/>
                <w:color w:val="000000"/>
                <w:sz w:val="20"/>
                <w:szCs w:val="20"/>
                <w:lang w:eastAsia="en-GB"/>
              </w:rPr>
              <w:t>İhracat</w:t>
            </w:r>
          </w:p>
        </w:tc>
        <w:tc>
          <w:tcPr>
            <w:tcW w:w="1259" w:type="dxa"/>
            <w:tcBorders>
              <w:top w:val="nil"/>
              <w:left w:val="single" w:sz="4" w:space="0" w:color="auto"/>
              <w:bottom w:val="nil"/>
              <w:right w:val="nil"/>
            </w:tcBorders>
            <w:shd w:val="clear" w:color="000000" w:fill="FFFFFF"/>
            <w:noWrap/>
            <w:vAlign w:val="bottom"/>
            <w:hideMark/>
          </w:tcPr>
          <w:p w14:paraId="5582A5CE" w14:textId="77777777" w:rsidR="00E04EFE" w:rsidRPr="00E04EFE" w:rsidRDefault="00E04EFE" w:rsidP="00E04EFE">
            <w:pPr>
              <w:jc w:val="center"/>
              <w:rPr>
                <w:rFonts w:ascii="Calibri" w:hAnsi="Calibri" w:cs="Calibri"/>
                <w:color w:val="000000"/>
                <w:sz w:val="20"/>
                <w:szCs w:val="20"/>
                <w:lang w:eastAsia="en-GB"/>
              </w:rPr>
            </w:pPr>
            <w:r w:rsidRPr="00E04EFE">
              <w:rPr>
                <w:rFonts w:ascii="Calibri" w:hAnsi="Calibri" w:cs="Calibri"/>
                <w:color w:val="000000"/>
                <w:sz w:val="20"/>
                <w:szCs w:val="20"/>
                <w:lang w:eastAsia="en-GB"/>
              </w:rPr>
              <w:t>5.1</w:t>
            </w:r>
          </w:p>
        </w:tc>
        <w:tc>
          <w:tcPr>
            <w:tcW w:w="961" w:type="dxa"/>
            <w:tcBorders>
              <w:top w:val="nil"/>
              <w:left w:val="nil"/>
              <w:bottom w:val="nil"/>
              <w:right w:val="single" w:sz="4" w:space="0" w:color="auto"/>
            </w:tcBorders>
            <w:shd w:val="clear" w:color="000000" w:fill="FFFFFF"/>
            <w:noWrap/>
            <w:vAlign w:val="bottom"/>
            <w:hideMark/>
          </w:tcPr>
          <w:p w14:paraId="101FC314" w14:textId="77777777" w:rsidR="00E04EFE" w:rsidRPr="00E04EFE" w:rsidRDefault="00E04EFE" w:rsidP="00E04EFE">
            <w:pPr>
              <w:jc w:val="center"/>
              <w:rPr>
                <w:rFonts w:ascii="Calibri" w:hAnsi="Calibri" w:cs="Calibri"/>
                <w:color w:val="000000"/>
                <w:sz w:val="20"/>
                <w:szCs w:val="20"/>
                <w:lang w:eastAsia="en-GB"/>
              </w:rPr>
            </w:pPr>
            <w:r w:rsidRPr="00E04EFE">
              <w:rPr>
                <w:rFonts w:ascii="Calibri" w:hAnsi="Calibri" w:cs="Calibri"/>
                <w:color w:val="000000"/>
                <w:sz w:val="20"/>
                <w:szCs w:val="20"/>
                <w:lang w:eastAsia="en-GB"/>
              </w:rPr>
              <w:t>1.7</w:t>
            </w:r>
          </w:p>
        </w:tc>
        <w:tc>
          <w:tcPr>
            <w:tcW w:w="1259" w:type="dxa"/>
            <w:tcBorders>
              <w:top w:val="nil"/>
              <w:left w:val="nil"/>
              <w:bottom w:val="nil"/>
              <w:right w:val="nil"/>
            </w:tcBorders>
            <w:shd w:val="clear" w:color="000000" w:fill="FFFFFF"/>
            <w:noWrap/>
            <w:vAlign w:val="bottom"/>
            <w:hideMark/>
          </w:tcPr>
          <w:p w14:paraId="2D8B97AE" w14:textId="77777777" w:rsidR="00E04EFE" w:rsidRPr="00E04EFE" w:rsidRDefault="00E04EFE" w:rsidP="00E04EFE">
            <w:pPr>
              <w:jc w:val="center"/>
              <w:rPr>
                <w:rFonts w:ascii="Calibri" w:hAnsi="Calibri" w:cs="Calibri"/>
                <w:color w:val="000000"/>
                <w:sz w:val="20"/>
                <w:szCs w:val="20"/>
                <w:lang w:eastAsia="en-GB"/>
              </w:rPr>
            </w:pPr>
            <w:r w:rsidRPr="00E04EFE">
              <w:rPr>
                <w:rFonts w:ascii="Calibri" w:hAnsi="Calibri" w:cs="Calibri"/>
                <w:color w:val="000000"/>
                <w:sz w:val="20"/>
                <w:szCs w:val="20"/>
                <w:lang w:eastAsia="en-GB"/>
              </w:rPr>
              <w:t>4.4</w:t>
            </w:r>
          </w:p>
        </w:tc>
        <w:tc>
          <w:tcPr>
            <w:tcW w:w="961" w:type="dxa"/>
            <w:tcBorders>
              <w:top w:val="nil"/>
              <w:left w:val="nil"/>
              <w:bottom w:val="nil"/>
              <w:right w:val="single" w:sz="4" w:space="0" w:color="auto"/>
            </w:tcBorders>
            <w:shd w:val="clear" w:color="000000" w:fill="FFFFFF"/>
            <w:noWrap/>
            <w:vAlign w:val="bottom"/>
            <w:hideMark/>
          </w:tcPr>
          <w:p w14:paraId="5F46B7A4" w14:textId="77777777" w:rsidR="00E04EFE" w:rsidRPr="00E04EFE" w:rsidRDefault="00E04EFE" w:rsidP="00E04EFE">
            <w:pPr>
              <w:jc w:val="center"/>
              <w:rPr>
                <w:rFonts w:ascii="Calibri" w:hAnsi="Calibri" w:cs="Calibri"/>
                <w:color w:val="000000"/>
                <w:sz w:val="20"/>
                <w:szCs w:val="20"/>
                <w:lang w:eastAsia="en-GB"/>
              </w:rPr>
            </w:pPr>
            <w:r w:rsidRPr="00E04EFE">
              <w:rPr>
                <w:rFonts w:ascii="Calibri" w:hAnsi="Calibri" w:cs="Calibri"/>
                <w:color w:val="000000"/>
                <w:sz w:val="20"/>
                <w:szCs w:val="20"/>
                <w:lang w:eastAsia="en-GB"/>
              </w:rPr>
              <w:t>1.4</w:t>
            </w:r>
          </w:p>
        </w:tc>
      </w:tr>
      <w:tr w:rsidR="00E04EFE" w:rsidRPr="00E04EFE" w14:paraId="67948B2E" w14:textId="77777777" w:rsidTr="00E04EFE">
        <w:trPr>
          <w:trHeight w:val="282"/>
        </w:trPr>
        <w:tc>
          <w:tcPr>
            <w:tcW w:w="1480" w:type="dxa"/>
            <w:tcBorders>
              <w:top w:val="nil"/>
              <w:left w:val="nil"/>
              <w:bottom w:val="nil"/>
              <w:right w:val="nil"/>
            </w:tcBorders>
            <w:shd w:val="clear" w:color="000000" w:fill="FFFFFF"/>
            <w:noWrap/>
            <w:vAlign w:val="bottom"/>
            <w:hideMark/>
          </w:tcPr>
          <w:p w14:paraId="128FA207" w14:textId="77777777" w:rsidR="00E04EFE" w:rsidRPr="00E04EFE" w:rsidRDefault="00E04EFE" w:rsidP="00E04EFE">
            <w:pPr>
              <w:rPr>
                <w:rFonts w:ascii="Calibri" w:hAnsi="Calibri" w:cs="Calibri"/>
                <w:b/>
                <w:bCs/>
                <w:color w:val="000000"/>
                <w:sz w:val="20"/>
                <w:szCs w:val="20"/>
                <w:lang w:eastAsia="en-GB"/>
              </w:rPr>
            </w:pPr>
            <w:r w:rsidRPr="00E04EFE">
              <w:rPr>
                <w:rFonts w:ascii="Calibri" w:hAnsi="Calibri" w:cs="Calibri"/>
                <w:b/>
                <w:bCs/>
                <w:color w:val="000000"/>
                <w:sz w:val="20"/>
                <w:szCs w:val="20"/>
                <w:lang w:eastAsia="en-GB"/>
              </w:rPr>
              <w:t>İthalat</w:t>
            </w:r>
          </w:p>
        </w:tc>
        <w:tc>
          <w:tcPr>
            <w:tcW w:w="1259" w:type="dxa"/>
            <w:tcBorders>
              <w:top w:val="nil"/>
              <w:left w:val="single" w:sz="4" w:space="0" w:color="auto"/>
              <w:bottom w:val="nil"/>
              <w:right w:val="nil"/>
            </w:tcBorders>
            <w:shd w:val="clear" w:color="000000" w:fill="FFFFFF"/>
            <w:noWrap/>
            <w:vAlign w:val="bottom"/>
            <w:hideMark/>
          </w:tcPr>
          <w:p w14:paraId="2B47AF73" w14:textId="77777777" w:rsidR="00E04EFE" w:rsidRPr="00E04EFE" w:rsidRDefault="00E04EFE" w:rsidP="00E04EFE">
            <w:pPr>
              <w:jc w:val="center"/>
              <w:rPr>
                <w:rFonts w:ascii="Calibri" w:hAnsi="Calibri" w:cs="Calibri"/>
                <w:color w:val="000000"/>
                <w:sz w:val="20"/>
                <w:szCs w:val="20"/>
                <w:lang w:eastAsia="en-GB"/>
              </w:rPr>
            </w:pPr>
            <w:r w:rsidRPr="00E04EFE">
              <w:rPr>
                <w:rFonts w:ascii="Calibri" w:hAnsi="Calibri" w:cs="Calibri"/>
                <w:color w:val="000000"/>
                <w:sz w:val="20"/>
                <w:szCs w:val="20"/>
                <w:lang w:eastAsia="en-GB"/>
              </w:rPr>
              <w:t>7.9</w:t>
            </w:r>
          </w:p>
        </w:tc>
        <w:tc>
          <w:tcPr>
            <w:tcW w:w="961" w:type="dxa"/>
            <w:tcBorders>
              <w:top w:val="nil"/>
              <w:left w:val="nil"/>
              <w:bottom w:val="nil"/>
              <w:right w:val="single" w:sz="4" w:space="0" w:color="auto"/>
            </w:tcBorders>
            <w:shd w:val="clear" w:color="000000" w:fill="FFFFFF"/>
            <w:noWrap/>
            <w:vAlign w:val="bottom"/>
            <w:hideMark/>
          </w:tcPr>
          <w:p w14:paraId="78229E7F" w14:textId="77777777" w:rsidR="00E04EFE" w:rsidRPr="00E04EFE" w:rsidRDefault="00E04EFE" w:rsidP="00E04EFE">
            <w:pPr>
              <w:jc w:val="center"/>
              <w:rPr>
                <w:rFonts w:ascii="Calibri" w:hAnsi="Calibri" w:cs="Calibri"/>
                <w:color w:val="000000"/>
                <w:sz w:val="20"/>
                <w:szCs w:val="20"/>
                <w:lang w:eastAsia="en-GB"/>
              </w:rPr>
            </w:pPr>
            <w:r w:rsidRPr="00E04EFE">
              <w:rPr>
                <w:rFonts w:ascii="Calibri" w:hAnsi="Calibri" w:cs="Calibri"/>
                <w:color w:val="000000"/>
                <w:sz w:val="20"/>
                <w:szCs w:val="20"/>
                <w:lang w:eastAsia="en-GB"/>
              </w:rPr>
              <w:t>-1.5</w:t>
            </w:r>
          </w:p>
        </w:tc>
        <w:tc>
          <w:tcPr>
            <w:tcW w:w="1259" w:type="dxa"/>
            <w:tcBorders>
              <w:top w:val="nil"/>
              <w:left w:val="nil"/>
              <w:bottom w:val="nil"/>
              <w:right w:val="nil"/>
            </w:tcBorders>
            <w:shd w:val="clear" w:color="000000" w:fill="FFFFFF"/>
            <w:noWrap/>
            <w:vAlign w:val="bottom"/>
            <w:hideMark/>
          </w:tcPr>
          <w:p w14:paraId="63277887" w14:textId="77777777" w:rsidR="00E04EFE" w:rsidRPr="00E04EFE" w:rsidRDefault="00E04EFE" w:rsidP="00E04EFE">
            <w:pPr>
              <w:jc w:val="center"/>
              <w:rPr>
                <w:rFonts w:ascii="Calibri" w:hAnsi="Calibri" w:cs="Calibri"/>
                <w:color w:val="000000"/>
                <w:sz w:val="20"/>
                <w:szCs w:val="20"/>
                <w:lang w:eastAsia="en-GB"/>
              </w:rPr>
            </w:pPr>
            <w:r w:rsidRPr="00E04EFE">
              <w:rPr>
                <w:rFonts w:ascii="Calibri" w:hAnsi="Calibri" w:cs="Calibri"/>
                <w:color w:val="000000"/>
                <w:sz w:val="20"/>
                <w:szCs w:val="20"/>
                <w:lang w:eastAsia="en-GB"/>
              </w:rPr>
              <w:t>29.3</w:t>
            </w:r>
          </w:p>
        </w:tc>
        <w:tc>
          <w:tcPr>
            <w:tcW w:w="961" w:type="dxa"/>
            <w:tcBorders>
              <w:top w:val="nil"/>
              <w:left w:val="nil"/>
              <w:bottom w:val="nil"/>
              <w:right w:val="single" w:sz="4" w:space="0" w:color="auto"/>
            </w:tcBorders>
            <w:shd w:val="clear" w:color="000000" w:fill="FFFFFF"/>
            <w:noWrap/>
            <w:vAlign w:val="bottom"/>
            <w:hideMark/>
          </w:tcPr>
          <w:p w14:paraId="7C47BFC3" w14:textId="77777777" w:rsidR="00E04EFE" w:rsidRPr="00E04EFE" w:rsidRDefault="00E04EFE" w:rsidP="00E04EFE">
            <w:pPr>
              <w:jc w:val="center"/>
              <w:rPr>
                <w:rFonts w:ascii="Calibri" w:hAnsi="Calibri" w:cs="Calibri"/>
                <w:color w:val="000000"/>
                <w:sz w:val="20"/>
                <w:szCs w:val="20"/>
                <w:lang w:eastAsia="en-GB"/>
              </w:rPr>
            </w:pPr>
            <w:r w:rsidRPr="00E04EFE">
              <w:rPr>
                <w:rFonts w:ascii="Calibri" w:hAnsi="Calibri" w:cs="Calibri"/>
                <w:color w:val="000000"/>
                <w:sz w:val="20"/>
                <w:szCs w:val="20"/>
                <w:lang w:eastAsia="en-GB"/>
              </w:rPr>
              <w:t>-7.9</w:t>
            </w:r>
          </w:p>
        </w:tc>
      </w:tr>
      <w:tr w:rsidR="00E04EFE" w:rsidRPr="00E04EFE" w14:paraId="4165D861" w14:textId="77777777" w:rsidTr="00E04EFE">
        <w:trPr>
          <w:trHeight w:val="315"/>
        </w:trPr>
        <w:tc>
          <w:tcPr>
            <w:tcW w:w="1480" w:type="dxa"/>
            <w:tcBorders>
              <w:top w:val="nil"/>
              <w:left w:val="nil"/>
              <w:bottom w:val="double" w:sz="6" w:space="0" w:color="auto"/>
              <w:right w:val="nil"/>
            </w:tcBorders>
            <w:shd w:val="clear" w:color="000000" w:fill="FFFFFF"/>
            <w:noWrap/>
            <w:vAlign w:val="bottom"/>
            <w:hideMark/>
          </w:tcPr>
          <w:p w14:paraId="48AC60EA" w14:textId="77777777" w:rsidR="00E04EFE" w:rsidRPr="00E04EFE" w:rsidRDefault="00E04EFE" w:rsidP="00E04EFE">
            <w:pPr>
              <w:rPr>
                <w:rFonts w:ascii="Calibri" w:hAnsi="Calibri" w:cs="Calibri"/>
                <w:b/>
                <w:bCs/>
                <w:color w:val="000000"/>
                <w:sz w:val="20"/>
                <w:szCs w:val="20"/>
                <w:lang w:eastAsia="en-GB"/>
              </w:rPr>
            </w:pPr>
            <w:r w:rsidRPr="00E04EFE">
              <w:rPr>
                <w:rFonts w:ascii="Calibri" w:hAnsi="Calibri" w:cs="Calibri"/>
                <w:b/>
                <w:bCs/>
                <w:color w:val="000000"/>
                <w:sz w:val="20"/>
                <w:szCs w:val="20"/>
                <w:lang w:eastAsia="en-GB"/>
              </w:rPr>
              <w:t>GSYH</w:t>
            </w:r>
          </w:p>
        </w:tc>
        <w:tc>
          <w:tcPr>
            <w:tcW w:w="1259" w:type="dxa"/>
            <w:tcBorders>
              <w:top w:val="nil"/>
              <w:left w:val="single" w:sz="4" w:space="0" w:color="auto"/>
              <w:bottom w:val="double" w:sz="6" w:space="0" w:color="auto"/>
              <w:right w:val="nil"/>
            </w:tcBorders>
            <w:shd w:val="clear" w:color="000000" w:fill="FFFFFF"/>
            <w:noWrap/>
            <w:vAlign w:val="bottom"/>
            <w:hideMark/>
          </w:tcPr>
          <w:p w14:paraId="180EDEDB" w14:textId="77777777" w:rsidR="00E04EFE" w:rsidRPr="00E04EFE" w:rsidRDefault="00E04EFE" w:rsidP="00E04EFE">
            <w:pPr>
              <w:jc w:val="center"/>
              <w:rPr>
                <w:rFonts w:ascii="Calibri" w:hAnsi="Calibri" w:cs="Calibri"/>
                <w:color w:val="000000"/>
                <w:sz w:val="20"/>
                <w:szCs w:val="20"/>
                <w:lang w:eastAsia="en-GB"/>
              </w:rPr>
            </w:pPr>
            <w:r w:rsidRPr="00E04EFE">
              <w:rPr>
                <w:rFonts w:ascii="Calibri" w:hAnsi="Calibri" w:cs="Calibri"/>
                <w:color w:val="000000"/>
                <w:sz w:val="20"/>
                <w:szCs w:val="20"/>
                <w:lang w:eastAsia="en-GB"/>
              </w:rPr>
              <w:t>1.0</w:t>
            </w:r>
          </w:p>
        </w:tc>
        <w:tc>
          <w:tcPr>
            <w:tcW w:w="961" w:type="dxa"/>
            <w:tcBorders>
              <w:top w:val="nil"/>
              <w:left w:val="nil"/>
              <w:bottom w:val="double" w:sz="6" w:space="0" w:color="auto"/>
              <w:right w:val="single" w:sz="4" w:space="0" w:color="auto"/>
            </w:tcBorders>
            <w:shd w:val="clear" w:color="000000" w:fill="FFFFFF"/>
            <w:noWrap/>
            <w:vAlign w:val="bottom"/>
            <w:hideMark/>
          </w:tcPr>
          <w:p w14:paraId="0D8835FA" w14:textId="77777777" w:rsidR="00E04EFE" w:rsidRPr="00E04EFE" w:rsidRDefault="00E04EFE" w:rsidP="00E04EFE">
            <w:pPr>
              <w:jc w:val="center"/>
              <w:rPr>
                <w:rFonts w:ascii="Calibri" w:hAnsi="Calibri" w:cs="Calibri"/>
                <w:color w:val="000000"/>
                <w:sz w:val="20"/>
                <w:szCs w:val="20"/>
                <w:lang w:eastAsia="en-GB"/>
              </w:rPr>
            </w:pPr>
            <w:r w:rsidRPr="00E04EFE">
              <w:rPr>
                <w:rFonts w:ascii="Calibri" w:hAnsi="Calibri" w:cs="Calibri"/>
                <w:color w:val="000000"/>
                <w:sz w:val="20"/>
                <w:szCs w:val="20"/>
                <w:lang w:eastAsia="en-GB"/>
              </w:rPr>
              <w:t> </w:t>
            </w:r>
          </w:p>
        </w:tc>
        <w:tc>
          <w:tcPr>
            <w:tcW w:w="1259" w:type="dxa"/>
            <w:tcBorders>
              <w:top w:val="nil"/>
              <w:left w:val="nil"/>
              <w:bottom w:val="double" w:sz="6" w:space="0" w:color="auto"/>
              <w:right w:val="nil"/>
            </w:tcBorders>
            <w:shd w:val="clear" w:color="000000" w:fill="FFFFFF"/>
            <w:noWrap/>
            <w:vAlign w:val="bottom"/>
            <w:hideMark/>
          </w:tcPr>
          <w:p w14:paraId="3D8B770F" w14:textId="77777777" w:rsidR="00E04EFE" w:rsidRPr="00E04EFE" w:rsidRDefault="00E04EFE" w:rsidP="00E04EFE">
            <w:pPr>
              <w:jc w:val="center"/>
              <w:rPr>
                <w:rFonts w:ascii="Calibri" w:hAnsi="Calibri" w:cs="Calibri"/>
                <w:color w:val="000000"/>
                <w:sz w:val="20"/>
                <w:szCs w:val="20"/>
                <w:lang w:eastAsia="en-GB"/>
              </w:rPr>
            </w:pPr>
            <w:r w:rsidRPr="00E04EFE">
              <w:rPr>
                <w:rFonts w:ascii="Calibri" w:hAnsi="Calibri" w:cs="Calibri"/>
                <w:color w:val="000000"/>
                <w:sz w:val="20"/>
                <w:szCs w:val="20"/>
                <w:lang w:eastAsia="en-GB"/>
              </w:rPr>
              <w:t>6.0</w:t>
            </w:r>
          </w:p>
        </w:tc>
        <w:tc>
          <w:tcPr>
            <w:tcW w:w="961" w:type="dxa"/>
            <w:tcBorders>
              <w:top w:val="nil"/>
              <w:left w:val="nil"/>
              <w:bottom w:val="double" w:sz="6" w:space="0" w:color="auto"/>
              <w:right w:val="single" w:sz="4" w:space="0" w:color="auto"/>
            </w:tcBorders>
            <w:shd w:val="clear" w:color="000000" w:fill="FFFFFF"/>
            <w:noWrap/>
            <w:vAlign w:val="bottom"/>
            <w:hideMark/>
          </w:tcPr>
          <w:p w14:paraId="2A635FFB" w14:textId="77777777" w:rsidR="00E04EFE" w:rsidRPr="00E04EFE" w:rsidRDefault="00E04EFE" w:rsidP="00E04EFE">
            <w:pPr>
              <w:jc w:val="center"/>
              <w:rPr>
                <w:rFonts w:ascii="Calibri" w:hAnsi="Calibri" w:cs="Calibri"/>
                <w:color w:val="000000"/>
                <w:sz w:val="20"/>
                <w:szCs w:val="20"/>
                <w:lang w:eastAsia="en-GB"/>
              </w:rPr>
            </w:pPr>
            <w:r w:rsidRPr="00E04EFE">
              <w:rPr>
                <w:rFonts w:ascii="Calibri" w:hAnsi="Calibri" w:cs="Calibri"/>
                <w:color w:val="000000"/>
                <w:sz w:val="20"/>
                <w:szCs w:val="20"/>
                <w:lang w:eastAsia="en-GB"/>
              </w:rPr>
              <w:t> </w:t>
            </w:r>
          </w:p>
        </w:tc>
      </w:tr>
    </w:tbl>
    <w:p w14:paraId="68ED2418" w14:textId="5A9922AD" w:rsidR="00405BD8" w:rsidRPr="00CC0355" w:rsidRDefault="003D44CE" w:rsidP="00405BD8">
      <w:pPr>
        <w:keepLines/>
        <w:widowControl w:val="0"/>
        <w:rPr>
          <w:rFonts w:ascii="Palatino Linotype" w:hAnsi="Palatino Linotype" w:cstheme="minorHAnsi"/>
          <w:sz w:val="18"/>
          <w:szCs w:val="18"/>
        </w:rPr>
      </w:pPr>
      <w:r w:rsidRPr="00CC0355">
        <w:rPr>
          <w:rFonts w:ascii="Palatino Linotype" w:hAnsi="Palatino Linotype" w:cstheme="minorHAnsi"/>
          <w:sz w:val="18"/>
          <w:szCs w:val="18"/>
        </w:rPr>
        <w:t>Ka</w:t>
      </w:r>
      <w:r w:rsidR="00062A8A" w:rsidRPr="00CC0355">
        <w:rPr>
          <w:rFonts w:ascii="Palatino Linotype" w:hAnsi="Palatino Linotype" w:cstheme="minorHAnsi"/>
          <w:sz w:val="18"/>
          <w:szCs w:val="18"/>
        </w:rPr>
        <w:t>ynak: TÜİK, Betam</w:t>
      </w:r>
    </w:p>
    <w:p w14:paraId="6C8EA5E0" w14:textId="77777777" w:rsidR="00FE385C" w:rsidRPr="00CC0355" w:rsidRDefault="00FE385C" w:rsidP="00405BD8">
      <w:pPr>
        <w:keepLines/>
        <w:widowControl w:val="0"/>
        <w:rPr>
          <w:rFonts w:ascii="Palatino Linotype" w:hAnsi="Palatino Linotype" w:cstheme="minorHAnsi"/>
          <w:sz w:val="18"/>
          <w:szCs w:val="18"/>
        </w:rPr>
      </w:pPr>
    </w:p>
    <w:p w14:paraId="377E7790" w14:textId="77777777" w:rsidR="00FE385C" w:rsidRPr="00CC0355" w:rsidRDefault="00FE385C" w:rsidP="00405BD8">
      <w:pPr>
        <w:keepLines/>
        <w:widowControl w:val="0"/>
        <w:rPr>
          <w:rFonts w:ascii="Palatino Linotype" w:hAnsi="Palatino Linotype" w:cstheme="minorHAnsi"/>
          <w:sz w:val="18"/>
          <w:szCs w:val="18"/>
        </w:rPr>
      </w:pPr>
    </w:p>
    <w:p w14:paraId="09BDAC74" w14:textId="77777777" w:rsidR="00FE385C" w:rsidRPr="00CC0355" w:rsidRDefault="00FE385C" w:rsidP="00405BD8">
      <w:pPr>
        <w:keepLines/>
        <w:widowControl w:val="0"/>
        <w:rPr>
          <w:rFonts w:ascii="Palatino Linotype" w:hAnsi="Palatino Linotype" w:cstheme="minorHAnsi"/>
          <w:sz w:val="18"/>
          <w:szCs w:val="18"/>
        </w:rPr>
      </w:pPr>
    </w:p>
    <w:p w14:paraId="4C8D8926" w14:textId="52DDF6D9" w:rsidR="006C3EE6" w:rsidRPr="00CC0355" w:rsidRDefault="006C3EE6" w:rsidP="006C3EE6">
      <w:pPr>
        <w:keepNext/>
        <w:ind w:right="77"/>
        <w:jc w:val="both"/>
        <w:rPr>
          <w:rFonts w:ascii="Palatino Linotype" w:hAnsi="Palatino Linotype" w:cstheme="minorHAnsi"/>
          <w:b/>
          <w:bCs/>
          <w:sz w:val="22"/>
          <w:szCs w:val="22"/>
        </w:rPr>
      </w:pPr>
      <w:r w:rsidRPr="00CC0355">
        <w:rPr>
          <w:rFonts w:ascii="Palatino Linotype" w:hAnsi="Palatino Linotype" w:cstheme="minorHAnsi"/>
          <w:b/>
          <w:bCs/>
          <w:sz w:val="22"/>
          <w:szCs w:val="22"/>
        </w:rPr>
        <w:t xml:space="preserve">Tablo 2: </w:t>
      </w:r>
      <w:r w:rsidR="00D53424" w:rsidRPr="00CC0355">
        <w:rPr>
          <w:rFonts w:ascii="Palatino Linotype" w:hAnsi="Palatino Linotype" w:cstheme="minorHAnsi"/>
          <w:b/>
          <w:bCs/>
          <w:sz w:val="22"/>
          <w:szCs w:val="22"/>
        </w:rPr>
        <w:t xml:space="preserve">GSYH </w:t>
      </w:r>
      <w:r w:rsidR="00D53424" w:rsidRPr="00CC0355">
        <w:rPr>
          <w:rFonts w:ascii="Palatino Linotype" w:hAnsi="Palatino Linotype" w:cstheme="minorHAnsi"/>
          <w:b/>
          <w:bCs/>
          <w:color w:val="000000" w:themeColor="text1"/>
          <w:sz w:val="22"/>
          <w:szCs w:val="22"/>
        </w:rPr>
        <w:t xml:space="preserve">alt </w:t>
      </w:r>
      <w:r w:rsidR="00D53424" w:rsidRPr="00CC0355">
        <w:rPr>
          <w:rFonts w:ascii="Palatino Linotype" w:hAnsi="Palatino Linotype" w:cstheme="minorHAnsi"/>
          <w:b/>
          <w:bCs/>
          <w:sz w:val="22"/>
          <w:szCs w:val="22"/>
        </w:rPr>
        <w:t xml:space="preserve">kalemlerinin </w:t>
      </w:r>
      <w:r w:rsidR="00CC0355">
        <w:rPr>
          <w:rFonts w:ascii="Palatino Linotype" w:hAnsi="Palatino Linotype" w:cstheme="minorHAnsi"/>
          <w:b/>
          <w:bCs/>
          <w:sz w:val="22"/>
          <w:szCs w:val="22"/>
        </w:rPr>
        <w:t>2019 3</w:t>
      </w:r>
      <w:r w:rsidR="000561F7" w:rsidRPr="00CC0355">
        <w:rPr>
          <w:rFonts w:ascii="Palatino Linotype" w:hAnsi="Palatino Linotype" w:cstheme="minorHAnsi"/>
          <w:b/>
          <w:bCs/>
          <w:sz w:val="22"/>
          <w:szCs w:val="22"/>
        </w:rPr>
        <w:t xml:space="preserve">. ve </w:t>
      </w:r>
      <w:r w:rsidR="00CC0355">
        <w:rPr>
          <w:rFonts w:ascii="Palatino Linotype" w:hAnsi="Palatino Linotype" w:cstheme="minorHAnsi"/>
          <w:b/>
          <w:bCs/>
          <w:sz w:val="22"/>
          <w:szCs w:val="22"/>
        </w:rPr>
        <w:t>2019 4</w:t>
      </w:r>
      <w:r w:rsidR="006F1912" w:rsidRPr="00CC0355">
        <w:rPr>
          <w:rFonts w:ascii="Palatino Linotype" w:hAnsi="Palatino Linotype" w:cstheme="minorHAnsi"/>
          <w:b/>
          <w:bCs/>
          <w:sz w:val="22"/>
          <w:szCs w:val="22"/>
        </w:rPr>
        <w:t>. çeyrekte</w:t>
      </w:r>
      <w:r w:rsidR="00E4681E" w:rsidRPr="00CC0355">
        <w:rPr>
          <w:rFonts w:ascii="Palatino Linotype" w:hAnsi="Palatino Linotype" w:cstheme="minorHAnsi"/>
          <w:b/>
          <w:bCs/>
          <w:sz w:val="22"/>
          <w:szCs w:val="22"/>
        </w:rPr>
        <w:t xml:space="preserve"> </w:t>
      </w:r>
      <w:r w:rsidRPr="00CC0355">
        <w:rPr>
          <w:rFonts w:ascii="Palatino Linotype" w:hAnsi="Palatino Linotype" w:cstheme="minorHAnsi"/>
          <w:b/>
          <w:bCs/>
          <w:sz w:val="22"/>
          <w:szCs w:val="22"/>
        </w:rPr>
        <w:t>bir önceki çeyreğe göre büyüme oranları ve büyümeye katkıları</w:t>
      </w:r>
      <w:r w:rsidR="00CF5053" w:rsidRPr="00CC0355">
        <w:rPr>
          <w:rFonts w:ascii="Palatino Linotype" w:hAnsi="Palatino Linotype" w:cstheme="minorHAnsi"/>
          <w:b/>
          <w:bCs/>
          <w:sz w:val="22"/>
          <w:szCs w:val="22"/>
        </w:rPr>
        <w:t xml:space="preserve"> (mevsim ve takvim etkilerinden arındırılmış)</w:t>
      </w:r>
    </w:p>
    <w:p w14:paraId="0530BD83" w14:textId="77777777" w:rsidR="00CC0355" w:rsidRPr="00CC0355" w:rsidRDefault="00CC0355" w:rsidP="006C3EE6">
      <w:pPr>
        <w:keepNext/>
        <w:ind w:right="77"/>
        <w:jc w:val="both"/>
        <w:rPr>
          <w:rFonts w:ascii="Palatino Linotype" w:hAnsi="Palatino Linotype" w:cstheme="minorHAnsi"/>
          <w:b/>
          <w:bCs/>
          <w:sz w:val="22"/>
          <w:szCs w:val="22"/>
        </w:rPr>
      </w:pPr>
    </w:p>
    <w:tbl>
      <w:tblPr>
        <w:tblW w:w="5920" w:type="dxa"/>
        <w:tblLook w:val="04A0" w:firstRow="1" w:lastRow="0" w:firstColumn="1" w:lastColumn="0" w:noHBand="0" w:noVBand="1"/>
      </w:tblPr>
      <w:tblGrid>
        <w:gridCol w:w="1480"/>
        <w:gridCol w:w="1259"/>
        <w:gridCol w:w="961"/>
        <w:gridCol w:w="1259"/>
        <w:gridCol w:w="961"/>
      </w:tblGrid>
      <w:tr w:rsidR="00CC0355" w:rsidRPr="00CC0355" w14:paraId="09F174A8" w14:textId="77777777" w:rsidTr="00CC0355">
        <w:trPr>
          <w:trHeight w:val="282"/>
        </w:trPr>
        <w:tc>
          <w:tcPr>
            <w:tcW w:w="1480" w:type="dxa"/>
            <w:tcBorders>
              <w:top w:val="nil"/>
              <w:left w:val="nil"/>
              <w:bottom w:val="nil"/>
              <w:right w:val="nil"/>
            </w:tcBorders>
            <w:shd w:val="clear" w:color="000000" w:fill="FFFFFF"/>
            <w:noWrap/>
            <w:vAlign w:val="bottom"/>
            <w:hideMark/>
          </w:tcPr>
          <w:p w14:paraId="21F7F13D" w14:textId="77777777" w:rsidR="00CC0355" w:rsidRPr="00CC0355" w:rsidRDefault="00CC0355" w:rsidP="00CC0355">
            <w:pPr>
              <w:rPr>
                <w:rFonts w:ascii="Calibri" w:hAnsi="Calibri" w:cs="Calibri"/>
                <w:b/>
                <w:bCs/>
                <w:color w:val="000000"/>
                <w:sz w:val="20"/>
                <w:szCs w:val="20"/>
                <w:lang w:eastAsia="en-GB"/>
              </w:rPr>
            </w:pPr>
            <w:r w:rsidRPr="00CC0355">
              <w:rPr>
                <w:rFonts w:ascii="Calibri" w:hAnsi="Calibri" w:cs="Calibri"/>
                <w:b/>
                <w:bCs/>
                <w:color w:val="000000"/>
                <w:sz w:val="20"/>
                <w:szCs w:val="20"/>
                <w:lang w:eastAsia="en-GB"/>
              </w:rPr>
              <w:t> </w:t>
            </w:r>
          </w:p>
        </w:tc>
        <w:tc>
          <w:tcPr>
            <w:tcW w:w="2220"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3FEE6576" w14:textId="77777777" w:rsidR="00CC0355" w:rsidRPr="00CC0355" w:rsidRDefault="00CC0355" w:rsidP="00CC0355">
            <w:pPr>
              <w:jc w:val="center"/>
              <w:rPr>
                <w:rFonts w:ascii="Calibri" w:hAnsi="Calibri" w:cs="Calibri"/>
                <w:b/>
                <w:bCs/>
                <w:color w:val="000000"/>
                <w:sz w:val="20"/>
                <w:szCs w:val="20"/>
                <w:lang w:eastAsia="en-GB"/>
              </w:rPr>
            </w:pPr>
            <w:r w:rsidRPr="00CC0355">
              <w:rPr>
                <w:rFonts w:ascii="Calibri" w:hAnsi="Calibri" w:cs="Calibri"/>
                <w:b/>
                <w:bCs/>
                <w:color w:val="000000"/>
                <w:sz w:val="20"/>
                <w:szCs w:val="20"/>
                <w:lang w:eastAsia="en-GB"/>
              </w:rPr>
              <w:t>2019Q3</w:t>
            </w:r>
          </w:p>
        </w:tc>
        <w:tc>
          <w:tcPr>
            <w:tcW w:w="2220"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37B73177" w14:textId="77777777" w:rsidR="00CC0355" w:rsidRPr="00CC0355" w:rsidRDefault="00CC0355" w:rsidP="00CC0355">
            <w:pPr>
              <w:jc w:val="center"/>
              <w:rPr>
                <w:rFonts w:ascii="Calibri" w:hAnsi="Calibri" w:cs="Calibri"/>
                <w:b/>
                <w:bCs/>
                <w:color w:val="000000"/>
                <w:sz w:val="20"/>
                <w:szCs w:val="20"/>
                <w:lang w:eastAsia="en-GB"/>
              </w:rPr>
            </w:pPr>
            <w:r w:rsidRPr="00CC0355">
              <w:rPr>
                <w:rFonts w:ascii="Calibri" w:hAnsi="Calibri" w:cs="Calibri"/>
                <w:b/>
                <w:bCs/>
                <w:color w:val="000000"/>
                <w:sz w:val="20"/>
                <w:szCs w:val="20"/>
                <w:lang w:eastAsia="en-GB"/>
              </w:rPr>
              <w:t>2019Q4</w:t>
            </w:r>
          </w:p>
        </w:tc>
      </w:tr>
      <w:tr w:rsidR="00CC0355" w:rsidRPr="00CC0355" w14:paraId="0D8A76B7" w14:textId="77777777" w:rsidTr="00CC0355">
        <w:trPr>
          <w:trHeight w:val="282"/>
        </w:trPr>
        <w:tc>
          <w:tcPr>
            <w:tcW w:w="1480" w:type="dxa"/>
            <w:tcBorders>
              <w:top w:val="nil"/>
              <w:left w:val="nil"/>
              <w:bottom w:val="nil"/>
              <w:right w:val="nil"/>
            </w:tcBorders>
            <w:shd w:val="clear" w:color="000000" w:fill="FFFFFF"/>
            <w:noWrap/>
            <w:vAlign w:val="bottom"/>
            <w:hideMark/>
          </w:tcPr>
          <w:p w14:paraId="0F14FD04" w14:textId="77777777" w:rsidR="00CC0355" w:rsidRPr="00CC0355" w:rsidRDefault="00CC0355" w:rsidP="00CC0355">
            <w:pPr>
              <w:rPr>
                <w:rFonts w:ascii="Calibri" w:hAnsi="Calibri" w:cs="Calibri"/>
                <w:b/>
                <w:bCs/>
                <w:color w:val="000000"/>
                <w:sz w:val="20"/>
                <w:szCs w:val="20"/>
                <w:lang w:eastAsia="en-GB"/>
              </w:rPr>
            </w:pPr>
            <w:r w:rsidRPr="00CC0355">
              <w:rPr>
                <w:rFonts w:ascii="Calibri" w:hAnsi="Calibri" w:cs="Calibri"/>
                <w:b/>
                <w:bCs/>
                <w:color w:val="000000"/>
                <w:sz w:val="20"/>
                <w:szCs w:val="20"/>
                <w:lang w:eastAsia="en-GB"/>
              </w:rPr>
              <w:t> </w:t>
            </w:r>
          </w:p>
        </w:tc>
        <w:tc>
          <w:tcPr>
            <w:tcW w:w="1259" w:type="dxa"/>
            <w:tcBorders>
              <w:top w:val="nil"/>
              <w:left w:val="single" w:sz="4" w:space="0" w:color="auto"/>
              <w:bottom w:val="nil"/>
              <w:right w:val="nil"/>
            </w:tcBorders>
            <w:shd w:val="clear" w:color="000000" w:fill="FFFFFF"/>
            <w:noWrap/>
            <w:vAlign w:val="bottom"/>
            <w:hideMark/>
          </w:tcPr>
          <w:p w14:paraId="333B4DD5" w14:textId="77777777" w:rsidR="00CC0355" w:rsidRPr="00CC0355" w:rsidRDefault="00CC0355" w:rsidP="00CC0355">
            <w:pPr>
              <w:jc w:val="center"/>
              <w:rPr>
                <w:rFonts w:ascii="Calibri" w:hAnsi="Calibri" w:cs="Calibri"/>
                <w:b/>
                <w:bCs/>
                <w:color w:val="000000"/>
                <w:sz w:val="20"/>
                <w:szCs w:val="20"/>
                <w:lang w:eastAsia="en-GB"/>
              </w:rPr>
            </w:pPr>
            <w:r w:rsidRPr="00CC0355">
              <w:rPr>
                <w:rFonts w:ascii="Calibri" w:hAnsi="Calibri" w:cs="Calibri"/>
                <w:b/>
                <w:bCs/>
                <w:color w:val="000000"/>
                <w:sz w:val="20"/>
                <w:szCs w:val="20"/>
                <w:lang w:eastAsia="en-GB"/>
              </w:rPr>
              <w:t>Değişim (%)</w:t>
            </w:r>
          </w:p>
        </w:tc>
        <w:tc>
          <w:tcPr>
            <w:tcW w:w="961" w:type="dxa"/>
            <w:tcBorders>
              <w:top w:val="nil"/>
              <w:left w:val="nil"/>
              <w:bottom w:val="nil"/>
              <w:right w:val="single" w:sz="4" w:space="0" w:color="auto"/>
            </w:tcBorders>
            <w:shd w:val="clear" w:color="000000" w:fill="FFFFFF"/>
            <w:noWrap/>
            <w:vAlign w:val="bottom"/>
            <w:hideMark/>
          </w:tcPr>
          <w:p w14:paraId="0525B3E2" w14:textId="77777777" w:rsidR="00CC0355" w:rsidRPr="00CC0355" w:rsidRDefault="00CC0355" w:rsidP="00CC0355">
            <w:pPr>
              <w:jc w:val="center"/>
              <w:rPr>
                <w:rFonts w:ascii="Calibri" w:hAnsi="Calibri" w:cs="Calibri"/>
                <w:b/>
                <w:bCs/>
                <w:color w:val="000000"/>
                <w:sz w:val="20"/>
                <w:szCs w:val="20"/>
                <w:lang w:eastAsia="en-GB"/>
              </w:rPr>
            </w:pPr>
            <w:r w:rsidRPr="00CC0355">
              <w:rPr>
                <w:rFonts w:ascii="Calibri" w:hAnsi="Calibri" w:cs="Calibri"/>
                <w:b/>
                <w:bCs/>
                <w:color w:val="000000"/>
                <w:sz w:val="20"/>
                <w:szCs w:val="20"/>
                <w:lang w:eastAsia="en-GB"/>
              </w:rPr>
              <w:t>Katkı (%)</w:t>
            </w:r>
          </w:p>
        </w:tc>
        <w:tc>
          <w:tcPr>
            <w:tcW w:w="1259" w:type="dxa"/>
            <w:tcBorders>
              <w:top w:val="nil"/>
              <w:left w:val="nil"/>
              <w:bottom w:val="nil"/>
              <w:right w:val="nil"/>
            </w:tcBorders>
            <w:shd w:val="clear" w:color="000000" w:fill="FFFFFF"/>
            <w:noWrap/>
            <w:vAlign w:val="bottom"/>
            <w:hideMark/>
          </w:tcPr>
          <w:p w14:paraId="12728DDE" w14:textId="77777777" w:rsidR="00CC0355" w:rsidRPr="00CC0355" w:rsidRDefault="00CC0355" w:rsidP="00CC0355">
            <w:pPr>
              <w:jc w:val="center"/>
              <w:rPr>
                <w:rFonts w:ascii="Calibri" w:hAnsi="Calibri" w:cs="Calibri"/>
                <w:b/>
                <w:bCs/>
                <w:color w:val="000000"/>
                <w:sz w:val="20"/>
                <w:szCs w:val="20"/>
                <w:lang w:eastAsia="en-GB"/>
              </w:rPr>
            </w:pPr>
            <w:r w:rsidRPr="00CC0355">
              <w:rPr>
                <w:rFonts w:ascii="Calibri" w:hAnsi="Calibri" w:cs="Calibri"/>
                <w:b/>
                <w:bCs/>
                <w:color w:val="000000"/>
                <w:sz w:val="20"/>
                <w:szCs w:val="20"/>
                <w:lang w:eastAsia="en-GB"/>
              </w:rPr>
              <w:t>Değişim (%)</w:t>
            </w:r>
          </w:p>
        </w:tc>
        <w:tc>
          <w:tcPr>
            <w:tcW w:w="961" w:type="dxa"/>
            <w:tcBorders>
              <w:top w:val="nil"/>
              <w:left w:val="nil"/>
              <w:bottom w:val="nil"/>
              <w:right w:val="single" w:sz="4" w:space="0" w:color="auto"/>
            </w:tcBorders>
            <w:shd w:val="clear" w:color="000000" w:fill="FFFFFF"/>
            <w:noWrap/>
            <w:vAlign w:val="bottom"/>
            <w:hideMark/>
          </w:tcPr>
          <w:p w14:paraId="4FB929EE" w14:textId="77777777" w:rsidR="00CC0355" w:rsidRPr="00CC0355" w:rsidRDefault="00CC0355" w:rsidP="00CC0355">
            <w:pPr>
              <w:jc w:val="center"/>
              <w:rPr>
                <w:rFonts w:ascii="Calibri" w:hAnsi="Calibri" w:cs="Calibri"/>
                <w:b/>
                <w:bCs/>
                <w:color w:val="000000"/>
                <w:sz w:val="20"/>
                <w:szCs w:val="20"/>
                <w:lang w:eastAsia="en-GB"/>
              </w:rPr>
            </w:pPr>
            <w:r w:rsidRPr="00CC0355">
              <w:rPr>
                <w:rFonts w:ascii="Calibri" w:hAnsi="Calibri" w:cs="Calibri"/>
                <w:b/>
                <w:bCs/>
                <w:color w:val="000000"/>
                <w:sz w:val="20"/>
                <w:szCs w:val="20"/>
                <w:lang w:eastAsia="en-GB"/>
              </w:rPr>
              <w:t>Katkı (%)</w:t>
            </w:r>
          </w:p>
        </w:tc>
      </w:tr>
      <w:tr w:rsidR="00CC0355" w:rsidRPr="00CC0355" w14:paraId="146EFC28" w14:textId="77777777" w:rsidTr="00CC0355">
        <w:trPr>
          <w:trHeight w:val="282"/>
        </w:trPr>
        <w:tc>
          <w:tcPr>
            <w:tcW w:w="1480" w:type="dxa"/>
            <w:tcBorders>
              <w:top w:val="single" w:sz="4" w:space="0" w:color="auto"/>
              <w:left w:val="nil"/>
              <w:bottom w:val="nil"/>
              <w:right w:val="nil"/>
            </w:tcBorders>
            <w:shd w:val="clear" w:color="000000" w:fill="FFFFFF"/>
            <w:noWrap/>
            <w:vAlign w:val="bottom"/>
            <w:hideMark/>
          </w:tcPr>
          <w:p w14:paraId="13F90980" w14:textId="77777777" w:rsidR="00CC0355" w:rsidRPr="00CC0355" w:rsidRDefault="00CC0355" w:rsidP="00CC0355">
            <w:pPr>
              <w:rPr>
                <w:rFonts w:ascii="Calibri" w:hAnsi="Calibri" w:cs="Calibri"/>
                <w:b/>
                <w:bCs/>
                <w:color w:val="000000"/>
                <w:sz w:val="20"/>
                <w:szCs w:val="20"/>
                <w:lang w:eastAsia="en-GB"/>
              </w:rPr>
            </w:pPr>
            <w:r w:rsidRPr="00CC0355">
              <w:rPr>
                <w:rFonts w:ascii="Calibri" w:hAnsi="Calibri" w:cs="Calibri"/>
                <w:b/>
                <w:bCs/>
                <w:color w:val="000000"/>
                <w:sz w:val="20"/>
                <w:szCs w:val="20"/>
                <w:lang w:eastAsia="en-GB"/>
              </w:rPr>
              <w:t>Özel Tüketim</w:t>
            </w:r>
          </w:p>
        </w:tc>
        <w:tc>
          <w:tcPr>
            <w:tcW w:w="1259" w:type="dxa"/>
            <w:tcBorders>
              <w:top w:val="single" w:sz="4" w:space="0" w:color="auto"/>
              <w:left w:val="single" w:sz="4" w:space="0" w:color="auto"/>
              <w:bottom w:val="nil"/>
              <w:right w:val="nil"/>
            </w:tcBorders>
            <w:shd w:val="clear" w:color="000000" w:fill="FFFFFF"/>
            <w:noWrap/>
            <w:vAlign w:val="bottom"/>
            <w:hideMark/>
          </w:tcPr>
          <w:p w14:paraId="53EE1DC2" w14:textId="77777777" w:rsidR="00CC0355" w:rsidRPr="00CC0355" w:rsidRDefault="00CC0355" w:rsidP="00CC0355">
            <w:pPr>
              <w:jc w:val="center"/>
              <w:rPr>
                <w:rFonts w:ascii="Calibri" w:hAnsi="Calibri" w:cs="Calibri"/>
                <w:color w:val="000000"/>
                <w:sz w:val="20"/>
                <w:szCs w:val="20"/>
                <w:lang w:eastAsia="en-GB"/>
              </w:rPr>
            </w:pPr>
            <w:r w:rsidRPr="00CC0355">
              <w:rPr>
                <w:rFonts w:ascii="Calibri" w:hAnsi="Calibri" w:cs="Calibri"/>
                <w:color w:val="000000"/>
                <w:sz w:val="20"/>
                <w:szCs w:val="20"/>
                <w:lang w:eastAsia="en-GB"/>
              </w:rPr>
              <w:t>1.6</w:t>
            </w:r>
          </w:p>
        </w:tc>
        <w:tc>
          <w:tcPr>
            <w:tcW w:w="961" w:type="dxa"/>
            <w:tcBorders>
              <w:top w:val="single" w:sz="4" w:space="0" w:color="auto"/>
              <w:left w:val="nil"/>
              <w:bottom w:val="nil"/>
              <w:right w:val="single" w:sz="4" w:space="0" w:color="auto"/>
            </w:tcBorders>
            <w:shd w:val="clear" w:color="000000" w:fill="FFFFFF"/>
            <w:noWrap/>
            <w:vAlign w:val="bottom"/>
            <w:hideMark/>
          </w:tcPr>
          <w:p w14:paraId="70F88666" w14:textId="77777777" w:rsidR="00CC0355" w:rsidRPr="00CC0355" w:rsidRDefault="00CC0355" w:rsidP="00CC0355">
            <w:pPr>
              <w:jc w:val="center"/>
              <w:rPr>
                <w:rFonts w:ascii="Calibri" w:hAnsi="Calibri" w:cs="Calibri"/>
                <w:color w:val="000000"/>
                <w:sz w:val="20"/>
                <w:szCs w:val="20"/>
                <w:lang w:eastAsia="en-GB"/>
              </w:rPr>
            </w:pPr>
            <w:r w:rsidRPr="00CC0355">
              <w:rPr>
                <w:rFonts w:ascii="Calibri" w:hAnsi="Calibri" w:cs="Calibri"/>
                <w:color w:val="000000"/>
                <w:sz w:val="20"/>
                <w:szCs w:val="20"/>
                <w:lang w:eastAsia="en-GB"/>
              </w:rPr>
              <w:t>0.9</w:t>
            </w:r>
          </w:p>
        </w:tc>
        <w:tc>
          <w:tcPr>
            <w:tcW w:w="1259" w:type="dxa"/>
            <w:tcBorders>
              <w:top w:val="single" w:sz="4" w:space="0" w:color="auto"/>
              <w:left w:val="nil"/>
              <w:bottom w:val="nil"/>
              <w:right w:val="nil"/>
            </w:tcBorders>
            <w:shd w:val="clear" w:color="000000" w:fill="FFFFFF"/>
            <w:noWrap/>
            <w:vAlign w:val="bottom"/>
            <w:hideMark/>
          </w:tcPr>
          <w:p w14:paraId="0948D89D" w14:textId="77777777" w:rsidR="00CC0355" w:rsidRPr="00CC0355" w:rsidRDefault="00CC0355" w:rsidP="00CC0355">
            <w:pPr>
              <w:jc w:val="center"/>
              <w:rPr>
                <w:rFonts w:ascii="Calibri" w:hAnsi="Calibri" w:cs="Calibri"/>
                <w:color w:val="000000"/>
                <w:sz w:val="20"/>
                <w:szCs w:val="20"/>
                <w:lang w:eastAsia="en-GB"/>
              </w:rPr>
            </w:pPr>
            <w:r w:rsidRPr="00CC0355">
              <w:rPr>
                <w:rFonts w:ascii="Calibri" w:hAnsi="Calibri" w:cs="Calibri"/>
                <w:color w:val="000000"/>
                <w:sz w:val="20"/>
                <w:szCs w:val="20"/>
                <w:lang w:eastAsia="en-GB"/>
              </w:rPr>
              <w:t>3.1</w:t>
            </w:r>
          </w:p>
        </w:tc>
        <w:tc>
          <w:tcPr>
            <w:tcW w:w="961" w:type="dxa"/>
            <w:tcBorders>
              <w:top w:val="single" w:sz="4" w:space="0" w:color="auto"/>
              <w:left w:val="nil"/>
              <w:bottom w:val="nil"/>
              <w:right w:val="single" w:sz="4" w:space="0" w:color="auto"/>
            </w:tcBorders>
            <w:shd w:val="clear" w:color="000000" w:fill="FFFFFF"/>
            <w:noWrap/>
            <w:vAlign w:val="bottom"/>
            <w:hideMark/>
          </w:tcPr>
          <w:p w14:paraId="4AAAC5B1" w14:textId="77777777" w:rsidR="00CC0355" w:rsidRPr="00CC0355" w:rsidRDefault="00CC0355" w:rsidP="00CC0355">
            <w:pPr>
              <w:jc w:val="center"/>
              <w:rPr>
                <w:rFonts w:ascii="Calibri" w:hAnsi="Calibri" w:cs="Calibri"/>
                <w:color w:val="000000"/>
                <w:sz w:val="20"/>
                <w:szCs w:val="20"/>
                <w:lang w:eastAsia="en-GB"/>
              </w:rPr>
            </w:pPr>
            <w:r w:rsidRPr="00CC0355">
              <w:rPr>
                <w:rFonts w:ascii="Calibri" w:hAnsi="Calibri" w:cs="Calibri"/>
                <w:color w:val="000000"/>
                <w:sz w:val="20"/>
                <w:szCs w:val="20"/>
                <w:lang w:eastAsia="en-GB"/>
              </w:rPr>
              <w:t>1.8</w:t>
            </w:r>
          </w:p>
        </w:tc>
      </w:tr>
      <w:tr w:rsidR="00CC0355" w:rsidRPr="00CC0355" w14:paraId="5B4974BD" w14:textId="77777777" w:rsidTr="00CC0355">
        <w:trPr>
          <w:trHeight w:val="282"/>
        </w:trPr>
        <w:tc>
          <w:tcPr>
            <w:tcW w:w="1480" w:type="dxa"/>
            <w:tcBorders>
              <w:top w:val="nil"/>
              <w:left w:val="nil"/>
              <w:bottom w:val="nil"/>
              <w:right w:val="nil"/>
            </w:tcBorders>
            <w:shd w:val="clear" w:color="000000" w:fill="FFFFFF"/>
            <w:noWrap/>
            <w:vAlign w:val="bottom"/>
            <w:hideMark/>
          </w:tcPr>
          <w:p w14:paraId="00CC50BE" w14:textId="77777777" w:rsidR="00CC0355" w:rsidRPr="00CC0355" w:rsidRDefault="00CC0355" w:rsidP="00CC0355">
            <w:pPr>
              <w:rPr>
                <w:rFonts w:ascii="Calibri" w:hAnsi="Calibri" w:cs="Calibri"/>
                <w:b/>
                <w:bCs/>
                <w:color w:val="000000"/>
                <w:sz w:val="20"/>
                <w:szCs w:val="20"/>
                <w:lang w:eastAsia="en-GB"/>
              </w:rPr>
            </w:pPr>
            <w:r w:rsidRPr="00CC0355">
              <w:rPr>
                <w:rFonts w:ascii="Calibri" w:hAnsi="Calibri" w:cs="Calibri"/>
                <w:b/>
                <w:bCs/>
                <w:color w:val="000000"/>
                <w:sz w:val="20"/>
                <w:szCs w:val="20"/>
                <w:lang w:eastAsia="en-GB"/>
              </w:rPr>
              <w:t>Kamu Tüketimi</w:t>
            </w:r>
          </w:p>
        </w:tc>
        <w:tc>
          <w:tcPr>
            <w:tcW w:w="1259" w:type="dxa"/>
            <w:tcBorders>
              <w:top w:val="nil"/>
              <w:left w:val="single" w:sz="4" w:space="0" w:color="auto"/>
              <w:bottom w:val="nil"/>
              <w:right w:val="nil"/>
            </w:tcBorders>
            <w:shd w:val="clear" w:color="000000" w:fill="FFFFFF"/>
            <w:noWrap/>
            <w:vAlign w:val="bottom"/>
            <w:hideMark/>
          </w:tcPr>
          <w:p w14:paraId="39424411" w14:textId="77777777" w:rsidR="00CC0355" w:rsidRPr="00CC0355" w:rsidRDefault="00CC0355" w:rsidP="00CC0355">
            <w:pPr>
              <w:jc w:val="center"/>
              <w:rPr>
                <w:rFonts w:ascii="Calibri" w:hAnsi="Calibri" w:cs="Calibri"/>
                <w:color w:val="000000"/>
                <w:sz w:val="20"/>
                <w:szCs w:val="20"/>
                <w:lang w:eastAsia="en-GB"/>
              </w:rPr>
            </w:pPr>
            <w:r w:rsidRPr="00CC0355">
              <w:rPr>
                <w:rFonts w:ascii="Calibri" w:hAnsi="Calibri" w:cs="Calibri"/>
                <w:color w:val="000000"/>
                <w:sz w:val="20"/>
                <w:szCs w:val="20"/>
                <w:lang w:eastAsia="en-GB"/>
              </w:rPr>
              <w:t>0.2</w:t>
            </w:r>
          </w:p>
        </w:tc>
        <w:tc>
          <w:tcPr>
            <w:tcW w:w="961" w:type="dxa"/>
            <w:tcBorders>
              <w:top w:val="nil"/>
              <w:left w:val="nil"/>
              <w:bottom w:val="nil"/>
              <w:right w:val="single" w:sz="4" w:space="0" w:color="auto"/>
            </w:tcBorders>
            <w:shd w:val="clear" w:color="000000" w:fill="FFFFFF"/>
            <w:noWrap/>
            <w:vAlign w:val="bottom"/>
            <w:hideMark/>
          </w:tcPr>
          <w:p w14:paraId="3E3A1F1D" w14:textId="77777777" w:rsidR="00CC0355" w:rsidRPr="00CC0355" w:rsidRDefault="00CC0355" w:rsidP="00CC0355">
            <w:pPr>
              <w:jc w:val="center"/>
              <w:rPr>
                <w:rFonts w:ascii="Calibri" w:hAnsi="Calibri" w:cs="Calibri"/>
                <w:color w:val="000000"/>
                <w:sz w:val="20"/>
                <w:szCs w:val="20"/>
                <w:lang w:eastAsia="en-GB"/>
              </w:rPr>
            </w:pPr>
            <w:r w:rsidRPr="00CC0355">
              <w:rPr>
                <w:rFonts w:ascii="Calibri" w:hAnsi="Calibri" w:cs="Calibri"/>
                <w:color w:val="000000"/>
                <w:sz w:val="20"/>
                <w:szCs w:val="20"/>
                <w:lang w:eastAsia="en-GB"/>
              </w:rPr>
              <w:t>0.0</w:t>
            </w:r>
          </w:p>
        </w:tc>
        <w:tc>
          <w:tcPr>
            <w:tcW w:w="1259" w:type="dxa"/>
            <w:tcBorders>
              <w:top w:val="nil"/>
              <w:left w:val="nil"/>
              <w:bottom w:val="nil"/>
              <w:right w:val="nil"/>
            </w:tcBorders>
            <w:shd w:val="clear" w:color="000000" w:fill="FFFFFF"/>
            <w:noWrap/>
            <w:vAlign w:val="bottom"/>
            <w:hideMark/>
          </w:tcPr>
          <w:p w14:paraId="56C85FCB" w14:textId="77777777" w:rsidR="00CC0355" w:rsidRPr="00CC0355" w:rsidRDefault="00CC0355" w:rsidP="00CC0355">
            <w:pPr>
              <w:jc w:val="center"/>
              <w:rPr>
                <w:rFonts w:ascii="Calibri" w:hAnsi="Calibri" w:cs="Calibri"/>
                <w:color w:val="000000"/>
                <w:sz w:val="20"/>
                <w:szCs w:val="20"/>
                <w:lang w:eastAsia="en-GB"/>
              </w:rPr>
            </w:pPr>
            <w:r w:rsidRPr="00CC0355">
              <w:rPr>
                <w:rFonts w:ascii="Calibri" w:hAnsi="Calibri" w:cs="Calibri"/>
                <w:color w:val="000000"/>
                <w:sz w:val="20"/>
                <w:szCs w:val="20"/>
                <w:lang w:eastAsia="en-GB"/>
              </w:rPr>
              <w:t>1.2</w:t>
            </w:r>
          </w:p>
        </w:tc>
        <w:tc>
          <w:tcPr>
            <w:tcW w:w="961" w:type="dxa"/>
            <w:tcBorders>
              <w:top w:val="nil"/>
              <w:left w:val="nil"/>
              <w:bottom w:val="nil"/>
              <w:right w:val="single" w:sz="4" w:space="0" w:color="auto"/>
            </w:tcBorders>
            <w:shd w:val="clear" w:color="000000" w:fill="FFFFFF"/>
            <w:noWrap/>
            <w:vAlign w:val="bottom"/>
            <w:hideMark/>
          </w:tcPr>
          <w:p w14:paraId="600FDACB" w14:textId="77777777" w:rsidR="00CC0355" w:rsidRPr="00CC0355" w:rsidRDefault="00CC0355" w:rsidP="00CC0355">
            <w:pPr>
              <w:jc w:val="center"/>
              <w:rPr>
                <w:rFonts w:ascii="Calibri" w:hAnsi="Calibri" w:cs="Calibri"/>
                <w:color w:val="000000"/>
                <w:sz w:val="20"/>
                <w:szCs w:val="20"/>
                <w:lang w:eastAsia="en-GB"/>
              </w:rPr>
            </w:pPr>
            <w:r w:rsidRPr="00CC0355">
              <w:rPr>
                <w:rFonts w:ascii="Calibri" w:hAnsi="Calibri" w:cs="Calibri"/>
                <w:color w:val="000000"/>
                <w:sz w:val="20"/>
                <w:szCs w:val="20"/>
                <w:lang w:eastAsia="en-GB"/>
              </w:rPr>
              <w:t>0.2</w:t>
            </w:r>
          </w:p>
        </w:tc>
      </w:tr>
      <w:tr w:rsidR="00CC0355" w:rsidRPr="00CC0355" w14:paraId="2B031007" w14:textId="77777777" w:rsidTr="00CC0355">
        <w:trPr>
          <w:trHeight w:val="282"/>
        </w:trPr>
        <w:tc>
          <w:tcPr>
            <w:tcW w:w="1480" w:type="dxa"/>
            <w:tcBorders>
              <w:top w:val="nil"/>
              <w:left w:val="nil"/>
              <w:bottom w:val="nil"/>
              <w:right w:val="nil"/>
            </w:tcBorders>
            <w:shd w:val="clear" w:color="000000" w:fill="FFFFFF"/>
            <w:noWrap/>
            <w:vAlign w:val="bottom"/>
            <w:hideMark/>
          </w:tcPr>
          <w:p w14:paraId="2C104C14" w14:textId="77777777" w:rsidR="00CC0355" w:rsidRPr="00CC0355" w:rsidRDefault="00CC0355" w:rsidP="00CC0355">
            <w:pPr>
              <w:rPr>
                <w:rFonts w:ascii="Calibri" w:hAnsi="Calibri" w:cs="Calibri"/>
                <w:b/>
                <w:bCs/>
                <w:color w:val="000000"/>
                <w:sz w:val="20"/>
                <w:szCs w:val="20"/>
                <w:lang w:eastAsia="en-GB"/>
              </w:rPr>
            </w:pPr>
            <w:r w:rsidRPr="00CC0355">
              <w:rPr>
                <w:rFonts w:ascii="Calibri" w:hAnsi="Calibri" w:cs="Calibri"/>
                <w:b/>
                <w:bCs/>
                <w:color w:val="000000"/>
                <w:sz w:val="20"/>
                <w:szCs w:val="20"/>
                <w:lang w:eastAsia="en-GB"/>
              </w:rPr>
              <w:t>Yatırım</w:t>
            </w:r>
          </w:p>
        </w:tc>
        <w:tc>
          <w:tcPr>
            <w:tcW w:w="1259" w:type="dxa"/>
            <w:tcBorders>
              <w:top w:val="nil"/>
              <w:left w:val="single" w:sz="4" w:space="0" w:color="auto"/>
              <w:bottom w:val="nil"/>
              <w:right w:val="nil"/>
            </w:tcBorders>
            <w:shd w:val="clear" w:color="000000" w:fill="FFFFFF"/>
            <w:noWrap/>
            <w:vAlign w:val="bottom"/>
            <w:hideMark/>
          </w:tcPr>
          <w:p w14:paraId="084377CE" w14:textId="77777777" w:rsidR="00CC0355" w:rsidRPr="00CC0355" w:rsidRDefault="00CC0355" w:rsidP="00CC0355">
            <w:pPr>
              <w:jc w:val="center"/>
              <w:rPr>
                <w:rFonts w:ascii="Calibri" w:hAnsi="Calibri" w:cs="Calibri"/>
                <w:color w:val="000000"/>
                <w:sz w:val="20"/>
                <w:szCs w:val="20"/>
                <w:lang w:eastAsia="en-GB"/>
              </w:rPr>
            </w:pPr>
            <w:r w:rsidRPr="00CC0355">
              <w:rPr>
                <w:rFonts w:ascii="Calibri" w:hAnsi="Calibri" w:cs="Calibri"/>
                <w:color w:val="000000"/>
                <w:sz w:val="20"/>
                <w:szCs w:val="20"/>
                <w:lang w:eastAsia="en-GB"/>
              </w:rPr>
              <w:t>1.3</w:t>
            </w:r>
          </w:p>
        </w:tc>
        <w:tc>
          <w:tcPr>
            <w:tcW w:w="961" w:type="dxa"/>
            <w:tcBorders>
              <w:top w:val="nil"/>
              <w:left w:val="nil"/>
              <w:bottom w:val="nil"/>
              <w:right w:val="single" w:sz="4" w:space="0" w:color="auto"/>
            </w:tcBorders>
            <w:shd w:val="clear" w:color="000000" w:fill="FFFFFF"/>
            <w:noWrap/>
            <w:vAlign w:val="bottom"/>
            <w:hideMark/>
          </w:tcPr>
          <w:p w14:paraId="1F57D9D4" w14:textId="77777777" w:rsidR="00CC0355" w:rsidRPr="00CC0355" w:rsidRDefault="00CC0355" w:rsidP="00CC0355">
            <w:pPr>
              <w:jc w:val="center"/>
              <w:rPr>
                <w:rFonts w:ascii="Calibri" w:hAnsi="Calibri" w:cs="Calibri"/>
                <w:color w:val="000000"/>
                <w:sz w:val="20"/>
                <w:szCs w:val="20"/>
                <w:lang w:eastAsia="en-GB"/>
              </w:rPr>
            </w:pPr>
            <w:r w:rsidRPr="00CC0355">
              <w:rPr>
                <w:rFonts w:ascii="Calibri" w:hAnsi="Calibri" w:cs="Calibri"/>
                <w:color w:val="000000"/>
                <w:sz w:val="20"/>
                <w:szCs w:val="20"/>
                <w:lang w:eastAsia="en-GB"/>
              </w:rPr>
              <w:t>0.3</w:t>
            </w:r>
          </w:p>
        </w:tc>
        <w:tc>
          <w:tcPr>
            <w:tcW w:w="1259" w:type="dxa"/>
            <w:tcBorders>
              <w:top w:val="nil"/>
              <w:left w:val="nil"/>
              <w:bottom w:val="nil"/>
              <w:right w:val="nil"/>
            </w:tcBorders>
            <w:shd w:val="clear" w:color="000000" w:fill="FFFFFF"/>
            <w:noWrap/>
            <w:vAlign w:val="bottom"/>
            <w:hideMark/>
          </w:tcPr>
          <w:p w14:paraId="084C5224" w14:textId="77777777" w:rsidR="00CC0355" w:rsidRPr="00CC0355" w:rsidRDefault="00CC0355" w:rsidP="00CC0355">
            <w:pPr>
              <w:jc w:val="center"/>
              <w:rPr>
                <w:rFonts w:ascii="Calibri" w:hAnsi="Calibri" w:cs="Calibri"/>
                <w:color w:val="000000"/>
                <w:sz w:val="20"/>
                <w:szCs w:val="20"/>
                <w:lang w:eastAsia="en-GB"/>
              </w:rPr>
            </w:pPr>
            <w:r w:rsidRPr="00CC0355">
              <w:rPr>
                <w:rFonts w:ascii="Calibri" w:hAnsi="Calibri" w:cs="Calibri"/>
                <w:color w:val="000000"/>
                <w:sz w:val="20"/>
                <w:szCs w:val="20"/>
                <w:lang w:eastAsia="en-GB"/>
              </w:rPr>
              <w:t>2.9</w:t>
            </w:r>
          </w:p>
        </w:tc>
        <w:tc>
          <w:tcPr>
            <w:tcW w:w="961" w:type="dxa"/>
            <w:tcBorders>
              <w:top w:val="nil"/>
              <w:left w:val="nil"/>
              <w:bottom w:val="nil"/>
              <w:right w:val="single" w:sz="4" w:space="0" w:color="auto"/>
            </w:tcBorders>
            <w:shd w:val="clear" w:color="000000" w:fill="FFFFFF"/>
            <w:noWrap/>
            <w:vAlign w:val="bottom"/>
            <w:hideMark/>
          </w:tcPr>
          <w:p w14:paraId="72F7E46D" w14:textId="77777777" w:rsidR="00CC0355" w:rsidRPr="00CC0355" w:rsidRDefault="00CC0355" w:rsidP="00CC0355">
            <w:pPr>
              <w:jc w:val="center"/>
              <w:rPr>
                <w:rFonts w:ascii="Calibri" w:hAnsi="Calibri" w:cs="Calibri"/>
                <w:color w:val="000000"/>
                <w:sz w:val="20"/>
                <w:szCs w:val="20"/>
                <w:lang w:eastAsia="en-GB"/>
              </w:rPr>
            </w:pPr>
            <w:r w:rsidRPr="00CC0355">
              <w:rPr>
                <w:rFonts w:ascii="Calibri" w:hAnsi="Calibri" w:cs="Calibri"/>
                <w:color w:val="000000"/>
                <w:sz w:val="20"/>
                <w:szCs w:val="20"/>
                <w:lang w:eastAsia="en-GB"/>
              </w:rPr>
              <w:t>0.7</w:t>
            </w:r>
          </w:p>
        </w:tc>
      </w:tr>
      <w:tr w:rsidR="00CC0355" w:rsidRPr="00CC0355" w14:paraId="576424EE" w14:textId="77777777" w:rsidTr="00CC0355">
        <w:trPr>
          <w:trHeight w:val="282"/>
        </w:trPr>
        <w:tc>
          <w:tcPr>
            <w:tcW w:w="1480" w:type="dxa"/>
            <w:tcBorders>
              <w:top w:val="nil"/>
              <w:left w:val="nil"/>
              <w:bottom w:val="nil"/>
              <w:right w:val="nil"/>
            </w:tcBorders>
            <w:shd w:val="clear" w:color="000000" w:fill="FFFFFF"/>
            <w:noWrap/>
            <w:vAlign w:val="bottom"/>
            <w:hideMark/>
          </w:tcPr>
          <w:p w14:paraId="2F8A9BB5" w14:textId="77777777" w:rsidR="00CC0355" w:rsidRPr="00CC0355" w:rsidRDefault="00CC0355" w:rsidP="00CC0355">
            <w:pPr>
              <w:rPr>
                <w:rFonts w:ascii="Calibri" w:hAnsi="Calibri" w:cs="Calibri"/>
                <w:b/>
                <w:bCs/>
                <w:color w:val="000000"/>
                <w:sz w:val="20"/>
                <w:szCs w:val="20"/>
                <w:lang w:eastAsia="en-GB"/>
              </w:rPr>
            </w:pPr>
            <w:r w:rsidRPr="00CC0355">
              <w:rPr>
                <w:rFonts w:ascii="Calibri" w:hAnsi="Calibri" w:cs="Calibri"/>
                <w:b/>
                <w:bCs/>
                <w:color w:val="000000"/>
                <w:sz w:val="20"/>
                <w:szCs w:val="20"/>
                <w:lang w:eastAsia="en-GB"/>
              </w:rPr>
              <w:t>Stok Değişimi</w:t>
            </w:r>
          </w:p>
        </w:tc>
        <w:tc>
          <w:tcPr>
            <w:tcW w:w="1259" w:type="dxa"/>
            <w:tcBorders>
              <w:top w:val="nil"/>
              <w:left w:val="single" w:sz="4" w:space="0" w:color="auto"/>
              <w:bottom w:val="nil"/>
              <w:right w:val="nil"/>
            </w:tcBorders>
            <w:shd w:val="clear" w:color="000000" w:fill="FFFFFF"/>
            <w:noWrap/>
            <w:vAlign w:val="bottom"/>
            <w:hideMark/>
          </w:tcPr>
          <w:p w14:paraId="73844D50" w14:textId="77777777" w:rsidR="00CC0355" w:rsidRPr="00CC0355" w:rsidRDefault="00CC0355" w:rsidP="00CC0355">
            <w:pPr>
              <w:jc w:val="center"/>
              <w:rPr>
                <w:rFonts w:ascii="Calibri" w:hAnsi="Calibri" w:cs="Calibri"/>
                <w:color w:val="000000"/>
                <w:sz w:val="20"/>
                <w:szCs w:val="20"/>
                <w:lang w:eastAsia="en-GB"/>
              </w:rPr>
            </w:pPr>
            <w:r w:rsidRPr="00CC0355">
              <w:rPr>
                <w:rFonts w:ascii="Calibri" w:hAnsi="Calibri" w:cs="Calibri"/>
                <w:color w:val="000000"/>
                <w:sz w:val="20"/>
                <w:szCs w:val="20"/>
                <w:lang w:eastAsia="en-GB"/>
              </w:rPr>
              <w:t> </w:t>
            </w:r>
          </w:p>
        </w:tc>
        <w:tc>
          <w:tcPr>
            <w:tcW w:w="961" w:type="dxa"/>
            <w:tcBorders>
              <w:top w:val="nil"/>
              <w:left w:val="nil"/>
              <w:bottom w:val="nil"/>
              <w:right w:val="single" w:sz="4" w:space="0" w:color="auto"/>
            </w:tcBorders>
            <w:shd w:val="clear" w:color="000000" w:fill="FFFFFF"/>
            <w:noWrap/>
            <w:vAlign w:val="bottom"/>
            <w:hideMark/>
          </w:tcPr>
          <w:p w14:paraId="3596D8BE" w14:textId="77777777" w:rsidR="00CC0355" w:rsidRPr="00CC0355" w:rsidRDefault="00CC0355" w:rsidP="00CC0355">
            <w:pPr>
              <w:jc w:val="center"/>
              <w:rPr>
                <w:rFonts w:ascii="Calibri" w:hAnsi="Calibri" w:cs="Calibri"/>
                <w:color w:val="000000"/>
                <w:sz w:val="20"/>
                <w:szCs w:val="20"/>
                <w:lang w:eastAsia="en-GB"/>
              </w:rPr>
            </w:pPr>
            <w:r w:rsidRPr="00CC0355">
              <w:rPr>
                <w:rFonts w:ascii="Calibri" w:hAnsi="Calibri" w:cs="Calibri"/>
                <w:color w:val="000000"/>
                <w:sz w:val="20"/>
                <w:szCs w:val="20"/>
                <w:lang w:eastAsia="en-GB"/>
              </w:rPr>
              <w:t>1.5</w:t>
            </w:r>
          </w:p>
        </w:tc>
        <w:tc>
          <w:tcPr>
            <w:tcW w:w="1259" w:type="dxa"/>
            <w:tcBorders>
              <w:top w:val="nil"/>
              <w:left w:val="nil"/>
              <w:bottom w:val="nil"/>
              <w:right w:val="nil"/>
            </w:tcBorders>
            <w:shd w:val="clear" w:color="000000" w:fill="FFFFFF"/>
            <w:noWrap/>
            <w:vAlign w:val="bottom"/>
            <w:hideMark/>
          </w:tcPr>
          <w:p w14:paraId="7705D367" w14:textId="77777777" w:rsidR="00CC0355" w:rsidRPr="00CC0355" w:rsidRDefault="00CC0355" w:rsidP="00CC0355">
            <w:pPr>
              <w:jc w:val="center"/>
              <w:rPr>
                <w:rFonts w:ascii="Calibri" w:hAnsi="Calibri" w:cs="Calibri"/>
                <w:color w:val="000000"/>
                <w:sz w:val="20"/>
                <w:szCs w:val="20"/>
                <w:lang w:eastAsia="en-GB"/>
              </w:rPr>
            </w:pPr>
            <w:r w:rsidRPr="00CC0355">
              <w:rPr>
                <w:rFonts w:ascii="Calibri" w:hAnsi="Calibri" w:cs="Calibri"/>
                <w:color w:val="000000"/>
                <w:sz w:val="20"/>
                <w:szCs w:val="20"/>
                <w:lang w:eastAsia="en-GB"/>
              </w:rPr>
              <w:t> </w:t>
            </w:r>
          </w:p>
        </w:tc>
        <w:tc>
          <w:tcPr>
            <w:tcW w:w="961" w:type="dxa"/>
            <w:tcBorders>
              <w:top w:val="nil"/>
              <w:left w:val="nil"/>
              <w:bottom w:val="nil"/>
              <w:right w:val="single" w:sz="4" w:space="0" w:color="auto"/>
            </w:tcBorders>
            <w:shd w:val="clear" w:color="000000" w:fill="FFFFFF"/>
            <w:noWrap/>
            <w:vAlign w:val="bottom"/>
            <w:hideMark/>
          </w:tcPr>
          <w:p w14:paraId="358C0337" w14:textId="77777777" w:rsidR="00CC0355" w:rsidRPr="00CC0355" w:rsidRDefault="00CC0355" w:rsidP="00CC0355">
            <w:pPr>
              <w:jc w:val="center"/>
              <w:rPr>
                <w:rFonts w:ascii="Calibri" w:hAnsi="Calibri" w:cs="Calibri"/>
                <w:color w:val="000000"/>
                <w:sz w:val="20"/>
                <w:szCs w:val="20"/>
                <w:lang w:eastAsia="en-GB"/>
              </w:rPr>
            </w:pPr>
            <w:r w:rsidRPr="00CC0355">
              <w:rPr>
                <w:rFonts w:ascii="Calibri" w:hAnsi="Calibri" w:cs="Calibri"/>
                <w:color w:val="000000"/>
                <w:sz w:val="20"/>
                <w:szCs w:val="20"/>
                <w:lang w:eastAsia="en-GB"/>
              </w:rPr>
              <w:t>2.7</w:t>
            </w:r>
          </w:p>
        </w:tc>
      </w:tr>
      <w:tr w:rsidR="00CC0355" w:rsidRPr="00CC0355" w14:paraId="4F0D265D" w14:textId="77777777" w:rsidTr="00CC0355">
        <w:trPr>
          <w:trHeight w:val="282"/>
        </w:trPr>
        <w:tc>
          <w:tcPr>
            <w:tcW w:w="1480" w:type="dxa"/>
            <w:tcBorders>
              <w:top w:val="nil"/>
              <w:left w:val="nil"/>
              <w:bottom w:val="nil"/>
              <w:right w:val="nil"/>
            </w:tcBorders>
            <w:shd w:val="clear" w:color="000000" w:fill="FFFFFF"/>
            <w:noWrap/>
            <w:vAlign w:val="bottom"/>
            <w:hideMark/>
          </w:tcPr>
          <w:p w14:paraId="37E99108" w14:textId="77777777" w:rsidR="00CC0355" w:rsidRPr="00CC0355" w:rsidRDefault="00CC0355" w:rsidP="00CC0355">
            <w:pPr>
              <w:rPr>
                <w:rFonts w:ascii="Calibri" w:hAnsi="Calibri" w:cs="Calibri"/>
                <w:b/>
                <w:bCs/>
                <w:color w:val="000000"/>
                <w:sz w:val="20"/>
                <w:szCs w:val="20"/>
                <w:lang w:eastAsia="en-GB"/>
              </w:rPr>
            </w:pPr>
            <w:r w:rsidRPr="00CC0355">
              <w:rPr>
                <w:rFonts w:ascii="Calibri" w:hAnsi="Calibri" w:cs="Calibri"/>
                <w:b/>
                <w:bCs/>
                <w:color w:val="000000"/>
                <w:sz w:val="20"/>
                <w:szCs w:val="20"/>
                <w:lang w:eastAsia="en-GB"/>
              </w:rPr>
              <w:t>İhracat</w:t>
            </w:r>
          </w:p>
        </w:tc>
        <w:tc>
          <w:tcPr>
            <w:tcW w:w="1259" w:type="dxa"/>
            <w:tcBorders>
              <w:top w:val="nil"/>
              <w:left w:val="single" w:sz="4" w:space="0" w:color="auto"/>
              <w:bottom w:val="nil"/>
              <w:right w:val="nil"/>
            </w:tcBorders>
            <w:shd w:val="clear" w:color="000000" w:fill="FFFFFF"/>
            <w:noWrap/>
            <w:vAlign w:val="bottom"/>
            <w:hideMark/>
          </w:tcPr>
          <w:p w14:paraId="166DC031" w14:textId="77777777" w:rsidR="00CC0355" w:rsidRPr="00CC0355" w:rsidRDefault="00CC0355" w:rsidP="00CC0355">
            <w:pPr>
              <w:jc w:val="center"/>
              <w:rPr>
                <w:rFonts w:ascii="Calibri" w:hAnsi="Calibri" w:cs="Calibri"/>
                <w:color w:val="000000"/>
                <w:sz w:val="20"/>
                <w:szCs w:val="20"/>
                <w:lang w:eastAsia="en-GB"/>
              </w:rPr>
            </w:pPr>
            <w:r w:rsidRPr="00CC0355">
              <w:rPr>
                <w:rFonts w:ascii="Calibri" w:hAnsi="Calibri" w:cs="Calibri"/>
                <w:color w:val="000000"/>
                <w:sz w:val="20"/>
                <w:szCs w:val="20"/>
                <w:lang w:eastAsia="en-GB"/>
              </w:rPr>
              <w:t>4.9</w:t>
            </w:r>
          </w:p>
        </w:tc>
        <w:tc>
          <w:tcPr>
            <w:tcW w:w="961" w:type="dxa"/>
            <w:tcBorders>
              <w:top w:val="nil"/>
              <w:left w:val="nil"/>
              <w:bottom w:val="nil"/>
              <w:right w:val="single" w:sz="4" w:space="0" w:color="auto"/>
            </w:tcBorders>
            <w:shd w:val="clear" w:color="000000" w:fill="FFFFFF"/>
            <w:noWrap/>
            <w:vAlign w:val="bottom"/>
            <w:hideMark/>
          </w:tcPr>
          <w:p w14:paraId="0B72DAF1" w14:textId="77777777" w:rsidR="00CC0355" w:rsidRPr="00CC0355" w:rsidRDefault="00CC0355" w:rsidP="00CC0355">
            <w:pPr>
              <w:jc w:val="center"/>
              <w:rPr>
                <w:rFonts w:ascii="Calibri" w:hAnsi="Calibri" w:cs="Calibri"/>
                <w:color w:val="000000"/>
                <w:sz w:val="20"/>
                <w:szCs w:val="20"/>
                <w:lang w:eastAsia="en-GB"/>
              </w:rPr>
            </w:pPr>
            <w:r w:rsidRPr="00CC0355">
              <w:rPr>
                <w:rFonts w:ascii="Calibri" w:hAnsi="Calibri" w:cs="Calibri"/>
                <w:color w:val="000000"/>
                <w:sz w:val="20"/>
                <w:szCs w:val="20"/>
                <w:lang w:eastAsia="en-GB"/>
              </w:rPr>
              <w:t>1.5</w:t>
            </w:r>
          </w:p>
        </w:tc>
        <w:tc>
          <w:tcPr>
            <w:tcW w:w="1259" w:type="dxa"/>
            <w:tcBorders>
              <w:top w:val="nil"/>
              <w:left w:val="nil"/>
              <w:bottom w:val="nil"/>
              <w:right w:val="nil"/>
            </w:tcBorders>
            <w:shd w:val="clear" w:color="000000" w:fill="FFFFFF"/>
            <w:noWrap/>
            <w:vAlign w:val="bottom"/>
            <w:hideMark/>
          </w:tcPr>
          <w:p w14:paraId="5045F96F" w14:textId="77777777" w:rsidR="00CC0355" w:rsidRPr="00CC0355" w:rsidRDefault="00CC0355" w:rsidP="00CC0355">
            <w:pPr>
              <w:jc w:val="center"/>
              <w:rPr>
                <w:rFonts w:ascii="Calibri" w:hAnsi="Calibri" w:cs="Calibri"/>
                <w:color w:val="000000"/>
                <w:sz w:val="20"/>
                <w:szCs w:val="20"/>
                <w:lang w:eastAsia="en-GB"/>
              </w:rPr>
            </w:pPr>
            <w:r w:rsidRPr="00CC0355">
              <w:rPr>
                <w:rFonts w:ascii="Calibri" w:hAnsi="Calibri" w:cs="Calibri"/>
                <w:color w:val="000000"/>
                <w:sz w:val="20"/>
                <w:szCs w:val="20"/>
                <w:lang w:eastAsia="en-GB"/>
              </w:rPr>
              <w:t>1.1</w:t>
            </w:r>
          </w:p>
        </w:tc>
        <w:tc>
          <w:tcPr>
            <w:tcW w:w="961" w:type="dxa"/>
            <w:tcBorders>
              <w:top w:val="nil"/>
              <w:left w:val="nil"/>
              <w:bottom w:val="nil"/>
              <w:right w:val="single" w:sz="4" w:space="0" w:color="auto"/>
            </w:tcBorders>
            <w:shd w:val="clear" w:color="000000" w:fill="FFFFFF"/>
            <w:noWrap/>
            <w:vAlign w:val="bottom"/>
            <w:hideMark/>
          </w:tcPr>
          <w:p w14:paraId="277F05C5" w14:textId="77777777" w:rsidR="00CC0355" w:rsidRPr="00CC0355" w:rsidRDefault="00CC0355" w:rsidP="00CC0355">
            <w:pPr>
              <w:jc w:val="center"/>
              <w:rPr>
                <w:rFonts w:ascii="Calibri" w:hAnsi="Calibri" w:cs="Calibri"/>
                <w:color w:val="000000"/>
                <w:sz w:val="20"/>
                <w:szCs w:val="20"/>
                <w:lang w:eastAsia="en-GB"/>
              </w:rPr>
            </w:pPr>
            <w:r w:rsidRPr="00CC0355">
              <w:rPr>
                <w:rFonts w:ascii="Calibri" w:hAnsi="Calibri" w:cs="Calibri"/>
                <w:color w:val="000000"/>
                <w:sz w:val="20"/>
                <w:szCs w:val="20"/>
                <w:lang w:eastAsia="en-GB"/>
              </w:rPr>
              <w:t>0.4</w:t>
            </w:r>
          </w:p>
        </w:tc>
      </w:tr>
      <w:tr w:rsidR="00CC0355" w:rsidRPr="00CC0355" w14:paraId="349CADB5" w14:textId="77777777" w:rsidTr="00CC0355">
        <w:trPr>
          <w:trHeight w:val="282"/>
        </w:trPr>
        <w:tc>
          <w:tcPr>
            <w:tcW w:w="1480" w:type="dxa"/>
            <w:tcBorders>
              <w:top w:val="nil"/>
              <w:left w:val="nil"/>
              <w:bottom w:val="nil"/>
              <w:right w:val="nil"/>
            </w:tcBorders>
            <w:shd w:val="clear" w:color="000000" w:fill="FFFFFF"/>
            <w:noWrap/>
            <w:vAlign w:val="bottom"/>
            <w:hideMark/>
          </w:tcPr>
          <w:p w14:paraId="4685A8C8" w14:textId="77777777" w:rsidR="00CC0355" w:rsidRPr="00CC0355" w:rsidRDefault="00CC0355" w:rsidP="00CC0355">
            <w:pPr>
              <w:rPr>
                <w:rFonts w:ascii="Calibri" w:hAnsi="Calibri" w:cs="Calibri"/>
                <w:b/>
                <w:bCs/>
                <w:color w:val="000000"/>
                <w:sz w:val="20"/>
                <w:szCs w:val="20"/>
                <w:lang w:eastAsia="en-GB"/>
              </w:rPr>
            </w:pPr>
            <w:r w:rsidRPr="00CC0355">
              <w:rPr>
                <w:rFonts w:ascii="Calibri" w:hAnsi="Calibri" w:cs="Calibri"/>
                <w:b/>
                <w:bCs/>
                <w:color w:val="000000"/>
                <w:sz w:val="20"/>
                <w:szCs w:val="20"/>
                <w:lang w:eastAsia="en-GB"/>
              </w:rPr>
              <w:t>İthalat</w:t>
            </w:r>
          </w:p>
        </w:tc>
        <w:tc>
          <w:tcPr>
            <w:tcW w:w="1259" w:type="dxa"/>
            <w:tcBorders>
              <w:top w:val="nil"/>
              <w:left w:val="single" w:sz="4" w:space="0" w:color="auto"/>
              <w:bottom w:val="nil"/>
              <w:right w:val="nil"/>
            </w:tcBorders>
            <w:shd w:val="clear" w:color="000000" w:fill="FFFFFF"/>
            <w:noWrap/>
            <w:vAlign w:val="bottom"/>
            <w:hideMark/>
          </w:tcPr>
          <w:p w14:paraId="10A8E92F" w14:textId="77777777" w:rsidR="00CC0355" w:rsidRPr="00CC0355" w:rsidRDefault="00CC0355" w:rsidP="00CC0355">
            <w:pPr>
              <w:jc w:val="center"/>
              <w:rPr>
                <w:rFonts w:ascii="Calibri" w:hAnsi="Calibri" w:cs="Calibri"/>
                <w:color w:val="000000"/>
                <w:sz w:val="20"/>
                <w:szCs w:val="20"/>
                <w:lang w:eastAsia="en-GB"/>
              </w:rPr>
            </w:pPr>
            <w:r w:rsidRPr="00CC0355">
              <w:rPr>
                <w:rFonts w:ascii="Calibri" w:hAnsi="Calibri" w:cs="Calibri"/>
                <w:color w:val="000000"/>
                <w:sz w:val="20"/>
                <w:szCs w:val="20"/>
                <w:lang w:eastAsia="en-GB"/>
              </w:rPr>
              <w:t>13.0</w:t>
            </w:r>
          </w:p>
        </w:tc>
        <w:tc>
          <w:tcPr>
            <w:tcW w:w="961" w:type="dxa"/>
            <w:tcBorders>
              <w:top w:val="nil"/>
              <w:left w:val="nil"/>
              <w:bottom w:val="nil"/>
              <w:right w:val="single" w:sz="4" w:space="0" w:color="auto"/>
            </w:tcBorders>
            <w:shd w:val="clear" w:color="000000" w:fill="FFFFFF"/>
            <w:noWrap/>
            <w:vAlign w:val="bottom"/>
            <w:hideMark/>
          </w:tcPr>
          <w:p w14:paraId="3B067276" w14:textId="77777777" w:rsidR="00CC0355" w:rsidRPr="00CC0355" w:rsidRDefault="00CC0355" w:rsidP="00CC0355">
            <w:pPr>
              <w:jc w:val="center"/>
              <w:rPr>
                <w:rFonts w:ascii="Calibri" w:hAnsi="Calibri" w:cs="Calibri"/>
                <w:color w:val="000000"/>
                <w:sz w:val="20"/>
                <w:szCs w:val="20"/>
                <w:lang w:eastAsia="en-GB"/>
              </w:rPr>
            </w:pPr>
            <w:r w:rsidRPr="00CC0355">
              <w:rPr>
                <w:rFonts w:ascii="Calibri" w:hAnsi="Calibri" w:cs="Calibri"/>
                <w:color w:val="000000"/>
                <w:sz w:val="20"/>
                <w:szCs w:val="20"/>
                <w:lang w:eastAsia="en-GB"/>
              </w:rPr>
              <w:t>-3.6</w:t>
            </w:r>
          </w:p>
        </w:tc>
        <w:tc>
          <w:tcPr>
            <w:tcW w:w="1259" w:type="dxa"/>
            <w:tcBorders>
              <w:top w:val="nil"/>
              <w:left w:val="nil"/>
              <w:bottom w:val="nil"/>
              <w:right w:val="nil"/>
            </w:tcBorders>
            <w:shd w:val="clear" w:color="000000" w:fill="FFFFFF"/>
            <w:noWrap/>
            <w:vAlign w:val="bottom"/>
            <w:hideMark/>
          </w:tcPr>
          <w:p w14:paraId="0161F02A" w14:textId="77777777" w:rsidR="00CC0355" w:rsidRPr="00CC0355" w:rsidRDefault="00CC0355" w:rsidP="00CC0355">
            <w:pPr>
              <w:jc w:val="center"/>
              <w:rPr>
                <w:rFonts w:ascii="Calibri" w:hAnsi="Calibri" w:cs="Calibri"/>
                <w:color w:val="000000"/>
                <w:sz w:val="20"/>
                <w:szCs w:val="20"/>
                <w:lang w:eastAsia="en-GB"/>
              </w:rPr>
            </w:pPr>
            <w:r w:rsidRPr="00CC0355">
              <w:rPr>
                <w:rFonts w:ascii="Calibri" w:hAnsi="Calibri" w:cs="Calibri"/>
                <w:color w:val="000000"/>
                <w:sz w:val="20"/>
                <w:szCs w:val="20"/>
                <w:lang w:eastAsia="en-GB"/>
              </w:rPr>
              <w:t>12.5</w:t>
            </w:r>
          </w:p>
        </w:tc>
        <w:tc>
          <w:tcPr>
            <w:tcW w:w="961" w:type="dxa"/>
            <w:tcBorders>
              <w:top w:val="nil"/>
              <w:left w:val="nil"/>
              <w:bottom w:val="nil"/>
              <w:right w:val="single" w:sz="4" w:space="0" w:color="auto"/>
            </w:tcBorders>
            <w:shd w:val="clear" w:color="000000" w:fill="FFFFFF"/>
            <w:noWrap/>
            <w:vAlign w:val="bottom"/>
            <w:hideMark/>
          </w:tcPr>
          <w:p w14:paraId="25471FD3" w14:textId="77777777" w:rsidR="00CC0355" w:rsidRPr="00CC0355" w:rsidRDefault="00CC0355" w:rsidP="00CC0355">
            <w:pPr>
              <w:jc w:val="center"/>
              <w:rPr>
                <w:rFonts w:ascii="Calibri" w:hAnsi="Calibri" w:cs="Calibri"/>
                <w:color w:val="000000"/>
                <w:sz w:val="20"/>
                <w:szCs w:val="20"/>
                <w:lang w:eastAsia="en-GB"/>
              </w:rPr>
            </w:pPr>
            <w:r w:rsidRPr="00CC0355">
              <w:rPr>
                <w:rFonts w:ascii="Calibri" w:hAnsi="Calibri" w:cs="Calibri"/>
                <w:color w:val="000000"/>
                <w:sz w:val="20"/>
                <w:szCs w:val="20"/>
                <w:lang w:eastAsia="en-GB"/>
              </w:rPr>
              <w:t>-3.8</w:t>
            </w:r>
          </w:p>
        </w:tc>
      </w:tr>
      <w:tr w:rsidR="00CC0355" w:rsidRPr="00CC0355" w14:paraId="1D8DA6F8" w14:textId="77777777" w:rsidTr="00CC0355">
        <w:trPr>
          <w:trHeight w:val="315"/>
        </w:trPr>
        <w:tc>
          <w:tcPr>
            <w:tcW w:w="1480" w:type="dxa"/>
            <w:tcBorders>
              <w:top w:val="nil"/>
              <w:left w:val="nil"/>
              <w:bottom w:val="double" w:sz="6" w:space="0" w:color="auto"/>
              <w:right w:val="nil"/>
            </w:tcBorders>
            <w:shd w:val="clear" w:color="000000" w:fill="FFFFFF"/>
            <w:noWrap/>
            <w:vAlign w:val="bottom"/>
            <w:hideMark/>
          </w:tcPr>
          <w:p w14:paraId="79C0C5BD" w14:textId="77777777" w:rsidR="00CC0355" w:rsidRPr="00CC0355" w:rsidRDefault="00CC0355" w:rsidP="00CC0355">
            <w:pPr>
              <w:rPr>
                <w:rFonts w:ascii="Calibri" w:hAnsi="Calibri" w:cs="Calibri"/>
                <w:b/>
                <w:bCs/>
                <w:color w:val="000000"/>
                <w:sz w:val="20"/>
                <w:szCs w:val="20"/>
                <w:lang w:eastAsia="en-GB"/>
              </w:rPr>
            </w:pPr>
            <w:r w:rsidRPr="00CC0355">
              <w:rPr>
                <w:rFonts w:ascii="Calibri" w:hAnsi="Calibri" w:cs="Calibri"/>
                <w:b/>
                <w:bCs/>
                <w:color w:val="000000"/>
                <w:sz w:val="20"/>
                <w:szCs w:val="20"/>
                <w:lang w:eastAsia="en-GB"/>
              </w:rPr>
              <w:t>GSYH</w:t>
            </w:r>
          </w:p>
        </w:tc>
        <w:tc>
          <w:tcPr>
            <w:tcW w:w="1259" w:type="dxa"/>
            <w:tcBorders>
              <w:top w:val="nil"/>
              <w:left w:val="single" w:sz="4" w:space="0" w:color="auto"/>
              <w:bottom w:val="double" w:sz="6" w:space="0" w:color="auto"/>
              <w:right w:val="nil"/>
            </w:tcBorders>
            <w:shd w:val="clear" w:color="000000" w:fill="FFFFFF"/>
            <w:noWrap/>
            <w:vAlign w:val="bottom"/>
            <w:hideMark/>
          </w:tcPr>
          <w:p w14:paraId="736EE911" w14:textId="77777777" w:rsidR="00CC0355" w:rsidRPr="00CC0355" w:rsidRDefault="00CC0355" w:rsidP="00CC0355">
            <w:pPr>
              <w:jc w:val="center"/>
              <w:rPr>
                <w:rFonts w:ascii="Calibri" w:hAnsi="Calibri" w:cs="Calibri"/>
                <w:color w:val="000000"/>
                <w:sz w:val="20"/>
                <w:szCs w:val="20"/>
                <w:lang w:eastAsia="en-GB"/>
              </w:rPr>
            </w:pPr>
            <w:r w:rsidRPr="00CC0355">
              <w:rPr>
                <w:rFonts w:ascii="Calibri" w:hAnsi="Calibri" w:cs="Calibri"/>
                <w:color w:val="000000"/>
                <w:sz w:val="20"/>
                <w:szCs w:val="20"/>
                <w:lang w:eastAsia="en-GB"/>
              </w:rPr>
              <w:t>0.8</w:t>
            </w:r>
          </w:p>
        </w:tc>
        <w:tc>
          <w:tcPr>
            <w:tcW w:w="961" w:type="dxa"/>
            <w:tcBorders>
              <w:top w:val="nil"/>
              <w:left w:val="nil"/>
              <w:bottom w:val="double" w:sz="6" w:space="0" w:color="auto"/>
              <w:right w:val="single" w:sz="4" w:space="0" w:color="auto"/>
            </w:tcBorders>
            <w:shd w:val="clear" w:color="000000" w:fill="FFFFFF"/>
            <w:noWrap/>
            <w:vAlign w:val="bottom"/>
            <w:hideMark/>
          </w:tcPr>
          <w:p w14:paraId="00F02E16" w14:textId="77777777" w:rsidR="00CC0355" w:rsidRPr="00CC0355" w:rsidRDefault="00CC0355" w:rsidP="00CC0355">
            <w:pPr>
              <w:jc w:val="center"/>
              <w:rPr>
                <w:rFonts w:ascii="Calibri" w:hAnsi="Calibri" w:cs="Calibri"/>
                <w:color w:val="000000"/>
                <w:sz w:val="20"/>
                <w:szCs w:val="20"/>
                <w:lang w:eastAsia="en-GB"/>
              </w:rPr>
            </w:pPr>
            <w:r w:rsidRPr="00CC0355">
              <w:rPr>
                <w:rFonts w:ascii="Calibri" w:hAnsi="Calibri" w:cs="Calibri"/>
                <w:color w:val="000000"/>
                <w:sz w:val="20"/>
                <w:szCs w:val="20"/>
                <w:lang w:eastAsia="en-GB"/>
              </w:rPr>
              <w:t> </w:t>
            </w:r>
          </w:p>
        </w:tc>
        <w:tc>
          <w:tcPr>
            <w:tcW w:w="1259" w:type="dxa"/>
            <w:tcBorders>
              <w:top w:val="nil"/>
              <w:left w:val="nil"/>
              <w:bottom w:val="double" w:sz="6" w:space="0" w:color="auto"/>
              <w:right w:val="nil"/>
            </w:tcBorders>
            <w:shd w:val="clear" w:color="000000" w:fill="FFFFFF"/>
            <w:noWrap/>
            <w:vAlign w:val="bottom"/>
            <w:hideMark/>
          </w:tcPr>
          <w:p w14:paraId="1924ADAE" w14:textId="77777777" w:rsidR="00CC0355" w:rsidRPr="00CC0355" w:rsidRDefault="00CC0355" w:rsidP="00CC0355">
            <w:pPr>
              <w:jc w:val="center"/>
              <w:rPr>
                <w:rFonts w:ascii="Calibri" w:hAnsi="Calibri" w:cs="Calibri"/>
                <w:color w:val="000000"/>
                <w:sz w:val="20"/>
                <w:szCs w:val="20"/>
                <w:lang w:eastAsia="en-GB"/>
              </w:rPr>
            </w:pPr>
            <w:r w:rsidRPr="00CC0355">
              <w:rPr>
                <w:rFonts w:ascii="Calibri" w:hAnsi="Calibri" w:cs="Calibri"/>
                <w:color w:val="000000"/>
                <w:sz w:val="20"/>
                <w:szCs w:val="20"/>
                <w:lang w:eastAsia="en-GB"/>
              </w:rPr>
              <w:t>1.9</w:t>
            </w:r>
          </w:p>
        </w:tc>
        <w:tc>
          <w:tcPr>
            <w:tcW w:w="961" w:type="dxa"/>
            <w:tcBorders>
              <w:top w:val="nil"/>
              <w:left w:val="nil"/>
              <w:bottom w:val="double" w:sz="6" w:space="0" w:color="auto"/>
              <w:right w:val="single" w:sz="4" w:space="0" w:color="auto"/>
            </w:tcBorders>
            <w:shd w:val="clear" w:color="000000" w:fill="FFFFFF"/>
            <w:noWrap/>
            <w:vAlign w:val="bottom"/>
            <w:hideMark/>
          </w:tcPr>
          <w:p w14:paraId="2F279BB8" w14:textId="77777777" w:rsidR="00CC0355" w:rsidRPr="00CC0355" w:rsidRDefault="00CC0355" w:rsidP="00CC0355">
            <w:pPr>
              <w:jc w:val="center"/>
              <w:rPr>
                <w:rFonts w:ascii="Calibri" w:hAnsi="Calibri" w:cs="Calibri"/>
                <w:color w:val="000000"/>
                <w:sz w:val="20"/>
                <w:szCs w:val="20"/>
                <w:lang w:eastAsia="en-GB"/>
              </w:rPr>
            </w:pPr>
            <w:r w:rsidRPr="00CC0355">
              <w:rPr>
                <w:rFonts w:ascii="Calibri" w:hAnsi="Calibri" w:cs="Calibri"/>
                <w:color w:val="000000"/>
                <w:sz w:val="20"/>
                <w:szCs w:val="20"/>
                <w:lang w:eastAsia="en-GB"/>
              </w:rPr>
              <w:t> </w:t>
            </w:r>
          </w:p>
        </w:tc>
      </w:tr>
    </w:tbl>
    <w:p w14:paraId="04FC8E76" w14:textId="39E2FDFE" w:rsidR="00F46A54" w:rsidRPr="00CC0355" w:rsidRDefault="003D44CE" w:rsidP="00F46A54">
      <w:pPr>
        <w:keepNext/>
        <w:rPr>
          <w:rFonts w:ascii="Palatino Linotype" w:hAnsi="Palatino Linotype" w:cstheme="minorHAnsi"/>
          <w:sz w:val="18"/>
          <w:szCs w:val="18"/>
        </w:rPr>
      </w:pPr>
      <w:r w:rsidRPr="00CC0355">
        <w:rPr>
          <w:rFonts w:ascii="Palatino Linotype" w:hAnsi="Palatino Linotype" w:cstheme="minorHAnsi"/>
          <w:sz w:val="18"/>
          <w:szCs w:val="18"/>
        </w:rPr>
        <w:t>Ka</w:t>
      </w:r>
      <w:r w:rsidR="00062A8A" w:rsidRPr="00CC0355">
        <w:rPr>
          <w:rFonts w:ascii="Palatino Linotype" w:hAnsi="Palatino Linotype" w:cstheme="minorHAnsi"/>
          <w:sz w:val="18"/>
          <w:szCs w:val="18"/>
        </w:rPr>
        <w:t>ynak: TÜİK, Betam</w:t>
      </w:r>
    </w:p>
    <w:p w14:paraId="67F1EC21" w14:textId="77777777" w:rsidR="006C3EE6" w:rsidRPr="00CC0355" w:rsidRDefault="006C3EE6" w:rsidP="004931A5">
      <w:pPr>
        <w:pStyle w:val="NormalWeb"/>
        <w:spacing w:before="0" w:beforeAutospacing="0" w:after="0" w:afterAutospacing="0" w:line="360" w:lineRule="auto"/>
        <w:ind w:right="77"/>
        <w:rPr>
          <w:rFonts w:ascii="Palatino Linotype" w:hAnsi="Palatino Linotype" w:cstheme="minorHAnsi"/>
          <w:b/>
          <w:sz w:val="20"/>
          <w:szCs w:val="20"/>
        </w:rPr>
      </w:pPr>
    </w:p>
    <w:p w14:paraId="46FC8EB8" w14:textId="5EC2E937" w:rsidR="006C3EE6" w:rsidRPr="00CC0355" w:rsidRDefault="00480684" w:rsidP="004931A5">
      <w:pPr>
        <w:pStyle w:val="NormalWeb"/>
        <w:spacing w:before="0" w:beforeAutospacing="0" w:after="0" w:afterAutospacing="0" w:line="360" w:lineRule="auto"/>
        <w:ind w:right="77"/>
        <w:rPr>
          <w:rFonts w:ascii="Palatino Linotype" w:hAnsi="Palatino Linotype" w:cstheme="minorHAnsi"/>
          <w:b/>
          <w:sz w:val="22"/>
          <w:szCs w:val="22"/>
        </w:rPr>
      </w:pPr>
      <w:r w:rsidRPr="00CC0355">
        <w:rPr>
          <w:rFonts w:ascii="Palatino Linotype" w:hAnsi="Palatino Linotype" w:cstheme="minorHAnsi"/>
          <w:b/>
          <w:sz w:val="22"/>
          <w:szCs w:val="22"/>
        </w:rPr>
        <w:t>Yatırımlar</w:t>
      </w:r>
      <w:r w:rsidR="005F26AF">
        <w:rPr>
          <w:rFonts w:ascii="Palatino Linotype" w:hAnsi="Palatino Linotype" w:cstheme="minorHAnsi"/>
          <w:b/>
          <w:sz w:val="22"/>
          <w:szCs w:val="22"/>
        </w:rPr>
        <w:t xml:space="preserve"> toparlanma sinyali veriyor</w:t>
      </w:r>
    </w:p>
    <w:p w14:paraId="1EDCC445" w14:textId="2524D904" w:rsidR="00062A8A" w:rsidRPr="00CC0355" w:rsidRDefault="00A648DB" w:rsidP="002A037D">
      <w:pPr>
        <w:pStyle w:val="NormalWeb"/>
        <w:spacing w:before="0" w:beforeAutospacing="0" w:after="0" w:afterAutospacing="0" w:line="360" w:lineRule="auto"/>
        <w:ind w:right="77"/>
        <w:jc w:val="both"/>
        <w:rPr>
          <w:rFonts w:ascii="Palatino Linotype" w:hAnsi="Palatino Linotype" w:cstheme="minorHAnsi"/>
          <w:sz w:val="22"/>
          <w:szCs w:val="22"/>
        </w:rPr>
      </w:pPr>
      <w:r w:rsidRPr="00CC0355">
        <w:rPr>
          <w:rFonts w:ascii="Palatino Linotype" w:hAnsi="Palatino Linotype" w:cstheme="minorHAnsi"/>
          <w:sz w:val="22"/>
          <w:szCs w:val="22"/>
        </w:rPr>
        <w:t>G</w:t>
      </w:r>
      <w:r w:rsidR="00B119E3" w:rsidRPr="00CC0355">
        <w:rPr>
          <w:rFonts w:ascii="Palatino Linotype" w:hAnsi="Palatino Linotype" w:cstheme="minorHAnsi"/>
          <w:sz w:val="22"/>
          <w:szCs w:val="22"/>
        </w:rPr>
        <w:t>eçen yılın aynı çeyreğine göre</w:t>
      </w:r>
      <w:r w:rsidRPr="00CC0355">
        <w:rPr>
          <w:rFonts w:ascii="Palatino Linotype" w:hAnsi="Palatino Linotype" w:cstheme="minorHAnsi"/>
          <w:sz w:val="22"/>
          <w:szCs w:val="22"/>
        </w:rPr>
        <w:t xml:space="preserve"> yatırımlar</w:t>
      </w:r>
      <w:r w:rsidR="005B67B3" w:rsidRPr="00CC0355">
        <w:rPr>
          <w:rFonts w:ascii="Palatino Linotype" w:hAnsi="Palatino Linotype" w:cstheme="minorHAnsi"/>
          <w:sz w:val="22"/>
          <w:szCs w:val="22"/>
        </w:rPr>
        <w:t xml:space="preserve"> 2</w:t>
      </w:r>
      <w:r w:rsidR="00480684" w:rsidRPr="00CC0355">
        <w:rPr>
          <w:rFonts w:ascii="Palatino Linotype" w:hAnsi="Palatino Linotype" w:cstheme="minorHAnsi"/>
          <w:sz w:val="22"/>
          <w:szCs w:val="22"/>
        </w:rPr>
        <w:t>01</w:t>
      </w:r>
      <w:r w:rsidR="0016084A" w:rsidRPr="00CC0355">
        <w:rPr>
          <w:rFonts w:ascii="Palatino Linotype" w:hAnsi="Palatino Linotype" w:cstheme="minorHAnsi"/>
          <w:sz w:val="22"/>
          <w:szCs w:val="22"/>
        </w:rPr>
        <w:t xml:space="preserve">9 yılı birinci çeyrekte </w:t>
      </w:r>
      <w:r w:rsidR="005B67B3" w:rsidRPr="00CC0355">
        <w:rPr>
          <w:rFonts w:ascii="Palatino Linotype" w:hAnsi="Palatino Linotype" w:cstheme="minorHAnsi"/>
          <w:sz w:val="22"/>
          <w:szCs w:val="22"/>
        </w:rPr>
        <w:t>yüzde 12,4</w:t>
      </w:r>
      <w:r w:rsidR="00B119E3" w:rsidRPr="00CC0355">
        <w:rPr>
          <w:rFonts w:ascii="Palatino Linotype" w:hAnsi="Palatino Linotype" w:cstheme="minorHAnsi"/>
          <w:sz w:val="22"/>
          <w:szCs w:val="22"/>
        </w:rPr>
        <w:t xml:space="preserve">, </w:t>
      </w:r>
      <w:r w:rsidR="005B67B3" w:rsidRPr="00CC0355">
        <w:rPr>
          <w:rFonts w:ascii="Palatino Linotype" w:hAnsi="Palatino Linotype" w:cstheme="minorHAnsi"/>
          <w:sz w:val="22"/>
          <w:szCs w:val="22"/>
        </w:rPr>
        <w:t>ikinci</w:t>
      </w:r>
      <w:r w:rsidR="00480684" w:rsidRPr="00CC0355">
        <w:rPr>
          <w:rFonts w:ascii="Palatino Linotype" w:hAnsi="Palatino Linotype" w:cstheme="minorHAnsi"/>
          <w:sz w:val="22"/>
          <w:szCs w:val="22"/>
        </w:rPr>
        <w:t xml:space="preserve"> çeyrekte</w:t>
      </w:r>
      <w:r w:rsidR="00302EDD" w:rsidRPr="00CC0355">
        <w:rPr>
          <w:rFonts w:ascii="Palatino Linotype" w:hAnsi="Palatino Linotype" w:cstheme="minorHAnsi"/>
          <w:sz w:val="22"/>
          <w:szCs w:val="22"/>
        </w:rPr>
        <w:t xml:space="preserve"> yüzde </w:t>
      </w:r>
      <w:r w:rsidR="0016084A" w:rsidRPr="00CC0355">
        <w:rPr>
          <w:rFonts w:ascii="Palatino Linotype" w:hAnsi="Palatino Linotype" w:cstheme="minorHAnsi"/>
          <w:sz w:val="22"/>
          <w:szCs w:val="22"/>
        </w:rPr>
        <w:t>22,8</w:t>
      </w:r>
      <w:r w:rsidR="001540B7">
        <w:rPr>
          <w:rFonts w:ascii="Palatino Linotype" w:hAnsi="Palatino Linotype" w:cstheme="minorHAnsi"/>
          <w:sz w:val="22"/>
          <w:szCs w:val="22"/>
        </w:rPr>
        <w:t>,</w:t>
      </w:r>
      <w:r w:rsidR="00302EDD" w:rsidRPr="00CC0355">
        <w:rPr>
          <w:rFonts w:ascii="Palatino Linotype" w:hAnsi="Palatino Linotype" w:cstheme="minorHAnsi"/>
          <w:sz w:val="22"/>
          <w:szCs w:val="22"/>
        </w:rPr>
        <w:t xml:space="preserve"> </w:t>
      </w:r>
      <w:r w:rsidR="001540B7">
        <w:rPr>
          <w:rFonts w:ascii="Palatino Linotype" w:hAnsi="Palatino Linotype" w:cstheme="minorHAnsi"/>
          <w:sz w:val="22"/>
          <w:szCs w:val="22"/>
        </w:rPr>
        <w:t>üçüncü çeyrekte ise yüzde 12,8</w:t>
      </w:r>
      <w:r w:rsidR="0061333E" w:rsidRPr="00CC0355">
        <w:rPr>
          <w:rFonts w:ascii="Palatino Linotype" w:hAnsi="Palatino Linotype" w:cstheme="minorHAnsi"/>
          <w:sz w:val="22"/>
          <w:szCs w:val="22"/>
        </w:rPr>
        <w:t xml:space="preserve"> </w:t>
      </w:r>
      <w:r w:rsidR="001540B7">
        <w:rPr>
          <w:rFonts w:ascii="Palatino Linotype" w:hAnsi="Palatino Linotype" w:cstheme="minorHAnsi"/>
          <w:sz w:val="22"/>
          <w:szCs w:val="22"/>
        </w:rPr>
        <w:t>daraldı. Son çeyrekte ise yıllık yüzde 0,6 azalan yatırımların yıllık büyümeye katkısı eksi 0,2 puan oldu</w:t>
      </w:r>
      <w:r w:rsidR="0061333E" w:rsidRPr="00CC0355">
        <w:rPr>
          <w:rFonts w:ascii="Palatino Linotype" w:hAnsi="Palatino Linotype" w:cstheme="minorHAnsi"/>
          <w:sz w:val="22"/>
          <w:szCs w:val="22"/>
        </w:rPr>
        <w:t xml:space="preserve"> </w:t>
      </w:r>
      <w:r w:rsidR="00B119E3" w:rsidRPr="00CC0355">
        <w:rPr>
          <w:rFonts w:ascii="Palatino Linotype" w:hAnsi="Palatino Linotype" w:cstheme="minorHAnsi"/>
          <w:sz w:val="22"/>
          <w:szCs w:val="22"/>
        </w:rPr>
        <w:t>(Tablo 1)</w:t>
      </w:r>
      <w:r w:rsidR="00310C5C" w:rsidRPr="00CC0355">
        <w:rPr>
          <w:rFonts w:ascii="Palatino Linotype" w:hAnsi="Palatino Linotype" w:cstheme="minorHAnsi"/>
          <w:sz w:val="22"/>
          <w:szCs w:val="22"/>
        </w:rPr>
        <w:t>.</w:t>
      </w:r>
      <w:r w:rsidR="00480684" w:rsidRPr="00CC0355">
        <w:rPr>
          <w:rFonts w:ascii="Palatino Linotype" w:hAnsi="Palatino Linotype" w:cstheme="minorHAnsi"/>
          <w:sz w:val="22"/>
          <w:szCs w:val="22"/>
        </w:rPr>
        <w:t xml:space="preserve"> </w:t>
      </w:r>
      <w:r w:rsidR="00F30329" w:rsidRPr="00CC0355">
        <w:rPr>
          <w:rFonts w:ascii="Palatino Linotype" w:hAnsi="Palatino Linotype" w:cstheme="minorHAnsi"/>
          <w:sz w:val="22"/>
          <w:szCs w:val="22"/>
        </w:rPr>
        <w:t xml:space="preserve">Mevsim ve takvim etkilerinden arındırılmış rakamlara baktığımızda ise </w:t>
      </w:r>
      <w:r w:rsidR="00A25823" w:rsidRPr="00CC0355">
        <w:rPr>
          <w:rFonts w:ascii="Palatino Linotype" w:hAnsi="Palatino Linotype" w:cstheme="minorHAnsi"/>
          <w:sz w:val="22"/>
          <w:szCs w:val="22"/>
        </w:rPr>
        <w:t>ilk iki çeyrek negatif olan yatırı</w:t>
      </w:r>
      <w:r w:rsidR="001540B7">
        <w:rPr>
          <w:rFonts w:ascii="Palatino Linotype" w:hAnsi="Palatino Linotype" w:cstheme="minorHAnsi"/>
          <w:sz w:val="22"/>
          <w:szCs w:val="22"/>
        </w:rPr>
        <w:t xml:space="preserve">m katkısının üçüncü ve dördüncü çeyreklerde ılımlı olduğunu görüyoruz </w:t>
      </w:r>
      <w:r w:rsidR="00480684" w:rsidRPr="00CC0355">
        <w:rPr>
          <w:rFonts w:ascii="Palatino Linotype" w:hAnsi="Palatino Linotype" w:cstheme="minorHAnsi"/>
          <w:sz w:val="22"/>
          <w:szCs w:val="22"/>
        </w:rPr>
        <w:t xml:space="preserve">(Tablo 2). </w:t>
      </w:r>
    </w:p>
    <w:p w14:paraId="16625566" w14:textId="2A09F290" w:rsidR="00681AD9" w:rsidRPr="00CC0355" w:rsidRDefault="00681022" w:rsidP="00681022">
      <w:pPr>
        <w:pStyle w:val="NormalWeb"/>
        <w:spacing w:before="0" w:beforeAutospacing="0" w:after="0" w:afterAutospacing="0" w:line="360" w:lineRule="auto"/>
        <w:ind w:right="77"/>
        <w:rPr>
          <w:rFonts w:ascii="Palatino Linotype" w:hAnsi="Palatino Linotype" w:cstheme="minorHAnsi"/>
          <w:b/>
          <w:sz w:val="22"/>
          <w:szCs w:val="22"/>
        </w:rPr>
      </w:pPr>
      <w:r w:rsidRPr="00CC0355">
        <w:rPr>
          <w:rFonts w:ascii="Palatino Linotype" w:hAnsi="Palatino Linotype" w:cstheme="minorHAnsi"/>
          <w:b/>
          <w:sz w:val="22"/>
          <w:szCs w:val="22"/>
        </w:rPr>
        <w:t>Stok</w:t>
      </w:r>
      <w:r w:rsidR="00773A17" w:rsidRPr="00CC0355">
        <w:rPr>
          <w:rFonts w:ascii="Palatino Linotype" w:hAnsi="Palatino Linotype" w:cstheme="minorHAnsi"/>
          <w:b/>
          <w:sz w:val="22"/>
          <w:szCs w:val="22"/>
        </w:rPr>
        <w:t xml:space="preserve"> değişiminde </w:t>
      </w:r>
      <w:r w:rsidR="00835D87" w:rsidRPr="00CC0355">
        <w:rPr>
          <w:rFonts w:ascii="Palatino Linotype" w:hAnsi="Palatino Linotype" w:cstheme="minorHAnsi"/>
          <w:b/>
          <w:sz w:val="22"/>
          <w:szCs w:val="22"/>
        </w:rPr>
        <w:t>toparlanma</w:t>
      </w:r>
      <w:r w:rsidR="00494926" w:rsidRPr="00CC0355">
        <w:rPr>
          <w:rStyle w:val="FootnoteReference"/>
          <w:rFonts w:ascii="Palatino Linotype" w:hAnsi="Palatino Linotype" w:cstheme="minorHAnsi"/>
          <w:b/>
          <w:sz w:val="22"/>
          <w:szCs w:val="22"/>
        </w:rPr>
        <w:footnoteReference w:id="3"/>
      </w:r>
    </w:p>
    <w:p w14:paraId="7912D79A" w14:textId="57D87BF4" w:rsidR="006138F0" w:rsidRPr="00CC0355" w:rsidRDefault="003D4202" w:rsidP="002A037D">
      <w:pPr>
        <w:pStyle w:val="NormalWeb"/>
        <w:spacing w:before="0" w:beforeAutospacing="0" w:after="120" w:afterAutospacing="0" w:line="360" w:lineRule="auto"/>
        <w:ind w:right="79"/>
        <w:jc w:val="both"/>
        <w:rPr>
          <w:rFonts w:ascii="Palatino Linotype" w:hAnsi="Palatino Linotype" w:cstheme="minorHAnsi"/>
          <w:sz w:val="22"/>
          <w:szCs w:val="22"/>
        </w:rPr>
      </w:pPr>
      <w:bookmarkStart w:id="4" w:name="OLE_LINK7"/>
      <w:bookmarkStart w:id="5" w:name="OLE_LINK8"/>
      <w:r w:rsidRPr="00CC0355">
        <w:rPr>
          <w:rFonts w:ascii="Palatino Linotype" w:hAnsi="Palatino Linotype" w:cstheme="minorHAnsi"/>
          <w:sz w:val="22"/>
          <w:szCs w:val="22"/>
        </w:rPr>
        <w:t xml:space="preserve">Yıllık bazda </w:t>
      </w:r>
      <w:r w:rsidR="00835D87" w:rsidRPr="00CC0355">
        <w:rPr>
          <w:rFonts w:ascii="Palatino Linotype" w:hAnsi="Palatino Linotype" w:cstheme="minorHAnsi"/>
          <w:sz w:val="22"/>
          <w:szCs w:val="22"/>
        </w:rPr>
        <w:t>2019</w:t>
      </w:r>
      <w:r w:rsidR="006F2CD8" w:rsidRPr="00CC0355">
        <w:rPr>
          <w:rFonts w:ascii="Palatino Linotype" w:hAnsi="Palatino Linotype" w:cstheme="minorHAnsi"/>
          <w:sz w:val="22"/>
          <w:szCs w:val="22"/>
        </w:rPr>
        <w:t xml:space="preserve"> yılının </w:t>
      </w:r>
      <w:r w:rsidR="005F26AF">
        <w:rPr>
          <w:rFonts w:ascii="Palatino Linotype" w:hAnsi="Palatino Linotype" w:cstheme="minorHAnsi"/>
          <w:sz w:val="22"/>
          <w:szCs w:val="22"/>
        </w:rPr>
        <w:t>üçüncü</w:t>
      </w:r>
      <w:r w:rsidR="006F2CD8" w:rsidRPr="00CC0355">
        <w:rPr>
          <w:rFonts w:ascii="Palatino Linotype" w:hAnsi="Palatino Linotype" w:cstheme="minorHAnsi"/>
          <w:sz w:val="22"/>
          <w:szCs w:val="22"/>
        </w:rPr>
        <w:t xml:space="preserve"> çeyreğ</w:t>
      </w:r>
      <w:r w:rsidR="005F26AF">
        <w:rPr>
          <w:rFonts w:ascii="Palatino Linotype" w:hAnsi="Palatino Linotype" w:cstheme="minorHAnsi"/>
          <w:sz w:val="22"/>
          <w:szCs w:val="22"/>
        </w:rPr>
        <w:t>inde 2,6</w:t>
      </w:r>
      <w:r w:rsidR="00F67B66" w:rsidRPr="00CC0355">
        <w:rPr>
          <w:rFonts w:ascii="Palatino Linotype" w:hAnsi="Palatino Linotype" w:cstheme="minorHAnsi"/>
          <w:sz w:val="22"/>
          <w:szCs w:val="22"/>
        </w:rPr>
        <w:t xml:space="preserve"> yüzde puan olan </w:t>
      </w:r>
      <w:r w:rsidR="006F2CD8" w:rsidRPr="00CC0355">
        <w:rPr>
          <w:rFonts w:ascii="Palatino Linotype" w:hAnsi="Palatino Linotype" w:cstheme="minorHAnsi"/>
          <w:sz w:val="22"/>
          <w:szCs w:val="22"/>
        </w:rPr>
        <w:t xml:space="preserve">stok değişimlerinin büyümeye katkısı, </w:t>
      </w:r>
      <w:r w:rsidR="00835D87" w:rsidRPr="00CC0355">
        <w:rPr>
          <w:rFonts w:ascii="Palatino Linotype" w:hAnsi="Palatino Linotype" w:cstheme="minorHAnsi"/>
          <w:sz w:val="22"/>
          <w:szCs w:val="22"/>
        </w:rPr>
        <w:t xml:space="preserve">2019 yılı </w:t>
      </w:r>
      <w:r w:rsidR="005F26AF">
        <w:rPr>
          <w:rFonts w:ascii="Palatino Linotype" w:hAnsi="Palatino Linotype" w:cstheme="minorHAnsi"/>
          <w:sz w:val="22"/>
          <w:szCs w:val="22"/>
        </w:rPr>
        <w:t>dördüncü</w:t>
      </w:r>
      <w:r w:rsidR="00F80F23" w:rsidRPr="00CC0355">
        <w:rPr>
          <w:rFonts w:ascii="Palatino Linotype" w:hAnsi="Palatino Linotype" w:cstheme="minorHAnsi"/>
          <w:sz w:val="22"/>
          <w:szCs w:val="22"/>
        </w:rPr>
        <w:t xml:space="preserve"> çeyrekte</w:t>
      </w:r>
      <w:r w:rsidR="006F2CD8" w:rsidRPr="00CC0355">
        <w:rPr>
          <w:rFonts w:ascii="Palatino Linotype" w:hAnsi="Palatino Linotype" w:cstheme="minorHAnsi"/>
          <w:sz w:val="22"/>
          <w:szCs w:val="22"/>
        </w:rPr>
        <w:t xml:space="preserve"> </w:t>
      </w:r>
      <w:r w:rsidR="005F26AF">
        <w:rPr>
          <w:rFonts w:ascii="Palatino Linotype" w:hAnsi="Palatino Linotype" w:cstheme="minorHAnsi"/>
          <w:sz w:val="22"/>
          <w:szCs w:val="22"/>
        </w:rPr>
        <w:t>8,4</w:t>
      </w:r>
      <w:r w:rsidR="006F2CD8" w:rsidRPr="00CC0355">
        <w:rPr>
          <w:rFonts w:ascii="Palatino Linotype" w:hAnsi="Palatino Linotype" w:cstheme="minorHAnsi"/>
          <w:sz w:val="22"/>
          <w:szCs w:val="22"/>
        </w:rPr>
        <w:t xml:space="preserve"> yüzde puan olarak gerçekleşti</w:t>
      </w:r>
      <w:r w:rsidR="00492020" w:rsidRPr="00CC0355">
        <w:rPr>
          <w:rFonts w:ascii="Palatino Linotype" w:hAnsi="Palatino Linotype" w:cstheme="minorHAnsi"/>
          <w:sz w:val="22"/>
          <w:szCs w:val="22"/>
        </w:rPr>
        <w:t xml:space="preserve"> </w:t>
      </w:r>
      <w:bookmarkEnd w:id="4"/>
      <w:bookmarkEnd w:id="5"/>
      <w:r w:rsidR="00681022" w:rsidRPr="00CC0355">
        <w:rPr>
          <w:rFonts w:ascii="Palatino Linotype" w:hAnsi="Palatino Linotype" w:cstheme="minorHAnsi"/>
          <w:sz w:val="22"/>
          <w:szCs w:val="22"/>
        </w:rPr>
        <w:t xml:space="preserve">(Tablo 1). </w:t>
      </w:r>
      <w:r w:rsidR="006D02FD" w:rsidRPr="00CC0355">
        <w:rPr>
          <w:rFonts w:ascii="Palatino Linotype" w:hAnsi="Palatino Linotype" w:cstheme="minorHAnsi"/>
          <w:sz w:val="22"/>
          <w:szCs w:val="22"/>
        </w:rPr>
        <w:t xml:space="preserve">Çeyreklik büyümeye bakıldığında </w:t>
      </w:r>
      <w:r w:rsidR="00B95E66" w:rsidRPr="00CC0355">
        <w:rPr>
          <w:rFonts w:ascii="Palatino Linotype" w:hAnsi="Palatino Linotype" w:cstheme="minorHAnsi"/>
          <w:sz w:val="22"/>
          <w:szCs w:val="22"/>
        </w:rPr>
        <w:t>da</w:t>
      </w:r>
      <w:r w:rsidR="006D02FD" w:rsidRPr="00CC0355">
        <w:rPr>
          <w:rFonts w:ascii="Palatino Linotype" w:hAnsi="Palatino Linotype" w:cstheme="minorHAnsi"/>
          <w:sz w:val="22"/>
          <w:szCs w:val="22"/>
        </w:rPr>
        <w:t xml:space="preserve"> m</w:t>
      </w:r>
      <w:r w:rsidR="00681022" w:rsidRPr="00CC0355">
        <w:rPr>
          <w:rFonts w:ascii="Palatino Linotype" w:hAnsi="Palatino Linotype" w:cstheme="minorHAnsi"/>
          <w:sz w:val="22"/>
          <w:szCs w:val="22"/>
        </w:rPr>
        <w:t xml:space="preserve">evsim ve takvim etkilerinden arındırılmış stok değişiminin </w:t>
      </w:r>
      <w:r w:rsidR="00835D87" w:rsidRPr="00CC0355">
        <w:rPr>
          <w:rFonts w:ascii="Palatino Linotype" w:hAnsi="Palatino Linotype" w:cstheme="minorHAnsi"/>
          <w:sz w:val="22"/>
          <w:szCs w:val="22"/>
        </w:rPr>
        <w:t>büyümeye</w:t>
      </w:r>
      <w:r w:rsidR="005D3C96" w:rsidRPr="00CC0355">
        <w:rPr>
          <w:rFonts w:ascii="Palatino Linotype" w:hAnsi="Palatino Linotype" w:cstheme="minorHAnsi"/>
          <w:sz w:val="22"/>
          <w:szCs w:val="22"/>
        </w:rPr>
        <w:t xml:space="preserve"> </w:t>
      </w:r>
      <w:r w:rsidR="005F26AF">
        <w:rPr>
          <w:rFonts w:ascii="Palatino Linotype" w:hAnsi="Palatino Linotype" w:cstheme="minorHAnsi"/>
          <w:sz w:val="22"/>
          <w:szCs w:val="22"/>
        </w:rPr>
        <w:t>üçüncü çeyrekte 1</w:t>
      </w:r>
      <w:r w:rsidR="005D3C96" w:rsidRPr="00CC0355">
        <w:rPr>
          <w:rFonts w:ascii="Palatino Linotype" w:hAnsi="Palatino Linotype" w:cstheme="minorHAnsi"/>
          <w:sz w:val="22"/>
          <w:szCs w:val="22"/>
        </w:rPr>
        <w:t>,</w:t>
      </w:r>
      <w:r w:rsidR="005F26AF">
        <w:rPr>
          <w:rFonts w:ascii="Palatino Linotype" w:hAnsi="Palatino Linotype" w:cstheme="minorHAnsi"/>
          <w:sz w:val="22"/>
          <w:szCs w:val="22"/>
        </w:rPr>
        <w:t>5</w:t>
      </w:r>
      <w:r w:rsidR="005D3C96" w:rsidRPr="00CC0355">
        <w:rPr>
          <w:rFonts w:ascii="Palatino Linotype" w:hAnsi="Palatino Linotype" w:cstheme="minorHAnsi"/>
          <w:sz w:val="22"/>
          <w:szCs w:val="22"/>
        </w:rPr>
        <w:t xml:space="preserve"> </w:t>
      </w:r>
      <w:r w:rsidR="005F26AF">
        <w:rPr>
          <w:rFonts w:ascii="Palatino Linotype" w:hAnsi="Palatino Linotype" w:cstheme="minorHAnsi"/>
          <w:sz w:val="22"/>
          <w:szCs w:val="22"/>
        </w:rPr>
        <w:t>dördüncü</w:t>
      </w:r>
      <w:r w:rsidR="005D3C96" w:rsidRPr="00CC0355">
        <w:rPr>
          <w:rFonts w:ascii="Palatino Linotype" w:hAnsi="Palatino Linotype" w:cstheme="minorHAnsi"/>
          <w:sz w:val="22"/>
          <w:szCs w:val="22"/>
        </w:rPr>
        <w:t xml:space="preserve"> çeyrekte ise</w:t>
      </w:r>
      <w:r w:rsidR="005F26AF">
        <w:rPr>
          <w:rFonts w:ascii="Palatino Linotype" w:hAnsi="Palatino Linotype" w:cstheme="minorHAnsi"/>
          <w:sz w:val="22"/>
          <w:szCs w:val="22"/>
        </w:rPr>
        <w:t xml:space="preserve"> 2,7</w:t>
      </w:r>
      <w:r w:rsidR="00835D87" w:rsidRPr="00CC0355">
        <w:rPr>
          <w:rFonts w:ascii="Palatino Linotype" w:hAnsi="Palatino Linotype" w:cstheme="minorHAnsi"/>
          <w:sz w:val="22"/>
          <w:szCs w:val="22"/>
        </w:rPr>
        <w:t xml:space="preserve"> yüzde puan pozitif</w:t>
      </w:r>
      <w:r w:rsidR="00D1282D" w:rsidRPr="00CC0355">
        <w:rPr>
          <w:rFonts w:ascii="Palatino Linotype" w:hAnsi="Palatino Linotype" w:cstheme="minorHAnsi"/>
          <w:sz w:val="22"/>
          <w:szCs w:val="22"/>
        </w:rPr>
        <w:t xml:space="preserve"> katkıda bulunduğu</w:t>
      </w:r>
      <w:r w:rsidR="005D3C96" w:rsidRPr="00CC0355">
        <w:rPr>
          <w:rFonts w:ascii="Palatino Linotype" w:hAnsi="Palatino Linotype" w:cstheme="minorHAnsi"/>
          <w:sz w:val="22"/>
          <w:szCs w:val="22"/>
        </w:rPr>
        <w:t>nu</w:t>
      </w:r>
      <w:r w:rsidR="00ED5E21" w:rsidRPr="00CC0355">
        <w:rPr>
          <w:rFonts w:ascii="Palatino Linotype" w:hAnsi="Palatino Linotype" w:cstheme="minorHAnsi"/>
          <w:sz w:val="22"/>
          <w:szCs w:val="22"/>
        </w:rPr>
        <w:t xml:space="preserve"> </w:t>
      </w:r>
      <w:r w:rsidR="005D3C96" w:rsidRPr="00CC0355">
        <w:rPr>
          <w:rFonts w:ascii="Palatino Linotype" w:hAnsi="Palatino Linotype" w:cstheme="minorHAnsi"/>
          <w:sz w:val="22"/>
          <w:szCs w:val="22"/>
        </w:rPr>
        <w:t>hesaplıyoruz</w:t>
      </w:r>
      <w:r w:rsidR="00242C10" w:rsidRPr="00CC0355">
        <w:rPr>
          <w:rFonts w:ascii="Palatino Linotype" w:hAnsi="Palatino Linotype" w:cstheme="minorHAnsi"/>
          <w:sz w:val="22"/>
          <w:szCs w:val="22"/>
        </w:rPr>
        <w:t xml:space="preserve"> (Tablo </w:t>
      </w:r>
      <w:r w:rsidR="00681022" w:rsidRPr="00CC0355">
        <w:rPr>
          <w:rFonts w:ascii="Palatino Linotype" w:hAnsi="Palatino Linotype" w:cstheme="minorHAnsi"/>
          <w:sz w:val="22"/>
          <w:szCs w:val="22"/>
        </w:rPr>
        <w:t>2).</w:t>
      </w:r>
    </w:p>
    <w:p w14:paraId="7233E2B8" w14:textId="20AB3130" w:rsidR="00F46A54" w:rsidRPr="00CC0355" w:rsidRDefault="004F4BDC" w:rsidP="00F30329">
      <w:pPr>
        <w:pStyle w:val="NormalWeb"/>
        <w:spacing w:before="0" w:beforeAutospacing="0" w:after="120" w:afterAutospacing="0" w:line="360" w:lineRule="auto"/>
        <w:ind w:right="79"/>
        <w:rPr>
          <w:rFonts w:ascii="Palatino Linotype" w:hAnsi="Palatino Linotype" w:cstheme="minorHAnsi"/>
          <w:b/>
          <w:sz w:val="22"/>
          <w:szCs w:val="22"/>
        </w:rPr>
      </w:pPr>
      <w:r w:rsidRPr="00CC0355">
        <w:rPr>
          <w:rFonts w:ascii="Palatino Linotype" w:hAnsi="Palatino Linotype" w:cstheme="minorHAnsi"/>
          <w:b/>
          <w:sz w:val="22"/>
          <w:szCs w:val="22"/>
        </w:rPr>
        <w:t>N</w:t>
      </w:r>
      <w:r w:rsidR="005F26AF">
        <w:rPr>
          <w:rFonts w:ascii="Palatino Linotype" w:hAnsi="Palatino Linotype" w:cstheme="minorHAnsi"/>
          <w:b/>
          <w:sz w:val="22"/>
          <w:szCs w:val="22"/>
        </w:rPr>
        <w:t>et dış ticaret büyümeyi baskılıyor</w:t>
      </w:r>
    </w:p>
    <w:p w14:paraId="142C0302" w14:textId="2FFA8F4D" w:rsidR="00062A8A" w:rsidRPr="00CC0355" w:rsidRDefault="005F26AF" w:rsidP="002A037D">
      <w:pPr>
        <w:pStyle w:val="NormalWeb"/>
        <w:spacing w:before="0" w:beforeAutospacing="0" w:after="0" w:afterAutospacing="0" w:line="360" w:lineRule="auto"/>
        <w:ind w:right="77"/>
        <w:jc w:val="both"/>
        <w:rPr>
          <w:rFonts w:ascii="Palatino Linotype" w:hAnsi="Palatino Linotype" w:cstheme="minorHAnsi"/>
          <w:sz w:val="22"/>
          <w:szCs w:val="22"/>
        </w:rPr>
      </w:pPr>
      <w:r>
        <w:rPr>
          <w:rFonts w:ascii="Palatino Linotype" w:hAnsi="Palatino Linotype" w:cstheme="minorHAnsi"/>
          <w:sz w:val="22"/>
          <w:szCs w:val="22"/>
        </w:rPr>
        <w:t>2019 yılının üçüncü çeyreğinde yıllık büyümeye sınırlı katkı sunan net dış ticaret, son çeyrekte negatif</w:t>
      </w:r>
      <w:r w:rsidR="0089158B">
        <w:rPr>
          <w:rFonts w:ascii="Palatino Linotype" w:hAnsi="Palatino Linotype" w:cstheme="minorHAnsi"/>
          <w:sz w:val="22"/>
          <w:szCs w:val="22"/>
        </w:rPr>
        <w:t xml:space="preserve"> katkıda bulundu. İhracat dördüncü</w:t>
      </w:r>
      <w:r>
        <w:rPr>
          <w:rFonts w:ascii="Palatino Linotype" w:hAnsi="Palatino Linotype" w:cstheme="minorHAnsi"/>
          <w:sz w:val="22"/>
          <w:szCs w:val="22"/>
        </w:rPr>
        <w:t xml:space="preserve"> çeyrekte </w:t>
      </w:r>
      <w:r w:rsidR="0089158B">
        <w:rPr>
          <w:rFonts w:ascii="Palatino Linotype" w:hAnsi="Palatino Linotype" w:cstheme="minorHAnsi"/>
          <w:sz w:val="22"/>
          <w:szCs w:val="22"/>
        </w:rPr>
        <w:t xml:space="preserve">geçen senenin aynı dönemine göre yüzde 4,4 büyürken yıllık büyümeye katkısı 1,4 yüzde puan oldu. İthalatta ise yıllık büyüme yüzde 29,3 oldu ve büyümeyi 7,9 yüzde puan aşağı çekti (Tablo 1). Mevsim ve </w:t>
      </w:r>
      <w:r w:rsidR="0089158B">
        <w:rPr>
          <w:rFonts w:ascii="Palatino Linotype" w:hAnsi="Palatino Linotype" w:cstheme="minorHAnsi"/>
          <w:sz w:val="22"/>
          <w:szCs w:val="22"/>
        </w:rPr>
        <w:lastRenderedPageBreak/>
        <w:t>takvim etkisinden arındırılmış seriye göre de ithalat bir önceki çeyreğe göre hızla artarken (yüzde 12,5) ihracat artışı hayli ılımlıdır (yüzde 1,1). Bu durumda, net dış ticaretin çeyreklik büyümeye katkısını eksi yüzde 6,5 olarak hesaplıyoruz</w:t>
      </w:r>
      <w:r w:rsidR="00177002" w:rsidRPr="00CC0355">
        <w:rPr>
          <w:rFonts w:ascii="Palatino Linotype" w:hAnsi="Palatino Linotype" w:cstheme="minorHAnsi"/>
          <w:sz w:val="22"/>
          <w:szCs w:val="22"/>
        </w:rPr>
        <w:t xml:space="preserve"> (Tablo 2).</w:t>
      </w:r>
    </w:p>
    <w:p w14:paraId="777C1939" w14:textId="40837642" w:rsidR="006C3EE6" w:rsidRPr="00CC0355" w:rsidRDefault="006C3EE6" w:rsidP="008F1741">
      <w:pPr>
        <w:pStyle w:val="NormalWeb"/>
        <w:spacing w:before="0" w:beforeAutospacing="0" w:after="0" w:afterAutospacing="0" w:line="360" w:lineRule="auto"/>
        <w:ind w:right="77"/>
        <w:rPr>
          <w:rFonts w:ascii="Palatino Linotype" w:hAnsi="Palatino Linotype" w:cstheme="minorHAnsi"/>
          <w:b/>
          <w:bCs/>
          <w:sz w:val="22"/>
          <w:szCs w:val="22"/>
        </w:rPr>
      </w:pPr>
      <w:r w:rsidRPr="00CC0355">
        <w:rPr>
          <w:rFonts w:ascii="Palatino Linotype" w:hAnsi="Palatino Linotype" w:cstheme="minorHAnsi"/>
          <w:b/>
          <w:bCs/>
          <w:sz w:val="22"/>
          <w:szCs w:val="22"/>
        </w:rPr>
        <w:t>Kamu harcamaları</w:t>
      </w:r>
      <w:r w:rsidR="0060593A" w:rsidRPr="00CC0355">
        <w:rPr>
          <w:rFonts w:ascii="Palatino Linotype" w:hAnsi="Palatino Linotype" w:cstheme="minorHAnsi"/>
          <w:b/>
          <w:bCs/>
          <w:sz w:val="22"/>
          <w:szCs w:val="22"/>
        </w:rPr>
        <w:t>n</w:t>
      </w:r>
      <w:r w:rsidR="006138F0" w:rsidRPr="00CC0355">
        <w:rPr>
          <w:rFonts w:ascii="Palatino Linotype" w:hAnsi="Palatino Linotype" w:cstheme="minorHAnsi"/>
          <w:b/>
          <w:bCs/>
          <w:sz w:val="22"/>
          <w:szCs w:val="22"/>
        </w:rPr>
        <w:t>d</w:t>
      </w:r>
      <w:r w:rsidR="0060593A" w:rsidRPr="00CC0355">
        <w:rPr>
          <w:rFonts w:ascii="Palatino Linotype" w:hAnsi="Palatino Linotype" w:cstheme="minorHAnsi"/>
          <w:b/>
          <w:bCs/>
          <w:sz w:val="22"/>
          <w:szCs w:val="22"/>
        </w:rPr>
        <w:t>a</w:t>
      </w:r>
      <w:r w:rsidR="006138F0" w:rsidRPr="00CC0355">
        <w:rPr>
          <w:rFonts w:ascii="Palatino Linotype" w:hAnsi="Palatino Linotype" w:cstheme="minorHAnsi"/>
          <w:b/>
          <w:bCs/>
          <w:sz w:val="22"/>
          <w:szCs w:val="22"/>
        </w:rPr>
        <w:t>n</w:t>
      </w:r>
      <w:r w:rsidR="0060593A" w:rsidRPr="00CC0355">
        <w:rPr>
          <w:rFonts w:ascii="Palatino Linotype" w:hAnsi="Palatino Linotype" w:cstheme="minorHAnsi"/>
          <w:b/>
          <w:bCs/>
          <w:sz w:val="22"/>
          <w:szCs w:val="22"/>
        </w:rPr>
        <w:t xml:space="preserve"> </w:t>
      </w:r>
      <w:r w:rsidR="001978A0" w:rsidRPr="00CC0355">
        <w:rPr>
          <w:rFonts w:ascii="Palatino Linotype" w:hAnsi="Palatino Linotype" w:cstheme="minorHAnsi"/>
          <w:b/>
          <w:bCs/>
          <w:sz w:val="22"/>
          <w:szCs w:val="22"/>
        </w:rPr>
        <w:t xml:space="preserve">sınırlı </w:t>
      </w:r>
      <w:r w:rsidR="006138F0" w:rsidRPr="00CC0355">
        <w:rPr>
          <w:rFonts w:ascii="Palatino Linotype" w:hAnsi="Palatino Linotype" w:cstheme="minorHAnsi"/>
          <w:b/>
          <w:bCs/>
          <w:sz w:val="22"/>
          <w:szCs w:val="22"/>
        </w:rPr>
        <w:t>destek</w:t>
      </w:r>
    </w:p>
    <w:p w14:paraId="6D5A1000" w14:textId="0493C4B9" w:rsidR="00370FEE" w:rsidRPr="00CC0355" w:rsidRDefault="00A648DB" w:rsidP="00BD6EC8">
      <w:pPr>
        <w:pStyle w:val="NormalWeb"/>
        <w:spacing w:before="0" w:beforeAutospacing="0" w:after="0" w:afterAutospacing="0" w:line="360" w:lineRule="auto"/>
        <w:ind w:right="77"/>
        <w:jc w:val="both"/>
        <w:rPr>
          <w:rFonts w:ascii="Palatino Linotype" w:hAnsi="Palatino Linotype" w:cstheme="minorHAnsi"/>
          <w:sz w:val="22"/>
          <w:szCs w:val="22"/>
        </w:rPr>
      </w:pPr>
      <w:r w:rsidRPr="00CC0355">
        <w:rPr>
          <w:rFonts w:ascii="Palatino Linotype" w:hAnsi="Palatino Linotype" w:cstheme="minorHAnsi"/>
          <w:sz w:val="22"/>
          <w:szCs w:val="22"/>
        </w:rPr>
        <w:t xml:space="preserve">Geçen yılın aynı çeyreğine göre </w:t>
      </w:r>
      <w:r w:rsidR="0060593A" w:rsidRPr="00CC0355">
        <w:rPr>
          <w:rFonts w:ascii="Palatino Linotype" w:hAnsi="Palatino Linotype" w:cstheme="minorHAnsi"/>
          <w:sz w:val="22"/>
          <w:szCs w:val="22"/>
        </w:rPr>
        <w:t xml:space="preserve">2019 yılı </w:t>
      </w:r>
      <w:r w:rsidR="00D01A3E">
        <w:rPr>
          <w:rFonts w:ascii="Palatino Linotype" w:hAnsi="Palatino Linotype" w:cstheme="minorHAnsi"/>
          <w:sz w:val="22"/>
          <w:szCs w:val="22"/>
        </w:rPr>
        <w:t>dördüncü</w:t>
      </w:r>
      <w:r w:rsidR="0060593A" w:rsidRPr="00CC0355">
        <w:rPr>
          <w:rFonts w:ascii="Palatino Linotype" w:hAnsi="Palatino Linotype" w:cstheme="minorHAnsi"/>
          <w:sz w:val="22"/>
          <w:szCs w:val="22"/>
        </w:rPr>
        <w:t xml:space="preserve"> çeyrekte </w:t>
      </w:r>
      <w:r w:rsidR="00205844" w:rsidRPr="00CC0355">
        <w:rPr>
          <w:rFonts w:ascii="Palatino Linotype" w:hAnsi="Palatino Linotype" w:cstheme="minorHAnsi"/>
          <w:sz w:val="22"/>
          <w:szCs w:val="22"/>
        </w:rPr>
        <w:t xml:space="preserve">yüzde </w:t>
      </w:r>
      <w:r w:rsidR="00D01A3E">
        <w:rPr>
          <w:rFonts w:ascii="Palatino Linotype" w:hAnsi="Palatino Linotype" w:cstheme="minorHAnsi"/>
          <w:sz w:val="22"/>
          <w:szCs w:val="22"/>
        </w:rPr>
        <w:t>2,</w:t>
      </w:r>
      <w:r w:rsidR="006138F0" w:rsidRPr="00CC0355">
        <w:rPr>
          <w:rFonts w:ascii="Palatino Linotype" w:hAnsi="Palatino Linotype" w:cstheme="minorHAnsi"/>
          <w:sz w:val="22"/>
          <w:szCs w:val="22"/>
        </w:rPr>
        <w:t>7</w:t>
      </w:r>
      <w:r w:rsidR="00C7698F" w:rsidRPr="00CC0355">
        <w:rPr>
          <w:rFonts w:ascii="Palatino Linotype" w:hAnsi="Palatino Linotype" w:cstheme="minorHAnsi"/>
          <w:sz w:val="22"/>
          <w:szCs w:val="22"/>
        </w:rPr>
        <w:t xml:space="preserve"> </w:t>
      </w:r>
      <w:r w:rsidRPr="00CC0355">
        <w:rPr>
          <w:rFonts w:ascii="Palatino Linotype" w:hAnsi="Palatino Linotype" w:cstheme="minorHAnsi"/>
          <w:sz w:val="22"/>
          <w:szCs w:val="22"/>
        </w:rPr>
        <w:t xml:space="preserve">artan kamu tüketimi </w:t>
      </w:r>
      <w:r w:rsidR="000C5C80" w:rsidRPr="00CC0355">
        <w:rPr>
          <w:rFonts w:ascii="Palatino Linotype" w:hAnsi="Palatino Linotype" w:cstheme="minorHAnsi"/>
          <w:sz w:val="22"/>
          <w:szCs w:val="22"/>
        </w:rPr>
        <w:t xml:space="preserve">büyümeye </w:t>
      </w:r>
      <w:r w:rsidR="00D01A3E">
        <w:rPr>
          <w:rFonts w:ascii="Palatino Linotype" w:hAnsi="Palatino Linotype" w:cstheme="minorHAnsi"/>
          <w:sz w:val="22"/>
          <w:szCs w:val="22"/>
        </w:rPr>
        <w:t>0,4</w:t>
      </w:r>
      <w:r w:rsidR="006138F0" w:rsidRPr="00CC0355">
        <w:rPr>
          <w:rFonts w:ascii="Palatino Linotype" w:hAnsi="Palatino Linotype" w:cstheme="minorHAnsi"/>
          <w:sz w:val="22"/>
          <w:szCs w:val="22"/>
        </w:rPr>
        <w:t xml:space="preserve"> yüzde puan </w:t>
      </w:r>
      <w:r w:rsidR="000C5C80" w:rsidRPr="00CC0355">
        <w:rPr>
          <w:rFonts w:ascii="Palatino Linotype" w:hAnsi="Palatino Linotype" w:cstheme="minorHAnsi"/>
          <w:sz w:val="22"/>
          <w:szCs w:val="22"/>
        </w:rPr>
        <w:t>katkı</w:t>
      </w:r>
      <w:r w:rsidR="006138F0" w:rsidRPr="00CC0355">
        <w:rPr>
          <w:rFonts w:ascii="Palatino Linotype" w:hAnsi="Palatino Linotype" w:cstheme="minorHAnsi"/>
          <w:sz w:val="22"/>
          <w:szCs w:val="22"/>
        </w:rPr>
        <w:t xml:space="preserve"> yaptı</w:t>
      </w:r>
      <w:r w:rsidR="000C5C80" w:rsidRPr="00CC0355">
        <w:rPr>
          <w:rFonts w:ascii="Palatino Linotype" w:hAnsi="Palatino Linotype" w:cstheme="minorHAnsi"/>
          <w:sz w:val="22"/>
          <w:szCs w:val="22"/>
        </w:rPr>
        <w:t xml:space="preserve"> (Tablo 1). </w:t>
      </w:r>
      <w:r w:rsidR="00D24254" w:rsidRPr="00CC0355">
        <w:rPr>
          <w:rFonts w:ascii="Palatino Linotype" w:hAnsi="Palatino Linotype" w:cstheme="minorHAnsi"/>
          <w:sz w:val="22"/>
          <w:szCs w:val="22"/>
        </w:rPr>
        <w:t xml:space="preserve">Mevsim ve takvim etkilerinden arındırılmış çeyreklik büyüme rakamlarına </w:t>
      </w:r>
      <w:r w:rsidR="00D01A3E">
        <w:rPr>
          <w:rFonts w:ascii="Palatino Linotype" w:hAnsi="Palatino Linotype" w:cstheme="minorHAnsi"/>
          <w:sz w:val="22"/>
          <w:szCs w:val="22"/>
        </w:rPr>
        <w:t>göre ise kamu harcamaları dördüncü çeyrekte üçüncü çeyreğe kıyasla yüzde 1,2 arttı. Büyümeye katkısı ise 0,2</w:t>
      </w:r>
      <w:r w:rsidR="006138F0" w:rsidRPr="00CC0355">
        <w:rPr>
          <w:rFonts w:ascii="Palatino Linotype" w:hAnsi="Palatino Linotype" w:cstheme="minorHAnsi"/>
          <w:sz w:val="22"/>
          <w:szCs w:val="22"/>
        </w:rPr>
        <w:t xml:space="preserve"> yüzde puan ile sınırlı</w:t>
      </w:r>
      <w:r w:rsidR="000C5C80" w:rsidRPr="00CC0355">
        <w:rPr>
          <w:rFonts w:ascii="Palatino Linotype" w:hAnsi="Palatino Linotype" w:cstheme="minorHAnsi"/>
          <w:sz w:val="22"/>
          <w:szCs w:val="22"/>
        </w:rPr>
        <w:t xml:space="preserve"> </w:t>
      </w:r>
      <w:r w:rsidR="0087023B" w:rsidRPr="00CC0355">
        <w:rPr>
          <w:rFonts w:ascii="Palatino Linotype" w:hAnsi="Palatino Linotype" w:cstheme="minorHAnsi"/>
          <w:sz w:val="22"/>
          <w:szCs w:val="22"/>
        </w:rPr>
        <w:t>(Tablo 2).</w:t>
      </w:r>
      <w:r w:rsidR="00935D6E" w:rsidRPr="00CC0355">
        <w:rPr>
          <w:rFonts w:ascii="Palatino Linotype" w:hAnsi="Palatino Linotype" w:cstheme="minorHAnsi"/>
          <w:sz w:val="22"/>
          <w:szCs w:val="22"/>
        </w:rPr>
        <w:t xml:space="preserve"> </w:t>
      </w:r>
    </w:p>
    <w:p w14:paraId="06A5A50A" w14:textId="7E7DCF77" w:rsidR="00BD6EC8" w:rsidRPr="00A6009C" w:rsidRDefault="004F0543" w:rsidP="00BD6EC8">
      <w:pPr>
        <w:pStyle w:val="NormalWeb"/>
        <w:spacing w:before="0" w:beforeAutospacing="0" w:after="0" w:afterAutospacing="0" w:line="360" w:lineRule="auto"/>
        <w:ind w:right="77"/>
        <w:rPr>
          <w:rFonts w:ascii="Palatino Linotype" w:hAnsi="Palatino Linotype" w:cstheme="minorHAnsi"/>
          <w:b/>
          <w:bCs/>
          <w:sz w:val="22"/>
          <w:szCs w:val="22"/>
        </w:rPr>
      </w:pPr>
      <w:r w:rsidRPr="00A6009C">
        <w:rPr>
          <w:rFonts w:ascii="Palatino Linotype" w:hAnsi="Palatino Linotype" w:cstheme="minorHAnsi"/>
          <w:b/>
          <w:bCs/>
          <w:sz w:val="22"/>
          <w:szCs w:val="22"/>
        </w:rPr>
        <w:t>B</w:t>
      </w:r>
      <w:r w:rsidR="00B27C9F" w:rsidRPr="00A6009C">
        <w:rPr>
          <w:rFonts w:ascii="Palatino Linotype" w:hAnsi="Palatino Linotype" w:cstheme="minorHAnsi"/>
          <w:b/>
          <w:bCs/>
          <w:sz w:val="22"/>
          <w:szCs w:val="22"/>
        </w:rPr>
        <w:t>üyümenin geleceği</w:t>
      </w:r>
    </w:p>
    <w:p w14:paraId="29FB68B7" w14:textId="4E801335" w:rsidR="00062A8A" w:rsidRPr="00CC0355" w:rsidRDefault="00E40DD5" w:rsidP="002A037D">
      <w:pPr>
        <w:pStyle w:val="NormalWeb"/>
        <w:spacing w:before="0" w:beforeAutospacing="0" w:after="0" w:afterAutospacing="0" w:line="360" w:lineRule="auto"/>
        <w:ind w:right="77"/>
        <w:rPr>
          <w:rFonts w:ascii="Palatino Linotype" w:hAnsi="Palatino Linotype" w:cstheme="minorHAnsi"/>
          <w:bCs/>
          <w:sz w:val="22"/>
          <w:szCs w:val="22"/>
        </w:rPr>
      </w:pPr>
      <w:r w:rsidRPr="00A6009C">
        <w:rPr>
          <w:rFonts w:ascii="Palatino Linotype" w:hAnsi="Palatino Linotype" w:cstheme="minorHAnsi"/>
          <w:bCs/>
          <w:sz w:val="22"/>
          <w:szCs w:val="22"/>
        </w:rPr>
        <w:t>Bir önceki notumuzda olduğu gibi stok değişiminin ekonominin kötü gittiği bir dönemde pozitif katkı yapmasını içinde bulunduğumuz dönemde talebin düşük olmasına rağmen üretimin devam ettiği, dolayısı ile geleceğe dönük üretici beklentilerinin iyi olduğu şeklinde yorumluyoruz. Bu olumlu sinyale rağmen, yatırımlar</w:t>
      </w:r>
      <w:r w:rsidR="00184B02" w:rsidRPr="00A6009C">
        <w:rPr>
          <w:rFonts w:ascii="Palatino Linotype" w:hAnsi="Palatino Linotype" w:cstheme="minorHAnsi"/>
          <w:bCs/>
          <w:sz w:val="22"/>
          <w:szCs w:val="22"/>
        </w:rPr>
        <w:t>daki artışın olumlu olmakla birlikte sınırlı kaldığını</w:t>
      </w:r>
      <w:r w:rsidRPr="00A6009C">
        <w:rPr>
          <w:rFonts w:ascii="Palatino Linotype" w:hAnsi="Palatino Linotype" w:cstheme="minorHAnsi"/>
          <w:bCs/>
          <w:sz w:val="22"/>
          <w:szCs w:val="22"/>
        </w:rPr>
        <w:t xml:space="preserve"> </w:t>
      </w:r>
      <w:r w:rsidR="00184B02" w:rsidRPr="00A6009C">
        <w:rPr>
          <w:rFonts w:ascii="Palatino Linotype" w:hAnsi="Palatino Linotype" w:cstheme="minorHAnsi"/>
          <w:bCs/>
          <w:sz w:val="22"/>
          <w:szCs w:val="22"/>
        </w:rPr>
        <w:t>tespit ediyoruz</w:t>
      </w:r>
      <w:r w:rsidRPr="00A6009C">
        <w:rPr>
          <w:rFonts w:ascii="Palatino Linotype" w:hAnsi="Palatino Linotype" w:cstheme="minorHAnsi"/>
          <w:bCs/>
          <w:sz w:val="22"/>
          <w:szCs w:val="22"/>
        </w:rPr>
        <w:t xml:space="preserve">. </w:t>
      </w:r>
      <w:r w:rsidR="00184B02" w:rsidRPr="00A6009C">
        <w:rPr>
          <w:rFonts w:ascii="Palatino Linotype" w:hAnsi="Palatino Linotype" w:cstheme="minorHAnsi"/>
          <w:bCs/>
          <w:sz w:val="22"/>
          <w:szCs w:val="22"/>
        </w:rPr>
        <w:t>İthalat harcamalarındaki artışlar içindi bulunduğumuz dönem için büyümeyi aşağı çekerken ilerisi için üretim projeksiyonun olumlu olduğuna da işaret ediyor. Bu olumlu beklenti</w:t>
      </w:r>
      <w:r w:rsidR="00A6009C" w:rsidRPr="00A6009C">
        <w:rPr>
          <w:rFonts w:ascii="Palatino Linotype" w:hAnsi="Palatino Linotype" w:cstheme="minorHAnsi"/>
          <w:bCs/>
          <w:sz w:val="22"/>
          <w:szCs w:val="22"/>
        </w:rPr>
        <w:t xml:space="preserve">yi doğrulayan </w:t>
      </w:r>
      <w:r w:rsidR="00184B02" w:rsidRPr="00A6009C">
        <w:rPr>
          <w:rFonts w:ascii="Palatino Linotype" w:hAnsi="Palatino Linotype" w:cstheme="minorHAnsi"/>
          <w:bCs/>
          <w:sz w:val="22"/>
          <w:szCs w:val="22"/>
        </w:rPr>
        <w:t>bir diğer işareti</w:t>
      </w:r>
      <w:r w:rsidR="00A6009C" w:rsidRPr="00A6009C">
        <w:rPr>
          <w:rFonts w:ascii="Palatino Linotype" w:hAnsi="Palatino Linotype" w:cstheme="minorHAnsi"/>
          <w:bCs/>
          <w:sz w:val="22"/>
          <w:szCs w:val="22"/>
        </w:rPr>
        <w:t>n</w:t>
      </w:r>
      <w:r w:rsidR="00184B02" w:rsidRPr="00A6009C">
        <w:rPr>
          <w:rFonts w:ascii="Palatino Linotype" w:hAnsi="Palatino Linotype" w:cstheme="minorHAnsi"/>
          <w:bCs/>
          <w:sz w:val="22"/>
          <w:szCs w:val="22"/>
        </w:rPr>
        <w:t xml:space="preserve"> de gerçekleşen stok artışlar</w:t>
      </w:r>
      <w:r w:rsidR="00A6009C" w:rsidRPr="00A6009C">
        <w:rPr>
          <w:rFonts w:ascii="Palatino Linotype" w:hAnsi="Palatino Linotype" w:cstheme="minorHAnsi"/>
          <w:bCs/>
          <w:sz w:val="22"/>
          <w:szCs w:val="22"/>
        </w:rPr>
        <w:t xml:space="preserve"> olduğunu belirtebiliriz. </w:t>
      </w:r>
      <w:r w:rsidRPr="00A6009C">
        <w:rPr>
          <w:rFonts w:ascii="Palatino Linotype" w:hAnsi="Palatino Linotype" w:cstheme="minorHAnsi"/>
          <w:bCs/>
          <w:sz w:val="22"/>
          <w:szCs w:val="22"/>
        </w:rPr>
        <w:t xml:space="preserve">Tüm bu işaretleri birlikte </w:t>
      </w:r>
      <w:bookmarkStart w:id="6" w:name="_GoBack"/>
      <w:bookmarkEnd w:id="6"/>
      <w:r w:rsidRPr="00A6009C">
        <w:rPr>
          <w:rFonts w:ascii="Palatino Linotype" w:hAnsi="Palatino Linotype" w:cstheme="minorHAnsi"/>
          <w:bCs/>
          <w:sz w:val="22"/>
          <w:szCs w:val="22"/>
        </w:rPr>
        <w:t>değerlendirdiğimizde en azından önümüzdeki yakın dönem için ekonomik büyümenin devam edeceğini öngörüyoruz.</w:t>
      </w:r>
    </w:p>
    <w:p w14:paraId="2CECF811" w14:textId="77777777" w:rsidR="00DF08BD" w:rsidRPr="00CC0355" w:rsidRDefault="00E85F3F" w:rsidP="00DF08BD">
      <w:pPr>
        <w:pStyle w:val="NormalWeb"/>
        <w:spacing w:before="0" w:beforeAutospacing="0" w:after="0" w:afterAutospacing="0" w:line="360" w:lineRule="auto"/>
        <w:ind w:right="77"/>
        <w:jc w:val="both"/>
        <w:rPr>
          <w:rFonts w:ascii="Palatino Linotype" w:hAnsi="Palatino Linotype" w:cstheme="minorHAnsi"/>
          <w:b/>
          <w:bCs/>
          <w:sz w:val="22"/>
          <w:szCs w:val="22"/>
        </w:rPr>
      </w:pPr>
      <w:r w:rsidRPr="00CC0355">
        <w:rPr>
          <w:rFonts w:ascii="Palatino Linotype" w:hAnsi="Palatino Linotype" w:cstheme="minorHAnsi"/>
          <w:b/>
          <w:bCs/>
          <w:sz w:val="22"/>
          <w:szCs w:val="22"/>
        </w:rPr>
        <w:t xml:space="preserve">Şekil </w:t>
      </w:r>
      <w:r w:rsidR="00F22A71" w:rsidRPr="00CC0355">
        <w:rPr>
          <w:rFonts w:ascii="Palatino Linotype" w:hAnsi="Palatino Linotype" w:cstheme="minorHAnsi"/>
          <w:b/>
          <w:bCs/>
          <w:sz w:val="22"/>
          <w:szCs w:val="22"/>
        </w:rPr>
        <w:t>2</w:t>
      </w:r>
      <w:r w:rsidRPr="00CC0355">
        <w:rPr>
          <w:rFonts w:ascii="Palatino Linotype" w:hAnsi="Palatino Linotype" w:cstheme="minorHAnsi"/>
          <w:b/>
          <w:bCs/>
          <w:sz w:val="22"/>
          <w:szCs w:val="22"/>
        </w:rPr>
        <w:t>: Bir önceki çeyreğe ve geçen yılın aynı çeyreğine göre GSYH büyüme oranları</w:t>
      </w:r>
    </w:p>
    <w:p w14:paraId="19F577E0" w14:textId="006E637D" w:rsidR="003A4C32" w:rsidRPr="00CC0355" w:rsidRDefault="00CE6E39" w:rsidP="00DF08BD">
      <w:pPr>
        <w:pStyle w:val="NormalWeb"/>
        <w:spacing w:before="0" w:beforeAutospacing="0" w:after="0" w:afterAutospacing="0" w:line="360" w:lineRule="auto"/>
        <w:ind w:right="77"/>
        <w:jc w:val="both"/>
        <w:rPr>
          <w:rFonts w:ascii="Palatino Linotype" w:hAnsi="Palatino Linotype" w:cstheme="minorHAnsi"/>
          <w:sz w:val="18"/>
          <w:szCs w:val="18"/>
        </w:rPr>
      </w:pPr>
      <w:r>
        <w:rPr>
          <w:noProof/>
          <w:lang w:val="en-GB" w:eastAsia="en-GB"/>
        </w:rPr>
        <w:drawing>
          <wp:inline distT="0" distB="0" distL="0" distR="0" wp14:anchorId="25EB6523" wp14:editId="42E1FC2E">
            <wp:extent cx="5709037" cy="3236181"/>
            <wp:effectExtent l="0" t="0" r="6350" b="2540"/>
            <wp:docPr id="4" name="Chart 4">
              <a:extLst xmlns:a="http://schemas.openxmlformats.org/drawingml/2006/main">
                <a:ext uri="{FF2B5EF4-FFF2-40B4-BE49-F238E27FC236}">
                  <a16:creationId xmlns:a16="http://schemas.microsoft.com/office/drawing/2014/main" id="{00000000-0008-0000-0B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9047BBA" w14:textId="77777777" w:rsidR="001A080D" w:rsidRPr="00CC0355" w:rsidRDefault="00062A8A" w:rsidP="00062A8A">
      <w:pPr>
        <w:pStyle w:val="NormalWeb"/>
        <w:spacing w:before="0" w:beforeAutospacing="0" w:after="0" w:afterAutospacing="0" w:line="360" w:lineRule="auto"/>
        <w:ind w:right="77"/>
        <w:jc w:val="both"/>
        <w:rPr>
          <w:rFonts w:ascii="Palatino Linotype" w:hAnsi="Palatino Linotype" w:cstheme="minorHAnsi"/>
          <w:bCs/>
          <w:sz w:val="22"/>
          <w:szCs w:val="22"/>
        </w:rPr>
      </w:pPr>
      <w:r w:rsidRPr="00CC0355">
        <w:rPr>
          <w:rFonts w:ascii="Palatino Linotype" w:hAnsi="Palatino Linotype" w:cstheme="minorHAnsi"/>
          <w:sz w:val="18"/>
          <w:szCs w:val="18"/>
        </w:rPr>
        <w:t>Kaynak: TÜİK, Betam</w:t>
      </w:r>
    </w:p>
    <w:sectPr w:rsidR="001A080D" w:rsidRPr="00CC0355" w:rsidSect="00963B0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F11E10" w14:textId="77777777" w:rsidR="00206F72" w:rsidRDefault="00206F72" w:rsidP="00DA0C5D">
      <w:r>
        <w:separator/>
      </w:r>
    </w:p>
  </w:endnote>
  <w:endnote w:type="continuationSeparator" w:id="0">
    <w:p w14:paraId="0575CEEC" w14:textId="77777777" w:rsidR="00206F72" w:rsidRDefault="00206F72" w:rsidP="00DA0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Palatino Linotype">
    <w:panose1 w:val="02040502050505030304"/>
    <w:charset w:val="A2"/>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BD3966" w14:textId="77777777" w:rsidR="00206F72" w:rsidRDefault="00206F72" w:rsidP="00DA0C5D">
      <w:r>
        <w:separator/>
      </w:r>
    </w:p>
  </w:footnote>
  <w:footnote w:type="continuationSeparator" w:id="0">
    <w:p w14:paraId="1E483BCC" w14:textId="77777777" w:rsidR="00206F72" w:rsidRDefault="00206F72" w:rsidP="00DA0C5D">
      <w:r>
        <w:continuationSeparator/>
      </w:r>
    </w:p>
  </w:footnote>
  <w:footnote w:id="1">
    <w:p w14:paraId="6D61CC27" w14:textId="77777777" w:rsidR="00C32789" w:rsidRDefault="00C32789">
      <w:pPr>
        <w:pStyle w:val="FootnoteText"/>
      </w:pPr>
      <w:r>
        <w:rPr>
          <w:rStyle w:val="FootnoteReference"/>
        </w:rPr>
        <w:footnoteRef/>
      </w:r>
      <w:r w:rsidR="001866FC">
        <w:t xml:space="preserve"> </w:t>
      </w:r>
      <w:r w:rsidRPr="001866FC">
        <w:rPr>
          <w:rFonts w:ascii="Palatino Linotype" w:hAnsi="Palatino Linotype"/>
          <w:sz w:val="18"/>
          <w:szCs w:val="18"/>
        </w:rPr>
        <w:t>Betam, ozan.bakis@eas.bau.edu.tr</w:t>
      </w:r>
    </w:p>
  </w:footnote>
  <w:footnote w:id="2">
    <w:p w14:paraId="5BE1DCEB" w14:textId="183F5C82" w:rsidR="001537D8" w:rsidRDefault="001537D8" w:rsidP="001537D8">
      <w:pPr>
        <w:pStyle w:val="FootnoteText"/>
      </w:pPr>
      <w:r>
        <w:rPr>
          <w:rStyle w:val="FootnoteReference"/>
        </w:rPr>
        <w:footnoteRef/>
      </w:r>
      <w:r w:rsidR="001866FC">
        <w:t xml:space="preserve"> </w:t>
      </w:r>
      <w:r w:rsidRPr="001866FC">
        <w:rPr>
          <w:rFonts w:ascii="Palatino Linotype" w:hAnsi="Palatino Linotype"/>
          <w:sz w:val="18"/>
          <w:szCs w:val="18"/>
        </w:rPr>
        <w:t>Betam,</w:t>
      </w:r>
      <w:r w:rsidR="00302EDD">
        <w:rPr>
          <w:rFonts w:ascii="Palatino Linotype" w:hAnsi="Palatino Linotype"/>
          <w:sz w:val="18"/>
          <w:szCs w:val="18"/>
        </w:rPr>
        <w:t xml:space="preserve"> </w:t>
      </w:r>
      <w:r w:rsidR="008B0385">
        <w:rPr>
          <w:rFonts w:ascii="Palatino Linotype" w:hAnsi="Palatino Linotype"/>
          <w:sz w:val="18"/>
          <w:szCs w:val="18"/>
        </w:rPr>
        <w:t>gokhan.dilek</w:t>
      </w:r>
      <w:r w:rsidRPr="001866FC">
        <w:rPr>
          <w:rFonts w:ascii="Palatino Linotype" w:hAnsi="Palatino Linotype"/>
          <w:sz w:val="18"/>
          <w:szCs w:val="18"/>
        </w:rPr>
        <w:t>@eas.bau.edu.tr</w:t>
      </w:r>
      <w:r>
        <w:t xml:space="preserve"> </w:t>
      </w:r>
    </w:p>
  </w:footnote>
  <w:footnote w:id="3">
    <w:p w14:paraId="02E4FAD1" w14:textId="77777777" w:rsidR="00494926" w:rsidRDefault="00494926">
      <w:pPr>
        <w:pStyle w:val="FootnoteText"/>
      </w:pPr>
      <w:r>
        <w:rPr>
          <w:rStyle w:val="FootnoteReference"/>
        </w:rPr>
        <w:footnoteRef/>
      </w:r>
      <w:r>
        <w:t xml:space="preserve"> </w:t>
      </w:r>
      <w:r w:rsidRPr="00494926">
        <w:t>TÜİK yeni milli gelir serilerini hesaplarken zincirleme hacim endeksi yöntemini kullanıyor. Zincirleme yöntemde hem toplamsallık sorunu olduğu hem de "stoktaki değişiklikler" kalemi için zincirlenmiş endeks türetilemediği için stok değişiminin büyümeye katkısı kolayca hesaplanamamaktadır. Zincirleme hacim endeksi yaklaşımında stok değişimi kaleminin büyümeye katkısının nasıl hesaplanacağını kısa süre önce yayınladığımız araştırma notunda detaylı olarak tartışmıştık (bkz. Betam Araştırma Notu 17/217).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850D03"/>
    <w:multiLevelType w:val="hybridMultilevel"/>
    <w:tmpl w:val="ABAEA2D4"/>
    <w:lvl w:ilvl="0" w:tplc="D6BC705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A2MzQ1MzcytDQzNrBU0lEKTi0uzszPAykwqgUAhAyGoiwAAAA="/>
  </w:docVars>
  <w:rsids>
    <w:rsidRoot w:val="00D07713"/>
    <w:rsid w:val="000141C7"/>
    <w:rsid w:val="00017B51"/>
    <w:rsid w:val="00030A2C"/>
    <w:rsid w:val="00036770"/>
    <w:rsid w:val="00041FB7"/>
    <w:rsid w:val="0004390D"/>
    <w:rsid w:val="00044AF3"/>
    <w:rsid w:val="00044D9E"/>
    <w:rsid w:val="0004588B"/>
    <w:rsid w:val="0005290F"/>
    <w:rsid w:val="00052B86"/>
    <w:rsid w:val="00054943"/>
    <w:rsid w:val="00055EA1"/>
    <w:rsid w:val="000561F7"/>
    <w:rsid w:val="00057F8E"/>
    <w:rsid w:val="00062A8A"/>
    <w:rsid w:val="000652B6"/>
    <w:rsid w:val="00070018"/>
    <w:rsid w:val="00073415"/>
    <w:rsid w:val="00080211"/>
    <w:rsid w:val="00080336"/>
    <w:rsid w:val="00085271"/>
    <w:rsid w:val="000905E5"/>
    <w:rsid w:val="00091F3E"/>
    <w:rsid w:val="00096CDA"/>
    <w:rsid w:val="00097794"/>
    <w:rsid w:val="000978C8"/>
    <w:rsid w:val="000A05ED"/>
    <w:rsid w:val="000A3019"/>
    <w:rsid w:val="000A612E"/>
    <w:rsid w:val="000B0D12"/>
    <w:rsid w:val="000B0FC1"/>
    <w:rsid w:val="000B45D6"/>
    <w:rsid w:val="000C5C80"/>
    <w:rsid w:val="000C634D"/>
    <w:rsid w:val="000D5FD3"/>
    <w:rsid w:val="000D6E6C"/>
    <w:rsid w:val="000E2388"/>
    <w:rsid w:val="000E445D"/>
    <w:rsid w:val="000F0B6B"/>
    <w:rsid w:val="000F2C7A"/>
    <w:rsid w:val="000F6529"/>
    <w:rsid w:val="001004FF"/>
    <w:rsid w:val="0010209C"/>
    <w:rsid w:val="00111CED"/>
    <w:rsid w:val="0011613D"/>
    <w:rsid w:val="0012527F"/>
    <w:rsid w:val="00125770"/>
    <w:rsid w:val="00126200"/>
    <w:rsid w:val="00130D73"/>
    <w:rsid w:val="00132910"/>
    <w:rsid w:val="00140468"/>
    <w:rsid w:val="00143F17"/>
    <w:rsid w:val="0014542A"/>
    <w:rsid w:val="00150FFB"/>
    <w:rsid w:val="001527FA"/>
    <w:rsid w:val="001537D8"/>
    <w:rsid w:val="001540B7"/>
    <w:rsid w:val="0016084A"/>
    <w:rsid w:val="00160880"/>
    <w:rsid w:val="001648AB"/>
    <w:rsid w:val="001744CD"/>
    <w:rsid w:val="00177002"/>
    <w:rsid w:val="001777A4"/>
    <w:rsid w:val="00184174"/>
    <w:rsid w:val="00184B02"/>
    <w:rsid w:val="001851FE"/>
    <w:rsid w:val="001855BC"/>
    <w:rsid w:val="001866FC"/>
    <w:rsid w:val="00190944"/>
    <w:rsid w:val="00194FF2"/>
    <w:rsid w:val="001978A0"/>
    <w:rsid w:val="001A080D"/>
    <w:rsid w:val="001A42FF"/>
    <w:rsid w:val="001A5699"/>
    <w:rsid w:val="001B3A44"/>
    <w:rsid w:val="001C2763"/>
    <w:rsid w:val="001C2C68"/>
    <w:rsid w:val="001C65BF"/>
    <w:rsid w:val="001C7370"/>
    <w:rsid w:val="001D0150"/>
    <w:rsid w:val="001D2107"/>
    <w:rsid w:val="001D36E7"/>
    <w:rsid w:val="001D420E"/>
    <w:rsid w:val="001D5B02"/>
    <w:rsid w:val="001D6465"/>
    <w:rsid w:val="001D7073"/>
    <w:rsid w:val="001D7513"/>
    <w:rsid w:val="001E181B"/>
    <w:rsid w:val="001E2E49"/>
    <w:rsid w:val="001E495B"/>
    <w:rsid w:val="001E514D"/>
    <w:rsid w:val="001E72E4"/>
    <w:rsid w:val="001F12E3"/>
    <w:rsid w:val="001F1554"/>
    <w:rsid w:val="001F2DE9"/>
    <w:rsid w:val="001F5841"/>
    <w:rsid w:val="001F7B1D"/>
    <w:rsid w:val="001F7BC7"/>
    <w:rsid w:val="00201E79"/>
    <w:rsid w:val="00202302"/>
    <w:rsid w:val="00205844"/>
    <w:rsid w:val="00206F72"/>
    <w:rsid w:val="002106DF"/>
    <w:rsid w:val="00211E95"/>
    <w:rsid w:val="00212579"/>
    <w:rsid w:val="00212782"/>
    <w:rsid w:val="00214914"/>
    <w:rsid w:val="00214B5E"/>
    <w:rsid w:val="0022673E"/>
    <w:rsid w:val="00232635"/>
    <w:rsid w:val="002343A8"/>
    <w:rsid w:val="00242C10"/>
    <w:rsid w:val="00247A3C"/>
    <w:rsid w:val="0025111C"/>
    <w:rsid w:val="002663FD"/>
    <w:rsid w:val="00267F48"/>
    <w:rsid w:val="00270A75"/>
    <w:rsid w:val="002714F9"/>
    <w:rsid w:val="002729B4"/>
    <w:rsid w:val="002755D9"/>
    <w:rsid w:val="00275745"/>
    <w:rsid w:val="002804E5"/>
    <w:rsid w:val="00282242"/>
    <w:rsid w:val="002829BC"/>
    <w:rsid w:val="002847DE"/>
    <w:rsid w:val="0028498B"/>
    <w:rsid w:val="0029215C"/>
    <w:rsid w:val="00295E9A"/>
    <w:rsid w:val="0029623C"/>
    <w:rsid w:val="0029624E"/>
    <w:rsid w:val="002A037D"/>
    <w:rsid w:val="002A07A9"/>
    <w:rsid w:val="002A16BA"/>
    <w:rsid w:val="002B2A1B"/>
    <w:rsid w:val="002B3C10"/>
    <w:rsid w:val="002B4A1A"/>
    <w:rsid w:val="002C4E2F"/>
    <w:rsid w:val="002C5C24"/>
    <w:rsid w:val="002C64BB"/>
    <w:rsid w:val="002D1797"/>
    <w:rsid w:val="002D4D2D"/>
    <w:rsid w:val="002F2245"/>
    <w:rsid w:val="002F26B4"/>
    <w:rsid w:val="002F2D70"/>
    <w:rsid w:val="002F3163"/>
    <w:rsid w:val="00302EDD"/>
    <w:rsid w:val="003061DC"/>
    <w:rsid w:val="003079ED"/>
    <w:rsid w:val="00310C5C"/>
    <w:rsid w:val="003172DB"/>
    <w:rsid w:val="0032176F"/>
    <w:rsid w:val="00321D78"/>
    <w:rsid w:val="0032280F"/>
    <w:rsid w:val="0032324A"/>
    <w:rsid w:val="00324C51"/>
    <w:rsid w:val="00326195"/>
    <w:rsid w:val="00327CFB"/>
    <w:rsid w:val="00334E27"/>
    <w:rsid w:val="0033649B"/>
    <w:rsid w:val="00344A74"/>
    <w:rsid w:val="00351F12"/>
    <w:rsid w:val="00362359"/>
    <w:rsid w:val="00364AAB"/>
    <w:rsid w:val="00370A07"/>
    <w:rsid w:val="00370FEE"/>
    <w:rsid w:val="00375EB0"/>
    <w:rsid w:val="003777B5"/>
    <w:rsid w:val="00385A29"/>
    <w:rsid w:val="00385C7B"/>
    <w:rsid w:val="003967B5"/>
    <w:rsid w:val="003A488B"/>
    <w:rsid w:val="003A4C32"/>
    <w:rsid w:val="003A7596"/>
    <w:rsid w:val="003B2008"/>
    <w:rsid w:val="003B2D0B"/>
    <w:rsid w:val="003C2891"/>
    <w:rsid w:val="003C65A1"/>
    <w:rsid w:val="003D4202"/>
    <w:rsid w:val="003D44CE"/>
    <w:rsid w:val="003D4627"/>
    <w:rsid w:val="003E1EED"/>
    <w:rsid w:val="003E3299"/>
    <w:rsid w:val="003F00A9"/>
    <w:rsid w:val="003F4E89"/>
    <w:rsid w:val="004017B2"/>
    <w:rsid w:val="00401813"/>
    <w:rsid w:val="004040C3"/>
    <w:rsid w:val="00405BD8"/>
    <w:rsid w:val="00407C84"/>
    <w:rsid w:val="00417F6E"/>
    <w:rsid w:val="00424382"/>
    <w:rsid w:val="00431236"/>
    <w:rsid w:val="00431C38"/>
    <w:rsid w:val="00433A75"/>
    <w:rsid w:val="004435E3"/>
    <w:rsid w:val="00443C08"/>
    <w:rsid w:val="00447743"/>
    <w:rsid w:val="00451A8A"/>
    <w:rsid w:val="004623F2"/>
    <w:rsid w:val="00476E22"/>
    <w:rsid w:val="00477AED"/>
    <w:rsid w:val="00480684"/>
    <w:rsid w:val="00483EC5"/>
    <w:rsid w:val="0048774D"/>
    <w:rsid w:val="00490AAE"/>
    <w:rsid w:val="00492020"/>
    <w:rsid w:val="004931A5"/>
    <w:rsid w:val="00494926"/>
    <w:rsid w:val="004B0D97"/>
    <w:rsid w:val="004B130D"/>
    <w:rsid w:val="004B6E05"/>
    <w:rsid w:val="004B7166"/>
    <w:rsid w:val="004C548E"/>
    <w:rsid w:val="004D1FAD"/>
    <w:rsid w:val="004D626D"/>
    <w:rsid w:val="004D6586"/>
    <w:rsid w:val="004E0098"/>
    <w:rsid w:val="004E5018"/>
    <w:rsid w:val="004F0543"/>
    <w:rsid w:val="004F10AB"/>
    <w:rsid w:val="004F4BDC"/>
    <w:rsid w:val="0050008F"/>
    <w:rsid w:val="005020BC"/>
    <w:rsid w:val="005033DB"/>
    <w:rsid w:val="00505041"/>
    <w:rsid w:val="00506253"/>
    <w:rsid w:val="00510883"/>
    <w:rsid w:val="00521326"/>
    <w:rsid w:val="005225E0"/>
    <w:rsid w:val="00530B9F"/>
    <w:rsid w:val="0053582F"/>
    <w:rsid w:val="0053586E"/>
    <w:rsid w:val="0054145E"/>
    <w:rsid w:val="00542345"/>
    <w:rsid w:val="005438B0"/>
    <w:rsid w:val="00544773"/>
    <w:rsid w:val="005600E7"/>
    <w:rsid w:val="00570C1B"/>
    <w:rsid w:val="00572FD8"/>
    <w:rsid w:val="005748A8"/>
    <w:rsid w:val="005824BD"/>
    <w:rsid w:val="0058588C"/>
    <w:rsid w:val="00586424"/>
    <w:rsid w:val="005A2246"/>
    <w:rsid w:val="005A617F"/>
    <w:rsid w:val="005B35F3"/>
    <w:rsid w:val="005B67B3"/>
    <w:rsid w:val="005C00FE"/>
    <w:rsid w:val="005C08B0"/>
    <w:rsid w:val="005C6245"/>
    <w:rsid w:val="005D00FB"/>
    <w:rsid w:val="005D27F8"/>
    <w:rsid w:val="005D2979"/>
    <w:rsid w:val="005D3C96"/>
    <w:rsid w:val="005D4126"/>
    <w:rsid w:val="005D72F5"/>
    <w:rsid w:val="005D7F3E"/>
    <w:rsid w:val="005E2717"/>
    <w:rsid w:val="005E49F0"/>
    <w:rsid w:val="005F0C29"/>
    <w:rsid w:val="005F26AF"/>
    <w:rsid w:val="005F63C3"/>
    <w:rsid w:val="005F69B2"/>
    <w:rsid w:val="005F7787"/>
    <w:rsid w:val="00602C2B"/>
    <w:rsid w:val="0060593A"/>
    <w:rsid w:val="00610889"/>
    <w:rsid w:val="0061333E"/>
    <w:rsid w:val="006138F0"/>
    <w:rsid w:val="00613D1F"/>
    <w:rsid w:val="0061410A"/>
    <w:rsid w:val="00625B95"/>
    <w:rsid w:val="006268DA"/>
    <w:rsid w:val="00631D5B"/>
    <w:rsid w:val="00632221"/>
    <w:rsid w:val="00632CF6"/>
    <w:rsid w:val="0064012D"/>
    <w:rsid w:val="00643113"/>
    <w:rsid w:val="006432C9"/>
    <w:rsid w:val="006439C5"/>
    <w:rsid w:val="00643F5D"/>
    <w:rsid w:val="0064483B"/>
    <w:rsid w:val="00645147"/>
    <w:rsid w:val="00647318"/>
    <w:rsid w:val="00647792"/>
    <w:rsid w:val="00650BB3"/>
    <w:rsid w:val="006549E3"/>
    <w:rsid w:val="00655938"/>
    <w:rsid w:val="00655B95"/>
    <w:rsid w:val="00657B23"/>
    <w:rsid w:val="0067008D"/>
    <w:rsid w:val="006761BB"/>
    <w:rsid w:val="0067693E"/>
    <w:rsid w:val="00680E36"/>
    <w:rsid w:val="00681022"/>
    <w:rsid w:val="006813D8"/>
    <w:rsid w:val="00681AD9"/>
    <w:rsid w:val="00694B4D"/>
    <w:rsid w:val="00694F52"/>
    <w:rsid w:val="006A201E"/>
    <w:rsid w:val="006A308B"/>
    <w:rsid w:val="006B0633"/>
    <w:rsid w:val="006C122C"/>
    <w:rsid w:val="006C3EE6"/>
    <w:rsid w:val="006C49A7"/>
    <w:rsid w:val="006D02FD"/>
    <w:rsid w:val="006D1DD6"/>
    <w:rsid w:val="006D32A0"/>
    <w:rsid w:val="006E07BA"/>
    <w:rsid w:val="006F0FC6"/>
    <w:rsid w:val="006F1912"/>
    <w:rsid w:val="006F2CD8"/>
    <w:rsid w:val="006F49E7"/>
    <w:rsid w:val="006F5E82"/>
    <w:rsid w:val="006F615A"/>
    <w:rsid w:val="0070188F"/>
    <w:rsid w:val="00707FBD"/>
    <w:rsid w:val="00711A8A"/>
    <w:rsid w:val="007135FC"/>
    <w:rsid w:val="007201BD"/>
    <w:rsid w:val="00720250"/>
    <w:rsid w:val="00724E7C"/>
    <w:rsid w:val="00731521"/>
    <w:rsid w:val="0074205B"/>
    <w:rsid w:val="0075142F"/>
    <w:rsid w:val="00751F72"/>
    <w:rsid w:val="00761711"/>
    <w:rsid w:val="00765445"/>
    <w:rsid w:val="0077111C"/>
    <w:rsid w:val="007715F2"/>
    <w:rsid w:val="00773A17"/>
    <w:rsid w:val="00773D8B"/>
    <w:rsid w:val="00776789"/>
    <w:rsid w:val="00777AEF"/>
    <w:rsid w:val="00783CD4"/>
    <w:rsid w:val="0079216E"/>
    <w:rsid w:val="00792F4E"/>
    <w:rsid w:val="00797437"/>
    <w:rsid w:val="007A0DBE"/>
    <w:rsid w:val="007A1767"/>
    <w:rsid w:val="007A5FB1"/>
    <w:rsid w:val="007B5A28"/>
    <w:rsid w:val="007B70AD"/>
    <w:rsid w:val="007C1995"/>
    <w:rsid w:val="007C462A"/>
    <w:rsid w:val="007D4953"/>
    <w:rsid w:val="007F13F2"/>
    <w:rsid w:val="007F39BB"/>
    <w:rsid w:val="007F3B7C"/>
    <w:rsid w:val="007F3C9B"/>
    <w:rsid w:val="008063E6"/>
    <w:rsid w:val="0081114C"/>
    <w:rsid w:val="008151D2"/>
    <w:rsid w:val="00817A10"/>
    <w:rsid w:val="008275A8"/>
    <w:rsid w:val="00830B62"/>
    <w:rsid w:val="008312F9"/>
    <w:rsid w:val="00832402"/>
    <w:rsid w:val="00835D87"/>
    <w:rsid w:val="00837B95"/>
    <w:rsid w:val="00841E4C"/>
    <w:rsid w:val="00844C00"/>
    <w:rsid w:val="00844C47"/>
    <w:rsid w:val="0084500C"/>
    <w:rsid w:val="00845815"/>
    <w:rsid w:val="00845A54"/>
    <w:rsid w:val="0084623F"/>
    <w:rsid w:val="008469D3"/>
    <w:rsid w:val="00856B55"/>
    <w:rsid w:val="0086495E"/>
    <w:rsid w:val="00865CE6"/>
    <w:rsid w:val="0087023B"/>
    <w:rsid w:val="00870A3F"/>
    <w:rsid w:val="00881E18"/>
    <w:rsid w:val="0088270D"/>
    <w:rsid w:val="00884819"/>
    <w:rsid w:val="0089048A"/>
    <w:rsid w:val="008914E6"/>
    <w:rsid w:val="0089158B"/>
    <w:rsid w:val="00893320"/>
    <w:rsid w:val="008945AE"/>
    <w:rsid w:val="008A3BD9"/>
    <w:rsid w:val="008B0385"/>
    <w:rsid w:val="008B29F8"/>
    <w:rsid w:val="008B6FC3"/>
    <w:rsid w:val="008C51CA"/>
    <w:rsid w:val="008C56F9"/>
    <w:rsid w:val="008C70C5"/>
    <w:rsid w:val="008C73E6"/>
    <w:rsid w:val="008D7AA2"/>
    <w:rsid w:val="008F1741"/>
    <w:rsid w:val="008F2BCD"/>
    <w:rsid w:val="00912A8A"/>
    <w:rsid w:val="00914D26"/>
    <w:rsid w:val="00916533"/>
    <w:rsid w:val="00916C78"/>
    <w:rsid w:val="00917330"/>
    <w:rsid w:val="009204AA"/>
    <w:rsid w:val="009247BA"/>
    <w:rsid w:val="00924CD9"/>
    <w:rsid w:val="00927D28"/>
    <w:rsid w:val="00935D6E"/>
    <w:rsid w:val="009400E0"/>
    <w:rsid w:val="00940150"/>
    <w:rsid w:val="00940DA9"/>
    <w:rsid w:val="0094295F"/>
    <w:rsid w:val="009455F2"/>
    <w:rsid w:val="00945950"/>
    <w:rsid w:val="00955DC8"/>
    <w:rsid w:val="00957FE5"/>
    <w:rsid w:val="00961F5B"/>
    <w:rsid w:val="00963B04"/>
    <w:rsid w:val="009663D6"/>
    <w:rsid w:val="0098310A"/>
    <w:rsid w:val="00983612"/>
    <w:rsid w:val="0098616F"/>
    <w:rsid w:val="00990E34"/>
    <w:rsid w:val="00996151"/>
    <w:rsid w:val="00996EBD"/>
    <w:rsid w:val="00997694"/>
    <w:rsid w:val="00997713"/>
    <w:rsid w:val="00997C54"/>
    <w:rsid w:val="009A71AF"/>
    <w:rsid w:val="009B1546"/>
    <w:rsid w:val="009B16AD"/>
    <w:rsid w:val="009B2E56"/>
    <w:rsid w:val="009B385A"/>
    <w:rsid w:val="009B651F"/>
    <w:rsid w:val="009C66C3"/>
    <w:rsid w:val="009D62AC"/>
    <w:rsid w:val="009D71BF"/>
    <w:rsid w:val="009E0348"/>
    <w:rsid w:val="009E25DA"/>
    <w:rsid w:val="009E5241"/>
    <w:rsid w:val="009E68C6"/>
    <w:rsid w:val="009F2483"/>
    <w:rsid w:val="009F42CC"/>
    <w:rsid w:val="009F603E"/>
    <w:rsid w:val="00A0130D"/>
    <w:rsid w:val="00A03316"/>
    <w:rsid w:val="00A0483D"/>
    <w:rsid w:val="00A04EFA"/>
    <w:rsid w:val="00A10891"/>
    <w:rsid w:val="00A109C3"/>
    <w:rsid w:val="00A15DC3"/>
    <w:rsid w:val="00A2147D"/>
    <w:rsid w:val="00A25823"/>
    <w:rsid w:val="00A2601A"/>
    <w:rsid w:val="00A303D5"/>
    <w:rsid w:val="00A3095F"/>
    <w:rsid w:val="00A310EA"/>
    <w:rsid w:val="00A322AA"/>
    <w:rsid w:val="00A327F6"/>
    <w:rsid w:val="00A34DB9"/>
    <w:rsid w:val="00A40E31"/>
    <w:rsid w:val="00A444F9"/>
    <w:rsid w:val="00A46C4A"/>
    <w:rsid w:val="00A50FB7"/>
    <w:rsid w:val="00A6009C"/>
    <w:rsid w:val="00A6165E"/>
    <w:rsid w:val="00A648DB"/>
    <w:rsid w:val="00A675D3"/>
    <w:rsid w:val="00A719DB"/>
    <w:rsid w:val="00A73EA9"/>
    <w:rsid w:val="00A842EA"/>
    <w:rsid w:val="00A8572B"/>
    <w:rsid w:val="00A86808"/>
    <w:rsid w:val="00A874DA"/>
    <w:rsid w:val="00A90B4F"/>
    <w:rsid w:val="00A90F77"/>
    <w:rsid w:val="00A92286"/>
    <w:rsid w:val="00A9270B"/>
    <w:rsid w:val="00AA1706"/>
    <w:rsid w:val="00AB1006"/>
    <w:rsid w:val="00AB36F7"/>
    <w:rsid w:val="00AD01B6"/>
    <w:rsid w:val="00AD7ADC"/>
    <w:rsid w:val="00AE59EE"/>
    <w:rsid w:val="00B01508"/>
    <w:rsid w:val="00B01533"/>
    <w:rsid w:val="00B02D74"/>
    <w:rsid w:val="00B119E3"/>
    <w:rsid w:val="00B17241"/>
    <w:rsid w:val="00B17B6A"/>
    <w:rsid w:val="00B24D13"/>
    <w:rsid w:val="00B27C9F"/>
    <w:rsid w:val="00B31FC9"/>
    <w:rsid w:val="00B34132"/>
    <w:rsid w:val="00B35FDB"/>
    <w:rsid w:val="00B36BFA"/>
    <w:rsid w:val="00B45DFF"/>
    <w:rsid w:val="00B4685F"/>
    <w:rsid w:val="00B56D03"/>
    <w:rsid w:val="00B703DE"/>
    <w:rsid w:val="00B76782"/>
    <w:rsid w:val="00B82B92"/>
    <w:rsid w:val="00B9319A"/>
    <w:rsid w:val="00B95E66"/>
    <w:rsid w:val="00BA3C62"/>
    <w:rsid w:val="00BA5FF0"/>
    <w:rsid w:val="00BA7E44"/>
    <w:rsid w:val="00BB3448"/>
    <w:rsid w:val="00BB5725"/>
    <w:rsid w:val="00BC1EF8"/>
    <w:rsid w:val="00BD00B2"/>
    <w:rsid w:val="00BD51DF"/>
    <w:rsid w:val="00BD6621"/>
    <w:rsid w:val="00BD6EC8"/>
    <w:rsid w:val="00BD7F4E"/>
    <w:rsid w:val="00BE06CE"/>
    <w:rsid w:val="00BE1622"/>
    <w:rsid w:val="00BE6CCA"/>
    <w:rsid w:val="00BE7C49"/>
    <w:rsid w:val="00BF1EC4"/>
    <w:rsid w:val="00BF59B3"/>
    <w:rsid w:val="00C066D2"/>
    <w:rsid w:val="00C11B5A"/>
    <w:rsid w:val="00C126FC"/>
    <w:rsid w:val="00C1422A"/>
    <w:rsid w:val="00C14C86"/>
    <w:rsid w:val="00C21E02"/>
    <w:rsid w:val="00C271FA"/>
    <w:rsid w:val="00C32789"/>
    <w:rsid w:val="00C34C5C"/>
    <w:rsid w:val="00C35660"/>
    <w:rsid w:val="00C43EBE"/>
    <w:rsid w:val="00C5056E"/>
    <w:rsid w:val="00C50FD5"/>
    <w:rsid w:val="00C53444"/>
    <w:rsid w:val="00C56C6E"/>
    <w:rsid w:val="00C57749"/>
    <w:rsid w:val="00C60221"/>
    <w:rsid w:val="00C6130D"/>
    <w:rsid w:val="00C7220A"/>
    <w:rsid w:val="00C73CC1"/>
    <w:rsid w:val="00C742C7"/>
    <w:rsid w:val="00C754E1"/>
    <w:rsid w:val="00C7698F"/>
    <w:rsid w:val="00C813E4"/>
    <w:rsid w:val="00C82B14"/>
    <w:rsid w:val="00C850EC"/>
    <w:rsid w:val="00C86475"/>
    <w:rsid w:val="00C87C00"/>
    <w:rsid w:val="00C9003F"/>
    <w:rsid w:val="00C900F9"/>
    <w:rsid w:val="00C9036E"/>
    <w:rsid w:val="00C97FD1"/>
    <w:rsid w:val="00CA234B"/>
    <w:rsid w:val="00CA77D7"/>
    <w:rsid w:val="00CB0E7B"/>
    <w:rsid w:val="00CB1AD7"/>
    <w:rsid w:val="00CB3462"/>
    <w:rsid w:val="00CB4102"/>
    <w:rsid w:val="00CB41BA"/>
    <w:rsid w:val="00CB72D1"/>
    <w:rsid w:val="00CB767C"/>
    <w:rsid w:val="00CC0355"/>
    <w:rsid w:val="00CC3EAD"/>
    <w:rsid w:val="00CC44D3"/>
    <w:rsid w:val="00CC79C0"/>
    <w:rsid w:val="00CD6778"/>
    <w:rsid w:val="00CE6E39"/>
    <w:rsid w:val="00CF365B"/>
    <w:rsid w:val="00CF5053"/>
    <w:rsid w:val="00CF506B"/>
    <w:rsid w:val="00CF7798"/>
    <w:rsid w:val="00D0155A"/>
    <w:rsid w:val="00D01A3E"/>
    <w:rsid w:val="00D07713"/>
    <w:rsid w:val="00D10C44"/>
    <w:rsid w:val="00D1282D"/>
    <w:rsid w:val="00D136A7"/>
    <w:rsid w:val="00D147ED"/>
    <w:rsid w:val="00D1686E"/>
    <w:rsid w:val="00D24254"/>
    <w:rsid w:val="00D257C1"/>
    <w:rsid w:val="00D32C5D"/>
    <w:rsid w:val="00D34702"/>
    <w:rsid w:val="00D4418E"/>
    <w:rsid w:val="00D44562"/>
    <w:rsid w:val="00D45167"/>
    <w:rsid w:val="00D4574F"/>
    <w:rsid w:val="00D463B7"/>
    <w:rsid w:val="00D4719D"/>
    <w:rsid w:val="00D50220"/>
    <w:rsid w:val="00D53424"/>
    <w:rsid w:val="00D54395"/>
    <w:rsid w:val="00D60AAF"/>
    <w:rsid w:val="00D63430"/>
    <w:rsid w:val="00D65AAD"/>
    <w:rsid w:val="00D67F66"/>
    <w:rsid w:val="00D732A9"/>
    <w:rsid w:val="00D76361"/>
    <w:rsid w:val="00D803A1"/>
    <w:rsid w:val="00D90931"/>
    <w:rsid w:val="00D94A3B"/>
    <w:rsid w:val="00D95EA2"/>
    <w:rsid w:val="00D9649B"/>
    <w:rsid w:val="00D976E9"/>
    <w:rsid w:val="00DA0C5D"/>
    <w:rsid w:val="00DA5524"/>
    <w:rsid w:val="00DB4A16"/>
    <w:rsid w:val="00DB5518"/>
    <w:rsid w:val="00DB6C1E"/>
    <w:rsid w:val="00DC0B1C"/>
    <w:rsid w:val="00DD2D75"/>
    <w:rsid w:val="00DD4D85"/>
    <w:rsid w:val="00DE57B8"/>
    <w:rsid w:val="00DF08BD"/>
    <w:rsid w:val="00DF1057"/>
    <w:rsid w:val="00DF44DE"/>
    <w:rsid w:val="00E04EFE"/>
    <w:rsid w:val="00E05DE7"/>
    <w:rsid w:val="00E0602A"/>
    <w:rsid w:val="00E122C5"/>
    <w:rsid w:val="00E23E54"/>
    <w:rsid w:val="00E25A25"/>
    <w:rsid w:val="00E306CB"/>
    <w:rsid w:val="00E3778C"/>
    <w:rsid w:val="00E37C95"/>
    <w:rsid w:val="00E40BEF"/>
    <w:rsid w:val="00E40CBC"/>
    <w:rsid w:val="00E40DD5"/>
    <w:rsid w:val="00E41840"/>
    <w:rsid w:val="00E4681E"/>
    <w:rsid w:val="00E540BC"/>
    <w:rsid w:val="00E565C5"/>
    <w:rsid w:val="00E57043"/>
    <w:rsid w:val="00E5723B"/>
    <w:rsid w:val="00E631F0"/>
    <w:rsid w:val="00E634D2"/>
    <w:rsid w:val="00E667CB"/>
    <w:rsid w:val="00E67DCD"/>
    <w:rsid w:val="00E750CC"/>
    <w:rsid w:val="00E77CAA"/>
    <w:rsid w:val="00E82940"/>
    <w:rsid w:val="00E83A84"/>
    <w:rsid w:val="00E85F3F"/>
    <w:rsid w:val="00EA0ED2"/>
    <w:rsid w:val="00EA7527"/>
    <w:rsid w:val="00EB2C83"/>
    <w:rsid w:val="00EB476F"/>
    <w:rsid w:val="00EB52B3"/>
    <w:rsid w:val="00EC136E"/>
    <w:rsid w:val="00EC2814"/>
    <w:rsid w:val="00EC37CB"/>
    <w:rsid w:val="00ED0762"/>
    <w:rsid w:val="00ED266F"/>
    <w:rsid w:val="00ED5E21"/>
    <w:rsid w:val="00ED7C53"/>
    <w:rsid w:val="00EE0633"/>
    <w:rsid w:val="00EE150B"/>
    <w:rsid w:val="00EE4795"/>
    <w:rsid w:val="00EF09A7"/>
    <w:rsid w:val="00EF29EC"/>
    <w:rsid w:val="00F0076E"/>
    <w:rsid w:val="00F00FB7"/>
    <w:rsid w:val="00F0654E"/>
    <w:rsid w:val="00F118B1"/>
    <w:rsid w:val="00F136EE"/>
    <w:rsid w:val="00F22A71"/>
    <w:rsid w:val="00F27D86"/>
    <w:rsid w:val="00F30329"/>
    <w:rsid w:val="00F31726"/>
    <w:rsid w:val="00F33EED"/>
    <w:rsid w:val="00F41E19"/>
    <w:rsid w:val="00F441A2"/>
    <w:rsid w:val="00F44E44"/>
    <w:rsid w:val="00F46A54"/>
    <w:rsid w:val="00F50705"/>
    <w:rsid w:val="00F5130C"/>
    <w:rsid w:val="00F5534B"/>
    <w:rsid w:val="00F65C09"/>
    <w:rsid w:val="00F676BF"/>
    <w:rsid w:val="00F67B66"/>
    <w:rsid w:val="00F70EC7"/>
    <w:rsid w:val="00F80F23"/>
    <w:rsid w:val="00F87405"/>
    <w:rsid w:val="00F9160B"/>
    <w:rsid w:val="00F94113"/>
    <w:rsid w:val="00F9530C"/>
    <w:rsid w:val="00FA206C"/>
    <w:rsid w:val="00FA63BA"/>
    <w:rsid w:val="00FB3FBF"/>
    <w:rsid w:val="00FB5611"/>
    <w:rsid w:val="00FB701E"/>
    <w:rsid w:val="00FC0F20"/>
    <w:rsid w:val="00FC5B54"/>
    <w:rsid w:val="00FD2267"/>
    <w:rsid w:val="00FD35CE"/>
    <w:rsid w:val="00FD7B4A"/>
    <w:rsid w:val="00FE385C"/>
    <w:rsid w:val="00FF0884"/>
    <w:rsid w:val="00FF13E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C77F0"/>
  <w15:docId w15:val="{9CA1EF39-B796-443B-AC8D-F92DAEA61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713"/>
    <w:pPr>
      <w:spacing w:after="0" w:line="240" w:lineRule="auto"/>
    </w:pPr>
    <w:rPr>
      <w:rFonts w:ascii="Times New Roman"/>
      <w:sz w:val="24"/>
      <w:szCs w:val="24"/>
      <w:lang w:val="tr-TR" w:eastAsia="tr-TR"/>
    </w:rPr>
  </w:style>
  <w:style w:type="paragraph" w:styleId="Heading1">
    <w:name w:val="heading 1"/>
    <w:basedOn w:val="Normal"/>
    <w:next w:val="Normal"/>
    <w:link w:val="Heading1Char"/>
    <w:uiPriority w:val="99"/>
    <w:qFormat/>
    <w:rsid w:val="00D07713"/>
    <w:pPr>
      <w:keepNext/>
      <w:tabs>
        <w:tab w:val="num" w:pos="432"/>
      </w:tabs>
      <w:suppressAutoHyphens/>
      <w:ind w:left="432" w:hanging="432"/>
      <w:jc w:val="center"/>
      <w:outlineLvl w:val="0"/>
    </w:pPr>
    <w:rPr>
      <w:rFonts w:ascii="Arial" w:hAnsi="Arial" w:cs="Arial"/>
      <w:b/>
      <w:bCs/>
      <w:sz w:val="18"/>
      <w:szCs w:val="18"/>
      <w:lang w:eastAsia="ar-SA"/>
    </w:rPr>
  </w:style>
  <w:style w:type="paragraph" w:styleId="Heading2">
    <w:name w:val="heading 2"/>
    <w:basedOn w:val="Normal"/>
    <w:next w:val="Normal"/>
    <w:link w:val="Heading2Char"/>
    <w:uiPriority w:val="99"/>
    <w:qFormat/>
    <w:rsid w:val="00D07713"/>
    <w:pPr>
      <w:keepNext/>
      <w:tabs>
        <w:tab w:val="num" w:pos="576"/>
      </w:tabs>
      <w:suppressAutoHyphens/>
      <w:spacing w:before="240" w:after="60"/>
      <w:ind w:left="576" w:hanging="576"/>
      <w:outlineLvl w:val="1"/>
    </w:pPr>
    <w:rPr>
      <w:rFonts w:ascii="Arial" w:hAnsi="Arial" w:cs="Arial"/>
      <w:b/>
      <w:bCs/>
      <w:i/>
      <w:iCs/>
      <w:sz w:val="28"/>
      <w:szCs w:val="28"/>
      <w:lang w:val="en-GB" w:eastAsia="ar-SA"/>
    </w:rPr>
  </w:style>
  <w:style w:type="paragraph" w:styleId="Heading3">
    <w:name w:val="heading 3"/>
    <w:basedOn w:val="Normal"/>
    <w:next w:val="Normal"/>
    <w:link w:val="Heading3Char"/>
    <w:uiPriority w:val="99"/>
    <w:unhideWhenUsed/>
    <w:qFormat/>
    <w:rsid w:val="00D0771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07713"/>
    <w:rPr>
      <w:rFonts w:ascii="Arial" w:hAnsi="Arial" w:cs="Arial"/>
      <w:b/>
      <w:bCs/>
      <w:sz w:val="18"/>
      <w:szCs w:val="18"/>
      <w:lang w:val="tr-TR" w:eastAsia="ar-SA"/>
    </w:rPr>
  </w:style>
  <w:style w:type="character" w:customStyle="1" w:styleId="Heading2Char">
    <w:name w:val="Heading 2 Char"/>
    <w:basedOn w:val="DefaultParagraphFont"/>
    <w:link w:val="Heading2"/>
    <w:uiPriority w:val="99"/>
    <w:rsid w:val="00D07713"/>
    <w:rPr>
      <w:rFonts w:ascii="Arial" w:hAnsi="Arial" w:cs="Arial"/>
      <w:b/>
      <w:bCs/>
      <w:i/>
      <w:iCs/>
      <w:sz w:val="28"/>
      <w:szCs w:val="28"/>
      <w:lang w:val="en-GB" w:eastAsia="ar-SA"/>
    </w:rPr>
  </w:style>
  <w:style w:type="character" w:customStyle="1" w:styleId="Heading3Char">
    <w:name w:val="Heading 3 Char"/>
    <w:basedOn w:val="DefaultParagraphFont"/>
    <w:link w:val="Heading3"/>
    <w:uiPriority w:val="9"/>
    <w:semiHidden/>
    <w:rsid w:val="00D07713"/>
    <w:rPr>
      <w:rFonts w:asciiTheme="majorHAnsi" w:eastAsiaTheme="majorEastAsia" w:hAnsiTheme="majorHAnsi" w:cstheme="majorBidi"/>
      <w:color w:val="1F3763" w:themeColor="accent1" w:themeShade="7F"/>
      <w:sz w:val="24"/>
      <w:szCs w:val="24"/>
      <w:lang w:val="tr-TR"/>
    </w:rPr>
  </w:style>
  <w:style w:type="paragraph" w:styleId="ListParagraph">
    <w:name w:val="List Paragraph"/>
    <w:basedOn w:val="Normal"/>
    <w:uiPriority w:val="34"/>
    <w:qFormat/>
    <w:rsid w:val="001C65BF"/>
    <w:pPr>
      <w:ind w:left="720"/>
      <w:contextualSpacing/>
    </w:pPr>
  </w:style>
  <w:style w:type="character" w:styleId="Hyperlink">
    <w:name w:val="Hyperlink"/>
    <w:basedOn w:val="DefaultParagraphFont"/>
    <w:uiPriority w:val="99"/>
    <w:unhideWhenUsed/>
    <w:rsid w:val="001C65BF"/>
    <w:rPr>
      <w:color w:val="0563C1" w:themeColor="hyperlink"/>
      <w:u w:val="single"/>
    </w:rPr>
  </w:style>
  <w:style w:type="character" w:customStyle="1" w:styleId="Mention1">
    <w:name w:val="Mention1"/>
    <w:basedOn w:val="DefaultParagraphFont"/>
    <w:uiPriority w:val="99"/>
    <w:semiHidden/>
    <w:unhideWhenUsed/>
    <w:rsid w:val="001C65BF"/>
    <w:rPr>
      <w:color w:val="2B579A"/>
      <w:shd w:val="clear" w:color="auto" w:fill="E6E6E6"/>
    </w:rPr>
  </w:style>
  <w:style w:type="paragraph" w:styleId="NormalWeb">
    <w:name w:val="Normal (Web)"/>
    <w:basedOn w:val="Normal"/>
    <w:uiPriority w:val="99"/>
    <w:rsid w:val="006C3EE6"/>
    <w:pPr>
      <w:spacing w:before="100" w:beforeAutospacing="1" w:after="100" w:afterAutospacing="1"/>
    </w:pPr>
  </w:style>
  <w:style w:type="character" w:customStyle="1" w:styleId="UnresolvedMention1">
    <w:name w:val="Unresolved Mention1"/>
    <w:basedOn w:val="DefaultParagraphFont"/>
    <w:uiPriority w:val="99"/>
    <w:semiHidden/>
    <w:unhideWhenUsed/>
    <w:rsid w:val="00DA0C5D"/>
    <w:rPr>
      <w:color w:val="808080"/>
      <w:shd w:val="clear" w:color="auto" w:fill="E6E6E6"/>
    </w:rPr>
  </w:style>
  <w:style w:type="paragraph" w:styleId="FootnoteText">
    <w:name w:val="footnote text"/>
    <w:basedOn w:val="Normal"/>
    <w:link w:val="FootnoteTextChar"/>
    <w:uiPriority w:val="99"/>
    <w:semiHidden/>
    <w:unhideWhenUsed/>
    <w:rsid w:val="00DA0C5D"/>
    <w:rPr>
      <w:sz w:val="20"/>
      <w:szCs w:val="20"/>
    </w:rPr>
  </w:style>
  <w:style w:type="character" w:customStyle="1" w:styleId="FootnoteTextChar">
    <w:name w:val="Footnote Text Char"/>
    <w:basedOn w:val="DefaultParagraphFont"/>
    <w:link w:val="FootnoteText"/>
    <w:uiPriority w:val="99"/>
    <w:semiHidden/>
    <w:rsid w:val="00DA0C5D"/>
    <w:rPr>
      <w:rFonts w:ascii="Times New Roman"/>
      <w:sz w:val="20"/>
      <w:szCs w:val="20"/>
      <w:lang w:val="tr-TR" w:eastAsia="tr-TR"/>
    </w:rPr>
  </w:style>
  <w:style w:type="character" w:styleId="FootnoteReference">
    <w:name w:val="footnote reference"/>
    <w:basedOn w:val="DefaultParagraphFont"/>
    <w:uiPriority w:val="99"/>
    <w:semiHidden/>
    <w:unhideWhenUsed/>
    <w:rsid w:val="00DA0C5D"/>
    <w:rPr>
      <w:vertAlign w:val="superscript"/>
    </w:rPr>
  </w:style>
  <w:style w:type="paragraph" w:styleId="BalloonText">
    <w:name w:val="Balloon Text"/>
    <w:basedOn w:val="Normal"/>
    <w:link w:val="BalloonTextChar"/>
    <w:uiPriority w:val="99"/>
    <w:semiHidden/>
    <w:unhideWhenUsed/>
    <w:rsid w:val="00845A54"/>
    <w:rPr>
      <w:rFonts w:ascii="Tahoma" w:hAnsi="Tahoma" w:cs="Tahoma"/>
      <w:sz w:val="16"/>
      <w:szCs w:val="16"/>
    </w:rPr>
  </w:style>
  <w:style w:type="character" w:customStyle="1" w:styleId="BalloonTextChar">
    <w:name w:val="Balloon Text Char"/>
    <w:basedOn w:val="DefaultParagraphFont"/>
    <w:link w:val="BalloonText"/>
    <w:uiPriority w:val="99"/>
    <w:semiHidden/>
    <w:rsid w:val="00845A54"/>
    <w:rPr>
      <w:rFonts w:ascii="Tahoma" w:hAnsi="Tahoma" w:cs="Tahoma"/>
      <w:sz w:val="16"/>
      <w:szCs w:val="16"/>
      <w:lang w:val="tr-TR" w:eastAsia="tr-TR"/>
    </w:rPr>
  </w:style>
  <w:style w:type="character" w:styleId="CommentReference">
    <w:name w:val="annotation reference"/>
    <w:basedOn w:val="DefaultParagraphFont"/>
    <w:uiPriority w:val="99"/>
    <w:semiHidden/>
    <w:unhideWhenUsed/>
    <w:rsid w:val="00492020"/>
    <w:rPr>
      <w:sz w:val="16"/>
      <w:szCs w:val="16"/>
    </w:rPr>
  </w:style>
  <w:style w:type="paragraph" w:styleId="CommentText">
    <w:name w:val="annotation text"/>
    <w:basedOn w:val="Normal"/>
    <w:link w:val="CommentTextChar"/>
    <w:uiPriority w:val="99"/>
    <w:semiHidden/>
    <w:unhideWhenUsed/>
    <w:rsid w:val="00492020"/>
    <w:rPr>
      <w:sz w:val="20"/>
      <w:szCs w:val="20"/>
    </w:rPr>
  </w:style>
  <w:style w:type="character" w:customStyle="1" w:styleId="CommentTextChar">
    <w:name w:val="Comment Text Char"/>
    <w:basedOn w:val="DefaultParagraphFont"/>
    <w:link w:val="CommentText"/>
    <w:uiPriority w:val="99"/>
    <w:semiHidden/>
    <w:rsid w:val="00492020"/>
    <w:rPr>
      <w:rFonts w:ascii="Times New Roman"/>
      <w:sz w:val="20"/>
      <w:szCs w:val="20"/>
      <w:lang w:val="tr-TR" w:eastAsia="tr-TR"/>
    </w:rPr>
  </w:style>
  <w:style w:type="paragraph" w:styleId="CommentSubject">
    <w:name w:val="annotation subject"/>
    <w:basedOn w:val="CommentText"/>
    <w:next w:val="CommentText"/>
    <w:link w:val="CommentSubjectChar"/>
    <w:uiPriority w:val="99"/>
    <w:semiHidden/>
    <w:unhideWhenUsed/>
    <w:rsid w:val="00492020"/>
    <w:rPr>
      <w:b/>
      <w:bCs/>
    </w:rPr>
  </w:style>
  <w:style w:type="character" w:customStyle="1" w:styleId="CommentSubjectChar">
    <w:name w:val="Comment Subject Char"/>
    <w:basedOn w:val="CommentTextChar"/>
    <w:link w:val="CommentSubject"/>
    <w:uiPriority w:val="99"/>
    <w:semiHidden/>
    <w:rsid w:val="00492020"/>
    <w:rPr>
      <w:rFonts w:ascii="Times New Roman"/>
      <w:b/>
      <w:bCs/>
      <w:sz w:val="20"/>
      <w:szCs w:val="20"/>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817056">
      <w:bodyDiv w:val="1"/>
      <w:marLeft w:val="0"/>
      <w:marRight w:val="0"/>
      <w:marTop w:val="0"/>
      <w:marBottom w:val="0"/>
      <w:divBdr>
        <w:top w:val="none" w:sz="0" w:space="0" w:color="auto"/>
        <w:left w:val="none" w:sz="0" w:space="0" w:color="auto"/>
        <w:bottom w:val="none" w:sz="0" w:space="0" w:color="auto"/>
        <w:right w:val="none" w:sz="0" w:space="0" w:color="auto"/>
      </w:divBdr>
    </w:div>
    <w:div w:id="202835374">
      <w:bodyDiv w:val="1"/>
      <w:marLeft w:val="0"/>
      <w:marRight w:val="0"/>
      <w:marTop w:val="0"/>
      <w:marBottom w:val="0"/>
      <w:divBdr>
        <w:top w:val="none" w:sz="0" w:space="0" w:color="auto"/>
        <w:left w:val="none" w:sz="0" w:space="0" w:color="auto"/>
        <w:bottom w:val="none" w:sz="0" w:space="0" w:color="auto"/>
        <w:right w:val="none" w:sz="0" w:space="0" w:color="auto"/>
      </w:divBdr>
    </w:div>
    <w:div w:id="213126316">
      <w:bodyDiv w:val="1"/>
      <w:marLeft w:val="0"/>
      <w:marRight w:val="0"/>
      <w:marTop w:val="0"/>
      <w:marBottom w:val="0"/>
      <w:divBdr>
        <w:top w:val="none" w:sz="0" w:space="0" w:color="auto"/>
        <w:left w:val="none" w:sz="0" w:space="0" w:color="auto"/>
        <w:bottom w:val="none" w:sz="0" w:space="0" w:color="auto"/>
        <w:right w:val="none" w:sz="0" w:space="0" w:color="auto"/>
      </w:divBdr>
    </w:div>
    <w:div w:id="222954893">
      <w:bodyDiv w:val="1"/>
      <w:marLeft w:val="0"/>
      <w:marRight w:val="0"/>
      <w:marTop w:val="0"/>
      <w:marBottom w:val="0"/>
      <w:divBdr>
        <w:top w:val="none" w:sz="0" w:space="0" w:color="auto"/>
        <w:left w:val="none" w:sz="0" w:space="0" w:color="auto"/>
        <w:bottom w:val="none" w:sz="0" w:space="0" w:color="auto"/>
        <w:right w:val="none" w:sz="0" w:space="0" w:color="auto"/>
      </w:divBdr>
    </w:div>
    <w:div w:id="504173187">
      <w:bodyDiv w:val="1"/>
      <w:marLeft w:val="0"/>
      <w:marRight w:val="0"/>
      <w:marTop w:val="0"/>
      <w:marBottom w:val="0"/>
      <w:divBdr>
        <w:top w:val="none" w:sz="0" w:space="0" w:color="auto"/>
        <w:left w:val="none" w:sz="0" w:space="0" w:color="auto"/>
        <w:bottom w:val="none" w:sz="0" w:space="0" w:color="auto"/>
        <w:right w:val="none" w:sz="0" w:space="0" w:color="auto"/>
      </w:divBdr>
    </w:div>
    <w:div w:id="584613792">
      <w:bodyDiv w:val="1"/>
      <w:marLeft w:val="0"/>
      <w:marRight w:val="0"/>
      <w:marTop w:val="0"/>
      <w:marBottom w:val="0"/>
      <w:divBdr>
        <w:top w:val="none" w:sz="0" w:space="0" w:color="auto"/>
        <w:left w:val="none" w:sz="0" w:space="0" w:color="auto"/>
        <w:bottom w:val="none" w:sz="0" w:space="0" w:color="auto"/>
        <w:right w:val="none" w:sz="0" w:space="0" w:color="auto"/>
      </w:divBdr>
    </w:div>
    <w:div w:id="684596504">
      <w:bodyDiv w:val="1"/>
      <w:marLeft w:val="0"/>
      <w:marRight w:val="0"/>
      <w:marTop w:val="0"/>
      <w:marBottom w:val="0"/>
      <w:divBdr>
        <w:top w:val="none" w:sz="0" w:space="0" w:color="auto"/>
        <w:left w:val="none" w:sz="0" w:space="0" w:color="auto"/>
        <w:bottom w:val="none" w:sz="0" w:space="0" w:color="auto"/>
        <w:right w:val="none" w:sz="0" w:space="0" w:color="auto"/>
      </w:divBdr>
    </w:div>
    <w:div w:id="789515289">
      <w:bodyDiv w:val="1"/>
      <w:marLeft w:val="0"/>
      <w:marRight w:val="0"/>
      <w:marTop w:val="0"/>
      <w:marBottom w:val="0"/>
      <w:divBdr>
        <w:top w:val="none" w:sz="0" w:space="0" w:color="auto"/>
        <w:left w:val="none" w:sz="0" w:space="0" w:color="auto"/>
        <w:bottom w:val="none" w:sz="0" w:space="0" w:color="auto"/>
        <w:right w:val="none" w:sz="0" w:space="0" w:color="auto"/>
      </w:divBdr>
    </w:div>
    <w:div w:id="794177967">
      <w:bodyDiv w:val="1"/>
      <w:marLeft w:val="0"/>
      <w:marRight w:val="0"/>
      <w:marTop w:val="0"/>
      <w:marBottom w:val="0"/>
      <w:divBdr>
        <w:top w:val="none" w:sz="0" w:space="0" w:color="auto"/>
        <w:left w:val="none" w:sz="0" w:space="0" w:color="auto"/>
        <w:bottom w:val="none" w:sz="0" w:space="0" w:color="auto"/>
        <w:right w:val="none" w:sz="0" w:space="0" w:color="auto"/>
      </w:divBdr>
    </w:div>
    <w:div w:id="907037378">
      <w:bodyDiv w:val="1"/>
      <w:marLeft w:val="0"/>
      <w:marRight w:val="0"/>
      <w:marTop w:val="0"/>
      <w:marBottom w:val="0"/>
      <w:divBdr>
        <w:top w:val="none" w:sz="0" w:space="0" w:color="auto"/>
        <w:left w:val="none" w:sz="0" w:space="0" w:color="auto"/>
        <w:bottom w:val="none" w:sz="0" w:space="0" w:color="auto"/>
        <w:right w:val="none" w:sz="0" w:space="0" w:color="auto"/>
      </w:divBdr>
    </w:div>
    <w:div w:id="916472813">
      <w:bodyDiv w:val="1"/>
      <w:marLeft w:val="0"/>
      <w:marRight w:val="0"/>
      <w:marTop w:val="0"/>
      <w:marBottom w:val="0"/>
      <w:divBdr>
        <w:top w:val="none" w:sz="0" w:space="0" w:color="auto"/>
        <w:left w:val="none" w:sz="0" w:space="0" w:color="auto"/>
        <w:bottom w:val="none" w:sz="0" w:space="0" w:color="auto"/>
        <w:right w:val="none" w:sz="0" w:space="0" w:color="auto"/>
      </w:divBdr>
    </w:div>
    <w:div w:id="916864096">
      <w:bodyDiv w:val="1"/>
      <w:marLeft w:val="0"/>
      <w:marRight w:val="0"/>
      <w:marTop w:val="0"/>
      <w:marBottom w:val="0"/>
      <w:divBdr>
        <w:top w:val="none" w:sz="0" w:space="0" w:color="auto"/>
        <w:left w:val="none" w:sz="0" w:space="0" w:color="auto"/>
        <w:bottom w:val="none" w:sz="0" w:space="0" w:color="auto"/>
        <w:right w:val="none" w:sz="0" w:space="0" w:color="auto"/>
      </w:divBdr>
    </w:div>
    <w:div w:id="953171385">
      <w:bodyDiv w:val="1"/>
      <w:marLeft w:val="0"/>
      <w:marRight w:val="0"/>
      <w:marTop w:val="0"/>
      <w:marBottom w:val="0"/>
      <w:divBdr>
        <w:top w:val="none" w:sz="0" w:space="0" w:color="auto"/>
        <w:left w:val="none" w:sz="0" w:space="0" w:color="auto"/>
        <w:bottom w:val="none" w:sz="0" w:space="0" w:color="auto"/>
        <w:right w:val="none" w:sz="0" w:space="0" w:color="auto"/>
      </w:divBdr>
    </w:div>
    <w:div w:id="957295569">
      <w:bodyDiv w:val="1"/>
      <w:marLeft w:val="0"/>
      <w:marRight w:val="0"/>
      <w:marTop w:val="0"/>
      <w:marBottom w:val="0"/>
      <w:divBdr>
        <w:top w:val="none" w:sz="0" w:space="0" w:color="auto"/>
        <w:left w:val="none" w:sz="0" w:space="0" w:color="auto"/>
        <w:bottom w:val="none" w:sz="0" w:space="0" w:color="auto"/>
        <w:right w:val="none" w:sz="0" w:space="0" w:color="auto"/>
      </w:divBdr>
    </w:div>
    <w:div w:id="1003507363">
      <w:bodyDiv w:val="1"/>
      <w:marLeft w:val="0"/>
      <w:marRight w:val="0"/>
      <w:marTop w:val="0"/>
      <w:marBottom w:val="0"/>
      <w:divBdr>
        <w:top w:val="none" w:sz="0" w:space="0" w:color="auto"/>
        <w:left w:val="none" w:sz="0" w:space="0" w:color="auto"/>
        <w:bottom w:val="none" w:sz="0" w:space="0" w:color="auto"/>
        <w:right w:val="none" w:sz="0" w:space="0" w:color="auto"/>
      </w:divBdr>
    </w:div>
    <w:div w:id="1039205501">
      <w:bodyDiv w:val="1"/>
      <w:marLeft w:val="0"/>
      <w:marRight w:val="0"/>
      <w:marTop w:val="0"/>
      <w:marBottom w:val="0"/>
      <w:divBdr>
        <w:top w:val="none" w:sz="0" w:space="0" w:color="auto"/>
        <w:left w:val="none" w:sz="0" w:space="0" w:color="auto"/>
        <w:bottom w:val="none" w:sz="0" w:space="0" w:color="auto"/>
        <w:right w:val="none" w:sz="0" w:space="0" w:color="auto"/>
      </w:divBdr>
    </w:div>
    <w:div w:id="1076124176">
      <w:bodyDiv w:val="1"/>
      <w:marLeft w:val="0"/>
      <w:marRight w:val="0"/>
      <w:marTop w:val="0"/>
      <w:marBottom w:val="0"/>
      <w:divBdr>
        <w:top w:val="none" w:sz="0" w:space="0" w:color="auto"/>
        <w:left w:val="none" w:sz="0" w:space="0" w:color="auto"/>
        <w:bottom w:val="none" w:sz="0" w:space="0" w:color="auto"/>
        <w:right w:val="none" w:sz="0" w:space="0" w:color="auto"/>
      </w:divBdr>
    </w:div>
    <w:div w:id="1231381574">
      <w:bodyDiv w:val="1"/>
      <w:marLeft w:val="0"/>
      <w:marRight w:val="0"/>
      <w:marTop w:val="0"/>
      <w:marBottom w:val="0"/>
      <w:divBdr>
        <w:top w:val="none" w:sz="0" w:space="0" w:color="auto"/>
        <w:left w:val="none" w:sz="0" w:space="0" w:color="auto"/>
        <w:bottom w:val="none" w:sz="0" w:space="0" w:color="auto"/>
        <w:right w:val="none" w:sz="0" w:space="0" w:color="auto"/>
      </w:divBdr>
    </w:div>
    <w:div w:id="1236628815">
      <w:bodyDiv w:val="1"/>
      <w:marLeft w:val="0"/>
      <w:marRight w:val="0"/>
      <w:marTop w:val="0"/>
      <w:marBottom w:val="0"/>
      <w:divBdr>
        <w:top w:val="none" w:sz="0" w:space="0" w:color="auto"/>
        <w:left w:val="none" w:sz="0" w:space="0" w:color="auto"/>
        <w:bottom w:val="none" w:sz="0" w:space="0" w:color="auto"/>
        <w:right w:val="none" w:sz="0" w:space="0" w:color="auto"/>
      </w:divBdr>
    </w:div>
    <w:div w:id="1254630808">
      <w:bodyDiv w:val="1"/>
      <w:marLeft w:val="0"/>
      <w:marRight w:val="0"/>
      <w:marTop w:val="0"/>
      <w:marBottom w:val="0"/>
      <w:divBdr>
        <w:top w:val="none" w:sz="0" w:space="0" w:color="auto"/>
        <w:left w:val="none" w:sz="0" w:space="0" w:color="auto"/>
        <w:bottom w:val="none" w:sz="0" w:space="0" w:color="auto"/>
        <w:right w:val="none" w:sz="0" w:space="0" w:color="auto"/>
      </w:divBdr>
    </w:div>
    <w:div w:id="1327326070">
      <w:bodyDiv w:val="1"/>
      <w:marLeft w:val="0"/>
      <w:marRight w:val="0"/>
      <w:marTop w:val="0"/>
      <w:marBottom w:val="0"/>
      <w:divBdr>
        <w:top w:val="none" w:sz="0" w:space="0" w:color="auto"/>
        <w:left w:val="none" w:sz="0" w:space="0" w:color="auto"/>
        <w:bottom w:val="none" w:sz="0" w:space="0" w:color="auto"/>
        <w:right w:val="none" w:sz="0" w:space="0" w:color="auto"/>
      </w:divBdr>
    </w:div>
    <w:div w:id="1362439212">
      <w:bodyDiv w:val="1"/>
      <w:marLeft w:val="0"/>
      <w:marRight w:val="0"/>
      <w:marTop w:val="0"/>
      <w:marBottom w:val="0"/>
      <w:divBdr>
        <w:top w:val="none" w:sz="0" w:space="0" w:color="auto"/>
        <w:left w:val="none" w:sz="0" w:space="0" w:color="auto"/>
        <w:bottom w:val="none" w:sz="0" w:space="0" w:color="auto"/>
        <w:right w:val="none" w:sz="0" w:space="0" w:color="auto"/>
      </w:divBdr>
    </w:div>
    <w:div w:id="1499613935">
      <w:bodyDiv w:val="1"/>
      <w:marLeft w:val="0"/>
      <w:marRight w:val="0"/>
      <w:marTop w:val="0"/>
      <w:marBottom w:val="0"/>
      <w:divBdr>
        <w:top w:val="none" w:sz="0" w:space="0" w:color="auto"/>
        <w:left w:val="none" w:sz="0" w:space="0" w:color="auto"/>
        <w:bottom w:val="none" w:sz="0" w:space="0" w:color="auto"/>
        <w:right w:val="none" w:sz="0" w:space="0" w:color="auto"/>
      </w:divBdr>
    </w:div>
    <w:div w:id="1592397191">
      <w:bodyDiv w:val="1"/>
      <w:marLeft w:val="0"/>
      <w:marRight w:val="0"/>
      <w:marTop w:val="0"/>
      <w:marBottom w:val="0"/>
      <w:divBdr>
        <w:top w:val="none" w:sz="0" w:space="0" w:color="auto"/>
        <w:left w:val="none" w:sz="0" w:space="0" w:color="auto"/>
        <w:bottom w:val="none" w:sz="0" w:space="0" w:color="auto"/>
        <w:right w:val="none" w:sz="0" w:space="0" w:color="auto"/>
      </w:divBdr>
    </w:div>
    <w:div w:id="1595549677">
      <w:bodyDiv w:val="1"/>
      <w:marLeft w:val="0"/>
      <w:marRight w:val="0"/>
      <w:marTop w:val="0"/>
      <w:marBottom w:val="0"/>
      <w:divBdr>
        <w:top w:val="none" w:sz="0" w:space="0" w:color="auto"/>
        <w:left w:val="none" w:sz="0" w:space="0" w:color="auto"/>
        <w:bottom w:val="none" w:sz="0" w:space="0" w:color="auto"/>
        <w:right w:val="none" w:sz="0" w:space="0" w:color="auto"/>
      </w:divBdr>
    </w:div>
    <w:div w:id="1627272725">
      <w:bodyDiv w:val="1"/>
      <w:marLeft w:val="0"/>
      <w:marRight w:val="0"/>
      <w:marTop w:val="0"/>
      <w:marBottom w:val="0"/>
      <w:divBdr>
        <w:top w:val="none" w:sz="0" w:space="0" w:color="auto"/>
        <w:left w:val="none" w:sz="0" w:space="0" w:color="auto"/>
        <w:bottom w:val="none" w:sz="0" w:space="0" w:color="auto"/>
        <w:right w:val="none" w:sz="0" w:space="0" w:color="auto"/>
      </w:divBdr>
    </w:div>
    <w:div w:id="1692684345">
      <w:bodyDiv w:val="1"/>
      <w:marLeft w:val="0"/>
      <w:marRight w:val="0"/>
      <w:marTop w:val="0"/>
      <w:marBottom w:val="0"/>
      <w:divBdr>
        <w:top w:val="none" w:sz="0" w:space="0" w:color="auto"/>
        <w:left w:val="none" w:sz="0" w:space="0" w:color="auto"/>
        <w:bottom w:val="none" w:sz="0" w:space="0" w:color="auto"/>
        <w:right w:val="none" w:sz="0" w:space="0" w:color="auto"/>
      </w:divBdr>
    </w:div>
    <w:div w:id="1701661388">
      <w:bodyDiv w:val="1"/>
      <w:marLeft w:val="0"/>
      <w:marRight w:val="0"/>
      <w:marTop w:val="0"/>
      <w:marBottom w:val="0"/>
      <w:divBdr>
        <w:top w:val="none" w:sz="0" w:space="0" w:color="auto"/>
        <w:left w:val="none" w:sz="0" w:space="0" w:color="auto"/>
        <w:bottom w:val="none" w:sz="0" w:space="0" w:color="auto"/>
        <w:right w:val="none" w:sz="0" w:space="0" w:color="auto"/>
      </w:divBdr>
    </w:div>
    <w:div w:id="1790081860">
      <w:bodyDiv w:val="1"/>
      <w:marLeft w:val="0"/>
      <w:marRight w:val="0"/>
      <w:marTop w:val="0"/>
      <w:marBottom w:val="0"/>
      <w:divBdr>
        <w:top w:val="none" w:sz="0" w:space="0" w:color="auto"/>
        <w:left w:val="none" w:sz="0" w:space="0" w:color="auto"/>
        <w:bottom w:val="none" w:sz="0" w:space="0" w:color="auto"/>
        <w:right w:val="none" w:sz="0" w:space="0" w:color="auto"/>
      </w:divBdr>
    </w:div>
    <w:div w:id="1879394879">
      <w:bodyDiv w:val="1"/>
      <w:marLeft w:val="0"/>
      <w:marRight w:val="0"/>
      <w:marTop w:val="0"/>
      <w:marBottom w:val="0"/>
      <w:divBdr>
        <w:top w:val="none" w:sz="0" w:space="0" w:color="auto"/>
        <w:left w:val="none" w:sz="0" w:space="0" w:color="auto"/>
        <w:bottom w:val="none" w:sz="0" w:space="0" w:color="auto"/>
        <w:right w:val="none" w:sz="0" w:space="0" w:color="auto"/>
      </w:divBdr>
    </w:div>
    <w:div w:id="1900938190">
      <w:bodyDiv w:val="1"/>
      <w:marLeft w:val="0"/>
      <w:marRight w:val="0"/>
      <w:marTop w:val="0"/>
      <w:marBottom w:val="0"/>
      <w:divBdr>
        <w:top w:val="none" w:sz="0" w:space="0" w:color="auto"/>
        <w:left w:val="none" w:sz="0" w:space="0" w:color="auto"/>
        <w:bottom w:val="none" w:sz="0" w:space="0" w:color="auto"/>
        <w:right w:val="none" w:sz="0" w:space="0" w:color="auto"/>
      </w:divBdr>
    </w:div>
    <w:div w:id="1922791543">
      <w:bodyDiv w:val="1"/>
      <w:marLeft w:val="0"/>
      <w:marRight w:val="0"/>
      <w:marTop w:val="0"/>
      <w:marBottom w:val="0"/>
      <w:divBdr>
        <w:top w:val="none" w:sz="0" w:space="0" w:color="auto"/>
        <w:left w:val="none" w:sz="0" w:space="0" w:color="auto"/>
        <w:bottom w:val="none" w:sz="0" w:space="0" w:color="auto"/>
        <w:right w:val="none" w:sz="0" w:space="0" w:color="auto"/>
      </w:divBdr>
    </w:div>
    <w:div w:id="1984043899">
      <w:bodyDiv w:val="1"/>
      <w:marLeft w:val="0"/>
      <w:marRight w:val="0"/>
      <w:marTop w:val="0"/>
      <w:marBottom w:val="0"/>
      <w:divBdr>
        <w:top w:val="none" w:sz="0" w:space="0" w:color="auto"/>
        <w:left w:val="none" w:sz="0" w:space="0" w:color="auto"/>
        <w:bottom w:val="none" w:sz="0" w:space="0" w:color="auto"/>
        <w:right w:val="none" w:sz="0" w:space="0" w:color="auto"/>
      </w:divBdr>
    </w:div>
    <w:div w:id="1990090732">
      <w:bodyDiv w:val="1"/>
      <w:marLeft w:val="0"/>
      <w:marRight w:val="0"/>
      <w:marTop w:val="0"/>
      <w:marBottom w:val="0"/>
      <w:divBdr>
        <w:top w:val="none" w:sz="0" w:space="0" w:color="auto"/>
        <w:left w:val="none" w:sz="0" w:space="0" w:color="auto"/>
        <w:bottom w:val="none" w:sz="0" w:space="0" w:color="auto"/>
        <w:right w:val="none" w:sz="0" w:space="0" w:color="auto"/>
      </w:divBdr>
    </w:div>
    <w:div w:id="207076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gokhan.dilek\Dropbox\buyume_degerlendirme\buy_deg_tablolar%20(Furkan).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gokhan.dilek\Dropbox\buyume_degerlendirme\buy_deg_tablolar%20(Furkan).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gokhan.dilek\Dropbox\buyume_degerlendirme\buy_deg_tablolar%20(Furkan).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'2019 Q4'!$F$3</c:f>
              <c:strCache>
                <c:ptCount val="1"/>
                <c:pt idx="0">
                  <c:v>Katkı (%)</c:v>
                </c:pt>
              </c:strCache>
            </c:strRef>
          </c:tx>
          <c:spPr>
            <a:solidFill>
              <a:schemeClr val="accent1"/>
            </a:solidFill>
            <a:ln>
              <a:noFill/>
            </a:ln>
            <a:effectLst/>
          </c:spPr>
          <c:invertIfNegative val="0"/>
          <c:dPt>
            <c:idx val="1"/>
            <c:invertIfNegative val="0"/>
            <c:bubble3D val="0"/>
            <c:spPr>
              <a:solidFill>
                <a:schemeClr val="accent1"/>
              </a:solidFill>
              <a:ln>
                <a:noFill/>
              </a:ln>
              <a:effectLst/>
            </c:spPr>
            <c:extLst>
              <c:ext xmlns:c16="http://schemas.microsoft.com/office/drawing/2014/chart" uri="{C3380CC4-5D6E-409C-BE32-E72D297353CC}">
                <c16:uniqueId val="{00000001-23E6-47AD-A6EB-FAE2D9B607B7}"/>
              </c:ext>
            </c:extLst>
          </c:dPt>
          <c:dPt>
            <c:idx val="2"/>
            <c:invertIfNegative val="0"/>
            <c:bubble3D val="0"/>
            <c:spPr>
              <a:solidFill>
                <a:srgbClr val="FF0000"/>
              </a:solidFill>
              <a:ln>
                <a:noFill/>
              </a:ln>
              <a:effectLst/>
            </c:spPr>
            <c:extLst>
              <c:ext xmlns:c16="http://schemas.microsoft.com/office/drawing/2014/chart" uri="{C3380CC4-5D6E-409C-BE32-E72D297353CC}">
                <c16:uniqueId val="{00000003-23E6-47AD-A6EB-FAE2D9B607B7}"/>
              </c:ext>
            </c:extLst>
          </c:dPt>
          <c:dPt>
            <c:idx val="4"/>
            <c:invertIfNegative val="0"/>
            <c:bubble3D val="0"/>
            <c:spPr>
              <a:solidFill>
                <a:schemeClr val="accent1"/>
              </a:solidFill>
              <a:ln>
                <a:noFill/>
              </a:ln>
              <a:effectLst/>
            </c:spPr>
            <c:extLst>
              <c:ext xmlns:c16="http://schemas.microsoft.com/office/drawing/2014/chart" uri="{C3380CC4-5D6E-409C-BE32-E72D297353CC}">
                <c16:uniqueId val="{00000005-23E6-47AD-A6EB-FAE2D9B607B7}"/>
              </c:ext>
            </c:extLst>
          </c:dPt>
          <c:dPt>
            <c:idx val="5"/>
            <c:invertIfNegative val="0"/>
            <c:bubble3D val="0"/>
            <c:spPr>
              <a:solidFill>
                <a:srgbClr val="FF0000"/>
              </a:solidFill>
              <a:ln>
                <a:noFill/>
              </a:ln>
              <a:effectLst/>
            </c:spPr>
            <c:extLst>
              <c:ext xmlns:c16="http://schemas.microsoft.com/office/drawing/2014/chart" uri="{C3380CC4-5D6E-409C-BE32-E72D297353CC}">
                <c16:uniqueId val="{00000007-23E6-47AD-A6EB-FAE2D9B607B7}"/>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'2017Q3'!$B$4:$B$9</c:f>
              <c:strCache>
                <c:ptCount val="6"/>
                <c:pt idx="0">
                  <c:v>Özel Tüketim</c:v>
                </c:pt>
                <c:pt idx="1">
                  <c:v>Kamu Tüketimi</c:v>
                </c:pt>
                <c:pt idx="2">
                  <c:v>Yatırım</c:v>
                </c:pt>
                <c:pt idx="3">
                  <c:v>Stok Değişimi</c:v>
                </c:pt>
                <c:pt idx="4">
                  <c:v>İhracat</c:v>
                </c:pt>
                <c:pt idx="5">
                  <c:v>İthalat</c:v>
                </c:pt>
              </c:strCache>
            </c:strRef>
          </c:cat>
          <c:val>
            <c:numRef>
              <c:f>'2019 Q4'!$F$4:$F$9</c:f>
              <c:numCache>
                <c:formatCode>0.0</c:formatCode>
                <c:ptCount val="6"/>
                <c:pt idx="0">
                  <c:v>3.7694233995432529</c:v>
                </c:pt>
                <c:pt idx="1">
                  <c:v>0.43145339612699157</c:v>
                </c:pt>
                <c:pt idx="2">
                  <c:v>-0.2079317527907302</c:v>
                </c:pt>
                <c:pt idx="3">
                  <c:v>8.4303966854053343</c:v>
                </c:pt>
                <c:pt idx="4">
                  <c:v>1.421996071079844</c:v>
                </c:pt>
                <c:pt idx="5">
                  <c:v>-7.8901311142296304</c:v>
                </c:pt>
              </c:numCache>
            </c:numRef>
          </c:val>
          <c:extLst>
            <c:ext xmlns:c16="http://schemas.microsoft.com/office/drawing/2014/chart" uri="{C3380CC4-5D6E-409C-BE32-E72D297353CC}">
              <c16:uniqueId val="{00000008-23E6-47AD-A6EB-FAE2D9B607B7}"/>
            </c:ext>
          </c:extLst>
        </c:ser>
        <c:dLbls>
          <c:dLblPos val="outEnd"/>
          <c:showLegendKey val="0"/>
          <c:showVal val="1"/>
          <c:showCatName val="0"/>
          <c:showSerName val="0"/>
          <c:showPercent val="0"/>
          <c:showBubbleSize val="0"/>
        </c:dLbls>
        <c:gapWidth val="219"/>
        <c:overlap val="-27"/>
        <c:axId val="1487158688"/>
        <c:axId val="1328452304"/>
      </c:barChart>
      <c:catAx>
        <c:axId val="1487158688"/>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a:softEdge rad="0"/>
          </a:effectLst>
        </c:spPr>
        <c:txPr>
          <a:bodyPr rot="0" spcFirstLastPara="1" vertOverflow="ellipsis" wrap="square" anchor="b"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28452304"/>
        <c:crosses val="autoZero"/>
        <c:auto val="1"/>
        <c:lblAlgn val="ctr"/>
        <c:lblOffset val="100"/>
        <c:noMultiLvlLbl val="0"/>
      </c:catAx>
      <c:valAx>
        <c:axId val="1328452304"/>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87158688"/>
        <c:crosses val="autoZero"/>
        <c:crossBetween val="between"/>
      </c:valAx>
      <c:spPr>
        <a:noFill/>
        <a:ln w="25400">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'2019 Q4'!$E$3</c:f>
              <c:strCache>
                <c:ptCount val="1"/>
                <c:pt idx="0">
                  <c:v>Değişim (%)</c:v>
                </c:pt>
              </c:strCache>
            </c:strRef>
          </c:tx>
          <c:spPr>
            <a:solidFill>
              <a:schemeClr val="accent1"/>
            </a:solidFill>
            <a:ln>
              <a:noFill/>
            </a:ln>
            <a:effectLst/>
          </c:spPr>
          <c:invertIfNegative val="0"/>
          <c:dPt>
            <c:idx val="1"/>
            <c:invertIfNegative val="0"/>
            <c:bubble3D val="0"/>
            <c:spPr>
              <a:solidFill>
                <a:schemeClr val="accent1"/>
              </a:solidFill>
              <a:ln>
                <a:noFill/>
              </a:ln>
              <a:effectLst/>
            </c:spPr>
            <c:extLst>
              <c:ext xmlns:c16="http://schemas.microsoft.com/office/drawing/2014/chart" uri="{C3380CC4-5D6E-409C-BE32-E72D297353CC}">
                <c16:uniqueId val="{00000001-CBCD-4CF3-A019-0A49D42ADDC0}"/>
              </c:ext>
            </c:extLst>
          </c:dPt>
          <c:dPt>
            <c:idx val="2"/>
            <c:invertIfNegative val="0"/>
            <c:bubble3D val="0"/>
            <c:spPr>
              <a:solidFill>
                <a:srgbClr val="FF0000"/>
              </a:solidFill>
              <a:ln>
                <a:noFill/>
              </a:ln>
              <a:effectLst/>
            </c:spPr>
            <c:extLst>
              <c:ext xmlns:c16="http://schemas.microsoft.com/office/drawing/2014/chart" uri="{C3380CC4-5D6E-409C-BE32-E72D297353CC}">
                <c16:uniqueId val="{00000003-CBCD-4CF3-A019-0A49D42ADDC0}"/>
              </c:ext>
            </c:extLst>
          </c:dPt>
          <c:dPt>
            <c:idx val="3"/>
            <c:invertIfNegative val="0"/>
            <c:bubble3D val="0"/>
            <c:spPr>
              <a:solidFill>
                <a:schemeClr val="accent1"/>
              </a:solidFill>
              <a:ln>
                <a:noFill/>
              </a:ln>
              <a:effectLst/>
            </c:spPr>
            <c:extLst>
              <c:ext xmlns:c16="http://schemas.microsoft.com/office/drawing/2014/chart" uri="{C3380CC4-5D6E-409C-BE32-E72D297353CC}">
                <c16:uniqueId val="{00000005-CBCD-4CF3-A019-0A49D42ADDC0}"/>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'2017Q3'!$B$4:$B$10</c:f>
              <c:strCache>
                <c:ptCount val="6"/>
                <c:pt idx="0">
                  <c:v>Özel Tüketim</c:v>
                </c:pt>
                <c:pt idx="1">
                  <c:v>Kamu Tüketimi</c:v>
                </c:pt>
                <c:pt idx="2">
                  <c:v>Yatırım</c:v>
                </c:pt>
                <c:pt idx="3">
                  <c:v>İhracat</c:v>
                </c:pt>
                <c:pt idx="4">
                  <c:v>İthalat</c:v>
                </c:pt>
                <c:pt idx="5">
                  <c:v>GSYH</c:v>
                </c:pt>
              </c:strCache>
              <c:extLst/>
            </c:strRef>
          </c:cat>
          <c:val>
            <c:numRef>
              <c:f>'2019 Q4'!$E$4:$E$10</c:f>
              <c:numCache>
                <c:formatCode>0.0</c:formatCode>
                <c:ptCount val="6"/>
                <c:pt idx="0">
                  <c:v>6.774525426351885</c:v>
                </c:pt>
                <c:pt idx="1">
                  <c:v>2.6980703826071872</c:v>
                </c:pt>
                <c:pt idx="2">
                  <c:v>-0.56653939683989352</c:v>
                </c:pt>
                <c:pt idx="3">
                  <c:v>4.3675012411469316</c:v>
                </c:pt>
                <c:pt idx="4">
                  <c:v>29.274863599130143</c:v>
                </c:pt>
                <c:pt idx="5">
                  <c:v>5.9552066851350505</c:v>
                </c:pt>
              </c:numCache>
              <c:extLst/>
            </c:numRef>
          </c:val>
          <c:extLst>
            <c:ext xmlns:c16="http://schemas.microsoft.com/office/drawing/2014/chart" uri="{C3380CC4-5D6E-409C-BE32-E72D297353CC}">
              <c16:uniqueId val="{00000006-CBCD-4CF3-A019-0A49D42ADDC0}"/>
            </c:ext>
          </c:extLst>
        </c:ser>
        <c:dLbls>
          <c:dLblPos val="outEnd"/>
          <c:showLegendKey val="0"/>
          <c:showVal val="1"/>
          <c:showCatName val="0"/>
          <c:showSerName val="0"/>
          <c:showPercent val="0"/>
          <c:showBubbleSize val="0"/>
        </c:dLbls>
        <c:gapWidth val="219"/>
        <c:overlap val="-27"/>
        <c:axId val="1487485792"/>
        <c:axId val="1486137568"/>
      </c:barChart>
      <c:catAx>
        <c:axId val="1487485792"/>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86137568"/>
        <c:crosses val="autoZero"/>
        <c:auto val="1"/>
        <c:lblAlgn val="ctr"/>
        <c:lblOffset val="100"/>
        <c:noMultiLvlLbl val="0"/>
      </c:catAx>
      <c:valAx>
        <c:axId val="1486137568"/>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874857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'2019 Q4'!$E$29</c:f>
              <c:strCache>
                <c:ptCount val="1"/>
                <c:pt idx="0">
                  <c:v>Yıllık değişim</c:v>
                </c:pt>
              </c:strCache>
            </c:strRef>
          </c:tx>
          <c:spPr>
            <a:solidFill>
              <a:schemeClr val="accent1"/>
            </a:solidFill>
            <a:ln>
              <a:noFill/>
            </a:ln>
            <a:effectLst/>
          </c:spPr>
          <c:invertIfNegative val="0"/>
          <c:cat>
            <c:strRef>
              <c:f>'2019 Q4'!$A$39:$A$61</c:f>
              <c:strCache>
                <c:ptCount val="23"/>
                <c:pt idx="0">
                  <c:v>2014Q2</c:v>
                </c:pt>
                <c:pt idx="1">
                  <c:v>2014Q3</c:v>
                </c:pt>
                <c:pt idx="2">
                  <c:v>2014Q4</c:v>
                </c:pt>
                <c:pt idx="3">
                  <c:v>2015Q1</c:v>
                </c:pt>
                <c:pt idx="4">
                  <c:v>2015Q2</c:v>
                </c:pt>
                <c:pt idx="5">
                  <c:v>2015Q3</c:v>
                </c:pt>
                <c:pt idx="6">
                  <c:v>2015Q4</c:v>
                </c:pt>
                <c:pt idx="7">
                  <c:v>2016Q1</c:v>
                </c:pt>
                <c:pt idx="8">
                  <c:v>2016Q2</c:v>
                </c:pt>
                <c:pt idx="9">
                  <c:v>2016Q3</c:v>
                </c:pt>
                <c:pt idx="10">
                  <c:v>2016Q4</c:v>
                </c:pt>
                <c:pt idx="11">
                  <c:v>2017Q1</c:v>
                </c:pt>
                <c:pt idx="12">
                  <c:v>2017Q2</c:v>
                </c:pt>
                <c:pt idx="13">
                  <c:v>2017Q3</c:v>
                </c:pt>
                <c:pt idx="14">
                  <c:v>2017Q4</c:v>
                </c:pt>
                <c:pt idx="15">
                  <c:v>2018Q1</c:v>
                </c:pt>
                <c:pt idx="16">
                  <c:v>2018Q2</c:v>
                </c:pt>
                <c:pt idx="17">
                  <c:v>2018Q3</c:v>
                </c:pt>
                <c:pt idx="18">
                  <c:v>2018Q4</c:v>
                </c:pt>
                <c:pt idx="19">
                  <c:v>2019Q1</c:v>
                </c:pt>
                <c:pt idx="20">
                  <c:v>2019Q2</c:v>
                </c:pt>
                <c:pt idx="21">
                  <c:v>2019Q3</c:v>
                </c:pt>
                <c:pt idx="22">
                  <c:v>2019Q4</c:v>
                </c:pt>
              </c:strCache>
            </c:strRef>
          </c:cat>
          <c:val>
            <c:numRef>
              <c:f>'2019 Q4'!$E$39:$E$61</c:f>
              <c:numCache>
                <c:formatCode>0.0</c:formatCode>
                <c:ptCount val="23"/>
                <c:pt idx="0">
                  <c:v>2.8975438907233864</c:v>
                </c:pt>
                <c:pt idx="1">
                  <c:v>3.6662593748295391</c:v>
                </c:pt>
                <c:pt idx="2">
                  <c:v>5.9302729224654627</c:v>
                </c:pt>
                <c:pt idx="3">
                  <c:v>3.6016444988062446</c:v>
                </c:pt>
                <c:pt idx="4">
                  <c:v>7.1600269167206632</c:v>
                </c:pt>
                <c:pt idx="5">
                  <c:v>5.7850603678571977</c:v>
                </c:pt>
                <c:pt idx="6">
                  <c:v>7.4964855651153073</c:v>
                </c:pt>
                <c:pt idx="7">
                  <c:v>4.8088367842695545</c:v>
                </c:pt>
                <c:pt idx="8">
                  <c:v>4.9296739402332257</c:v>
                </c:pt>
                <c:pt idx="9">
                  <c:v>-0.81201904278707104</c:v>
                </c:pt>
                <c:pt idx="10">
                  <c:v>4.2392839067209698</c:v>
                </c:pt>
                <c:pt idx="11">
                  <c:v>5.2639590193166885</c:v>
                </c:pt>
                <c:pt idx="12">
                  <c:v>5.3389276286467613</c:v>
                </c:pt>
                <c:pt idx="13">
                  <c:v>11.646369076474716</c:v>
                </c:pt>
                <c:pt idx="14">
                  <c:v>7.2723925431292136</c:v>
                </c:pt>
                <c:pt idx="15">
                  <c:v>7.4389435840030105</c:v>
                </c:pt>
                <c:pt idx="16">
                  <c:v>5.6427704306570181</c:v>
                </c:pt>
                <c:pt idx="17">
                  <c:v>2.3014978242978712</c:v>
                </c:pt>
                <c:pt idx="18">
                  <c:v>-2.8057125047310838</c:v>
                </c:pt>
                <c:pt idx="19">
                  <c:v>-2.2771248425026758</c:v>
                </c:pt>
                <c:pt idx="20">
                  <c:v>-1.6262199113266762</c:v>
                </c:pt>
                <c:pt idx="21">
                  <c:v>0.96448380220337526</c:v>
                </c:pt>
                <c:pt idx="22">
                  <c:v>5.9552066851350505</c:v>
                </c:pt>
              </c:numCache>
            </c:numRef>
          </c:val>
          <c:extLst>
            <c:ext xmlns:c16="http://schemas.microsoft.com/office/drawing/2014/chart" uri="{C3380CC4-5D6E-409C-BE32-E72D297353CC}">
              <c16:uniqueId val="{00000000-3173-408C-A17A-771C6484A573}"/>
            </c:ext>
          </c:extLst>
        </c:ser>
        <c:dLbls>
          <c:showLegendKey val="0"/>
          <c:showVal val="0"/>
          <c:showCatName val="0"/>
          <c:showSerName val="0"/>
          <c:showPercent val="0"/>
          <c:showBubbleSize val="0"/>
        </c:dLbls>
        <c:gapWidth val="75"/>
        <c:overlap val="-25"/>
        <c:axId val="1487177488"/>
        <c:axId val="1328466992"/>
      </c:barChart>
      <c:lineChart>
        <c:grouping val="standard"/>
        <c:varyColors val="0"/>
        <c:ser>
          <c:idx val="1"/>
          <c:order val="1"/>
          <c:tx>
            <c:strRef>
              <c:f>'2019 Q4'!$F$29</c:f>
              <c:strCache>
                <c:ptCount val="1"/>
                <c:pt idx="0">
                  <c:v>Çeyreklik değişim</c:v>
                </c:pt>
              </c:strCache>
            </c:strRef>
          </c:tx>
          <c:spPr>
            <a:ln w="25400" cap="rnd">
              <a:solidFill>
                <a:schemeClr val="tx1"/>
              </a:solidFill>
              <a:round/>
            </a:ln>
            <a:effectLst/>
          </c:spPr>
          <c:marker>
            <c:symbol val="none"/>
          </c:marker>
          <c:cat>
            <c:strRef>
              <c:f>'2019 Q4'!$A$39:$A$61</c:f>
              <c:strCache>
                <c:ptCount val="23"/>
                <c:pt idx="0">
                  <c:v>2014Q2</c:v>
                </c:pt>
                <c:pt idx="1">
                  <c:v>2014Q3</c:v>
                </c:pt>
                <c:pt idx="2">
                  <c:v>2014Q4</c:v>
                </c:pt>
                <c:pt idx="3">
                  <c:v>2015Q1</c:v>
                </c:pt>
                <c:pt idx="4">
                  <c:v>2015Q2</c:v>
                </c:pt>
                <c:pt idx="5">
                  <c:v>2015Q3</c:v>
                </c:pt>
                <c:pt idx="6">
                  <c:v>2015Q4</c:v>
                </c:pt>
                <c:pt idx="7">
                  <c:v>2016Q1</c:v>
                </c:pt>
                <c:pt idx="8">
                  <c:v>2016Q2</c:v>
                </c:pt>
                <c:pt idx="9">
                  <c:v>2016Q3</c:v>
                </c:pt>
                <c:pt idx="10">
                  <c:v>2016Q4</c:v>
                </c:pt>
                <c:pt idx="11">
                  <c:v>2017Q1</c:v>
                </c:pt>
                <c:pt idx="12">
                  <c:v>2017Q2</c:v>
                </c:pt>
                <c:pt idx="13">
                  <c:v>2017Q3</c:v>
                </c:pt>
                <c:pt idx="14">
                  <c:v>2017Q4</c:v>
                </c:pt>
                <c:pt idx="15">
                  <c:v>2018Q1</c:v>
                </c:pt>
                <c:pt idx="16">
                  <c:v>2018Q2</c:v>
                </c:pt>
                <c:pt idx="17">
                  <c:v>2018Q3</c:v>
                </c:pt>
                <c:pt idx="18">
                  <c:v>2018Q4</c:v>
                </c:pt>
                <c:pt idx="19">
                  <c:v>2019Q1</c:v>
                </c:pt>
                <c:pt idx="20">
                  <c:v>2019Q2</c:v>
                </c:pt>
                <c:pt idx="21">
                  <c:v>2019Q3</c:v>
                </c:pt>
                <c:pt idx="22">
                  <c:v>2019Q4</c:v>
                </c:pt>
              </c:strCache>
            </c:strRef>
          </c:cat>
          <c:val>
            <c:numRef>
              <c:f>'2019 Q4'!$F$39:$F$61</c:f>
              <c:numCache>
                <c:formatCode>0.0</c:formatCode>
                <c:ptCount val="23"/>
                <c:pt idx="0">
                  <c:v>-1.5498061972216148</c:v>
                </c:pt>
                <c:pt idx="1">
                  <c:v>2.3568373716194246</c:v>
                </c:pt>
                <c:pt idx="2">
                  <c:v>1.4948925124467438</c:v>
                </c:pt>
                <c:pt idx="3">
                  <c:v>1.8589673319550526</c:v>
                </c:pt>
                <c:pt idx="4">
                  <c:v>1.4981017111983297</c:v>
                </c:pt>
                <c:pt idx="5">
                  <c:v>1.180776871342748</c:v>
                </c:pt>
                <c:pt idx="6">
                  <c:v>1.3846224922384742</c:v>
                </c:pt>
                <c:pt idx="7">
                  <c:v>0.47457371819938921</c:v>
                </c:pt>
                <c:pt idx="8">
                  <c:v>1.1334644162920959</c:v>
                </c:pt>
                <c:pt idx="9">
                  <c:v>-3.0812225928600223</c:v>
                </c:pt>
                <c:pt idx="10">
                  <c:v>5.8157812101641282</c:v>
                </c:pt>
                <c:pt idx="11">
                  <c:v>1.4760073634755067</c:v>
                </c:pt>
                <c:pt idx="12">
                  <c:v>1.7182624741501895</c:v>
                </c:pt>
                <c:pt idx="13">
                  <c:v>1.8049726105599628</c:v>
                </c:pt>
                <c:pt idx="14">
                  <c:v>2.3178107034287576</c:v>
                </c:pt>
                <c:pt idx="15">
                  <c:v>1.1799692867473732</c:v>
                </c:pt>
                <c:pt idx="16">
                  <c:v>-5.2200476424069109E-3</c:v>
                </c:pt>
                <c:pt idx="17">
                  <c:v>-1.2304700369598964</c:v>
                </c:pt>
                <c:pt idx="18">
                  <c:v>-2.8179874142594263</c:v>
                </c:pt>
                <c:pt idx="19">
                  <c:v>1.9659160236234374</c:v>
                </c:pt>
                <c:pt idx="20">
                  <c:v>1.1396303445403433</c:v>
                </c:pt>
                <c:pt idx="21">
                  <c:v>0.76183376998197883</c:v>
                </c:pt>
                <c:pt idx="22">
                  <c:v>1.9356296810553397</c:v>
                </c:pt>
              </c:numCache>
            </c:numRef>
          </c:val>
          <c:smooth val="0"/>
          <c:extLst>
            <c:ext xmlns:c16="http://schemas.microsoft.com/office/drawing/2014/chart" uri="{C3380CC4-5D6E-409C-BE32-E72D297353CC}">
              <c16:uniqueId val="{00000001-3173-408C-A17A-771C6484A573}"/>
            </c:ext>
          </c:extLst>
        </c:ser>
        <c:dLbls>
          <c:showLegendKey val="0"/>
          <c:showVal val="0"/>
          <c:showCatName val="0"/>
          <c:showSerName val="0"/>
          <c:showPercent val="0"/>
          <c:showBubbleSize val="0"/>
        </c:dLbls>
        <c:marker val="1"/>
        <c:smooth val="0"/>
        <c:axId val="1487177488"/>
        <c:axId val="1328466992"/>
      </c:lineChart>
      <c:catAx>
        <c:axId val="14871774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1328466992"/>
        <c:crosses val="autoZero"/>
        <c:auto val="1"/>
        <c:lblAlgn val="ctr"/>
        <c:lblOffset val="100"/>
        <c:noMultiLvlLbl val="0"/>
      </c:catAx>
      <c:valAx>
        <c:axId val="132846699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w="25400" cap="flat" cmpd="sng" algn="ctr">
            <a:no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871774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B6B029-17C4-45F9-90F3-50133E111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4</Pages>
  <Words>949</Words>
  <Characters>5412</Characters>
  <Application>Microsoft Office Word</Application>
  <DocSecurity>0</DocSecurity>
  <Lines>45</Lines>
  <Paragraphs>12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Ozan BAKIS</dc:creator>
  <cp:lastModifiedBy>Gokhan DILEK</cp:lastModifiedBy>
  <cp:revision>22</cp:revision>
  <cp:lastPrinted>2019-12-05T12:09:00Z</cp:lastPrinted>
  <dcterms:created xsi:type="dcterms:W3CDTF">2019-12-05T12:09:00Z</dcterms:created>
  <dcterms:modified xsi:type="dcterms:W3CDTF">2020-03-03T11:47:00Z</dcterms:modified>
</cp:coreProperties>
</file>