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2B19994" w14:textId="77777777" w:rsidR="00D07713" w:rsidRPr="00924CD9" w:rsidRDefault="00D90931">
      <w:pPr>
        <w:rPr>
          <w:rFonts w:ascii="Palatino Linotype" w:hAnsi="Palatino Linotype" w:cstheme="minorHAnsi"/>
        </w:rPr>
      </w:pPr>
      <w:r>
        <w:rPr>
          <w:rFonts w:ascii="Palatino Linotype" w:hAnsi="Palatino Linotype" w:cstheme="minorHAnsi"/>
          <w:noProof/>
          <w:lang w:val="en-GB" w:eastAsia="en-GB"/>
        </w:rPr>
        <mc:AlternateContent>
          <mc:Choice Requires="wps">
            <w:drawing>
              <wp:anchor distT="0" distB="0" distL="114935" distR="114935" simplePos="0" relativeHeight="251661824" behindDoc="0" locked="0" layoutInCell="1" allowOverlap="1" wp14:anchorId="690A72DB" wp14:editId="32D951E7">
                <wp:simplePos x="0" y="0"/>
                <wp:positionH relativeFrom="column">
                  <wp:posOffset>4947657</wp:posOffset>
                </wp:positionH>
                <wp:positionV relativeFrom="paragraph">
                  <wp:posOffset>42545</wp:posOffset>
                </wp:positionV>
                <wp:extent cx="1711960" cy="45466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54D19B" w14:textId="736524C5" w:rsidR="00332F19" w:rsidRPr="00332F19" w:rsidRDefault="00D045C2" w:rsidP="00332F19">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11</w:t>
                            </w:r>
                            <w:r w:rsidR="004E444D">
                              <w:rPr>
                                <w:rFonts w:ascii="Arial" w:eastAsia="Times New Roman" w:hAnsi="Arial" w:cs="Arial"/>
                                <w:b/>
                                <w:bCs/>
                                <w:color w:val="FFFFFF"/>
                                <w:sz w:val="22"/>
                                <w:szCs w:val="22"/>
                                <w:lang w:eastAsia="ar-SA"/>
                              </w:rPr>
                              <w:t xml:space="preserve"> </w:t>
                            </w:r>
                            <w:r w:rsidR="0033531B">
                              <w:rPr>
                                <w:rFonts w:ascii="Arial" w:eastAsia="Times New Roman" w:hAnsi="Arial" w:cs="Arial"/>
                                <w:b/>
                                <w:bCs/>
                                <w:color w:val="FFFFFF"/>
                                <w:sz w:val="22"/>
                                <w:szCs w:val="22"/>
                                <w:lang w:eastAsia="ar-SA"/>
                              </w:rPr>
                              <w:t>December</w:t>
                            </w:r>
                            <w:r w:rsidR="00332F19">
                              <w:rPr>
                                <w:rFonts w:ascii="Arial" w:eastAsia="Times New Roman" w:hAnsi="Arial" w:cs="Arial"/>
                                <w:b/>
                                <w:bCs/>
                                <w:color w:val="FFFFFF"/>
                                <w:sz w:val="22"/>
                                <w:szCs w:val="22"/>
                                <w:lang w:eastAsia="ar-SA"/>
                              </w:rPr>
                              <w:t xml:space="preserve"> 2019</w:t>
                            </w:r>
                          </w:p>
                          <w:p w14:paraId="5D7146F8" w14:textId="77777777" w:rsidR="00D07713" w:rsidRPr="00187FA0" w:rsidRDefault="00D07713" w:rsidP="00D077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A72DB" id="_x0000_t202" coordsize="21600,21600" o:spt="202" path="m,l,21600r21600,l21600,xe">
                <v:stroke joinstyle="miter"/>
                <v:path gradientshapeok="t" o:connecttype="rect"/>
              </v:shapetype>
              <v:shape id="Text Box 3" o:spid="_x0000_s1026" type="#_x0000_t202" style="position:absolute;margin-left:389.6pt;margin-top:3.35pt;width:134.8pt;height:35.8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5atiAIAABwFAAAOAAAAZHJzL2Uyb0RvYy54bWysVNuO2yAQfa/Uf0C8Z22nTja24qw22aaq&#10;tL1Iu/0AgnGMioECib2t+u8dIM5u2peqqh/wAMOZMzMHljdDJ9CRGcuVrHB2lWLEJFU1l/sKf3nc&#10;ThYYWUdkTYSSrMJPzOKb1etXy16XbKpaJWpmEIBIW/a6wq1zukwSS1vWEXulNJOw2SjTEQdTs09q&#10;Q3pA70QyTdN50itTa6MosxZW7+ImXgX8pmHUfWoayxwSFQZuLowmjDs/JqslKfeG6JbTEw3yDyw6&#10;wiUEPUPdEUfQwfA/oDpOjbKqcVdUdYlqGk5ZyAGyydLfsnloiWYhFyiO1ecy2f8HSz8ePxvE6wrP&#10;MJKkgxY9ssGhtRrQG1+dXtsSnB40uLkBlqHLIVOr7xX9apFUm5bIPbs1RvUtIzWwy/zJ5MXRiGM9&#10;yK7/oGoIQw5OBaChMZ0vHRQDATp06encGU+F+pDXWVbMYYvCXj7L52D7EKQcT2tj3TumOuSNChvo&#10;fEAnx3vrouvo4oNZJXi95UKEidnvNsKgIwGVbMMXzwrdkrg6hrPRNYS+wBDSI0nlMWO4uAIZAAG/&#10;53MJkvhRZNM8XU+LyXa+uJ7k23w2Ka7TxSTNijVkmRf53fanZ5DlZcvrmsl7Ltkozyz/u/afLkoU&#10;VhAo6itczKazkNwF+1Nap1xT/53qe+HWcQe3VfCuwouzEyl919/KGtImpSNcRDu5pB9KBjUY/6Eq&#10;QSNeFlEgbtgNgOKFs1P1E6jFKGgm9B2eGDBaZb5j1MN1rbD9diCGYSTeS1Ccv9ujYUZjNxpEUjha&#10;YYdRNDcuvgEHbfi+BeSoaaluQZUND4J5ZgGU/QSuYCB/ei78HX85D17Pj9rqFwAAAP//AwBQSwME&#10;FAAGAAgAAAAhAJlfGh3cAAAACQEAAA8AAABkcnMvZG93bnJldi54bWxMj8FOwzAQRO9I/IO1SNyo&#10;Q4qaNMSpoAiuiIDUqxtv4yjxOordNvw92xM9rt5o9k25md0gTjiFzpOCx0UCAqnxpqNWwc/3+0MO&#10;IkRNRg+eUMEvBthUtzelLow/0xee6tgKLqFQaAU2xrGQMjQWnQ4LPyIxO/jJ6cjn1Eoz6TOXu0Gm&#10;SbKSTnfEH6wecWux6eujU7D8TLNd+KjftuMO130eXvsDWaXu7+aXZxAR5/gfhos+q0PFTnt/JBPE&#10;oCDL1ilHFawyEBeePOW8Zc8kX4KsSnm9oPoDAAD//wMAUEsBAi0AFAAGAAgAAAAhALaDOJL+AAAA&#10;4QEAABMAAAAAAAAAAAAAAAAAAAAAAFtDb250ZW50X1R5cGVzXS54bWxQSwECLQAUAAYACAAAACEA&#10;OP0h/9YAAACUAQAACwAAAAAAAAAAAAAAAAAvAQAAX3JlbHMvLnJlbHNQSwECLQAUAAYACAAAACEA&#10;GiuWrYgCAAAcBQAADgAAAAAAAAAAAAAAAAAuAgAAZHJzL2Uyb0RvYy54bWxQSwECLQAUAAYACAAA&#10;ACEAmV8aHdwAAAAJAQAADwAAAAAAAAAAAAAAAADiBAAAZHJzL2Rvd25yZXYueG1sUEsFBgAAAAAE&#10;AAQA8wAAAOsFAAAAAA==&#10;" stroked="f">
                <v:fill opacity="0"/>
                <v:textbox inset="0,0,0,0">
                  <w:txbxContent>
                    <w:p w14:paraId="1E54D19B" w14:textId="736524C5" w:rsidR="00332F19" w:rsidRPr="00332F19" w:rsidRDefault="00D045C2" w:rsidP="00332F19">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11</w:t>
                      </w:r>
                      <w:r w:rsidR="004E444D">
                        <w:rPr>
                          <w:rFonts w:ascii="Arial" w:eastAsia="Times New Roman" w:hAnsi="Arial" w:cs="Arial"/>
                          <w:b/>
                          <w:bCs/>
                          <w:color w:val="FFFFFF"/>
                          <w:sz w:val="22"/>
                          <w:szCs w:val="22"/>
                          <w:lang w:eastAsia="ar-SA"/>
                        </w:rPr>
                        <w:t xml:space="preserve"> </w:t>
                      </w:r>
                      <w:r w:rsidR="0033531B">
                        <w:rPr>
                          <w:rFonts w:ascii="Arial" w:eastAsia="Times New Roman" w:hAnsi="Arial" w:cs="Arial"/>
                          <w:b/>
                          <w:bCs/>
                          <w:color w:val="FFFFFF"/>
                          <w:sz w:val="22"/>
                          <w:szCs w:val="22"/>
                          <w:lang w:eastAsia="ar-SA"/>
                        </w:rPr>
                        <w:t>December</w:t>
                      </w:r>
                      <w:r w:rsidR="00332F19">
                        <w:rPr>
                          <w:rFonts w:ascii="Arial" w:eastAsia="Times New Roman" w:hAnsi="Arial" w:cs="Arial"/>
                          <w:b/>
                          <w:bCs/>
                          <w:color w:val="FFFFFF"/>
                          <w:sz w:val="22"/>
                          <w:szCs w:val="22"/>
                          <w:lang w:eastAsia="ar-SA"/>
                        </w:rPr>
                        <w:t xml:space="preserve"> 2019</w:t>
                      </w:r>
                    </w:p>
                    <w:p w14:paraId="5D7146F8" w14:textId="77777777" w:rsidR="00D07713" w:rsidRPr="00187FA0" w:rsidRDefault="00D07713" w:rsidP="00D07713"/>
                  </w:txbxContent>
                </v:textbox>
              </v:shape>
            </w:pict>
          </mc:Fallback>
        </mc:AlternateContent>
      </w:r>
      <w:r>
        <w:rPr>
          <w:rFonts w:ascii="Palatino Linotype" w:hAnsi="Palatino Linotype" w:cstheme="minorHAnsi"/>
          <w:noProof/>
          <w:lang w:val="en-GB" w:eastAsia="en-GB"/>
        </w:rPr>
        <mc:AlternateContent>
          <mc:Choice Requires="wps">
            <w:drawing>
              <wp:anchor distT="0" distB="0" distL="114935" distR="114935" simplePos="0" relativeHeight="251658752" behindDoc="0" locked="0" layoutInCell="1" allowOverlap="1" wp14:anchorId="042445AC" wp14:editId="7E918E41">
                <wp:simplePos x="0" y="0"/>
                <wp:positionH relativeFrom="column">
                  <wp:posOffset>1367155</wp:posOffset>
                </wp:positionH>
                <wp:positionV relativeFrom="paragraph">
                  <wp:posOffset>-705485</wp:posOffset>
                </wp:positionV>
                <wp:extent cx="4343400" cy="64897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48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F8820" w14:textId="77777777" w:rsidR="00D07713" w:rsidRDefault="00414150" w:rsidP="00D07713">
                            <w:pPr>
                              <w:pStyle w:val="Heading1"/>
                              <w:rPr>
                                <w:rFonts w:ascii="Times New Roman" w:hAnsi="Times New Roman" w:cs="Times New Roman"/>
                                <w:sz w:val="40"/>
                                <w:szCs w:val="40"/>
                              </w:rPr>
                            </w:pPr>
                            <w:r>
                              <w:rPr>
                                <w:rFonts w:ascii="Times New Roman" w:hAnsi="Times New Roman" w:cs="Times New Roman"/>
                                <w:sz w:val="40"/>
                                <w:szCs w:val="40"/>
                              </w:rPr>
                              <w:t>Growth Evaluation</w:t>
                            </w:r>
                            <w:r w:rsidR="00D07713" w:rsidRPr="00803E3E">
                              <w:rPr>
                                <w:rFonts w:ascii="Times New Roman" w:hAnsi="Times New Roman" w:cs="Times New Roman"/>
                                <w:sz w:val="40"/>
                                <w:szCs w:val="40"/>
                              </w:rPr>
                              <w:t xml:space="preserve">: </w:t>
                            </w:r>
                          </w:p>
                          <w:p w14:paraId="48E6084B" w14:textId="2576B15C" w:rsidR="00D07713" w:rsidRPr="00526178" w:rsidRDefault="001537D8" w:rsidP="00D07713">
                            <w:pPr>
                              <w:pStyle w:val="Heading1"/>
                              <w:rPr>
                                <w:b w:val="0"/>
                                <w:bCs w:val="0"/>
                                <w:i/>
                                <w:iCs/>
                              </w:rPr>
                            </w:pPr>
                            <w:r>
                              <w:rPr>
                                <w:rFonts w:ascii="Times New Roman" w:hAnsi="Times New Roman" w:cs="Times New Roman"/>
                                <w:sz w:val="40"/>
                                <w:szCs w:val="40"/>
                              </w:rPr>
                              <w:t>201</w:t>
                            </w:r>
                            <w:r w:rsidR="00ED015D">
                              <w:rPr>
                                <w:rFonts w:ascii="Times New Roman" w:hAnsi="Times New Roman" w:cs="Times New Roman"/>
                                <w:sz w:val="40"/>
                                <w:szCs w:val="40"/>
                              </w:rPr>
                              <w:t>9</w:t>
                            </w:r>
                            <w:r>
                              <w:rPr>
                                <w:rFonts w:ascii="Times New Roman" w:hAnsi="Times New Roman" w:cs="Times New Roman"/>
                                <w:sz w:val="40"/>
                                <w:szCs w:val="40"/>
                              </w:rPr>
                              <w:t xml:space="preserve"> </w:t>
                            </w:r>
                            <w:r w:rsidR="0033531B">
                              <w:rPr>
                                <w:rFonts w:ascii="Times New Roman" w:hAnsi="Times New Roman" w:cs="Times New Roman"/>
                                <w:sz w:val="40"/>
                                <w:szCs w:val="40"/>
                              </w:rPr>
                              <w:t>3</w:t>
                            </w:r>
                            <w:r w:rsidR="0033531B">
                              <w:rPr>
                                <w:rFonts w:ascii="Times New Roman" w:hAnsi="Times New Roman" w:cs="Times New Roman"/>
                                <w:sz w:val="40"/>
                                <w:szCs w:val="40"/>
                                <w:vertAlign w:val="superscript"/>
                              </w:rPr>
                              <w:t>rd</w:t>
                            </w:r>
                            <w:r w:rsidR="00ED015D" w:rsidRPr="00803E3E">
                              <w:rPr>
                                <w:rFonts w:ascii="Times New Roman" w:hAnsi="Times New Roman" w:cs="Times New Roman"/>
                                <w:sz w:val="40"/>
                                <w:szCs w:val="40"/>
                              </w:rPr>
                              <w:t xml:space="preserve"> </w:t>
                            </w:r>
                            <w:r w:rsidR="00414150">
                              <w:rPr>
                                <w:rFonts w:ascii="Times New Roman" w:hAnsi="Times New Roman" w:cs="Times New Roman"/>
                                <w:sz w:val="40"/>
                                <w:szCs w:val="40"/>
                              </w:rPr>
                              <w:t>Quarter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42445AC" id="Text Box 2" o:spid="_x0000_s1027" type="#_x0000_t202" style="position:absolute;margin-left:107.65pt;margin-top:-55.55pt;width:342pt;height:51.1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pcCAIAAAQEAAAOAAAAZHJzL2Uyb0RvYy54bWysU21v0zAQ/o7Ef7D8naYt0xhR02l0KkIa&#10;DGnjBziOk1g4PnN2m4xfz9luugHfEIlkne/lubvnzpvraTDsqNBrsBVfLZacKSuh0bar+LfH/Zsr&#10;znwQthEGrKr4k/L8evv61WZ0pVpDD6ZRyAjE+nJ0Fe9DcGVReNmrQfgFOGXJ2AIOItAVu6JBMRL6&#10;YIr1cnlZjICNQ5DKe9LeZiPfJvy2VTLct61XgZmKU20hnZjOOp7FdiPKDoXrtTyVIf6hikFoS0nP&#10;ULciCHZA/RfUoCWChzYsJAwFtK2WKvVA3ayWf3Tz0AunUi9Ejndnmvz/g5Vfjl+R6abia6LHioFm&#10;9KimwD7AxNaRntH5krweHPmFidQ05tSqd3cgv3tmYdcL26kbRBh7JRoqbxUjixehGcdHkHr8DA2l&#10;EYcACWhqcYjcERuM0KmOp/NoYimSlBdv6V+SSZLt8uLq/bs0u0KUc7RDHz4qGFgUKo40+oQujnc+&#10;xGpEObvEZB6MbvbamHTBrt4ZZEdBa7JPX441rhdZO6fz2TXh/YZhbESyEDFzuqhJHMS2MwFhqqfE&#10;diIo8lND80SkIOTVpKdEQg/4k7OR1rLi/sdBoOLMfLJEbNzhWcBZqGdBWEmhFQ+cZXEX8q4fHOqu&#10;J+Q8Ogs3RH6rEy/PVZzKpVVL7Z2eRdzll/fk9fx4t78AAAD//wMAUEsDBBQABgAIAAAAIQAn/C97&#10;4QAAABABAAAPAAAAZHJzL2Rvd25yZXYueG1sTE/BboMwDL1P2j9EnrRbG6DaBpRQba3W6zQ2qdcU&#10;XIIgDiJpy/6+3mnzwZKfn5/fKzazHcQFJ985UhAvIxBItWs6ahV8f70vUhA+aGr04AgV/KCHTXl/&#10;V+i8cVf6xEsVWsEi5HOtwIQw5lL62qDVfulGJN6d3GR14HFqZTPpK4vbQSZR9Cyt7og/GD3i1mDd&#10;V2erYPWRvBz8vtptxwNmferf+hMZpR4f5t2a2+saRMA5/F3Abwb2DyUbO7ozNV4MCpL4acVUBYuY&#10;CwRT0ixj6MhQmoEsC/k/SHkDAAD//wMAUEsBAi0AFAAGAAgAAAAhALaDOJL+AAAA4QEAABMAAAAA&#10;AAAAAAAAAAAAAAAAAFtDb250ZW50X1R5cGVzXS54bWxQSwECLQAUAAYACAAAACEAOP0h/9YAAACU&#10;AQAACwAAAAAAAAAAAAAAAAAvAQAAX3JlbHMvLnJlbHNQSwECLQAUAAYACAAAACEAl7naXAgCAAAE&#10;BAAADgAAAAAAAAAAAAAAAAAuAgAAZHJzL2Uyb0RvYy54bWxQSwECLQAUAAYACAAAACEAJ/wve+EA&#10;AAAQAQAADwAAAAAAAAAAAAAAAABiBAAAZHJzL2Rvd25yZXYueG1sUEsFBgAAAAAEAAQA8wAAAHAF&#10;AAAAAA==&#10;" stroked="f">
                <v:fill opacity="0"/>
                <v:textbox inset="0,0,0,0">
                  <w:txbxContent>
                    <w:p w14:paraId="220F8820" w14:textId="77777777" w:rsidR="00D07713" w:rsidRDefault="00414150" w:rsidP="00D07713">
                      <w:pPr>
                        <w:pStyle w:val="Heading1"/>
                        <w:rPr>
                          <w:rFonts w:ascii="Times New Roman" w:hAnsi="Times New Roman" w:cs="Times New Roman"/>
                          <w:sz w:val="40"/>
                          <w:szCs w:val="40"/>
                        </w:rPr>
                      </w:pPr>
                      <w:r>
                        <w:rPr>
                          <w:rFonts w:ascii="Times New Roman" w:hAnsi="Times New Roman" w:cs="Times New Roman"/>
                          <w:sz w:val="40"/>
                          <w:szCs w:val="40"/>
                        </w:rPr>
                        <w:t>Growth Evaluation</w:t>
                      </w:r>
                      <w:r w:rsidR="00D07713" w:rsidRPr="00803E3E">
                        <w:rPr>
                          <w:rFonts w:ascii="Times New Roman" w:hAnsi="Times New Roman" w:cs="Times New Roman"/>
                          <w:sz w:val="40"/>
                          <w:szCs w:val="40"/>
                        </w:rPr>
                        <w:t xml:space="preserve">: </w:t>
                      </w:r>
                    </w:p>
                    <w:p w14:paraId="48E6084B" w14:textId="2576B15C" w:rsidR="00D07713" w:rsidRPr="00526178" w:rsidRDefault="001537D8" w:rsidP="00D07713">
                      <w:pPr>
                        <w:pStyle w:val="Heading1"/>
                        <w:rPr>
                          <w:b w:val="0"/>
                          <w:bCs w:val="0"/>
                          <w:i/>
                          <w:iCs/>
                        </w:rPr>
                      </w:pPr>
                      <w:r>
                        <w:rPr>
                          <w:rFonts w:ascii="Times New Roman" w:hAnsi="Times New Roman" w:cs="Times New Roman"/>
                          <w:sz w:val="40"/>
                          <w:szCs w:val="40"/>
                        </w:rPr>
                        <w:t>201</w:t>
                      </w:r>
                      <w:r w:rsidR="00ED015D">
                        <w:rPr>
                          <w:rFonts w:ascii="Times New Roman" w:hAnsi="Times New Roman" w:cs="Times New Roman"/>
                          <w:sz w:val="40"/>
                          <w:szCs w:val="40"/>
                        </w:rPr>
                        <w:t>9</w:t>
                      </w:r>
                      <w:r>
                        <w:rPr>
                          <w:rFonts w:ascii="Times New Roman" w:hAnsi="Times New Roman" w:cs="Times New Roman"/>
                          <w:sz w:val="40"/>
                          <w:szCs w:val="40"/>
                        </w:rPr>
                        <w:t xml:space="preserve"> </w:t>
                      </w:r>
                      <w:r w:rsidR="0033531B">
                        <w:rPr>
                          <w:rFonts w:ascii="Times New Roman" w:hAnsi="Times New Roman" w:cs="Times New Roman"/>
                          <w:sz w:val="40"/>
                          <w:szCs w:val="40"/>
                        </w:rPr>
                        <w:t>3</w:t>
                      </w:r>
                      <w:r w:rsidR="0033531B">
                        <w:rPr>
                          <w:rFonts w:ascii="Times New Roman" w:hAnsi="Times New Roman" w:cs="Times New Roman"/>
                          <w:sz w:val="40"/>
                          <w:szCs w:val="40"/>
                          <w:vertAlign w:val="superscript"/>
                        </w:rPr>
                        <w:t>rd</w:t>
                      </w:r>
                      <w:r w:rsidR="00ED015D" w:rsidRPr="00803E3E">
                        <w:rPr>
                          <w:rFonts w:ascii="Times New Roman" w:hAnsi="Times New Roman" w:cs="Times New Roman"/>
                          <w:sz w:val="40"/>
                          <w:szCs w:val="40"/>
                        </w:rPr>
                        <w:t xml:space="preserve"> </w:t>
                      </w:r>
                      <w:r w:rsidR="00414150">
                        <w:rPr>
                          <w:rFonts w:ascii="Times New Roman" w:hAnsi="Times New Roman" w:cs="Times New Roman"/>
                          <w:sz w:val="40"/>
                          <w:szCs w:val="40"/>
                        </w:rPr>
                        <w:t>Quarter</w:t>
                      </w:r>
                    </w:p>
                  </w:txbxContent>
                </v:textbox>
              </v:shape>
            </w:pict>
          </mc:Fallback>
        </mc:AlternateContent>
      </w:r>
      <w:r w:rsidR="00D07713" w:rsidRPr="00924CD9">
        <w:rPr>
          <w:rFonts w:ascii="Palatino Linotype" w:hAnsi="Palatino Linotype" w:cstheme="minorHAnsi"/>
          <w:noProof/>
          <w:lang w:val="en-GB" w:eastAsia="en-GB"/>
        </w:rPr>
        <w:drawing>
          <wp:anchor distT="0" distB="0" distL="114300" distR="114300" simplePos="0" relativeHeight="251655680" behindDoc="1" locked="0" layoutInCell="1" allowOverlap="1" wp14:anchorId="310B4B5A" wp14:editId="1956795D">
            <wp:simplePos x="0" y="0"/>
            <wp:positionH relativeFrom="margin">
              <wp:align>center</wp:align>
            </wp:positionH>
            <wp:positionV relativeFrom="paragraph">
              <wp:posOffset>-855345</wp:posOffset>
            </wp:positionV>
            <wp:extent cx="7315200" cy="1330325"/>
            <wp:effectExtent l="0" t="0" r="0" b="3175"/>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30325"/>
                    </a:xfrm>
                    <a:prstGeom prst="rect">
                      <a:avLst/>
                    </a:prstGeom>
                    <a:noFill/>
                  </pic:spPr>
                </pic:pic>
              </a:graphicData>
            </a:graphic>
          </wp:anchor>
        </w:drawing>
      </w:r>
    </w:p>
    <w:p w14:paraId="425D7B57" w14:textId="77777777" w:rsidR="00D07713" w:rsidRPr="00924CD9" w:rsidRDefault="00D07713">
      <w:pPr>
        <w:rPr>
          <w:rFonts w:ascii="Palatino Linotype" w:hAnsi="Palatino Linotype" w:cstheme="minorHAnsi"/>
        </w:rPr>
      </w:pPr>
    </w:p>
    <w:p w14:paraId="17518868" w14:textId="77777777" w:rsidR="00D07713" w:rsidRPr="00924CD9" w:rsidRDefault="00D07713" w:rsidP="00D07713">
      <w:pPr>
        <w:spacing w:line="288" w:lineRule="auto"/>
        <w:ind w:right="-319"/>
        <w:jc w:val="center"/>
        <w:outlineLvl w:val="0"/>
        <w:rPr>
          <w:rFonts w:ascii="Palatino Linotype" w:hAnsi="Palatino Linotype" w:cstheme="minorHAnsi"/>
          <w:b/>
          <w:bCs/>
          <w:sz w:val="28"/>
          <w:szCs w:val="28"/>
        </w:rPr>
      </w:pPr>
    </w:p>
    <w:p w14:paraId="7B31B229" w14:textId="0B3E50B4" w:rsidR="00ED015D" w:rsidRDefault="008360DB" w:rsidP="00ED015D">
      <w:pPr>
        <w:jc w:val="center"/>
        <w:rPr>
          <w:rFonts w:ascii="Palatino Linotype" w:hAnsi="Palatino Linotype" w:cstheme="minorHAnsi"/>
          <w:b/>
          <w:bCs/>
          <w:sz w:val="28"/>
          <w:szCs w:val="28"/>
        </w:rPr>
      </w:pPr>
      <w:r>
        <w:rPr>
          <w:rFonts w:ascii="Palatino Linotype" w:hAnsi="Palatino Linotype" w:cstheme="minorHAnsi"/>
          <w:b/>
          <w:bCs/>
          <w:sz w:val="28"/>
          <w:szCs w:val="28"/>
        </w:rPr>
        <w:t xml:space="preserve">POSITIVE </w:t>
      </w:r>
      <w:r w:rsidR="00A21BA4">
        <w:rPr>
          <w:rFonts w:ascii="Palatino Linotype" w:hAnsi="Palatino Linotype" w:cstheme="minorHAnsi"/>
          <w:b/>
          <w:bCs/>
          <w:sz w:val="28"/>
          <w:szCs w:val="28"/>
        </w:rPr>
        <w:t>CONSUM</w:t>
      </w:r>
      <w:r w:rsidR="003A503D">
        <w:rPr>
          <w:rFonts w:ascii="Palatino Linotype" w:hAnsi="Palatino Linotype" w:cstheme="minorHAnsi"/>
          <w:b/>
          <w:bCs/>
          <w:sz w:val="28"/>
          <w:szCs w:val="28"/>
        </w:rPr>
        <w:t>P</w:t>
      </w:r>
      <w:r w:rsidR="00A21BA4">
        <w:rPr>
          <w:rFonts w:ascii="Palatino Linotype" w:hAnsi="Palatino Linotype" w:cstheme="minorHAnsi"/>
          <w:b/>
          <w:bCs/>
          <w:sz w:val="28"/>
          <w:szCs w:val="28"/>
        </w:rPr>
        <w:t>TION</w:t>
      </w:r>
      <w:r>
        <w:rPr>
          <w:rFonts w:ascii="Palatino Linotype" w:hAnsi="Palatino Linotype" w:cstheme="minorHAnsi"/>
          <w:b/>
          <w:bCs/>
          <w:sz w:val="28"/>
          <w:szCs w:val="28"/>
        </w:rPr>
        <w:t xml:space="preserve"> and NEGATIVE INVESTMEN</w:t>
      </w:r>
      <w:r w:rsidR="00AB1341">
        <w:rPr>
          <w:rFonts w:ascii="Palatino Linotype" w:hAnsi="Palatino Linotype" w:cstheme="minorHAnsi"/>
          <w:b/>
          <w:bCs/>
          <w:sz w:val="28"/>
          <w:szCs w:val="28"/>
        </w:rPr>
        <w:t>TS</w:t>
      </w:r>
      <w:r>
        <w:rPr>
          <w:rFonts w:ascii="Palatino Linotype" w:hAnsi="Palatino Linotype" w:cstheme="minorHAnsi"/>
          <w:b/>
          <w:bCs/>
          <w:sz w:val="28"/>
          <w:szCs w:val="28"/>
        </w:rPr>
        <w:t xml:space="preserve"> CONTRIBUTIONS to GROWTH RATE</w:t>
      </w:r>
    </w:p>
    <w:p w14:paraId="3C8CD4CB" w14:textId="28518678" w:rsidR="00ED015D" w:rsidRPr="00924CD9" w:rsidRDefault="00ED015D" w:rsidP="00ED015D">
      <w:pPr>
        <w:jc w:val="center"/>
        <w:rPr>
          <w:rFonts w:ascii="Palatino Linotype" w:hAnsi="Palatino Linotype" w:cstheme="minorHAnsi"/>
        </w:rPr>
      </w:pPr>
      <w:r w:rsidRPr="00924CD9">
        <w:rPr>
          <w:rFonts w:ascii="Palatino Linotype" w:hAnsi="Palatino Linotype" w:cstheme="minorHAnsi"/>
          <w:b/>
          <w:bCs/>
          <w:sz w:val="22"/>
          <w:szCs w:val="22"/>
        </w:rPr>
        <w:t xml:space="preserve"> Ozan </w:t>
      </w:r>
      <w:proofErr w:type="spellStart"/>
      <w:r w:rsidRPr="00924CD9">
        <w:rPr>
          <w:rFonts w:ascii="Palatino Linotype" w:hAnsi="Palatino Linotype" w:cstheme="minorHAnsi"/>
          <w:b/>
          <w:bCs/>
          <w:sz w:val="22"/>
          <w:szCs w:val="22"/>
        </w:rPr>
        <w:t>Bakış</w:t>
      </w:r>
      <w:proofErr w:type="spellEnd"/>
      <w:r w:rsidRPr="00924CD9">
        <w:rPr>
          <w:rStyle w:val="FootnoteReference"/>
          <w:rFonts w:ascii="Palatino Linotype" w:hAnsi="Palatino Linotype" w:cstheme="minorHAnsi"/>
          <w:b/>
          <w:bCs/>
          <w:sz w:val="22"/>
          <w:szCs w:val="22"/>
        </w:rPr>
        <w:footnoteReference w:id="1"/>
      </w:r>
      <w:r>
        <w:rPr>
          <w:rFonts w:ascii="Palatino Linotype" w:hAnsi="Palatino Linotype" w:cstheme="minorHAnsi"/>
          <w:b/>
          <w:bCs/>
          <w:sz w:val="22"/>
          <w:szCs w:val="22"/>
        </w:rPr>
        <w:t xml:space="preserve"> and </w:t>
      </w:r>
      <w:r w:rsidR="0033531B">
        <w:rPr>
          <w:rFonts w:ascii="Palatino Linotype" w:hAnsi="Palatino Linotype" w:cstheme="minorHAnsi"/>
          <w:b/>
          <w:bCs/>
          <w:sz w:val="22"/>
          <w:szCs w:val="22"/>
        </w:rPr>
        <w:t xml:space="preserve">Uğurcan </w:t>
      </w:r>
      <w:proofErr w:type="spellStart"/>
      <w:r w:rsidR="0033531B">
        <w:rPr>
          <w:rFonts w:ascii="Palatino Linotype" w:hAnsi="Palatino Linotype" w:cstheme="minorHAnsi"/>
          <w:b/>
          <w:bCs/>
          <w:sz w:val="22"/>
          <w:szCs w:val="22"/>
        </w:rPr>
        <w:t>Acar</w:t>
      </w:r>
      <w:proofErr w:type="spellEnd"/>
      <w:r>
        <w:rPr>
          <w:rStyle w:val="FootnoteReference"/>
          <w:rFonts w:ascii="Palatino Linotype" w:hAnsi="Palatino Linotype" w:cstheme="minorHAnsi"/>
          <w:b/>
          <w:bCs/>
          <w:sz w:val="22"/>
          <w:szCs w:val="22"/>
        </w:rPr>
        <w:footnoteReference w:id="2"/>
      </w:r>
      <w:r>
        <w:rPr>
          <w:rFonts w:ascii="Palatino Linotype" w:hAnsi="Palatino Linotype" w:cstheme="minorHAnsi"/>
          <w:b/>
          <w:bCs/>
          <w:sz w:val="22"/>
          <w:szCs w:val="22"/>
        </w:rPr>
        <w:t xml:space="preserve"> </w:t>
      </w:r>
    </w:p>
    <w:p w14:paraId="57322CA8" w14:textId="0E64E279" w:rsidR="00D07713" w:rsidRDefault="00D07713">
      <w:pPr>
        <w:rPr>
          <w:rFonts w:ascii="Palatino Linotype" w:hAnsi="Palatino Linotype" w:cstheme="minorHAnsi"/>
        </w:rPr>
      </w:pPr>
    </w:p>
    <w:p w14:paraId="4F50E325" w14:textId="77777777" w:rsidR="00515940" w:rsidRPr="00924CD9" w:rsidRDefault="00515940">
      <w:pPr>
        <w:rPr>
          <w:rFonts w:ascii="Palatino Linotype" w:hAnsi="Palatino Linotype" w:cstheme="minorHAnsi"/>
        </w:rPr>
      </w:pPr>
    </w:p>
    <w:p w14:paraId="08B607E9" w14:textId="1D317BBE" w:rsidR="00223A5B" w:rsidRPr="00515940" w:rsidRDefault="00414150" w:rsidP="00515940">
      <w:pPr>
        <w:spacing w:line="360" w:lineRule="auto"/>
        <w:jc w:val="center"/>
        <w:rPr>
          <w:rFonts w:ascii="Arial" w:hAnsi="Arial" w:cs="Arial"/>
          <w:b/>
          <w:bCs/>
          <w:sz w:val="22"/>
          <w:szCs w:val="22"/>
        </w:rPr>
      </w:pPr>
      <w:r w:rsidRPr="00DE4D69">
        <w:rPr>
          <w:rFonts w:ascii="Arial" w:hAnsi="Arial" w:cs="Arial"/>
          <w:b/>
          <w:bCs/>
          <w:sz w:val="22"/>
          <w:szCs w:val="22"/>
        </w:rPr>
        <w:t>Executive Summary</w:t>
      </w:r>
    </w:p>
    <w:p w14:paraId="0CF565C0" w14:textId="41D3D950" w:rsidR="00DF3360" w:rsidRDefault="00414150" w:rsidP="00F439CE">
      <w:pPr>
        <w:spacing w:line="300" w:lineRule="auto"/>
        <w:ind w:left="567" w:right="567"/>
        <w:jc w:val="both"/>
        <w:rPr>
          <w:rFonts w:ascii="Palatino Linotype" w:hAnsi="Palatino Linotype" w:cstheme="minorHAnsi"/>
          <w:sz w:val="22"/>
          <w:szCs w:val="22"/>
        </w:rPr>
      </w:pPr>
      <w:r w:rsidRPr="002D5820">
        <w:rPr>
          <w:rFonts w:ascii="Palatino Linotype" w:hAnsi="Palatino Linotype" w:cstheme="minorHAnsi"/>
          <w:sz w:val="22"/>
          <w:szCs w:val="22"/>
        </w:rPr>
        <w:t>In</w:t>
      </w:r>
      <w:r w:rsidRPr="00414150">
        <w:rPr>
          <w:rFonts w:ascii="Palatino Linotype" w:hAnsi="Palatino Linotype" w:cstheme="minorHAnsi"/>
          <w:sz w:val="22"/>
          <w:szCs w:val="22"/>
        </w:rPr>
        <w:t xml:space="preserve"> </w:t>
      </w:r>
      <w:r w:rsidRPr="002D5820">
        <w:rPr>
          <w:rFonts w:ascii="Palatino Linotype" w:hAnsi="Palatino Linotype" w:cstheme="minorHAnsi"/>
          <w:sz w:val="22"/>
          <w:szCs w:val="22"/>
        </w:rPr>
        <w:t>the</w:t>
      </w:r>
      <w:r w:rsidRPr="00414150">
        <w:rPr>
          <w:rFonts w:ascii="Palatino Linotype" w:hAnsi="Palatino Linotype" w:cstheme="minorHAnsi"/>
          <w:sz w:val="22"/>
          <w:szCs w:val="22"/>
        </w:rPr>
        <w:t xml:space="preserve"> </w:t>
      </w:r>
      <w:r w:rsidR="00C57130">
        <w:rPr>
          <w:rFonts w:ascii="Palatino Linotype" w:hAnsi="Palatino Linotype" w:cstheme="minorHAnsi"/>
          <w:sz w:val="22"/>
          <w:szCs w:val="22"/>
        </w:rPr>
        <w:t>third</w:t>
      </w:r>
      <w:r w:rsidR="002E2F3D">
        <w:rPr>
          <w:rFonts w:ascii="Palatino Linotype" w:hAnsi="Palatino Linotype" w:cstheme="minorHAnsi"/>
          <w:sz w:val="22"/>
          <w:szCs w:val="22"/>
        </w:rPr>
        <w:t xml:space="preserve"> </w:t>
      </w:r>
      <w:r w:rsidRPr="00414150">
        <w:rPr>
          <w:rFonts w:ascii="Palatino Linotype" w:hAnsi="Palatino Linotype" w:cstheme="minorHAnsi"/>
          <w:sz w:val="22"/>
          <w:szCs w:val="22"/>
        </w:rPr>
        <w:t>quarter of 201</w:t>
      </w:r>
      <w:r w:rsidR="00ED015D">
        <w:rPr>
          <w:rFonts w:ascii="Palatino Linotype" w:hAnsi="Palatino Linotype" w:cstheme="minorHAnsi"/>
          <w:sz w:val="22"/>
          <w:szCs w:val="22"/>
        </w:rPr>
        <w:t>9</w:t>
      </w:r>
      <w:r w:rsidRPr="00414150">
        <w:rPr>
          <w:rFonts w:ascii="Palatino Linotype" w:hAnsi="Palatino Linotype" w:cstheme="minorHAnsi"/>
          <w:sz w:val="22"/>
          <w:szCs w:val="22"/>
        </w:rPr>
        <w:t xml:space="preserve">, </w:t>
      </w:r>
      <w:r>
        <w:rPr>
          <w:rFonts w:ascii="Palatino Linotype" w:hAnsi="Palatino Linotype" w:cstheme="minorHAnsi"/>
          <w:sz w:val="22"/>
          <w:szCs w:val="22"/>
        </w:rPr>
        <w:t xml:space="preserve">according to </w:t>
      </w:r>
      <w:r w:rsidR="00D30DDE">
        <w:rPr>
          <w:rFonts w:ascii="Palatino Linotype" w:hAnsi="Palatino Linotype" w:cstheme="minorHAnsi"/>
          <w:sz w:val="22"/>
          <w:szCs w:val="22"/>
        </w:rPr>
        <w:t xml:space="preserve">seasonally and calendar day adjusted </w:t>
      </w:r>
      <w:r w:rsidR="00D30DDE" w:rsidRPr="002F0AEA">
        <w:rPr>
          <w:rFonts w:ascii="Palatino Linotype" w:hAnsi="Palatino Linotype" w:cstheme="minorHAnsi"/>
          <w:sz w:val="22"/>
          <w:szCs w:val="22"/>
        </w:rPr>
        <w:t xml:space="preserve">data, </w:t>
      </w:r>
      <w:r w:rsidR="00ED015D">
        <w:rPr>
          <w:rFonts w:ascii="Palatino Linotype" w:hAnsi="Palatino Linotype" w:cstheme="minorHAnsi"/>
          <w:sz w:val="22"/>
          <w:szCs w:val="22"/>
        </w:rPr>
        <w:t>Gross Domestic Product (GDP) in</w:t>
      </w:r>
      <w:r w:rsidRPr="002F0AEA">
        <w:rPr>
          <w:rFonts w:ascii="Palatino Linotype" w:hAnsi="Palatino Linotype" w:cstheme="minorHAnsi"/>
          <w:sz w:val="22"/>
          <w:szCs w:val="22"/>
        </w:rPr>
        <w:t xml:space="preserve">creased by </w:t>
      </w:r>
      <w:r w:rsidR="00C57130">
        <w:rPr>
          <w:rFonts w:ascii="Palatino Linotype" w:hAnsi="Palatino Linotype" w:cstheme="minorHAnsi"/>
          <w:sz w:val="22"/>
          <w:szCs w:val="22"/>
        </w:rPr>
        <w:t>0</w:t>
      </w:r>
      <w:r w:rsidR="00E01CEA">
        <w:rPr>
          <w:rFonts w:ascii="Palatino Linotype" w:hAnsi="Palatino Linotype" w:cstheme="minorHAnsi"/>
          <w:sz w:val="22"/>
          <w:szCs w:val="22"/>
        </w:rPr>
        <w:t>.</w:t>
      </w:r>
      <w:r w:rsidR="00C57130">
        <w:rPr>
          <w:rFonts w:ascii="Palatino Linotype" w:hAnsi="Palatino Linotype" w:cstheme="minorHAnsi"/>
          <w:sz w:val="22"/>
          <w:szCs w:val="22"/>
        </w:rPr>
        <w:t>4</w:t>
      </w:r>
      <w:r w:rsidRPr="002F0AEA">
        <w:rPr>
          <w:rFonts w:ascii="Palatino Linotype" w:hAnsi="Palatino Linotype" w:cstheme="minorHAnsi"/>
          <w:sz w:val="22"/>
          <w:szCs w:val="22"/>
        </w:rPr>
        <w:t xml:space="preserve"> percent comp</w:t>
      </w:r>
      <w:r w:rsidR="00180E6E" w:rsidRPr="002F0AEA">
        <w:rPr>
          <w:rFonts w:ascii="Palatino Linotype" w:hAnsi="Palatino Linotype" w:cstheme="minorHAnsi"/>
          <w:sz w:val="22"/>
          <w:szCs w:val="22"/>
        </w:rPr>
        <w:t xml:space="preserve">ared to the previous quarter, </w:t>
      </w:r>
      <w:r w:rsidR="00C57130">
        <w:rPr>
          <w:rFonts w:ascii="Palatino Linotype" w:hAnsi="Palatino Linotype" w:cstheme="minorHAnsi"/>
          <w:sz w:val="22"/>
          <w:szCs w:val="22"/>
        </w:rPr>
        <w:t>inc</w:t>
      </w:r>
      <w:r w:rsidR="00FC4AA3" w:rsidRPr="00117151">
        <w:rPr>
          <w:rFonts w:ascii="Palatino Linotype" w:hAnsi="Palatino Linotype" w:cstheme="minorHAnsi"/>
          <w:sz w:val="22"/>
          <w:szCs w:val="22"/>
        </w:rPr>
        <w:t>reased</w:t>
      </w:r>
      <w:r w:rsidR="00FC4AA3">
        <w:rPr>
          <w:rFonts w:ascii="Palatino Linotype" w:hAnsi="Palatino Linotype" w:cstheme="minorHAnsi"/>
          <w:sz w:val="22"/>
          <w:szCs w:val="22"/>
        </w:rPr>
        <w:t xml:space="preserve"> </w:t>
      </w:r>
      <w:r w:rsidRPr="002F0AEA">
        <w:rPr>
          <w:rFonts w:ascii="Palatino Linotype" w:hAnsi="Palatino Linotype" w:cstheme="minorHAnsi"/>
          <w:sz w:val="22"/>
          <w:szCs w:val="22"/>
        </w:rPr>
        <w:t xml:space="preserve">by </w:t>
      </w:r>
      <w:r w:rsidR="00C57130">
        <w:rPr>
          <w:rFonts w:ascii="Palatino Linotype" w:hAnsi="Palatino Linotype" w:cstheme="minorHAnsi"/>
          <w:sz w:val="22"/>
          <w:szCs w:val="22"/>
        </w:rPr>
        <w:t>0</w:t>
      </w:r>
      <w:r w:rsidR="00E01CEA">
        <w:rPr>
          <w:rFonts w:ascii="Palatino Linotype" w:hAnsi="Palatino Linotype" w:cstheme="minorHAnsi"/>
          <w:sz w:val="22"/>
          <w:szCs w:val="22"/>
        </w:rPr>
        <w:t>.</w:t>
      </w:r>
      <w:r w:rsidR="00C57130">
        <w:rPr>
          <w:rFonts w:ascii="Palatino Linotype" w:hAnsi="Palatino Linotype" w:cstheme="minorHAnsi"/>
          <w:sz w:val="22"/>
          <w:szCs w:val="22"/>
        </w:rPr>
        <w:t>9</w:t>
      </w:r>
      <w:r w:rsidRPr="002F0AEA">
        <w:rPr>
          <w:rFonts w:ascii="Palatino Linotype" w:hAnsi="Palatino Linotype" w:cstheme="minorHAnsi"/>
          <w:sz w:val="22"/>
          <w:szCs w:val="22"/>
        </w:rPr>
        <w:t xml:space="preserve"> percent compared to the </w:t>
      </w:r>
      <w:r w:rsidR="00AB16C5" w:rsidRPr="002F0AEA">
        <w:rPr>
          <w:rFonts w:ascii="Palatino Linotype" w:hAnsi="Palatino Linotype" w:cstheme="minorHAnsi"/>
          <w:sz w:val="22"/>
          <w:szCs w:val="22"/>
        </w:rPr>
        <w:t>same</w:t>
      </w:r>
      <w:r w:rsidRPr="002F0AEA">
        <w:rPr>
          <w:rFonts w:ascii="Palatino Linotype" w:hAnsi="Palatino Linotype" w:cstheme="minorHAnsi"/>
          <w:sz w:val="22"/>
          <w:szCs w:val="22"/>
        </w:rPr>
        <w:t xml:space="preserve"> quarter of last year. </w:t>
      </w:r>
      <w:r w:rsidR="00C57130">
        <w:rPr>
          <w:rFonts w:ascii="Palatino Linotype" w:hAnsi="Palatino Linotype" w:cstheme="minorHAnsi"/>
          <w:sz w:val="22"/>
          <w:szCs w:val="22"/>
        </w:rPr>
        <w:t>While private and government consumption contributed to the annual economic growth by 1 percentage point, t</w:t>
      </w:r>
      <w:r w:rsidRPr="002F0AEA">
        <w:rPr>
          <w:rFonts w:ascii="Palatino Linotype" w:hAnsi="Palatino Linotype" w:cstheme="minorHAnsi"/>
          <w:sz w:val="22"/>
          <w:szCs w:val="22"/>
        </w:rPr>
        <w:t xml:space="preserve">he </w:t>
      </w:r>
      <w:r w:rsidR="002F0AEA" w:rsidRPr="002F0AEA">
        <w:rPr>
          <w:rFonts w:ascii="Palatino Linotype" w:hAnsi="Palatino Linotype" w:cstheme="minorHAnsi"/>
          <w:sz w:val="22"/>
          <w:szCs w:val="22"/>
        </w:rPr>
        <w:t xml:space="preserve">greatest negative impact </w:t>
      </w:r>
      <w:r w:rsidRPr="002F0AEA">
        <w:rPr>
          <w:rFonts w:ascii="Palatino Linotype" w:hAnsi="Palatino Linotype" w:cstheme="minorHAnsi"/>
          <w:sz w:val="22"/>
          <w:szCs w:val="22"/>
        </w:rPr>
        <w:t>o</w:t>
      </w:r>
      <w:r w:rsidR="002F0AEA" w:rsidRPr="002F0AEA">
        <w:rPr>
          <w:rFonts w:ascii="Palatino Linotype" w:hAnsi="Palatino Linotype" w:cstheme="minorHAnsi"/>
          <w:sz w:val="22"/>
          <w:szCs w:val="22"/>
        </w:rPr>
        <w:t>n the</w:t>
      </w:r>
      <w:r w:rsidRPr="002F0AEA">
        <w:rPr>
          <w:rFonts w:ascii="Palatino Linotype" w:hAnsi="Palatino Linotype" w:cstheme="minorHAnsi"/>
          <w:sz w:val="22"/>
          <w:szCs w:val="22"/>
        </w:rPr>
        <w:t xml:space="preserve"> </w:t>
      </w:r>
      <w:r w:rsidR="00D30DDE" w:rsidRPr="002F0AEA">
        <w:rPr>
          <w:rFonts w:ascii="Palatino Linotype" w:hAnsi="Palatino Linotype" w:cstheme="minorHAnsi"/>
          <w:sz w:val="22"/>
          <w:szCs w:val="22"/>
        </w:rPr>
        <w:t>annual economic growth</w:t>
      </w:r>
      <w:r w:rsidRPr="002F0AEA">
        <w:rPr>
          <w:rFonts w:ascii="Palatino Linotype" w:hAnsi="Palatino Linotype" w:cstheme="minorHAnsi"/>
          <w:sz w:val="22"/>
          <w:szCs w:val="22"/>
        </w:rPr>
        <w:t xml:space="preserve"> </w:t>
      </w:r>
      <w:r w:rsidR="00AB16C5" w:rsidRPr="002F0AEA">
        <w:rPr>
          <w:rFonts w:ascii="Palatino Linotype" w:hAnsi="Palatino Linotype" w:cstheme="minorHAnsi"/>
          <w:sz w:val="22"/>
          <w:szCs w:val="22"/>
        </w:rPr>
        <w:t xml:space="preserve">comes from </w:t>
      </w:r>
      <w:r w:rsidR="00E01CEA">
        <w:rPr>
          <w:rFonts w:ascii="Palatino Linotype" w:hAnsi="Palatino Linotype" w:cstheme="minorHAnsi"/>
          <w:sz w:val="22"/>
          <w:szCs w:val="22"/>
        </w:rPr>
        <w:t>investments</w:t>
      </w:r>
      <w:r w:rsidR="00D2047D">
        <w:rPr>
          <w:rFonts w:ascii="Palatino Linotype" w:hAnsi="Palatino Linotype" w:cstheme="minorHAnsi"/>
          <w:sz w:val="22"/>
          <w:szCs w:val="22"/>
        </w:rPr>
        <w:t xml:space="preserve">, for which the contribution to GDP growth was minus </w:t>
      </w:r>
      <w:r w:rsidR="00C57130">
        <w:rPr>
          <w:rFonts w:ascii="Palatino Linotype" w:hAnsi="Palatino Linotype" w:cstheme="minorHAnsi"/>
          <w:sz w:val="22"/>
          <w:szCs w:val="22"/>
        </w:rPr>
        <w:t>3.6</w:t>
      </w:r>
      <w:r w:rsidRPr="002F0AEA">
        <w:rPr>
          <w:rFonts w:ascii="Palatino Linotype" w:hAnsi="Palatino Linotype" w:cstheme="minorHAnsi"/>
          <w:sz w:val="22"/>
          <w:szCs w:val="22"/>
        </w:rPr>
        <w:t xml:space="preserve"> </w:t>
      </w:r>
      <w:r w:rsidRPr="00DF3360">
        <w:rPr>
          <w:rFonts w:ascii="Palatino Linotype" w:hAnsi="Palatino Linotype" w:cstheme="minorHAnsi"/>
          <w:sz w:val="22"/>
          <w:szCs w:val="22"/>
        </w:rPr>
        <w:t>percentage points.</w:t>
      </w:r>
      <w:r w:rsidRPr="002F0AEA">
        <w:rPr>
          <w:rFonts w:ascii="Palatino Linotype" w:hAnsi="Palatino Linotype" w:cstheme="minorHAnsi"/>
          <w:sz w:val="22"/>
          <w:szCs w:val="22"/>
        </w:rPr>
        <w:t xml:space="preserve"> </w:t>
      </w:r>
      <w:r w:rsidR="00C57130">
        <w:rPr>
          <w:rFonts w:ascii="Palatino Linotype" w:hAnsi="Palatino Linotype" w:cstheme="minorHAnsi"/>
          <w:sz w:val="22"/>
          <w:szCs w:val="22"/>
        </w:rPr>
        <w:t>On the other hand, t</w:t>
      </w:r>
      <w:r w:rsidR="00E01CEA">
        <w:rPr>
          <w:rFonts w:ascii="Palatino Linotype" w:hAnsi="Palatino Linotype" w:cstheme="minorHAnsi"/>
          <w:sz w:val="22"/>
          <w:szCs w:val="22"/>
        </w:rPr>
        <w:t>he contribution of net exports</w:t>
      </w:r>
      <w:r w:rsidR="004E444D" w:rsidRPr="004E444D">
        <w:rPr>
          <w:rFonts w:ascii="Palatino Linotype" w:hAnsi="Palatino Linotype" w:cstheme="minorHAnsi"/>
          <w:sz w:val="22"/>
          <w:szCs w:val="22"/>
        </w:rPr>
        <w:t xml:space="preserve"> to growth</w:t>
      </w:r>
      <w:r w:rsidR="00E01CEA">
        <w:rPr>
          <w:rFonts w:ascii="Palatino Linotype" w:hAnsi="Palatino Linotype" w:cstheme="minorHAnsi"/>
          <w:sz w:val="22"/>
          <w:szCs w:val="22"/>
        </w:rPr>
        <w:t xml:space="preserve"> </w:t>
      </w:r>
      <w:r w:rsidR="00C57130">
        <w:rPr>
          <w:rFonts w:ascii="Palatino Linotype" w:hAnsi="Palatino Linotype" w:cstheme="minorHAnsi"/>
          <w:sz w:val="22"/>
          <w:szCs w:val="22"/>
        </w:rPr>
        <w:t>is positive but limited:</w:t>
      </w:r>
      <w:r w:rsidR="00BD6057">
        <w:rPr>
          <w:rFonts w:ascii="Palatino Linotype" w:hAnsi="Palatino Linotype" w:cstheme="minorHAnsi"/>
          <w:sz w:val="22"/>
          <w:szCs w:val="22"/>
        </w:rPr>
        <w:t xml:space="preserve"> while the contribution of exports was </w:t>
      </w:r>
      <w:r w:rsidR="00C57130">
        <w:rPr>
          <w:rFonts w:ascii="Palatino Linotype" w:hAnsi="Palatino Linotype" w:cstheme="minorHAnsi"/>
          <w:sz w:val="22"/>
          <w:szCs w:val="22"/>
        </w:rPr>
        <w:t>1.7</w:t>
      </w:r>
      <w:r w:rsidR="00BD6057">
        <w:rPr>
          <w:rFonts w:ascii="Palatino Linotype" w:hAnsi="Palatino Linotype" w:cstheme="minorHAnsi"/>
          <w:sz w:val="22"/>
          <w:szCs w:val="22"/>
        </w:rPr>
        <w:t xml:space="preserve"> percentage point</w:t>
      </w:r>
      <w:r w:rsidR="00C57130">
        <w:rPr>
          <w:rFonts w:ascii="Palatino Linotype" w:hAnsi="Palatino Linotype" w:cstheme="minorHAnsi"/>
          <w:sz w:val="22"/>
          <w:szCs w:val="22"/>
        </w:rPr>
        <w:t>s</w:t>
      </w:r>
      <w:r w:rsidR="00BD6057">
        <w:rPr>
          <w:rFonts w:ascii="Palatino Linotype" w:hAnsi="Palatino Linotype" w:cstheme="minorHAnsi"/>
          <w:sz w:val="22"/>
          <w:szCs w:val="22"/>
        </w:rPr>
        <w:t>, imports</w:t>
      </w:r>
      <w:r w:rsidR="003A503D">
        <w:rPr>
          <w:rFonts w:ascii="Palatino Linotype" w:hAnsi="Palatino Linotype" w:cstheme="minorHAnsi"/>
          <w:sz w:val="22"/>
          <w:szCs w:val="22"/>
        </w:rPr>
        <w:t>'</w:t>
      </w:r>
      <w:r w:rsidR="00BD6057">
        <w:rPr>
          <w:rFonts w:ascii="Palatino Linotype" w:hAnsi="Palatino Linotype" w:cstheme="minorHAnsi"/>
          <w:sz w:val="22"/>
          <w:szCs w:val="22"/>
        </w:rPr>
        <w:t xml:space="preserve"> contribution w</w:t>
      </w:r>
      <w:r w:rsidR="003A503D">
        <w:rPr>
          <w:rFonts w:ascii="Palatino Linotype" w:hAnsi="Palatino Linotype" w:cstheme="minorHAnsi"/>
          <w:sz w:val="22"/>
          <w:szCs w:val="22"/>
        </w:rPr>
        <w:t>as</w:t>
      </w:r>
      <w:r w:rsidR="00BD6057">
        <w:rPr>
          <w:rFonts w:ascii="Palatino Linotype" w:hAnsi="Palatino Linotype" w:cstheme="minorHAnsi"/>
          <w:sz w:val="22"/>
          <w:szCs w:val="22"/>
        </w:rPr>
        <w:t xml:space="preserve"> </w:t>
      </w:r>
      <w:r w:rsidR="00C57130">
        <w:rPr>
          <w:rFonts w:ascii="Palatino Linotype" w:hAnsi="Palatino Linotype" w:cstheme="minorHAnsi"/>
          <w:sz w:val="22"/>
          <w:szCs w:val="22"/>
        </w:rPr>
        <w:t>minus 1.4</w:t>
      </w:r>
      <w:r w:rsidR="00BD6057">
        <w:rPr>
          <w:rFonts w:ascii="Palatino Linotype" w:hAnsi="Palatino Linotype" w:cstheme="minorHAnsi"/>
          <w:sz w:val="22"/>
          <w:szCs w:val="22"/>
        </w:rPr>
        <w:t xml:space="preserve"> as</w:t>
      </w:r>
      <w:r w:rsidR="00DF3360">
        <w:rPr>
          <w:rFonts w:ascii="Palatino Linotype" w:hAnsi="Palatino Linotype" w:cstheme="minorHAnsi"/>
          <w:sz w:val="22"/>
          <w:szCs w:val="22"/>
        </w:rPr>
        <w:t xml:space="preserve"> imports </w:t>
      </w:r>
      <w:r w:rsidR="00C57130">
        <w:rPr>
          <w:rFonts w:ascii="Palatino Linotype" w:hAnsi="Palatino Linotype" w:cstheme="minorHAnsi"/>
          <w:sz w:val="22"/>
          <w:szCs w:val="22"/>
        </w:rPr>
        <w:t>start</w:t>
      </w:r>
      <w:r w:rsidR="00DF3360" w:rsidRPr="00DF3360">
        <w:rPr>
          <w:rFonts w:ascii="Palatino Linotype" w:hAnsi="Palatino Linotype" w:cstheme="minorHAnsi"/>
          <w:sz w:val="22"/>
          <w:szCs w:val="22"/>
        </w:rPr>
        <w:t xml:space="preserve"> to </w:t>
      </w:r>
      <w:r w:rsidR="00C57130">
        <w:rPr>
          <w:rFonts w:ascii="Palatino Linotype" w:hAnsi="Palatino Linotype" w:cstheme="minorHAnsi"/>
          <w:sz w:val="22"/>
          <w:szCs w:val="22"/>
        </w:rPr>
        <w:t>increase</w:t>
      </w:r>
      <w:r w:rsidR="00DF3360" w:rsidRPr="00DF3360">
        <w:rPr>
          <w:rFonts w:ascii="Palatino Linotype" w:hAnsi="Palatino Linotype" w:cstheme="minorHAnsi"/>
          <w:sz w:val="22"/>
          <w:szCs w:val="22"/>
        </w:rPr>
        <w:t>.</w:t>
      </w:r>
      <w:r w:rsidR="004E444D" w:rsidRPr="004E444D">
        <w:rPr>
          <w:rFonts w:ascii="Palatino Linotype" w:hAnsi="Palatino Linotype" w:cstheme="minorHAnsi"/>
          <w:sz w:val="22"/>
          <w:szCs w:val="22"/>
        </w:rPr>
        <w:t xml:space="preserve"> </w:t>
      </w:r>
    </w:p>
    <w:p w14:paraId="008BC77F" w14:textId="77777777" w:rsidR="004C5967" w:rsidRDefault="004C5967" w:rsidP="00F439CE">
      <w:pPr>
        <w:spacing w:line="300" w:lineRule="auto"/>
        <w:ind w:left="567" w:right="567"/>
        <w:jc w:val="both"/>
        <w:rPr>
          <w:rFonts w:ascii="Palatino Linotype" w:hAnsi="Palatino Linotype" w:cstheme="minorHAnsi"/>
          <w:sz w:val="22"/>
          <w:szCs w:val="22"/>
        </w:rPr>
      </w:pPr>
    </w:p>
    <w:p w14:paraId="026C3406" w14:textId="70DF71EF" w:rsidR="004C5967" w:rsidRDefault="003A503D" w:rsidP="00F439CE">
      <w:pPr>
        <w:spacing w:line="300" w:lineRule="auto"/>
        <w:ind w:left="567" w:right="567"/>
        <w:jc w:val="both"/>
        <w:rPr>
          <w:rFonts w:ascii="Palatino Linotype" w:hAnsi="Palatino Linotype" w:cstheme="minorHAnsi"/>
          <w:sz w:val="22"/>
          <w:szCs w:val="22"/>
        </w:rPr>
      </w:pPr>
      <w:r>
        <w:rPr>
          <w:rFonts w:ascii="Palatino Linotype" w:hAnsi="Palatino Linotype" w:cstheme="minorHAnsi"/>
          <w:sz w:val="22"/>
          <w:szCs w:val="22"/>
        </w:rPr>
        <w:t>Quarterly</w:t>
      </w:r>
      <w:r w:rsidR="0019114E">
        <w:rPr>
          <w:rFonts w:ascii="Palatino Linotype" w:hAnsi="Palatino Linotype" w:cstheme="minorHAnsi"/>
          <w:sz w:val="22"/>
          <w:szCs w:val="22"/>
        </w:rPr>
        <w:t xml:space="preserve">, </w:t>
      </w:r>
      <w:r w:rsidR="0044302D">
        <w:rPr>
          <w:rFonts w:ascii="Palatino Linotype" w:hAnsi="Palatino Linotype" w:cstheme="minorHAnsi"/>
          <w:sz w:val="22"/>
          <w:szCs w:val="22"/>
        </w:rPr>
        <w:t>we observe that private consumption, government expenditure, exports</w:t>
      </w:r>
      <w:r w:rsidR="00572161">
        <w:rPr>
          <w:rFonts w:ascii="Palatino Linotype" w:hAnsi="Palatino Linotype" w:cstheme="minorHAnsi"/>
          <w:sz w:val="22"/>
          <w:szCs w:val="22"/>
        </w:rPr>
        <w:t>,</w:t>
      </w:r>
      <w:r w:rsidR="0044302D">
        <w:rPr>
          <w:rFonts w:ascii="Palatino Linotype" w:hAnsi="Palatino Linotype" w:cstheme="minorHAnsi"/>
          <w:sz w:val="22"/>
          <w:szCs w:val="22"/>
        </w:rPr>
        <w:t xml:space="preserve"> and stock change contribute positively to </w:t>
      </w:r>
      <w:r>
        <w:rPr>
          <w:rFonts w:ascii="Palatino Linotype" w:hAnsi="Palatino Linotype" w:cstheme="minorHAnsi"/>
          <w:sz w:val="22"/>
          <w:szCs w:val="22"/>
        </w:rPr>
        <w:t xml:space="preserve">the </w:t>
      </w:r>
      <w:r w:rsidR="0044302D" w:rsidRPr="0080775F">
        <w:rPr>
          <w:rFonts w:ascii="Palatino Linotype" w:hAnsi="Palatino Linotype" w:cstheme="minorHAnsi"/>
          <w:sz w:val="22"/>
          <w:szCs w:val="22"/>
        </w:rPr>
        <w:t>growth rate.</w:t>
      </w:r>
      <w:r w:rsidR="0044302D">
        <w:rPr>
          <w:rFonts w:ascii="Palatino Linotype" w:hAnsi="Palatino Linotype" w:cstheme="minorHAnsi"/>
          <w:sz w:val="22"/>
          <w:szCs w:val="22"/>
        </w:rPr>
        <w:t xml:space="preserve"> </w:t>
      </w:r>
      <w:r w:rsidR="004C5967">
        <w:rPr>
          <w:rFonts w:ascii="Palatino Linotype" w:hAnsi="Palatino Linotype" w:cstheme="minorHAnsi"/>
          <w:sz w:val="22"/>
          <w:szCs w:val="22"/>
        </w:rPr>
        <w:t>The contribution of import</w:t>
      </w:r>
      <w:r>
        <w:rPr>
          <w:rFonts w:ascii="Palatino Linotype" w:hAnsi="Palatino Linotype" w:cstheme="minorHAnsi"/>
          <w:sz w:val="22"/>
          <w:szCs w:val="22"/>
        </w:rPr>
        <w:t>s</w:t>
      </w:r>
      <w:r w:rsidR="004C5967">
        <w:rPr>
          <w:rFonts w:ascii="Palatino Linotype" w:hAnsi="Palatino Linotype" w:cstheme="minorHAnsi"/>
          <w:sz w:val="22"/>
          <w:szCs w:val="22"/>
        </w:rPr>
        <w:t xml:space="preserve"> is minus 2.9 percentage points. </w:t>
      </w:r>
    </w:p>
    <w:p w14:paraId="420C5E3F" w14:textId="77777777" w:rsidR="004C5967" w:rsidRDefault="004C5967" w:rsidP="00F439CE">
      <w:pPr>
        <w:spacing w:line="300" w:lineRule="auto"/>
        <w:ind w:left="567" w:right="567"/>
        <w:jc w:val="both"/>
        <w:rPr>
          <w:rFonts w:ascii="Palatino Linotype" w:hAnsi="Palatino Linotype" w:cstheme="minorHAnsi"/>
          <w:sz w:val="22"/>
          <w:szCs w:val="22"/>
        </w:rPr>
      </w:pPr>
    </w:p>
    <w:p w14:paraId="7368C007" w14:textId="51F7CCF5" w:rsidR="00F612B5" w:rsidRDefault="002E1608" w:rsidP="00F439CE">
      <w:pPr>
        <w:spacing w:line="300" w:lineRule="auto"/>
        <w:ind w:left="567" w:right="567"/>
        <w:jc w:val="both"/>
        <w:rPr>
          <w:rFonts w:ascii="Palatino Linotype" w:hAnsi="Palatino Linotype" w:cstheme="minorHAnsi"/>
          <w:sz w:val="22"/>
          <w:szCs w:val="22"/>
        </w:rPr>
      </w:pPr>
      <w:bookmarkStart w:id="1" w:name="OLE_LINK9"/>
      <w:bookmarkStart w:id="2" w:name="OLE_LINK10"/>
      <w:r>
        <w:rPr>
          <w:rFonts w:ascii="Palatino Linotype" w:hAnsi="Palatino Linotype" w:cstheme="minorHAnsi"/>
          <w:sz w:val="22"/>
          <w:szCs w:val="22"/>
        </w:rPr>
        <w:t xml:space="preserve">The fact that stock change contributes positively to growth when </w:t>
      </w:r>
      <w:r w:rsidR="003A503D">
        <w:rPr>
          <w:rFonts w:ascii="Palatino Linotype" w:hAnsi="Palatino Linotype" w:cstheme="minorHAnsi"/>
          <w:sz w:val="22"/>
          <w:szCs w:val="22"/>
        </w:rPr>
        <w:t xml:space="preserve">the </w:t>
      </w:r>
      <w:r>
        <w:rPr>
          <w:rFonts w:ascii="Palatino Linotype" w:hAnsi="Palatino Linotype" w:cstheme="minorHAnsi"/>
          <w:sz w:val="22"/>
          <w:szCs w:val="22"/>
        </w:rPr>
        <w:t xml:space="preserve">Turkish economy goes down </w:t>
      </w:r>
      <w:r w:rsidR="0080775F">
        <w:rPr>
          <w:rFonts w:ascii="Palatino Linotype" w:hAnsi="Palatino Linotype" w:cstheme="minorHAnsi"/>
          <w:sz w:val="22"/>
          <w:szCs w:val="22"/>
        </w:rPr>
        <w:t>can be interpreted that despite low demand,</w:t>
      </w:r>
      <w:r w:rsidR="00BE3442">
        <w:rPr>
          <w:rFonts w:ascii="Palatino Linotype" w:hAnsi="Palatino Linotype" w:cstheme="minorHAnsi"/>
          <w:sz w:val="22"/>
          <w:szCs w:val="22"/>
        </w:rPr>
        <w:t xml:space="preserve"> production is still in pr</w:t>
      </w:r>
      <w:r w:rsidR="0080775F">
        <w:rPr>
          <w:rFonts w:ascii="Palatino Linotype" w:hAnsi="Palatino Linotype" w:cstheme="minorHAnsi"/>
          <w:sz w:val="22"/>
          <w:szCs w:val="22"/>
        </w:rPr>
        <w:t>ogress</w:t>
      </w:r>
      <w:r w:rsidR="003A503D">
        <w:rPr>
          <w:rFonts w:ascii="Palatino Linotype" w:hAnsi="Palatino Linotype" w:cstheme="minorHAnsi"/>
          <w:sz w:val="22"/>
          <w:szCs w:val="22"/>
        </w:rPr>
        <w:t>;</w:t>
      </w:r>
      <w:r w:rsidR="0080775F">
        <w:rPr>
          <w:rFonts w:ascii="Palatino Linotype" w:hAnsi="Palatino Linotype" w:cstheme="minorHAnsi"/>
          <w:sz w:val="22"/>
          <w:szCs w:val="22"/>
        </w:rPr>
        <w:t xml:space="preserve"> therefore, producer expectation of </w:t>
      </w:r>
      <w:r w:rsidR="003A503D">
        <w:rPr>
          <w:rFonts w:ascii="Palatino Linotype" w:hAnsi="Palatino Linotype" w:cstheme="minorHAnsi"/>
          <w:sz w:val="22"/>
          <w:szCs w:val="22"/>
        </w:rPr>
        <w:t xml:space="preserve">the </w:t>
      </w:r>
      <w:r w:rsidR="0080775F">
        <w:rPr>
          <w:rFonts w:ascii="Palatino Linotype" w:hAnsi="Palatino Linotype" w:cstheme="minorHAnsi"/>
          <w:sz w:val="22"/>
          <w:szCs w:val="22"/>
        </w:rPr>
        <w:t xml:space="preserve">future </w:t>
      </w:r>
      <w:r w:rsidR="0080775F" w:rsidRPr="00643216">
        <w:rPr>
          <w:rFonts w:ascii="Palatino Linotype" w:hAnsi="Palatino Linotype" w:cstheme="minorHAnsi"/>
          <w:sz w:val="22"/>
          <w:szCs w:val="22"/>
        </w:rPr>
        <w:t>is positive</w:t>
      </w:r>
      <w:r w:rsidR="0080775F">
        <w:rPr>
          <w:rFonts w:ascii="Palatino Linotype" w:hAnsi="Palatino Linotype" w:cstheme="minorHAnsi"/>
          <w:sz w:val="22"/>
          <w:szCs w:val="22"/>
        </w:rPr>
        <w:t xml:space="preserve">. </w:t>
      </w:r>
      <w:bookmarkEnd w:id="1"/>
      <w:bookmarkEnd w:id="2"/>
      <w:r w:rsidR="0080775F">
        <w:rPr>
          <w:rFonts w:ascii="Palatino Linotype" w:hAnsi="Palatino Linotype" w:cstheme="minorHAnsi"/>
          <w:sz w:val="22"/>
          <w:szCs w:val="22"/>
        </w:rPr>
        <w:t>On the other hand, ongoing reduction</w:t>
      </w:r>
      <w:r w:rsidR="003A503D">
        <w:rPr>
          <w:rFonts w:ascii="Palatino Linotype" w:hAnsi="Palatino Linotype" w:cstheme="minorHAnsi"/>
          <w:sz w:val="22"/>
          <w:szCs w:val="22"/>
        </w:rPr>
        <w:t>s</w:t>
      </w:r>
      <w:r w:rsidR="0080775F">
        <w:rPr>
          <w:rFonts w:ascii="Palatino Linotype" w:hAnsi="Palatino Linotype" w:cstheme="minorHAnsi"/>
          <w:sz w:val="22"/>
          <w:szCs w:val="22"/>
        </w:rPr>
        <w:t xml:space="preserve"> in investments</w:t>
      </w:r>
      <w:r w:rsidR="00643216">
        <w:rPr>
          <w:rFonts w:ascii="Palatino Linotype" w:hAnsi="Palatino Linotype" w:cstheme="minorHAnsi"/>
          <w:sz w:val="22"/>
          <w:szCs w:val="22"/>
        </w:rPr>
        <w:t xml:space="preserve"> </w:t>
      </w:r>
      <w:r w:rsidR="00846FD6">
        <w:rPr>
          <w:rFonts w:ascii="Palatino Linotype" w:hAnsi="Palatino Linotype" w:cstheme="minorHAnsi"/>
          <w:sz w:val="22"/>
          <w:szCs w:val="22"/>
        </w:rPr>
        <w:t xml:space="preserve">raise </w:t>
      </w:r>
      <w:r w:rsidR="00643216">
        <w:rPr>
          <w:rFonts w:ascii="Palatino Linotype" w:hAnsi="Palatino Linotype" w:cstheme="minorHAnsi"/>
          <w:sz w:val="22"/>
          <w:szCs w:val="22"/>
        </w:rPr>
        <w:t>concern</w:t>
      </w:r>
      <w:r w:rsidR="00846FD6">
        <w:rPr>
          <w:rFonts w:ascii="Palatino Linotype" w:hAnsi="Palatino Linotype" w:cstheme="minorHAnsi"/>
          <w:sz w:val="22"/>
          <w:szCs w:val="22"/>
        </w:rPr>
        <w:t>s</w:t>
      </w:r>
      <w:r w:rsidR="00643216">
        <w:rPr>
          <w:rFonts w:ascii="Palatino Linotype" w:hAnsi="Palatino Linotype" w:cstheme="minorHAnsi"/>
          <w:sz w:val="22"/>
          <w:szCs w:val="22"/>
        </w:rPr>
        <w:t xml:space="preserve"> for the next period of the GDP growth.</w:t>
      </w:r>
      <w:bookmarkStart w:id="3" w:name="OLE_LINK13"/>
      <w:bookmarkStart w:id="4" w:name="OLE_LINK14"/>
      <w:r w:rsidR="00E81DD7">
        <w:rPr>
          <w:rFonts w:ascii="Palatino Linotype" w:hAnsi="Palatino Linotype" w:cstheme="minorHAnsi"/>
          <w:sz w:val="22"/>
          <w:szCs w:val="22"/>
        </w:rPr>
        <w:t xml:space="preserve"> </w:t>
      </w:r>
      <w:r w:rsidR="00667370">
        <w:rPr>
          <w:rFonts w:ascii="Palatino Linotype" w:hAnsi="Palatino Linotype" w:cstheme="minorHAnsi"/>
          <w:sz w:val="22"/>
          <w:szCs w:val="22"/>
        </w:rPr>
        <w:t xml:space="preserve">Despite this positive sign, we observe that investments decline </w:t>
      </w:r>
      <w:r w:rsidR="00DB3A8E">
        <w:rPr>
          <w:rFonts w:ascii="Palatino Linotype" w:hAnsi="Palatino Linotype" w:cstheme="minorHAnsi"/>
          <w:sz w:val="22"/>
          <w:szCs w:val="22"/>
        </w:rPr>
        <w:t>in year-on-year comparison while</w:t>
      </w:r>
      <w:r w:rsidR="00667370">
        <w:rPr>
          <w:rFonts w:ascii="Palatino Linotype" w:hAnsi="Palatino Linotype" w:cstheme="minorHAnsi"/>
          <w:sz w:val="22"/>
          <w:szCs w:val="22"/>
        </w:rPr>
        <w:t xml:space="preserve"> stays constant </w:t>
      </w:r>
      <w:r w:rsidR="00DB3A8E">
        <w:rPr>
          <w:rFonts w:ascii="Palatino Linotype" w:hAnsi="Palatino Linotype" w:cstheme="minorHAnsi"/>
          <w:sz w:val="22"/>
          <w:szCs w:val="22"/>
        </w:rPr>
        <w:t xml:space="preserve">in quarter-on-quarter </w:t>
      </w:r>
      <w:r w:rsidR="00667370">
        <w:rPr>
          <w:rFonts w:ascii="Palatino Linotype" w:hAnsi="Palatino Linotype" w:cstheme="minorHAnsi"/>
          <w:sz w:val="22"/>
          <w:szCs w:val="22"/>
        </w:rPr>
        <w:t>compar</w:t>
      </w:r>
      <w:r w:rsidR="00DB3A8E">
        <w:rPr>
          <w:rFonts w:ascii="Palatino Linotype" w:hAnsi="Palatino Linotype" w:cstheme="minorHAnsi"/>
          <w:sz w:val="22"/>
          <w:szCs w:val="22"/>
        </w:rPr>
        <w:t xml:space="preserve">ison. </w:t>
      </w:r>
      <w:r w:rsidR="00667370">
        <w:rPr>
          <w:rFonts w:ascii="Palatino Linotype" w:hAnsi="Palatino Linotype" w:cstheme="minorHAnsi"/>
          <w:sz w:val="22"/>
          <w:szCs w:val="22"/>
        </w:rPr>
        <w:t xml:space="preserve"> </w:t>
      </w:r>
      <w:r w:rsidR="00DB3A8E">
        <w:rPr>
          <w:rFonts w:ascii="Palatino Linotype" w:hAnsi="Palatino Linotype" w:cstheme="minorHAnsi"/>
          <w:sz w:val="22"/>
          <w:szCs w:val="22"/>
        </w:rPr>
        <w:t>This would raise concern about future GDP growth but knowing that the quarter-on-quarter decline in investments was 6.8 percent in the second quarter we can speak of an improvement in investment trends as well. All in all</w:t>
      </w:r>
      <w:r w:rsidR="0011189B">
        <w:rPr>
          <w:rFonts w:ascii="Palatino Linotype" w:hAnsi="Palatino Linotype" w:cstheme="minorHAnsi"/>
          <w:sz w:val="22"/>
          <w:szCs w:val="22"/>
        </w:rPr>
        <w:t xml:space="preserve">, we anticipate that economic growth will continue at least in the short run. </w:t>
      </w:r>
      <w:bookmarkEnd w:id="3"/>
      <w:bookmarkEnd w:id="4"/>
    </w:p>
    <w:p w14:paraId="4C5A63AC" w14:textId="42AE92D4" w:rsidR="007858EF" w:rsidRDefault="007858EF" w:rsidP="0000121D">
      <w:pPr>
        <w:spacing w:line="360" w:lineRule="auto"/>
        <w:ind w:left="567" w:right="567"/>
        <w:jc w:val="both"/>
        <w:rPr>
          <w:rFonts w:ascii="Palatino Linotype" w:hAnsi="Palatino Linotype" w:cstheme="minorHAnsi"/>
          <w:sz w:val="22"/>
          <w:szCs w:val="22"/>
        </w:rPr>
      </w:pPr>
    </w:p>
    <w:p w14:paraId="5EFD336B" w14:textId="4A8FD732" w:rsidR="00E01513" w:rsidRDefault="00B53557" w:rsidP="007858EF">
      <w:pPr>
        <w:spacing w:after="120" w:line="360" w:lineRule="auto"/>
        <w:ind w:right="567"/>
        <w:jc w:val="both"/>
        <w:rPr>
          <w:rFonts w:ascii="Palatino Linotype" w:hAnsi="Palatino Linotype" w:cstheme="minorHAnsi"/>
          <w:b/>
          <w:bCs/>
          <w:sz w:val="22"/>
          <w:szCs w:val="22"/>
        </w:rPr>
      </w:pPr>
      <w:r>
        <w:rPr>
          <w:rFonts w:ascii="Palatino Linotype" w:hAnsi="Palatino Linotype" w:cstheme="minorHAnsi"/>
          <w:b/>
          <w:bCs/>
          <w:sz w:val="22"/>
          <w:szCs w:val="22"/>
        </w:rPr>
        <w:lastRenderedPageBreak/>
        <w:t xml:space="preserve">Figure 1: </w:t>
      </w:r>
      <w:r w:rsidR="00AD2B46">
        <w:rPr>
          <w:rFonts w:ascii="Palatino Linotype" w:hAnsi="Palatino Linotype" w:cstheme="minorHAnsi"/>
          <w:b/>
          <w:bCs/>
          <w:sz w:val="22"/>
          <w:szCs w:val="22"/>
        </w:rPr>
        <w:t>C</w:t>
      </w:r>
      <w:r w:rsidR="00AD2B46" w:rsidRPr="00AD2B46">
        <w:rPr>
          <w:rFonts w:ascii="Palatino Linotype" w:hAnsi="Palatino Linotype" w:cstheme="minorHAnsi"/>
          <w:b/>
          <w:bCs/>
          <w:sz w:val="22"/>
          <w:szCs w:val="22"/>
        </w:rPr>
        <w:t xml:space="preserve">ontributions to growth (left) </w:t>
      </w:r>
      <w:r w:rsidR="00AD2B46">
        <w:rPr>
          <w:rFonts w:ascii="Palatino Linotype" w:hAnsi="Palatino Linotype" w:cstheme="minorHAnsi"/>
          <w:b/>
          <w:bCs/>
          <w:sz w:val="22"/>
          <w:szCs w:val="22"/>
        </w:rPr>
        <w:t>and y</w:t>
      </w:r>
      <w:r w:rsidR="00AD2B46" w:rsidRPr="00AD2B46">
        <w:rPr>
          <w:rFonts w:ascii="Palatino Linotype" w:hAnsi="Palatino Linotype" w:cstheme="minorHAnsi"/>
          <w:b/>
          <w:bCs/>
          <w:sz w:val="22"/>
          <w:szCs w:val="22"/>
        </w:rPr>
        <w:t>ear-on-year growth rates (right) of GDP components in 20</w:t>
      </w:r>
      <w:r w:rsidR="004116D0">
        <w:rPr>
          <w:rFonts w:ascii="Palatino Linotype" w:hAnsi="Palatino Linotype" w:cstheme="minorHAnsi"/>
          <w:b/>
          <w:bCs/>
          <w:sz w:val="22"/>
          <w:szCs w:val="22"/>
        </w:rPr>
        <w:t>19</w:t>
      </w:r>
      <w:r w:rsidR="00AD2B46" w:rsidRPr="00AD2B46">
        <w:rPr>
          <w:rFonts w:ascii="Palatino Linotype" w:hAnsi="Palatino Linotype" w:cstheme="minorHAnsi"/>
          <w:b/>
          <w:bCs/>
          <w:sz w:val="22"/>
          <w:szCs w:val="22"/>
        </w:rPr>
        <w:t xml:space="preserve"> Q</w:t>
      </w:r>
      <w:r w:rsidR="00F439CE">
        <w:rPr>
          <w:rFonts w:ascii="Palatino Linotype" w:hAnsi="Palatino Linotype" w:cstheme="minorHAnsi"/>
          <w:b/>
          <w:bCs/>
          <w:sz w:val="22"/>
          <w:szCs w:val="22"/>
        </w:rPr>
        <w:t>3</w:t>
      </w:r>
    </w:p>
    <w:p w14:paraId="75865008" w14:textId="41F68A60" w:rsidR="00B53557" w:rsidRPr="00924CD9" w:rsidRDefault="00B53557" w:rsidP="00B53557">
      <w:pPr>
        <w:keepNext/>
        <w:ind w:left="-567" w:right="-567"/>
        <w:rPr>
          <w:rFonts w:ascii="Palatino Linotype" w:hAnsi="Palatino Linotype" w:cstheme="minorHAnsi"/>
        </w:rPr>
      </w:pPr>
      <w:r w:rsidRPr="00D56304">
        <w:rPr>
          <w:noProof/>
        </w:rPr>
        <w:t xml:space="preserve"> </w:t>
      </w:r>
      <w:r w:rsidR="00415A3D" w:rsidRPr="00415A3D">
        <w:rPr>
          <w:noProof/>
          <w:lang w:val="en-GB" w:eastAsia="en-GB"/>
        </w:rPr>
        <w:t xml:space="preserve"> </w:t>
      </w:r>
      <w:r w:rsidR="000604FB">
        <w:rPr>
          <w:noProof/>
          <w:lang w:val="en-GB" w:eastAsia="en-GB"/>
        </w:rPr>
        <w:drawing>
          <wp:inline distT="0" distB="0" distL="0" distR="0" wp14:anchorId="550B11F9" wp14:editId="51E2C4E1">
            <wp:extent cx="3190875" cy="2447925"/>
            <wp:effectExtent l="0" t="0" r="9525" b="9525"/>
            <wp:docPr id="3" name="Chart 3">
              <a:extLst xmlns:a="http://schemas.openxmlformats.org/drawingml/2006/main">
                <a:ext uri="{FF2B5EF4-FFF2-40B4-BE49-F238E27FC236}">
                  <a16:creationId xmlns:a16="http://schemas.microsoft.com/office/drawing/2014/main" id="{18BC373F-4370-4368-BF3E-E5C5B73E0A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0604FB">
        <w:rPr>
          <w:noProof/>
          <w:lang w:val="en-GB" w:eastAsia="en-GB"/>
        </w:rPr>
        <w:drawing>
          <wp:inline distT="0" distB="0" distL="0" distR="0" wp14:anchorId="2A275E1E" wp14:editId="6E8080BC">
            <wp:extent cx="3086100" cy="2447925"/>
            <wp:effectExtent l="0" t="0" r="0" b="9525"/>
            <wp:docPr id="4" name="Chart 4">
              <a:extLst xmlns:a="http://schemas.openxmlformats.org/drawingml/2006/main">
                <a:ext uri="{FF2B5EF4-FFF2-40B4-BE49-F238E27FC236}">
                  <a16:creationId xmlns:a16="http://schemas.microsoft.com/office/drawing/2014/main" id="{0D245A8B-5CBD-429E-AACF-D2D3B7321D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CB93672" w14:textId="7AD9677C" w:rsidR="00B53557" w:rsidRDefault="00B53557" w:rsidP="00B53557">
      <w:pPr>
        <w:keepNext/>
        <w:rPr>
          <w:rFonts w:ascii="Palatino Linotype" w:hAnsi="Palatino Linotype" w:cstheme="minorHAnsi"/>
          <w:sz w:val="16"/>
          <w:szCs w:val="16"/>
        </w:rPr>
      </w:pPr>
      <w:r w:rsidRPr="00A160F5">
        <w:rPr>
          <w:rFonts w:ascii="Palatino Linotype" w:hAnsi="Palatino Linotype" w:cstheme="minorHAnsi"/>
          <w:b/>
          <w:sz w:val="18"/>
          <w:szCs w:val="18"/>
        </w:rPr>
        <w:t>Source:</w:t>
      </w:r>
      <w:r w:rsidRPr="003E1EED">
        <w:rPr>
          <w:rFonts w:ascii="Palatino Linotype" w:hAnsi="Palatino Linotype" w:cstheme="minorHAnsi"/>
          <w:sz w:val="18"/>
          <w:szCs w:val="18"/>
        </w:rPr>
        <w:t xml:space="preserve"> </w:t>
      </w:r>
      <w:proofErr w:type="spellStart"/>
      <w:r w:rsidRPr="003E1EED">
        <w:rPr>
          <w:rFonts w:ascii="Palatino Linotype" w:hAnsi="Palatino Linotype" w:cstheme="minorHAnsi"/>
          <w:sz w:val="18"/>
          <w:szCs w:val="18"/>
        </w:rPr>
        <w:t>T</w:t>
      </w:r>
      <w:r>
        <w:rPr>
          <w:rFonts w:ascii="Palatino Linotype" w:hAnsi="Palatino Linotype" w:cstheme="minorHAnsi"/>
          <w:sz w:val="18"/>
          <w:szCs w:val="18"/>
        </w:rPr>
        <w:t>urkStat</w:t>
      </w:r>
      <w:proofErr w:type="spellEnd"/>
      <w:r w:rsidRPr="003E1EED">
        <w:rPr>
          <w:rFonts w:ascii="Palatino Linotype" w:hAnsi="Palatino Linotype" w:cstheme="minorHAnsi"/>
          <w:sz w:val="18"/>
          <w:szCs w:val="18"/>
        </w:rPr>
        <w:t xml:space="preserve">, </w:t>
      </w:r>
      <w:proofErr w:type="spellStart"/>
      <w:r w:rsidRPr="003E1EED">
        <w:rPr>
          <w:rFonts w:ascii="Palatino Linotype" w:hAnsi="Palatino Linotype" w:cstheme="minorHAnsi"/>
          <w:sz w:val="18"/>
          <w:szCs w:val="18"/>
        </w:rPr>
        <w:t>Betam</w:t>
      </w:r>
      <w:proofErr w:type="spellEnd"/>
      <w:r w:rsidRPr="00924CD9">
        <w:rPr>
          <w:rFonts w:ascii="Palatino Linotype" w:hAnsi="Palatino Linotype" w:cstheme="minorHAnsi"/>
          <w:sz w:val="16"/>
          <w:szCs w:val="16"/>
        </w:rPr>
        <w:t xml:space="preserve">. </w:t>
      </w:r>
    </w:p>
    <w:p w14:paraId="0163F371" w14:textId="6C1FCF65" w:rsidR="00823236" w:rsidRDefault="00823236" w:rsidP="00B53557">
      <w:pPr>
        <w:keepNext/>
        <w:rPr>
          <w:rFonts w:ascii="Palatino Linotype" w:hAnsi="Palatino Linotype" w:cstheme="minorHAnsi"/>
        </w:rPr>
      </w:pPr>
    </w:p>
    <w:p w14:paraId="062432CF" w14:textId="35BDF0C3" w:rsidR="007858EF" w:rsidRDefault="007858EF" w:rsidP="00B53557">
      <w:pPr>
        <w:keepNext/>
        <w:rPr>
          <w:rFonts w:ascii="Palatino Linotype" w:hAnsi="Palatino Linotype" w:cstheme="minorHAnsi"/>
        </w:rPr>
      </w:pPr>
    </w:p>
    <w:p w14:paraId="1517EF4E" w14:textId="474D5FFB" w:rsidR="009E1F69" w:rsidRDefault="003A503D" w:rsidP="00C65542">
      <w:pPr>
        <w:spacing w:line="360" w:lineRule="auto"/>
        <w:jc w:val="both"/>
        <w:rPr>
          <w:rFonts w:ascii="Palatino Linotype" w:hAnsi="Palatino Linotype" w:cstheme="minorHAnsi"/>
          <w:b/>
          <w:sz w:val="22"/>
          <w:szCs w:val="22"/>
        </w:rPr>
      </w:pPr>
      <w:r>
        <w:rPr>
          <w:rFonts w:ascii="Palatino Linotype" w:hAnsi="Palatino Linotype" w:cstheme="minorHAnsi"/>
          <w:b/>
          <w:sz w:val="22"/>
          <w:szCs w:val="22"/>
        </w:rPr>
        <w:t>The p</w:t>
      </w:r>
      <w:r w:rsidR="00F439CE">
        <w:rPr>
          <w:rFonts w:ascii="Palatino Linotype" w:hAnsi="Palatino Linotype" w:cstheme="minorHAnsi"/>
          <w:b/>
          <w:sz w:val="22"/>
          <w:szCs w:val="22"/>
        </w:rPr>
        <w:t>ositive contribution from</w:t>
      </w:r>
      <w:r w:rsidR="009E1F69" w:rsidRPr="009E1F69">
        <w:rPr>
          <w:rFonts w:ascii="Palatino Linotype" w:hAnsi="Palatino Linotype" w:cstheme="minorHAnsi"/>
          <w:b/>
          <w:sz w:val="22"/>
          <w:szCs w:val="22"/>
        </w:rPr>
        <w:t xml:space="preserve"> private consumption </w:t>
      </w:r>
    </w:p>
    <w:p w14:paraId="46B502D9" w14:textId="68DB90F5" w:rsidR="00C65542" w:rsidRPr="00982F71" w:rsidRDefault="006A2580" w:rsidP="00C65542">
      <w:pPr>
        <w:spacing w:line="360" w:lineRule="auto"/>
        <w:jc w:val="both"/>
        <w:rPr>
          <w:rFonts w:ascii="Palatino Linotype" w:hAnsi="Palatino Linotype" w:cstheme="minorHAnsi"/>
          <w:sz w:val="22"/>
          <w:szCs w:val="22"/>
        </w:rPr>
      </w:pPr>
      <w:r w:rsidRPr="00117151">
        <w:rPr>
          <w:rFonts w:ascii="Palatino Linotype" w:hAnsi="Palatino Linotype" w:cstheme="minorHAnsi"/>
          <w:sz w:val="22"/>
          <w:szCs w:val="22"/>
        </w:rPr>
        <w:t>Private</w:t>
      </w:r>
      <w:r>
        <w:rPr>
          <w:rFonts w:ascii="Palatino Linotype" w:hAnsi="Palatino Linotype" w:cstheme="minorHAnsi"/>
          <w:sz w:val="22"/>
          <w:szCs w:val="22"/>
        </w:rPr>
        <w:t xml:space="preserve"> c</w:t>
      </w:r>
      <w:r w:rsidR="003031C7">
        <w:rPr>
          <w:rFonts w:ascii="Palatino Linotype" w:hAnsi="Palatino Linotype" w:cstheme="minorHAnsi"/>
          <w:sz w:val="22"/>
          <w:szCs w:val="22"/>
        </w:rPr>
        <w:t>onsumption, which decreased</w:t>
      </w:r>
      <w:r w:rsidR="00B6148C" w:rsidRPr="00B6148C">
        <w:rPr>
          <w:rFonts w:ascii="Palatino Linotype" w:hAnsi="Palatino Linotype" w:cstheme="minorHAnsi"/>
          <w:sz w:val="22"/>
          <w:szCs w:val="22"/>
        </w:rPr>
        <w:t xml:space="preserve"> </w:t>
      </w:r>
      <w:r w:rsidR="00B6148C">
        <w:rPr>
          <w:rFonts w:ascii="Palatino Linotype" w:hAnsi="Palatino Linotype" w:cstheme="minorHAnsi"/>
          <w:sz w:val="22"/>
          <w:szCs w:val="22"/>
        </w:rPr>
        <w:t xml:space="preserve">by </w:t>
      </w:r>
      <w:r w:rsidR="003031C7">
        <w:rPr>
          <w:rFonts w:ascii="Palatino Linotype" w:hAnsi="Palatino Linotype" w:cstheme="minorHAnsi"/>
          <w:sz w:val="22"/>
          <w:szCs w:val="22"/>
        </w:rPr>
        <w:t>5 percent in the first</w:t>
      </w:r>
      <w:r w:rsidR="00B6148C" w:rsidRPr="00B6148C">
        <w:rPr>
          <w:rFonts w:ascii="Palatino Linotype" w:hAnsi="Palatino Linotype" w:cstheme="minorHAnsi"/>
          <w:sz w:val="22"/>
          <w:szCs w:val="22"/>
        </w:rPr>
        <w:t xml:space="preserve"> quarter</w:t>
      </w:r>
      <w:r w:rsidR="003031C7">
        <w:rPr>
          <w:rFonts w:ascii="Palatino Linotype" w:hAnsi="Palatino Linotype" w:cstheme="minorHAnsi"/>
          <w:sz w:val="22"/>
          <w:szCs w:val="22"/>
        </w:rPr>
        <w:t xml:space="preserve"> of 2019</w:t>
      </w:r>
      <w:r w:rsidR="005B5D19">
        <w:rPr>
          <w:rFonts w:ascii="Palatino Linotype" w:hAnsi="Palatino Linotype" w:cstheme="minorHAnsi"/>
          <w:sz w:val="22"/>
          <w:szCs w:val="22"/>
        </w:rPr>
        <w:t xml:space="preserve"> and 1 percent in the second quarter of 2019,</w:t>
      </w:r>
      <w:r w:rsidR="00B6148C" w:rsidRPr="00B6148C">
        <w:rPr>
          <w:rFonts w:ascii="Palatino Linotype" w:hAnsi="Palatino Linotype" w:cstheme="minorHAnsi"/>
          <w:sz w:val="22"/>
          <w:szCs w:val="22"/>
        </w:rPr>
        <w:t xml:space="preserve"> compared to the same quarter of the previous year, </w:t>
      </w:r>
      <w:r w:rsidR="005B5D19">
        <w:rPr>
          <w:rFonts w:ascii="Palatino Linotype" w:hAnsi="Palatino Linotype" w:cstheme="minorHAnsi"/>
          <w:sz w:val="22"/>
          <w:szCs w:val="22"/>
        </w:rPr>
        <w:t>increased by 1.5</w:t>
      </w:r>
      <w:r w:rsidR="003031C7">
        <w:rPr>
          <w:rFonts w:ascii="Palatino Linotype" w:hAnsi="Palatino Linotype" w:cstheme="minorHAnsi"/>
          <w:sz w:val="22"/>
          <w:szCs w:val="22"/>
        </w:rPr>
        <w:t xml:space="preserve"> percent in the </w:t>
      </w:r>
      <w:r w:rsidR="00EC5105">
        <w:rPr>
          <w:rFonts w:ascii="Palatino Linotype" w:hAnsi="Palatino Linotype" w:cstheme="minorHAnsi"/>
          <w:sz w:val="22"/>
          <w:szCs w:val="22"/>
        </w:rPr>
        <w:t>third</w:t>
      </w:r>
      <w:r w:rsidR="003031C7">
        <w:rPr>
          <w:rFonts w:ascii="Palatino Linotype" w:hAnsi="Palatino Linotype" w:cstheme="minorHAnsi"/>
          <w:sz w:val="22"/>
          <w:szCs w:val="22"/>
        </w:rPr>
        <w:t xml:space="preserve"> quarter of 2019</w:t>
      </w:r>
      <w:r w:rsidR="00A63696" w:rsidRPr="00A63696">
        <w:rPr>
          <w:rFonts w:ascii="Palatino Linotype" w:hAnsi="Palatino Linotype" w:cstheme="minorHAnsi"/>
          <w:sz w:val="22"/>
          <w:szCs w:val="22"/>
        </w:rPr>
        <w:t>.</w:t>
      </w:r>
      <w:r w:rsidR="00A63696">
        <w:rPr>
          <w:rFonts w:ascii="Palatino Linotype" w:hAnsi="Palatino Linotype" w:cstheme="minorHAnsi"/>
          <w:sz w:val="22"/>
          <w:szCs w:val="22"/>
        </w:rPr>
        <w:t xml:space="preserve"> </w:t>
      </w:r>
      <w:r w:rsidR="005B5D19">
        <w:rPr>
          <w:rFonts w:ascii="Palatino Linotype" w:hAnsi="Palatino Linotype" w:cstheme="minorHAnsi"/>
          <w:sz w:val="22"/>
          <w:szCs w:val="22"/>
        </w:rPr>
        <w:t>I</w:t>
      </w:r>
      <w:r w:rsidR="00381E85">
        <w:rPr>
          <w:rFonts w:ascii="Palatino Linotype" w:hAnsi="Palatino Linotype" w:cstheme="minorHAnsi"/>
          <w:sz w:val="22"/>
          <w:szCs w:val="22"/>
        </w:rPr>
        <w:t>ts</w:t>
      </w:r>
      <w:r w:rsidR="007539A6">
        <w:rPr>
          <w:rFonts w:ascii="Palatino Linotype" w:hAnsi="Palatino Linotype" w:cstheme="minorHAnsi"/>
          <w:sz w:val="22"/>
          <w:szCs w:val="22"/>
        </w:rPr>
        <w:t xml:space="preserve"> c</w:t>
      </w:r>
      <w:r w:rsidR="00B903AE">
        <w:rPr>
          <w:rFonts w:ascii="Palatino Linotype" w:hAnsi="Palatino Linotype" w:cstheme="minorHAnsi"/>
          <w:sz w:val="22"/>
          <w:szCs w:val="22"/>
        </w:rPr>
        <w:t>ontribution</w:t>
      </w:r>
      <w:r w:rsidR="00C65542">
        <w:rPr>
          <w:rFonts w:ascii="Palatino Linotype" w:hAnsi="Palatino Linotype" w:cstheme="minorHAnsi"/>
          <w:sz w:val="22"/>
          <w:szCs w:val="22"/>
        </w:rPr>
        <w:t xml:space="preserve"> to GDP growth </w:t>
      </w:r>
      <w:r w:rsidR="005B5D19">
        <w:rPr>
          <w:rFonts w:ascii="Palatino Linotype" w:hAnsi="Palatino Linotype" w:cstheme="minorHAnsi"/>
          <w:sz w:val="22"/>
          <w:szCs w:val="22"/>
        </w:rPr>
        <w:t>increased to</w:t>
      </w:r>
      <w:r w:rsidR="00C6420F">
        <w:rPr>
          <w:rFonts w:ascii="Palatino Linotype" w:hAnsi="Palatino Linotype" w:cstheme="minorHAnsi"/>
          <w:sz w:val="22"/>
          <w:szCs w:val="22"/>
        </w:rPr>
        <w:t xml:space="preserve"> </w:t>
      </w:r>
      <w:r w:rsidR="00103251">
        <w:rPr>
          <w:rFonts w:ascii="Palatino Linotype" w:hAnsi="Palatino Linotype" w:cstheme="minorHAnsi"/>
          <w:sz w:val="22"/>
          <w:szCs w:val="22"/>
        </w:rPr>
        <w:t>0</w:t>
      </w:r>
      <w:r w:rsidR="00B6148C">
        <w:rPr>
          <w:rFonts w:ascii="Palatino Linotype" w:hAnsi="Palatino Linotype" w:cstheme="minorHAnsi"/>
          <w:sz w:val="22"/>
          <w:szCs w:val="22"/>
        </w:rPr>
        <w:t>.</w:t>
      </w:r>
      <w:r w:rsidR="00103251">
        <w:rPr>
          <w:rFonts w:ascii="Palatino Linotype" w:hAnsi="Palatino Linotype" w:cstheme="minorHAnsi"/>
          <w:sz w:val="22"/>
          <w:szCs w:val="22"/>
        </w:rPr>
        <w:t>6</w:t>
      </w:r>
      <w:r w:rsidR="007539A6">
        <w:rPr>
          <w:rFonts w:ascii="Palatino Linotype" w:hAnsi="Palatino Linotype" w:cstheme="minorHAnsi"/>
          <w:sz w:val="22"/>
          <w:szCs w:val="22"/>
        </w:rPr>
        <w:t xml:space="preserve"> percentage points </w:t>
      </w:r>
      <w:r w:rsidR="00C65542" w:rsidRPr="00041E8F">
        <w:rPr>
          <w:rFonts w:ascii="Palatino Linotype" w:hAnsi="Palatino Linotype" w:cstheme="minorHAnsi"/>
          <w:sz w:val="22"/>
          <w:szCs w:val="22"/>
        </w:rPr>
        <w:t>(Table 1)</w:t>
      </w:r>
      <w:r w:rsidR="00C65542">
        <w:rPr>
          <w:rFonts w:ascii="Palatino Linotype" w:hAnsi="Palatino Linotype" w:cstheme="minorHAnsi"/>
          <w:sz w:val="22"/>
          <w:szCs w:val="22"/>
        </w:rPr>
        <w:t>.</w:t>
      </w:r>
      <w:r w:rsidR="00C65542" w:rsidRPr="00982F71">
        <w:rPr>
          <w:rFonts w:ascii="Palatino Linotype" w:hAnsi="Palatino Linotype" w:cstheme="minorHAnsi"/>
          <w:sz w:val="22"/>
          <w:szCs w:val="22"/>
        </w:rPr>
        <w:t xml:space="preserve"> </w:t>
      </w:r>
      <w:r w:rsidR="00C65542">
        <w:rPr>
          <w:rFonts w:ascii="Palatino Linotype" w:hAnsi="Palatino Linotype" w:cstheme="minorHAnsi"/>
          <w:sz w:val="22"/>
          <w:szCs w:val="22"/>
        </w:rPr>
        <w:t>W</w:t>
      </w:r>
      <w:r w:rsidR="00C65542" w:rsidRPr="00982F71">
        <w:rPr>
          <w:rFonts w:ascii="Palatino Linotype" w:hAnsi="Palatino Linotype" w:cstheme="minorHAnsi"/>
          <w:sz w:val="22"/>
          <w:szCs w:val="22"/>
        </w:rPr>
        <w:t xml:space="preserve">hen we look at the </w:t>
      </w:r>
      <w:r w:rsidR="00C65542" w:rsidRPr="007D787D">
        <w:rPr>
          <w:rFonts w:ascii="Palatino Linotype" w:hAnsi="Palatino Linotype" w:cstheme="minorHAnsi"/>
          <w:sz w:val="22"/>
          <w:szCs w:val="22"/>
        </w:rPr>
        <w:t xml:space="preserve">seasonally and calendar day adjusted </w:t>
      </w:r>
      <w:r w:rsidR="00C65542">
        <w:rPr>
          <w:rFonts w:ascii="Palatino Linotype" w:hAnsi="Palatino Linotype" w:cstheme="minorHAnsi"/>
          <w:sz w:val="22"/>
          <w:szCs w:val="22"/>
        </w:rPr>
        <w:t>data,</w:t>
      </w:r>
      <w:r w:rsidR="00C65542" w:rsidRPr="007D787D">
        <w:rPr>
          <w:rFonts w:ascii="Palatino Linotype" w:hAnsi="Palatino Linotype" w:cstheme="minorHAnsi"/>
          <w:sz w:val="22"/>
          <w:szCs w:val="22"/>
        </w:rPr>
        <w:t xml:space="preserve"> </w:t>
      </w:r>
      <w:r w:rsidR="005B5D19">
        <w:rPr>
          <w:rFonts w:ascii="Palatino Linotype" w:hAnsi="Palatino Linotype" w:cstheme="minorHAnsi"/>
          <w:sz w:val="22"/>
          <w:szCs w:val="22"/>
        </w:rPr>
        <w:t>private consumption</w:t>
      </w:r>
      <w:r w:rsidR="007159A3">
        <w:rPr>
          <w:rFonts w:ascii="Palatino Linotype" w:hAnsi="Palatino Linotype" w:cstheme="minorHAnsi"/>
          <w:sz w:val="22"/>
          <w:szCs w:val="22"/>
        </w:rPr>
        <w:t xml:space="preserve"> </w:t>
      </w:r>
      <w:r w:rsidR="005B5D19">
        <w:rPr>
          <w:rFonts w:ascii="Palatino Linotype" w:hAnsi="Palatino Linotype" w:cstheme="minorHAnsi"/>
          <w:sz w:val="22"/>
          <w:szCs w:val="22"/>
        </w:rPr>
        <w:t xml:space="preserve">contributed </w:t>
      </w:r>
      <w:r w:rsidR="007159A3">
        <w:rPr>
          <w:rFonts w:ascii="Palatino Linotype" w:hAnsi="Palatino Linotype" w:cstheme="minorHAnsi"/>
          <w:sz w:val="22"/>
          <w:szCs w:val="22"/>
        </w:rPr>
        <w:t xml:space="preserve">to growth rate </w:t>
      </w:r>
      <w:r w:rsidR="005B5D19">
        <w:rPr>
          <w:rFonts w:ascii="Palatino Linotype" w:hAnsi="Palatino Linotype" w:cstheme="minorHAnsi"/>
          <w:sz w:val="22"/>
          <w:szCs w:val="22"/>
        </w:rPr>
        <w:t>by</w:t>
      </w:r>
      <w:r w:rsidR="007159A3">
        <w:rPr>
          <w:rFonts w:ascii="Palatino Linotype" w:hAnsi="Palatino Linotype" w:cstheme="minorHAnsi"/>
          <w:sz w:val="22"/>
          <w:szCs w:val="22"/>
        </w:rPr>
        <w:t xml:space="preserve"> </w:t>
      </w:r>
      <w:r w:rsidR="002E194B">
        <w:rPr>
          <w:rFonts w:ascii="Palatino Linotype" w:hAnsi="Palatino Linotype" w:cstheme="minorHAnsi"/>
          <w:sz w:val="22"/>
          <w:szCs w:val="22"/>
        </w:rPr>
        <w:t>1.1 percentage points</w:t>
      </w:r>
      <w:r w:rsidR="007159A3">
        <w:rPr>
          <w:rFonts w:ascii="Palatino Linotype" w:hAnsi="Palatino Linotype" w:cstheme="minorHAnsi"/>
          <w:sz w:val="22"/>
          <w:szCs w:val="22"/>
        </w:rPr>
        <w:t xml:space="preserve"> in the </w:t>
      </w:r>
      <w:r w:rsidR="002E194B">
        <w:rPr>
          <w:rFonts w:ascii="Palatino Linotype" w:hAnsi="Palatino Linotype" w:cstheme="minorHAnsi"/>
          <w:sz w:val="22"/>
          <w:szCs w:val="22"/>
        </w:rPr>
        <w:t>third</w:t>
      </w:r>
      <w:r w:rsidR="007159A3">
        <w:rPr>
          <w:rFonts w:ascii="Palatino Linotype" w:hAnsi="Palatino Linotype" w:cstheme="minorHAnsi"/>
          <w:sz w:val="22"/>
          <w:szCs w:val="22"/>
        </w:rPr>
        <w:t xml:space="preserve"> quarter, </w:t>
      </w:r>
      <w:r w:rsidR="002E194B">
        <w:rPr>
          <w:rFonts w:ascii="Palatino Linotype" w:hAnsi="Palatino Linotype" w:cstheme="minorHAnsi"/>
          <w:sz w:val="22"/>
          <w:szCs w:val="22"/>
        </w:rPr>
        <w:t>increasing 1.9 percent</w:t>
      </w:r>
      <w:r w:rsidR="00831515">
        <w:rPr>
          <w:rFonts w:ascii="Palatino Linotype" w:hAnsi="Palatino Linotype" w:cstheme="minorHAnsi"/>
          <w:sz w:val="22"/>
          <w:szCs w:val="22"/>
        </w:rPr>
        <w:t xml:space="preserve"> </w:t>
      </w:r>
      <w:r w:rsidR="00C65542" w:rsidRPr="007D787D">
        <w:rPr>
          <w:rFonts w:ascii="Palatino Linotype" w:hAnsi="Palatino Linotype" w:cstheme="minorHAnsi"/>
          <w:sz w:val="22"/>
          <w:szCs w:val="22"/>
        </w:rPr>
        <w:t xml:space="preserve">(Table 2). </w:t>
      </w:r>
    </w:p>
    <w:p w14:paraId="0F242608" w14:textId="77777777" w:rsidR="00835AF0" w:rsidRDefault="00835AF0" w:rsidP="007539A6">
      <w:pPr>
        <w:keepNext/>
        <w:ind w:right="77"/>
        <w:jc w:val="both"/>
        <w:rPr>
          <w:rFonts w:ascii="Palatino Linotype" w:hAnsi="Palatino Linotype" w:cstheme="minorHAnsi"/>
          <w:sz w:val="18"/>
          <w:szCs w:val="18"/>
        </w:rPr>
      </w:pPr>
    </w:p>
    <w:p w14:paraId="54782745" w14:textId="755730B4" w:rsidR="007539A6" w:rsidRDefault="007539A6" w:rsidP="00BF4E41">
      <w:pPr>
        <w:keepNext/>
        <w:ind w:right="79"/>
        <w:jc w:val="both"/>
        <w:rPr>
          <w:rFonts w:ascii="Palatino Linotype" w:hAnsi="Palatino Linotype" w:cstheme="minorHAnsi"/>
          <w:b/>
          <w:bCs/>
          <w:sz w:val="22"/>
          <w:szCs w:val="22"/>
        </w:rPr>
      </w:pPr>
      <w:r w:rsidRPr="00924CD9">
        <w:rPr>
          <w:rFonts w:ascii="Palatino Linotype" w:hAnsi="Palatino Linotype" w:cstheme="minorHAnsi"/>
          <w:b/>
          <w:bCs/>
          <w:sz w:val="22"/>
          <w:szCs w:val="22"/>
        </w:rPr>
        <w:t>T</w:t>
      </w:r>
      <w:r>
        <w:rPr>
          <w:rFonts w:ascii="Palatino Linotype" w:hAnsi="Palatino Linotype" w:cstheme="minorHAnsi"/>
          <w:b/>
          <w:bCs/>
          <w:sz w:val="22"/>
          <w:szCs w:val="22"/>
        </w:rPr>
        <w:t>able</w:t>
      </w:r>
      <w:r w:rsidRPr="00924CD9">
        <w:rPr>
          <w:rFonts w:ascii="Palatino Linotype" w:hAnsi="Palatino Linotype" w:cstheme="minorHAnsi"/>
          <w:b/>
          <w:bCs/>
          <w:sz w:val="22"/>
          <w:szCs w:val="22"/>
        </w:rPr>
        <w:t xml:space="preserve"> 1: </w:t>
      </w:r>
      <w:r>
        <w:rPr>
          <w:rFonts w:ascii="Palatino Linotype" w:hAnsi="Palatino Linotype" w:cstheme="minorHAnsi"/>
          <w:b/>
          <w:bCs/>
          <w:sz w:val="22"/>
          <w:szCs w:val="22"/>
        </w:rPr>
        <w:t xml:space="preserve">Growth rates and contributions to </w:t>
      </w:r>
      <w:r w:rsidR="003A503D">
        <w:rPr>
          <w:rFonts w:ascii="Palatino Linotype" w:hAnsi="Palatino Linotype" w:cstheme="minorHAnsi"/>
          <w:b/>
          <w:bCs/>
          <w:sz w:val="22"/>
          <w:szCs w:val="22"/>
        </w:rPr>
        <w:t xml:space="preserve">the </w:t>
      </w:r>
      <w:r>
        <w:rPr>
          <w:rFonts w:ascii="Palatino Linotype" w:hAnsi="Palatino Linotype" w:cstheme="minorHAnsi"/>
          <w:b/>
          <w:bCs/>
          <w:sz w:val="22"/>
          <w:szCs w:val="22"/>
        </w:rPr>
        <w:t>gro</w:t>
      </w:r>
      <w:r w:rsidR="00835AF0">
        <w:rPr>
          <w:rFonts w:ascii="Palatino Linotype" w:hAnsi="Palatino Linotype" w:cstheme="minorHAnsi"/>
          <w:b/>
          <w:bCs/>
          <w:sz w:val="22"/>
          <w:szCs w:val="22"/>
        </w:rPr>
        <w:t>wth of GDP components in 2019 Q1 and 2019 Q2</w:t>
      </w:r>
      <w:r>
        <w:rPr>
          <w:rFonts w:ascii="Palatino Linotype" w:hAnsi="Palatino Linotype" w:cstheme="minorHAnsi"/>
          <w:b/>
          <w:bCs/>
          <w:sz w:val="22"/>
          <w:szCs w:val="22"/>
        </w:rPr>
        <w:t xml:space="preserve"> compared to </w:t>
      </w:r>
      <w:r w:rsidR="003A503D">
        <w:rPr>
          <w:rFonts w:ascii="Palatino Linotype" w:hAnsi="Palatino Linotype" w:cstheme="minorHAnsi"/>
          <w:b/>
          <w:bCs/>
          <w:sz w:val="22"/>
          <w:szCs w:val="22"/>
        </w:rPr>
        <w:t xml:space="preserve">the </w:t>
      </w:r>
      <w:r>
        <w:rPr>
          <w:rFonts w:ascii="Palatino Linotype" w:hAnsi="Palatino Linotype" w:cstheme="minorHAnsi"/>
          <w:b/>
          <w:bCs/>
          <w:sz w:val="22"/>
          <w:szCs w:val="22"/>
        </w:rPr>
        <w:t>same quarter of last year</w:t>
      </w:r>
    </w:p>
    <w:p w14:paraId="7DB1F7FC" w14:textId="77777777" w:rsidR="00BF4E41" w:rsidRDefault="00BF4E41" w:rsidP="007539A6">
      <w:pPr>
        <w:keepNext/>
        <w:ind w:right="77"/>
        <w:jc w:val="both"/>
        <w:rPr>
          <w:rFonts w:ascii="Palatino Linotype" w:hAnsi="Palatino Linotype" w:cstheme="minorHAnsi"/>
          <w:b/>
          <w:bCs/>
          <w:sz w:val="22"/>
          <w:szCs w:val="22"/>
        </w:rPr>
      </w:pPr>
    </w:p>
    <w:tbl>
      <w:tblPr>
        <w:tblW w:w="8033" w:type="dxa"/>
        <w:tblLook w:val="04A0" w:firstRow="1" w:lastRow="0" w:firstColumn="1" w:lastColumn="0" w:noHBand="0" w:noVBand="1"/>
      </w:tblPr>
      <w:tblGrid>
        <w:gridCol w:w="1893"/>
        <w:gridCol w:w="1252"/>
        <w:gridCol w:w="1828"/>
        <w:gridCol w:w="1243"/>
        <w:gridCol w:w="1817"/>
      </w:tblGrid>
      <w:tr w:rsidR="0035774E" w:rsidRPr="0035774E" w14:paraId="4CEB17AE" w14:textId="77777777" w:rsidTr="0035774E">
        <w:trPr>
          <w:trHeight w:val="282"/>
        </w:trPr>
        <w:tc>
          <w:tcPr>
            <w:tcW w:w="1893" w:type="dxa"/>
            <w:tcBorders>
              <w:top w:val="nil"/>
              <w:left w:val="nil"/>
              <w:bottom w:val="nil"/>
              <w:right w:val="nil"/>
            </w:tcBorders>
            <w:shd w:val="clear" w:color="000000" w:fill="FFFFFF"/>
            <w:noWrap/>
            <w:vAlign w:val="bottom"/>
            <w:hideMark/>
          </w:tcPr>
          <w:p w14:paraId="2E17BDF0" w14:textId="77777777" w:rsidR="0035774E" w:rsidRPr="0035774E" w:rsidRDefault="0035774E" w:rsidP="0035774E">
            <w:pPr>
              <w:rPr>
                <w:rFonts w:ascii="Calibri" w:hAnsi="Calibri" w:cs="Calibri"/>
                <w:b/>
                <w:bCs/>
                <w:color w:val="000000"/>
                <w:sz w:val="20"/>
                <w:szCs w:val="20"/>
                <w:lang w:val="en-GB" w:eastAsia="en-GB"/>
              </w:rPr>
            </w:pPr>
            <w:r w:rsidRPr="0035774E">
              <w:rPr>
                <w:rFonts w:ascii="Calibri" w:hAnsi="Calibri" w:cs="Calibri"/>
                <w:b/>
                <w:bCs/>
                <w:color w:val="000000"/>
                <w:sz w:val="20"/>
                <w:szCs w:val="20"/>
                <w:lang w:val="en-GB" w:eastAsia="en-GB"/>
              </w:rPr>
              <w:t> </w:t>
            </w:r>
          </w:p>
        </w:tc>
        <w:tc>
          <w:tcPr>
            <w:tcW w:w="308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FDE7455" w14:textId="77777777" w:rsidR="0035774E" w:rsidRPr="0035774E" w:rsidRDefault="0035774E" w:rsidP="0035774E">
            <w:pPr>
              <w:jc w:val="center"/>
              <w:rPr>
                <w:rFonts w:ascii="Calibri" w:hAnsi="Calibri" w:cs="Calibri"/>
                <w:b/>
                <w:bCs/>
                <w:color w:val="000000"/>
                <w:sz w:val="20"/>
                <w:szCs w:val="20"/>
                <w:lang w:val="en-GB" w:eastAsia="en-GB"/>
              </w:rPr>
            </w:pPr>
            <w:r w:rsidRPr="0035774E">
              <w:rPr>
                <w:rFonts w:ascii="Calibri" w:hAnsi="Calibri" w:cs="Calibri"/>
                <w:b/>
                <w:bCs/>
                <w:color w:val="000000"/>
                <w:sz w:val="20"/>
                <w:szCs w:val="20"/>
                <w:lang w:val="en-GB" w:eastAsia="en-GB"/>
              </w:rPr>
              <w:t>2019Q2</w:t>
            </w:r>
          </w:p>
        </w:tc>
        <w:tc>
          <w:tcPr>
            <w:tcW w:w="3060" w:type="dxa"/>
            <w:gridSpan w:val="2"/>
            <w:tcBorders>
              <w:top w:val="single" w:sz="4" w:space="0" w:color="auto"/>
              <w:left w:val="nil"/>
              <w:bottom w:val="single" w:sz="4" w:space="0" w:color="auto"/>
              <w:right w:val="nil"/>
            </w:tcBorders>
            <w:shd w:val="clear" w:color="000000" w:fill="FFFFFF"/>
            <w:noWrap/>
            <w:vAlign w:val="bottom"/>
            <w:hideMark/>
          </w:tcPr>
          <w:p w14:paraId="7421BA0A" w14:textId="77777777" w:rsidR="0035774E" w:rsidRPr="0035774E" w:rsidRDefault="0035774E" w:rsidP="0035774E">
            <w:pPr>
              <w:jc w:val="center"/>
              <w:rPr>
                <w:rFonts w:ascii="Calibri" w:hAnsi="Calibri" w:cs="Calibri"/>
                <w:b/>
                <w:bCs/>
                <w:color w:val="000000"/>
                <w:sz w:val="20"/>
                <w:szCs w:val="20"/>
                <w:lang w:val="en-GB" w:eastAsia="en-GB"/>
              </w:rPr>
            </w:pPr>
            <w:r w:rsidRPr="0035774E">
              <w:rPr>
                <w:rFonts w:ascii="Calibri" w:hAnsi="Calibri" w:cs="Calibri"/>
                <w:b/>
                <w:bCs/>
                <w:color w:val="000000"/>
                <w:sz w:val="20"/>
                <w:szCs w:val="20"/>
                <w:lang w:val="en-GB" w:eastAsia="en-GB"/>
              </w:rPr>
              <w:t>2019Q3</w:t>
            </w:r>
          </w:p>
        </w:tc>
      </w:tr>
      <w:tr w:rsidR="0035774E" w:rsidRPr="0035774E" w14:paraId="422C7519" w14:textId="77777777" w:rsidTr="0035774E">
        <w:trPr>
          <w:trHeight w:val="282"/>
        </w:trPr>
        <w:tc>
          <w:tcPr>
            <w:tcW w:w="1893" w:type="dxa"/>
            <w:tcBorders>
              <w:top w:val="nil"/>
              <w:left w:val="nil"/>
              <w:bottom w:val="nil"/>
              <w:right w:val="nil"/>
            </w:tcBorders>
            <w:shd w:val="clear" w:color="000000" w:fill="FFFFFF"/>
            <w:noWrap/>
            <w:vAlign w:val="bottom"/>
            <w:hideMark/>
          </w:tcPr>
          <w:p w14:paraId="71F84666" w14:textId="77777777" w:rsidR="0035774E" w:rsidRPr="0035774E" w:rsidRDefault="0035774E" w:rsidP="0035774E">
            <w:pPr>
              <w:rPr>
                <w:rFonts w:ascii="Calibri" w:hAnsi="Calibri" w:cs="Calibri"/>
                <w:b/>
                <w:bCs/>
                <w:color w:val="000000"/>
                <w:sz w:val="20"/>
                <w:szCs w:val="20"/>
                <w:lang w:val="en-GB" w:eastAsia="en-GB"/>
              </w:rPr>
            </w:pPr>
            <w:r w:rsidRPr="0035774E">
              <w:rPr>
                <w:rFonts w:ascii="Calibri" w:hAnsi="Calibri" w:cs="Calibri"/>
                <w:b/>
                <w:bCs/>
                <w:color w:val="000000"/>
                <w:sz w:val="20"/>
                <w:szCs w:val="20"/>
                <w:lang w:val="en-GB" w:eastAsia="en-GB"/>
              </w:rPr>
              <w:t> </w:t>
            </w:r>
          </w:p>
        </w:tc>
        <w:tc>
          <w:tcPr>
            <w:tcW w:w="1252" w:type="dxa"/>
            <w:tcBorders>
              <w:top w:val="nil"/>
              <w:left w:val="single" w:sz="4" w:space="0" w:color="auto"/>
              <w:bottom w:val="single" w:sz="4" w:space="0" w:color="auto"/>
              <w:right w:val="nil"/>
            </w:tcBorders>
            <w:shd w:val="clear" w:color="000000" w:fill="FFFFFF"/>
            <w:noWrap/>
            <w:vAlign w:val="bottom"/>
            <w:hideMark/>
          </w:tcPr>
          <w:p w14:paraId="5CB1AF3D" w14:textId="77777777" w:rsidR="0035774E" w:rsidRPr="0035774E" w:rsidRDefault="0035774E" w:rsidP="0035774E">
            <w:pPr>
              <w:jc w:val="center"/>
              <w:rPr>
                <w:rFonts w:ascii="Calibri" w:hAnsi="Calibri" w:cs="Calibri"/>
                <w:b/>
                <w:bCs/>
                <w:color w:val="000000"/>
                <w:sz w:val="20"/>
                <w:szCs w:val="20"/>
                <w:lang w:val="en-GB" w:eastAsia="en-GB"/>
              </w:rPr>
            </w:pPr>
            <w:r w:rsidRPr="0035774E">
              <w:rPr>
                <w:rFonts w:ascii="Calibri" w:hAnsi="Calibri" w:cs="Calibri"/>
                <w:b/>
                <w:bCs/>
                <w:color w:val="000000"/>
                <w:sz w:val="20"/>
                <w:szCs w:val="20"/>
                <w:lang w:val="en-GB" w:eastAsia="en-GB"/>
              </w:rPr>
              <w:t>Change (%)</w:t>
            </w:r>
          </w:p>
        </w:tc>
        <w:tc>
          <w:tcPr>
            <w:tcW w:w="1828" w:type="dxa"/>
            <w:tcBorders>
              <w:top w:val="nil"/>
              <w:left w:val="nil"/>
              <w:bottom w:val="nil"/>
              <w:right w:val="single" w:sz="4" w:space="0" w:color="auto"/>
            </w:tcBorders>
            <w:shd w:val="clear" w:color="000000" w:fill="FFFFFF"/>
            <w:noWrap/>
            <w:vAlign w:val="bottom"/>
            <w:hideMark/>
          </w:tcPr>
          <w:p w14:paraId="279C9E7D" w14:textId="77777777" w:rsidR="0035774E" w:rsidRPr="0035774E" w:rsidRDefault="0035774E" w:rsidP="0035774E">
            <w:pPr>
              <w:jc w:val="center"/>
              <w:rPr>
                <w:rFonts w:ascii="Calibri" w:hAnsi="Calibri" w:cs="Calibri"/>
                <w:b/>
                <w:bCs/>
                <w:color w:val="000000"/>
                <w:sz w:val="20"/>
                <w:szCs w:val="20"/>
                <w:lang w:val="en-GB" w:eastAsia="en-GB"/>
              </w:rPr>
            </w:pPr>
            <w:r w:rsidRPr="0035774E">
              <w:rPr>
                <w:rFonts w:ascii="Calibri" w:hAnsi="Calibri" w:cs="Calibri"/>
                <w:b/>
                <w:bCs/>
                <w:color w:val="000000"/>
                <w:sz w:val="20"/>
                <w:szCs w:val="20"/>
                <w:lang w:val="en-GB" w:eastAsia="en-GB"/>
              </w:rPr>
              <w:t>Contribution (%)</w:t>
            </w:r>
          </w:p>
        </w:tc>
        <w:tc>
          <w:tcPr>
            <w:tcW w:w="1243" w:type="dxa"/>
            <w:tcBorders>
              <w:top w:val="nil"/>
              <w:left w:val="nil"/>
              <w:bottom w:val="nil"/>
              <w:right w:val="nil"/>
            </w:tcBorders>
            <w:shd w:val="clear" w:color="000000" w:fill="FFFFFF"/>
            <w:noWrap/>
            <w:vAlign w:val="bottom"/>
            <w:hideMark/>
          </w:tcPr>
          <w:p w14:paraId="3E78E765" w14:textId="77777777" w:rsidR="0035774E" w:rsidRPr="0035774E" w:rsidRDefault="0035774E" w:rsidP="0035774E">
            <w:pPr>
              <w:jc w:val="center"/>
              <w:rPr>
                <w:rFonts w:ascii="Calibri" w:hAnsi="Calibri" w:cs="Calibri"/>
                <w:b/>
                <w:bCs/>
                <w:color w:val="000000"/>
                <w:sz w:val="20"/>
                <w:szCs w:val="20"/>
                <w:lang w:val="en-GB" w:eastAsia="en-GB"/>
              </w:rPr>
            </w:pPr>
            <w:r w:rsidRPr="0035774E">
              <w:rPr>
                <w:rFonts w:ascii="Calibri" w:hAnsi="Calibri" w:cs="Calibri"/>
                <w:b/>
                <w:bCs/>
                <w:color w:val="000000"/>
                <w:sz w:val="20"/>
                <w:szCs w:val="20"/>
                <w:lang w:val="en-GB" w:eastAsia="en-GB"/>
              </w:rPr>
              <w:t>Change (%)</w:t>
            </w:r>
          </w:p>
        </w:tc>
        <w:tc>
          <w:tcPr>
            <w:tcW w:w="1817" w:type="dxa"/>
            <w:tcBorders>
              <w:top w:val="nil"/>
              <w:left w:val="nil"/>
              <w:bottom w:val="nil"/>
              <w:right w:val="nil"/>
            </w:tcBorders>
            <w:shd w:val="clear" w:color="000000" w:fill="FFFFFF"/>
            <w:noWrap/>
            <w:vAlign w:val="bottom"/>
            <w:hideMark/>
          </w:tcPr>
          <w:p w14:paraId="3F51DA32" w14:textId="77777777" w:rsidR="0035774E" w:rsidRPr="0035774E" w:rsidRDefault="0035774E" w:rsidP="0035774E">
            <w:pPr>
              <w:jc w:val="center"/>
              <w:rPr>
                <w:rFonts w:ascii="Calibri" w:hAnsi="Calibri" w:cs="Calibri"/>
                <w:b/>
                <w:bCs/>
                <w:color w:val="000000"/>
                <w:sz w:val="20"/>
                <w:szCs w:val="20"/>
                <w:lang w:val="en-GB" w:eastAsia="en-GB"/>
              </w:rPr>
            </w:pPr>
            <w:r w:rsidRPr="0035774E">
              <w:rPr>
                <w:rFonts w:ascii="Calibri" w:hAnsi="Calibri" w:cs="Calibri"/>
                <w:b/>
                <w:bCs/>
                <w:color w:val="000000"/>
                <w:sz w:val="20"/>
                <w:szCs w:val="20"/>
                <w:lang w:val="en-GB" w:eastAsia="en-GB"/>
              </w:rPr>
              <w:t>Contribution (%)</w:t>
            </w:r>
          </w:p>
        </w:tc>
      </w:tr>
      <w:tr w:rsidR="0035774E" w:rsidRPr="0035774E" w14:paraId="1B7B5125" w14:textId="77777777" w:rsidTr="0035774E">
        <w:trPr>
          <w:trHeight w:val="282"/>
        </w:trPr>
        <w:tc>
          <w:tcPr>
            <w:tcW w:w="1893" w:type="dxa"/>
            <w:tcBorders>
              <w:top w:val="single" w:sz="4" w:space="0" w:color="auto"/>
              <w:left w:val="nil"/>
              <w:bottom w:val="nil"/>
              <w:right w:val="nil"/>
            </w:tcBorders>
            <w:shd w:val="clear" w:color="000000" w:fill="FFFFFF"/>
            <w:noWrap/>
            <w:vAlign w:val="bottom"/>
            <w:hideMark/>
          </w:tcPr>
          <w:p w14:paraId="3E951E1E" w14:textId="77777777" w:rsidR="0035774E" w:rsidRPr="0035774E" w:rsidRDefault="0035774E" w:rsidP="0035774E">
            <w:pPr>
              <w:rPr>
                <w:rFonts w:ascii="Calibri" w:hAnsi="Calibri" w:cs="Calibri"/>
                <w:b/>
                <w:bCs/>
                <w:color w:val="000000"/>
                <w:sz w:val="20"/>
                <w:szCs w:val="20"/>
                <w:lang w:val="en-GB" w:eastAsia="en-GB"/>
              </w:rPr>
            </w:pPr>
            <w:r w:rsidRPr="0035774E">
              <w:rPr>
                <w:rFonts w:ascii="Calibri" w:hAnsi="Calibri" w:cs="Calibri"/>
                <w:b/>
                <w:bCs/>
                <w:color w:val="000000"/>
                <w:sz w:val="20"/>
                <w:szCs w:val="20"/>
                <w:lang w:val="en-GB" w:eastAsia="en-GB"/>
              </w:rPr>
              <w:t>Consumption</w:t>
            </w:r>
          </w:p>
        </w:tc>
        <w:tc>
          <w:tcPr>
            <w:tcW w:w="1252" w:type="dxa"/>
            <w:tcBorders>
              <w:top w:val="nil"/>
              <w:left w:val="single" w:sz="4" w:space="0" w:color="auto"/>
              <w:bottom w:val="nil"/>
              <w:right w:val="nil"/>
            </w:tcBorders>
            <w:shd w:val="clear" w:color="000000" w:fill="FFFFFF"/>
            <w:noWrap/>
            <w:vAlign w:val="bottom"/>
            <w:hideMark/>
          </w:tcPr>
          <w:p w14:paraId="79B13D29" w14:textId="4F777CF6"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-1</w:t>
            </w:r>
            <w:r w:rsidR="00896395">
              <w:rPr>
                <w:rFonts w:ascii="Calibri" w:hAnsi="Calibri" w:cs="Calibri"/>
                <w:color w:val="000000"/>
                <w:sz w:val="20"/>
                <w:szCs w:val="20"/>
                <w:lang w:val="en-GB" w:eastAsia="en-GB"/>
              </w:rPr>
              <w:t>.</w:t>
            </w:r>
            <w:r w:rsidRPr="0035774E">
              <w:rPr>
                <w:rFonts w:ascii="Calibri" w:hAnsi="Calibri" w:cs="Calibri"/>
                <w:color w:val="000000"/>
                <w:sz w:val="20"/>
                <w:szCs w:val="20"/>
                <w:lang w:val="en-GB" w:eastAsia="en-GB"/>
              </w:rPr>
              <w:t>0</w:t>
            </w:r>
          </w:p>
        </w:tc>
        <w:tc>
          <w:tcPr>
            <w:tcW w:w="1828" w:type="dxa"/>
            <w:tcBorders>
              <w:top w:val="single" w:sz="4" w:space="0" w:color="auto"/>
              <w:left w:val="nil"/>
              <w:bottom w:val="nil"/>
              <w:right w:val="single" w:sz="4" w:space="0" w:color="auto"/>
            </w:tcBorders>
            <w:shd w:val="clear" w:color="000000" w:fill="FFFFFF"/>
            <w:noWrap/>
            <w:vAlign w:val="bottom"/>
            <w:hideMark/>
          </w:tcPr>
          <w:p w14:paraId="1F844D0D" w14:textId="7BD023C0"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-0</w:t>
            </w:r>
            <w:r w:rsidR="00896395">
              <w:rPr>
                <w:rFonts w:ascii="Calibri" w:hAnsi="Calibri" w:cs="Calibri"/>
                <w:color w:val="000000"/>
                <w:sz w:val="20"/>
                <w:szCs w:val="20"/>
                <w:lang w:val="en-GB" w:eastAsia="en-GB"/>
              </w:rPr>
              <w:t>.</w:t>
            </w:r>
            <w:r w:rsidRPr="0035774E">
              <w:rPr>
                <w:rFonts w:ascii="Calibri" w:hAnsi="Calibri" w:cs="Calibri"/>
                <w:color w:val="000000"/>
                <w:sz w:val="20"/>
                <w:szCs w:val="20"/>
                <w:lang w:val="en-GB" w:eastAsia="en-GB"/>
              </w:rPr>
              <w:t>6</w:t>
            </w:r>
          </w:p>
        </w:tc>
        <w:tc>
          <w:tcPr>
            <w:tcW w:w="1243" w:type="dxa"/>
            <w:tcBorders>
              <w:top w:val="single" w:sz="4" w:space="0" w:color="auto"/>
              <w:left w:val="nil"/>
              <w:bottom w:val="nil"/>
              <w:right w:val="nil"/>
            </w:tcBorders>
            <w:shd w:val="clear" w:color="000000" w:fill="FFFFFF"/>
            <w:noWrap/>
            <w:vAlign w:val="bottom"/>
            <w:hideMark/>
          </w:tcPr>
          <w:p w14:paraId="318CA8A4" w14:textId="2ABEA44D"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1</w:t>
            </w:r>
            <w:r w:rsidR="00896395">
              <w:rPr>
                <w:rFonts w:ascii="Calibri" w:hAnsi="Calibri" w:cs="Calibri"/>
                <w:color w:val="000000"/>
                <w:sz w:val="20"/>
                <w:szCs w:val="20"/>
                <w:lang w:val="en-GB" w:eastAsia="en-GB"/>
              </w:rPr>
              <w:t>.</w:t>
            </w:r>
            <w:r w:rsidRPr="0035774E">
              <w:rPr>
                <w:rFonts w:ascii="Calibri" w:hAnsi="Calibri" w:cs="Calibri"/>
                <w:color w:val="000000"/>
                <w:sz w:val="20"/>
                <w:szCs w:val="20"/>
                <w:lang w:val="en-GB" w:eastAsia="en-GB"/>
              </w:rPr>
              <w:t>5</w:t>
            </w:r>
          </w:p>
        </w:tc>
        <w:tc>
          <w:tcPr>
            <w:tcW w:w="1817" w:type="dxa"/>
            <w:tcBorders>
              <w:top w:val="single" w:sz="4" w:space="0" w:color="auto"/>
              <w:left w:val="nil"/>
              <w:bottom w:val="nil"/>
              <w:right w:val="nil"/>
            </w:tcBorders>
            <w:shd w:val="clear" w:color="000000" w:fill="FFFFFF"/>
            <w:noWrap/>
            <w:vAlign w:val="bottom"/>
            <w:hideMark/>
          </w:tcPr>
          <w:p w14:paraId="7C2E68E7" w14:textId="3B4C05F2"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0</w:t>
            </w:r>
            <w:r w:rsidR="00896395">
              <w:rPr>
                <w:rFonts w:ascii="Calibri" w:hAnsi="Calibri" w:cs="Calibri"/>
                <w:color w:val="000000"/>
                <w:sz w:val="20"/>
                <w:szCs w:val="20"/>
                <w:lang w:val="en-GB" w:eastAsia="en-GB"/>
              </w:rPr>
              <w:t>.</w:t>
            </w:r>
            <w:r w:rsidRPr="0035774E">
              <w:rPr>
                <w:rFonts w:ascii="Calibri" w:hAnsi="Calibri" w:cs="Calibri"/>
                <w:color w:val="000000"/>
                <w:sz w:val="20"/>
                <w:szCs w:val="20"/>
                <w:lang w:val="en-GB" w:eastAsia="en-GB"/>
              </w:rPr>
              <w:t>9</w:t>
            </w:r>
          </w:p>
        </w:tc>
      </w:tr>
      <w:tr w:rsidR="0035774E" w:rsidRPr="0035774E" w14:paraId="09A848EF" w14:textId="77777777" w:rsidTr="0035774E">
        <w:trPr>
          <w:trHeight w:val="282"/>
        </w:trPr>
        <w:tc>
          <w:tcPr>
            <w:tcW w:w="1893" w:type="dxa"/>
            <w:tcBorders>
              <w:top w:val="nil"/>
              <w:left w:val="nil"/>
              <w:bottom w:val="nil"/>
              <w:right w:val="nil"/>
            </w:tcBorders>
            <w:shd w:val="clear" w:color="000000" w:fill="FFFFFF"/>
            <w:noWrap/>
            <w:vAlign w:val="bottom"/>
            <w:hideMark/>
          </w:tcPr>
          <w:p w14:paraId="64E4A938" w14:textId="77777777" w:rsidR="0035774E" w:rsidRPr="0035774E" w:rsidRDefault="0035774E" w:rsidP="0035774E">
            <w:pPr>
              <w:rPr>
                <w:rFonts w:ascii="Calibri" w:hAnsi="Calibri" w:cs="Calibri"/>
                <w:b/>
                <w:bCs/>
                <w:color w:val="000000"/>
                <w:sz w:val="20"/>
                <w:szCs w:val="20"/>
                <w:lang w:val="en-GB" w:eastAsia="en-GB"/>
              </w:rPr>
            </w:pPr>
            <w:r w:rsidRPr="0035774E">
              <w:rPr>
                <w:rFonts w:ascii="Calibri" w:hAnsi="Calibri" w:cs="Calibri"/>
                <w:b/>
                <w:bCs/>
                <w:color w:val="000000"/>
                <w:sz w:val="20"/>
                <w:szCs w:val="20"/>
                <w:lang w:val="en-GB" w:eastAsia="en-GB"/>
              </w:rPr>
              <w:t>Government Spending</w:t>
            </w:r>
          </w:p>
        </w:tc>
        <w:tc>
          <w:tcPr>
            <w:tcW w:w="1252" w:type="dxa"/>
            <w:tcBorders>
              <w:top w:val="nil"/>
              <w:left w:val="single" w:sz="4" w:space="0" w:color="auto"/>
              <w:bottom w:val="nil"/>
              <w:right w:val="nil"/>
            </w:tcBorders>
            <w:shd w:val="clear" w:color="000000" w:fill="FFFFFF"/>
            <w:noWrap/>
            <w:vAlign w:val="bottom"/>
            <w:hideMark/>
          </w:tcPr>
          <w:p w14:paraId="333CACB3" w14:textId="2C185D2C"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3</w:t>
            </w:r>
            <w:r w:rsidR="00896395">
              <w:rPr>
                <w:rFonts w:ascii="Calibri" w:hAnsi="Calibri" w:cs="Calibri"/>
                <w:color w:val="000000"/>
                <w:sz w:val="20"/>
                <w:szCs w:val="20"/>
                <w:lang w:val="en-GB" w:eastAsia="en-GB"/>
              </w:rPr>
              <w:t>.</w:t>
            </w:r>
            <w:r w:rsidRPr="0035774E">
              <w:rPr>
                <w:rFonts w:ascii="Calibri" w:hAnsi="Calibri" w:cs="Calibri"/>
                <w:color w:val="000000"/>
                <w:sz w:val="20"/>
                <w:szCs w:val="20"/>
                <w:lang w:val="en-GB" w:eastAsia="en-GB"/>
              </w:rPr>
              <w:t>4</w:t>
            </w:r>
          </w:p>
        </w:tc>
        <w:tc>
          <w:tcPr>
            <w:tcW w:w="1828" w:type="dxa"/>
            <w:tcBorders>
              <w:top w:val="nil"/>
              <w:left w:val="nil"/>
              <w:bottom w:val="nil"/>
              <w:right w:val="single" w:sz="4" w:space="0" w:color="auto"/>
            </w:tcBorders>
            <w:shd w:val="clear" w:color="000000" w:fill="FFFFFF"/>
            <w:noWrap/>
            <w:vAlign w:val="bottom"/>
            <w:hideMark/>
          </w:tcPr>
          <w:p w14:paraId="39BA2353" w14:textId="4F292C3A"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0</w:t>
            </w:r>
            <w:r w:rsidR="00896395">
              <w:rPr>
                <w:rFonts w:ascii="Calibri" w:hAnsi="Calibri" w:cs="Calibri"/>
                <w:color w:val="000000"/>
                <w:sz w:val="20"/>
                <w:szCs w:val="20"/>
                <w:lang w:val="en-GB" w:eastAsia="en-GB"/>
              </w:rPr>
              <w:t>.</w:t>
            </w:r>
            <w:r w:rsidRPr="0035774E">
              <w:rPr>
                <w:rFonts w:ascii="Calibri" w:hAnsi="Calibri" w:cs="Calibri"/>
                <w:color w:val="000000"/>
                <w:sz w:val="20"/>
                <w:szCs w:val="20"/>
                <w:lang w:val="en-GB" w:eastAsia="en-GB"/>
              </w:rPr>
              <w:t>5</w:t>
            </w:r>
          </w:p>
        </w:tc>
        <w:tc>
          <w:tcPr>
            <w:tcW w:w="1243" w:type="dxa"/>
            <w:tcBorders>
              <w:top w:val="nil"/>
              <w:left w:val="nil"/>
              <w:bottom w:val="nil"/>
              <w:right w:val="nil"/>
            </w:tcBorders>
            <w:shd w:val="clear" w:color="000000" w:fill="FFFFFF"/>
            <w:noWrap/>
            <w:vAlign w:val="bottom"/>
            <w:hideMark/>
          </w:tcPr>
          <w:p w14:paraId="34E9E7E4" w14:textId="041DB807"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7</w:t>
            </w:r>
            <w:r w:rsidR="00896395">
              <w:rPr>
                <w:rFonts w:ascii="Calibri" w:hAnsi="Calibri" w:cs="Calibri"/>
                <w:color w:val="000000"/>
                <w:sz w:val="20"/>
                <w:szCs w:val="20"/>
                <w:lang w:val="en-GB" w:eastAsia="en-GB"/>
              </w:rPr>
              <w:t>.</w:t>
            </w:r>
            <w:r w:rsidRPr="0035774E">
              <w:rPr>
                <w:rFonts w:ascii="Calibri" w:hAnsi="Calibri" w:cs="Calibri"/>
                <w:color w:val="000000"/>
                <w:sz w:val="20"/>
                <w:szCs w:val="20"/>
                <w:lang w:val="en-GB" w:eastAsia="en-GB"/>
              </w:rPr>
              <w:t>0</w:t>
            </w:r>
          </w:p>
        </w:tc>
        <w:tc>
          <w:tcPr>
            <w:tcW w:w="1817" w:type="dxa"/>
            <w:tcBorders>
              <w:top w:val="nil"/>
              <w:left w:val="nil"/>
              <w:bottom w:val="nil"/>
              <w:right w:val="nil"/>
            </w:tcBorders>
            <w:shd w:val="clear" w:color="000000" w:fill="FFFFFF"/>
            <w:noWrap/>
            <w:vAlign w:val="bottom"/>
            <w:hideMark/>
          </w:tcPr>
          <w:p w14:paraId="0C71ED46" w14:textId="6FE1B0A8"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0</w:t>
            </w:r>
            <w:r w:rsidR="00896395">
              <w:rPr>
                <w:rFonts w:ascii="Calibri" w:hAnsi="Calibri" w:cs="Calibri"/>
                <w:color w:val="000000"/>
                <w:sz w:val="20"/>
                <w:szCs w:val="20"/>
                <w:lang w:val="en-GB" w:eastAsia="en-GB"/>
              </w:rPr>
              <w:t>.</w:t>
            </w:r>
            <w:r w:rsidRPr="0035774E">
              <w:rPr>
                <w:rFonts w:ascii="Calibri" w:hAnsi="Calibri" w:cs="Calibri"/>
                <w:color w:val="000000"/>
                <w:sz w:val="20"/>
                <w:szCs w:val="20"/>
                <w:lang w:val="en-GB" w:eastAsia="en-GB"/>
              </w:rPr>
              <w:t>9</w:t>
            </w:r>
          </w:p>
        </w:tc>
      </w:tr>
      <w:tr w:rsidR="0035774E" w:rsidRPr="0035774E" w14:paraId="5EC8FDE4" w14:textId="77777777" w:rsidTr="0035774E">
        <w:trPr>
          <w:trHeight w:val="282"/>
        </w:trPr>
        <w:tc>
          <w:tcPr>
            <w:tcW w:w="1893" w:type="dxa"/>
            <w:tcBorders>
              <w:top w:val="nil"/>
              <w:left w:val="nil"/>
              <w:bottom w:val="nil"/>
              <w:right w:val="nil"/>
            </w:tcBorders>
            <w:shd w:val="clear" w:color="000000" w:fill="FFFFFF"/>
            <w:noWrap/>
            <w:vAlign w:val="bottom"/>
            <w:hideMark/>
          </w:tcPr>
          <w:p w14:paraId="1802BCA3" w14:textId="77777777" w:rsidR="0035774E" w:rsidRPr="0035774E" w:rsidRDefault="0035774E" w:rsidP="0035774E">
            <w:pPr>
              <w:rPr>
                <w:rFonts w:ascii="Calibri" w:hAnsi="Calibri" w:cs="Calibri"/>
                <w:b/>
                <w:bCs/>
                <w:color w:val="000000"/>
                <w:sz w:val="20"/>
                <w:szCs w:val="20"/>
                <w:lang w:val="en-GB" w:eastAsia="en-GB"/>
              </w:rPr>
            </w:pPr>
            <w:r w:rsidRPr="0035774E">
              <w:rPr>
                <w:rFonts w:ascii="Calibri" w:hAnsi="Calibri" w:cs="Calibri"/>
                <w:b/>
                <w:bCs/>
                <w:color w:val="000000"/>
                <w:sz w:val="20"/>
                <w:szCs w:val="20"/>
                <w:lang w:val="en-GB" w:eastAsia="en-GB"/>
              </w:rPr>
              <w:t>Investment</w:t>
            </w:r>
          </w:p>
        </w:tc>
        <w:tc>
          <w:tcPr>
            <w:tcW w:w="1252" w:type="dxa"/>
            <w:tcBorders>
              <w:top w:val="nil"/>
              <w:left w:val="single" w:sz="4" w:space="0" w:color="auto"/>
              <w:bottom w:val="nil"/>
              <w:right w:val="nil"/>
            </w:tcBorders>
            <w:shd w:val="clear" w:color="000000" w:fill="FFFFFF"/>
            <w:noWrap/>
            <w:vAlign w:val="bottom"/>
            <w:hideMark/>
          </w:tcPr>
          <w:p w14:paraId="3C0B7B74" w14:textId="661C59A1"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-22</w:t>
            </w:r>
            <w:r w:rsidR="00896395">
              <w:rPr>
                <w:rFonts w:ascii="Calibri" w:hAnsi="Calibri" w:cs="Calibri"/>
                <w:color w:val="000000"/>
                <w:sz w:val="20"/>
                <w:szCs w:val="20"/>
                <w:lang w:val="en-GB" w:eastAsia="en-GB"/>
              </w:rPr>
              <w:t>.</w:t>
            </w:r>
            <w:r w:rsidRPr="0035774E">
              <w:rPr>
                <w:rFonts w:ascii="Calibri" w:hAnsi="Calibri" w:cs="Calibri"/>
                <w:color w:val="000000"/>
                <w:sz w:val="20"/>
                <w:szCs w:val="20"/>
                <w:lang w:val="en-GB" w:eastAsia="en-GB"/>
              </w:rPr>
              <w:t>4</w:t>
            </w:r>
          </w:p>
        </w:tc>
        <w:tc>
          <w:tcPr>
            <w:tcW w:w="1828" w:type="dxa"/>
            <w:tcBorders>
              <w:top w:val="nil"/>
              <w:left w:val="nil"/>
              <w:bottom w:val="nil"/>
              <w:right w:val="single" w:sz="4" w:space="0" w:color="auto"/>
            </w:tcBorders>
            <w:shd w:val="clear" w:color="000000" w:fill="FFFFFF"/>
            <w:noWrap/>
            <w:vAlign w:val="bottom"/>
            <w:hideMark/>
          </w:tcPr>
          <w:p w14:paraId="1F8BDA7F" w14:textId="7A0A881A"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-7</w:t>
            </w:r>
            <w:r w:rsidR="00896395">
              <w:rPr>
                <w:rFonts w:ascii="Calibri" w:hAnsi="Calibri" w:cs="Calibri"/>
                <w:color w:val="000000"/>
                <w:sz w:val="20"/>
                <w:szCs w:val="20"/>
                <w:lang w:val="en-GB" w:eastAsia="en-GB"/>
              </w:rPr>
              <w:t>.</w:t>
            </w:r>
            <w:r w:rsidRPr="0035774E">
              <w:rPr>
                <w:rFonts w:ascii="Calibri" w:hAnsi="Calibri" w:cs="Calibri"/>
                <w:color w:val="000000"/>
                <w:sz w:val="20"/>
                <w:szCs w:val="20"/>
                <w:lang w:val="en-GB" w:eastAsia="en-GB"/>
              </w:rPr>
              <w:t>2</w:t>
            </w:r>
          </w:p>
        </w:tc>
        <w:tc>
          <w:tcPr>
            <w:tcW w:w="1243" w:type="dxa"/>
            <w:tcBorders>
              <w:top w:val="nil"/>
              <w:left w:val="nil"/>
              <w:bottom w:val="nil"/>
              <w:right w:val="nil"/>
            </w:tcBorders>
            <w:shd w:val="clear" w:color="000000" w:fill="FFFFFF"/>
            <w:noWrap/>
            <w:vAlign w:val="bottom"/>
            <w:hideMark/>
          </w:tcPr>
          <w:p w14:paraId="534A0D4E" w14:textId="00672856"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-12</w:t>
            </w:r>
            <w:r w:rsidR="00896395">
              <w:rPr>
                <w:rFonts w:ascii="Calibri" w:hAnsi="Calibri" w:cs="Calibri"/>
                <w:color w:val="000000"/>
                <w:sz w:val="20"/>
                <w:szCs w:val="20"/>
                <w:lang w:val="en-GB" w:eastAsia="en-GB"/>
              </w:rPr>
              <w:t>.</w:t>
            </w:r>
            <w:r w:rsidRPr="0035774E">
              <w:rPr>
                <w:rFonts w:ascii="Calibri" w:hAnsi="Calibri" w:cs="Calibri"/>
                <w:color w:val="000000"/>
                <w:sz w:val="20"/>
                <w:szCs w:val="20"/>
                <w:lang w:val="en-GB" w:eastAsia="en-GB"/>
              </w:rPr>
              <w:t>6</w:t>
            </w:r>
          </w:p>
        </w:tc>
        <w:tc>
          <w:tcPr>
            <w:tcW w:w="1817" w:type="dxa"/>
            <w:tcBorders>
              <w:top w:val="nil"/>
              <w:left w:val="nil"/>
              <w:bottom w:val="nil"/>
              <w:right w:val="nil"/>
            </w:tcBorders>
            <w:shd w:val="clear" w:color="000000" w:fill="FFFFFF"/>
            <w:noWrap/>
            <w:vAlign w:val="bottom"/>
            <w:hideMark/>
          </w:tcPr>
          <w:p w14:paraId="5AED5B00" w14:textId="13635D51"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-3</w:t>
            </w:r>
            <w:r w:rsidR="00896395">
              <w:rPr>
                <w:rFonts w:ascii="Calibri" w:hAnsi="Calibri" w:cs="Calibri"/>
                <w:color w:val="000000"/>
                <w:sz w:val="20"/>
                <w:szCs w:val="20"/>
                <w:lang w:val="en-GB" w:eastAsia="en-GB"/>
              </w:rPr>
              <w:t>.</w:t>
            </w:r>
            <w:r w:rsidRPr="0035774E">
              <w:rPr>
                <w:rFonts w:ascii="Calibri" w:hAnsi="Calibri" w:cs="Calibri"/>
                <w:color w:val="000000"/>
                <w:sz w:val="20"/>
                <w:szCs w:val="20"/>
                <w:lang w:val="en-GB" w:eastAsia="en-GB"/>
              </w:rPr>
              <w:t>6</w:t>
            </w:r>
          </w:p>
        </w:tc>
      </w:tr>
      <w:tr w:rsidR="0035774E" w:rsidRPr="0035774E" w14:paraId="101A60A6" w14:textId="77777777" w:rsidTr="0035774E">
        <w:trPr>
          <w:trHeight w:val="282"/>
        </w:trPr>
        <w:tc>
          <w:tcPr>
            <w:tcW w:w="1893" w:type="dxa"/>
            <w:tcBorders>
              <w:top w:val="nil"/>
              <w:left w:val="nil"/>
              <w:bottom w:val="nil"/>
              <w:right w:val="nil"/>
            </w:tcBorders>
            <w:shd w:val="clear" w:color="000000" w:fill="FFFFFF"/>
            <w:noWrap/>
            <w:vAlign w:val="bottom"/>
            <w:hideMark/>
          </w:tcPr>
          <w:p w14:paraId="5FC10D6F" w14:textId="77777777" w:rsidR="0035774E" w:rsidRPr="0035774E" w:rsidRDefault="0035774E" w:rsidP="0035774E">
            <w:pPr>
              <w:rPr>
                <w:rFonts w:ascii="Calibri" w:hAnsi="Calibri" w:cs="Calibri"/>
                <w:b/>
                <w:bCs/>
                <w:color w:val="000000"/>
                <w:sz w:val="20"/>
                <w:szCs w:val="20"/>
                <w:lang w:val="en-GB" w:eastAsia="en-GB"/>
              </w:rPr>
            </w:pPr>
            <w:r w:rsidRPr="0035774E">
              <w:rPr>
                <w:rFonts w:ascii="Calibri" w:hAnsi="Calibri" w:cs="Calibri"/>
                <w:b/>
                <w:bCs/>
                <w:color w:val="000000"/>
                <w:sz w:val="20"/>
                <w:szCs w:val="20"/>
                <w:lang w:val="en-GB" w:eastAsia="en-GB"/>
              </w:rPr>
              <w:t>Change in Stock</w:t>
            </w:r>
          </w:p>
        </w:tc>
        <w:tc>
          <w:tcPr>
            <w:tcW w:w="1252" w:type="dxa"/>
            <w:tcBorders>
              <w:top w:val="nil"/>
              <w:left w:val="single" w:sz="4" w:space="0" w:color="auto"/>
              <w:bottom w:val="nil"/>
              <w:right w:val="nil"/>
            </w:tcBorders>
            <w:shd w:val="clear" w:color="000000" w:fill="FFFFFF"/>
            <w:noWrap/>
            <w:vAlign w:val="bottom"/>
            <w:hideMark/>
          </w:tcPr>
          <w:p w14:paraId="0C2D53F6" w14:textId="77777777"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 </w:t>
            </w:r>
          </w:p>
        </w:tc>
        <w:tc>
          <w:tcPr>
            <w:tcW w:w="1828" w:type="dxa"/>
            <w:tcBorders>
              <w:top w:val="nil"/>
              <w:left w:val="nil"/>
              <w:bottom w:val="nil"/>
              <w:right w:val="single" w:sz="4" w:space="0" w:color="auto"/>
            </w:tcBorders>
            <w:shd w:val="clear" w:color="000000" w:fill="FFFFFF"/>
            <w:noWrap/>
            <w:vAlign w:val="bottom"/>
            <w:hideMark/>
          </w:tcPr>
          <w:p w14:paraId="41FAC8C7" w14:textId="1C891CDE"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-1</w:t>
            </w:r>
            <w:r w:rsidR="00896395">
              <w:rPr>
                <w:rFonts w:ascii="Calibri" w:hAnsi="Calibri" w:cs="Calibri"/>
                <w:color w:val="000000"/>
                <w:sz w:val="20"/>
                <w:szCs w:val="20"/>
                <w:lang w:val="en-GB" w:eastAsia="en-GB"/>
              </w:rPr>
              <w:t>.</w:t>
            </w:r>
            <w:r w:rsidRPr="0035774E">
              <w:rPr>
                <w:rFonts w:ascii="Calibri" w:hAnsi="Calibri" w:cs="Calibri"/>
                <w:color w:val="000000"/>
                <w:sz w:val="20"/>
                <w:szCs w:val="20"/>
                <w:lang w:val="en-GB" w:eastAsia="en-GB"/>
              </w:rPr>
              <w:t>7</w:t>
            </w:r>
          </w:p>
        </w:tc>
        <w:tc>
          <w:tcPr>
            <w:tcW w:w="1243" w:type="dxa"/>
            <w:tcBorders>
              <w:top w:val="nil"/>
              <w:left w:val="nil"/>
              <w:bottom w:val="nil"/>
              <w:right w:val="nil"/>
            </w:tcBorders>
            <w:shd w:val="clear" w:color="000000" w:fill="FFFFFF"/>
            <w:noWrap/>
            <w:vAlign w:val="bottom"/>
            <w:hideMark/>
          </w:tcPr>
          <w:p w14:paraId="4CF54DEA" w14:textId="77777777"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 </w:t>
            </w:r>
          </w:p>
        </w:tc>
        <w:tc>
          <w:tcPr>
            <w:tcW w:w="1817" w:type="dxa"/>
            <w:tcBorders>
              <w:top w:val="nil"/>
              <w:left w:val="nil"/>
              <w:bottom w:val="nil"/>
              <w:right w:val="nil"/>
            </w:tcBorders>
            <w:shd w:val="clear" w:color="000000" w:fill="FFFFFF"/>
            <w:noWrap/>
            <w:vAlign w:val="bottom"/>
            <w:hideMark/>
          </w:tcPr>
          <w:p w14:paraId="79BAD8C1" w14:textId="5291752D"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2</w:t>
            </w:r>
            <w:r w:rsidR="00896395">
              <w:rPr>
                <w:rFonts w:ascii="Calibri" w:hAnsi="Calibri" w:cs="Calibri"/>
                <w:color w:val="000000"/>
                <w:sz w:val="20"/>
                <w:szCs w:val="20"/>
                <w:lang w:val="en-GB" w:eastAsia="en-GB"/>
              </w:rPr>
              <w:t>.</w:t>
            </w:r>
            <w:r w:rsidRPr="0035774E">
              <w:rPr>
                <w:rFonts w:ascii="Calibri" w:hAnsi="Calibri" w:cs="Calibri"/>
                <w:color w:val="000000"/>
                <w:sz w:val="20"/>
                <w:szCs w:val="20"/>
                <w:lang w:val="en-GB" w:eastAsia="en-GB"/>
              </w:rPr>
              <w:t>4</w:t>
            </w:r>
          </w:p>
        </w:tc>
      </w:tr>
      <w:tr w:rsidR="0035774E" w:rsidRPr="0035774E" w14:paraId="5BD16279" w14:textId="77777777" w:rsidTr="0035774E">
        <w:trPr>
          <w:trHeight w:val="282"/>
        </w:trPr>
        <w:tc>
          <w:tcPr>
            <w:tcW w:w="1893" w:type="dxa"/>
            <w:tcBorders>
              <w:top w:val="nil"/>
              <w:left w:val="nil"/>
              <w:bottom w:val="nil"/>
              <w:right w:val="nil"/>
            </w:tcBorders>
            <w:shd w:val="clear" w:color="000000" w:fill="FFFFFF"/>
            <w:noWrap/>
            <w:vAlign w:val="bottom"/>
            <w:hideMark/>
          </w:tcPr>
          <w:p w14:paraId="5EFA6F95" w14:textId="77777777" w:rsidR="0035774E" w:rsidRPr="0035774E" w:rsidRDefault="0035774E" w:rsidP="0035774E">
            <w:pPr>
              <w:rPr>
                <w:rFonts w:ascii="Calibri" w:hAnsi="Calibri" w:cs="Calibri"/>
                <w:b/>
                <w:bCs/>
                <w:color w:val="000000"/>
                <w:sz w:val="20"/>
                <w:szCs w:val="20"/>
                <w:lang w:val="en-GB" w:eastAsia="en-GB"/>
              </w:rPr>
            </w:pPr>
            <w:r w:rsidRPr="0035774E">
              <w:rPr>
                <w:rFonts w:ascii="Calibri" w:hAnsi="Calibri" w:cs="Calibri"/>
                <w:b/>
                <w:bCs/>
                <w:color w:val="000000"/>
                <w:sz w:val="20"/>
                <w:szCs w:val="20"/>
                <w:lang w:val="en-GB" w:eastAsia="en-GB"/>
              </w:rPr>
              <w:t>Export</w:t>
            </w:r>
          </w:p>
        </w:tc>
        <w:tc>
          <w:tcPr>
            <w:tcW w:w="1252" w:type="dxa"/>
            <w:tcBorders>
              <w:top w:val="nil"/>
              <w:left w:val="single" w:sz="4" w:space="0" w:color="auto"/>
              <w:bottom w:val="nil"/>
              <w:right w:val="nil"/>
            </w:tcBorders>
            <w:shd w:val="clear" w:color="000000" w:fill="FFFFFF"/>
            <w:noWrap/>
            <w:vAlign w:val="bottom"/>
            <w:hideMark/>
          </w:tcPr>
          <w:p w14:paraId="48979892" w14:textId="5D8E8A24"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8</w:t>
            </w:r>
            <w:r w:rsidR="00896395">
              <w:rPr>
                <w:rFonts w:ascii="Calibri" w:hAnsi="Calibri" w:cs="Calibri"/>
                <w:color w:val="000000"/>
                <w:sz w:val="20"/>
                <w:szCs w:val="20"/>
                <w:lang w:val="en-GB" w:eastAsia="en-GB"/>
              </w:rPr>
              <w:t>.</w:t>
            </w:r>
            <w:r w:rsidRPr="0035774E">
              <w:rPr>
                <w:rFonts w:ascii="Calibri" w:hAnsi="Calibri" w:cs="Calibri"/>
                <w:color w:val="000000"/>
                <w:sz w:val="20"/>
                <w:szCs w:val="20"/>
                <w:lang w:val="en-GB" w:eastAsia="en-GB"/>
              </w:rPr>
              <w:t>1</w:t>
            </w:r>
          </w:p>
        </w:tc>
        <w:tc>
          <w:tcPr>
            <w:tcW w:w="1828" w:type="dxa"/>
            <w:tcBorders>
              <w:top w:val="nil"/>
              <w:left w:val="nil"/>
              <w:bottom w:val="nil"/>
              <w:right w:val="single" w:sz="4" w:space="0" w:color="auto"/>
            </w:tcBorders>
            <w:shd w:val="clear" w:color="000000" w:fill="FFFFFF"/>
            <w:noWrap/>
            <w:vAlign w:val="bottom"/>
            <w:hideMark/>
          </w:tcPr>
          <w:p w14:paraId="7AC4F306" w14:textId="4F0A0F70"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2</w:t>
            </w:r>
            <w:r w:rsidR="00896395">
              <w:rPr>
                <w:rFonts w:ascii="Calibri" w:hAnsi="Calibri" w:cs="Calibri"/>
                <w:color w:val="000000"/>
                <w:sz w:val="20"/>
                <w:szCs w:val="20"/>
                <w:lang w:val="en-GB" w:eastAsia="en-GB"/>
              </w:rPr>
              <w:t>.</w:t>
            </w:r>
            <w:r w:rsidRPr="0035774E">
              <w:rPr>
                <w:rFonts w:ascii="Calibri" w:hAnsi="Calibri" w:cs="Calibri"/>
                <w:color w:val="000000"/>
                <w:sz w:val="20"/>
                <w:szCs w:val="20"/>
                <w:lang w:val="en-GB" w:eastAsia="en-GB"/>
              </w:rPr>
              <w:t>2</w:t>
            </w:r>
          </w:p>
        </w:tc>
        <w:tc>
          <w:tcPr>
            <w:tcW w:w="1243" w:type="dxa"/>
            <w:tcBorders>
              <w:top w:val="nil"/>
              <w:left w:val="nil"/>
              <w:bottom w:val="nil"/>
              <w:right w:val="nil"/>
            </w:tcBorders>
            <w:shd w:val="clear" w:color="000000" w:fill="FFFFFF"/>
            <w:noWrap/>
            <w:vAlign w:val="bottom"/>
            <w:hideMark/>
          </w:tcPr>
          <w:p w14:paraId="70AC3326" w14:textId="064BC057"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5</w:t>
            </w:r>
            <w:r w:rsidR="00896395">
              <w:rPr>
                <w:rFonts w:ascii="Calibri" w:hAnsi="Calibri" w:cs="Calibri"/>
                <w:color w:val="000000"/>
                <w:sz w:val="20"/>
                <w:szCs w:val="20"/>
                <w:lang w:val="en-GB" w:eastAsia="en-GB"/>
              </w:rPr>
              <w:t>.</w:t>
            </w:r>
            <w:r w:rsidRPr="0035774E">
              <w:rPr>
                <w:rFonts w:ascii="Calibri" w:hAnsi="Calibri" w:cs="Calibri"/>
                <w:color w:val="000000"/>
                <w:sz w:val="20"/>
                <w:szCs w:val="20"/>
                <w:lang w:val="en-GB" w:eastAsia="en-GB"/>
              </w:rPr>
              <w:t>1</w:t>
            </w:r>
          </w:p>
        </w:tc>
        <w:tc>
          <w:tcPr>
            <w:tcW w:w="1817" w:type="dxa"/>
            <w:tcBorders>
              <w:top w:val="nil"/>
              <w:left w:val="nil"/>
              <w:bottom w:val="nil"/>
              <w:right w:val="nil"/>
            </w:tcBorders>
            <w:shd w:val="clear" w:color="000000" w:fill="FFFFFF"/>
            <w:noWrap/>
            <w:vAlign w:val="bottom"/>
            <w:hideMark/>
          </w:tcPr>
          <w:p w14:paraId="19333051" w14:textId="66520209"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1</w:t>
            </w:r>
            <w:r w:rsidR="00896395">
              <w:rPr>
                <w:rFonts w:ascii="Calibri" w:hAnsi="Calibri" w:cs="Calibri"/>
                <w:color w:val="000000"/>
                <w:sz w:val="20"/>
                <w:szCs w:val="20"/>
                <w:lang w:val="en-GB" w:eastAsia="en-GB"/>
              </w:rPr>
              <w:t>.</w:t>
            </w:r>
            <w:r w:rsidRPr="0035774E">
              <w:rPr>
                <w:rFonts w:ascii="Calibri" w:hAnsi="Calibri" w:cs="Calibri"/>
                <w:color w:val="000000"/>
                <w:sz w:val="20"/>
                <w:szCs w:val="20"/>
                <w:lang w:val="en-GB" w:eastAsia="en-GB"/>
              </w:rPr>
              <w:t>7</w:t>
            </w:r>
          </w:p>
        </w:tc>
      </w:tr>
      <w:tr w:rsidR="0035774E" w:rsidRPr="0035774E" w14:paraId="04B5DDA6" w14:textId="77777777" w:rsidTr="0035774E">
        <w:trPr>
          <w:trHeight w:val="282"/>
        </w:trPr>
        <w:tc>
          <w:tcPr>
            <w:tcW w:w="1893" w:type="dxa"/>
            <w:tcBorders>
              <w:top w:val="nil"/>
              <w:left w:val="nil"/>
              <w:bottom w:val="nil"/>
              <w:right w:val="nil"/>
            </w:tcBorders>
            <w:shd w:val="clear" w:color="000000" w:fill="FFFFFF"/>
            <w:noWrap/>
            <w:vAlign w:val="bottom"/>
            <w:hideMark/>
          </w:tcPr>
          <w:p w14:paraId="0ABBAE00" w14:textId="77777777" w:rsidR="0035774E" w:rsidRPr="0035774E" w:rsidRDefault="0035774E" w:rsidP="0035774E">
            <w:pPr>
              <w:rPr>
                <w:rFonts w:ascii="Calibri" w:hAnsi="Calibri" w:cs="Calibri"/>
                <w:b/>
                <w:bCs/>
                <w:color w:val="000000"/>
                <w:sz w:val="20"/>
                <w:szCs w:val="20"/>
                <w:lang w:val="en-GB" w:eastAsia="en-GB"/>
              </w:rPr>
            </w:pPr>
            <w:r w:rsidRPr="0035774E">
              <w:rPr>
                <w:rFonts w:ascii="Calibri" w:hAnsi="Calibri" w:cs="Calibri"/>
                <w:b/>
                <w:bCs/>
                <w:color w:val="000000"/>
                <w:sz w:val="20"/>
                <w:szCs w:val="20"/>
                <w:lang w:val="en-GB" w:eastAsia="en-GB"/>
              </w:rPr>
              <w:t>Import</w:t>
            </w:r>
          </w:p>
        </w:tc>
        <w:tc>
          <w:tcPr>
            <w:tcW w:w="1252" w:type="dxa"/>
            <w:tcBorders>
              <w:top w:val="nil"/>
              <w:left w:val="single" w:sz="4" w:space="0" w:color="auto"/>
              <w:bottom w:val="nil"/>
              <w:right w:val="nil"/>
            </w:tcBorders>
            <w:shd w:val="clear" w:color="000000" w:fill="FFFFFF"/>
            <w:noWrap/>
            <w:vAlign w:val="bottom"/>
            <w:hideMark/>
          </w:tcPr>
          <w:p w14:paraId="5D0EFB02" w14:textId="6F8E6474"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-17</w:t>
            </w:r>
            <w:r w:rsidR="00896395">
              <w:rPr>
                <w:rFonts w:ascii="Calibri" w:hAnsi="Calibri" w:cs="Calibri"/>
                <w:color w:val="000000"/>
                <w:sz w:val="20"/>
                <w:szCs w:val="20"/>
                <w:lang w:val="en-GB" w:eastAsia="en-GB"/>
              </w:rPr>
              <w:t>.</w:t>
            </w:r>
            <w:r w:rsidRPr="0035774E">
              <w:rPr>
                <w:rFonts w:ascii="Calibri" w:hAnsi="Calibri" w:cs="Calibri"/>
                <w:color w:val="000000"/>
                <w:sz w:val="20"/>
                <w:szCs w:val="20"/>
                <w:lang w:val="en-GB" w:eastAsia="en-GB"/>
              </w:rPr>
              <w:t>0</w:t>
            </w:r>
          </w:p>
        </w:tc>
        <w:tc>
          <w:tcPr>
            <w:tcW w:w="1828" w:type="dxa"/>
            <w:tcBorders>
              <w:top w:val="nil"/>
              <w:left w:val="nil"/>
              <w:bottom w:val="nil"/>
              <w:right w:val="single" w:sz="4" w:space="0" w:color="auto"/>
            </w:tcBorders>
            <w:shd w:val="clear" w:color="000000" w:fill="FFFFFF"/>
            <w:noWrap/>
            <w:vAlign w:val="bottom"/>
            <w:hideMark/>
          </w:tcPr>
          <w:p w14:paraId="22C060BB" w14:textId="4B36155E"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5</w:t>
            </w:r>
            <w:r w:rsidR="00896395">
              <w:rPr>
                <w:rFonts w:ascii="Calibri" w:hAnsi="Calibri" w:cs="Calibri"/>
                <w:color w:val="000000"/>
                <w:sz w:val="20"/>
                <w:szCs w:val="20"/>
                <w:lang w:val="en-GB" w:eastAsia="en-GB"/>
              </w:rPr>
              <w:t>.</w:t>
            </w:r>
            <w:r w:rsidRPr="0035774E">
              <w:rPr>
                <w:rFonts w:ascii="Calibri" w:hAnsi="Calibri" w:cs="Calibri"/>
                <w:color w:val="000000"/>
                <w:sz w:val="20"/>
                <w:szCs w:val="20"/>
                <w:lang w:val="en-GB" w:eastAsia="en-GB"/>
              </w:rPr>
              <w:t>3</w:t>
            </w:r>
          </w:p>
        </w:tc>
        <w:tc>
          <w:tcPr>
            <w:tcW w:w="1243" w:type="dxa"/>
            <w:tcBorders>
              <w:top w:val="nil"/>
              <w:left w:val="nil"/>
              <w:bottom w:val="nil"/>
              <w:right w:val="nil"/>
            </w:tcBorders>
            <w:shd w:val="clear" w:color="000000" w:fill="FFFFFF"/>
            <w:noWrap/>
            <w:vAlign w:val="bottom"/>
            <w:hideMark/>
          </w:tcPr>
          <w:p w14:paraId="494BBA14" w14:textId="1CBD056F"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7</w:t>
            </w:r>
            <w:r w:rsidR="00896395">
              <w:rPr>
                <w:rFonts w:ascii="Calibri" w:hAnsi="Calibri" w:cs="Calibri"/>
                <w:color w:val="000000"/>
                <w:sz w:val="20"/>
                <w:szCs w:val="20"/>
                <w:lang w:val="en-GB" w:eastAsia="en-GB"/>
              </w:rPr>
              <w:t>.</w:t>
            </w:r>
            <w:r w:rsidRPr="0035774E">
              <w:rPr>
                <w:rFonts w:ascii="Calibri" w:hAnsi="Calibri" w:cs="Calibri"/>
                <w:color w:val="000000"/>
                <w:sz w:val="20"/>
                <w:szCs w:val="20"/>
                <w:lang w:val="en-GB" w:eastAsia="en-GB"/>
              </w:rPr>
              <w:t>6</w:t>
            </w:r>
          </w:p>
        </w:tc>
        <w:tc>
          <w:tcPr>
            <w:tcW w:w="1817" w:type="dxa"/>
            <w:tcBorders>
              <w:top w:val="nil"/>
              <w:left w:val="nil"/>
              <w:bottom w:val="nil"/>
              <w:right w:val="nil"/>
            </w:tcBorders>
            <w:shd w:val="clear" w:color="000000" w:fill="FFFFFF"/>
            <w:noWrap/>
            <w:vAlign w:val="bottom"/>
            <w:hideMark/>
          </w:tcPr>
          <w:p w14:paraId="792E6A6D" w14:textId="2946043B"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-1</w:t>
            </w:r>
            <w:r w:rsidR="00896395">
              <w:rPr>
                <w:rFonts w:ascii="Calibri" w:hAnsi="Calibri" w:cs="Calibri"/>
                <w:color w:val="000000"/>
                <w:sz w:val="20"/>
                <w:szCs w:val="20"/>
                <w:lang w:val="en-GB" w:eastAsia="en-GB"/>
              </w:rPr>
              <w:t>.</w:t>
            </w:r>
            <w:r w:rsidRPr="0035774E">
              <w:rPr>
                <w:rFonts w:ascii="Calibri" w:hAnsi="Calibri" w:cs="Calibri"/>
                <w:color w:val="000000"/>
                <w:sz w:val="20"/>
                <w:szCs w:val="20"/>
                <w:lang w:val="en-GB" w:eastAsia="en-GB"/>
              </w:rPr>
              <w:t>4</w:t>
            </w:r>
          </w:p>
        </w:tc>
      </w:tr>
      <w:tr w:rsidR="0035774E" w:rsidRPr="0035774E" w14:paraId="23257A39" w14:textId="77777777" w:rsidTr="0035774E">
        <w:trPr>
          <w:trHeight w:val="315"/>
        </w:trPr>
        <w:tc>
          <w:tcPr>
            <w:tcW w:w="1893" w:type="dxa"/>
            <w:tcBorders>
              <w:top w:val="nil"/>
              <w:left w:val="nil"/>
              <w:bottom w:val="double" w:sz="6" w:space="0" w:color="auto"/>
              <w:right w:val="nil"/>
            </w:tcBorders>
            <w:shd w:val="clear" w:color="000000" w:fill="FFFFFF"/>
            <w:noWrap/>
            <w:vAlign w:val="bottom"/>
            <w:hideMark/>
          </w:tcPr>
          <w:p w14:paraId="5004DB22" w14:textId="77777777" w:rsidR="0035774E" w:rsidRPr="0035774E" w:rsidRDefault="0035774E" w:rsidP="0035774E">
            <w:pPr>
              <w:rPr>
                <w:rFonts w:ascii="Calibri" w:hAnsi="Calibri" w:cs="Calibri"/>
                <w:b/>
                <w:bCs/>
                <w:color w:val="000000"/>
                <w:sz w:val="20"/>
                <w:szCs w:val="20"/>
                <w:lang w:val="en-GB" w:eastAsia="en-GB"/>
              </w:rPr>
            </w:pPr>
            <w:r w:rsidRPr="0035774E">
              <w:rPr>
                <w:rFonts w:ascii="Calibri" w:hAnsi="Calibri" w:cs="Calibri"/>
                <w:b/>
                <w:bCs/>
                <w:color w:val="000000"/>
                <w:sz w:val="20"/>
                <w:szCs w:val="20"/>
                <w:lang w:val="en-GB" w:eastAsia="en-GB"/>
              </w:rPr>
              <w:t>GDP</w:t>
            </w:r>
          </w:p>
        </w:tc>
        <w:tc>
          <w:tcPr>
            <w:tcW w:w="1252" w:type="dxa"/>
            <w:tcBorders>
              <w:top w:val="nil"/>
              <w:left w:val="single" w:sz="4" w:space="0" w:color="auto"/>
              <w:bottom w:val="double" w:sz="6" w:space="0" w:color="auto"/>
              <w:right w:val="nil"/>
            </w:tcBorders>
            <w:shd w:val="clear" w:color="000000" w:fill="FFFFFF"/>
            <w:noWrap/>
            <w:vAlign w:val="bottom"/>
            <w:hideMark/>
          </w:tcPr>
          <w:p w14:paraId="6557792C" w14:textId="3BFB64D5"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-1</w:t>
            </w:r>
            <w:r w:rsidR="00896395">
              <w:rPr>
                <w:rFonts w:ascii="Calibri" w:hAnsi="Calibri" w:cs="Calibri"/>
                <w:color w:val="000000"/>
                <w:sz w:val="20"/>
                <w:szCs w:val="20"/>
                <w:lang w:val="en-GB" w:eastAsia="en-GB"/>
              </w:rPr>
              <w:t>.</w:t>
            </w:r>
            <w:r w:rsidRPr="0035774E">
              <w:rPr>
                <w:rFonts w:ascii="Calibri" w:hAnsi="Calibri" w:cs="Calibri"/>
                <w:color w:val="000000"/>
                <w:sz w:val="20"/>
                <w:szCs w:val="20"/>
                <w:lang w:val="en-GB" w:eastAsia="en-GB"/>
              </w:rPr>
              <w:t>6</w:t>
            </w:r>
          </w:p>
        </w:tc>
        <w:tc>
          <w:tcPr>
            <w:tcW w:w="1828" w:type="dxa"/>
            <w:tcBorders>
              <w:top w:val="nil"/>
              <w:left w:val="nil"/>
              <w:bottom w:val="double" w:sz="6" w:space="0" w:color="auto"/>
              <w:right w:val="single" w:sz="4" w:space="0" w:color="auto"/>
            </w:tcBorders>
            <w:shd w:val="clear" w:color="000000" w:fill="FFFFFF"/>
            <w:noWrap/>
            <w:vAlign w:val="bottom"/>
            <w:hideMark/>
          </w:tcPr>
          <w:p w14:paraId="67D0744F" w14:textId="77777777"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 </w:t>
            </w:r>
          </w:p>
        </w:tc>
        <w:tc>
          <w:tcPr>
            <w:tcW w:w="1243" w:type="dxa"/>
            <w:tcBorders>
              <w:top w:val="nil"/>
              <w:left w:val="nil"/>
              <w:bottom w:val="double" w:sz="6" w:space="0" w:color="auto"/>
              <w:right w:val="nil"/>
            </w:tcBorders>
            <w:shd w:val="clear" w:color="000000" w:fill="FFFFFF"/>
            <w:noWrap/>
            <w:vAlign w:val="bottom"/>
            <w:hideMark/>
          </w:tcPr>
          <w:p w14:paraId="430AE70C" w14:textId="69EC6C1F"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0</w:t>
            </w:r>
            <w:r w:rsidR="00896395">
              <w:rPr>
                <w:rFonts w:ascii="Calibri" w:hAnsi="Calibri" w:cs="Calibri"/>
                <w:color w:val="000000"/>
                <w:sz w:val="20"/>
                <w:szCs w:val="20"/>
                <w:lang w:val="en-GB" w:eastAsia="en-GB"/>
              </w:rPr>
              <w:t>.</w:t>
            </w:r>
            <w:r w:rsidRPr="0035774E">
              <w:rPr>
                <w:rFonts w:ascii="Calibri" w:hAnsi="Calibri" w:cs="Calibri"/>
                <w:color w:val="000000"/>
                <w:sz w:val="20"/>
                <w:szCs w:val="20"/>
                <w:lang w:val="en-GB" w:eastAsia="en-GB"/>
              </w:rPr>
              <w:t>9</w:t>
            </w:r>
          </w:p>
        </w:tc>
        <w:tc>
          <w:tcPr>
            <w:tcW w:w="1817" w:type="dxa"/>
            <w:tcBorders>
              <w:top w:val="nil"/>
              <w:left w:val="nil"/>
              <w:bottom w:val="double" w:sz="6" w:space="0" w:color="auto"/>
              <w:right w:val="nil"/>
            </w:tcBorders>
            <w:shd w:val="clear" w:color="000000" w:fill="FFFFFF"/>
            <w:noWrap/>
            <w:vAlign w:val="bottom"/>
            <w:hideMark/>
          </w:tcPr>
          <w:p w14:paraId="144E83DD" w14:textId="77777777"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 </w:t>
            </w:r>
          </w:p>
        </w:tc>
      </w:tr>
    </w:tbl>
    <w:p w14:paraId="60A51B07" w14:textId="01ED3C22" w:rsidR="007539A6" w:rsidRDefault="00835AF0" w:rsidP="007539A6">
      <w:pPr>
        <w:rPr>
          <w:rFonts w:ascii="Palatino Linotype" w:hAnsi="Palatino Linotype" w:cstheme="minorHAnsi"/>
          <w:sz w:val="18"/>
          <w:szCs w:val="18"/>
        </w:rPr>
      </w:pPr>
      <w:r>
        <w:rPr>
          <w:rFonts w:ascii="Palatino Linotype" w:hAnsi="Palatino Linotype" w:cstheme="minorHAnsi"/>
          <w:b/>
          <w:sz w:val="18"/>
          <w:szCs w:val="18"/>
        </w:rPr>
        <w:t xml:space="preserve"> </w:t>
      </w:r>
      <w:r w:rsidR="007539A6">
        <w:rPr>
          <w:rFonts w:ascii="Palatino Linotype" w:hAnsi="Palatino Linotype" w:cstheme="minorHAnsi"/>
          <w:b/>
          <w:sz w:val="18"/>
          <w:szCs w:val="18"/>
        </w:rPr>
        <w:t>S</w:t>
      </w:r>
      <w:r w:rsidR="007539A6" w:rsidRPr="007D787D">
        <w:rPr>
          <w:rFonts w:ascii="Palatino Linotype" w:hAnsi="Palatino Linotype" w:cstheme="minorHAnsi"/>
          <w:b/>
          <w:sz w:val="18"/>
          <w:szCs w:val="18"/>
        </w:rPr>
        <w:t>ource:</w:t>
      </w:r>
      <w:r w:rsidR="007539A6">
        <w:rPr>
          <w:rFonts w:ascii="Palatino Linotype" w:hAnsi="Palatino Linotype" w:cstheme="minorHAnsi"/>
          <w:sz w:val="18"/>
          <w:szCs w:val="18"/>
        </w:rPr>
        <w:t xml:space="preserve"> </w:t>
      </w:r>
      <w:proofErr w:type="spellStart"/>
      <w:r w:rsidR="007539A6">
        <w:rPr>
          <w:rFonts w:ascii="Palatino Linotype" w:hAnsi="Palatino Linotype" w:cstheme="minorHAnsi"/>
          <w:sz w:val="18"/>
          <w:szCs w:val="18"/>
        </w:rPr>
        <w:t>TurkStat</w:t>
      </w:r>
      <w:proofErr w:type="spellEnd"/>
      <w:r w:rsidR="007539A6">
        <w:rPr>
          <w:rFonts w:ascii="Palatino Linotype" w:hAnsi="Palatino Linotype" w:cstheme="minorHAnsi"/>
          <w:sz w:val="18"/>
          <w:szCs w:val="18"/>
        </w:rPr>
        <w:t xml:space="preserve">, </w:t>
      </w:r>
      <w:proofErr w:type="spellStart"/>
      <w:r w:rsidR="007539A6">
        <w:rPr>
          <w:rFonts w:ascii="Palatino Linotype" w:hAnsi="Palatino Linotype" w:cstheme="minorHAnsi"/>
          <w:sz w:val="18"/>
          <w:szCs w:val="18"/>
        </w:rPr>
        <w:t>Betam</w:t>
      </w:r>
      <w:proofErr w:type="spellEnd"/>
    </w:p>
    <w:p w14:paraId="390AC5DE" w14:textId="77777777" w:rsidR="007539A6" w:rsidRDefault="007539A6" w:rsidP="007539A6">
      <w:pPr>
        <w:rPr>
          <w:rFonts w:ascii="Palatino Linotype" w:hAnsi="Palatino Linotype" w:cstheme="minorHAnsi"/>
          <w:sz w:val="18"/>
          <w:szCs w:val="18"/>
        </w:rPr>
      </w:pPr>
    </w:p>
    <w:p w14:paraId="2FF0D0F5" w14:textId="77777777" w:rsidR="00515940" w:rsidRDefault="00515940" w:rsidP="007539A6">
      <w:pPr>
        <w:ind w:right="77"/>
        <w:jc w:val="both"/>
        <w:rPr>
          <w:rFonts w:ascii="Palatino Linotype" w:hAnsi="Palatino Linotype" w:cstheme="minorHAnsi"/>
          <w:b/>
          <w:bCs/>
          <w:sz w:val="22"/>
          <w:szCs w:val="22"/>
        </w:rPr>
      </w:pPr>
    </w:p>
    <w:p w14:paraId="75710D4B" w14:textId="77777777" w:rsidR="00515940" w:rsidRDefault="00515940" w:rsidP="007539A6">
      <w:pPr>
        <w:ind w:right="77"/>
        <w:jc w:val="both"/>
        <w:rPr>
          <w:rFonts w:ascii="Palatino Linotype" w:hAnsi="Palatino Linotype" w:cstheme="minorHAnsi"/>
          <w:b/>
          <w:bCs/>
          <w:sz w:val="22"/>
          <w:szCs w:val="22"/>
        </w:rPr>
      </w:pPr>
    </w:p>
    <w:p w14:paraId="4A0226CE" w14:textId="77777777" w:rsidR="00515940" w:rsidRDefault="00515940" w:rsidP="007539A6">
      <w:pPr>
        <w:ind w:right="77"/>
        <w:jc w:val="both"/>
        <w:rPr>
          <w:rFonts w:ascii="Palatino Linotype" w:hAnsi="Palatino Linotype" w:cstheme="minorHAnsi"/>
          <w:b/>
          <w:bCs/>
          <w:sz w:val="22"/>
          <w:szCs w:val="22"/>
        </w:rPr>
      </w:pPr>
    </w:p>
    <w:p w14:paraId="6D55A5D2" w14:textId="35B212EB" w:rsidR="007539A6" w:rsidRDefault="007539A6" w:rsidP="007539A6">
      <w:pPr>
        <w:ind w:right="77"/>
        <w:jc w:val="both"/>
        <w:rPr>
          <w:rFonts w:ascii="Palatino Linotype" w:hAnsi="Palatino Linotype" w:cstheme="minorHAnsi"/>
          <w:b/>
          <w:bCs/>
          <w:sz w:val="22"/>
          <w:szCs w:val="22"/>
        </w:rPr>
      </w:pPr>
      <w:r w:rsidRPr="007D787D">
        <w:rPr>
          <w:rFonts w:ascii="Palatino Linotype" w:hAnsi="Palatino Linotype" w:cstheme="minorHAnsi"/>
          <w:b/>
          <w:bCs/>
          <w:sz w:val="22"/>
          <w:szCs w:val="22"/>
        </w:rPr>
        <w:t xml:space="preserve">Table 2: Growth rates and contributions to </w:t>
      </w:r>
      <w:r w:rsidR="003A503D">
        <w:rPr>
          <w:rFonts w:ascii="Palatino Linotype" w:hAnsi="Palatino Linotype" w:cstheme="minorHAnsi"/>
          <w:b/>
          <w:bCs/>
          <w:sz w:val="22"/>
          <w:szCs w:val="22"/>
        </w:rPr>
        <w:t xml:space="preserve">the </w:t>
      </w:r>
      <w:r w:rsidRPr="007D787D">
        <w:rPr>
          <w:rFonts w:ascii="Palatino Linotype" w:hAnsi="Palatino Linotype" w:cstheme="minorHAnsi"/>
          <w:b/>
          <w:bCs/>
          <w:sz w:val="22"/>
          <w:szCs w:val="22"/>
        </w:rPr>
        <w:t xml:space="preserve">growth of GDP components in </w:t>
      </w:r>
      <w:r w:rsidR="009D6C98">
        <w:rPr>
          <w:rFonts w:ascii="Palatino Linotype" w:hAnsi="Palatino Linotype" w:cstheme="minorHAnsi"/>
          <w:b/>
          <w:bCs/>
          <w:sz w:val="22"/>
          <w:szCs w:val="22"/>
        </w:rPr>
        <w:t>2019 Q1</w:t>
      </w:r>
      <w:r w:rsidR="00545452">
        <w:rPr>
          <w:rFonts w:ascii="Palatino Linotype" w:hAnsi="Palatino Linotype" w:cstheme="minorHAnsi"/>
          <w:b/>
          <w:bCs/>
          <w:sz w:val="22"/>
          <w:szCs w:val="22"/>
        </w:rPr>
        <w:t xml:space="preserve"> and 2019</w:t>
      </w:r>
      <w:r>
        <w:rPr>
          <w:rFonts w:ascii="Palatino Linotype" w:hAnsi="Palatino Linotype" w:cstheme="minorHAnsi"/>
          <w:b/>
          <w:bCs/>
          <w:sz w:val="22"/>
          <w:szCs w:val="22"/>
        </w:rPr>
        <w:t xml:space="preserve"> Q</w:t>
      </w:r>
      <w:r w:rsidR="009D6C98">
        <w:rPr>
          <w:rFonts w:ascii="Palatino Linotype" w:hAnsi="Palatino Linotype" w:cstheme="minorHAnsi"/>
          <w:b/>
          <w:bCs/>
          <w:sz w:val="22"/>
          <w:szCs w:val="22"/>
        </w:rPr>
        <w:t>2</w:t>
      </w:r>
      <w:r>
        <w:rPr>
          <w:rFonts w:ascii="Palatino Linotype" w:hAnsi="Palatino Linotype" w:cstheme="minorHAnsi"/>
          <w:b/>
          <w:bCs/>
          <w:sz w:val="22"/>
          <w:szCs w:val="22"/>
        </w:rPr>
        <w:t xml:space="preserve"> compared to </w:t>
      </w:r>
      <w:r w:rsidR="003A503D">
        <w:rPr>
          <w:rFonts w:ascii="Palatino Linotype" w:hAnsi="Palatino Linotype" w:cstheme="minorHAnsi"/>
          <w:b/>
          <w:bCs/>
          <w:sz w:val="22"/>
          <w:szCs w:val="22"/>
        </w:rPr>
        <w:t xml:space="preserve">the </w:t>
      </w:r>
      <w:r>
        <w:rPr>
          <w:rFonts w:ascii="Palatino Linotype" w:hAnsi="Palatino Linotype" w:cstheme="minorHAnsi"/>
          <w:b/>
          <w:bCs/>
          <w:sz w:val="22"/>
          <w:szCs w:val="22"/>
        </w:rPr>
        <w:t>previous quarter</w:t>
      </w:r>
    </w:p>
    <w:tbl>
      <w:tblPr>
        <w:tblW w:w="8033" w:type="dxa"/>
        <w:tblLook w:val="04A0" w:firstRow="1" w:lastRow="0" w:firstColumn="1" w:lastColumn="0" w:noHBand="0" w:noVBand="1"/>
      </w:tblPr>
      <w:tblGrid>
        <w:gridCol w:w="1893"/>
        <w:gridCol w:w="1252"/>
        <w:gridCol w:w="1828"/>
        <w:gridCol w:w="1243"/>
        <w:gridCol w:w="1817"/>
      </w:tblGrid>
      <w:tr w:rsidR="0035774E" w:rsidRPr="0035774E" w14:paraId="6CFDF08E" w14:textId="77777777" w:rsidTr="0035774E">
        <w:trPr>
          <w:trHeight w:val="282"/>
        </w:trPr>
        <w:tc>
          <w:tcPr>
            <w:tcW w:w="1893" w:type="dxa"/>
            <w:tcBorders>
              <w:top w:val="nil"/>
              <w:left w:val="nil"/>
              <w:bottom w:val="nil"/>
              <w:right w:val="nil"/>
            </w:tcBorders>
            <w:shd w:val="clear" w:color="000000" w:fill="FFFFFF"/>
            <w:noWrap/>
            <w:vAlign w:val="bottom"/>
            <w:hideMark/>
          </w:tcPr>
          <w:p w14:paraId="1CB29F2C" w14:textId="77777777" w:rsidR="0035774E" w:rsidRPr="0035774E" w:rsidRDefault="0035774E" w:rsidP="0035774E">
            <w:pPr>
              <w:rPr>
                <w:rFonts w:ascii="Calibri" w:hAnsi="Calibri" w:cs="Calibri"/>
                <w:b/>
                <w:bCs/>
                <w:color w:val="000000"/>
                <w:sz w:val="20"/>
                <w:szCs w:val="20"/>
                <w:lang w:val="en-GB" w:eastAsia="en-GB"/>
              </w:rPr>
            </w:pPr>
            <w:r w:rsidRPr="0035774E">
              <w:rPr>
                <w:rFonts w:ascii="Calibri" w:hAnsi="Calibri" w:cs="Calibri"/>
                <w:b/>
                <w:bCs/>
                <w:color w:val="000000"/>
                <w:sz w:val="20"/>
                <w:szCs w:val="20"/>
                <w:lang w:val="en-GB" w:eastAsia="en-GB"/>
              </w:rPr>
              <w:t> </w:t>
            </w:r>
          </w:p>
        </w:tc>
        <w:tc>
          <w:tcPr>
            <w:tcW w:w="308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B91149C" w14:textId="77777777" w:rsidR="0035774E" w:rsidRPr="0035774E" w:rsidRDefault="0035774E" w:rsidP="0035774E">
            <w:pPr>
              <w:jc w:val="center"/>
              <w:rPr>
                <w:rFonts w:ascii="Calibri" w:hAnsi="Calibri" w:cs="Calibri"/>
                <w:b/>
                <w:bCs/>
                <w:color w:val="000000"/>
                <w:sz w:val="20"/>
                <w:szCs w:val="20"/>
                <w:lang w:val="en-GB" w:eastAsia="en-GB"/>
              </w:rPr>
            </w:pPr>
            <w:r w:rsidRPr="0035774E">
              <w:rPr>
                <w:rFonts w:ascii="Calibri" w:hAnsi="Calibri" w:cs="Calibri"/>
                <w:b/>
                <w:bCs/>
                <w:color w:val="000000"/>
                <w:sz w:val="20"/>
                <w:szCs w:val="20"/>
                <w:lang w:val="en-GB" w:eastAsia="en-GB"/>
              </w:rPr>
              <w:t>2019Q2</w:t>
            </w:r>
          </w:p>
        </w:tc>
        <w:tc>
          <w:tcPr>
            <w:tcW w:w="3060" w:type="dxa"/>
            <w:gridSpan w:val="2"/>
            <w:tcBorders>
              <w:top w:val="single" w:sz="4" w:space="0" w:color="auto"/>
              <w:left w:val="nil"/>
              <w:bottom w:val="single" w:sz="4" w:space="0" w:color="auto"/>
              <w:right w:val="nil"/>
            </w:tcBorders>
            <w:shd w:val="clear" w:color="000000" w:fill="FFFFFF"/>
            <w:noWrap/>
            <w:vAlign w:val="bottom"/>
            <w:hideMark/>
          </w:tcPr>
          <w:p w14:paraId="57D04BEF" w14:textId="77777777" w:rsidR="0035774E" w:rsidRPr="0035774E" w:rsidRDefault="0035774E" w:rsidP="0035774E">
            <w:pPr>
              <w:jc w:val="center"/>
              <w:rPr>
                <w:rFonts w:ascii="Calibri" w:hAnsi="Calibri" w:cs="Calibri"/>
                <w:b/>
                <w:bCs/>
                <w:color w:val="000000"/>
                <w:sz w:val="20"/>
                <w:szCs w:val="20"/>
                <w:lang w:val="en-GB" w:eastAsia="en-GB"/>
              </w:rPr>
            </w:pPr>
            <w:r w:rsidRPr="0035774E">
              <w:rPr>
                <w:rFonts w:ascii="Calibri" w:hAnsi="Calibri" w:cs="Calibri"/>
                <w:b/>
                <w:bCs/>
                <w:color w:val="000000"/>
                <w:sz w:val="20"/>
                <w:szCs w:val="20"/>
                <w:lang w:val="en-GB" w:eastAsia="en-GB"/>
              </w:rPr>
              <w:t>2019Q3</w:t>
            </w:r>
          </w:p>
        </w:tc>
      </w:tr>
      <w:tr w:rsidR="0035774E" w:rsidRPr="0035774E" w14:paraId="4481B6CC" w14:textId="77777777" w:rsidTr="0035774E">
        <w:trPr>
          <w:trHeight w:val="282"/>
        </w:trPr>
        <w:tc>
          <w:tcPr>
            <w:tcW w:w="1893" w:type="dxa"/>
            <w:tcBorders>
              <w:top w:val="nil"/>
              <w:left w:val="nil"/>
              <w:bottom w:val="nil"/>
              <w:right w:val="nil"/>
            </w:tcBorders>
            <w:shd w:val="clear" w:color="000000" w:fill="FFFFFF"/>
            <w:noWrap/>
            <w:vAlign w:val="bottom"/>
            <w:hideMark/>
          </w:tcPr>
          <w:p w14:paraId="65026488" w14:textId="77777777" w:rsidR="0035774E" w:rsidRPr="0035774E" w:rsidRDefault="0035774E" w:rsidP="0035774E">
            <w:pPr>
              <w:rPr>
                <w:rFonts w:ascii="Calibri" w:hAnsi="Calibri" w:cs="Calibri"/>
                <w:b/>
                <w:bCs/>
                <w:color w:val="000000"/>
                <w:sz w:val="20"/>
                <w:szCs w:val="20"/>
                <w:lang w:val="en-GB" w:eastAsia="en-GB"/>
              </w:rPr>
            </w:pPr>
            <w:r w:rsidRPr="0035774E">
              <w:rPr>
                <w:rFonts w:ascii="Calibri" w:hAnsi="Calibri" w:cs="Calibri"/>
                <w:b/>
                <w:bCs/>
                <w:color w:val="000000"/>
                <w:sz w:val="20"/>
                <w:szCs w:val="20"/>
                <w:lang w:val="en-GB" w:eastAsia="en-GB"/>
              </w:rPr>
              <w:t> </w:t>
            </w:r>
          </w:p>
        </w:tc>
        <w:tc>
          <w:tcPr>
            <w:tcW w:w="1252" w:type="dxa"/>
            <w:tcBorders>
              <w:top w:val="nil"/>
              <w:left w:val="single" w:sz="4" w:space="0" w:color="auto"/>
              <w:bottom w:val="single" w:sz="4" w:space="0" w:color="auto"/>
              <w:right w:val="nil"/>
            </w:tcBorders>
            <w:shd w:val="clear" w:color="000000" w:fill="FFFFFF"/>
            <w:noWrap/>
            <w:vAlign w:val="bottom"/>
            <w:hideMark/>
          </w:tcPr>
          <w:p w14:paraId="27D79371" w14:textId="77777777" w:rsidR="0035774E" w:rsidRPr="0035774E" w:rsidRDefault="0035774E" w:rsidP="0035774E">
            <w:pPr>
              <w:jc w:val="center"/>
              <w:rPr>
                <w:rFonts w:ascii="Calibri" w:hAnsi="Calibri" w:cs="Calibri"/>
                <w:b/>
                <w:bCs/>
                <w:color w:val="000000"/>
                <w:sz w:val="20"/>
                <w:szCs w:val="20"/>
                <w:lang w:val="en-GB" w:eastAsia="en-GB"/>
              </w:rPr>
            </w:pPr>
            <w:r w:rsidRPr="0035774E">
              <w:rPr>
                <w:rFonts w:ascii="Calibri" w:hAnsi="Calibri" w:cs="Calibri"/>
                <w:b/>
                <w:bCs/>
                <w:color w:val="000000"/>
                <w:sz w:val="20"/>
                <w:szCs w:val="20"/>
                <w:lang w:val="en-GB" w:eastAsia="en-GB"/>
              </w:rPr>
              <w:t>Change (%)</w:t>
            </w:r>
          </w:p>
        </w:tc>
        <w:tc>
          <w:tcPr>
            <w:tcW w:w="1828" w:type="dxa"/>
            <w:tcBorders>
              <w:top w:val="nil"/>
              <w:left w:val="nil"/>
              <w:bottom w:val="nil"/>
              <w:right w:val="single" w:sz="4" w:space="0" w:color="auto"/>
            </w:tcBorders>
            <w:shd w:val="clear" w:color="000000" w:fill="FFFFFF"/>
            <w:noWrap/>
            <w:vAlign w:val="bottom"/>
            <w:hideMark/>
          </w:tcPr>
          <w:p w14:paraId="14402E52" w14:textId="77777777" w:rsidR="0035774E" w:rsidRPr="0035774E" w:rsidRDefault="0035774E" w:rsidP="0035774E">
            <w:pPr>
              <w:jc w:val="center"/>
              <w:rPr>
                <w:rFonts w:ascii="Calibri" w:hAnsi="Calibri" w:cs="Calibri"/>
                <w:b/>
                <w:bCs/>
                <w:color w:val="000000"/>
                <w:sz w:val="20"/>
                <w:szCs w:val="20"/>
                <w:lang w:val="en-GB" w:eastAsia="en-GB"/>
              </w:rPr>
            </w:pPr>
            <w:r w:rsidRPr="0035774E">
              <w:rPr>
                <w:rFonts w:ascii="Calibri" w:hAnsi="Calibri" w:cs="Calibri"/>
                <w:b/>
                <w:bCs/>
                <w:color w:val="000000"/>
                <w:sz w:val="20"/>
                <w:szCs w:val="20"/>
                <w:lang w:val="en-GB" w:eastAsia="en-GB"/>
              </w:rPr>
              <w:t>Contribution (%)</w:t>
            </w:r>
          </w:p>
        </w:tc>
        <w:tc>
          <w:tcPr>
            <w:tcW w:w="1243" w:type="dxa"/>
            <w:tcBorders>
              <w:top w:val="nil"/>
              <w:left w:val="nil"/>
              <w:bottom w:val="nil"/>
              <w:right w:val="nil"/>
            </w:tcBorders>
            <w:shd w:val="clear" w:color="000000" w:fill="FFFFFF"/>
            <w:noWrap/>
            <w:vAlign w:val="bottom"/>
            <w:hideMark/>
          </w:tcPr>
          <w:p w14:paraId="7D3DB236" w14:textId="77777777" w:rsidR="0035774E" w:rsidRPr="0035774E" w:rsidRDefault="0035774E" w:rsidP="0035774E">
            <w:pPr>
              <w:jc w:val="center"/>
              <w:rPr>
                <w:rFonts w:ascii="Calibri" w:hAnsi="Calibri" w:cs="Calibri"/>
                <w:b/>
                <w:bCs/>
                <w:color w:val="000000"/>
                <w:sz w:val="20"/>
                <w:szCs w:val="20"/>
                <w:lang w:val="en-GB" w:eastAsia="en-GB"/>
              </w:rPr>
            </w:pPr>
            <w:r w:rsidRPr="0035774E">
              <w:rPr>
                <w:rFonts w:ascii="Calibri" w:hAnsi="Calibri" w:cs="Calibri"/>
                <w:b/>
                <w:bCs/>
                <w:color w:val="000000"/>
                <w:sz w:val="20"/>
                <w:szCs w:val="20"/>
                <w:lang w:val="en-GB" w:eastAsia="en-GB"/>
              </w:rPr>
              <w:t>Change (%)</w:t>
            </w:r>
          </w:p>
        </w:tc>
        <w:tc>
          <w:tcPr>
            <w:tcW w:w="1817" w:type="dxa"/>
            <w:tcBorders>
              <w:top w:val="nil"/>
              <w:left w:val="nil"/>
              <w:bottom w:val="nil"/>
              <w:right w:val="nil"/>
            </w:tcBorders>
            <w:shd w:val="clear" w:color="000000" w:fill="FFFFFF"/>
            <w:noWrap/>
            <w:vAlign w:val="bottom"/>
            <w:hideMark/>
          </w:tcPr>
          <w:p w14:paraId="42EACB30" w14:textId="77777777" w:rsidR="0035774E" w:rsidRPr="0035774E" w:rsidRDefault="0035774E" w:rsidP="0035774E">
            <w:pPr>
              <w:jc w:val="center"/>
              <w:rPr>
                <w:rFonts w:ascii="Calibri" w:hAnsi="Calibri" w:cs="Calibri"/>
                <w:b/>
                <w:bCs/>
                <w:color w:val="000000"/>
                <w:sz w:val="20"/>
                <w:szCs w:val="20"/>
                <w:lang w:val="en-GB" w:eastAsia="en-GB"/>
              </w:rPr>
            </w:pPr>
            <w:r w:rsidRPr="0035774E">
              <w:rPr>
                <w:rFonts w:ascii="Calibri" w:hAnsi="Calibri" w:cs="Calibri"/>
                <w:b/>
                <w:bCs/>
                <w:color w:val="000000"/>
                <w:sz w:val="20"/>
                <w:szCs w:val="20"/>
                <w:lang w:val="en-GB" w:eastAsia="en-GB"/>
              </w:rPr>
              <w:t>Contribution (%)</w:t>
            </w:r>
          </w:p>
        </w:tc>
      </w:tr>
      <w:tr w:rsidR="0035774E" w:rsidRPr="0035774E" w14:paraId="7AA95104" w14:textId="77777777" w:rsidTr="0035774E">
        <w:trPr>
          <w:trHeight w:val="282"/>
        </w:trPr>
        <w:tc>
          <w:tcPr>
            <w:tcW w:w="1893" w:type="dxa"/>
            <w:tcBorders>
              <w:top w:val="single" w:sz="4" w:space="0" w:color="auto"/>
              <w:left w:val="nil"/>
              <w:bottom w:val="nil"/>
              <w:right w:val="nil"/>
            </w:tcBorders>
            <w:shd w:val="clear" w:color="000000" w:fill="FFFFFF"/>
            <w:noWrap/>
            <w:vAlign w:val="bottom"/>
            <w:hideMark/>
          </w:tcPr>
          <w:p w14:paraId="3F4E7917" w14:textId="77777777" w:rsidR="0035774E" w:rsidRPr="0035774E" w:rsidRDefault="0035774E" w:rsidP="0035774E">
            <w:pPr>
              <w:rPr>
                <w:rFonts w:ascii="Calibri" w:hAnsi="Calibri" w:cs="Calibri"/>
                <w:b/>
                <w:bCs/>
                <w:color w:val="000000"/>
                <w:sz w:val="20"/>
                <w:szCs w:val="20"/>
                <w:lang w:val="en-GB" w:eastAsia="en-GB"/>
              </w:rPr>
            </w:pPr>
            <w:r w:rsidRPr="0035774E">
              <w:rPr>
                <w:rFonts w:ascii="Calibri" w:hAnsi="Calibri" w:cs="Calibri"/>
                <w:b/>
                <w:bCs/>
                <w:color w:val="000000"/>
                <w:sz w:val="20"/>
                <w:szCs w:val="20"/>
                <w:lang w:val="en-GB" w:eastAsia="en-GB"/>
              </w:rPr>
              <w:t>Consumption</w:t>
            </w:r>
          </w:p>
        </w:tc>
        <w:tc>
          <w:tcPr>
            <w:tcW w:w="1252" w:type="dxa"/>
            <w:tcBorders>
              <w:top w:val="nil"/>
              <w:left w:val="single" w:sz="4" w:space="0" w:color="auto"/>
              <w:bottom w:val="nil"/>
              <w:right w:val="nil"/>
            </w:tcBorders>
            <w:shd w:val="clear" w:color="000000" w:fill="FFFFFF"/>
            <w:noWrap/>
            <w:vAlign w:val="bottom"/>
            <w:hideMark/>
          </w:tcPr>
          <w:p w14:paraId="40883E0C" w14:textId="625C138A"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3</w:t>
            </w:r>
            <w:r w:rsidR="00896395">
              <w:rPr>
                <w:rFonts w:ascii="Calibri" w:hAnsi="Calibri" w:cs="Calibri"/>
                <w:color w:val="000000"/>
                <w:sz w:val="20"/>
                <w:szCs w:val="20"/>
                <w:lang w:val="en-GB" w:eastAsia="en-GB"/>
              </w:rPr>
              <w:t>.</w:t>
            </w:r>
            <w:r w:rsidRPr="0035774E">
              <w:rPr>
                <w:rFonts w:ascii="Calibri" w:hAnsi="Calibri" w:cs="Calibri"/>
                <w:color w:val="000000"/>
                <w:sz w:val="20"/>
                <w:szCs w:val="20"/>
                <w:lang w:val="en-GB" w:eastAsia="en-GB"/>
              </w:rPr>
              <w:t>4</w:t>
            </w:r>
          </w:p>
        </w:tc>
        <w:tc>
          <w:tcPr>
            <w:tcW w:w="1828" w:type="dxa"/>
            <w:tcBorders>
              <w:top w:val="single" w:sz="4" w:space="0" w:color="auto"/>
              <w:left w:val="nil"/>
              <w:bottom w:val="nil"/>
              <w:right w:val="single" w:sz="4" w:space="0" w:color="auto"/>
            </w:tcBorders>
            <w:shd w:val="clear" w:color="000000" w:fill="FFFFFF"/>
            <w:noWrap/>
            <w:vAlign w:val="bottom"/>
            <w:hideMark/>
          </w:tcPr>
          <w:p w14:paraId="45C13244" w14:textId="56C0FE52"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1</w:t>
            </w:r>
            <w:r w:rsidR="00896395">
              <w:rPr>
                <w:rFonts w:ascii="Calibri" w:hAnsi="Calibri" w:cs="Calibri"/>
                <w:color w:val="000000"/>
                <w:sz w:val="20"/>
                <w:szCs w:val="20"/>
                <w:lang w:val="en-GB" w:eastAsia="en-GB"/>
              </w:rPr>
              <w:t>.</w:t>
            </w:r>
            <w:r w:rsidRPr="0035774E">
              <w:rPr>
                <w:rFonts w:ascii="Calibri" w:hAnsi="Calibri" w:cs="Calibri"/>
                <w:color w:val="000000"/>
                <w:sz w:val="20"/>
                <w:szCs w:val="20"/>
                <w:lang w:val="en-GB" w:eastAsia="en-GB"/>
              </w:rPr>
              <w:t>9</w:t>
            </w:r>
          </w:p>
        </w:tc>
        <w:tc>
          <w:tcPr>
            <w:tcW w:w="1243" w:type="dxa"/>
            <w:tcBorders>
              <w:top w:val="single" w:sz="4" w:space="0" w:color="auto"/>
              <w:left w:val="nil"/>
              <w:bottom w:val="nil"/>
              <w:right w:val="nil"/>
            </w:tcBorders>
            <w:shd w:val="clear" w:color="000000" w:fill="FFFFFF"/>
            <w:noWrap/>
            <w:vAlign w:val="bottom"/>
            <w:hideMark/>
          </w:tcPr>
          <w:p w14:paraId="1FB247BA" w14:textId="495B0490"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1</w:t>
            </w:r>
            <w:r w:rsidR="00896395">
              <w:rPr>
                <w:rFonts w:ascii="Calibri" w:hAnsi="Calibri" w:cs="Calibri"/>
                <w:color w:val="000000"/>
                <w:sz w:val="20"/>
                <w:szCs w:val="20"/>
                <w:lang w:val="en-GB" w:eastAsia="en-GB"/>
              </w:rPr>
              <w:t>.</w:t>
            </w:r>
            <w:r w:rsidRPr="0035774E">
              <w:rPr>
                <w:rFonts w:ascii="Calibri" w:hAnsi="Calibri" w:cs="Calibri"/>
                <w:color w:val="000000"/>
                <w:sz w:val="20"/>
                <w:szCs w:val="20"/>
                <w:lang w:val="en-GB" w:eastAsia="en-GB"/>
              </w:rPr>
              <w:t>9</w:t>
            </w:r>
          </w:p>
        </w:tc>
        <w:tc>
          <w:tcPr>
            <w:tcW w:w="1817" w:type="dxa"/>
            <w:tcBorders>
              <w:top w:val="single" w:sz="4" w:space="0" w:color="auto"/>
              <w:left w:val="nil"/>
              <w:bottom w:val="nil"/>
              <w:right w:val="nil"/>
            </w:tcBorders>
            <w:shd w:val="clear" w:color="000000" w:fill="FFFFFF"/>
            <w:noWrap/>
            <w:vAlign w:val="bottom"/>
            <w:hideMark/>
          </w:tcPr>
          <w:p w14:paraId="15766910" w14:textId="5B91A9F9"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1</w:t>
            </w:r>
            <w:r w:rsidR="00896395">
              <w:rPr>
                <w:rFonts w:ascii="Calibri" w:hAnsi="Calibri" w:cs="Calibri"/>
                <w:color w:val="000000"/>
                <w:sz w:val="20"/>
                <w:szCs w:val="20"/>
                <w:lang w:val="en-GB" w:eastAsia="en-GB"/>
              </w:rPr>
              <w:t>.</w:t>
            </w:r>
            <w:r w:rsidRPr="0035774E">
              <w:rPr>
                <w:rFonts w:ascii="Calibri" w:hAnsi="Calibri" w:cs="Calibri"/>
                <w:color w:val="000000"/>
                <w:sz w:val="20"/>
                <w:szCs w:val="20"/>
                <w:lang w:val="en-GB" w:eastAsia="en-GB"/>
              </w:rPr>
              <w:t>1</w:t>
            </w:r>
          </w:p>
        </w:tc>
      </w:tr>
      <w:tr w:rsidR="0035774E" w:rsidRPr="0035774E" w14:paraId="2FAEC3F5" w14:textId="77777777" w:rsidTr="0035774E">
        <w:trPr>
          <w:trHeight w:val="282"/>
        </w:trPr>
        <w:tc>
          <w:tcPr>
            <w:tcW w:w="1893" w:type="dxa"/>
            <w:tcBorders>
              <w:top w:val="nil"/>
              <w:left w:val="nil"/>
              <w:bottom w:val="nil"/>
              <w:right w:val="nil"/>
            </w:tcBorders>
            <w:shd w:val="clear" w:color="000000" w:fill="FFFFFF"/>
            <w:noWrap/>
            <w:vAlign w:val="bottom"/>
            <w:hideMark/>
          </w:tcPr>
          <w:p w14:paraId="4C960E39" w14:textId="77777777" w:rsidR="0035774E" w:rsidRPr="0035774E" w:rsidRDefault="0035774E" w:rsidP="0035774E">
            <w:pPr>
              <w:rPr>
                <w:rFonts w:ascii="Calibri" w:hAnsi="Calibri" w:cs="Calibri"/>
                <w:b/>
                <w:bCs/>
                <w:color w:val="000000"/>
                <w:sz w:val="20"/>
                <w:szCs w:val="20"/>
                <w:lang w:val="en-GB" w:eastAsia="en-GB"/>
              </w:rPr>
            </w:pPr>
            <w:r w:rsidRPr="0035774E">
              <w:rPr>
                <w:rFonts w:ascii="Calibri" w:hAnsi="Calibri" w:cs="Calibri"/>
                <w:b/>
                <w:bCs/>
                <w:color w:val="000000"/>
                <w:sz w:val="20"/>
                <w:szCs w:val="20"/>
                <w:lang w:val="en-GB" w:eastAsia="en-GB"/>
              </w:rPr>
              <w:t>Government Spending</w:t>
            </w:r>
          </w:p>
        </w:tc>
        <w:tc>
          <w:tcPr>
            <w:tcW w:w="1252" w:type="dxa"/>
            <w:tcBorders>
              <w:top w:val="nil"/>
              <w:left w:val="single" w:sz="4" w:space="0" w:color="auto"/>
              <w:bottom w:val="nil"/>
              <w:right w:val="nil"/>
            </w:tcBorders>
            <w:shd w:val="clear" w:color="000000" w:fill="FFFFFF"/>
            <w:noWrap/>
            <w:vAlign w:val="bottom"/>
            <w:hideMark/>
          </w:tcPr>
          <w:p w14:paraId="33AC7FA4" w14:textId="7795C6E9"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2</w:t>
            </w:r>
            <w:r w:rsidR="00896395">
              <w:rPr>
                <w:rFonts w:ascii="Calibri" w:hAnsi="Calibri" w:cs="Calibri"/>
                <w:color w:val="000000"/>
                <w:sz w:val="20"/>
                <w:szCs w:val="20"/>
                <w:lang w:val="en-GB" w:eastAsia="en-GB"/>
              </w:rPr>
              <w:t>.</w:t>
            </w:r>
            <w:r w:rsidRPr="0035774E">
              <w:rPr>
                <w:rFonts w:ascii="Calibri" w:hAnsi="Calibri" w:cs="Calibri"/>
                <w:color w:val="000000"/>
                <w:sz w:val="20"/>
                <w:szCs w:val="20"/>
                <w:lang w:val="en-GB" w:eastAsia="en-GB"/>
              </w:rPr>
              <w:t>2</w:t>
            </w:r>
          </w:p>
        </w:tc>
        <w:tc>
          <w:tcPr>
            <w:tcW w:w="1828" w:type="dxa"/>
            <w:tcBorders>
              <w:top w:val="nil"/>
              <w:left w:val="nil"/>
              <w:bottom w:val="nil"/>
              <w:right w:val="single" w:sz="4" w:space="0" w:color="auto"/>
            </w:tcBorders>
            <w:shd w:val="clear" w:color="000000" w:fill="FFFFFF"/>
            <w:noWrap/>
            <w:vAlign w:val="bottom"/>
            <w:hideMark/>
          </w:tcPr>
          <w:p w14:paraId="7BA995BC" w14:textId="4BAA3C79"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0</w:t>
            </w:r>
            <w:r w:rsidR="00896395">
              <w:rPr>
                <w:rFonts w:ascii="Calibri" w:hAnsi="Calibri" w:cs="Calibri"/>
                <w:color w:val="000000"/>
                <w:sz w:val="20"/>
                <w:szCs w:val="20"/>
                <w:lang w:val="en-GB" w:eastAsia="en-GB"/>
              </w:rPr>
              <w:t>.</w:t>
            </w:r>
            <w:r w:rsidRPr="0035774E">
              <w:rPr>
                <w:rFonts w:ascii="Calibri" w:hAnsi="Calibri" w:cs="Calibri"/>
                <w:color w:val="000000"/>
                <w:sz w:val="20"/>
                <w:szCs w:val="20"/>
                <w:lang w:val="en-GB" w:eastAsia="en-GB"/>
              </w:rPr>
              <w:t>3</w:t>
            </w:r>
          </w:p>
        </w:tc>
        <w:tc>
          <w:tcPr>
            <w:tcW w:w="1243" w:type="dxa"/>
            <w:tcBorders>
              <w:top w:val="nil"/>
              <w:left w:val="nil"/>
              <w:bottom w:val="nil"/>
              <w:right w:val="nil"/>
            </w:tcBorders>
            <w:shd w:val="clear" w:color="000000" w:fill="FFFFFF"/>
            <w:noWrap/>
            <w:vAlign w:val="bottom"/>
            <w:hideMark/>
          </w:tcPr>
          <w:p w14:paraId="33E2415D" w14:textId="6A64461D"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1</w:t>
            </w:r>
            <w:r w:rsidR="00896395">
              <w:rPr>
                <w:rFonts w:ascii="Calibri" w:hAnsi="Calibri" w:cs="Calibri"/>
                <w:color w:val="000000"/>
                <w:sz w:val="20"/>
                <w:szCs w:val="20"/>
                <w:lang w:val="en-GB" w:eastAsia="en-GB"/>
              </w:rPr>
              <w:t>.</w:t>
            </w:r>
            <w:r w:rsidRPr="0035774E">
              <w:rPr>
                <w:rFonts w:ascii="Calibri" w:hAnsi="Calibri" w:cs="Calibri"/>
                <w:color w:val="000000"/>
                <w:sz w:val="20"/>
                <w:szCs w:val="20"/>
                <w:lang w:val="en-GB" w:eastAsia="en-GB"/>
              </w:rPr>
              <w:t>9</w:t>
            </w:r>
          </w:p>
        </w:tc>
        <w:tc>
          <w:tcPr>
            <w:tcW w:w="1817" w:type="dxa"/>
            <w:tcBorders>
              <w:top w:val="nil"/>
              <w:left w:val="nil"/>
              <w:bottom w:val="nil"/>
              <w:right w:val="nil"/>
            </w:tcBorders>
            <w:shd w:val="clear" w:color="000000" w:fill="FFFFFF"/>
            <w:noWrap/>
            <w:vAlign w:val="bottom"/>
            <w:hideMark/>
          </w:tcPr>
          <w:p w14:paraId="09F24E34" w14:textId="4CBB802B"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0</w:t>
            </w:r>
            <w:r w:rsidR="00896395">
              <w:rPr>
                <w:rFonts w:ascii="Calibri" w:hAnsi="Calibri" w:cs="Calibri"/>
                <w:color w:val="000000"/>
                <w:sz w:val="20"/>
                <w:szCs w:val="20"/>
                <w:lang w:val="en-GB" w:eastAsia="en-GB"/>
              </w:rPr>
              <w:t>.</w:t>
            </w:r>
            <w:r w:rsidRPr="0035774E">
              <w:rPr>
                <w:rFonts w:ascii="Calibri" w:hAnsi="Calibri" w:cs="Calibri"/>
                <w:color w:val="000000"/>
                <w:sz w:val="20"/>
                <w:szCs w:val="20"/>
                <w:lang w:val="en-GB" w:eastAsia="en-GB"/>
              </w:rPr>
              <w:t>3</w:t>
            </w:r>
          </w:p>
        </w:tc>
      </w:tr>
      <w:tr w:rsidR="0035774E" w:rsidRPr="0035774E" w14:paraId="5287C399" w14:textId="77777777" w:rsidTr="0035774E">
        <w:trPr>
          <w:trHeight w:val="282"/>
        </w:trPr>
        <w:tc>
          <w:tcPr>
            <w:tcW w:w="1893" w:type="dxa"/>
            <w:tcBorders>
              <w:top w:val="nil"/>
              <w:left w:val="nil"/>
              <w:bottom w:val="nil"/>
              <w:right w:val="nil"/>
            </w:tcBorders>
            <w:shd w:val="clear" w:color="000000" w:fill="FFFFFF"/>
            <w:noWrap/>
            <w:vAlign w:val="bottom"/>
            <w:hideMark/>
          </w:tcPr>
          <w:p w14:paraId="5EA06824" w14:textId="77777777" w:rsidR="0035774E" w:rsidRPr="0035774E" w:rsidRDefault="0035774E" w:rsidP="0035774E">
            <w:pPr>
              <w:rPr>
                <w:rFonts w:ascii="Calibri" w:hAnsi="Calibri" w:cs="Calibri"/>
                <w:b/>
                <w:bCs/>
                <w:color w:val="000000"/>
                <w:sz w:val="20"/>
                <w:szCs w:val="20"/>
                <w:lang w:val="en-GB" w:eastAsia="en-GB"/>
              </w:rPr>
            </w:pPr>
            <w:r w:rsidRPr="0035774E">
              <w:rPr>
                <w:rFonts w:ascii="Calibri" w:hAnsi="Calibri" w:cs="Calibri"/>
                <w:b/>
                <w:bCs/>
                <w:color w:val="000000"/>
                <w:sz w:val="20"/>
                <w:szCs w:val="20"/>
                <w:lang w:val="en-GB" w:eastAsia="en-GB"/>
              </w:rPr>
              <w:t>Investment</w:t>
            </w:r>
          </w:p>
        </w:tc>
        <w:tc>
          <w:tcPr>
            <w:tcW w:w="1252" w:type="dxa"/>
            <w:tcBorders>
              <w:top w:val="nil"/>
              <w:left w:val="single" w:sz="4" w:space="0" w:color="auto"/>
              <w:bottom w:val="nil"/>
              <w:right w:val="nil"/>
            </w:tcBorders>
            <w:shd w:val="clear" w:color="000000" w:fill="FFFFFF"/>
            <w:noWrap/>
            <w:vAlign w:val="bottom"/>
            <w:hideMark/>
          </w:tcPr>
          <w:p w14:paraId="4AC81A9F" w14:textId="7DC03F98"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-5</w:t>
            </w:r>
            <w:r w:rsidR="00896395">
              <w:rPr>
                <w:rFonts w:ascii="Calibri" w:hAnsi="Calibri" w:cs="Calibri"/>
                <w:color w:val="000000"/>
                <w:sz w:val="20"/>
                <w:szCs w:val="20"/>
                <w:lang w:val="en-GB" w:eastAsia="en-GB"/>
              </w:rPr>
              <w:t>.</w:t>
            </w:r>
            <w:r w:rsidRPr="0035774E">
              <w:rPr>
                <w:rFonts w:ascii="Calibri" w:hAnsi="Calibri" w:cs="Calibri"/>
                <w:color w:val="000000"/>
                <w:sz w:val="20"/>
                <w:szCs w:val="20"/>
                <w:lang w:val="en-GB" w:eastAsia="en-GB"/>
              </w:rPr>
              <w:t>8</w:t>
            </w:r>
          </w:p>
        </w:tc>
        <w:tc>
          <w:tcPr>
            <w:tcW w:w="1828" w:type="dxa"/>
            <w:tcBorders>
              <w:top w:val="nil"/>
              <w:left w:val="nil"/>
              <w:bottom w:val="nil"/>
              <w:right w:val="single" w:sz="4" w:space="0" w:color="auto"/>
            </w:tcBorders>
            <w:shd w:val="clear" w:color="000000" w:fill="FFFFFF"/>
            <w:noWrap/>
            <w:vAlign w:val="bottom"/>
            <w:hideMark/>
          </w:tcPr>
          <w:p w14:paraId="79B23507" w14:textId="6EF8C6FC"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-1</w:t>
            </w:r>
            <w:r w:rsidR="00896395">
              <w:rPr>
                <w:rFonts w:ascii="Calibri" w:hAnsi="Calibri" w:cs="Calibri"/>
                <w:color w:val="000000"/>
                <w:sz w:val="20"/>
                <w:szCs w:val="20"/>
                <w:lang w:val="en-GB" w:eastAsia="en-GB"/>
              </w:rPr>
              <w:t>.</w:t>
            </w:r>
            <w:r w:rsidRPr="0035774E">
              <w:rPr>
                <w:rFonts w:ascii="Calibri" w:hAnsi="Calibri" w:cs="Calibri"/>
                <w:color w:val="000000"/>
                <w:sz w:val="20"/>
                <w:szCs w:val="20"/>
                <w:lang w:val="en-GB" w:eastAsia="en-GB"/>
              </w:rPr>
              <w:t>6</w:t>
            </w:r>
          </w:p>
        </w:tc>
        <w:tc>
          <w:tcPr>
            <w:tcW w:w="1243" w:type="dxa"/>
            <w:tcBorders>
              <w:top w:val="nil"/>
              <w:left w:val="nil"/>
              <w:bottom w:val="nil"/>
              <w:right w:val="nil"/>
            </w:tcBorders>
            <w:shd w:val="clear" w:color="000000" w:fill="FFFFFF"/>
            <w:noWrap/>
            <w:vAlign w:val="bottom"/>
            <w:hideMark/>
          </w:tcPr>
          <w:p w14:paraId="44A943A1" w14:textId="0AD1874B"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-0</w:t>
            </w:r>
            <w:r w:rsidR="00896395">
              <w:rPr>
                <w:rFonts w:ascii="Calibri" w:hAnsi="Calibri" w:cs="Calibri"/>
                <w:color w:val="000000"/>
                <w:sz w:val="20"/>
                <w:szCs w:val="20"/>
                <w:lang w:val="en-GB" w:eastAsia="en-GB"/>
              </w:rPr>
              <w:t>.</w:t>
            </w:r>
            <w:r w:rsidRPr="0035774E">
              <w:rPr>
                <w:rFonts w:ascii="Calibri" w:hAnsi="Calibri" w:cs="Calibri"/>
                <w:color w:val="000000"/>
                <w:sz w:val="20"/>
                <w:szCs w:val="20"/>
                <w:lang w:val="en-GB" w:eastAsia="en-GB"/>
              </w:rPr>
              <w:t>1</w:t>
            </w:r>
          </w:p>
        </w:tc>
        <w:tc>
          <w:tcPr>
            <w:tcW w:w="1817" w:type="dxa"/>
            <w:tcBorders>
              <w:top w:val="nil"/>
              <w:left w:val="nil"/>
              <w:bottom w:val="nil"/>
              <w:right w:val="nil"/>
            </w:tcBorders>
            <w:shd w:val="clear" w:color="000000" w:fill="FFFFFF"/>
            <w:noWrap/>
            <w:vAlign w:val="bottom"/>
            <w:hideMark/>
          </w:tcPr>
          <w:p w14:paraId="2C945B85" w14:textId="6666F3DF"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0</w:t>
            </w:r>
            <w:r w:rsidR="00896395">
              <w:rPr>
                <w:rFonts w:ascii="Calibri" w:hAnsi="Calibri" w:cs="Calibri"/>
                <w:color w:val="000000"/>
                <w:sz w:val="20"/>
                <w:szCs w:val="20"/>
                <w:lang w:val="en-GB" w:eastAsia="en-GB"/>
              </w:rPr>
              <w:t>.</w:t>
            </w:r>
            <w:r w:rsidRPr="0035774E">
              <w:rPr>
                <w:rFonts w:ascii="Calibri" w:hAnsi="Calibri" w:cs="Calibri"/>
                <w:color w:val="000000"/>
                <w:sz w:val="20"/>
                <w:szCs w:val="20"/>
                <w:lang w:val="en-GB" w:eastAsia="en-GB"/>
              </w:rPr>
              <w:t>0</w:t>
            </w:r>
          </w:p>
        </w:tc>
      </w:tr>
      <w:tr w:rsidR="0035774E" w:rsidRPr="0035774E" w14:paraId="458D6294" w14:textId="77777777" w:rsidTr="0035774E">
        <w:trPr>
          <w:trHeight w:val="282"/>
        </w:trPr>
        <w:tc>
          <w:tcPr>
            <w:tcW w:w="1893" w:type="dxa"/>
            <w:tcBorders>
              <w:top w:val="nil"/>
              <w:left w:val="nil"/>
              <w:bottom w:val="nil"/>
              <w:right w:val="nil"/>
            </w:tcBorders>
            <w:shd w:val="clear" w:color="000000" w:fill="FFFFFF"/>
            <w:noWrap/>
            <w:vAlign w:val="bottom"/>
            <w:hideMark/>
          </w:tcPr>
          <w:p w14:paraId="3D67ACF5" w14:textId="77777777" w:rsidR="0035774E" w:rsidRPr="0035774E" w:rsidRDefault="0035774E" w:rsidP="0035774E">
            <w:pPr>
              <w:rPr>
                <w:rFonts w:ascii="Calibri" w:hAnsi="Calibri" w:cs="Calibri"/>
                <w:b/>
                <w:bCs/>
                <w:color w:val="000000"/>
                <w:sz w:val="20"/>
                <w:szCs w:val="20"/>
                <w:lang w:val="en-GB" w:eastAsia="en-GB"/>
              </w:rPr>
            </w:pPr>
            <w:r w:rsidRPr="0035774E">
              <w:rPr>
                <w:rFonts w:ascii="Calibri" w:hAnsi="Calibri" w:cs="Calibri"/>
                <w:b/>
                <w:bCs/>
                <w:color w:val="000000"/>
                <w:sz w:val="20"/>
                <w:szCs w:val="20"/>
                <w:lang w:val="en-GB" w:eastAsia="en-GB"/>
              </w:rPr>
              <w:t>Change in Stock</w:t>
            </w:r>
          </w:p>
        </w:tc>
        <w:tc>
          <w:tcPr>
            <w:tcW w:w="1252" w:type="dxa"/>
            <w:tcBorders>
              <w:top w:val="nil"/>
              <w:left w:val="single" w:sz="4" w:space="0" w:color="auto"/>
              <w:bottom w:val="nil"/>
              <w:right w:val="nil"/>
            </w:tcBorders>
            <w:shd w:val="clear" w:color="000000" w:fill="FFFFFF"/>
            <w:noWrap/>
            <w:vAlign w:val="bottom"/>
            <w:hideMark/>
          </w:tcPr>
          <w:p w14:paraId="4D630DD1" w14:textId="77777777"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 </w:t>
            </w:r>
          </w:p>
        </w:tc>
        <w:tc>
          <w:tcPr>
            <w:tcW w:w="1828" w:type="dxa"/>
            <w:tcBorders>
              <w:top w:val="nil"/>
              <w:left w:val="nil"/>
              <w:bottom w:val="nil"/>
              <w:right w:val="single" w:sz="4" w:space="0" w:color="auto"/>
            </w:tcBorders>
            <w:shd w:val="clear" w:color="000000" w:fill="FFFFFF"/>
            <w:noWrap/>
            <w:vAlign w:val="bottom"/>
            <w:hideMark/>
          </w:tcPr>
          <w:p w14:paraId="6C15EA75" w14:textId="11A5B576"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0</w:t>
            </w:r>
            <w:r w:rsidR="00896395">
              <w:rPr>
                <w:rFonts w:ascii="Calibri" w:hAnsi="Calibri" w:cs="Calibri"/>
                <w:color w:val="000000"/>
                <w:sz w:val="20"/>
                <w:szCs w:val="20"/>
                <w:lang w:val="en-GB" w:eastAsia="en-GB"/>
              </w:rPr>
              <w:t>.</w:t>
            </w:r>
            <w:r w:rsidRPr="0035774E">
              <w:rPr>
                <w:rFonts w:ascii="Calibri" w:hAnsi="Calibri" w:cs="Calibri"/>
                <w:color w:val="000000"/>
                <w:sz w:val="20"/>
                <w:szCs w:val="20"/>
                <w:lang w:val="en-GB" w:eastAsia="en-GB"/>
              </w:rPr>
              <w:t>3</w:t>
            </w:r>
          </w:p>
        </w:tc>
        <w:tc>
          <w:tcPr>
            <w:tcW w:w="1243" w:type="dxa"/>
            <w:tcBorders>
              <w:top w:val="nil"/>
              <w:left w:val="nil"/>
              <w:bottom w:val="nil"/>
              <w:right w:val="nil"/>
            </w:tcBorders>
            <w:shd w:val="clear" w:color="000000" w:fill="FFFFFF"/>
            <w:noWrap/>
            <w:vAlign w:val="bottom"/>
            <w:hideMark/>
          </w:tcPr>
          <w:p w14:paraId="1FD07B0C" w14:textId="77777777"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 </w:t>
            </w:r>
          </w:p>
        </w:tc>
        <w:tc>
          <w:tcPr>
            <w:tcW w:w="1817" w:type="dxa"/>
            <w:tcBorders>
              <w:top w:val="nil"/>
              <w:left w:val="nil"/>
              <w:bottom w:val="nil"/>
              <w:right w:val="nil"/>
            </w:tcBorders>
            <w:shd w:val="clear" w:color="000000" w:fill="FFFFFF"/>
            <w:noWrap/>
            <w:vAlign w:val="bottom"/>
            <w:hideMark/>
          </w:tcPr>
          <w:p w14:paraId="1C0D4E9B" w14:textId="34E75315"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0</w:t>
            </w:r>
            <w:r w:rsidR="00896395">
              <w:rPr>
                <w:rFonts w:ascii="Calibri" w:hAnsi="Calibri" w:cs="Calibri"/>
                <w:color w:val="000000"/>
                <w:sz w:val="20"/>
                <w:szCs w:val="20"/>
                <w:lang w:val="en-GB" w:eastAsia="en-GB"/>
              </w:rPr>
              <w:t>.</w:t>
            </w:r>
            <w:r w:rsidRPr="0035774E">
              <w:rPr>
                <w:rFonts w:ascii="Calibri" w:hAnsi="Calibri" w:cs="Calibri"/>
                <w:color w:val="000000"/>
                <w:sz w:val="20"/>
                <w:szCs w:val="20"/>
                <w:lang w:val="en-GB" w:eastAsia="en-GB"/>
              </w:rPr>
              <w:t>2</w:t>
            </w:r>
          </w:p>
        </w:tc>
      </w:tr>
      <w:tr w:rsidR="0035774E" w:rsidRPr="0035774E" w14:paraId="3B6F765B" w14:textId="77777777" w:rsidTr="0035774E">
        <w:trPr>
          <w:trHeight w:val="282"/>
        </w:trPr>
        <w:tc>
          <w:tcPr>
            <w:tcW w:w="1893" w:type="dxa"/>
            <w:tcBorders>
              <w:top w:val="nil"/>
              <w:left w:val="nil"/>
              <w:bottom w:val="nil"/>
              <w:right w:val="nil"/>
            </w:tcBorders>
            <w:shd w:val="clear" w:color="000000" w:fill="FFFFFF"/>
            <w:noWrap/>
            <w:vAlign w:val="bottom"/>
            <w:hideMark/>
          </w:tcPr>
          <w:p w14:paraId="5C0BB289" w14:textId="77777777" w:rsidR="0035774E" w:rsidRPr="0035774E" w:rsidRDefault="0035774E" w:rsidP="0035774E">
            <w:pPr>
              <w:rPr>
                <w:rFonts w:ascii="Calibri" w:hAnsi="Calibri" w:cs="Calibri"/>
                <w:b/>
                <w:bCs/>
                <w:color w:val="000000"/>
                <w:sz w:val="20"/>
                <w:szCs w:val="20"/>
                <w:lang w:val="en-GB" w:eastAsia="en-GB"/>
              </w:rPr>
            </w:pPr>
            <w:r w:rsidRPr="0035774E">
              <w:rPr>
                <w:rFonts w:ascii="Calibri" w:hAnsi="Calibri" w:cs="Calibri"/>
                <w:b/>
                <w:bCs/>
                <w:color w:val="000000"/>
                <w:sz w:val="20"/>
                <w:szCs w:val="20"/>
                <w:lang w:val="en-GB" w:eastAsia="en-GB"/>
              </w:rPr>
              <w:t>Export</w:t>
            </w:r>
          </w:p>
        </w:tc>
        <w:tc>
          <w:tcPr>
            <w:tcW w:w="1252" w:type="dxa"/>
            <w:tcBorders>
              <w:top w:val="nil"/>
              <w:left w:val="single" w:sz="4" w:space="0" w:color="auto"/>
              <w:bottom w:val="nil"/>
              <w:right w:val="nil"/>
            </w:tcBorders>
            <w:shd w:val="clear" w:color="000000" w:fill="FFFFFF"/>
            <w:noWrap/>
            <w:vAlign w:val="bottom"/>
            <w:hideMark/>
          </w:tcPr>
          <w:p w14:paraId="47CD2BC1" w14:textId="0B0F250B"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5</w:t>
            </w:r>
            <w:r w:rsidR="00896395">
              <w:rPr>
                <w:rFonts w:ascii="Calibri" w:hAnsi="Calibri" w:cs="Calibri"/>
                <w:color w:val="000000"/>
                <w:sz w:val="20"/>
                <w:szCs w:val="20"/>
                <w:lang w:val="en-GB" w:eastAsia="en-GB"/>
              </w:rPr>
              <w:t>.</w:t>
            </w:r>
            <w:r w:rsidRPr="0035774E">
              <w:rPr>
                <w:rFonts w:ascii="Calibri" w:hAnsi="Calibri" w:cs="Calibri"/>
                <w:color w:val="000000"/>
                <w:sz w:val="20"/>
                <w:szCs w:val="20"/>
                <w:lang w:val="en-GB" w:eastAsia="en-GB"/>
              </w:rPr>
              <w:t>0</w:t>
            </w:r>
          </w:p>
        </w:tc>
        <w:tc>
          <w:tcPr>
            <w:tcW w:w="1828" w:type="dxa"/>
            <w:tcBorders>
              <w:top w:val="nil"/>
              <w:left w:val="nil"/>
              <w:bottom w:val="nil"/>
              <w:right w:val="single" w:sz="4" w:space="0" w:color="auto"/>
            </w:tcBorders>
            <w:shd w:val="clear" w:color="000000" w:fill="FFFFFF"/>
            <w:noWrap/>
            <w:vAlign w:val="bottom"/>
            <w:hideMark/>
          </w:tcPr>
          <w:p w14:paraId="251459DD" w14:textId="06F18A74"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1</w:t>
            </w:r>
            <w:r w:rsidR="00896395">
              <w:rPr>
                <w:rFonts w:ascii="Calibri" w:hAnsi="Calibri" w:cs="Calibri"/>
                <w:color w:val="000000"/>
                <w:sz w:val="20"/>
                <w:szCs w:val="20"/>
                <w:lang w:val="en-GB" w:eastAsia="en-GB"/>
              </w:rPr>
              <w:t>.</w:t>
            </w:r>
            <w:r w:rsidRPr="0035774E">
              <w:rPr>
                <w:rFonts w:ascii="Calibri" w:hAnsi="Calibri" w:cs="Calibri"/>
                <w:color w:val="000000"/>
                <w:sz w:val="20"/>
                <w:szCs w:val="20"/>
                <w:lang w:val="en-GB" w:eastAsia="en-GB"/>
              </w:rPr>
              <w:t>5</w:t>
            </w:r>
          </w:p>
        </w:tc>
        <w:tc>
          <w:tcPr>
            <w:tcW w:w="1243" w:type="dxa"/>
            <w:tcBorders>
              <w:top w:val="nil"/>
              <w:left w:val="nil"/>
              <w:bottom w:val="nil"/>
              <w:right w:val="nil"/>
            </w:tcBorders>
            <w:shd w:val="clear" w:color="000000" w:fill="FFFFFF"/>
            <w:noWrap/>
            <w:vAlign w:val="bottom"/>
            <w:hideMark/>
          </w:tcPr>
          <w:p w14:paraId="18C84975" w14:textId="2A584752"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5</w:t>
            </w:r>
            <w:r w:rsidR="00896395">
              <w:rPr>
                <w:rFonts w:ascii="Calibri" w:hAnsi="Calibri" w:cs="Calibri"/>
                <w:color w:val="000000"/>
                <w:sz w:val="20"/>
                <w:szCs w:val="20"/>
                <w:lang w:val="en-GB" w:eastAsia="en-GB"/>
              </w:rPr>
              <w:t>.</w:t>
            </w:r>
            <w:r w:rsidRPr="0035774E">
              <w:rPr>
                <w:rFonts w:ascii="Calibri" w:hAnsi="Calibri" w:cs="Calibri"/>
                <w:color w:val="000000"/>
                <w:sz w:val="20"/>
                <w:szCs w:val="20"/>
                <w:lang w:val="en-GB" w:eastAsia="en-GB"/>
              </w:rPr>
              <w:t>5</w:t>
            </w:r>
          </w:p>
        </w:tc>
        <w:tc>
          <w:tcPr>
            <w:tcW w:w="1817" w:type="dxa"/>
            <w:tcBorders>
              <w:top w:val="nil"/>
              <w:left w:val="nil"/>
              <w:bottom w:val="nil"/>
              <w:right w:val="nil"/>
            </w:tcBorders>
            <w:shd w:val="clear" w:color="000000" w:fill="FFFFFF"/>
            <w:noWrap/>
            <w:vAlign w:val="bottom"/>
            <w:hideMark/>
          </w:tcPr>
          <w:p w14:paraId="56B6BCA2" w14:textId="0FD50EF6"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1</w:t>
            </w:r>
            <w:r w:rsidR="00896395">
              <w:rPr>
                <w:rFonts w:ascii="Calibri" w:hAnsi="Calibri" w:cs="Calibri"/>
                <w:color w:val="000000"/>
                <w:sz w:val="20"/>
                <w:szCs w:val="20"/>
                <w:lang w:val="en-GB" w:eastAsia="en-GB"/>
              </w:rPr>
              <w:t>.</w:t>
            </w:r>
            <w:r w:rsidRPr="0035774E">
              <w:rPr>
                <w:rFonts w:ascii="Calibri" w:hAnsi="Calibri" w:cs="Calibri"/>
                <w:color w:val="000000"/>
                <w:sz w:val="20"/>
                <w:szCs w:val="20"/>
                <w:lang w:val="en-GB" w:eastAsia="en-GB"/>
              </w:rPr>
              <w:t>7</w:t>
            </w:r>
          </w:p>
        </w:tc>
      </w:tr>
      <w:tr w:rsidR="0035774E" w:rsidRPr="0035774E" w14:paraId="0B6E4976" w14:textId="77777777" w:rsidTr="0035774E">
        <w:trPr>
          <w:trHeight w:val="282"/>
        </w:trPr>
        <w:tc>
          <w:tcPr>
            <w:tcW w:w="1893" w:type="dxa"/>
            <w:tcBorders>
              <w:top w:val="nil"/>
              <w:left w:val="nil"/>
              <w:bottom w:val="nil"/>
              <w:right w:val="nil"/>
            </w:tcBorders>
            <w:shd w:val="clear" w:color="000000" w:fill="FFFFFF"/>
            <w:noWrap/>
            <w:vAlign w:val="bottom"/>
            <w:hideMark/>
          </w:tcPr>
          <w:p w14:paraId="3E1C634A" w14:textId="77777777" w:rsidR="0035774E" w:rsidRPr="0035774E" w:rsidRDefault="0035774E" w:rsidP="0035774E">
            <w:pPr>
              <w:rPr>
                <w:rFonts w:ascii="Calibri" w:hAnsi="Calibri" w:cs="Calibri"/>
                <w:b/>
                <w:bCs/>
                <w:color w:val="000000"/>
                <w:sz w:val="20"/>
                <w:szCs w:val="20"/>
                <w:lang w:val="en-GB" w:eastAsia="en-GB"/>
              </w:rPr>
            </w:pPr>
            <w:r w:rsidRPr="0035774E">
              <w:rPr>
                <w:rFonts w:ascii="Calibri" w:hAnsi="Calibri" w:cs="Calibri"/>
                <w:b/>
                <w:bCs/>
                <w:color w:val="000000"/>
                <w:sz w:val="20"/>
                <w:szCs w:val="20"/>
                <w:lang w:val="en-GB" w:eastAsia="en-GB"/>
              </w:rPr>
              <w:t>Import</w:t>
            </w:r>
          </w:p>
        </w:tc>
        <w:tc>
          <w:tcPr>
            <w:tcW w:w="1252" w:type="dxa"/>
            <w:tcBorders>
              <w:top w:val="nil"/>
              <w:left w:val="single" w:sz="4" w:space="0" w:color="auto"/>
              <w:bottom w:val="nil"/>
              <w:right w:val="nil"/>
            </w:tcBorders>
            <w:shd w:val="clear" w:color="000000" w:fill="FFFFFF"/>
            <w:noWrap/>
            <w:vAlign w:val="bottom"/>
            <w:hideMark/>
          </w:tcPr>
          <w:p w14:paraId="6219ECBE" w14:textId="0468AFEB"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5</w:t>
            </w:r>
            <w:r w:rsidR="00896395">
              <w:rPr>
                <w:rFonts w:ascii="Calibri" w:hAnsi="Calibri" w:cs="Calibri"/>
                <w:color w:val="000000"/>
                <w:sz w:val="20"/>
                <w:szCs w:val="20"/>
                <w:lang w:val="en-GB" w:eastAsia="en-GB"/>
              </w:rPr>
              <w:t>.</w:t>
            </w:r>
            <w:r w:rsidRPr="0035774E">
              <w:rPr>
                <w:rFonts w:ascii="Calibri" w:hAnsi="Calibri" w:cs="Calibri"/>
                <w:color w:val="000000"/>
                <w:sz w:val="20"/>
                <w:szCs w:val="20"/>
                <w:lang w:val="en-GB" w:eastAsia="en-GB"/>
              </w:rPr>
              <w:t>6</w:t>
            </w:r>
          </w:p>
        </w:tc>
        <w:tc>
          <w:tcPr>
            <w:tcW w:w="1828" w:type="dxa"/>
            <w:tcBorders>
              <w:top w:val="nil"/>
              <w:left w:val="nil"/>
              <w:bottom w:val="nil"/>
              <w:right w:val="single" w:sz="4" w:space="0" w:color="auto"/>
            </w:tcBorders>
            <w:shd w:val="clear" w:color="000000" w:fill="FFFFFF"/>
            <w:noWrap/>
            <w:vAlign w:val="bottom"/>
            <w:hideMark/>
          </w:tcPr>
          <w:p w14:paraId="179C0D38" w14:textId="69B2B41F"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-1</w:t>
            </w:r>
            <w:r w:rsidR="00896395">
              <w:rPr>
                <w:rFonts w:ascii="Calibri" w:hAnsi="Calibri" w:cs="Calibri"/>
                <w:color w:val="000000"/>
                <w:sz w:val="20"/>
                <w:szCs w:val="20"/>
                <w:lang w:val="en-GB" w:eastAsia="en-GB"/>
              </w:rPr>
              <w:t>.</w:t>
            </w:r>
            <w:r w:rsidRPr="0035774E">
              <w:rPr>
                <w:rFonts w:ascii="Calibri" w:hAnsi="Calibri" w:cs="Calibri"/>
                <w:color w:val="000000"/>
                <w:sz w:val="20"/>
                <w:szCs w:val="20"/>
                <w:lang w:val="en-GB" w:eastAsia="en-GB"/>
              </w:rPr>
              <w:t>4</w:t>
            </w:r>
          </w:p>
        </w:tc>
        <w:tc>
          <w:tcPr>
            <w:tcW w:w="1243" w:type="dxa"/>
            <w:tcBorders>
              <w:top w:val="nil"/>
              <w:left w:val="nil"/>
              <w:bottom w:val="nil"/>
              <w:right w:val="nil"/>
            </w:tcBorders>
            <w:shd w:val="clear" w:color="000000" w:fill="FFFFFF"/>
            <w:noWrap/>
            <w:vAlign w:val="bottom"/>
            <w:hideMark/>
          </w:tcPr>
          <w:p w14:paraId="58B3C8CD" w14:textId="448CCAAF"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10</w:t>
            </w:r>
            <w:r w:rsidR="00896395">
              <w:rPr>
                <w:rFonts w:ascii="Calibri" w:hAnsi="Calibri" w:cs="Calibri"/>
                <w:color w:val="000000"/>
                <w:sz w:val="20"/>
                <w:szCs w:val="20"/>
                <w:lang w:val="en-GB" w:eastAsia="en-GB"/>
              </w:rPr>
              <w:t>.</w:t>
            </w:r>
            <w:r w:rsidRPr="0035774E">
              <w:rPr>
                <w:rFonts w:ascii="Calibri" w:hAnsi="Calibri" w:cs="Calibri"/>
                <w:color w:val="000000"/>
                <w:sz w:val="20"/>
                <w:szCs w:val="20"/>
                <w:lang w:val="en-GB" w:eastAsia="en-GB"/>
              </w:rPr>
              <w:t>5</w:t>
            </w:r>
          </w:p>
        </w:tc>
        <w:tc>
          <w:tcPr>
            <w:tcW w:w="1817" w:type="dxa"/>
            <w:tcBorders>
              <w:top w:val="nil"/>
              <w:left w:val="nil"/>
              <w:bottom w:val="nil"/>
              <w:right w:val="nil"/>
            </w:tcBorders>
            <w:shd w:val="clear" w:color="000000" w:fill="FFFFFF"/>
            <w:noWrap/>
            <w:vAlign w:val="bottom"/>
            <w:hideMark/>
          </w:tcPr>
          <w:p w14:paraId="042B47CE" w14:textId="3C3DD2AB"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-2</w:t>
            </w:r>
            <w:r w:rsidR="00896395">
              <w:rPr>
                <w:rFonts w:ascii="Calibri" w:hAnsi="Calibri" w:cs="Calibri"/>
                <w:color w:val="000000"/>
                <w:sz w:val="20"/>
                <w:szCs w:val="20"/>
                <w:lang w:val="en-GB" w:eastAsia="en-GB"/>
              </w:rPr>
              <w:t>.</w:t>
            </w:r>
            <w:r w:rsidRPr="0035774E">
              <w:rPr>
                <w:rFonts w:ascii="Calibri" w:hAnsi="Calibri" w:cs="Calibri"/>
                <w:color w:val="000000"/>
                <w:sz w:val="20"/>
                <w:szCs w:val="20"/>
                <w:lang w:val="en-GB" w:eastAsia="en-GB"/>
              </w:rPr>
              <w:t>9</w:t>
            </w:r>
          </w:p>
        </w:tc>
      </w:tr>
      <w:tr w:rsidR="0035774E" w:rsidRPr="0035774E" w14:paraId="47803C20" w14:textId="77777777" w:rsidTr="0035774E">
        <w:trPr>
          <w:trHeight w:val="315"/>
        </w:trPr>
        <w:tc>
          <w:tcPr>
            <w:tcW w:w="1893" w:type="dxa"/>
            <w:tcBorders>
              <w:top w:val="nil"/>
              <w:left w:val="nil"/>
              <w:bottom w:val="double" w:sz="6" w:space="0" w:color="auto"/>
              <w:right w:val="nil"/>
            </w:tcBorders>
            <w:shd w:val="clear" w:color="000000" w:fill="FFFFFF"/>
            <w:noWrap/>
            <w:vAlign w:val="bottom"/>
            <w:hideMark/>
          </w:tcPr>
          <w:p w14:paraId="2104DA02" w14:textId="77777777" w:rsidR="0035774E" w:rsidRPr="0035774E" w:rsidRDefault="0035774E" w:rsidP="0035774E">
            <w:pPr>
              <w:rPr>
                <w:rFonts w:ascii="Calibri" w:hAnsi="Calibri" w:cs="Calibri"/>
                <w:b/>
                <w:bCs/>
                <w:color w:val="000000"/>
                <w:sz w:val="20"/>
                <w:szCs w:val="20"/>
                <w:lang w:val="en-GB" w:eastAsia="en-GB"/>
              </w:rPr>
            </w:pPr>
            <w:r w:rsidRPr="0035774E">
              <w:rPr>
                <w:rFonts w:ascii="Calibri" w:hAnsi="Calibri" w:cs="Calibri"/>
                <w:b/>
                <w:bCs/>
                <w:color w:val="000000"/>
                <w:sz w:val="20"/>
                <w:szCs w:val="20"/>
                <w:lang w:val="en-GB" w:eastAsia="en-GB"/>
              </w:rPr>
              <w:t>GDP</w:t>
            </w:r>
          </w:p>
        </w:tc>
        <w:tc>
          <w:tcPr>
            <w:tcW w:w="1252" w:type="dxa"/>
            <w:tcBorders>
              <w:top w:val="nil"/>
              <w:left w:val="single" w:sz="4" w:space="0" w:color="auto"/>
              <w:bottom w:val="double" w:sz="6" w:space="0" w:color="auto"/>
              <w:right w:val="nil"/>
            </w:tcBorders>
            <w:shd w:val="clear" w:color="000000" w:fill="FFFFFF"/>
            <w:noWrap/>
            <w:vAlign w:val="bottom"/>
            <w:hideMark/>
          </w:tcPr>
          <w:p w14:paraId="522C43A9" w14:textId="49B8E870"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1</w:t>
            </w:r>
            <w:r w:rsidR="00896395">
              <w:rPr>
                <w:rFonts w:ascii="Calibri" w:hAnsi="Calibri" w:cs="Calibri"/>
                <w:color w:val="000000"/>
                <w:sz w:val="20"/>
                <w:szCs w:val="20"/>
                <w:lang w:val="en-GB" w:eastAsia="en-GB"/>
              </w:rPr>
              <w:t>.</w:t>
            </w:r>
            <w:r w:rsidRPr="0035774E">
              <w:rPr>
                <w:rFonts w:ascii="Calibri" w:hAnsi="Calibri" w:cs="Calibri"/>
                <w:color w:val="000000"/>
                <w:sz w:val="20"/>
                <w:szCs w:val="20"/>
                <w:lang w:val="en-GB" w:eastAsia="en-GB"/>
              </w:rPr>
              <w:t>0</w:t>
            </w:r>
          </w:p>
        </w:tc>
        <w:tc>
          <w:tcPr>
            <w:tcW w:w="1828" w:type="dxa"/>
            <w:tcBorders>
              <w:top w:val="nil"/>
              <w:left w:val="nil"/>
              <w:bottom w:val="double" w:sz="6" w:space="0" w:color="auto"/>
              <w:right w:val="single" w:sz="4" w:space="0" w:color="auto"/>
            </w:tcBorders>
            <w:shd w:val="clear" w:color="000000" w:fill="FFFFFF"/>
            <w:noWrap/>
            <w:vAlign w:val="bottom"/>
            <w:hideMark/>
          </w:tcPr>
          <w:p w14:paraId="072C886F" w14:textId="77777777"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 </w:t>
            </w:r>
          </w:p>
        </w:tc>
        <w:tc>
          <w:tcPr>
            <w:tcW w:w="1243" w:type="dxa"/>
            <w:tcBorders>
              <w:top w:val="nil"/>
              <w:left w:val="nil"/>
              <w:bottom w:val="double" w:sz="6" w:space="0" w:color="auto"/>
              <w:right w:val="nil"/>
            </w:tcBorders>
            <w:shd w:val="clear" w:color="000000" w:fill="FFFFFF"/>
            <w:noWrap/>
            <w:vAlign w:val="bottom"/>
            <w:hideMark/>
          </w:tcPr>
          <w:p w14:paraId="527ABC3A" w14:textId="5BA2E978"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0</w:t>
            </w:r>
            <w:r w:rsidR="00896395">
              <w:rPr>
                <w:rFonts w:ascii="Calibri" w:hAnsi="Calibri" w:cs="Calibri"/>
                <w:color w:val="000000"/>
                <w:sz w:val="20"/>
                <w:szCs w:val="20"/>
                <w:lang w:val="en-GB" w:eastAsia="en-GB"/>
              </w:rPr>
              <w:t>.</w:t>
            </w:r>
            <w:r w:rsidRPr="0035774E">
              <w:rPr>
                <w:rFonts w:ascii="Calibri" w:hAnsi="Calibri" w:cs="Calibri"/>
                <w:color w:val="000000"/>
                <w:sz w:val="20"/>
                <w:szCs w:val="20"/>
                <w:lang w:val="en-GB" w:eastAsia="en-GB"/>
              </w:rPr>
              <w:t>4</w:t>
            </w:r>
          </w:p>
        </w:tc>
        <w:tc>
          <w:tcPr>
            <w:tcW w:w="1817" w:type="dxa"/>
            <w:tcBorders>
              <w:top w:val="nil"/>
              <w:left w:val="nil"/>
              <w:bottom w:val="double" w:sz="6" w:space="0" w:color="auto"/>
              <w:right w:val="nil"/>
            </w:tcBorders>
            <w:shd w:val="clear" w:color="000000" w:fill="FFFFFF"/>
            <w:noWrap/>
            <w:vAlign w:val="bottom"/>
            <w:hideMark/>
          </w:tcPr>
          <w:p w14:paraId="4993D5DC" w14:textId="77777777" w:rsidR="0035774E" w:rsidRPr="0035774E" w:rsidRDefault="0035774E" w:rsidP="0035774E">
            <w:pPr>
              <w:jc w:val="center"/>
              <w:rPr>
                <w:rFonts w:ascii="Calibri" w:hAnsi="Calibri" w:cs="Calibri"/>
                <w:color w:val="000000"/>
                <w:sz w:val="20"/>
                <w:szCs w:val="20"/>
                <w:lang w:val="en-GB" w:eastAsia="en-GB"/>
              </w:rPr>
            </w:pPr>
            <w:r w:rsidRPr="0035774E">
              <w:rPr>
                <w:rFonts w:ascii="Calibri" w:hAnsi="Calibri" w:cs="Calibri"/>
                <w:color w:val="000000"/>
                <w:sz w:val="20"/>
                <w:szCs w:val="20"/>
                <w:lang w:val="en-GB" w:eastAsia="en-GB"/>
              </w:rPr>
              <w:t> </w:t>
            </w:r>
          </w:p>
        </w:tc>
      </w:tr>
    </w:tbl>
    <w:p w14:paraId="2078FB9B" w14:textId="39498977" w:rsidR="007539A6" w:rsidRDefault="00BF4E41" w:rsidP="007539A6">
      <w:pPr>
        <w:pStyle w:val="NormalWeb"/>
        <w:spacing w:before="0" w:beforeAutospacing="0" w:after="0" w:afterAutospacing="0" w:line="360" w:lineRule="auto"/>
        <w:ind w:right="77"/>
        <w:rPr>
          <w:rFonts w:ascii="Palatino Linotype" w:hAnsi="Palatino Linotype" w:cstheme="minorHAnsi"/>
          <w:sz w:val="18"/>
          <w:szCs w:val="18"/>
        </w:rPr>
      </w:pPr>
      <w:r>
        <w:rPr>
          <w:rFonts w:ascii="Palatino Linotype" w:hAnsi="Palatino Linotype" w:cstheme="minorHAnsi"/>
          <w:b/>
          <w:sz w:val="18"/>
          <w:szCs w:val="18"/>
        </w:rPr>
        <w:t xml:space="preserve"> </w:t>
      </w:r>
      <w:r w:rsidR="007539A6">
        <w:rPr>
          <w:rFonts w:ascii="Palatino Linotype" w:hAnsi="Palatino Linotype" w:cstheme="minorHAnsi"/>
          <w:b/>
          <w:sz w:val="18"/>
          <w:szCs w:val="18"/>
        </w:rPr>
        <w:t>So</w:t>
      </w:r>
      <w:r w:rsidR="007539A6" w:rsidRPr="00236056">
        <w:rPr>
          <w:rFonts w:ascii="Palatino Linotype" w:hAnsi="Palatino Linotype" w:cstheme="minorHAnsi"/>
          <w:b/>
          <w:sz w:val="18"/>
          <w:szCs w:val="18"/>
        </w:rPr>
        <w:t>urce:</w:t>
      </w:r>
      <w:r w:rsidR="007539A6">
        <w:rPr>
          <w:rFonts w:ascii="Palatino Linotype" w:hAnsi="Palatino Linotype" w:cstheme="minorHAnsi"/>
          <w:sz w:val="18"/>
          <w:szCs w:val="18"/>
        </w:rPr>
        <w:t xml:space="preserve"> </w:t>
      </w:r>
      <w:proofErr w:type="spellStart"/>
      <w:r w:rsidR="007539A6">
        <w:rPr>
          <w:rFonts w:ascii="Palatino Linotype" w:hAnsi="Palatino Linotype" w:cstheme="minorHAnsi"/>
          <w:sz w:val="18"/>
          <w:szCs w:val="18"/>
        </w:rPr>
        <w:t>TurkStat</w:t>
      </w:r>
      <w:proofErr w:type="spellEnd"/>
      <w:r w:rsidR="007539A6">
        <w:rPr>
          <w:rFonts w:ascii="Palatino Linotype" w:hAnsi="Palatino Linotype" w:cstheme="minorHAnsi"/>
          <w:sz w:val="18"/>
          <w:szCs w:val="18"/>
        </w:rPr>
        <w:t xml:space="preserve">, </w:t>
      </w:r>
      <w:proofErr w:type="spellStart"/>
      <w:r w:rsidR="007539A6">
        <w:rPr>
          <w:rFonts w:ascii="Palatino Linotype" w:hAnsi="Palatino Linotype" w:cstheme="minorHAnsi"/>
          <w:sz w:val="18"/>
          <w:szCs w:val="18"/>
        </w:rPr>
        <w:t>Betam</w:t>
      </w:r>
      <w:proofErr w:type="spellEnd"/>
    </w:p>
    <w:p w14:paraId="0BB1056F" w14:textId="29B5B49D" w:rsidR="00A87ED9" w:rsidRPr="00A87ED9" w:rsidRDefault="002F6884" w:rsidP="000D63E2">
      <w:pPr>
        <w:pStyle w:val="NormalWeb"/>
        <w:spacing w:before="0" w:beforeAutospacing="0" w:after="120" w:afterAutospacing="0" w:line="360" w:lineRule="auto"/>
        <w:ind w:right="79"/>
        <w:rPr>
          <w:rFonts w:ascii="Palatino Linotype" w:hAnsi="Palatino Linotype" w:cstheme="minorHAnsi"/>
          <w:b/>
          <w:sz w:val="22"/>
          <w:szCs w:val="22"/>
        </w:rPr>
      </w:pPr>
      <w:r>
        <w:rPr>
          <w:rFonts w:ascii="Palatino Linotype" w:hAnsi="Palatino Linotype" w:cstheme="minorHAnsi"/>
          <w:sz w:val="18"/>
          <w:szCs w:val="18"/>
        </w:rPr>
        <w:br/>
      </w:r>
      <w:r w:rsidR="003A503D">
        <w:rPr>
          <w:rFonts w:ascii="Palatino Linotype" w:hAnsi="Palatino Linotype" w:cstheme="minorHAnsi"/>
          <w:b/>
          <w:sz w:val="22"/>
          <w:szCs w:val="22"/>
        </w:rPr>
        <w:t>The s</w:t>
      </w:r>
      <w:r w:rsidR="008E3A9A">
        <w:rPr>
          <w:rFonts w:ascii="Palatino Linotype" w:hAnsi="Palatino Linotype" w:cstheme="minorHAnsi"/>
          <w:b/>
          <w:sz w:val="22"/>
          <w:szCs w:val="22"/>
        </w:rPr>
        <w:t>lowdown in i</w:t>
      </w:r>
      <w:r w:rsidR="00C04698" w:rsidRPr="00C04698">
        <w:rPr>
          <w:rFonts w:ascii="Palatino Linotype" w:hAnsi="Palatino Linotype" w:cstheme="minorHAnsi"/>
          <w:b/>
          <w:sz w:val="22"/>
          <w:szCs w:val="22"/>
        </w:rPr>
        <w:t>nvestments</w:t>
      </w:r>
      <w:r w:rsidR="00A87ED9">
        <w:rPr>
          <w:rFonts w:ascii="Palatino Linotype" w:hAnsi="Palatino Linotype" w:cstheme="minorHAnsi"/>
          <w:b/>
          <w:sz w:val="22"/>
          <w:szCs w:val="22"/>
        </w:rPr>
        <w:t xml:space="preserve"> continues </w:t>
      </w:r>
    </w:p>
    <w:p w14:paraId="6F2AB283" w14:textId="6AF7AEB1" w:rsidR="00F32B38" w:rsidRDefault="004920A0" w:rsidP="00EC3573">
      <w:pPr>
        <w:pStyle w:val="NormalWeb"/>
        <w:spacing w:before="0" w:beforeAutospacing="0" w:after="120" w:afterAutospacing="0" w:line="360" w:lineRule="auto"/>
        <w:ind w:right="79"/>
        <w:jc w:val="both"/>
        <w:rPr>
          <w:rFonts w:ascii="Palatino Linotype" w:hAnsi="Palatino Linotype" w:cstheme="minorHAnsi"/>
          <w:sz w:val="22"/>
          <w:szCs w:val="22"/>
        </w:rPr>
      </w:pPr>
      <w:r>
        <w:rPr>
          <w:rFonts w:ascii="Palatino Linotype" w:hAnsi="Palatino Linotype" w:cstheme="minorHAnsi"/>
          <w:sz w:val="22"/>
          <w:szCs w:val="22"/>
        </w:rPr>
        <w:t xml:space="preserve">On </w:t>
      </w:r>
      <w:r w:rsidR="003A503D">
        <w:rPr>
          <w:rFonts w:ascii="Palatino Linotype" w:hAnsi="Palatino Linotype" w:cstheme="minorHAnsi"/>
          <w:sz w:val="22"/>
          <w:szCs w:val="22"/>
        </w:rPr>
        <w:t>an</w:t>
      </w:r>
      <w:r w:rsidR="00CF00DB">
        <w:rPr>
          <w:rFonts w:ascii="Palatino Linotype" w:hAnsi="Palatino Linotype" w:cstheme="minorHAnsi"/>
          <w:sz w:val="22"/>
          <w:szCs w:val="22"/>
        </w:rPr>
        <w:t xml:space="preserve"> annual</w:t>
      </w:r>
      <w:r>
        <w:rPr>
          <w:rFonts w:ascii="Palatino Linotype" w:hAnsi="Palatino Linotype" w:cstheme="minorHAnsi"/>
          <w:sz w:val="22"/>
          <w:szCs w:val="22"/>
        </w:rPr>
        <w:t xml:space="preserve"> basis, i</w:t>
      </w:r>
      <w:r w:rsidRPr="00C04698">
        <w:rPr>
          <w:rFonts w:ascii="Palatino Linotype" w:hAnsi="Palatino Linotype" w:cstheme="minorHAnsi"/>
          <w:sz w:val="22"/>
          <w:szCs w:val="22"/>
        </w:rPr>
        <w:t>nve</w:t>
      </w:r>
      <w:r>
        <w:rPr>
          <w:rFonts w:ascii="Palatino Linotype" w:hAnsi="Palatino Linotype" w:cstheme="minorHAnsi"/>
          <w:sz w:val="22"/>
          <w:szCs w:val="22"/>
        </w:rPr>
        <w:t>stments, which decreased by 12.4</w:t>
      </w:r>
      <w:r w:rsidR="00AB6A32">
        <w:rPr>
          <w:rFonts w:ascii="Palatino Linotype" w:hAnsi="Palatino Linotype" w:cstheme="minorHAnsi"/>
          <w:sz w:val="22"/>
          <w:szCs w:val="22"/>
        </w:rPr>
        <w:t xml:space="preserve"> and 22.8</w:t>
      </w:r>
      <w:r>
        <w:rPr>
          <w:rFonts w:ascii="Palatino Linotype" w:hAnsi="Palatino Linotype" w:cstheme="minorHAnsi"/>
          <w:sz w:val="22"/>
          <w:szCs w:val="22"/>
        </w:rPr>
        <w:t xml:space="preserve"> percent in the first</w:t>
      </w:r>
      <w:r w:rsidR="00AB6A32">
        <w:rPr>
          <w:rFonts w:ascii="Palatino Linotype" w:hAnsi="Palatino Linotype" w:cstheme="minorHAnsi"/>
          <w:sz w:val="22"/>
          <w:szCs w:val="22"/>
        </w:rPr>
        <w:t xml:space="preserve"> two</w:t>
      </w:r>
      <w:r>
        <w:rPr>
          <w:rFonts w:ascii="Palatino Linotype" w:hAnsi="Palatino Linotype" w:cstheme="minorHAnsi"/>
          <w:sz w:val="22"/>
          <w:szCs w:val="22"/>
        </w:rPr>
        <w:t xml:space="preserve"> quarter</w:t>
      </w:r>
      <w:r w:rsidR="003A503D">
        <w:rPr>
          <w:rFonts w:ascii="Palatino Linotype" w:hAnsi="Palatino Linotype" w:cstheme="minorHAnsi"/>
          <w:sz w:val="22"/>
          <w:szCs w:val="22"/>
        </w:rPr>
        <w:t>s</w:t>
      </w:r>
      <w:r>
        <w:rPr>
          <w:rFonts w:ascii="Palatino Linotype" w:hAnsi="Palatino Linotype" w:cstheme="minorHAnsi"/>
          <w:sz w:val="22"/>
          <w:szCs w:val="22"/>
        </w:rPr>
        <w:t xml:space="preserve"> of 2019, shrank by </w:t>
      </w:r>
      <w:r w:rsidR="00AB6A32">
        <w:rPr>
          <w:rFonts w:ascii="Palatino Linotype" w:hAnsi="Palatino Linotype" w:cstheme="minorHAnsi"/>
          <w:sz w:val="22"/>
          <w:szCs w:val="22"/>
        </w:rPr>
        <w:t>12.6</w:t>
      </w:r>
      <w:r>
        <w:rPr>
          <w:rFonts w:ascii="Palatino Linotype" w:hAnsi="Palatino Linotype" w:cstheme="minorHAnsi"/>
          <w:sz w:val="22"/>
          <w:szCs w:val="22"/>
        </w:rPr>
        <w:t xml:space="preserve"> percent in the </w:t>
      </w:r>
      <w:r w:rsidR="00AB6A32">
        <w:rPr>
          <w:rFonts w:ascii="Palatino Linotype" w:hAnsi="Palatino Linotype" w:cstheme="minorHAnsi"/>
          <w:sz w:val="22"/>
          <w:szCs w:val="22"/>
        </w:rPr>
        <w:t>third</w:t>
      </w:r>
      <w:r w:rsidRPr="00C04698">
        <w:rPr>
          <w:rFonts w:ascii="Palatino Linotype" w:hAnsi="Palatino Linotype" w:cstheme="minorHAnsi"/>
          <w:sz w:val="22"/>
          <w:szCs w:val="22"/>
        </w:rPr>
        <w:t xml:space="preserve"> quarter of 2019</w:t>
      </w:r>
      <w:r w:rsidR="00CF00DB">
        <w:rPr>
          <w:rFonts w:ascii="Palatino Linotype" w:hAnsi="Palatino Linotype" w:cstheme="minorHAnsi"/>
          <w:sz w:val="22"/>
          <w:szCs w:val="22"/>
        </w:rPr>
        <w:t>,</w:t>
      </w:r>
      <w:r w:rsidR="00AB6A32">
        <w:rPr>
          <w:rFonts w:ascii="Palatino Linotype" w:hAnsi="Palatino Linotype" w:cstheme="minorHAnsi"/>
          <w:sz w:val="22"/>
          <w:szCs w:val="22"/>
        </w:rPr>
        <w:t xml:space="preserve"> and they negatively </w:t>
      </w:r>
      <w:r w:rsidR="00CF00DB">
        <w:rPr>
          <w:rFonts w:ascii="Palatino Linotype" w:hAnsi="Palatino Linotype" w:cstheme="minorHAnsi"/>
          <w:sz w:val="22"/>
          <w:szCs w:val="22"/>
        </w:rPr>
        <w:t xml:space="preserve">contributed </w:t>
      </w:r>
      <w:r w:rsidR="00CF00DB" w:rsidRPr="00C04698">
        <w:rPr>
          <w:rFonts w:ascii="Palatino Linotype" w:hAnsi="Palatino Linotype" w:cstheme="minorHAnsi"/>
          <w:sz w:val="22"/>
          <w:szCs w:val="22"/>
        </w:rPr>
        <w:t>to</w:t>
      </w:r>
      <w:r w:rsidR="00C04698" w:rsidRPr="00C04698">
        <w:rPr>
          <w:rFonts w:ascii="Palatino Linotype" w:hAnsi="Palatino Linotype" w:cstheme="minorHAnsi"/>
          <w:sz w:val="22"/>
          <w:szCs w:val="22"/>
        </w:rPr>
        <w:t xml:space="preserve"> </w:t>
      </w:r>
      <w:r>
        <w:rPr>
          <w:rFonts w:ascii="Palatino Linotype" w:hAnsi="Palatino Linotype" w:cstheme="minorHAnsi"/>
          <w:sz w:val="22"/>
          <w:szCs w:val="22"/>
        </w:rPr>
        <w:t xml:space="preserve">growth </w:t>
      </w:r>
      <w:r w:rsidR="00AB6A32">
        <w:rPr>
          <w:rFonts w:ascii="Palatino Linotype" w:hAnsi="Palatino Linotype" w:cstheme="minorHAnsi"/>
          <w:sz w:val="22"/>
          <w:szCs w:val="22"/>
        </w:rPr>
        <w:t xml:space="preserve">by minus </w:t>
      </w:r>
      <w:r w:rsidR="00CF00DB">
        <w:rPr>
          <w:rFonts w:ascii="Palatino Linotype" w:hAnsi="Palatino Linotype" w:cstheme="minorHAnsi"/>
          <w:sz w:val="22"/>
          <w:szCs w:val="22"/>
        </w:rPr>
        <w:t>3.6 percentage points</w:t>
      </w:r>
      <w:r w:rsidR="00C319B6">
        <w:rPr>
          <w:rFonts w:ascii="Palatino Linotype" w:hAnsi="Palatino Linotype" w:cstheme="minorHAnsi"/>
          <w:sz w:val="22"/>
          <w:szCs w:val="22"/>
        </w:rPr>
        <w:t xml:space="preserve"> (Table 1)</w:t>
      </w:r>
      <w:r w:rsidR="000764F0" w:rsidRPr="000764F0">
        <w:rPr>
          <w:rFonts w:ascii="Palatino Linotype" w:hAnsi="Palatino Linotype" w:cstheme="minorHAnsi"/>
          <w:sz w:val="22"/>
          <w:szCs w:val="22"/>
        </w:rPr>
        <w:t>.</w:t>
      </w:r>
      <w:r w:rsidR="000764F0">
        <w:rPr>
          <w:rFonts w:ascii="Palatino Linotype" w:hAnsi="Palatino Linotype" w:cstheme="minorHAnsi"/>
          <w:sz w:val="22"/>
          <w:szCs w:val="22"/>
        </w:rPr>
        <w:t xml:space="preserve"> When we look at seasonally and calendar day adjusted </w:t>
      </w:r>
      <w:r w:rsidR="000764F0" w:rsidRPr="002F0AEA">
        <w:rPr>
          <w:rFonts w:ascii="Palatino Linotype" w:hAnsi="Palatino Linotype" w:cstheme="minorHAnsi"/>
          <w:sz w:val="22"/>
          <w:szCs w:val="22"/>
        </w:rPr>
        <w:t>data</w:t>
      </w:r>
      <w:r w:rsidR="000764F0">
        <w:rPr>
          <w:rFonts w:ascii="Palatino Linotype" w:hAnsi="Palatino Linotype" w:cstheme="minorHAnsi"/>
          <w:sz w:val="22"/>
          <w:szCs w:val="22"/>
        </w:rPr>
        <w:t xml:space="preserve">, we see </w:t>
      </w:r>
      <w:r w:rsidR="00CF00DB">
        <w:rPr>
          <w:rFonts w:ascii="Palatino Linotype" w:hAnsi="Palatino Linotype" w:cstheme="minorHAnsi"/>
          <w:sz w:val="22"/>
          <w:szCs w:val="22"/>
        </w:rPr>
        <w:t>that negative contribution from investments in the first two quarters was se</w:t>
      </w:r>
      <w:r w:rsidR="00DE6A95">
        <w:rPr>
          <w:rFonts w:ascii="Palatino Linotype" w:hAnsi="Palatino Linotype" w:cstheme="minorHAnsi"/>
          <w:sz w:val="22"/>
          <w:szCs w:val="22"/>
        </w:rPr>
        <w:t>t to zero in this quarter</w:t>
      </w:r>
      <w:r w:rsidR="00F32B38">
        <w:rPr>
          <w:rFonts w:ascii="Palatino Linotype" w:hAnsi="Palatino Linotype" w:cstheme="minorHAnsi"/>
          <w:sz w:val="22"/>
          <w:szCs w:val="22"/>
        </w:rPr>
        <w:t xml:space="preserve"> (Table 2).</w:t>
      </w:r>
    </w:p>
    <w:p w14:paraId="0A7340BC" w14:textId="54C347BD" w:rsidR="00556396" w:rsidRPr="00EC3573" w:rsidRDefault="00827196" w:rsidP="00EC3573">
      <w:pPr>
        <w:pStyle w:val="NormalWeb"/>
        <w:spacing w:before="0" w:beforeAutospacing="0" w:after="120" w:afterAutospacing="0" w:line="360" w:lineRule="auto"/>
        <w:ind w:right="79"/>
        <w:jc w:val="both"/>
        <w:rPr>
          <w:rFonts w:ascii="Palatino Linotype" w:hAnsi="Palatino Linotype" w:cstheme="minorHAnsi"/>
          <w:sz w:val="22"/>
          <w:szCs w:val="22"/>
        </w:rPr>
      </w:pPr>
      <w:r w:rsidRPr="009E1F69">
        <w:rPr>
          <w:rFonts w:ascii="Palatino Linotype" w:hAnsi="Palatino Linotype" w:cstheme="minorHAnsi"/>
          <w:b/>
          <w:sz w:val="22"/>
          <w:szCs w:val="22"/>
        </w:rPr>
        <w:t xml:space="preserve">Recovery in </w:t>
      </w:r>
      <w:r w:rsidR="003166A0">
        <w:rPr>
          <w:rFonts w:ascii="Palatino Linotype" w:hAnsi="Palatino Linotype" w:cstheme="minorHAnsi"/>
          <w:b/>
          <w:sz w:val="22"/>
          <w:szCs w:val="22"/>
        </w:rPr>
        <w:t>s</w:t>
      </w:r>
      <w:r w:rsidR="00556396" w:rsidRPr="000242B7">
        <w:rPr>
          <w:rFonts w:ascii="Palatino Linotype" w:hAnsi="Palatino Linotype" w:cstheme="minorHAnsi"/>
          <w:b/>
          <w:sz w:val="22"/>
          <w:szCs w:val="22"/>
        </w:rPr>
        <w:t>tocks</w:t>
      </w:r>
      <w:r w:rsidR="00781312" w:rsidRPr="000242B7">
        <w:rPr>
          <w:rStyle w:val="FootnoteReference"/>
          <w:rFonts w:ascii="Palatino Linotype" w:hAnsi="Palatino Linotype" w:cstheme="minorHAnsi"/>
          <w:b/>
          <w:sz w:val="22"/>
          <w:szCs w:val="22"/>
        </w:rPr>
        <w:footnoteReference w:id="3"/>
      </w:r>
    </w:p>
    <w:p w14:paraId="39E36EEF" w14:textId="63074B44" w:rsidR="00E80A0B" w:rsidRDefault="003A503D" w:rsidP="00556396">
      <w:pPr>
        <w:pStyle w:val="NormalWeb"/>
        <w:spacing w:before="0" w:beforeAutospacing="0" w:after="0" w:afterAutospacing="0" w:line="360" w:lineRule="auto"/>
        <w:ind w:right="79"/>
        <w:rPr>
          <w:rFonts w:ascii="Palatino Linotype" w:hAnsi="Palatino Linotype" w:cstheme="minorHAnsi"/>
          <w:sz w:val="22"/>
          <w:szCs w:val="22"/>
        </w:rPr>
      </w:pPr>
      <w:r>
        <w:rPr>
          <w:rFonts w:ascii="Palatino Linotype" w:hAnsi="Palatino Linotype" w:cstheme="minorHAnsi"/>
          <w:sz w:val="22"/>
          <w:szCs w:val="22"/>
        </w:rPr>
        <w:t>Annually</w:t>
      </w:r>
      <w:r w:rsidR="00395089">
        <w:rPr>
          <w:rFonts w:ascii="Palatino Linotype" w:hAnsi="Palatino Linotype" w:cstheme="minorHAnsi"/>
          <w:sz w:val="22"/>
          <w:szCs w:val="22"/>
        </w:rPr>
        <w:t>, s</w:t>
      </w:r>
      <w:r w:rsidR="00781312">
        <w:rPr>
          <w:rFonts w:ascii="Palatino Linotype" w:hAnsi="Palatino Linotype" w:cstheme="minorHAnsi"/>
          <w:sz w:val="22"/>
          <w:szCs w:val="22"/>
        </w:rPr>
        <w:t>tock changes</w:t>
      </w:r>
      <w:r w:rsidR="003B5AC1">
        <w:rPr>
          <w:rFonts w:ascii="Palatino Linotype" w:hAnsi="Palatino Linotype" w:cstheme="minorHAnsi"/>
          <w:sz w:val="22"/>
          <w:szCs w:val="22"/>
        </w:rPr>
        <w:t>,</w:t>
      </w:r>
      <w:r w:rsidR="00D76EC3">
        <w:rPr>
          <w:rFonts w:ascii="Palatino Linotype" w:hAnsi="Palatino Linotype" w:cstheme="minorHAnsi"/>
          <w:sz w:val="22"/>
          <w:szCs w:val="22"/>
        </w:rPr>
        <w:t xml:space="preserve"> </w:t>
      </w:r>
      <w:r w:rsidR="003B5AC1">
        <w:rPr>
          <w:rFonts w:ascii="Palatino Linotype" w:hAnsi="Palatino Linotype" w:cstheme="minorHAnsi"/>
          <w:sz w:val="22"/>
          <w:szCs w:val="22"/>
        </w:rPr>
        <w:t xml:space="preserve">which had </w:t>
      </w:r>
      <w:r w:rsidR="00D76EC3">
        <w:rPr>
          <w:rFonts w:ascii="Palatino Linotype" w:hAnsi="Palatino Linotype" w:cstheme="minorHAnsi"/>
          <w:sz w:val="22"/>
          <w:szCs w:val="22"/>
        </w:rPr>
        <w:t>contributed to growth</w:t>
      </w:r>
      <w:r w:rsidR="00F819BC">
        <w:rPr>
          <w:rFonts w:ascii="Palatino Linotype" w:hAnsi="Palatino Linotype" w:cstheme="minorHAnsi"/>
          <w:sz w:val="22"/>
          <w:szCs w:val="22"/>
        </w:rPr>
        <w:t xml:space="preserve"> by </w:t>
      </w:r>
      <w:r w:rsidR="00395089">
        <w:rPr>
          <w:rFonts w:ascii="Palatino Linotype" w:hAnsi="Palatino Linotype" w:cstheme="minorHAnsi"/>
          <w:sz w:val="22"/>
          <w:szCs w:val="22"/>
        </w:rPr>
        <w:t xml:space="preserve">minus </w:t>
      </w:r>
      <w:r w:rsidR="00DE6A95">
        <w:rPr>
          <w:rFonts w:ascii="Palatino Linotype" w:hAnsi="Palatino Linotype" w:cstheme="minorHAnsi"/>
          <w:sz w:val="22"/>
          <w:szCs w:val="22"/>
        </w:rPr>
        <w:t>1</w:t>
      </w:r>
      <w:r w:rsidR="00395089">
        <w:rPr>
          <w:rFonts w:ascii="Palatino Linotype" w:hAnsi="Palatino Linotype" w:cstheme="minorHAnsi"/>
          <w:sz w:val="22"/>
          <w:szCs w:val="22"/>
        </w:rPr>
        <w:t>.</w:t>
      </w:r>
      <w:r w:rsidR="00DE6A95">
        <w:rPr>
          <w:rFonts w:ascii="Palatino Linotype" w:hAnsi="Palatino Linotype" w:cstheme="minorHAnsi"/>
          <w:sz w:val="22"/>
          <w:szCs w:val="22"/>
        </w:rPr>
        <w:t>7</w:t>
      </w:r>
      <w:r w:rsidR="00F819BC">
        <w:rPr>
          <w:rFonts w:ascii="Palatino Linotype" w:hAnsi="Palatino Linotype" w:cstheme="minorHAnsi"/>
          <w:sz w:val="22"/>
          <w:szCs w:val="22"/>
        </w:rPr>
        <w:t xml:space="preserve"> percentage points</w:t>
      </w:r>
      <w:r w:rsidR="003B5AC1">
        <w:rPr>
          <w:rFonts w:ascii="Palatino Linotype" w:hAnsi="Palatino Linotype" w:cstheme="minorHAnsi"/>
          <w:sz w:val="22"/>
          <w:szCs w:val="22"/>
        </w:rPr>
        <w:t xml:space="preserve"> </w:t>
      </w:r>
      <w:r w:rsidR="00D76EC3">
        <w:rPr>
          <w:rFonts w:ascii="Palatino Linotype" w:hAnsi="Palatino Linotype" w:cstheme="minorHAnsi"/>
          <w:sz w:val="22"/>
          <w:szCs w:val="22"/>
        </w:rPr>
        <w:t xml:space="preserve">in the </w:t>
      </w:r>
      <w:r w:rsidR="00DE6A95">
        <w:rPr>
          <w:rFonts w:ascii="Palatino Linotype" w:hAnsi="Palatino Linotype" w:cstheme="minorHAnsi"/>
          <w:sz w:val="22"/>
          <w:szCs w:val="22"/>
        </w:rPr>
        <w:t>second</w:t>
      </w:r>
      <w:r w:rsidR="00D76EC3">
        <w:rPr>
          <w:rFonts w:ascii="Palatino Linotype" w:hAnsi="Palatino Linotype" w:cstheme="minorHAnsi"/>
          <w:sz w:val="22"/>
          <w:szCs w:val="22"/>
        </w:rPr>
        <w:t xml:space="preserve"> quarter</w:t>
      </w:r>
      <w:r w:rsidR="00781312">
        <w:rPr>
          <w:rFonts w:ascii="Palatino Linotype" w:hAnsi="Palatino Linotype" w:cstheme="minorHAnsi"/>
          <w:sz w:val="22"/>
          <w:szCs w:val="22"/>
        </w:rPr>
        <w:t xml:space="preserve"> of </w:t>
      </w:r>
      <w:r w:rsidR="00C45688">
        <w:rPr>
          <w:rFonts w:ascii="Palatino Linotype" w:hAnsi="Palatino Linotype" w:cstheme="minorHAnsi"/>
          <w:sz w:val="22"/>
          <w:szCs w:val="22"/>
        </w:rPr>
        <w:t>201</w:t>
      </w:r>
      <w:r w:rsidR="00395089">
        <w:rPr>
          <w:rFonts w:ascii="Palatino Linotype" w:hAnsi="Palatino Linotype" w:cstheme="minorHAnsi"/>
          <w:sz w:val="22"/>
          <w:szCs w:val="22"/>
        </w:rPr>
        <w:t>9</w:t>
      </w:r>
      <w:r w:rsidR="00C45688">
        <w:rPr>
          <w:rFonts w:ascii="Palatino Linotype" w:hAnsi="Palatino Linotype" w:cstheme="minorHAnsi"/>
          <w:sz w:val="22"/>
          <w:szCs w:val="22"/>
        </w:rPr>
        <w:t xml:space="preserve">, contributed minus </w:t>
      </w:r>
      <w:r w:rsidR="00DE6A95">
        <w:rPr>
          <w:rFonts w:ascii="Palatino Linotype" w:hAnsi="Palatino Linotype" w:cstheme="minorHAnsi"/>
          <w:sz w:val="22"/>
          <w:szCs w:val="22"/>
        </w:rPr>
        <w:t>2.4</w:t>
      </w:r>
      <w:r w:rsidR="003B5AC1">
        <w:rPr>
          <w:rFonts w:ascii="Palatino Linotype" w:hAnsi="Palatino Linotype" w:cstheme="minorHAnsi"/>
          <w:sz w:val="22"/>
          <w:szCs w:val="22"/>
        </w:rPr>
        <w:t xml:space="preserve"> percentage points to growth in the </w:t>
      </w:r>
      <w:r w:rsidR="00DE6A95">
        <w:rPr>
          <w:rFonts w:ascii="Palatino Linotype" w:hAnsi="Palatino Linotype" w:cstheme="minorHAnsi"/>
          <w:sz w:val="22"/>
          <w:szCs w:val="22"/>
        </w:rPr>
        <w:t>third</w:t>
      </w:r>
      <w:r w:rsidR="00CA47FB">
        <w:rPr>
          <w:rFonts w:ascii="Palatino Linotype" w:hAnsi="Palatino Linotype" w:cstheme="minorHAnsi"/>
          <w:sz w:val="22"/>
          <w:szCs w:val="22"/>
        </w:rPr>
        <w:t xml:space="preserve"> quarter of 2019</w:t>
      </w:r>
      <w:r w:rsidR="003B5AC1">
        <w:rPr>
          <w:rFonts w:ascii="Palatino Linotype" w:hAnsi="Palatino Linotype" w:cstheme="minorHAnsi"/>
          <w:sz w:val="22"/>
          <w:szCs w:val="22"/>
        </w:rPr>
        <w:t xml:space="preserve"> (Table 1). </w:t>
      </w:r>
      <w:r w:rsidR="00781312">
        <w:rPr>
          <w:rFonts w:ascii="Palatino Linotype" w:hAnsi="Palatino Linotype" w:cstheme="minorHAnsi"/>
          <w:sz w:val="22"/>
          <w:szCs w:val="22"/>
        </w:rPr>
        <w:t>When we look</w:t>
      </w:r>
      <w:r w:rsidR="00E80A0B">
        <w:rPr>
          <w:rFonts w:ascii="Palatino Linotype" w:hAnsi="Palatino Linotype" w:cstheme="minorHAnsi"/>
          <w:sz w:val="22"/>
          <w:szCs w:val="22"/>
        </w:rPr>
        <w:t xml:space="preserve"> </w:t>
      </w:r>
      <w:r>
        <w:rPr>
          <w:rFonts w:ascii="Palatino Linotype" w:hAnsi="Palatino Linotype" w:cstheme="minorHAnsi"/>
          <w:sz w:val="22"/>
          <w:szCs w:val="22"/>
        </w:rPr>
        <w:t xml:space="preserve">at </w:t>
      </w:r>
      <w:r w:rsidR="00781312">
        <w:rPr>
          <w:rFonts w:ascii="Palatino Linotype" w:hAnsi="Palatino Linotype" w:cstheme="minorHAnsi"/>
          <w:sz w:val="22"/>
          <w:szCs w:val="22"/>
        </w:rPr>
        <w:t xml:space="preserve">quarterly growth, </w:t>
      </w:r>
      <w:r w:rsidR="001F25C8">
        <w:rPr>
          <w:rFonts w:ascii="Palatino Linotype" w:hAnsi="Palatino Linotype" w:cstheme="minorHAnsi"/>
          <w:sz w:val="22"/>
          <w:szCs w:val="22"/>
        </w:rPr>
        <w:t>we see</w:t>
      </w:r>
      <w:r w:rsidR="00BF0205">
        <w:rPr>
          <w:rFonts w:ascii="Palatino Linotype" w:hAnsi="Palatino Linotype" w:cstheme="minorHAnsi"/>
          <w:sz w:val="22"/>
          <w:szCs w:val="22"/>
        </w:rPr>
        <w:t xml:space="preserve"> that </w:t>
      </w:r>
      <w:r w:rsidR="00E80A0B" w:rsidRPr="007D787D">
        <w:rPr>
          <w:rFonts w:ascii="Palatino Linotype" w:hAnsi="Palatino Linotype" w:cstheme="minorHAnsi"/>
          <w:sz w:val="22"/>
          <w:szCs w:val="22"/>
        </w:rPr>
        <w:t xml:space="preserve">seasonally and calendar day adjusted </w:t>
      </w:r>
      <w:r w:rsidR="00CA47FB">
        <w:rPr>
          <w:rFonts w:ascii="Palatino Linotype" w:hAnsi="Palatino Linotype" w:cstheme="minorHAnsi"/>
          <w:sz w:val="22"/>
          <w:szCs w:val="22"/>
        </w:rPr>
        <w:t>stock changes</w:t>
      </w:r>
      <w:r w:rsidR="00395089">
        <w:rPr>
          <w:rFonts w:ascii="Palatino Linotype" w:hAnsi="Palatino Linotype" w:cstheme="minorHAnsi"/>
          <w:sz w:val="22"/>
          <w:szCs w:val="22"/>
        </w:rPr>
        <w:t xml:space="preserve"> contributed to growth by 0.</w:t>
      </w:r>
      <w:r w:rsidR="00D82B26">
        <w:rPr>
          <w:rFonts w:ascii="Palatino Linotype" w:hAnsi="Palatino Linotype" w:cstheme="minorHAnsi"/>
          <w:sz w:val="22"/>
          <w:szCs w:val="22"/>
        </w:rPr>
        <w:t>3 percentage points in the second quarter and 0.2 percentage points in the third</w:t>
      </w:r>
      <w:r w:rsidR="00395089">
        <w:rPr>
          <w:rFonts w:ascii="Palatino Linotype" w:hAnsi="Palatino Linotype" w:cstheme="minorHAnsi"/>
          <w:sz w:val="22"/>
          <w:szCs w:val="22"/>
        </w:rPr>
        <w:t xml:space="preserve"> quarter</w:t>
      </w:r>
      <w:r w:rsidR="00CA47FB">
        <w:rPr>
          <w:rFonts w:ascii="Palatino Linotype" w:hAnsi="Palatino Linotype" w:cstheme="minorHAnsi"/>
          <w:sz w:val="22"/>
          <w:szCs w:val="22"/>
        </w:rPr>
        <w:t xml:space="preserve"> </w:t>
      </w:r>
      <w:r w:rsidR="00C34FEA" w:rsidRPr="007D787D">
        <w:rPr>
          <w:rFonts w:ascii="Palatino Linotype" w:hAnsi="Palatino Linotype" w:cstheme="minorHAnsi"/>
          <w:sz w:val="22"/>
          <w:szCs w:val="22"/>
        </w:rPr>
        <w:t>(Table 2).</w:t>
      </w:r>
      <w:bookmarkStart w:id="5" w:name="_Hlk501449844"/>
    </w:p>
    <w:bookmarkEnd w:id="5"/>
    <w:p w14:paraId="1CEA9145" w14:textId="641700B0" w:rsidR="00DA05C4" w:rsidRDefault="00DA05C4" w:rsidP="00630D61">
      <w:pPr>
        <w:pStyle w:val="NormalWeb"/>
        <w:spacing w:before="0" w:beforeAutospacing="0" w:after="0" w:afterAutospacing="0" w:line="360" w:lineRule="auto"/>
        <w:ind w:right="79"/>
        <w:jc w:val="both"/>
        <w:rPr>
          <w:rFonts w:ascii="Palatino Linotype" w:hAnsi="Palatino Linotype" w:cstheme="minorHAnsi"/>
          <w:b/>
          <w:bCs/>
          <w:sz w:val="22"/>
          <w:szCs w:val="22"/>
        </w:rPr>
      </w:pPr>
    </w:p>
    <w:p w14:paraId="61824F47" w14:textId="4481988E" w:rsidR="00030EDA" w:rsidRDefault="00030EDA" w:rsidP="00630D61">
      <w:pPr>
        <w:pStyle w:val="NormalWeb"/>
        <w:spacing w:before="0" w:beforeAutospacing="0" w:after="0" w:afterAutospacing="0" w:line="360" w:lineRule="auto"/>
        <w:ind w:right="79"/>
        <w:jc w:val="both"/>
        <w:rPr>
          <w:rFonts w:ascii="Palatino Linotype" w:hAnsi="Palatino Linotype" w:cstheme="minorHAnsi"/>
          <w:b/>
          <w:bCs/>
          <w:sz w:val="22"/>
          <w:szCs w:val="22"/>
        </w:rPr>
      </w:pPr>
    </w:p>
    <w:p w14:paraId="3AC65AA0" w14:textId="77777777" w:rsidR="007F146F" w:rsidRDefault="007F146F" w:rsidP="00630D61">
      <w:pPr>
        <w:pStyle w:val="NormalWeb"/>
        <w:spacing w:before="0" w:beforeAutospacing="0" w:after="0" w:afterAutospacing="0" w:line="360" w:lineRule="auto"/>
        <w:ind w:right="79"/>
        <w:jc w:val="both"/>
        <w:rPr>
          <w:rFonts w:ascii="Palatino Linotype" w:hAnsi="Palatino Linotype" w:cstheme="minorHAnsi"/>
          <w:b/>
          <w:bCs/>
          <w:sz w:val="22"/>
          <w:szCs w:val="22"/>
        </w:rPr>
      </w:pPr>
    </w:p>
    <w:p w14:paraId="011266C2" w14:textId="7B1CF13A" w:rsidR="00CA47FB" w:rsidRDefault="003A503D" w:rsidP="00556396">
      <w:pPr>
        <w:pStyle w:val="NormalWeb"/>
        <w:spacing w:before="0" w:beforeAutospacing="0" w:after="0" w:afterAutospacing="0" w:line="360" w:lineRule="auto"/>
        <w:ind w:right="79"/>
        <w:jc w:val="both"/>
        <w:rPr>
          <w:rFonts w:ascii="Palatino Linotype" w:hAnsi="Palatino Linotype" w:cstheme="minorHAnsi"/>
          <w:b/>
          <w:bCs/>
          <w:sz w:val="22"/>
          <w:szCs w:val="22"/>
        </w:rPr>
      </w:pPr>
      <w:r>
        <w:rPr>
          <w:rFonts w:ascii="Palatino Linotype" w:hAnsi="Palatino Linotype" w:cstheme="minorHAnsi"/>
          <w:b/>
          <w:bCs/>
          <w:sz w:val="22"/>
          <w:szCs w:val="22"/>
        </w:rPr>
        <w:lastRenderedPageBreak/>
        <w:t>The p</w:t>
      </w:r>
      <w:r w:rsidR="00630D61">
        <w:rPr>
          <w:rFonts w:ascii="Palatino Linotype" w:hAnsi="Palatino Linotype" w:cstheme="minorHAnsi"/>
          <w:b/>
          <w:bCs/>
          <w:sz w:val="22"/>
          <w:szCs w:val="22"/>
        </w:rPr>
        <w:t xml:space="preserve">ositive contribution of net exports </w:t>
      </w:r>
      <w:r w:rsidR="00F42762">
        <w:rPr>
          <w:rFonts w:ascii="Palatino Linotype" w:hAnsi="Palatino Linotype" w:cstheme="minorHAnsi"/>
          <w:b/>
          <w:bCs/>
          <w:sz w:val="22"/>
          <w:szCs w:val="22"/>
        </w:rPr>
        <w:t>is ending</w:t>
      </w:r>
    </w:p>
    <w:p w14:paraId="70415A4B" w14:textId="0F35CA9C" w:rsidR="00630D61" w:rsidRPr="00DA05C4" w:rsidRDefault="00A84F92" w:rsidP="00556396">
      <w:pPr>
        <w:pStyle w:val="NormalWeb"/>
        <w:spacing w:before="0" w:beforeAutospacing="0" w:after="0" w:afterAutospacing="0" w:line="360" w:lineRule="auto"/>
        <w:ind w:right="79"/>
        <w:jc w:val="both"/>
        <w:rPr>
          <w:rFonts w:ascii="Palatino Linotype" w:hAnsi="Palatino Linotype" w:cstheme="minorHAnsi"/>
          <w:bCs/>
          <w:sz w:val="22"/>
          <w:szCs w:val="22"/>
        </w:rPr>
      </w:pPr>
      <w:bookmarkStart w:id="6" w:name="OLE_LINK7"/>
      <w:bookmarkStart w:id="7" w:name="OLE_LINK8"/>
      <w:r>
        <w:rPr>
          <w:rFonts w:ascii="Palatino Linotype" w:hAnsi="Palatino Linotype" w:cstheme="minorHAnsi"/>
          <w:bCs/>
          <w:sz w:val="22"/>
          <w:szCs w:val="22"/>
        </w:rPr>
        <w:t>E</w:t>
      </w:r>
      <w:r w:rsidR="00630D61" w:rsidRPr="00630D61">
        <w:rPr>
          <w:rFonts w:ascii="Palatino Linotype" w:hAnsi="Palatino Linotype" w:cstheme="minorHAnsi"/>
          <w:bCs/>
          <w:sz w:val="22"/>
          <w:szCs w:val="22"/>
        </w:rPr>
        <w:t>xport</w:t>
      </w:r>
      <w:r w:rsidR="00630D61">
        <w:rPr>
          <w:rFonts w:ascii="Palatino Linotype" w:hAnsi="Palatino Linotype" w:cstheme="minorHAnsi"/>
          <w:bCs/>
          <w:sz w:val="22"/>
          <w:szCs w:val="22"/>
        </w:rPr>
        <w:t>s</w:t>
      </w:r>
      <w:r>
        <w:rPr>
          <w:rFonts w:ascii="Palatino Linotype" w:hAnsi="Palatino Linotype" w:cstheme="minorHAnsi"/>
          <w:bCs/>
          <w:sz w:val="22"/>
          <w:szCs w:val="22"/>
        </w:rPr>
        <w:t>, which increased</w:t>
      </w:r>
      <w:r w:rsidR="00D74CD7">
        <w:rPr>
          <w:rFonts w:ascii="Palatino Linotype" w:hAnsi="Palatino Linotype" w:cstheme="minorHAnsi"/>
          <w:bCs/>
          <w:sz w:val="22"/>
          <w:szCs w:val="22"/>
        </w:rPr>
        <w:t xml:space="preserve"> </w:t>
      </w:r>
      <w:r>
        <w:rPr>
          <w:rFonts w:ascii="Palatino Linotype" w:hAnsi="Palatino Linotype" w:cstheme="minorHAnsi"/>
          <w:bCs/>
          <w:sz w:val="22"/>
          <w:szCs w:val="22"/>
        </w:rPr>
        <w:t>by</w:t>
      </w:r>
      <w:r w:rsidR="00D74CD7">
        <w:rPr>
          <w:rFonts w:ascii="Palatino Linotype" w:hAnsi="Palatino Linotype" w:cstheme="minorHAnsi"/>
          <w:bCs/>
          <w:sz w:val="22"/>
          <w:szCs w:val="22"/>
        </w:rPr>
        <w:t xml:space="preserve"> </w:t>
      </w:r>
      <w:r w:rsidR="00840947">
        <w:rPr>
          <w:rFonts w:ascii="Palatino Linotype" w:hAnsi="Palatino Linotype" w:cstheme="minorHAnsi"/>
          <w:bCs/>
          <w:sz w:val="22"/>
          <w:szCs w:val="22"/>
        </w:rPr>
        <w:t>8.1</w:t>
      </w:r>
      <w:r w:rsidR="00630D61" w:rsidRPr="00630D61">
        <w:rPr>
          <w:rFonts w:ascii="Palatino Linotype" w:hAnsi="Palatino Linotype" w:cstheme="minorHAnsi"/>
          <w:bCs/>
          <w:sz w:val="22"/>
          <w:szCs w:val="22"/>
        </w:rPr>
        <w:t xml:space="preserve"> percent</w:t>
      </w:r>
      <w:r>
        <w:rPr>
          <w:rFonts w:ascii="Palatino Linotype" w:hAnsi="Palatino Linotype" w:cstheme="minorHAnsi"/>
          <w:bCs/>
          <w:sz w:val="22"/>
          <w:szCs w:val="22"/>
        </w:rPr>
        <w:t xml:space="preserve"> </w:t>
      </w:r>
      <w:r>
        <w:rPr>
          <w:rFonts w:ascii="Palatino Linotype" w:hAnsi="Palatino Linotype" w:cstheme="minorHAnsi"/>
          <w:sz w:val="22"/>
          <w:szCs w:val="22"/>
        </w:rPr>
        <w:t xml:space="preserve">in the </w:t>
      </w:r>
      <w:r w:rsidR="00840947">
        <w:rPr>
          <w:rFonts w:ascii="Palatino Linotype" w:hAnsi="Palatino Linotype" w:cstheme="minorHAnsi"/>
          <w:sz w:val="22"/>
          <w:szCs w:val="22"/>
        </w:rPr>
        <w:t>second</w:t>
      </w:r>
      <w:r w:rsidRPr="00B6148C">
        <w:rPr>
          <w:rFonts w:ascii="Palatino Linotype" w:hAnsi="Palatino Linotype" w:cstheme="minorHAnsi"/>
          <w:sz w:val="22"/>
          <w:szCs w:val="22"/>
        </w:rPr>
        <w:t xml:space="preserve"> quarter</w:t>
      </w:r>
      <w:r>
        <w:rPr>
          <w:rFonts w:ascii="Palatino Linotype" w:hAnsi="Palatino Linotype" w:cstheme="minorHAnsi"/>
          <w:sz w:val="22"/>
          <w:szCs w:val="22"/>
        </w:rPr>
        <w:t xml:space="preserve"> of 2019</w:t>
      </w:r>
      <w:r w:rsidR="00840947">
        <w:rPr>
          <w:rFonts w:ascii="Palatino Linotype" w:hAnsi="Palatino Linotype" w:cstheme="minorHAnsi"/>
          <w:sz w:val="22"/>
          <w:szCs w:val="22"/>
        </w:rPr>
        <w:t>,</w:t>
      </w:r>
      <w:r w:rsidRPr="00B6148C">
        <w:rPr>
          <w:rFonts w:ascii="Palatino Linotype" w:hAnsi="Palatino Linotype" w:cstheme="minorHAnsi"/>
          <w:sz w:val="22"/>
          <w:szCs w:val="22"/>
        </w:rPr>
        <w:t xml:space="preserve"> compared to the same quarter of the previous year</w:t>
      </w:r>
      <w:r w:rsidR="00630D61" w:rsidRPr="00630D61">
        <w:rPr>
          <w:rFonts w:ascii="Palatino Linotype" w:hAnsi="Palatino Linotype" w:cstheme="minorHAnsi"/>
          <w:bCs/>
          <w:sz w:val="22"/>
          <w:szCs w:val="22"/>
        </w:rPr>
        <w:t xml:space="preserve">, </w:t>
      </w:r>
      <w:r>
        <w:rPr>
          <w:rFonts w:ascii="Palatino Linotype" w:hAnsi="Palatino Linotype" w:cstheme="minorHAnsi"/>
          <w:bCs/>
          <w:sz w:val="22"/>
          <w:szCs w:val="22"/>
        </w:rPr>
        <w:t>rose by</w:t>
      </w:r>
      <w:r w:rsidR="00D74CD7">
        <w:rPr>
          <w:rFonts w:ascii="Palatino Linotype" w:hAnsi="Palatino Linotype" w:cstheme="minorHAnsi"/>
          <w:bCs/>
          <w:sz w:val="22"/>
          <w:szCs w:val="22"/>
        </w:rPr>
        <w:t xml:space="preserve"> </w:t>
      </w:r>
      <w:r w:rsidR="00840947">
        <w:rPr>
          <w:rFonts w:ascii="Palatino Linotype" w:hAnsi="Palatino Linotype" w:cstheme="minorHAnsi"/>
          <w:bCs/>
          <w:sz w:val="22"/>
          <w:szCs w:val="22"/>
        </w:rPr>
        <w:t>5.1 percent in the second quarter, and t</w:t>
      </w:r>
      <w:r w:rsidR="00847CF0">
        <w:rPr>
          <w:rFonts w:ascii="Palatino Linotype" w:hAnsi="Palatino Linotype" w:cstheme="minorHAnsi"/>
          <w:bCs/>
          <w:sz w:val="22"/>
          <w:szCs w:val="22"/>
        </w:rPr>
        <w:t xml:space="preserve">he contribution of </w:t>
      </w:r>
      <w:r w:rsidR="00840947">
        <w:rPr>
          <w:rFonts w:ascii="Palatino Linotype" w:hAnsi="Palatino Linotype" w:cstheme="minorHAnsi"/>
          <w:bCs/>
          <w:sz w:val="22"/>
          <w:szCs w:val="22"/>
        </w:rPr>
        <w:t>which</w:t>
      </w:r>
      <w:r w:rsidR="00847CF0">
        <w:rPr>
          <w:rFonts w:ascii="Palatino Linotype" w:hAnsi="Palatino Linotype" w:cstheme="minorHAnsi"/>
          <w:bCs/>
          <w:sz w:val="22"/>
          <w:szCs w:val="22"/>
        </w:rPr>
        <w:t xml:space="preserve"> </w:t>
      </w:r>
      <w:r w:rsidR="00840947">
        <w:rPr>
          <w:rFonts w:ascii="Palatino Linotype" w:hAnsi="Palatino Linotype" w:cstheme="minorHAnsi"/>
          <w:bCs/>
          <w:sz w:val="22"/>
          <w:szCs w:val="22"/>
        </w:rPr>
        <w:t>was</w:t>
      </w:r>
      <w:r w:rsidR="00847CF0">
        <w:rPr>
          <w:rFonts w:ascii="Palatino Linotype" w:hAnsi="Palatino Linotype" w:cstheme="minorHAnsi"/>
          <w:bCs/>
          <w:sz w:val="22"/>
          <w:szCs w:val="22"/>
        </w:rPr>
        <w:t xml:space="preserve"> </w:t>
      </w:r>
      <w:r w:rsidR="00840947">
        <w:rPr>
          <w:rFonts w:ascii="Palatino Linotype" w:hAnsi="Palatino Linotype" w:cstheme="minorHAnsi"/>
          <w:bCs/>
          <w:sz w:val="22"/>
          <w:szCs w:val="22"/>
        </w:rPr>
        <w:t>1.7</w:t>
      </w:r>
      <w:r w:rsidR="00847CF0">
        <w:rPr>
          <w:rFonts w:ascii="Palatino Linotype" w:hAnsi="Palatino Linotype" w:cstheme="minorHAnsi"/>
          <w:bCs/>
          <w:sz w:val="22"/>
          <w:szCs w:val="22"/>
        </w:rPr>
        <w:t xml:space="preserve"> percentage </w:t>
      </w:r>
      <w:r w:rsidR="00847CF0" w:rsidRPr="007A3C12">
        <w:rPr>
          <w:rFonts w:ascii="Palatino Linotype" w:hAnsi="Palatino Linotype" w:cstheme="minorHAnsi"/>
          <w:bCs/>
          <w:sz w:val="22"/>
          <w:szCs w:val="22"/>
        </w:rPr>
        <w:t>points</w:t>
      </w:r>
      <w:bookmarkEnd w:id="6"/>
      <w:bookmarkEnd w:id="7"/>
      <w:r w:rsidR="007B70E0">
        <w:rPr>
          <w:rFonts w:ascii="Palatino Linotype" w:hAnsi="Palatino Linotype" w:cstheme="minorHAnsi"/>
          <w:bCs/>
          <w:sz w:val="22"/>
          <w:szCs w:val="22"/>
        </w:rPr>
        <w:t>.</w:t>
      </w:r>
      <w:r w:rsidR="00840947">
        <w:rPr>
          <w:rFonts w:ascii="Palatino Linotype" w:hAnsi="Palatino Linotype" w:cstheme="minorHAnsi"/>
          <w:bCs/>
          <w:sz w:val="22"/>
          <w:szCs w:val="22"/>
        </w:rPr>
        <w:t xml:space="preserve"> </w:t>
      </w:r>
      <w:r w:rsidR="00840947" w:rsidRPr="00840947">
        <w:rPr>
          <w:rFonts w:ascii="Palatino Linotype" w:hAnsi="Palatino Linotype" w:cstheme="minorHAnsi"/>
          <w:bCs/>
          <w:sz w:val="22"/>
          <w:szCs w:val="22"/>
        </w:rPr>
        <w:t>The decrease in imports seems to be over.</w:t>
      </w:r>
      <w:r w:rsidR="007B70E0">
        <w:rPr>
          <w:rFonts w:ascii="Palatino Linotype" w:hAnsi="Palatino Linotype" w:cstheme="minorHAnsi"/>
          <w:bCs/>
          <w:sz w:val="22"/>
          <w:szCs w:val="22"/>
        </w:rPr>
        <w:t xml:space="preserve"> </w:t>
      </w:r>
      <w:r w:rsidR="007A3C12">
        <w:rPr>
          <w:rFonts w:ascii="Palatino Linotype" w:hAnsi="Palatino Linotype" w:cstheme="minorHAnsi"/>
          <w:bCs/>
          <w:sz w:val="22"/>
          <w:szCs w:val="22"/>
        </w:rPr>
        <w:t>While import reduction was nearly 29 percent in the first quarter</w:t>
      </w:r>
      <w:r w:rsidR="00840947">
        <w:rPr>
          <w:rFonts w:ascii="Palatino Linotype" w:hAnsi="Palatino Linotype" w:cstheme="minorHAnsi"/>
          <w:bCs/>
          <w:sz w:val="22"/>
          <w:szCs w:val="22"/>
        </w:rPr>
        <w:t xml:space="preserve"> and</w:t>
      </w:r>
      <w:r w:rsidR="007A3C12">
        <w:rPr>
          <w:rFonts w:ascii="Palatino Linotype" w:hAnsi="Palatino Linotype" w:cstheme="minorHAnsi"/>
          <w:bCs/>
          <w:sz w:val="22"/>
          <w:szCs w:val="22"/>
        </w:rPr>
        <w:t xml:space="preserve"> 17 percent</w:t>
      </w:r>
      <w:r w:rsidR="00840947">
        <w:rPr>
          <w:rFonts w:ascii="Palatino Linotype" w:hAnsi="Palatino Linotype" w:cstheme="minorHAnsi"/>
          <w:bCs/>
          <w:sz w:val="22"/>
          <w:szCs w:val="22"/>
        </w:rPr>
        <w:t xml:space="preserve"> in the second quarter</w:t>
      </w:r>
      <w:r w:rsidR="007A3C12">
        <w:rPr>
          <w:rFonts w:ascii="Palatino Linotype" w:hAnsi="Palatino Linotype" w:cstheme="minorHAnsi"/>
          <w:bCs/>
          <w:sz w:val="22"/>
          <w:szCs w:val="22"/>
        </w:rPr>
        <w:t xml:space="preserve">. </w:t>
      </w:r>
      <w:r w:rsidR="00840947">
        <w:rPr>
          <w:rFonts w:ascii="Palatino Linotype" w:hAnsi="Palatino Linotype" w:cstheme="minorHAnsi"/>
          <w:bCs/>
          <w:sz w:val="22"/>
          <w:szCs w:val="22"/>
        </w:rPr>
        <w:t xml:space="preserve">Imports increased by 7.6 percent in this period and </w:t>
      </w:r>
      <w:r w:rsidR="00181C5F">
        <w:rPr>
          <w:rFonts w:ascii="Palatino Linotype" w:hAnsi="Palatino Linotype" w:cstheme="minorHAnsi"/>
          <w:bCs/>
          <w:sz w:val="22"/>
          <w:szCs w:val="22"/>
        </w:rPr>
        <w:t>contribut</w:t>
      </w:r>
      <w:r w:rsidR="00840947">
        <w:rPr>
          <w:rFonts w:ascii="Palatino Linotype" w:hAnsi="Palatino Linotype" w:cstheme="minorHAnsi"/>
          <w:bCs/>
          <w:sz w:val="22"/>
          <w:szCs w:val="22"/>
        </w:rPr>
        <w:t>ed to</w:t>
      </w:r>
      <w:r w:rsidR="00181C5F">
        <w:rPr>
          <w:rFonts w:ascii="Palatino Linotype" w:hAnsi="Palatino Linotype" w:cstheme="minorHAnsi"/>
          <w:bCs/>
          <w:sz w:val="22"/>
          <w:szCs w:val="22"/>
        </w:rPr>
        <w:t xml:space="preserve"> growth </w:t>
      </w:r>
      <w:r w:rsidR="00840947">
        <w:rPr>
          <w:rFonts w:ascii="Palatino Linotype" w:hAnsi="Palatino Linotype" w:cstheme="minorHAnsi"/>
          <w:bCs/>
          <w:sz w:val="22"/>
          <w:szCs w:val="22"/>
        </w:rPr>
        <w:t>by minus</w:t>
      </w:r>
      <w:r w:rsidR="00181C5F">
        <w:rPr>
          <w:rFonts w:ascii="Palatino Linotype" w:hAnsi="Palatino Linotype" w:cstheme="minorHAnsi"/>
          <w:bCs/>
          <w:sz w:val="22"/>
          <w:szCs w:val="22"/>
        </w:rPr>
        <w:t xml:space="preserve"> </w:t>
      </w:r>
      <w:r w:rsidR="00840947">
        <w:rPr>
          <w:rFonts w:ascii="Palatino Linotype" w:hAnsi="Palatino Linotype" w:cstheme="minorHAnsi"/>
          <w:bCs/>
          <w:sz w:val="22"/>
          <w:szCs w:val="22"/>
        </w:rPr>
        <w:t>1.4</w:t>
      </w:r>
      <w:r w:rsidR="00181C5F">
        <w:rPr>
          <w:rFonts w:ascii="Palatino Linotype" w:hAnsi="Palatino Linotype" w:cstheme="minorHAnsi"/>
          <w:bCs/>
          <w:sz w:val="22"/>
          <w:szCs w:val="22"/>
        </w:rPr>
        <w:t xml:space="preserve"> percentage points</w:t>
      </w:r>
      <w:r w:rsidR="003B7721">
        <w:rPr>
          <w:rFonts w:ascii="Palatino Linotype" w:hAnsi="Palatino Linotype" w:cstheme="minorHAnsi"/>
          <w:bCs/>
          <w:sz w:val="22"/>
          <w:szCs w:val="22"/>
        </w:rPr>
        <w:t xml:space="preserve"> (Table 1). </w:t>
      </w:r>
      <w:r w:rsidR="003A503D">
        <w:rPr>
          <w:rFonts w:ascii="Palatino Linotype" w:hAnsi="Palatino Linotype" w:cstheme="minorHAnsi"/>
          <w:bCs/>
          <w:sz w:val="22"/>
          <w:szCs w:val="22"/>
        </w:rPr>
        <w:t>Quarterly</w:t>
      </w:r>
      <w:r w:rsidR="00905D7E">
        <w:rPr>
          <w:rFonts w:ascii="Palatino Linotype" w:hAnsi="Palatino Linotype" w:cstheme="minorHAnsi"/>
          <w:bCs/>
          <w:sz w:val="22"/>
          <w:szCs w:val="22"/>
        </w:rPr>
        <w:t>, w</w:t>
      </w:r>
      <w:r w:rsidR="007B70E0">
        <w:rPr>
          <w:rFonts w:ascii="Palatino Linotype" w:hAnsi="Palatino Linotype" w:cstheme="minorHAnsi"/>
          <w:sz w:val="22"/>
          <w:szCs w:val="22"/>
        </w:rPr>
        <w:t xml:space="preserve">hen we look at seasonally and calendar day adjusted </w:t>
      </w:r>
      <w:r w:rsidR="007B70E0" w:rsidRPr="002F0AEA">
        <w:rPr>
          <w:rFonts w:ascii="Palatino Linotype" w:hAnsi="Palatino Linotype" w:cstheme="minorHAnsi"/>
          <w:sz w:val="22"/>
          <w:szCs w:val="22"/>
        </w:rPr>
        <w:t>data</w:t>
      </w:r>
      <w:r w:rsidR="007B70E0">
        <w:rPr>
          <w:rFonts w:ascii="Palatino Linotype" w:hAnsi="Palatino Linotype" w:cstheme="minorHAnsi"/>
          <w:sz w:val="22"/>
          <w:szCs w:val="22"/>
        </w:rPr>
        <w:t xml:space="preserve">, we see that </w:t>
      </w:r>
      <w:r w:rsidR="003A503D">
        <w:rPr>
          <w:rFonts w:ascii="Palatino Linotype" w:hAnsi="Palatino Linotype" w:cstheme="minorHAnsi"/>
          <w:sz w:val="22"/>
          <w:szCs w:val="22"/>
        </w:rPr>
        <w:t xml:space="preserve">the </w:t>
      </w:r>
      <w:r w:rsidR="00840947">
        <w:rPr>
          <w:rFonts w:ascii="Palatino Linotype" w:hAnsi="Palatino Linotype" w:cstheme="minorHAnsi"/>
          <w:sz w:val="22"/>
          <w:szCs w:val="22"/>
        </w:rPr>
        <w:t>increase in</w:t>
      </w:r>
      <w:r w:rsidR="003B7721">
        <w:rPr>
          <w:rFonts w:ascii="Palatino Linotype" w:hAnsi="Palatino Linotype" w:cstheme="minorHAnsi"/>
          <w:sz w:val="22"/>
          <w:szCs w:val="22"/>
        </w:rPr>
        <w:t xml:space="preserve"> import</w:t>
      </w:r>
      <w:r w:rsidR="00840947">
        <w:rPr>
          <w:rFonts w:ascii="Palatino Linotype" w:hAnsi="Palatino Linotype" w:cstheme="minorHAnsi"/>
          <w:sz w:val="22"/>
          <w:szCs w:val="22"/>
        </w:rPr>
        <w:t>s</w:t>
      </w:r>
      <w:r w:rsidR="003B7721">
        <w:rPr>
          <w:rFonts w:ascii="Palatino Linotype" w:hAnsi="Palatino Linotype" w:cstheme="minorHAnsi"/>
          <w:sz w:val="22"/>
          <w:szCs w:val="22"/>
        </w:rPr>
        <w:t xml:space="preserve"> </w:t>
      </w:r>
      <w:r w:rsidR="00840947">
        <w:rPr>
          <w:rFonts w:ascii="Palatino Linotype" w:hAnsi="Palatino Linotype" w:cstheme="minorHAnsi"/>
          <w:sz w:val="22"/>
          <w:szCs w:val="22"/>
        </w:rPr>
        <w:t xml:space="preserve">accelerated in this quarter. Besides, </w:t>
      </w:r>
      <w:r w:rsidR="003A503D">
        <w:rPr>
          <w:rFonts w:ascii="Palatino Linotype" w:hAnsi="Palatino Linotype" w:cstheme="minorHAnsi"/>
          <w:sz w:val="22"/>
          <w:szCs w:val="22"/>
        </w:rPr>
        <w:t xml:space="preserve">the </w:t>
      </w:r>
      <w:r w:rsidR="00840947">
        <w:rPr>
          <w:rFonts w:ascii="Palatino Linotype" w:hAnsi="Palatino Linotype" w:cstheme="minorHAnsi"/>
          <w:sz w:val="22"/>
          <w:szCs w:val="22"/>
        </w:rPr>
        <w:t>contribution from net foreign trade to growth was minus 1.2 percentage points</w:t>
      </w:r>
      <w:r w:rsidR="002E0F5A">
        <w:rPr>
          <w:rFonts w:ascii="Palatino Linotype" w:hAnsi="Palatino Linotype" w:cstheme="minorHAnsi"/>
          <w:sz w:val="22"/>
          <w:szCs w:val="22"/>
        </w:rPr>
        <w:t xml:space="preserve"> (Table 2).</w:t>
      </w:r>
    </w:p>
    <w:p w14:paraId="1012F61F" w14:textId="77777777" w:rsidR="00630D61" w:rsidRDefault="00630D61" w:rsidP="00556396">
      <w:pPr>
        <w:pStyle w:val="NormalWeb"/>
        <w:spacing w:before="0" w:beforeAutospacing="0" w:after="0" w:afterAutospacing="0" w:line="360" w:lineRule="auto"/>
        <w:ind w:right="79"/>
        <w:jc w:val="both"/>
        <w:rPr>
          <w:rFonts w:ascii="Palatino Linotype" w:hAnsi="Palatino Linotype" w:cstheme="minorHAnsi"/>
          <w:b/>
          <w:bCs/>
          <w:sz w:val="22"/>
          <w:szCs w:val="22"/>
        </w:rPr>
      </w:pPr>
    </w:p>
    <w:p w14:paraId="1675665A" w14:textId="22F2DB26" w:rsidR="00556396" w:rsidRDefault="005664E8" w:rsidP="00556396">
      <w:pPr>
        <w:pStyle w:val="NormalWeb"/>
        <w:spacing w:before="0" w:beforeAutospacing="0" w:after="0" w:afterAutospacing="0" w:line="360" w:lineRule="auto"/>
        <w:ind w:right="79"/>
        <w:jc w:val="both"/>
        <w:rPr>
          <w:rFonts w:ascii="Palatino Linotype" w:hAnsi="Palatino Linotype" w:cstheme="minorHAnsi"/>
          <w:b/>
          <w:bCs/>
          <w:sz w:val="22"/>
          <w:szCs w:val="22"/>
        </w:rPr>
      </w:pPr>
      <w:r>
        <w:rPr>
          <w:rFonts w:ascii="Palatino Linotype" w:hAnsi="Palatino Linotype" w:cstheme="minorHAnsi"/>
          <w:b/>
          <w:bCs/>
          <w:sz w:val="22"/>
          <w:szCs w:val="22"/>
        </w:rPr>
        <w:t xml:space="preserve">Limited </w:t>
      </w:r>
      <w:r w:rsidR="00D164D7">
        <w:rPr>
          <w:rFonts w:ascii="Palatino Linotype" w:hAnsi="Palatino Linotype" w:cstheme="minorHAnsi"/>
          <w:b/>
          <w:bCs/>
          <w:sz w:val="22"/>
          <w:szCs w:val="22"/>
        </w:rPr>
        <w:t>support</w:t>
      </w:r>
      <w:r>
        <w:rPr>
          <w:rFonts w:ascii="Palatino Linotype" w:hAnsi="Palatino Linotype" w:cstheme="minorHAnsi"/>
          <w:b/>
          <w:bCs/>
          <w:sz w:val="22"/>
          <w:szCs w:val="22"/>
        </w:rPr>
        <w:t xml:space="preserve"> </w:t>
      </w:r>
      <w:r w:rsidR="00D164D7">
        <w:rPr>
          <w:rFonts w:ascii="Palatino Linotype" w:hAnsi="Palatino Linotype" w:cstheme="minorHAnsi"/>
          <w:b/>
          <w:bCs/>
          <w:sz w:val="22"/>
          <w:szCs w:val="22"/>
        </w:rPr>
        <w:t>by</w:t>
      </w:r>
      <w:r w:rsidR="00D73C94">
        <w:rPr>
          <w:rFonts w:ascii="Palatino Linotype" w:hAnsi="Palatino Linotype" w:cstheme="minorHAnsi"/>
          <w:b/>
          <w:bCs/>
          <w:sz w:val="22"/>
          <w:szCs w:val="22"/>
        </w:rPr>
        <w:t xml:space="preserve"> </w:t>
      </w:r>
      <w:r w:rsidR="00D164D7">
        <w:rPr>
          <w:rFonts w:ascii="Palatino Linotype" w:hAnsi="Palatino Linotype" w:cstheme="minorHAnsi"/>
          <w:b/>
          <w:bCs/>
          <w:sz w:val="22"/>
          <w:szCs w:val="22"/>
        </w:rPr>
        <w:t>government spending</w:t>
      </w:r>
    </w:p>
    <w:p w14:paraId="16051BCE" w14:textId="5403F0BF" w:rsidR="00A603C8" w:rsidRDefault="00D828C1" w:rsidP="00556396">
      <w:pPr>
        <w:pStyle w:val="NormalWeb"/>
        <w:spacing w:before="0" w:beforeAutospacing="0" w:after="0" w:afterAutospacing="0" w:line="360" w:lineRule="auto"/>
        <w:ind w:right="79"/>
        <w:jc w:val="both"/>
        <w:rPr>
          <w:rFonts w:ascii="Palatino Linotype" w:hAnsi="Palatino Linotype" w:cstheme="minorHAnsi"/>
          <w:bCs/>
          <w:sz w:val="22"/>
          <w:szCs w:val="22"/>
        </w:rPr>
      </w:pPr>
      <w:r>
        <w:rPr>
          <w:rFonts w:ascii="Palatino Linotype" w:hAnsi="Palatino Linotype" w:cstheme="minorHAnsi"/>
          <w:sz w:val="22"/>
          <w:szCs w:val="22"/>
        </w:rPr>
        <w:t>Government spending</w:t>
      </w:r>
      <w:r w:rsidRPr="00D828C1">
        <w:rPr>
          <w:rFonts w:ascii="Palatino Linotype" w:hAnsi="Palatino Linotype" w:cstheme="minorHAnsi"/>
          <w:sz w:val="22"/>
          <w:szCs w:val="22"/>
        </w:rPr>
        <w:t xml:space="preserve"> increased by 7 percent in the third quarter of 2019 compared to the same quarter of the previous year and contributed </w:t>
      </w:r>
      <w:r>
        <w:rPr>
          <w:rFonts w:ascii="Palatino Linotype" w:hAnsi="Palatino Linotype" w:cstheme="minorHAnsi"/>
          <w:sz w:val="22"/>
          <w:szCs w:val="22"/>
        </w:rPr>
        <w:t xml:space="preserve">0.9 percentage points to growth </w:t>
      </w:r>
      <w:r w:rsidR="005D3341">
        <w:rPr>
          <w:rFonts w:ascii="Palatino Linotype" w:hAnsi="Palatino Linotype" w:cstheme="minorHAnsi"/>
          <w:bCs/>
          <w:sz w:val="22"/>
          <w:szCs w:val="22"/>
        </w:rPr>
        <w:t>(Table 1).</w:t>
      </w:r>
      <w:r w:rsidR="005664E8" w:rsidRPr="00B6148C">
        <w:rPr>
          <w:rFonts w:ascii="Palatino Linotype" w:hAnsi="Palatino Linotype" w:cstheme="minorHAnsi"/>
          <w:sz w:val="22"/>
          <w:szCs w:val="22"/>
        </w:rPr>
        <w:t xml:space="preserve"> </w:t>
      </w:r>
      <w:r w:rsidR="003A503D">
        <w:rPr>
          <w:rFonts w:ascii="Palatino Linotype" w:hAnsi="Palatino Linotype" w:cstheme="minorHAnsi"/>
          <w:bCs/>
          <w:sz w:val="22"/>
          <w:szCs w:val="22"/>
        </w:rPr>
        <w:t>Quarterly</w:t>
      </w:r>
      <w:r w:rsidR="005D3341">
        <w:rPr>
          <w:rFonts w:ascii="Palatino Linotype" w:hAnsi="Palatino Linotype" w:cstheme="minorHAnsi"/>
          <w:bCs/>
          <w:sz w:val="22"/>
          <w:szCs w:val="22"/>
        </w:rPr>
        <w:t>, w</w:t>
      </w:r>
      <w:r w:rsidR="005D3341">
        <w:rPr>
          <w:rFonts w:ascii="Palatino Linotype" w:hAnsi="Palatino Linotype" w:cstheme="minorHAnsi"/>
          <w:sz w:val="22"/>
          <w:szCs w:val="22"/>
        </w:rPr>
        <w:t xml:space="preserve">hen we look at seasonally and calendar day adjusted </w:t>
      </w:r>
      <w:r w:rsidR="005D3341" w:rsidRPr="002F0AEA">
        <w:rPr>
          <w:rFonts w:ascii="Palatino Linotype" w:hAnsi="Palatino Linotype" w:cstheme="minorHAnsi"/>
          <w:sz w:val="22"/>
          <w:szCs w:val="22"/>
        </w:rPr>
        <w:t>data</w:t>
      </w:r>
      <w:r>
        <w:rPr>
          <w:rFonts w:ascii="Palatino Linotype" w:hAnsi="Palatino Linotype" w:cstheme="minorHAnsi"/>
          <w:sz w:val="22"/>
          <w:szCs w:val="22"/>
        </w:rPr>
        <w:t xml:space="preserve">, we observe that government spending </w:t>
      </w:r>
      <w:r w:rsidR="005D3341">
        <w:rPr>
          <w:rFonts w:ascii="Palatino Linotype" w:hAnsi="Palatino Linotype" w:cstheme="minorHAnsi"/>
          <w:sz w:val="22"/>
          <w:szCs w:val="22"/>
        </w:rPr>
        <w:t xml:space="preserve">increased by </w:t>
      </w:r>
      <w:r>
        <w:rPr>
          <w:rFonts w:ascii="Palatino Linotype" w:hAnsi="Palatino Linotype" w:cstheme="minorHAnsi"/>
          <w:sz w:val="22"/>
          <w:szCs w:val="22"/>
        </w:rPr>
        <w:t>1.9 percent</w:t>
      </w:r>
      <w:r w:rsidR="005D3341">
        <w:rPr>
          <w:rFonts w:ascii="Palatino Linotype" w:hAnsi="Palatino Linotype" w:cstheme="minorHAnsi"/>
          <w:sz w:val="22"/>
          <w:szCs w:val="22"/>
        </w:rPr>
        <w:t xml:space="preserve"> in the </w:t>
      </w:r>
      <w:r>
        <w:rPr>
          <w:rFonts w:ascii="Palatino Linotype" w:hAnsi="Palatino Linotype" w:cstheme="minorHAnsi"/>
          <w:sz w:val="22"/>
          <w:szCs w:val="22"/>
        </w:rPr>
        <w:t>third</w:t>
      </w:r>
      <w:r w:rsidR="005D3341">
        <w:rPr>
          <w:rFonts w:ascii="Palatino Linotype" w:hAnsi="Palatino Linotype" w:cstheme="minorHAnsi"/>
          <w:sz w:val="22"/>
          <w:szCs w:val="22"/>
        </w:rPr>
        <w:t xml:space="preserve"> quarter of </w:t>
      </w:r>
      <w:r>
        <w:rPr>
          <w:rFonts w:ascii="Palatino Linotype" w:hAnsi="Palatino Linotype" w:cstheme="minorHAnsi"/>
          <w:sz w:val="22"/>
          <w:szCs w:val="22"/>
        </w:rPr>
        <w:t xml:space="preserve">2019 and made </w:t>
      </w:r>
      <w:r w:rsidR="003A503D">
        <w:rPr>
          <w:rFonts w:ascii="Palatino Linotype" w:hAnsi="Palatino Linotype" w:cstheme="minorHAnsi"/>
          <w:sz w:val="22"/>
          <w:szCs w:val="22"/>
        </w:rPr>
        <w:t xml:space="preserve">a </w:t>
      </w:r>
      <w:r>
        <w:rPr>
          <w:rFonts w:ascii="Palatino Linotype" w:hAnsi="Palatino Linotype" w:cstheme="minorHAnsi"/>
          <w:sz w:val="22"/>
          <w:szCs w:val="22"/>
        </w:rPr>
        <w:t>contribution of 0.3</w:t>
      </w:r>
      <w:r w:rsidR="005D3341">
        <w:rPr>
          <w:rFonts w:ascii="Palatino Linotype" w:hAnsi="Palatino Linotype" w:cstheme="minorHAnsi"/>
          <w:sz w:val="22"/>
          <w:szCs w:val="22"/>
        </w:rPr>
        <w:t xml:space="preserve"> percentage points to growth. </w:t>
      </w:r>
      <w:r w:rsidR="00B1173E">
        <w:rPr>
          <w:rFonts w:ascii="Palatino Linotype" w:hAnsi="Palatino Linotype" w:cstheme="minorHAnsi"/>
          <w:bCs/>
          <w:sz w:val="22"/>
          <w:szCs w:val="22"/>
        </w:rPr>
        <w:t>(Table 2).</w:t>
      </w:r>
      <w:r w:rsidR="00A3483C">
        <w:rPr>
          <w:rFonts w:ascii="Palatino Linotype" w:hAnsi="Palatino Linotype" w:cstheme="minorHAnsi"/>
          <w:bCs/>
          <w:sz w:val="22"/>
          <w:szCs w:val="22"/>
        </w:rPr>
        <w:t xml:space="preserve"> </w:t>
      </w:r>
    </w:p>
    <w:p w14:paraId="7E0DFB81" w14:textId="77777777" w:rsidR="00556396" w:rsidRDefault="00556396" w:rsidP="002F6884">
      <w:pPr>
        <w:pStyle w:val="NormalWeb"/>
        <w:spacing w:before="0" w:beforeAutospacing="0" w:after="0" w:afterAutospacing="0"/>
        <w:ind w:right="77"/>
        <w:rPr>
          <w:rFonts w:ascii="Palatino Linotype" w:hAnsi="Palatino Linotype" w:cstheme="minorHAnsi"/>
          <w:b/>
          <w:bCs/>
          <w:sz w:val="22"/>
          <w:szCs w:val="22"/>
        </w:rPr>
      </w:pPr>
    </w:p>
    <w:p w14:paraId="785752FE" w14:textId="531CCD44" w:rsidR="00113E0A" w:rsidRPr="007D787D" w:rsidRDefault="00113E0A" w:rsidP="00556396">
      <w:pPr>
        <w:pStyle w:val="NormalWeb"/>
        <w:spacing w:before="0" w:beforeAutospacing="0" w:after="0" w:afterAutospacing="0" w:line="360" w:lineRule="auto"/>
        <w:ind w:right="77"/>
        <w:rPr>
          <w:rFonts w:ascii="Palatino Linotype" w:hAnsi="Palatino Linotype" w:cstheme="minorHAnsi"/>
          <w:b/>
          <w:bCs/>
          <w:sz w:val="22"/>
          <w:szCs w:val="22"/>
        </w:rPr>
      </w:pPr>
      <w:r w:rsidRPr="007D787D">
        <w:rPr>
          <w:rFonts w:ascii="Palatino Linotype" w:hAnsi="Palatino Linotype" w:cstheme="minorHAnsi"/>
          <w:b/>
          <w:bCs/>
          <w:sz w:val="22"/>
          <w:szCs w:val="22"/>
        </w:rPr>
        <w:t>The Future of Growth</w:t>
      </w:r>
    </w:p>
    <w:p w14:paraId="0364E58F" w14:textId="1CB8863B" w:rsidR="00330CB7" w:rsidRDefault="00330CB7" w:rsidP="003E0004">
      <w:pPr>
        <w:pStyle w:val="NormalWeb"/>
        <w:spacing w:before="0" w:beforeAutospacing="0" w:after="0" w:afterAutospacing="0" w:line="360" w:lineRule="auto"/>
        <w:ind w:right="79"/>
        <w:jc w:val="both"/>
        <w:rPr>
          <w:rFonts w:ascii="Palatino Linotype" w:hAnsi="Palatino Linotype" w:cstheme="minorHAnsi"/>
          <w:sz w:val="22"/>
          <w:szCs w:val="22"/>
        </w:rPr>
      </w:pPr>
      <w:r>
        <w:rPr>
          <w:rFonts w:ascii="Palatino Linotype" w:hAnsi="Palatino Linotype" w:cstheme="minorHAnsi"/>
          <w:sz w:val="22"/>
          <w:szCs w:val="22"/>
        </w:rPr>
        <w:t xml:space="preserve">The fact that stock change contributes positively to growth when </w:t>
      </w:r>
      <w:r w:rsidR="003A503D">
        <w:rPr>
          <w:rFonts w:ascii="Palatino Linotype" w:hAnsi="Palatino Linotype" w:cstheme="minorHAnsi"/>
          <w:sz w:val="22"/>
          <w:szCs w:val="22"/>
        </w:rPr>
        <w:t xml:space="preserve">the </w:t>
      </w:r>
      <w:r>
        <w:rPr>
          <w:rFonts w:ascii="Palatino Linotype" w:hAnsi="Palatino Linotype" w:cstheme="minorHAnsi"/>
          <w:sz w:val="22"/>
          <w:szCs w:val="22"/>
        </w:rPr>
        <w:t>Turkish economy goes down can be interpreted that despite low demand, production is still in progress</w:t>
      </w:r>
      <w:r w:rsidR="003A503D">
        <w:rPr>
          <w:rFonts w:ascii="Palatino Linotype" w:hAnsi="Palatino Linotype" w:cstheme="minorHAnsi"/>
          <w:sz w:val="22"/>
          <w:szCs w:val="22"/>
        </w:rPr>
        <w:t>;</w:t>
      </w:r>
      <w:r>
        <w:rPr>
          <w:rFonts w:ascii="Palatino Linotype" w:hAnsi="Palatino Linotype" w:cstheme="minorHAnsi"/>
          <w:sz w:val="22"/>
          <w:szCs w:val="22"/>
        </w:rPr>
        <w:t xml:space="preserve"> therefore, producer expectation of </w:t>
      </w:r>
      <w:r w:rsidR="003A503D">
        <w:rPr>
          <w:rFonts w:ascii="Palatino Linotype" w:hAnsi="Palatino Linotype" w:cstheme="minorHAnsi"/>
          <w:sz w:val="22"/>
          <w:szCs w:val="22"/>
        </w:rPr>
        <w:t xml:space="preserve">the </w:t>
      </w:r>
      <w:r>
        <w:rPr>
          <w:rFonts w:ascii="Palatino Linotype" w:hAnsi="Palatino Linotype" w:cstheme="minorHAnsi"/>
          <w:sz w:val="22"/>
          <w:szCs w:val="22"/>
        </w:rPr>
        <w:t xml:space="preserve">future is </w:t>
      </w:r>
      <w:r w:rsidRPr="007F146F">
        <w:rPr>
          <w:rFonts w:ascii="Palatino Linotype" w:hAnsi="Palatino Linotype" w:cstheme="minorHAnsi"/>
          <w:sz w:val="22"/>
          <w:szCs w:val="22"/>
        </w:rPr>
        <w:t xml:space="preserve">positive. </w:t>
      </w:r>
      <w:bookmarkStart w:id="8" w:name="OLE_LINK11"/>
      <w:bookmarkStart w:id="9" w:name="OLE_LINK12"/>
      <w:r w:rsidRPr="007F146F">
        <w:rPr>
          <w:rFonts w:ascii="Palatino Linotype" w:hAnsi="Palatino Linotype" w:cstheme="minorHAnsi"/>
          <w:sz w:val="22"/>
          <w:szCs w:val="22"/>
        </w:rPr>
        <w:t xml:space="preserve">Although this positive signal, investments were somewhat steady </w:t>
      </w:r>
      <w:r w:rsidR="00572161" w:rsidRPr="007F146F">
        <w:rPr>
          <w:rFonts w:ascii="Palatino Linotype" w:hAnsi="Palatino Linotype" w:cstheme="minorHAnsi"/>
          <w:sz w:val="22"/>
          <w:szCs w:val="22"/>
        </w:rPr>
        <w:t>quarterly</w:t>
      </w:r>
      <w:r w:rsidRPr="007F146F">
        <w:rPr>
          <w:rFonts w:ascii="Palatino Linotype" w:hAnsi="Palatino Linotype" w:cstheme="minorHAnsi"/>
          <w:sz w:val="22"/>
          <w:szCs w:val="22"/>
        </w:rPr>
        <w:t xml:space="preserve"> and were decreasing on </w:t>
      </w:r>
      <w:r w:rsidR="003A503D" w:rsidRPr="007F146F">
        <w:rPr>
          <w:rFonts w:ascii="Palatino Linotype" w:hAnsi="Palatino Linotype" w:cstheme="minorHAnsi"/>
          <w:sz w:val="22"/>
          <w:szCs w:val="22"/>
        </w:rPr>
        <w:t>an</w:t>
      </w:r>
      <w:r w:rsidRPr="007F146F">
        <w:rPr>
          <w:rFonts w:ascii="Palatino Linotype" w:hAnsi="Palatino Linotype" w:cstheme="minorHAnsi"/>
          <w:sz w:val="22"/>
          <w:szCs w:val="22"/>
        </w:rPr>
        <w:t xml:space="preserve"> annual basis. </w:t>
      </w:r>
      <w:bookmarkEnd w:id="8"/>
      <w:bookmarkEnd w:id="9"/>
      <w:r w:rsidRPr="007F146F">
        <w:rPr>
          <w:rFonts w:ascii="Palatino Linotype" w:hAnsi="Palatino Linotype" w:cstheme="minorHAnsi"/>
          <w:sz w:val="22"/>
          <w:szCs w:val="22"/>
        </w:rPr>
        <w:t>This is alarming</w:t>
      </w:r>
      <w:r>
        <w:rPr>
          <w:rFonts w:ascii="Palatino Linotype" w:hAnsi="Palatino Linotype" w:cstheme="minorHAnsi"/>
          <w:sz w:val="22"/>
          <w:szCs w:val="22"/>
        </w:rPr>
        <w:t xml:space="preserve"> for the f</w:t>
      </w:r>
      <w:r w:rsidR="003861F5">
        <w:rPr>
          <w:rFonts w:ascii="Palatino Linotype" w:hAnsi="Palatino Linotype" w:cstheme="minorHAnsi"/>
          <w:sz w:val="22"/>
          <w:szCs w:val="22"/>
        </w:rPr>
        <w:t>uture</w:t>
      </w:r>
      <w:r>
        <w:rPr>
          <w:rFonts w:ascii="Palatino Linotype" w:hAnsi="Palatino Linotype" w:cstheme="minorHAnsi"/>
          <w:sz w:val="22"/>
          <w:szCs w:val="22"/>
        </w:rPr>
        <w:t xml:space="preserve"> periods.  Nevertheless, when we consider the fact that investments declined by 6.8 percent in the previous quarter, we can remark on the recovery in investments in this quarter. Regarding all, we anticipate that economic growth will continue for at least in the short run.</w:t>
      </w:r>
    </w:p>
    <w:p w14:paraId="0AF9A288" w14:textId="45A82239" w:rsidR="00330CB7" w:rsidRDefault="00330CB7" w:rsidP="003E0004">
      <w:pPr>
        <w:pStyle w:val="NormalWeb"/>
        <w:spacing w:before="0" w:beforeAutospacing="0" w:after="0" w:afterAutospacing="0" w:line="360" w:lineRule="auto"/>
        <w:ind w:right="79"/>
        <w:jc w:val="both"/>
        <w:rPr>
          <w:rFonts w:ascii="Palatino Linotype" w:hAnsi="Palatino Linotype" w:cstheme="minorHAnsi"/>
          <w:sz w:val="22"/>
          <w:szCs w:val="22"/>
        </w:rPr>
      </w:pPr>
    </w:p>
    <w:p w14:paraId="5E35C9B5" w14:textId="50881F43" w:rsidR="00330CB7" w:rsidRDefault="00330CB7" w:rsidP="003E0004">
      <w:pPr>
        <w:pStyle w:val="NormalWeb"/>
        <w:spacing w:before="0" w:beforeAutospacing="0" w:after="0" w:afterAutospacing="0" w:line="360" w:lineRule="auto"/>
        <w:ind w:right="79"/>
        <w:jc w:val="both"/>
        <w:rPr>
          <w:rFonts w:ascii="Palatino Linotype" w:hAnsi="Palatino Linotype" w:cstheme="minorHAnsi"/>
          <w:sz w:val="22"/>
          <w:szCs w:val="22"/>
        </w:rPr>
      </w:pPr>
    </w:p>
    <w:p w14:paraId="11242682" w14:textId="32E6028C" w:rsidR="00330CB7" w:rsidRDefault="00330CB7" w:rsidP="003E0004">
      <w:pPr>
        <w:pStyle w:val="NormalWeb"/>
        <w:spacing w:before="0" w:beforeAutospacing="0" w:after="0" w:afterAutospacing="0" w:line="360" w:lineRule="auto"/>
        <w:ind w:right="79"/>
        <w:jc w:val="both"/>
        <w:rPr>
          <w:rFonts w:ascii="Palatino Linotype" w:hAnsi="Palatino Linotype" w:cstheme="minorHAnsi"/>
          <w:sz w:val="22"/>
          <w:szCs w:val="22"/>
        </w:rPr>
      </w:pPr>
    </w:p>
    <w:p w14:paraId="3CFC8CFA" w14:textId="3FB91DAD" w:rsidR="00330CB7" w:rsidRDefault="00330CB7" w:rsidP="003E0004">
      <w:pPr>
        <w:pStyle w:val="NormalWeb"/>
        <w:spacing w:before="0" w:beforeAutospacing="0" w:after="0" w:afterAutospacing="0" w:line="360" w:lineRule="auto"/>
        <w:ind w:right="79"/>
        <w:jc w:val="both"/>
        <w:rPr>
          <w:rFonts w:ascii="Palatino Linotype" w:hAnsi="Palatino Linotype" w:cstheme="minorHAnsi"/>
          <w:sz w:val="22"/>
          <w:szCs w:val="22"/>
        </w:rPr>
      </w:pPr>
    </w:p>
    <w:p w14:paraId="3BB43AEF" w14:textId="0C45A870" w:rsidR="00330CB7" w:rsidRDefault="00330CB7" w:rsidP="003E0004">
      <w:pPr>
        <w:pStyle w:val="NormalWeb"/>
        <w:spacing w:before="0" w:beforeAutospacing="0" w:after="0" w:afterAutospacing="0" w:line="360" w:lineRule="auto"/>
        <w:ind w:right="79"/>
        <w:jc w:val="both"/>
        <w:rPr>
          <w:rFonts w:ascii="Palatino Linotype" w:hAnsi="Palatino Linotype" w:cstheme="minorHAnsi"/>
          <w:sz w:val="22"/>
          <w:szCs w:val="22"/>
        </w:rPr>
      </w:pPr>
    </w:p>
    <w:p w14:paraId="675B7A58" w14:textId="668F7A33" w:rsidR="00330CB7" w:rsidRDefault="00330CB7" w:rsidP="003E0004">
      <w:pPr>
        <w:pStyle w:val="NormalWeb"/>
        <w:spacing w:before="0" w:beforeAutospacing="0" w:after="0" w:afterAutospacing="0" w:line="360" w:lineRule="auto"/>
        <w:ind w:right="79"/>
        <w:jc w:val="both"/>
        <w:rPr>
          <w:rFonts w:ascii="Palatino Linotype" w:hAnsi="Palatino Linotype" w:cstheme="minorHAnsi"/>
          <w:sz w:val="22"/>
          <w:szCs w:val="22"/>
        </w:rPr>
      </w:pPr>
    </w:p>
    <w:p w14:paraId="294FDAB5" w14:textId="77777777" w:rsidR="007F146F" w:rsidRDefault="007F146F" w:rsidP="003E0004">
      <w:pPr>
        <w:pStyle w:val="NormalWeb"/>
        <w:spacing w:before="0" w:beforeAutospacing="0" w:after="0" w:afterAutospacing="0" w:line="360" w:lineRule="auto"/>
        <w:ind w:right="79"/>
        <w:jc w:val="both"/>
        <w:rPr>
          <w:rFonts w:ascii="Palatino Linotype" w:hAnsi="Palatino Linotype" w:cstheme="minorHAnsi"/>
          <w:sz w:val="22"/>
          <w:szCs w:val="22"/>
        </w:rPr>
      </w:pPr>
    </w:p>
    <w:p w14:paraId="615E09C6" w14:textId="5F2853D9" w:rsidR="00620CE3" w:rsidRDefault="003E0004" w:rsidP="00AA789A">
      <w:pPr>
        <w:pStyle w:val="NormalWeb"/>
        <w:spacing w:before="0" w:beforeAutospacing="0" w:after="0" w:afterAutospacing="0" w:line="360" w:lineRule="auto"/>
        <w:ind w:right="79"/>
        <w:jc w:val="both"/>
        <w:rPr>
          <w:rFonts w:ascii="Palatino Linotype" w:hAnsi="Palatino Linotype" w:cstheme="minorHAnsi"/>
          <w:b/>
          <w:bCs/>
          <w:sz w:val="22"/>
          <w:szCs w:val="22"/>
        </w:rPr>
      </w:pPr>
      <w:r>
        <w:rPr>
          <w:rFonts w:ascii="Palatino Linotype" w:hAnsi="Palatino Linotype" w:cstheme="minorHAnsi"/>
          <w:bCs/>
          <w:sz w:val="22"/>
          <w:szCs w:val="22"/>
        </w:rPr>
        <w:lastRenderedPageBreak/>
        <w:t xml:space="preserve"> </w:t>
      </w:r>
      <w:r w:rsidR="00620CE3">
        <w:rPr>
          <w:rFonts w:ascii="Palatino Linotype" w:hAnsi="Palatino Linotype" w:cstheme="minorHAnsi"/>
          <w:b/>
          <w:bCs/>
          <w:sz w:val="22"/>
          <w:szCs w:val="22"/>
        </w:rPr>
        <w:t>Figure</w:t>
      </w:r>
      <w:r w:rsidR="00620CE3" w:rsidRPr="00924CD9">
        <w:rPr>
          <w:rFonts w:ascii="Palatino Linotype" w:hAnsi="Palatino Linotype" w:cstheme="minorHAnsi"/>
          <w:b/>
          <w:bCs/>
          <w:sz w:val="22"/>
          <w:szCs w:val="22"/>
        </w:rPr>
        <w:t xml:space="preserve"> 2: </w:t>
      </w:r>
      <w:r w:rsidR="00620CE3" w:rsidRPr="00321431">
        <w:rPr>
          <w:rFonts w:ascii="Palatino Linotype" w:hAnsi="Palatino Linotype" w:cstheme="minorHAnsi"/>
          <w:b/>
          <w:bCs/>
          <w:sz w:val="22"/>
          <w:szCs w:val="22"/>
        </w:rPr>
        <w:t>GDP growth rates compared to the previous quarter and same quarter of last year</w:t>
      </w:r>
      <w:r w:rsidR="00BA7151" w:rsidRPr="00BA7151">
        <w:rPr>
          <w:noProof/>
          <w:lang w:val="en-GB" w:eastAsia="en-GB"/>
        </w:rPr>
        <w:t xml:space="preserve"> </w:t>
      </w:r>
    </w:p>
    <w:p w14:paraId="6FA9D674" w14:textId="3A9C565B" w:rsidR="00620CE3" w:rsidRDefault="006809FD" w:rsidP="00620CE3">
      <w:pPr>
        <w:keepNext/>
        <w:rPr>
          <w:rFonts w:ascii="Palatino Linotype" w:hAnsi="Palatino Linotype" w:cstheme="minorHAnsi"/>
          <w:sz w:val="18"/>
          <w:szCs w:val="18"/>
        </w:rPr>
      </w:pPr>
      <w:r>
        <w:rPr>
          <w:noProof/>
          <w:lang w:val="en-GB" w:eastAsia="en-GB"/>
        </w:rPr>
        <w:drawing>
          <wp:inline distT="0" distB="0" distL="0" distR="0" wp14:anchorId="1AA9A612" wp14:editId="6F4CA5D5">
            <wp:extent cx="5760720" cy="3622040"/>
            <wp:effectExtent l="0" t="0" r="11430" b="16510"/>
            <wp:docPr id="6" name="Chart 6">
              <a:extLst xmlns:a="http://schemas.openxmlformats.org/drawingml/2006/main">
                <a:ext uri="{FF2B5EF4-FFF2-40B4-BE49-F238E27FC236}">
                  <a16:creationId xmlns:a16="http://schemas.microsoft.com/office/drawing/2014/main" id="{72D9EBC5-21EC-487D-941E-FE52049D17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F17DCD" w:rsidRPr="00321431">
        <w:rPr>
          <w:rFonts w:ascii="Palatino Linotype" w:hAnsi="Palatino Linotype" w:cstheme="minorHAnsi"/>
          <w:b/>
          <w:sz w:val="18"/>
          <w:szCs w:val="18"/>
        </w:rPr>
        <w:t xml:space="preserve"> </w:t>
      </w:r>
      <w:r w:rsidR="00620CE3" w:rsidRPr="00321431">
        <w:rPr>
          <w:rFonts w:ascii="Palatino Linotype" w:hAnsi="Palatino Linotype" w:cstheme="minorHAnsi"/>
          <w:b/>
          <w:sz w:val="18"/>
          <w:szCs w:val="18"/>
        </w:rPr>
        <w:t>Source:</w:t>
      </w:r>
      <w:r w:rsidR="00620CE3" w:rsidRPr="003E1EED">
        <w:rPr>
          <w:rFonts w:ascii="Palatino Linotype" w:hAnsi="Palatino Linotype" w:cstheme="minorHAnsi"/>
          <w:sz w:val="18"/>
          <w:szCs w:val="18"/>
        </w:rPr>
        <w:t xml:space="preserve"> </w:t>
      </w:r>
      <w:proofErr w:type="spellStart"/>
      <w:r w:rsidR="00620CE3">
        <w:rPr>
          <w:rFonts w:ascii="Palatino Linotype" w:hAnsi="Palatino Linotype" w:cstheme="minorHAnsi"/>
          <w:sz w:val="18"/>
          <w:szCs w:val="18"/>
        </w:rPr>
        <w:t>TurkStat</w:t>
      </w:r>
      <w:proofErr w:type="spellEnd"/>
      <w:r w:rsidR="00620CE3" w:rsidRPr="003E1EED">
        <w:rPr>
          <w:rFonts w:ascii="Palatino Linotype" w:hAnsi="Palatino Linotype" w:cstheme="minorHAnsi"/>
          <w:sz w:val="18"/>
          <w:szCs w:val="18"/>
        </w:rPr>
        <w:t xml:space="preserve">, </w:t>
      </w:r>
      <w:proofErr w:type="spellStart"/>
      <w:r w:rsidR="00620CE3" w:rsidRPr="003E1EED">
        <w:rPr>
          <w:rFonts w:ascii="Palatino Linotype" w:hAnsi="Palatino Linotype" w:cstheme="minorHAnsi"/>
          <w:sz w:val="18"/>
          <w:szCs w:val="18"/>
        </w:rPr>
        <w:t>Betam</w:t>
      </w:r>
      <w:proofErr w:type="spellEnd"/>
      <w:r w:rsidR="00620CE3" w:rsidRPr="003E1EED">
        <w:rPr>
          <w:rFonts w:ascii="Palatino Linotype" w:hAnsi="Palatino Linotype" w:cstheme="minorHAnsi"/>
          <w:sz w:val="18"/>
          <w:szCs w:val="18"/>
        </w:rPr>
        <w:t xml:space="preserve">. </w:t>
      </w:r>
    </w:p>
    <w:p w14:paraId="3CA6E0CA" w14:textId="7B597DBB" w:rsidR="00681AD9" w:rsidRPr="00924CD9" w:rsidRDefault="00681AD9" w:rsidP="00E85F3F">
      <w:pPr>
        <w:keepNext/>
        <w:rPr>
          <w:rFonts w:ascii="Palatino Linotype" w:hAnsi="Palatino Linotype" w:cstheme="minorHAnsi"/>
        </w:rPr>
      </w:pPr>
    </w:p>
    <w:sectPr w:rsidR="00681AD9" w:rsidRPr="00924CD9" w:rsidSect="00963B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776DC" w14:textId="77777777" w:rsidR="00B26620" w:rsidRDefault="00B26620" w:rsidP="00DA0C5D">
      <w:r>
        <w:separator/>
      </w:r>
    </w:p>
  </w:endnote>
  <w:endnote w:type="continuationSeparator" w:id="0">
    <w:p w14:paraId="03DA5910" w14:textId="77777777" w:rsidR="00B26620" w:rsidRDefault="00B26620" w:rsidP="00DA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C7A69" w14:textId="77777777" w:rsidR="00B26620" w:rsidRDefault="00B26620" w:rsidP="00DA0C5D">
      <w:r>
        <w:separator/>
      </w:r>
    </w:p>
  </w:footnote>
  <w:footnote w:type="continuationSeparator" w:id="0">
    <w:p w14:paraId="743EDB51" w14:textId="77777777" w:rsidR="00B26620" w:rsidRDefault="00B26620" w:rsidP="00DA0C5D">
      <w:r>
        <w:continuationSeparator/>
      </w:r>
    </w:p>
  </w:footnote>
  <w:footnote w:id="1">
    <w:p w14:paraId="01CC3A01" w14:textId="77777777" w:rsidR="00ED015D" w:rsidRDefault="00ED015D" w:rsidP="00ED015D">
      <w:pPr>
        <w:pStyle w:val="FootnoteText"/>
      </w:pPr>
      <w:r>
        <w:rPr>
          <w:rStyle w:val="FootnoteReference"/>
        </w:rPr>
        <w:footnoteRef/>
      </w:r>
      <w:r>
        <w:t xml:space="preserve"> </w:t>
      </w:r>
      <w:proofErr w:type="spellStart"/>
      <w:r>
        <w:t>Betam</w:t>
      </w:r>
      <w:proofErr w:type="spellEnd"/>
      <w:r>
        <w:t>, ozan.bakis@eas.bau.edu.tr</w:t>
      </w:r>
    </w:p>
  </w:footnote>
  <w:footnote w:id="2">
    <w:p w14:paraId="12D9EC11" w14:textId="508F5B6A" w:rsidR="00ED015D" w:rsidRDefault="00ED015D" w:rsidP="00ED015D">
      <w:pPr>
        <w:pStyle w:val="FootnoteText"/>
      </w:pPr>
      <w:r>
        <w:rPr>
          <w:rStyle w:val="FootnoteReference"/>
        </w:rPr>
        <w:footnoteRef/>
      </w:r>
      <w:r>
        <w:t xml:space="preserve"> </w:t>
      </w:r>
      <w:proofErr w:type="spellStart"/>
      <w:r>
        <w:t>Betam</w:t>
      </w:r>
      <w:proofErr w:type="spellEnd"/>
      <w:r w:rsidR="00AE7247">
        <w:t xml:space="preserve">, </w:t>
      </w:r>
      <w:r w:rsidR="00D563D4">
        <w:t>ugurcan.acar</w:t>
      </w:r>
      <w:r>
        <w:t xml:space="preserve">@eas.bau.edu.tr </w:t>
      </w:r>
    </w:p>
  </w:footnote>
  <w:footnote w:id="3">
    <w:p w14:paraId="7B736CC5" w14:textId="77777777" w:rsidR="00781312" w:rsidRPr="00947B8B" w:rsidRDefault="00781312" w:rsidP="00AF4BB7">
      <w:pPr>
        <w:pStyle w:val="NormalWeb"/>
        <w:ind w:right="79"/>
        <w:jc w:val="both"/>
        <w:rPr>
          <w:rFonts w:ascii="Palatino Linotype" w:hAnsi="Palatino Linotype" w:cstheme="minorHAnsi"/>
          <w:sz w:val="20"/>
          <w:szCs w:val="22"/>
        </w:rPr>
      </w:pPr>
      <w:r w:rsidRPr="00947B8B">
        <w:rPr>
          <w:sz w:val="18"/>
          <w:szCs w:val="20"/>
          <w:lang w:val="tr-TR"/>
        </w:rPr>
        <w:footnoteRef/>
      </w:r>
      <w:r w:rsidRPr="00947B8B">
        <w:rPr>
          <w:sz w:val="18"/>
          <w:szCs w:val="20"/>
          <w:lang w:val="tr-TR"/>
        </w:rPr>
        <w:t xml:space="preserve"> </w:t>
      </w:r>
      <w:proofErr w:type="spellStart"/>
      <w:r w:rsidRPr="00947B8B">
        <w:rPr>
          <w:rFonts w:ascii="Palatino Linotype" w:hAnsi="Palatino Linotype"/>
          <w:sz w:val="18"/>
          <w:szCs w:val="20"/>
        </w:rPr>
        <w:t>TurkStat</w:t>
      </w:r>
      <w:proofErr w:type="spellEnd"/>
      <w:r w:rsidRPr="00947B8B">
        <w:rPr>
          <w:rFonts w:ascii="Palatino Linotype" w:hAnsi="Palatino Linotype"/>
          <w:sz w:val="18"/>
          <w:szCs w:val="20"/>
        </w:rPr>
        <w:t xml:space="preserve"> uses the chained volume index method when calculating new national income series. The contribution to growth of the stock change cannot be easily calculated because there is an additivity problem in the chain method and a chain index cannot be derived for the "changes in stock". We discussed in detail in the research note that we recently published how to account for the contribution of stock change to growth in the chain-volume index approach (see </w:t>
      </w:r>
      <w:proofErr w:type="spellStart"/>
      <w:r w:rsidRPr="00947B8B">
        <w:rPr>
          <w:rFonts w:ascii="Palatino Linotype" w:hAnsi="Palatino Linotype"/>
          <w:sz w:val="18"/>
          <w:szCs w:val="20"/>
        </w:rPr>
        <w:t>Betam</w:t>
      </w:r>
      <w:proofErr w:type="spellEnd"/>
      <w:r w:rsidRPr="00947B8B">
        <w:rPr>
          <w:rFonts w:ascii="Palatino Linotype" w:hAnsi="Palatino Linotype"/>
          <w:sz w:val="18"/>
          <w:szCs w:val="20"/>
        </w:rPr>
        <w:t xml:space="preserve"> Research Note 17/217).</w:t>
      </w:r>
    </w:p>
    <w:p w14:paraId="3A49B442" w14:textId="4D16B6E6" w:rsidR="00781312" w:rsidRPr="00781312" w:rsidRDefault="00781312">
      <w:pPr>
        <w:pStyle w:val="FootnoteText"/>
        <w:rPr>
          <w:lang w:val="tr-T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50D03"/>
    <w:multiLevelType w:val="hybridMultilevel"/>
    <w:tmpl w:val="ABAEA2D4"/>
    <w:lvl w:ilvl="0" w:tplc="D6BC70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2MzQ1MzSxNDa0NDBQ0lEKTi0uzszPAykwrQUAWK2iNSwAAAA="/>
  </w:docVars>
  <w:rsids>
    <w:rsidRoot w:val="00D07713"/>
    <w:rsid w:val="0000121D"/>
    <w:rsid w:val="00002F9A"/>
    <w:rsid w:val="00004F33"/>
    <w:rsid w:val="000119F9"/>
    <w:rsid w:val="00015B4E"/>
    <w:rsid w:val="000242B7"/>
    <w:rsid w:val="00030EDA"/>
    <w:rsid w:val="00031C76"/>
    <w:rsid w:val="00033092"/>
    <w:rsid w:val="0003593D"/>
    <w:rsid w:val="00041E8F"/>
    <w:rsid w:val="00041FB7"/>
    <w:rsid w:val="000450AC"/>
    <w:rsid w:val="00051537"/>
    <w:rsid w:val="0005380F"/>
    <w:rsid w:val="00054943"/>
    <w:rsid w:val="00055EA1"/>
    <w:rsid w:val="000604FB"/>
    <w:rsid w:val="000652B6"/>
    <w:rsid w:val="00070F11"/>
    <w:rsid w:val="000764F0"/>
    <w:rsid w:val="0008447C"/>
    <w:rsid w:val="00096CDA"/>
    <w:rsid w:val="000978C8"/>
    <w:rsid w:val="000A612E"/>
    <w:rsid w:val="000B2D39"/>
    <w:rsid w:val="000C22FC"/>
    <w:rsid w:val="000C634D"/>
    <w:rsid w:val="000D0913"/>
    <w:rsid w:val="000D5FD3"/>
    <w:rsid w:val="000D63E2"/>
    <w:rsid w:val="000F099A"/>
    <w:rsid w:val="000F2654"/>
    <w:rsid w:val="000F2ED1"/>
    <w:rsid w:val="00103251"/>
    <w:rsid w:val="001077D8"/>
    <w:rsid w:val="0011189B"/>
    <w:rsid w:val="0011258F"/>
    <w:rsid w:val="00113E0A"/>
    <w:rsid w:val="00117151"/>
    <w:rsid w:val="0012527F"/>
    <w:rsid w:val="001347D5"/>
    <w:rsid w:val="00140468"/>
    <w:rsid w:val="00140A01"/>
    <w:rsid w:val="0014542A"/>
    <w:rsid w:val="001457A8"/>
    <w:rsid w:val="0015026C"/>
    <w:rsid w:val="001537D8"/>
    <w:rsid w:val="001609DE"/>
    <w:rsid w:val="001657AC"/>
    <w:rsid w:val="00172B2C"/>
    <w:rsid w:val="00180E6E"/>
    <w:rsid w:val="00181C5F"/>
    <w:rsid w:val="0019114E"/>
    <w:rsid w:val="001B3A44"/>
    <w:rsid w:val="001C2C68"/>
    <w:rsid w:val="001C65BF"/>
    <w:rsid w:val="001D5B02"/>
    <w:rsid w:val="001D5B0E"/>
    <w:rsid w:val="001D6465"/>
    <w:rsid w:val="001F22EF"/>
    <w:rsid w:val="001F25C8"/>
    <w:rsid w:val="001F7B1D"/>
    <w:rsid w:val="001F7BC7"/>
    <w:rsid w:val="00200A56"/>
    <w:rsid w:val="002106DF"/>
    <w:rsid w:val="00212579"/>
    <w:rsid w:val="00214914"/>
    <w:rsid w:val="002159C6"/>
    <w:rsid w:val="00223A5B"/>
    <w:rsid w:val="00225C57"/>
    <w:rsid w:val="0022673E"/>
    <w:rsid w:val="00227A08"/>
    <w:rsid w:val="00236001"/>
    <w:rsid w:val="00236056"/>
    <w:rsid w:val="00247739"/>
    <w:rsid w:val="00256F28"/>
    <w:rsid w:val="00266308"/>
    <w:rsid w:val="00275745"/>
    <w:rsid w:val="00280DBB"/>
    <w:rsid w:val="00282242"/>
    <w:rsid w:val="0028498B"/>
    <w:rsid w:val="00286BE7"/>
    <w:rsid w:val="002945D6"/>
    <w:rsid w:val="00294F61"/>
    <w:rsid w:val="0029624E"/>
    <w:rsid w:val="002A07A9"/>
    <w:rsid w:val="002A7673"/>
    <w:rsid w:val="002B0C37"/>
    <w:rsid w:val="002B7001"/>
    <w:rsid w:val="002C5BE5"/>
    <w:rsid w:val="002C5C24"/>
    <w:rsid w:val="002D3A48"/>
    <w:rsid w:val="002D5820"/>
    <w:rsid w:val="002E0F5A"/>
    <w:rsid w:val="002E1608"/>
    <w:rsid w:val="002E194B"/>
    <w:rsid w:val="002E2F3D"/>
    <w:rsid w:val="002F0AEA"/>
    <w:rsid w:val="002F2CB2"/>
    <w:rsid w:val="002F6884"/>
    <w:rsid w:val="002F6A43"/>
    <w:rsid w:val="002F7F35"/>
    <w:rsid w:val="003031C7"/>
    <w:rsid w:val="00307B16"/>
    <w:rsid w:val="00313197"/>
    <w:rsid w:val="003166A0"/>
    <w:rsid w:val="003172DB"/>
    <w:rsid w:val="00317618"/>
    <w:rsid w:val="00321431"/>
    <w:rsid w:val="00330CB7"/>
    <w:rsid w:val="00332F19"/>
    <w:rsid w:val="00333108"/>
    <w:rsid w:val="00334E27"/>
    <w:rsid w:val="0033531B"/>
    <w:rsid w:val="00344A74"/>
    <w:rsid w:val="00353941"/>
    <w:rsid w:val="003566E5"/>
    <w:rsid w:val="0035774E"/>
    <w:rsid w:val="00363B91"/>
    <w:rsid w:val="003654F6"/>
    <w:rsid w:val="00365DAB"/>
    <w:rsid w:val="00376934"/>
    <w:rsid w:val="00381E85"/>
    <w:rsid w:val="003861F5"/>
    <w:rsid w:val="00390CFF"/>
    <w:rsid w:val="00395089"/>
    <w:rsid w:val="003967B5"/>
    <w:rsid w:val="00397D3C"/>
    <w:rsid w:val="003A0146"/>
    <w:rsid w:val="003A42E6"/>
    <w:rsid w:val="003A488B"/>
    <w:rsid w:val="003A503D"/>
    <w:rsid w:val="003B0360"/>
    <w:rsid w:val="003B5AC1"/>
    <w:rsid w:val="003B7721"/>
    <w:rsid w:val="003C2891"/>
    <w:rsid w:val="003C39AF"/>
    <w:rsid w:val="003C7AEA"/>
    <w:rsid w:val="003D44CE"/>
    <w:rsid w:val="003D6EC3"/>
    <w:rsid w:val="003E0004"/>
    <w:rsid w:val="003E0201"/>
    <w:rsid w:val="003E0902"/>
    <w:rsid w:val="003E1EED"/>
    <w:rsid w:val="003E4D3E"/>
    <w:rsid w:val="003E5A3D"/>
    <w:rsid w:val="003F19B0"/>
    <w:rsid w:val="003F6ED6"/>
    <w:rsid w:val="00403E71"/>
    <w:rsid w:val="004116D0"/>
    <w:rsid w:val="004124E0"/>
    <w:rsid w:val="00414150"/>
    <w:rsid w:val="00415A3D"/>
    <w:rsid w:val="004263DD"/>
    <w:rsid w:val="0042790B"/>
    <w:rsid w:val="00431C38"/>
    <w:rsid w:val="00433A75"/>
    <w:rsid w:val="00433E2F"/>
    <w:rsid w:val="0043726B"/>
    <w:rsid w:val="004375D0"/>
    <w:rsid w:val="00441D87"/>
    <w:rsid w:val="0044231D"/>
    <w:rsid w:val="0044302D"/>
    <w:rsid w:val="00444693"/>
    <w:rsid w:val="00451A8A"/>
    <w:rsid w:val="00453999"/>
    <w:rsid w:val="004606E3"/>
    <w:rsid w:val="004617D3"/>
    <w:rsid w:val="00475688"/>
    <w:rsid w:val="00483EC5"/>
    <w:rsid w:val="00484A6D"/>
    <w:rsid w:val="004859BE"/>
    <w:rsid w:val="00490E51"/>
    <w:rsid w:val="004920A0"/>
    <w:rsid w:val="004931A5"/>
    <w:rsid w:val="004A3CC1"/>
    <w:rsid w:val="004A78AD"/>
    <w:rsid w:val="004C3A1F"/>
    <w:rsid w:val="004C5967"/>
    <w:rsid w:val="004D27CD"/>
    <w:rsid w:val="004E444D"/>
    <w:rsid w:val="004F0543"/>
    <w:rsid w:val="00510883"/>
    <w:rsid w:val="00515940"/>
    <w:rsid w:val="00521FA6"/>
    <w:rsid w:val="00523C43"/>
    <w:rsid w:val="00525FBC"/>
    <w:rsid w:val="005342D4"/>
    <w:rsid w:val="0053582F"/>
    <w:rsid w:val="0053586E"/>
    <w:rsid w:val="0053686A"/>
    <w:rsid w:val="0054145E"/>
    <w:rsid w:val="00545452"/>
    <w:rsid w:val="00551E58"/>
    <w:rsid w:val="00556396"/>
    <w:rsid w:val="00563C88"/>
    <w:rsid w:val="005664E8"/>
    <w:rsid w:val="00572161"/>
    <w:rsid w:val="00574752"/>
    <w:rsid w:val="00582521"/>
    <w:rsid w:val="005828CE"/>
    <w:rsid w:val="00586707"/>
    <w:rsid w:val="005912A1"/>
    <w:rsid w:val="0059780D"/>
    <w:rsid w:val="005A2E43"/>
    <w:rsid w:val="005B5D19"/>
    <w:rsid w:val="005C5646"/>
    <w:rsid w:val="005C6542"/>
    <w:rsid w:val="005D255A"/>
    <w:rsid w:val="005D3341"/>
    <w:rsid w:val="005D37CE"/>
    <w:rsid w:val="005E736B"/>
    <w:rsid w:val="005F4406"/>
    <w:rsid w:val="00620937"/>
    <w:rsid w:val="00620CE3"/>
    <w:rsid w:val="00625B95"/>
    <w:rsid w:val="00630CA0"/>
    <w:rsid w:val="00630D61"/>
    <w:rsid w:val="0064012D"/>
    <w:rsid w:val="00642EE3"/>
    <w:rsid w:val="00643113"/>
    <w:rsid w:val="00643216"/>
    <w:rsid w:val="006439C5"/>
    <w:rsid w:val="00645154"/>
    <w:rsid w:val="00645FEF"/>
    <w:rsid w:val="00647318"/>
    <w:rsid w:val="006549E3"/>
    <w:rsid w:val="00667370"/>
    <w:rsid w:val="006703B7"/>
    <w:rsid w:val="006809FD"/>
    <w:rsid w:val="00681022"/>
    <w:rsid w:val="00681AD9"/>
    <w:rsid w:val="00683311"/>
    <w:rsid w:val="00684E04"/>
    <w:rsid w:val="006901C7"/>
    <w:rsid w:val="00694F52"/>
    <w:rsid w:val="006A2580"/>
    <w:rsid w:val="006A5CE2"/>
    <w:rsid w:val="006A6470"/>
    <w:rsid w:val="006B13E3"/>
    <w:rsid w:val="006C3EE6"/>
    <w:rsid w:val="006D0B7D"/>
    <w:rsid w:val="006D1DD6"/>
    <w:rsid w:val="006D32A0"/>
    <w:rsid w:val="006D59B8"/>
    <w:rsid w:val="006E1666"/>
    <w:rsid w:val="006E2B12"/>
    <w:rsid w:val="00703415"/>
    <w:rsid w:val="00711A8A"/>
    <w:rsid w:val="007159A3"/>
    <w:rsid w:val="00724E7C"/>
    <w:rsid w:val="0072743C"/>
    <w:rsid w:val="00731AF8"/>
    <w:rsid w:val="00745B7D"/>
    <w:rsid w:val="007539A6"/>
    <w:rsid w:val="00765D13"/>
    <w:rsid w:val="00773D8B"/>
    <w:rsid w:val="00781312"/>
    <w:rsid w:val="00783CD4"/>
    <w:rsid w:val="007858EF"/>
    <w:rsid w:val="00787DD7"/>
    <w:rsid w:val="00791FA7"/>
    <w:rsid w:val="00794982"/>
    <w:rsid w:val="00796675"/>
    <w:rsid w:val="007A3C12"/>
    <w:rsid w:val="007A6F0F"/>
    <w:rsid w:val="007B70AD"/>
    <w:rsid w:val="007B70E0"/>
    <w:rsid w:val="007C5B10"/>
    <w:rsid w:val="007D38D0"/>
    <w:rsid w:val="007D4953"/>
    <w:rsid w:val="007D787D"/>
    <w:rsid w:val="007E086F"/>
    <w:rsid w:val="007E3F1F"/>
    <w:rsid w:val="007E4586"/>
    <w:rsid w:val="007E4E9F"/>
    <w:rsid w:val="007E6BA4"/>
    <w:rsid w:val="007F0A34"/>
    <w:rsid w:val="007F146F"/>
    <w:rsid w:val="007F3C9B"/>
    <w:rsid w:val="0080775F"/>
    <w:rsid w:val="00815160"/>
    <w:rsid w:val="00817A10"/>
    <w:rsid w:val="00823236"/>
    <w:rsid w:val="00827196"/>
    <w:rsid w:val="00831515"/>
    <w:rsid w:val="00833950"/>
    <w:rsid w:val="00835AF0"/>
    <w:rsid w:val="008360DB"/>
    <w:rsid w:val="00840947"/>
    <w:rsid w:val="0084500C"/>
    <w:rsid w:val="0084517B"/>
    <w:rsid w:val="008459A9"/>
    <w:rsid w:val="00845A54"/>
    <w:rsid w:val="00846FD6"/>
    <w:rsid w:val="00847CF0"/>
    <w:rsid w:val="00850B79"/>
    <w:rsid w:val="00853420"/>
    <w:rsid w:val="00855D64"/>
    <w:rsid w:val="00865CE6"/>
    <w:rsid w:val="00870A7B"/>
    <w:rsid w:val="008739C4"/>
    <w:rsid w:val="0088497D"/>
    <w:rsid w:val="00887E59"/>
    <w:rsid w:val="00895FBD"/>
    <w:rsid w:val="00896395"/>
    <w:rsid w:val="008C6F06"/>
    <w:rsid w:val="008C70C5"/>
    <w:rsid w:val="008D323B"/>
    <w:rsid w:val="008E3A9A"/>
    <w:rsid w:val="008E74F0"/>
    <w:rsid w:val="008F030E"/>
    <w:rsid w:val="008F1741"/>
    <w:rsid w:val="008F3A50"/>
    <w:rsid w:val="008F49E7"/>
    <w:rsid w:val="00902BF6"/>
    <w:rsid w:val="009052B6"/>
    <w:rsid w:val="00905D7E"/>
    <w:rsid w:val="00913396"/>
    <w:rsid w:val="00924CD9"/>
    <w:rsid w:val="009258D1"/>
    <w:rsid w:val="00925E74"/>
    <w:rsid w:val="00935809"/>
    <w:rsid w:val="00947B8B"/>
    <w:rsid w:val="009548FC"/>
    <w:rsid w:val="00957020"/>
    <w:rsid w:val="00963B04"/>
    <w:rsid w:val="009778A7"/>
    <w:rsid w:val="00982F71"/>
    <w:rsid w:val="00984FF1"/>
    <w:rsid w:val="0099072A"/>
    <w:rsid w:val="009A71AF"/>
    <w:rsid w:val="009A748C"/>
    <w:rsid w:val="009B1546"/>
    <w:rsid w:val="009B651F"/>
    <w:rsid w:val="009C5E11"/>
    <w:rsid w:val="009D2969"/>
    <w:rsid w:val="009D3CEB"/>
    <w:rsid w:val="009D6C98"/>
    <w:rsid w:val="009D7A7A"/>
    <w:rsid w:val="009E0C70"/>
    <w:rsid w:val="009E0CF4"/>
    <w:rsid w:val="009E1F69"/>
    <w:rsid w:val="009E3E2C"/>
    <w:rsid w:val="009E68C6"/>
    <w:rsid w:val="009F2EBE"/>
    <w:rsid w:val="009F4306"/>
    <w:rsid w:val="00A04563"/>
    <w:rsid w:val="00A160F5"/>
    <w:rsid w:val="00A20C0F"/>
    <w:rsid w:val="00A21BA4"/>
    <w:rsid w:val="00A310EA"/>
    <w:rsid w:val="00A3483C"/>
    <w:rsid w:val="00A46C4A"/>
    <w:rsid w:val="00A50FB7"/>
    <w:rsid w:val="00A550B2"/>
    <w:rsid w:val="00A603C8"/>
    <w:rsid w:val="00A6165E"/>
    <w:rsid w:val="00A63696"/>
    <w:rsid w:val="00A675D3"/>
    <w:rsid w:val="00A719DB"/>
    <w:rsid w:val="00A71F3D"/>
    <w:rsid w:val="00A75B99"/>
    <w:rsid w:val="00A82E6E"/>
    <w:rsid w:val="00A842EA"/>
    <w:rsid w:val="00A84F92"/>
    <w:rsid w:val="00A874DA"/>
    <w:rsid w:val="00A87ED9"/>
    <w:rsid w:val="00A97679"/>
    <w:rsid w:val="00AA789A"/>
    <w:rsid w:val="00AB1341"/>
    <w:rsid w:val="00AB16C5"/>
    <w:rsid w:val="00AB1E4F"/>
    <w:rsid w:val="00AB6A32"/>
    <w:rsid w:val="00AC3507"/>
    <w:rsid w:val="00AD2B46"/>
    <w:rsid w:val="00AE59EE"/>
    <w:rsid w:val="00AE7247"/>
    <w:rsid w:val="00AF28C2"/>
    <w:rsid w:val="00AF3FE7"/>
    <w:rsid w:val="00AF4BB7"/>
    <w:rsid w:val="00AF59C3"/>
    <w:rsid w:val="00B1173E"/>
    <w:rsid w:val="00B206D2"/>
    <w:rsid w:val="00B24D64"/>
    <w:rsid w:val="00B26620"/>
    <w:rsid w:val="00B27C9F"/>
    <w:rsid w:val="00B37CD7"/>
    <w:rsid w:val="00B42852"/>
    <w:rsid w:val="00B45BD0"/>
    <w:rsid w:val="00B53557"/>
    <w:rsid w:val="00B555FB"/>
    <w:rsid w:val="00B577D2"/>
    <w:rsid w:val="00B57DBD"/>
    <w:rsid w:val="00B6148C"/>
    <w:rsid w:val="00B636B3"/>
    <w:rsid w:val="00B67E66"/>
    <w:rsid w:val="00B703D3"/>
    <w:rsid w:val="00B808FF"/>
    <w:rsid w:val="00B82B92"/>
    <w:rsid w:val="00B903AE"/>
    <w:rsid w:val="00B9498C"/>
    <w:rsid w:val="00BA0BA7"/>
    <w:rsid w:val="00BA1C54"/>
    <w:rsid w:val="00BA400E"/>
    <w:rsid w:val="00BA7151"/>
    <w:rsid w:val="00BB0068"/>
    <w:rsid w:val="00BB5631"/>
    <w:rsid w:val="00BB5725"/>
    <w:rsid w:val="00BB5AEB"/>
    <w:rsid w:val="00BB6454"/>
    <w:rsid w:val="00BD6057"/>
    <w:rsid w:val="00BE3442"/>
    <w:rsid w:val="00BE4B3B"/>
    <w:rsid w:val="00BE6FC9"/>
    <w:rsid w:val="00BF0205"/>
    <w:rsid w:val="00BF4E41"/>
    <w:rsid w:val="00BF5A0A"/>
    <w:rsid w:val="00C04698"/>
    <w:rsid w:val="00C07A54"/>
    <w:rsid w:val="00C11B5A"/>
    <w:rsid w:val="00C21B16"/>
    <w:rsid w:val="00C319B6"/>
    <w:rsid w:val="00C32789"/>
    <w:rsid w:val="00C32ACD"/>
    <w:rsid w:val="00C33714"/>
    <w:rsid w:val="00C34C5C"/>
    <w:rsid w:val="00C34FEA"/>
    <w:rsid w:val="00C35660"/>
    <w:rsid w:val="00C45688"/>
    <w:rsid w:val="00C47DCC"/>
    <w:rsid w:val="00C5056E"/>
    <w:rsid w:val="00C57130"/>
    <w:rsid w:val="00C57749"/>
    <w:rsid w:val="00C60338"/>
    <w:rsid w:val="00C63F01"/>
    <w:rsid w:val="00C6420F"/>
    <w:rsid w:val="00C65542"/>
    <w:rsid w:val="00C67CEB"/>
    <w:rsid w:val="00C703CE"/>
    <w:rsid w:val="00C70AEB"/>
    <w:rsid w:val="00C71C2D"/>
    <w:rsid w:val="00C745E7"/>
    <w:rsid w:val="00C7680B"/>
    <w:rsid w:val="00C80503"/>
    <w:rsid w:val="00C82B14"/>
    <w:rsid w:val="00C86B48"/>
    <w:rsid w:val="00C86D88"/>
    <w:rsid w:val="00C97FD1"/>
    <w:rsid w:val="00CA234B"/>
    <w:rsid w:val="00CA47FB"/>
    <w:rsid w:val="00CB3462"/>
    <w:rsid w:val="00CB5D14"/>
    <w:rsid w:val="00CB767C"/>
    <w:rsid w:val="00CC6BB9"/>
    <w:rsid w:val="00CC79C0"/>
    <w:rsid w:val="00CD1958"/>
    <w:rsid w:val="00CD4010"/>
    <w:rsid w:val="00CE6742"/>
    <w:rsid w:val="00CE7DE8"/>
    <w:rsid w:val="00CF00DB"/>
    <w:rsid w:val="00CF5053"/>
    <w:rsid w:val="00D011BA"/>
    <w:rsid w:val="00D02FDC"/>
    <w:rsid w:val="00D045C2"/>
    <w:rsid w:val="00D0565E"/>
    <w:rsid w:val="00D07713"/>
    <w:rsid w:val="00D11FED"/>
    <w:rsid w:val="00D164D7"/>
    <w:rsid w:val="00D16B42"/>
    <w:rsid w:val="00D16B80"/>
    <w:rsid w:val="00D2047D"/>
    <w:rsid w:val="00D225DC"/>
    <w:rsid w:val="00D257C1"/>
    <w:rsid w:val="00D30DDE"/>
    <w:rsid w:val="00D31133"/>
    <w:rsid w:val="00D31197"/>
    <w:rsid w:val="00D35D40"/>
    <w:rsid w:val="00D37D2E"/>
    <w:rsid w:val="00D4207F"/>
    <w:rsid w:val="00D4574F"/>
    <w:rsid w:val="00D46B89"/>
    <w:rsid w:val="00D53424"/>
    <w:rsid w:val="00D56304"/>
    <w:rsid w:val="00D563D4"/>
    <w:rsid w:val="00D62FAD"/>
    <w:rsid w:val="00D64C54"/>
    <w:rsid w:val="00D73C94"/>
    <w:rsid w:val="00D74CD7"/>
    <w:rsid w:val="00D76EC3"/>
    <w:rsid w:val="00D80ACB"/>
    <w:rsid w:val="00D828C1"/>
    <w:rsid w:val="00D82B26"/>
    <w:rsid w:val="00D837DC"/>
    <w:rsid w:val="00D90931"/>
    <w:rsid w:val="00D92B0A"/>
    <w:rsid w:val="00DA05C4"/>
    <w:rsid w:val="00DA0C5D"/>
    <w:rsid w:val="00DA6495"/>
    <w:rsid w:val="00DB3A8E"/>
    <w:rsid w:val="00DC143D"/>
    <w:rsid w:val="00DD6027"/>
    <w:rsid w:val="00DD6379"/>
    <w:rsid w:val="00DE0C3C"/>
    <w:rsid w:val="00DE21F9"/>
    <w:rsid w:val="00DE2FC2"/>
    <w:rsid w:val="00DE6A95"/>
    <w:rsid w:val="00DF3360"/>
    <w:rsid w:val="00E01513"/>
    <w:rsid w:val="00E01CEA"/>
    <w:rsid w:val="00E140CF"/>
    <w:rsid w:val="00E207B3"/>
    <w:rsid w:val="00E23E54"/>
    <w:rsid w:val="00E25DC7"/>
    <w:rsid w:val="00E306CB"/>
    <w:rsid w:val="00E41840"/>
    <w:rsid w:val="00E44957"/>
    <w:rsid w:val="00E44C25"/>
    <w:rsid w:val="00E46F18"/>
    <w:rsid w:val="00E57043"/>
    <w:rsid w:val="00E60BB7"/>
    <w:rsid w:val="00E6189A"/>
    <w:rsid w:val="00E637AC"/>
    <w:rsid w:val="00E667CB"/>
    <w:rsid w:val="00E750CC"/>
    <w:rsid w:val="00E80A0B"/>
    <w:rsid w:val="00E81DD7"/>
    <w:rsid w:val="00E82940"/>
    <w:rsid w:val="00E85520"/>
    <w:rsid w:val="00E85F3F"/>
    <w:rsid w:val="00E93C61"/>
    <w:rsid w:val="00E9568F"/>
    <w:rsid w:val="00E95A54"/>
    <w:rsid w:val="00EA29DD"/>
    <w:rsid w:val="00EB00D0"/>
    <w:rsid w:val="00EB1BBC"/>
    <w:rsid w:val="00EB476F"/>
    <w:rsid w:val="00EC136E"/>
    <w:rsid w:val="00EC2814"/>
    <w:rsid w:val="00EC3573"/>
    <w:rsid w:val="00EC3B8B"/>
    <w:rsid w:val="00EC5105"/>
    <w:rsid w:val="00EC59FB"/>
    <w:rsid w:val="00ED015D"/>
    <w:rsid w:val="00ED0438"/>
    <w:rsid w:val="00EE150B"/>
    <w:rsid w:val="00EE1AD0"/>
    <w:rsid w:val="00EE4235"/>
    <w:rsid w:val="00EE6549"/>
    <w:rsid w:val="00EE6BE0"/>
    <w:rsid w:val="00EF09A7"/>
    <w:rsid w:val="00F0076E"/>
    <w:rsid w:val="00F076FB"/>
    <w:rsid w:val="00F118B1"/>
    <w:rsid w:val="00F11CD6"/>
    <w:rsid w:val="00F17DCD"/>
    <w:rsid w:val="00F22A71"/>
    <w:rsid w:val="00F23F99"/>
    <w:rsid w:val="00F27D86"/>
    <w:rsid w:val="00F32B38"/>
    <w:rsid w:val="00F37D94"/>
    <w:rsid w:val="00F42762"/>
    <w:rsid w:val="00F439CE"/>
    <w:rsid w:val="00F46A54"/>
    <w:rsid w:val="00F5130C"/>
    <w:rsid w:val="00F612B5"/>
    <w:rsid w:val="00F61FEE"/>
    <w:rsid w:val="00F66A5A"/>
    <w:rsid w:val="00F66F36"/>
    <w:rsid w:val="00F70EC7"/>
    <w:rsid w:val="00F819BC"/>
    <w:rsid w:val="00F87871"/>
    <w:rsid w:val="00F9263F"/>
    <w:rsid w:val="00F94113"/>
    <w:rsid w:val="00F964EA"/>
    <w:rsid w:val="00F97771"/>
    <w:rsid w:val="00FA63BA"/>
    <w:rsid w:val="00FA79F3"/>
    <w:rsid w:val="00FA7B27"/>
    <w:rsid w:val="00FB6937"/>
    <w:rsid w:val="00FB6ACD"/>
    <w:rsid w:val="00FC4AA3"/>
    <w:rsid w:val="00FD311B"/>
    <w:rsid w:val="00FD47AA"/>
    <w:rsid w:val="00FE07B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9B7E"/>
  <w15:docId w15:val="{0D3A7D73-F15D-419F-87BD-95A79091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713"/>
    <w:pPr>
      <w:spacing w:after="0" w:line="240" w:lineRule="auto"/>
    </w:pPr>
    <w:rPr>
      <w:rFonts w:ascii="Times New Roman"/>
      <w:sz w:val="24"/>
      <w:szCs w:val="24"/>
      <w:lang w:eastAsia="tr-TR"/>
    </w:rPr>
  </w:style>
  <w:style w:type="paragraph" w:styleId="Heading1">
    <w:name w:val="heading 1"/>
    <w:basedOn w:val="Normal"/>
    <w:next w:val="Normal"/>
    <w:link w:val="Heading1Char"/>
    <w:uiPriority w:val="99"/>
    <w:qFormat/>
    <w:rsid w:val="00D07713"/>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D07713"/>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unhideWhenUsed/>
    <w:qFormat/>
    <w:rsid w:val="00D0771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7713"/>
    <w:rPr>
      <w:rFonts w:ascii="Arial" w:hAnsi="Arial" w:cs="Arial"/>
      <w:b/>
      <w:bCs/>
      <w:sz w:val="18"/>
      <w:szCs w:val="18"/>
      <w:lang w:val="tr-TR" w:eastAsia="ar-SA"/>
    </w:rPr>
  </w:style>
  <w:style w:type="character" w:customStyle="1" w:styleId="Heading2Char">
    <w:name w:val="Heading 2 Char"/>
    <w:basedOn w:val="DefaultParagraphFont"/>
    <w:link w:val="Heading2"/>
    <w:uiPriority w:val="99"/>
    <w:rsid w:val="00D07713"/>
    <w:rPr>
      <w:rFonts w:ascii="Arial" w:hAnsi="Arial" w:cs="Arial"/>
      <w:b/>
      <w:bCs/>
      <w:i/>
      <w:iCs/>
      <w:sz w:val="28"/>
      <w:szCs w:val="28"/>
      <w:lang w:val="en-GB" w:eastAsia="ar-SA"/>
    </w:rPr>
  </w:style>
  <w:style w:type="character" w:customStyle="1" w:styleId="Heading3Char">
    <w:name w:val="Heading 3 Char"/>
    <w:basedOn w:val="DefaultParagraphFont"/>
    <w:link w:val="Heading3"/>
    <w:uiPriority w:val="9"/>
    <w:semiHidden/>
    <w:rsid w:val="00D07713"/>
    <w:rPr>
      <w:rFonts w:asciiTheme="majorHAnsi" w:eastAsiaTheme="majorEastAsia" w:hAnsiTheme="majorHAnsi" w:cstheme="majorBidi"/>
      <w:color w:val="1F3763" w:themeColor="accent1" w:themeShade="7F"/>
      <w:sz w:val="24"/>
      <w:szCs w:val="24"/>
      <w:lang w:val="tr-TR"/>
    </w:rPr>
  </w:style>
  <w:style w:type="paragraph" w:styleId="ListParagraph">
    <w:name w:val="List Paragraph"/>
    <w:basedOn w:val="Normal"/>
    <w:uiPriority w:val="34"/>
    <w:qFormat/>
    <w:rsid w:val="001C65BF"/>
    <w:pPr>
      <w:ind w:left="720"/>
      <w:contextualSpacing/>
    </w:pPr>
  </w:style>
  <w:style w:type="character" w:styleId="Hyperlink">
    <w:name w:val="Hyperlink"/>
    <w:basedOn w:val="DefaultParagraphFont"/>
    <w:uiPriority w:val="99"/>
    <w:unhideWhenUsed/>
    <w:rsid w:val="001C65BF"/>
    <w:rPr>
      <w:color w:val="0563C1" w:themeColor="hyperlink"/>
      <w:u w:val="single"/>
    </w:rPr>
  </w:style>
  <w:style w:type="character" w:customStyle="1" w:styleId="Mention1">
    <w:name w:val="Mention1"/>
    <w:basedOn w:val="DefaultParagraphFont"/>
    <w:uiPriority w:val="99"/>
    <w:semiHidden/>
    <w:unhideWhenUsed/>
    <w:rsid w:val="001C65BF"/>
    <w:rPr>
      <w:color w:val="2B579A"/>
      <w:shd w:val="clear" w:color="auto" w:fill="E6E6E6"/>
    </w:rPr>
  </w:style>
  <w:style w:type="paragraph" w:styleId="NormalWeb">
    <w:name w:val="Normal (Web)"/>
    <w:basedOn w:val="Normal"/>
    <w:uiPriority w:val="99"/>
    <w:rsid w:val="006C3EE6"/>
    <w:pPr>
      <w:spacing w:before="100" w:beforeAutospacing="1" w:after="100" w:afterAutospacing="1"/>
    </w:pPr>
  </w:style>
  <w:style w:type="character" w:customStyle="1" w:styleId="UnresolvedMention1">
    <w:name w:val="Unresolved Mention1"/>
    <w:basedOn w:val="DefaultParagraphFont"/>
    <w:uiPriority w:val="99"/>
    <w:semiHidden/>
    <w:unhideWhenUsed/>
    <w:rsid w:val="00DA0C5D"/>
    <w:rPr>
      <w:color w:val="808080"/>
      <w:shd w:val="clear" w:color="auto" w:fill="E6E6E6"/>
    </w:rPr>
  </w:style>
  <w:style w:type="paragraph" w:styleId="FootnoteText">
    <w:name w:val="footnote text"/>
    <w:basedOn w:val="Normal"/>
    <w:link w:val="FootnoteTextChar"/>
    <w:uiPriority w:val="99"/>
    <w:semiHidden/>
    <w:unhideWhenUsed/>
    <w:rsid w:val="00DA0C5D"/>
    <w:rPr>
      <w:sz w:val="20"/>
      <w:szCs w:val="20"/>
    </w:rPr>
  </w:style>
  <w:style w:type="character" w:customStyle="1" w:styleId="FootnoteTextChar">
    <w:name w:val="Footnote Text Char"/>
    <w:basedOn w:val="DefaultParagraphFont"/>
    <w:link w:val="FootnoteText"/>
    <w:uiPriority w:val="99"/>
    <w:semiHidden/>
    <w:rsid w:val="00DA0C5D"/>
    <w:rPr>
      <w:rFonts w:ascii="Times New Roman"/>
      <w:sz w:val="20"/>
      <w:szCs w:val="20"/>
      <w:lang w:val="tr-TR" w:eastAsia="tr-TR"/>
    </w:rPr>
  </w:style>
  <w:style w:type="character" w:styleId="FootnoteReference">
    <w:name w:val="footnote reference"/>
    <w:basedOn w:val="DefaultParagraphFont"/>
    <w:uiPriority w:val="99"/>
    <w:semiHidden/>
    <w:unhideWhenUsed/>
    <w:rsid w:val="00DA0C5D"/>
    <w:rPr>
      <w:vertAlign w:val="superscript"/>
    </w:rPr>
  </w:style>
  <w:style w:type="paragraph" w:styleId="BalloonText">
    <w:name w:val="Balloon Text"/>
    <w:basedOn w:val="Normal"/>
    <w:link w:val="BalloonTextChar"/>
    <w:uiPriority w:val="99"/>
    <w:semiHidden/>
    <w:unhideWhenUsed/>
    <w:rsid w:val="00845A54"/>
    <w:rPr>
      <w:rFonts w:ascii="Tahoma" w:hAnsi="Tahoma" w:cs="Tahoma"/>
      <w:sz w:val="16"/>
      <w:szCs w:val="16"/>
    </w:rPr>
  </w:style>
  <w:style w:type="character" w:customStyle="1" w:styleId="BalloonTextChar">
    <w:name w:val="Balloon Text Char"/>
    <w:basedOn w:val="DefaultParagraphFont"/>
    <w:link w:val="BalloonText"/>
    <w:uiPriority w:val="99"/>
    <w:semiHidden/>
    <w:rsid w:val="00845A54"/>
    <w:rPr>
      <w:rFonts w:ascii="Tahoma" w:hAnsi="Tahoma" w:cs="Tahoma"/>
      <w:sz w:val="16"/>
      <w:szCs w:val="16"/>
      <w:lang w:val="tr-TR" w:eastAsia="tr-TR"/>
    </w:rPr>
  </w:style>
  <w:style w:type="character" w:styleId="CommentReference">
    <w:name w:val="annotation reference"/>
    <w:basedOn w:val="DefaultParagraphFont"/>
    <w:uiPriority w:val="99"/>
    <w:semiHidden/>
    <w:unhideWhenUsed/>
    <w:rsid w:val="00247739"/>
    <w:rPr>
      <w:sz w:val="16"/>
      <w:szCs w:val="16"/>
    </w:rPr>
  </w:style>
  <w:style w:type="paragraph" w:styleId="CommentText">
    <w:name w:val="annotation text"/>
    <w:basedOn w:val="Normal"/>
    <w:link w:val="CommentTextChar"/>
    <w:uiPriority w:val="99"/>
    <w:semiHidden/>
    <w:unhideWhenUsed/>
    <w:rsid w:val="00247739"/>
    <w:rPr>
      <w:sz w:val="20"/>
      <w:szCs w:val="20"/>
    </w:rPr>
  </w:style>
  <w:style w:type="character" w:customStyle="1" w:styleId="CommentTextChar">
    <w:name w:val="Comment Text Char"/>
    <w:basedOn w:val="DefaultParagraphFont"/>
    <w:link w:val="CommentText"/>
    <w:uiPriority w:val="99"/>
    <w:semiHidden/>
    <w:rsid w:val="00247739"/>
    <w:rPr>
      <w:rFonts w:ascii="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247739"/>
    <w:rPr>
      <w:b/>
      <w:bCs/>
    </w:rPr>
  </w:style>
  <w:style w:type="character" w:customStyle="1" w:styleId="CommentSubjectChar">
    <w:name w:val="Comment Subject Char"/>
    <w:basedOn w:val="CommentTextChar"/>
    <w:link w:val="CommentSubject"/>
    <w:uiPriority w:val="99"/>
    <w:semiHidden/>
    <w:rsid w:val="00247739"/>
    <w:rPr>
      <w:rFonts w:ascii="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686">
      <w:bodyDiv w:val="1"/>
      <w:marLeft w:val="0"/>
      <w:marRight w:val="0"/>
      <w:marTop w:val="0"/>
      <w:marBottom w:val="0"/>
      <w:divBdr>
        <w:top w:val="none" w:sz="0" w:space="0" w:color="auto"/>
        <w:left w:val="none" w:sz="0" w:space="0" w:color="auto"/>
        <w:bottom w:val="none" w:sz="0" w:space="0" w:color="auto"/>
        <w:right w:val="none" w:sz="0" w:space="0" w:color="auto"/>
      </w:divBdr>
    </w:div>
    <w:div w:id="136801609">
      <w:bodyDiv w:val="1"/>
      <w:marLeft w:val="0"/>
      <w:marRight w:val="0"/>
      <w:marTop w:val="0"/>
      <w:marBottom w:val="0"/>
      <w:divBdr>
        <w:top w:val="none" w:sz="0" w:space="0" w:color="auto"/>
        <w:left w:val="none" w:sz="0" w:space="0" w:color="auto"/>
        <w:bottom w:val="none" w:sz="0" w:space="0" w:color="auto"/>
        <w:right w:val="none" w:sz="0" w:space="0" w:color="auto"/>
      </w:divBdr>
    </w:div>
    <w:div w:id="178666852">
      <w:bodyDiv w:val="1"/>
      <w:marLeft w:val="0"/>
      <w:marRight w:val="0"/>
      <w:marTop w:val="0"/>
      <w:marBottom w:val="0"/>
      <w:divBdr>
        <w:top w:val="none" w:sz="0" w:space="0" w:color="auto"/>
        <w:left w:val="none" w:sz="0" w:space="0" w:color="auto"/>
        <w:bottom w:val="none" w:sz="0" w:space="0" w:color="auto"/>
        <w:right w:val="none" w:sz="0" w:space="0" w:color="auto"/>
      </w:divBdr>
    </w:div>
    <w:div w:id="183788463">
      <w:bodyDiv w:val="1"/>
      <w:marLeft w:val="0"/>
      <w:marRight w:val="0"/>
      <w:marTop w:val="0"/>
      <w:marBottom w:val="0"/>
      <w:divBdr>
        <w:top w:val="none" w:sz="0" w:space="0" w:color="auto"/>
        <w:left w:val="none" w:sz="0" w:space="0" w:color="auto"/>
        <w:bottom w:val="none" w:sz="0" w:space="0" w:color="auto"/>
        <w:right w:val="none" w:sz="0" w:space="0" w:color="auto"/>
      </w:divBdr>
    </w:div>
    <w:div w:id="202835374">
      <w:bodyDiv w:val="1"/>
      <w:marLeft w:val="0"/>
      <w:marRight w:val="0"/>
      <w:marTop w:val="0"/>
      <w:marBottom w:val="0"/>
      <w:divBdr>
        <w:top w:val="none" w:sz="0" w:space="0" w:color="auto"/>
        <w:left w:val="none" w:sz="0" w:space="0" w:color="auto"/>
        <w:bottom w:val="none" w:sz="0" w:space="0" w:color="auto"/>
        <w:right w:val="none" w:sz="0" w:space="0" w:color="auto"/>
      </w:divBdr>
    </w:div>
    <w:div w:id="213126316">
      <w:bodyDiv w:val="1"/>
      <w:marLeft w:val="0"/>
      <w:marRight w:val="0"/>
      <w:marTop w:val="0"/>
      <w:marBottom w:val="0"/>
      <w:divBdr>
        <w:top w:val="none" w:sz="0" w:space="0" w:color="auto"/>
        <w:left w:val="none" w:sz="0" w:space="0" w:color="auto"/>
        <w:bottom w:val="none" w:sz="0" w:space="0" w:color="auto"/>
        <w:right w:val="none" w:sz="0" w:space="0" w:color="auto"/>
      </w:divBdr>
    </w:div>
    <w:div w:id="293414002">
      <w:bodyDiv w:val="1"/>
      <w:marLeft w:val="0"/>
      <w:marRight w:val="0"/>
      <w:marTop w:val="0"/>
      <w:marBottom w:val="0"/>
      <w:divBdr>
        <w:top w:val="none" w:sz="0" w:space="0" w:color="auto"/>
        <w:left w:val="none" w:sz="0" w:space="0" w:color="auto"/>
        <w:bottom w:val="none" w:sz="0" w:space="0" w:color="auto"/>
        <w:right w:val="none" w:sz="0" w:space="0" w:color="auto"/>
      </w:divBdr>
    </w:div>
    <w:div w:id="396519560">
      <w:bodyDiv w:val="1"/>
      <w:marLeft w:val="0"/>
      <w:marRight w:val="0"/>
      <w:marTop w:val="0"/>
      <w:marBottom w:val="0"/>
      <w:divBdr>
        <w:top w:val="none" w:sz="0" w:space="0" w:color="auto"/>
        <w:left w:val="none" w:sz="0" w:space="0" w:color="auto"/>
        <w:bottom w:val="none" w:sz="0" w:space="0" w:color="auto"/>
        <w:right w:val="none" w:sz="0" w:space="0" w:color="auto"/>
      </w:divBdr>
      <w:divsChild>
        <w:div w:id="5252057">
          <w:marLeft w:val="0"/>
          <w:marRight w:val="0"/>
          <w:marTop w:val="0"/>
          <w:marBottom w:val="0"/>
          <w:divBdr>
            <w:top w:val="none" w:sz="0" w:space="0" w:color="auto"/>
            <w:left w:val="none" w:sz="0" w:space="0" w:color="auto"/>
            <w:bottom w:val="none" w:sz="0" w:space="0" w:color="auto"/>
            <w:right w:val="none" w:sz="0" w:space="0" w:color="auto"/>
          </w:divBdr>
          <w:divsChild>
            <w:div w:id="628557301">
              <w:marLeft w:val="0"/>
              <w:marRight w:val="0"/>
              <w:marTop w:val="0"/>
              <w:marBottom w:val="0"/>
              <w:divBdr>
                <w:top w:val="none" w:sz="0" w:space="0" w:color="auto"/>
                <w:left w:val="none" w:sz="0" w:space="0" w:color="auto"/>
                <w:bottom w:val="none" w:sz="0" w:space="0" w:color="auto"/>
                <w:right w:val="none" w:sz="0" w:space="0" w:color="auto"/>
              </w:divBdr>
              <w:divsChild>
                <w:div w:id="1447653471">
                  <w:marLeft w:val="0"/>
                  <w:marRight w:val="0"/>
                  <w:marTop w:val="0"/>
                  <w:marBottom w:val="0"/>
                  <w:divBdr>
                    <w:top w:val="none" w:sz="0" w:space="0" w:color="auto"/>
                    <w:left w:val="none" w:sz="0" w:space="0" w:color="auto"/>
                    <w:bottom w:val="none" w:sz="0" w:space="0" w:color="auto"/>
                    <w:right w:val="none" w:sz="0" w:space="0" w:color="auto"/>
                  </w:divBdr>
                  <w:divsChild>
                    <w:div w:id="746073400">
                      <w:marLeft w:val="0"/>
                      <w:marRight w:val="0"/>
                      <w:marTop w:val="0"/>
                      <w:marBottom w:val="0"/>
                      <w:divBdr>
                        <w:top w:val="none" w:sz="0" w:space="0" w:color="auto"/>
                        <w:left w:val="none" w:sz="0" w:space="0" w:color="auto"/>
                        <w:bottom w:val="none" w:sz="0" w:space="0" w:color="auto"/>
                        <w:right w:val="none" w:sz="0" w:space="0" w:color="auto"/>
                      </w:divBdr>
                      <w:divsChild>
                        <w:div w:id="1245452024">
                          <w:marLeft w:val="0"/>
                          <w:marRight w:val="0"/>
                          <w:marTop w:val="0"/>
                          <w:marBottom w:val="0"/>
                          <w:divBdr>
                            <w:top w:val="none" w:sz="0" w:space="0" w:color="auto"/>
                            <w:left w:val="none" w:sz="0" w:space="0" w:color="auto"/>
                            <w:bottom w:val="none" w:sz="0" w:space="0" w:color="auto"/>
                            <w:right w:val="none" w:sz="0" w:space="0" w:color="auto"/>
                          </w:divBdr>
                          <w:divsChild>
                            <w:div w:id="273640104">
                              <w:marLeft w:val="0"/>
                              <w:marRight w:val="300"/>
                              <w:marTop w:val="180"/>
                              <w:marBottom w:val="0"/>
                              <w:divBdr>
                                <w:top w:val="none" w:sz="0" w:space="0" w:color="auto"/>
                                <w:left w:val="none" w:sz="0" w:space="0" w:color="auto"/>
                                <w:bottom w:val="none" w:sz="0" w:space="0" w:color="auto"/>
                                <w:right w:val="none" w:sz="0" w:space="0" w:color="auto"/>
                              </w:divBdr>
                              <w:divsChild>
                                <w:div w:id="20034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206833">
          <w:marLeft w:val="0"/>
          <w:marRight w:val="0"/>
          <w:marTop w:val="0"/>
          <w:marBottom w:val="0"/>
          <w:divBdr>
            <w:top w:val="none" w:sz="0" w:space="0" w:color="auto"/>
            <w:left w:val="none" w:sz="0" w:space="0" w:color="auto"/>
            <w:bottom w:val="none" w:sz="0" w:space="0" w:color="auto"/>
            <w:right w:val="none" w:sz="0" w:space="0" w:color="auto"/>
          </w:divBdr>
          <w:divsChild>
            <w:div w:id="8722971">
              <w:marLeft w:val="0"/>
              <w:marRight w:val="0"/>
              <w:marTop w:val="0"/>
              <w:marBottom w:val="0"/>
              <w:divBdr>
                <w:top w:val="none" w:sz="0" w:space="0" w:color="auto"/>
                <w:left w:val="none" w:sz="0" w:space="0" w:color="auto"/>
                <w:bottom w:val="none" w:sz="0" w:space="0" w:color="auto"/>
                <w:right w:val="none" w:sz="0" w:space="0" w:color="auto"/>
              </w:divBdr>
              <w:divsChild>
                <w:div w:id="1375081824">
                  <w:marLeft w:val="0"/>
                  <w:marRight w:val="0"/>
                  <w:marTop w:val="0"/>
                  <w:marBottom w:val="0"/>
                  <w:divBdr>
                    <w:top w:val="none" w:sz="0" w:space="0" w:color="auto"/>
                    <w:left w:val="none" w:sz="0" w:space="0" w:color="auto"/>
                    <w:bottom w:val="none" w:sz="0" w:space="0" w:color="auto"/>
                    <w:right w:val="none" w:sz="0" w:space="0" w:color="auto"/>
                  </w:divBdr>
                  <w:divsChild>
                    <w:div w:id="748385804">
                      <w:marLeft w:val="0"/>
                      <w:marRight w:val="0"/>
                      <w:marTop w:val="0"/>
                      <w:marBottom w:val="0"/>
                      <w:divBdr>
                        <w:top w:val="none" w:sz="0" w:space="0" w:color="auto"/>
                        <w:left w:val="none" w:sz="0" w:space="0" w:color="auto"/>
                        <w:bottom w:val="none" w:sz="0" w:space="0" w:color="auto"/>
                        <w:right w:val="none" w:sz="0" w:space="0" w:color="auto"/>
                      </w:divBdr>
                      <w:divsChild>
                        <w:div w:id="159417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936901">
      <w:bodyDiv w:val="1"/>
      <w:marLeft w:val="0"/>
      <w:marRight w:val="0"/>
      <w:marTop w:val="0"/>
      <w:marBottom w:val="0"/>
      <w:divBdr>
        <w:top w:val="none" w:sz="0" w:space="0" w:color="auto"/>
        <w:left w:val="none" w:sz="0" w:space="0" w:color="auto"/>
        <w:bottom w:val="none" w:sz="0" w:space="0" w:color="auto"/>
        <w:right w:val="none" w:sz="0" w:space="0" w:color="auto"/>
      </w:divBdr>
    </w:div>
    <w:div w:id="557791140">
      <w:bodyDiv w:val="1"/>
      <w:marLeft w:val="0"/>
      <w:marRight w:val="0"/>
      <w:marTop w:val="0"/>
      <w:marBottom w:val="0"/>
      <w:divBdr>
        <w:top w:val="none" w:sz="0" w:space="0" w:color="auto"/>
        <w:left w:val="none" w:sz="0" w:space="0" w:color="auto"/>
        <w:bottom w:val="none" w:sz="0" w:space="0" w:color="auto"/>
        <w:right w:val="none" w:sz="0" w:space="0" w:color="auto"/>
      </w:divBdr>
    </w:div>
    <w:div w:id="666320978">
      <w:bodyDiv w:val="1"/>
      <w:marLeft w:val="0"/>
      <w:marRight w:val="0"/>
      <w:marTop w:val="0"/>
      <w:marBottom w:val="0"/>
      <w:divBdr>
        <w:top w:val="none" w:sz="0" w:space="0" w:color="auto"/>
        <w:left w:val="none" w:sz="0" w:space="0" w:color="auto"/>
        <w:bottom w:val="none" w:sz="0" w:space="0" w:color="auto"/>
        <w:right w:val="none" w:sz="0" w:space="0" w:color="auto"/>
      </w:divBdr>
    </w:div>
    <w:div w:id="794177967">
      <w:bodyDiv w:val="1"/>
      <w:marLeft w:val="0"/>
      <w:marRight w:val="0"/>
      <w:marTop w:val="0"/>
      <w:marBottom w:val="0"/>
      <w:divBdr>
        <w:top w:val="none" w:sz="0" w:space="0" w:color="auto"/>
        <w:left w:val="none" w:sz="0" w:space="0" w:color="auto"/>
        <w:bottom w:val="none" w:sz="0" w:space="0" w:color="auto"/>
        <w:right w:val="none" w:sz="0" w:space="0" w:color="auto"/>
      </w:divBdr>
    </w:div>
    <w:div w:id="916472813">
      <w:bodyDiv w:val="1"/>
      <w:marLeft w:val="0"/>
      <w:marRight w:val="0"/>
      <w:marTop w:val="0"/>
      <w:marBottom w:val="0"/>
      <w:divBdr>
        <w:top w:val="none" w:sz="0" w:space="0" w:color="auto"/>
        <w:left w:val="none" w:sz="0" w:space="0" w:color="auto"/>
        <w:bottom w:val="none" w:sz="0" w:space="0" w:color="auto"/>
        <w:right w:val="none" w:sz="0" w:space="0" w:color="auto"/>
      </w:divBdr>
    </w:div>
    <w:div w:id="957295569">
      <w:bodyDiv w:val="1"/>
      <w:marLeft w:val="0"/>
      <w:marRight w:val="0"/>
      <w:marTop w:val="0"/>
      <w:marBottom w:val="0"/>
      <w:divBdr>
        <w:top w:val="none" w:sz="0" w:space="0" w:color="auto"/>
        <w:left w:val="none" w:sz="0" w:space="0" w:color="auto"/>
        <w:bottom w:val="none" w:sz="0" w:space="0" w:color="auto"/>
        <w:right w:val="none" w:sz="0" w:space="0" w:color="auto"/>
      </w:divBdr>
    </w:div>
    <w:div w:id="1080173527">
      <w:bodyDiv w:val="1"/>
      <w:marLeft w:val="0"/>
      <w:marRight w:val="0"/>
      <w:marTop w:val="0"/>
      <w:marBottom w:val="0"/>
      <w:divBdr>
        <w:top w:val="none" w:sz="0" w:space="0" w:color="auto"/>
        <w:left w:val="none" w:sz="0" w:space="0" w:color="auto"/>
        <w:bottom w:val="none" w:sz="0" w:space="0" w:color="auto"/>
        <w:right w:val="none" w:sz="0" w:space="0" w:color="auto"/>
      </w:divBdr>
    </w:div>
    <w:div w:id="1231381574">
      <w:bodyDiv w:val="1"/>
      <w:marLeft w:val="0"/>
      <w:marRight w:val="0"/>
      <w:marTop w:val="0"/>
      <w:marBottom w:val="0"/>
      <w:divBdr>
        <w:top w:val="none" w:sz="0" w:space="0" w:color="auto"/>
        <w:left w:val="none" w:sz="0" w:space="0" w:color="auto"/>
        <w:bottom w:val="none" w:sz="0" w:space="0" w:color="auto"/>
        <w:right w:val="none" w:sz="0" w:space="0" w:color="auto"/>
      </w:divBdr>
    </w:div>
    <w:div w:id="1236628815">
      <w:bodyDiv w:val="1"/>
      <w:marLeft w:val="0"/>
      <w:marRight w:val="0"/>
      <w:marTop w:val="0"/>
      <w:marBottom w:val="0"/>
      <w:divBdr>
        <w:top w:val="none" w:sz="0" w:space="0" w:color="auto"/>
        <w:left w:val="none" w:sz="0" w:space="0" w:color="auto"/>
        <w:bottom w:val="none" w:sz="0" w:space="0" w:color="auto"/>
        <w:right w:val="none" w:sz="0" w:space="0" w:color="auto"/>
      </w:divBdr>
    </w:div>
    <w:div w:id="1327326070">
      <w:bodyDiv w:val="1"/>
      <w:marLeft w:val="0"/>
      <w:marRight w:val="0"/>
      <w:marTop w:val="0"/>
      <w:marBottom w:val="0"/>
      <w:divBdr>
        <w:top w:val="none" w:sz="0" w:space="0" w:color="auto"/>
        <w:left w:val="none" w:sz="0" w:space="0" w:color="auto"/>
        <w:bottom w:val="none" w:sz="0" w:space="0" w:color="auto"/>
        <w:right w:val="none" w:sz="0" w:space="0" w:color="auto"/>
      </w:divBdr>
    </w:div>
    <w:div w:id="1469742061">
      <w:bodyDiv w:val="1"/>
      <w:marLeft w:val="0"/>
      <w:marRight w:val="0"/>
      <w:marTop w:val="0"/>
      <w:marBottom w:val="0"/>
      <w:divBdr>
        <w:top w:val="none" w:sz="0" w:space="0" w:color="auto"/>
        <w:left w:val="none" w:sz="0" w:space="0" w:color="auto"/>
        <w:bottom w:val="none" w:sz="0" w:space="0" w:color="auto"/>
        <w:right w:val="none" w:sz="0" w:space="0" w:color="auto"/>
      </w:divBdr>
    </w:div>
    <w:div w:id="1499613935">
      <w:bodyDiv w:val="1"/>
      <w:marLeft w:val="0"/>
      <w:marRight w:val="0"/>
      <w:marTop w:val="0"/>
      <w:marBottom w:val="0"/>
      <w:divBdr>
        <w:top w:val="none" w:sz="0" w:space="0" w:color="auto"/>
        <w:left w:val="none" w:sz="0" w:space="0" w:color="auto"/>
        <w:bottom w:val="none" w:sz="0" w:space="0" w:color="auto"/>
        <w:right w:val="none" w:sz="0" w:space="0" w:color="auto"/>
      </w:divBdr>
    </w:div>
    <w:div w:id="1592397191">
      <w:bodyDiv w:val="1"/>
      <w:marLeft w:val="0"/>
      <w:marRight w:val="0"/>
      <w:marTop w:val="0"/>
      <w:marBottom w:val="0"/>
      <w:divBdr>
        <w:top w:val="none" w:sz="0" w:space="0" w:color="auto"/>
        <w:left w:val="none" w:sz="0" w:space="0" w:color="auto"/>
        <w:bottom w:val="none" w:sz="0" w:space="0" w:color="auto"/>
        <w:right w:val="none" w:sz="0" w:space="0" w:color="auto"/>
      </w:divBdr>
    </w:div>
    <w:div w:id="1608541272">
      <w:bodyDiv w:val="1"/>
      <w:marLeft w:val="0"/>
      <w:marRight w:val="0"/>
      <w:marTop w:val="0"/>
      <w:marBottom w:val="0"/>
      <w:divBdr>
        <w:top w:val="none" w:sz="0" w:space="0" w:color="auto"/>
        <w:left w:val="none" w:sz="0" w:space="0" w:color="auto"/>
        <w:bottom w:val="none" w:sz="0" w:space="0" w:color="auto"/>
        <w:right w:val="none" w:sz="0" w:space="0" w:color="auto"/>
      </w:divBdr>
    </w:div>
    <w:div w:id="1627272725">
      <w:bodyDiv w:val="1"/>
      <w:marLeft w:val="0"/>
      <w:marRight w:val="0"/>
      <w:marTop w:val="0"/>
      <w:marBottom w:val="0"/>
      <w:divBdr>
        <w:top w:val="none" w:sz="0" w:space="0" w:color="auto"/>
        <w:left w:val="none" w:sz="0" w:space="0" w:color="auto"/>
        <w:bottom w:val="none" w:sz="0" w:space="0" w:color="auto"/>
        <w:right w:val="none" w:sz="0" w:space="0" w:color="auto"/>
      </w:divBdr>
    </w:div>
    <w:div w:id="1692684345">
      <w:bodyDiv w:val="1"/>
      <w:marLeft w:val="0"/>
      <w:marRight w:val="0"/>
      <w:marTop w:val="0"/>
      <w:marBottom w:val="0"/>
      <w:divBdr>
        <w:top w:val="none" w:sz="0" w:space="0" w:color="auto"/>
        <w:left w:val="none" w:sz="0" w:space="0" w:color="auto"/>
        <w:bottom w:val="none" w:sz="0" w:space="0" w:color="auto"/>
        <w:right w:val="none" w:sz="0" w:space="0" w:color="auto"/>
      </w:divBdr>
    </w:div>
    <w:div w:id="176731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gurcan.acar\Dropbox%20(Personal)\betam\betam_buyume_degerlendirme\buy_deg_tablolar_english.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gurcan.acar\Dropbox%20(Personal)\betam\betam_buyume_degerlendirme\buy_deg_tablolar_english.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gurcan.acar\Dropbox%20(Personal)\betam\betam_buyume_degerlendirme\buy_deg_tablolar_english.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'2019 Q3'!$F$3</c:f>
              <c:strCache>
                <c:ptCount val="1"/>
                <c:pt idx="0">
                  <c:v>Contribution (%)</c:v>
                </c:pt>
              </c:strCache>
            </c:strRef>
          </c:tx>
          <c:spPr>
            <a:solidFill>
              <a:schemeClr val="accent1"/>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90FF-4A91-A4EC-60BC6C8F3C3A}"/>
              </c:ext>
            </c:extLst>
          </c:dPt>
          <c:dPt>
            <c:idx val="1"/>
            <c:invertIfNegative val="0"/>
            <c:bubble3D val="0"/>
            <c:spPr>
              <a:solidFill>
                <a:schemeClr val="accent1"/>
              </a:solidFill>
              <a:ln>
                <a:noFill/>
              </a:ln>
              <a:effectLst/>
            </c:spPr>
            <c:extLst>
              <c:ext xmlns:c16="http://schemas.microsoft.com/office/drawing/2014/chart" uri="{C3380CC4-5D6E-409C-BE32-E72D297353CC}">
                <c16:uniqueId val="{00000003-90FF-4A91-A4EC-60BC6C8F3C3A}"/>
              </c:ext>
            </c:extLst>
          </c:dPt>
          <c:dPt>
            <c:idx val="2"/>
            <c:invertIfNegative val="0"/>
            <c:bubble3D val="0"/>
            <c:spPr>
              <a:solidFill>
                <a:srgbClr val="FF0000"/>
              </a:solidFill>
              <a:ln>
                <a:noFill/>
              </a:ln>
              <a:effectLst/>
            </c:spPr>
            <c:extLst>
              <c:ext xmlns:c16="http://schemas.microsoft.com/office/drawing/2014/chart" uri="{C3380CC4-5D6E-409C-BE32-E72D297353CC}">
                <c16:uniqueId val="{00000005-90FF-4A91-A4EC-60BC6C8F3C3A}"/>
              </c:ext>
            </c:extLst>
          </c:dPt>
          <c:dPt>
            <c:idx val="3"/>
            <c:invertIfNegative val="0"/>
            <c:bubble3D val="0"/>
            <c:spPr>
              <a:solidFill>
                <a:schemeClr val="accent1"/>
              </a:solidFill>
              <a:ln>
                <a:noFill/>
              </a:ln>
              <a:effectLst/>
            </c:spPr>
            <c:extLst>
              <c:ext xmlns:c16="http://schemas.microsoft.com/office/drawing/2014/chart" uri="{C3380CC4-5D6E-409C-BE32-E72D297353CC}">
                <c16:uniqueId val="{00000007-90FF-4A91-A4EC-60BC6C8F3C3A}"/>
              </c:ext>
            </c:extLst>
          </c:dPt>
          <c:dPt>
            <c:idx val="4"/>
            <c:invertIfNegative val="0"/>
            <c:bubble3D val="0"/>
            <c:spPr>
              <a:solidFill>
                <a:schemeClr val="accent1"/>
              </a:solidFill>
              <a:ln>
                <a:noFill/>
              </a:ln>
              <a:effectLst/>
            </c:spPr>
            <c:extLst>
              <c:ext xmlns:c16="http://schemas.microsoft.com/office/drawing/2014/chart" uri="{C3380CC4-5D6E-409C-BE32-E72D297353CC}">
                <c16:uniqueId val="{00000009-90FF-4A91-A4EC-60BC6C8F3C3A}"/>
              </c:ext>
            </c:extLst>
          </c:dPt>
          <c:dPt>
            <c:idx val="5"/>
            <c:invertIfNegative val="0"/>
            <c:bubble3D val="0"/>
            <c:spPr>
              <a:solidFill>
                <a:srgbClr val="FF0000"/>
              </a:solidFill>
              <a:ln>
                <a:noFill/>
              </a:ln>
              <a:effectLst/>
            </c:spPr>
            <c:extLst>
              <c:ext xmlns:c16="http://schemas.microsoft.com/office/drawing/2014/chart" uri="{C3380CC4-5D6E-409C-BE32-E72D297353CC}">
                <c16:uniqueId val="{0000000B-90FF-4A91-A4EC-60BC6C8F3C3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 Q3'!$B$4:$B$10</c:f>
              <c:strCache>
                <c:ptCount val="7"/>
                <c:pt idx="0">
                  <c:v>Consumption</c:v>
                </c:pt>
                <c:pt idx="1">
                  <c:v>Government Spending</c:v>
                </c:pt>
                <c:pt idx="2">
                  <c:v>Investment</c:v>
                </c:pt>
                <c:pt idx="3">
                  <c:v>Change in Stock</c:v>
                </c:pt>
                <c:pt idx="4">
                  <c:v>Export</c:v>
                </c:pt>
                <c:pt idx="5">
                  <c:v>Import</c:v>
                </c:pt>
                <c:pt idx="6">
                  <c:v>GDP</c:v>
                </c:pt>
              </c:strCache>
            </c:strRef>
          </c:cat>
          <c:val>
            <c:numRef>
              <c:f>'2019 Q3'!$F$4:$F$9</c:f>
              <c:numCache>
                <c:formatCode>0.0</c:formatCode>
                <c:ptCount val="6"/>
                <c:pt idx="0">
                  <c:v>0.85295383765905186</c:v>
                </c:pt>
                <c:pt idx="1">
                  <c:v>0.94245782913061094</c:v>
                </c:pt>
                <c:pt idx="2">
                  <c:v>-3.6032013397018119</c:v>
                </c:pt>
                <c:pt idx="3">
                  <c:v>2.4498035085594871</c:v>
                </c:pt>
                <c:pt idx="4">
                  <c:v>1.696724809591764</c:v>
                </c:pt>
                <c:pt idx="5">
                  <c:v>-1.3927324640582279</c:v>
                </c:pt>
              </c:numCache>
            </c:numRef>
          </c:val>
          <c:extLst>
            <c:ext xmlns:c16="http://schemas.microsoft.com/office/drawing/2014/chart" uri="{C3380CC4-5D6E-409C-BE32-E72D297353CC}">
              <c16:uniqueId val="{0000000C-90FF-4A91-A4EC-60BC6C8F3C3A}"/>
            </c:ext>
          </c:extLst>
        </c:ser>
        <c:dLbls>
          <c:dLblPos val="outEnd"/>
          <c:showLegendKey val="0"/>
          <c:showVal val="1"/>
          <c:showCatName val="0"/>
          <c:showSerName val="0"/>
          <c:showPercent val="0"/>
          <c:showBubbleSize val="0"/>
        </c:dLbls>
        <c:gapWidth val="219"/>
        <c:overlap val="-27"/>
        <c:axId val="1487158688"/>
        <c:axId val="1328452304"/>
      </c:barChart>
      <c:catAx>
        <c:axId val="148715868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8452304"/>
        <c:crosses val="autoZero"/>
        <c:auto val="1"/>
        <c:lblAlgn val="ctr"/>
        <c:lblOffset val="100"/>
        <c:noMultiLvlLbl val="0"/>
      </c:catAx>
      <c:valAx>
        <c:axId val="132845230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7158688"/>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'2019 Q3'!$E$3</c:f>
              <c:strCache>
                <c:ptCount val="1"/>
                <c:pt idx="0">
                  <c:v>Change (%)</c:v>
                </c:pt>
              </c:strCache>
            </c:strRef>
          </c:tx>
          <c:spPr>
            <a:solidFill>
              <a:schemeClr val="accent1"/>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FB34-45A1-AEFC-56629B8B5AB4}"/>
              </c:ext>
            </c:extLst>
          </c:dPt>
          <c:dPt>
            <c:idx val="1"/>
            <c:invertIfNegative val="0"/>
            <c:bubble3D val="0"/>
            <c:spPr>
              <a:solidFill>
                <a:schemeClr val="accent1"/>
              </a:solidFill>
              <a:ln>
                <a:noFill/>
              </a:ln>
              <a:effectLst/>
            </c:spPr>
            <c:extLst>
              <c:ext xmlns:c16="http://schemas.microsoft.com/office/drawing/2014/chart" uri="{C3380CC4-5D6E-409C-BE32-E72D297353CC}">
                <c16:uniqueId val="{00000003-FB34-45A1-AEFC-56629B8B5AB4}"/>
              </c:ext>
            </c:extLst>
          </c:dPt>
          <c:dPt>
            <c:idx val="2"/>
            <c:invertIfNegative val="0"/>
            <c:bubble3D val="0"/>
            <c:spPr>
              <a:solidFill>
                <a:srgbClr val="FF0000"/>
              </a:solidFill>
              <a:ln>
                <a:noFill/>
              </a:ln>
              <a:effectLst/>
            </c:spPr>
            <c:extLst>
              <c:ext xmlns:c16="http://schemas.microsoft.com/office/drawing/2014/chart" uri="{C3380CC4-5D6E-409C-BE32-E72D297353CC}">
                <c16:uniqueId val="{00000005-FB34-45A1-AEFC-56629B8B5AB4}"/>
              </c:ext>
            </c:extLst>
          </c:dPt>
          <c:dPt>
            <c:idx val="3"/>
            <c:invertIfNegative val="0"/>
            <c:bubble3D val="0"/>
            <c:spPr>
              <a:solidFill>
                <a:schemeClr val="accent1"/>
              </a:solidFill>
              <a:ln>
                <a:noFill/>
              </a:ln>
              <a:effectLst/>
            </c:spPr>
            <c:extLst>
              <c:ext xmlns:c16="http://schemas.microsoft.com/office/drawing/2014/chart" uri="{C3380CC4-5D6E-409C-BE32-E72D297353CC}">
                <c16:uniqueId val="{00000007-FB34-45A1-AEFC-56629B8B5AB4}"/>
              </c:ext>
            </c:extLst>
          </c:dPt>
          <c:dPt>
            <c:idx val="4"/>
            <c:invertIfNegative val="0"/>
            <c:bubble3D val="0"/>
            <c:spPr>
              <a:solidFill>
                <a:schemeClr val="accent1"/>
              </a:solidFill>
              <a:ln>
                <a:noFill/>
              </a:ln>
              <a:effectLst/>
            </c:spPr>
            <c:extLst>
              <c:ext xmlns:c16="http://schemas.microsoft.com/office/drawing/2014/chart" uri="{C3380CC4-5D6E-409C-BE32-E72D297353CC}">
                <c16:uniqueId val="{00000009-FB34-45A1-AEFC-56629B8B5AB4}"/>
              </c:ext>
            </c:extLst>
          </c:dPt>
          <c:dPt>
            <c:idx val="5"/>
            <c:invertIfNegative val="0"/>
            <c:bubble3D val="0"/>
            <c:spPr>
              <a:solidFill>
                <a:schemeClr val="accent1"/>
              </a:solidFill>
              <a:ln>
                <a:noFill/>
              </a:ln>
              <a:effectLst/>
            </c:spPr>
            <c:extLst>
              <c:ext xmlns:c16="http://schemas.microsoft.com/office/drawing/2014/chart" uri="{C3380CC4-5D6E-409C-BE32-E72D297353CC}">
                <c16:uniqueId val="{0000000B-FB34-45A1-AEFC-56629B8B5AB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 Q3'!$B$22:$B$28</c:f>
              <c:strCache>
                <c:ptCount val="6"/>
                <c:pt idx="0">
                  <c:v>Consumption</c:v>
                </c:pt>
                <c:pt idx="1">
                  <c:v>Government Spending</c:v>
                </c:pt>
                <c:pt idx="2">
                  <c:v>Investment</c:v>
                </c:pt>
                <c:pt idx="3">
                  <c:v>Export</c:v>
                </c:pt>
                <c:pt idx="4">
                  <c:v>Import</c:v>
                </c:pt>
                <c:pt idx="5">
                  <c:v>GDP</c:v>
                </c:pt>
              </c:strCache>
            </c:strRef>
          </c:cat>
          <c:val>
            <c:numRef>
              <c:f>'2019 Q3'!$E$4:$E$10</c:f>
              <c:numCache>
                <c:formatCode>0.0</c:formatCode>
                <c:ptCount val="6"/>
                <c:pt idx="0">
                  <c:v>1.5064313896205439</c:v>
                </c:pt>
                <c:pt idx="1">
                  <c:v>6.981522002558882</c:v>
                </c:pt>
                <c:pt idx="2">
                  <c:v>-12.555085157217217</c:v>
                </c:pt>
                <c:pt idx="3">
                  <c:v>5.054170418774806</c:v>
                </c:pt>
                <c:pt idx="4">
                  <c:v>7.6336347898674939</c:v>
                </c:pt>
                <c:pt idx="5">
                  <c:v>0.94600618118088065</c:v>
                </c:pt>
              </c:numCache>
            </c:numRef>
          </c:val>
          <c:extLst>
            <c:ext xmlns:c16="http://schemas.microsoft.com/office/drawing/2014/chart" uri="{C3380CC4-5D6E-409C-BE32-E72D297353CC}">
              <c16:uniqueId val="{0000000C-FB34-45A1-AEFC-56629B8B5AB4}"/>
            </c:ext>
          </c:extLst>
        </c:ser>
        <c:dLbls>
          <c:dLblPos val="outEnd"/>
          <c:showLegendKey val="0"/>
          <c:showVal val="1"/>
          <c:showCatName val="0"/>
          <c:showSerName val="0"/>
          <c:showPercent val="0"/>
          <c:showBubbleSize val="0"/>
        </c:dLbls>
        <c:gapWidth val="219"/>
        <c:overlap val="-27"/>
        <c:axId val="1487485792"/>
        <c:axId val="1486137568"/>
      </c:barChart>
      <c:catAx>
        <c:axId val="148748579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486137568"/>
        <c:crosses val="autoZero"/>
        <c:auto val="1"/>
        <c:lblAlgn val="ctr"/>
        <c:lblOffset val="1"/>
        <c:noMultiLvlLbl val="0"/>
      </c:catAx>
      <c:valAx>
        <c:axId val="1486137568"/>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7485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'2019 Q3'!$E$32</c:f>
              <c:strCache>
                <c:ptCount val="1"/>
                <c:pt idx="0">
                  <c:v>Annual Change</c:v>
                </c:pt>
              </c:strCache>
            </c:strRef>
          </c:tx>
          <c:spPr>
            <a:solidFill>
              <a:schemeClr val="accent1"/>
            </a:solidFill>
            <a:ln>
              <a:noFill/>
            </a:ln>
            <a:effectLst/>
          </c:spPr>
          <c:invertIfNegative val="0"/>
          <c:cat>
            <c:strRef>
              <c:f>'2019 Q3'!$A$40:$A$63</c:f>
              <c:strCache>
                <c:ptCount val="24"/>
                <c:pt idx="0">
                  <c:v>2013Q4</c:v>
                </c:pt>
                <c:pt idx="1">
                  <c:v>2014Q1</c:v>
                </c:pt>
                <c:pt idx="2">
                  <c:v>2014Q2</c:v>
                </c:pt>
                <c:pt idx="3">
                  <c:v>2014Q3</c:v>
                </c:pt>
                <c:pt idx="4">
                  <c:v>2014Q4</c:v>
                </c:pt>
                <c:pt idx="5">
                  <c:v>2015Q1</c:v>
                </c:pt>
                <c:pt idx="6">
                  <c:v>2015Q2</c:v>
                </c:pt>
                <c:pt idx="7">
                  <c:v>2015Q3</c:v>
                </c:pt>
                <c:pt idx="8">
                  <c:v>2015Q4</c:v>
                </c:pt>
                <c:pt idx="9">
                  <c:v>2016Q1</c:v>
                </c:pt>
                <c:pt idx="10">
                  <c:v>2016Q2</c:v>
                </c:pt>
                <c:pt idx="11">
                  <c:v>2016Q3</c:v>
                </c:pt>
                <c:pt idx="12">
                  <c:v>2016Q4</c:v>
                </c:pt>
                <c:pt idx="13">
                  <c:v>2017Q1</c:v>
                </c:pt>
                <c:pt idx="14">
                  <c:v>2017Q2</c:v>
                </c:pt>
                <c:pt idx="15">
                  <c:v>2017Q3</c:v>
                </c:pt>
                <c:pt idx="16">
                  <c:v>2017Q4</c:v>
                </c:pt>
                <c:pt idx="17">
                  <c:v>2018Q1</c:v>
                </c:pt>
                <c:pt idx="18">
                  <c:v>2018Q2</c:v>
                </c:pt>
                <c:pt idx="19">
                  <c:v>2018Q3</c:v>
                </c:pt>
                <c:pt idx="20">
                  <c:v>2018Q4</c:v>
                </c:pt>
                <c:pt idx="21">
                  <c:v>2019Q1</c:v>
                </c:pt>
                <c:pt idx="22">
                  <c:v>2019Q2</c:v>
                </c:pt>
                <c:pt idx="23">
                  <c:v>2019Q3</c:v>
                </c:pt>
              </c:strCache>
            </c:strRef>
          </c:cat>
          <c:val>
            <c:numRef>
              <c:f>'2019 Q3'!$E$40:$E$63</c:f>
              <c:numCache>
                <c:formatCode>0.0</c:formatCode>
                <c:ptCount val="24"/>
                <c:pt idx="0">
                  <c:v>6.8804097448097012</c:v>
                </c:pt>
                <c:pt idx="1">
                  <c:v>8.679514433077685</c:v>
                </c:pt>
                <c:pt idx="2">
                  <c:v>2.8975438907233864</c:v>
                </c:pt>
                <c:pt idx="3">
                  <c:v>3.6662593748295391</c:v>
                </c:pt>
                <c:pt idx="4">
                  <c:v>5.9302729224654627</c:v>
                </c:pt>
                <c:pt idx="5">
                  <c:v>3.6016444988062446</c:v>
                </c:pt>
                <c:pt idx="6">
                  <c:v>7.1600269167206632</c:v>
                </c:pt>
                <c:pt idx="7">
                  <c:v>5.7850603678571977</c:v>
                </c:pt>
                <c:pt idx="8">
                  <c:v>7.4964855651153073</c:v>
                </c:pt>
                <c:pt idx="9">
                  <c:v>4.8088367842695545</c:v>
                </c:pt>
                <c:pt idx="10">
                  <c:v>4.9296739402332257</c:v>
                </c:pt>
                <c:pt idx="11">
                  <c:v>-0.81201904278707104</c:v>
                </c:pt>
                <c:pt idx="12">
                  <c:v>4.2392839067209698</c:v>
                </c:pt>
                <c:pt idx="13">
                  <c:v>5.2639590193166885</c:v>
                </c:pt>
                <c:pt idx="14">
                  <c:v>5.3389276286467613</c:v>
                </c:pt>
                <c:pt idx="15">
                  <c:v>11.646369076474716</c:v>
                </c:pt>
                <c:pt idx="16">
                  <c:v>7.2723925431292136</c:v>
                </c:pt>
                <c:pt idx="17">
                  <c:v>7.4389435840030105</c:v>
                </c:pt>
                <c:pt idx="18">
                  <c:v>5.6427704306570181</c:v>
                </c:pt>
                <c:pt idx="19">
                  <c:v>2.3014978242978712</c:v>
                </c:pt>
                <c:pt idx="20">
                  <c:v>-2.8057125047310838</c:v>
                </c:pt>
                <c:pt idx="21">
                  <c:v>-2.2865161929326749</c:v>
                </c:pt>
                <c:pt idx="22">
                  <c:v>-1.5539210621743127</c:v>
                </c:pt>
                <c:pt idx="23">
                  <c:v>0.94600618118088065</c:v>
                </c:pt>
              </c:numCache>
            </c:numRef>
          </c:val>
          <c:extLst>
            <c:ext xmlns:c16="http://schemas.microsoft.com/office/drawing/2014/chart" uri="{C3380CC4-5D6E-409C-BE32-E72D297353CC}">
              <c16:uniqueId val="{00000000-E3CA-4D8D-A876-7B2810A4E3AD}"/>
            </c:ext>
          </c:extLst>
        </c:ser>
        <c:dLbls>
          <c:showLegendKey val="0"/>
          <c:showVal val="0"/>
          <c:showCatName val="0"/>
          <c:showSerName val="0"/>
          <c:showPercent val="0"/>
          <c:showBubbleSize val="0"/>
        </c:dLbls>
        <c:gapWidth val="75"/>
        <c:overlap val="-25"/>
        <c:axId val="1487177488"/>
        <c:axId val="1328466992"/>
      </c:barChart>
      <c:lineChart>
        <c:grouping val="standard"/>
        <c:varyColors val="0"/>
        <c:ser>
          <c:idx val="1"/>
          <c:order val="1"/>
          <c:tx>
            <c:strRef>
              <c:f>'2019 Q3'!$F$32</c:f>
              <c:strCache>
                <c:ptCount val="1"/>
                <c:pt idx="0">
                  <c:v>Quarter Change</c:v>
                </c:pt>
              </c:strCache>
            </c:strRef>
          </c:tx>
          <c:spPr>
            <a:ln w="25400" cap="rnd">
              <a:solidFill>
                <a:schemeClr val="tx1"/>
              </a:solidFill>
              <a:round/>
            </a:ln>
            <a:effectLst/>
          </c:spPr>
          <c:marker>
            <c:symbol val="none"/>
          </c:marker>
          <c:cat>
            <c:strRef>
              <c:f>'2019 Q3'!$A$40:$A$63</c:f>
              <c:strCache>
                <c:ptCount val="24"/>
                <c:pt idx="0">
                  <c:v>2013Q4</c:v>
                </c:pt>
                <c:pt idx="1">
                  <c:v>2014Q1</c:v>
                </c:pt>
                <c:pt idx="2">
                  <c:v>2014Q2</c:v>
                </c:pt>
                <c:pt idx="3">
                  <c:v>2014Q3</c:v>
                </c:pt>
                <c:pt idx="4">
                  <c:v>2014Q4</c:v>
                </c:pt>
                <c:pt idx="5">
                  <c:v>2015Q1</c:v>
                </c:pt>
                <c:pt idx="6">
                  <c:v>2015Q2</c:v>
                </c:pt>
                <c:pt idx="7">
                  <c:v>2015Q3</c:v>
                </c:pt>
                <c:pt idx="8">
                  <c:v>2015Q4</c:v>
                </c:pt>
                <c:pt idx="9">
                  <c:v>2016Q1</c:v>
                </c:pt>
                <c:pt idx="10">
                  <c:v>2016Q2</c:v>
                </c:pt>
                <c:pt idx="11">
                  <c:v>2016Q3</c:v>
                </c:pt>
                <c:pt idx="12">
                  <c:v>2016Q4</c:v>
                </c:pt>
                <c:pt idx="13">
                  <c:v>2017Q1</c:v>
                </c:pt>
                <c:pt idx="14">
                  <c:v>2017Q2</c:v>
                </c:pt>
                <c:pt idx="15">
                  <c:v>2017Q3</c:v>
                </c:pt>
                <c:pt idx="16">
                  <c:v>2017Q4</c:v>
                </c:pt>
                <c:pt idx="17">
                  <c:v>2018Q1</c:v>
                </c:pt>
                <c:pt idx="18">
                  <c:v>2018Q2</c:v>
                </c:pt>
                <c:pt idx="19">
                  <c:v>2018Q3</c:v>
                </c:pt>
                <c:pt idx="20">
                  <c:v>2018Q4</c:v>
                </c:pt>
                <c:pt idx="21">
                  <c:v>2019Q1</c:v>
                </c:pt>
                <c:pt idx="22">
                  <c:v>2019Q2</c:v>
                </c:pt>
                <c:pt idx="23">
                  <c:v>2019Q3</c:v>
                </c:pt>
              </c:strCache>
            </c:strRef>
          </c:cat>
          <c:val>
            <c:numRef>
              <c:f>'2019 Q3'!$F$40:$F$63</c:f>
              <c:numCache>
                <c:formatCode>0.0</c:formatCode>
                <c:ptCount val="24"/>
                <c:pt idx="0">
                  <c:v>0.7323027398944415</c:v>
                </c:pt>
                <c:pt idx="1">
                  <c:v>2.6644199701995719</c:v>
                </c:pt>
                <c:pt idx="2">
                  <c:v>-1.5498061972216148</c:v>
                </c:pt>
                <c:pt idx="3">
                  <c:v>2.3568373716194246</c:v>
                </c:pt>
                <c:pt idx="4">
                  <c:v>1.4948925124467438</c:v>
                </c:pt>
                <c:pt idx="5">
                  <c:v>1.8589673319550526</c:v>
                </c:pt>
                <c:pt idx="6">
                  <c:v>1.4981017111983297</c:v>
                </c:pt>
                <c:pt idx="7">
                  <c:v>1.180776871342748</c:v>
                </c:pt>
                <c:pt idx="8">
                  <c:v>1.3846224922384742</c:v>
                </c:pt>
                <c:pt idx="9">
                  <c:v>0.47175848388221198</c:v>
                </c:pt>
                <c:pt idx="10">
                  <c:v>1.1302625184818504</c:v>
                </c:pt>
                <c:pt idx="11">
                  <c:v>-3.0712740456420029</c:v>
                </c:pt>
                <c:pt idx="12">
                  <c:v>5.8148082906511522</c:v>
                </c:pt>
                <c:pt idx="13">
                  <c:v>1.4865545148634585</c:v>
                </c:pt>
                <c:pt idx="14">
                  <c:v>1.6853992483670366</c:v>
                </c:pt>
                <c:pt idx="15">
                  <c:v>1.7661931406510956</c:v>
                </c:pt>
                <c:pt idx="16">
                  <c:v>2.4229496210926849</c:v>
                </c:pt>
                <c:pt idx="17">
                  <c:v>1.1888987461230016</c:v>
                </c:pt>
                <c:pt idx="18">
                  <c:v>-6.478204152484679E-2</c:v>
                </c:pt>
                <c:pt idx="19">
                  <c:v>-1.3669689425129472</c:v>
                </c:pt>
                <c:pt idx="20">
                  <c:v>-2.588514065665215</c:v>
                </c:pt>
                <c:pt idx="21">
                  <c:v>1.6942425517010085</c:v>
                </c:pt>
                <c:pt idx="22">
                  <c:v>0.99230506980372279</c:v>
                </c:pt>
                <c:pt idx="23">
                  <c:v>0.42724450021542903</c:v>
                </c:pt>
              </c:numCache>
            </c:numRef>
          </c:val>
          <c:smooth val="0"/>
          <c:extLst>
            <c:ext xmlns:c16="http://schemas.microsoft.com/office/drawing/2014/chart" uri="{C3380CC4-5D6E-409C-BE32-E72D297353CC}">
              <c16:uniqueId val="{00000001-E3CA-4D8D-A876-7B2810A4E3AD}"/>
            </c:ext>
          </c:extLst>
        </c:ser>
        <c:dLbls>
          <c:showLegendKey val="0"/>
          <c:showVal val="0"/>
          <c:showCatName val="0"/>
          <c:showSerName val="0"/>
          <c:showPercent val="0"/>
          <c:showBubbleSize val="0"/>
        </c:dLbls>
        <c:marker val="1"/>
        <c:smooth val="0"/>
        <c:axId val="1487177488"/>
        <c:axId val="1328466992"/>
      </c:lineChart>
      <c:catAx>
        <c:axId val="1487177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328466992"/>
        <c:crosses val="autoZero"/>
        <c:auto val="1"/>
        <c:lblAlgn val="ctr"/>
        <c:lblOffset val="100"/>
        <c:noMultiLvlLbl val="0"/>
      </c:catAx>
      <c:valAx>
        <c:axId val="13284669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7177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34C67-D50E-48F1-8D35-1ABACB864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Pages>
  <Words>947</Words>
  <Characters>5400</Characters>
  <Application>Microsoft Office Word</Application>
  <DocSecurity>0</DocSecurity>
  <Lines>45</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 BAKIS</dc:creator>
  <cp:keywords/>
  <dc:description/>
  <cp:lastModifiedBy>ugurcan.acar</cp:lastModifiedBy>
  <cp:revision>83</cp:revision>
  <cp:lastPrinted>2019-12-11T08:43:00Z</cp:lastPrinted>
  <dcterms:created xsi:type="dcterms:W3CDTF">2019-07-25T14:40:00Z</dcterms:created>
  <dcterms:modified xsi:type="dcterms:W3CDTF">2019-12-11T08:43:00Z</dcterms:modified>
</cp:coreProperties>
</file>