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1B7D" w14:textId="77777777" w:rsidR="00917330" w:rsidRDefault="00917330">
      <w:pPr>
        <w:rPr>
          <w:rFonts w:ascii="Palatino Linotype" w:hAnsi="Palatino Linotype" w:cstheme="minorHAnsi"/>
        </w:rPr>
      </w:pPr>
    </w:p>
    <w:p w14:paraId="4E745BEF" w14:textId="77777777" w:rsidR="00D07713" w:rsidRPr="0050008F" w:rsidRDefault="00062A8A">
      <w:pPr>
        <w:rPr>
          <w:rFonts w:ascii="Palatino Linotype" w:hAnsi="Palatino Linotype" w:cstheme="minorHAnsi"/>
        </w:rPr>
      </w:pPr>
      <w:r w:rsidRPr="0050008F">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21462121">
                <wp:simplePos x="0" y="0"/>
                <wp:positionH relativeFrom="column">
                  <wp:posOffset>5394876</wp:posOffset>
                </wp:positionH>
                <wp:positionV relativeFrom="paragraph">
                  <wp:posOffset>53663</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5615EA52" w:rsidR="00D07713" w:rsidRPr="00D07713" w:rsidRDefault="006E07BA"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w:t>
                            </w:r>
                            <w:r w:rsidR="002F3163">
                              <w:rPr>
                                <w:rFonts w:ascii="Arial" w:eastAsia="Times New Roman" w:hAnsi="Arial" w:cs="Arial"/>
                                <w:b/>
                                <w:bCs/>
                                <w:color w:val="FFFFFF"/>
                                <w:sz w:val="22"/>
                                <w:szCs w:val="22"/>
                                <w:lang w:eastAsia="ar-SA"/>
                              </w:rPr>
                              <w:t>5</w:t>
                            </w:r>
                            <w:r w:rsidR="006F0FC6">
                              <w:rPr>
                                <w:rFonts w:ascii="Arial" w:eastAsia="Times New Roman" w:hAnsi="Arial" w:cs="Arial"/>
                                <w:b/>
                                <w:bCs/>
                                <w:color w:val="FFFFFF"/>
                                <w:sz w:val="22"/>
                                <w:szCs w:val="22"/>
                                <w:lang w:eastAsia="ar-SA"/>
                              </w:rPr>
                              <w:t xml:space="preserve"> </w:t>
                            </w:r>
                            <w:r w:rsidR="008151D2">
                              <w:rPr>
                                <w:rFonts w:ascii="Arial" w:eastAsia="Times New Roman" w:hAnsi="Arial" w:cs="Arial"/>
                                <w:b/>
                                <w:bCs/>
                                <w:color w:val="FFFFFF"/>
                                <w:sz w:val="22"/>
                                <w:szCs w:val="22"/>
                                <w:lang w:eastAsia="ar-SA"/>
                              </w:rPr>
                              <w:t>Aralık</w:t>
                            </w:r>
                            <w:r w:rsidR="00062A8A">
                              <w:rPr>
                                <w:rFonts w:ascii="Arial" w:eastAsia="Times New Roman" w:hAnsi="Arial" w:cs="Arial"/>
                                <w:b/>
                                <w:bCs/>
                                <w:color w:val="FFFFFF"/>
                                <w:sz w:val="22"/>
                                <w:szCs w:val="22"/>
                                <w:lang w:eastAsia="ar-SA"/>
                              </w:rPr>
                              <w:t xml:space="preserve"> 2019</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4.8pt;margin-top:4.25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" stroked="f">
                <v:fill opacity="0"/>
                <v:textbox inset="0,0,0,0">
                  <w:txbxContent>
                    <w:p w14:paraId="5B0CFDC6" w14:textId="5615EA52" w:rsidR="00D07713" w:rsidRPr="00D07713" w:rsidRDefault="006E07BA"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w:t>
                      </w:r>
                      <w:r w:rsidR="002F3163">
                        <w:rPr>
                          <w:rFonts w:ascii="Arial" w:eastAsia="Times New Roman" w:hAnsi="Arial" w:cs="Arial"/>
                          <w:b/>
                          <w:bCs/>
                          <w:color w:val="FFFFFF"/>
                          <w:sz w:val="22"/>
                          <w:szCs w:val="22"/>
                          <w:lang w:eastAsia="ar-SA"/>
                        </w:rPr>
                        <w:t>5</w:t>
                      </w:r>
                      <w:r w:rsidR="006F0FC6">
                        <w:rPr>
                          <w:rFonts w:ascii="Arial" w:eastAsia="Times New Roman" w:hAnsi="Arial" w:cs="Arial"/>
                          <w:b/>
                          <w:bCs/>
                          <w:color w:val="FFFFFF"/>
                          <w:sz w:val="22"/>
                          <w:szCs w:val="22"/>
                          <w:lang w:eastAsia="ar-SA"/>
                        </w:rPr>
                        <w:t xml:space="preserve"> </w:t>
                      </w:r>
                      <w:r w:rsidR="008151D2">
                        <w:rPr>
                          <w:rFonts w:ascii="Arial" w:eastAsia="Times New Roman" w:hAnsi="Arial" w:cs="Arial"/>
                          <w:b/>
                          <w:bCs/>
                          <w:color w:val="FFFFFF"/>
                          <w:sz w:val="22"/>
                          <w:szCs w:val="22"/>
                          <w:lang w:eastAsia="ar-SA"/>
                        </w:rPr>
                        <w:t>Aralık</w:t>
                      </w:r>
                      <w:r w:rsidR="00062A8A">
                        <w:rPr>
                          <w:rFonts w:ascii="Arial" w:eastAsia="Times New Roman" w:hAnsi="Arial" w:cs="Arial"/>
                          <w:b/>
                          <w:bCs/>
                          <w:color w:val="FFFFFF"/>
                          <w:sz w:val="22"/>
                          <w:szCs w:val="22"/>
                          <w:lang w:eastAsia="ar-SA"/>
                        </w:rPr>
                        <w:t xml:space="preserve"> 2019</w:t>
                      </w:r>
                    </w:p>
                    <w:p w14:paraId="1C706E2C" w14:textId="77777777" w:rsidR="00D07713" w:rsidRPr="00187FA0" w:rsidRDefault="00D07713" w:rsidP="00D07713"/>
                  </w:txbxContent>
                </v:textbox>
              </v:shape>
            </w:pict>
          </mc:Fallback>
        </mc:AlternateContent>
      </w:r>
      <w:r w:rsidR="007F39BB" w:rsidRPr="0050008F">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05CEA66D" w:rsidR="00D07713" w:rsidRPr="00526178" w:rsidRDefault="001537D8" w:rsidP="00D07713">
                            <w:pPr>
                              <w:pStyle w:val="Heading1"/>
                              <w:rPr>
                                <w:b w:val="0"/>
                                <w:bCs w:val="0"/>
                                <w:i/>
                                <w:iCs/>
                              </w:rPr>
                            </w:pPr>
                            <w:r>
                              <w:rPr>
                                <w:rFonts w:ascii="Times New Roman" w:hAnsi="Times New Roman" w:cs="Times New Roman"/>
                                <w:sz w:val="40"/>
                                <w:szCs w:val="40"/>
                              </w:rPr>
                              <w:t>201</w:t>
                            </w:r>
                            <w:r w:rsidR="004017B2">
                              <w:rPr>
                                <w:rFonts w:ascii="Times New Roman" w:hAnsi="Times New Roman" w:cs="Times New Roman"/>
                                <w:sz w:val="40"/>
                                <w:szCs w:val="40"/>
                              </w:rPr>
                              <w:t>9</w:t>
                            </w:r>
                            <w:r>
                              <w:rPr>
                                <w:rFonts w:ascii="Times New Roman" w:hAnsi="Times New Roman" w:cs="Times New Roman"/>
                                <w:sz w:val="40"/>
                                <w:szCs w:val="40"/>
                              </w:rPr>
                              <w:t xml:space="preserve"> </w:t>
                            </w:r>
                            <w:r w:rsidR="008151D2">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&#13;&#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05CEA66D" w:rsidR="00D07713" w:rsidRPr="00526178" w:rsidRDefault="001537D8" w:rsidP="00D07713">
                      <w:pPr>
                        <w:pStyle w:val="Heading1"/>
                        <w:rPr>
                          <w:b w:val="0"/>
                          <w:bCs w:val="0"/>
                          <w:i/>
                          <w:iCs/>
                        </w:rPr>
                      </w:pPr>
                      <w:r>
                        <w:rPr>
                          <w:rFonts w:ascii="Times New Roman" w:hAnsi="Times New Roman" w:cs="Times New Roman"/>
                          <w:sz w:val="40"/>
                          <w:szCs w:val="40"/>
                        </w:rPr>
                        <w:t>201</w:t>
                      </w:r>
                      <w:r w:rsidR="004017B2">
                        <w:rPr>
                          <w:rFonts w:ascii="Times New Roman" w:hAnsi="Times New Roman" w:cs="Times New Roman"/>
                          <w:sz w:val="40"/>
                          <w:szCs w:val="40"/>
                        </w:rPr>
                        <w:t>9</w:t>
                      </w:r>
                      <w:r>
                        <w:rPr>
                          <w:rFonts w:ascii="Times New Roman" w:hAnsi="Times New Roman" w:cs="Times New Roman"/>
                          <w:sz w:val="40"/>
                          <w:szCs w:val="40"/>
                        </w:rPr>
                        <w:t xml:space="preserve"> </w:t>
                      </w:r>
                      <w:r w:rsidR="008151D2">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v:textbox>
              </v:shape>
            </w:pict>
          </mc:Fallback>
        </mc:AlternateContent>
      </w:r>
      <w:r w:rsidR="00D07713" w:rsidRPr="0050008F">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50008F" w:rsidRDefault="00D07713">
      <w:pPr>
        <w:rPr>
          <w:rFonts w:ascii="Palatino Linotype" w:hAnsi="Palatino Linotype" w:cstheme="minorHAnsi"/>
        </w:rPr>
      </w:pPr>
    </w:p>
    <w:p w14:paraId="1A2A657A" w14:textId="77777777" w:rsidR="00D07713" w:rsidRPr="0050008F" w:rsidRDefault="00D07713" w:rsidP="00D07713">
      <w:pPr>
        <w:spacing w:line="288" w:lineRule="auto"/>
        <w:ind w:right="-319"/>
        <w:jc w:val="center"/>
        <w:outlineLvl w:val="0"/>
        <w:rPr>
          <w:rFonts w:ascii="Palatino Linotype" w:hAnsi="Palatino Linotype" w:cstheme="minorHAnsi"/>
          <w:b/>
          <w:bCs/>
          <w:sz w:val="28"/>
          <w:szCs w:val="28"/>
        </w:rPr>
      </w:pPr>
    </w:p>
    <w:p w14:paraId="6783B39D" w14:textId="71D9C369" w:rsidR="00D34702" w:rsidRPr="0050008F" w:rsidRDefault="00D65AAD" w:rsidP="00D34702">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TÜKETİMDEN POZİTİF YATIRIMDAN NEGATİF BÜYÜME KATKISI</w:t>
      </w:r>
    </w:p>
    <w:p w14:paraId="428E7403" w14:textId="4D344FF8" w:rsidR="00D07713" w:rsidRPr="0050008F" w:rsidRDefault="00D07713" w:rsidP="004623F2">
      <w:pPr>
        <w:spacing w:line="288" w:lineRule="auto"/>
        <w:ind w:right="-319"/>
        <w:jc w:val="center"/>
        <w:outlineLvl w:val="0"/>
        <w:rPr>
          <w:rFonts w:ascii="Palatino Linotype" w:hAnsi="Palatino Linotype" w:cstheme="minorHAnsi"/>
        </w:rPr>
      </w:pPr>
      <w:r w:rsidRPr="0050008F">
        <w:rPr>
          <w:rFonts w:ascii="Palatino Linotype" w:hAnsi="Palatino Linotype" w:cstheme="minorHAnsi"/>
          <w:b/>
          <w:bCs/>
          <w:sz w:val="22"/>
          <w:szCs w:val="22"/>
        </w:rPr>
        <w:t>Ozan Bakış</w:t>
      </w:r>
      <w:r w:rsidR="00C32789" w:rsidRPr="0050008F">
        <w:rPr>
          <w:rStyle w:val="FootnoteReference"/>
          <w:rFonts w:ascii="Palatino Linotype" w:hAnsi="Palatino Linotype" w:cstheme="minorHAnsi"/>
          <w:b/>
          <w:bCs/>
          <w:sz w:val="22"/>
          <w:szCs w:val="22"/>
        </w:rPr>
        <w:footnoteReference w:id="1"/>
      </w:r>
      <w:r w:rsidR="001537D8" w:rsidRPr="0050008F">
        <w:rPr>
          <w:rFonts w:ascii="Palatino Linotype" w:hAnsi="Palatino Linotype" w:cstheme="minorHAnsi"/>
          <w:b/>
          <w:bCs/>
          <w:sz w:val="22"/>
          <w:szCs w:val="22"/>
        </w:rPr>
        <w:t xml:space="preserve"> ve </w:t>
      </w:r>
      <w:r w:rsidR="00C14C86">
        <w:rPr>
          <w:rFonts w:ascii="Palatino Linotype" w:hAnsi="Palatino Linotype" w:cstheme="minorHAnsi"/>
          <w:b/>
          <w:bCs/>
          <w:sz w:val="22"/>
          <w:szCs w:val="22"/>
        </w:rPr>
        <w:t>Uğurcan Acar</w:t>
      </w:r>
      <w:r w:rsidR="001537D8" w:rsidRPr="0050008F">
        <w:rPr>
          <w:rStyle w:val="FootnoteReference"/>
          <w:rFonts w:ascii="Palatino Linotype" w:hAnsi="Palatino Linotype" w:cstheme="minorHAnsi"/>
          <w:b/>
          <w:bCs/>
          <w:sz w:val="22"/>
          <w:szCs w:val="22"/>
        </w:rPr>
        <w:footnoteReference w:id="2"/>
      </w:r>
    </w:p>
    <w:p w14:paraId="6E057918" w14:textId="77777777" w:rsidR="00405BD8" w:rsidRDefault="00405BD8" w:rsidP="00751F72">
      <w:pPr>
        <w:jc w:val="center"/>
        <w:rPr>
          <w:rFonts w:ascii="Palatino Linotype" w:hAnsi="Palatino Linotype" w:cstheme="minorHAnsi"/>
          <w:b/>
          <w:sz w:val="22"/>
          <w:szCs w:val="22"/>
        </w:rPr>
      </w:pPr>
    </w:p>
    <w:p w14:paraId="180703E7" w14:textId="77777777" w:rsidR="00111CED" w:rsidRPr="0050008F" w:rsidRDefault="00D257C1" w:rsidP="00405BD8">
      <w:pPr>
        <w:spacing w:line="360" w:lineRule="auto"/>
        <w:jc w:val="center"/>
        <w:rPr>
          <w:rFonts w:ascii="Palatino Linotype" w:hAnsi="Palatino Linotype" w:cstheme="minorHAnsi"/>
          <w:b/>
          <w:sz w:val="22"/>
          <w:szCs w:val="22"/>
        </w:rPr>
      </w:pPr>
      <w:r w:rsidRPr="0050008F">
        <w:rPr>
          <w:rFonts w:ascii="Palatino Linotype" w:hAnsi="Palatino Linotype" w:cstheme="minorHAnsi"/>
          <w:b/>
          <w:sz w:val="22"/>
          <w:szCs w:val="22"/>
        </w:rPr>
        <w:t>Yönetici</w:t>
      </w:r>
      <w:r w:rsidR="00C86475" w:rsidRPr="0050008F">
        <w:rPr>
          <w:rFonts w:ascii="Palatino Linotype" w:hAnsi="Palatino Linotype" w:cstheme="minorHAnsi"/>
          <w:b/>
          <w:sz w:val="22"/>
          <w:szCs w:val="22"/>
        </w:rPr>
        <w:t xml:space="preserve"> </w:t>
      </w:r>
      <w:r w:rsidRPr="0050008F">
        <w:rPr>
          <w:rFonts w:ascii="Palatino Linotype" w:hAnsi="Palatino Linotype" w:cstheme="minorHAnsi"/>
          <w:b/>
          <w:sz w:val="22"/>
          <w:szCs w:val="22"/>
        </w:rPr>
        <w:t>Özeti</w:t>
      </w:r>
    </w:p>
    <w:p w14:paraId="7644461A" w14:textId="3AE35B0E" w:rsidR="002829BC" w:rsidRDefault="00D257C1" w:rsidP="001004FF">
      <w:pPr>
        <w:spacing w:line="300" w:lineRule="auto"/>
        <w:ind w:left="567" w:right="567"/>
        <w:jc w:val="both"/>
        <w:rPr>
          <w:rFonts w:ascii="Palatino Linotype" w:hAnsi="Palatino Linotype" w:cstheme="minorHAnsi"/>
          <w:color w:val="000000" w:themeColor="text1"/>
          <w:sz w:val="22"/>
          <w:szCs w:val="22"/>
        </w:rPr>
      </w:pPr>
      <w:r w:rsidRPr="00914D26">
        <w:rPr>
          <w:rFonts w:ascii="Palatino Linotype" w:hAnsi="Palatino Linotype" w:cstheme="minorHAnsi"/>
          <w:sz w:val="22"/>
          <w:szCs w:val="22"/>
        </w:rPr>
        <w:t>201</w:t>
      </w:r>
      <w:r w:rsidR="004435E3">
        <w:rPr>
          <w:rFonts w:ascii="Palatino Linotype" w:hAnsi="Palatino Linotype" w:cstheme="minorHAnsi"/>
          <w:sz w:val="22"/>
          <w:szCs w:val="22"/>
        </w:rPr>
        <w:t>9</w:t>
      </w:r>
      <w:r w:rsidRPr="00914D26">
        <w:rPr>
          <w:rFonts w:ascii="Palatino Linotype" w:hAnsi="Palatino Linotype" w:cstheme="minorHAnsi"/>
          <w:sz w:val="22"/>
          <w:szCs w:val="22"/>
        </w:rPr>
        <w:t xml:space="preserve"> yılının </w:t>
      </w:r>
      <w:r w:rsidR="0061333E">
        <w:rPr>
          <w:rFonts w:ascii="Palatino Linotype" w:hAnsi="Palatino Linotype" w:cstheme="minorHAnsi"/>
          <w:sz w:val="22"/>
          <w:szCs w:val="22"/>
        </w:rPr>
        <w:t>üçüncü</w:t>
      </w:r>
      <w:r w:rsidRPr="00914D26">
        <w:rPr>
          <w:rFonts w:ascii="Palatino Linotype" w:hAnsi="Palatino Linotype" w:cstheme="minorHAnsi"/>
          <w:sz w:val="22"/>
          <w:szCs w:val="22"/>
        </w:rPr>
        <w:t xml:space="preserve"> çeyreğinde Gayri Safi Yurtiçi Hasıla (GSYH) mevsim ve takvim etkilerinden arındırılmış rakamlarla bir önceki çeyreğe kıyasla yüzde </w:t>
      </w:r>
      <w:r w:rsidR="00F33EED">
        <w:rPr>
          <w:rFonts w:ascii="Palatino Linotype" w:hAnsi="Palatino Linotype" w:cstheme="minorHAnsi"/>
          <w:sz w:val="22"/>
          <w:szCs w:val="22"/>
        </w:rPr>
        <w:t>0</w:t>
      </w:r>
      <w:r w:rsidR="007135FC" w:rsidRPr="00914D26">
        <w:rPr>
          <w:rFonts w:ascii="Palatino Linotype" w:hAnsi="Palatino Linotype" w:cstheme="minorHAnsi"/>
          <w:sz w:val="22"/>
          <w:szCs w:val="22"/>
        </w:rPr>
        <w:t>,</w:t>
      </w:r>
      <w:r w:rsidR="00F33EED">
        <w:rPr>
          <w:rFonts w:ascii="Palatino Linotype" w:hAnsi="Palatino Linotype" w:cstheme="minorHAnsi"/>
          <w:sz w:val="22"/>
          <w:szCs w:val="22"/>
        </w:rPr>
        <w:t>4</w:t>
      </w:r>
      <w:r w:rsidR="00996151" w:rsidRPr="00914D26">
        <w:rPr>
          <w:rFonts w:ascii="Palatino Linotype" w:hAnsi="Palatino Linotype" w:cstheme="minorHAnsi"/>
          <w:sz w:val="22"/>
          <w:szCs w:val="22"/>
        </w:rPr>
        <w:t xml:space="preserve"> oranında </w:t>
      </w:r>
      <w:r w:rsidR="004435E3">
        <w:rPr>
          <w:rFonts w:ascii="Palatino Linotype" w:hAnsi="Palatino Linotype" w:cstheme="minorHAnsi"/>
          <w:sz w:val="22"/>
          <w:szCs w:val="22"/>
        </w:rPr>
        <w:t>artarken</w:t>
      </w:r>
      <w:r w:rsidRPr="00914D26">
        <w:rPr>
          <w:rFonts w:ascii="Palatino Linotype" w:hAnsi="Palatino Linotype" w:cstheme="minorHAnsi"/>
          <w:sz w:val="22"/>
          <w:szCs w:val="22"/>
        </w:rPr>
        <w:t xml:space="preserve"> geçen yılın </w:t>
      </w:r>
      <w:r w:rsidR="00F33EED">
        <w:rPr>
          <w:rFonts w:ascii="Palatino Linotype" w:hAnsi="Palatino Linotype" w:cstheme="minorHAnsi"/>
          <w:sz w:val="22"/>
          <w:szCs w:val="22"/>
        </w:rPr>
        <w:t>üçüncü</w:t>
      </w:r>
      <w:r w:rsidRPr="00914D26">
        <w:rPr>
          <w:rFonts w:ascii="Palatino Linotype" w:hAnsi="Palatino Linotype" w:cstheme="minorHAnsi"/>
          <w:sz w:val="22"/>
          <w:szCs w:val="22"/>
        </w:rPr>
        <w:t xml:space="preserve"> çeyreğine kıyasla yüzde </w:t>
      </w:r>
      <w:r w:rsidR="00F33EED">
        <w:rPr>
          <w:rFonts w:ascii="Palatino Linotype" w:hAnsi="Palatino Linotype" w:cstheme="minorHAnsi"/>
          <w:sz w:val="22"/>
          <w:szCs w:val="22"/>
        </w:rPr>
        <w:t>0</w:t>
      </w:r>
      <w:r w:rsidR="006F0FC6">
        <w:rPr>
          <w:rFonts w:ascii="Palatino Linotype" w:hAnsi="Palatino Linotype" w:cstheme="minorHAnsi"/>
          <w:sz w:val="22"/>
          <w:szCs w:val="22"/>
        </w:rPr>
        <w:t>,</w:t>
      </w:r>
      <w:r w:rsidR="00F33EED">
        <w:rPr>
          <w:rFonts w:ascii="Palatino Linotype" w:hAnsi="Palatino Linotype" w:cstheme="minorHAnsi"/>
          <w:sz w:val="22"/>
          <w:szCs w:val="22"/>
        </w:rPr>
        <w:t>9</w:t>
      </w:r>
      <w:r w:rsidR="007135FC" w:rsidRPr="00914D26">
        <w:rPr>
          <w:rFonts w:ascii="Palatino Linotype" w:hAnsi="Palatino Linotype" w:cstheme="minorHAnsi"/>
          <w:sz w:val="22"/>
          <w:szCs w:val="22"/>
        </w:rPr>
        <w:t xml:space="preserve"> </w:t>
      </w:r>
      <w:r w:rsidR="00F33EED">
        <w:rPr>
          <w:rFonts w:ascii="Palatino Linotype" w:hAnsi="Palatino Linotype" w:cstheme="minorHAnsi"/>
          <w:sz w:val="22"/>
          <w:szCs w:val="22"/>
        </w:rPr>
        <w:t>arttı</w:t>
      </w:r>
      <w:r w:rsidRPr="00914D26">
        <w:rPr>
          <w:rFonts w:ascii="Palatino Linotype" w:hAnsi="Palatino Linotype" w:cstheme="minorHAnsi"/>
          <w:sz w:val="22"/>
          <w:szCs w:val="22"/>
        </w:rPr>
        <w:t>.</w:t>
      </w:r>
      <w:r w:rsidR="00062A8A">
        <w:rPr>
          <w:rFonts w:ascii="Palatino Linotype" w:hAnsi="Palatino Linotype" w:cstheme="minorHAnsi"/>
          <w:sz w:val="22"/>
          <w:szCs w:val="22"/>
        </w:rPr>
        <w:t xml:space="preserve"> </w:t>
      </w:r>
      <w:r w:rsidR="00CC79C0" w:rsidRPr="00202302">
        <w:rPr>
          <w:rFonts w:ascii="Palatino Linotype" w:hAnsi="Palatino Linotype" w:cstheme="minorHAnsi"/>
          <w:sz w:val="22"/>
          <w:szCs w:val="22"/>
        </w:rPr>
        <w:t xml:space="preserve">Yıldan yıla büyümeye </w:t>
      </w:r>
      <w:r w:rsidR="00F33EED">
        <w:rPr>
          <w:rFonts w:ascii="Palatino Linotype" w:hAnsi="Palatino Linotype" w:cstheme="minorHAnsi"/>
          <w:sz w:val="22"/>
          <w:szCs w:val="22"/>
        </w:rPr>
        <w:t xml:space="preserve">özel ve kamu tüketimi </w:t>
      </w:r>
      <w:r w:rsidR="00FF0884">
        <w:rPr>
          <w:rFonts w:ascii="Palatino Linotype" w:hAnsi="Palatino Linotype" w:cstheme="minorHAnsi"/>
          <w:sz w:val="22"/>
          <w:szCs w:val="22"/>
        </w:rPr>
        <w:t xml:space="preserve">yüzde 1 puan kadar </w:t>
      </w:r>
      <w:r w:rsidR="00F33EED">
        <w:rPr>
          <w:rFonts w:ascii="Palatino Linotype" w:hAnsi="Palatino Linotype" w:cstheme="minorHAnsi"/>
          <w:sz w:val="22"/>
          <w:szCs w:val="22"/>
        </w:rPr>
        <w:t>pozitif katkı yaparken yatırımlar 3,6 yüzde puanlık negatif katkıda bulundu</w:t>
      </w:r>
      <w:r w:rsidR="00830B62" w:rsidRPr="00202302">
        <w:rPr>
          <w:rFonts w:ascii="Palatino Linotype" w:hAnsi="Palatino Linotype" w:cstheme="minorHAnsi"/>
          <w:sz w:val="22"/>
          <w:szCs w:val="22"/>
        </w:rPr>
        <w:t>.</w:t>
      </w:r>
      <w:r w:rsidR="004435E3" w:rsidRPr="00D32C5D">
        <w:rPr>
          <w:rFonts w:ascii="Palatino Linotype" w:hAnsi="Palatino Linotype" w:cstheme="minorHAnsi"/>
          <w:sz w:val="22"/>
          <w:szCs w:val="22"/>
        </w:rPr>
        <w:t xml:space="preserve"> </w:t>
      </w:r>
      <w:r w:rsidR="004D626D">
        <w:rPr>
          <w:rFonts w:ascii="Palatino Linotype" w:hAnsi="Palatino Linotype" w:cstheme="minorHAnsi"/>
          <w:sz w:val="22"/>
          <w:szCs w:val="22"/>
        </w:rPr>
        <w:t xml:space="preserve">Net dış ticaretin katkısı ise pozitif </w:t>
      </w:r>
      <w:r w:rsidR="00F33EED">
        <w:rPr>
          <w:rFonts w:ascii="Palatino Linotype" w:hAnsi="Palatino Linotype" w:cstheme="minorHAnsi"/>
          <w:sz w:val="22"/>
          <w:szCs w:val="22"/>
        </w:rPr>
        <w:t>ama sınırlı</w:t>
      </w:r>
      <w:r w:rsidR="004D626D">
        <w:rPr>
          <w:rFonts w:ascii="Palatino Linotype" w:hAnsi="Palatino Linotype" w:cstheme="minorHAnsi"/>
          <w:sz w:val="22"/>
          <w:szCs w:val="22"/>
        </w:rPr>
        <w:t>: i</w:t>
      </w:r>
      <w:r w:rsidR="006F0FC6" w:rsidRPr="00AD01B6">
        <w:rPr>
          <w:rFonts w:ascii="Palatino Linotype" w:hAnsi="Palatino Linotype" w:cstheme="minorHAnsi"/>
          <w:sz w:val="22"/>
          <w:szCs w:val="22"/>
        </w:rPr>
        <w:t xml:space="preserve">hracatın katkısı </w:t>
      </w:r>
      <w:r w:rsidR="00F33EED">
        <w:rPr>
          <w:rFonts w:ascii="Palatino Linotype" w:hAnsi="Palatino Linotype" w:cstheme="minorHAnsi"/>
          <w:sz w:val="22"/>
          <w:szCs w:val="22"/>
        </w:rPr>
        <w:t>1</w:t>
      </w:r>
      <w:r w:rsidR="006F0FC6" w:rsidRPr="00AD01B6">
        <w:rPr>
          <w:rFonts w:ascii="Palatino Linotype" w:hAnsi="Palatino Linotype" w:cstheme="minorHAnsi"/>
          <w:sz w:val="22"/>
          <w:szCs w:val="22"/>
        </w:rPr>
        <w:t>,</w:t>
      </w:r>
      <w:r w:rsidR="00F33EED">
        <w:rPr>
          <w:rFonts w:ascii="Palatino Linotype" w:hAnsi="Palatino Linotype" w:cstheme="minorHAnsi"/>
          <w:sz w:val="22"/>
          <w:szCs w:val="22"/>
        </w:rPr>
        <w:t>7</w:t>
      </w:r>
      <w:r w:rsidR="00927D28" w:rsidRPr="00AD01B6">
        <w:rPr>
          <w:rFonts w:ascii="Palatino Linotype" w:hAnsi="Palatino Linotype" w:cstheme="minorHAnsi"/>
          <w:sz w:val="22"/>
          <w:szCs w:val="22"/>
        </w:rPr>
        <w:t xml:space="preserve"> yüzde</w:t>
      </w:r>
      <w:r w:rsidR="00194FF2" w:rsidRPr="00AD01B6">
        <w:rPr>
          <w:rFonts w:ascii="Palatino Linotype" w:hAnsi="Palatino Linotype" w:cstheme="minorHAnsi"/>
          <w:sz w:val="22"/>
          <w:szCs w:val="22"/>
        </w:rPr>
        <w:t xml:space="preserve"> puan olurken, ithalat</w:t>
      </w:r>
      <w:r w:rsidR="00F33EED">
        <w:rPr>
          <w:rFonts w:ascii="Palatino Linotype" w:hAnsi="Palatino Linotype" w:cstheme="minorHAnsi"/>
          <w:sz w:val="22"/>
          <w:szCs w:val="22"/>
        </w:rPr>
        <w:t xml:space="preserve"> artışa geçtiği</w:t>
      </w:r>
      <w:r w:rsidR="004D626D">
        <w:rPr>
          <w:rFonts w:ascii="Palatino Linotype" w:hAnsi="Palatino Linotype" w:cstheme="minorHAnsi"/>
          <w:sz w:val="22"/>
          <w:szCs w:val="22"/>
        </w:rPr>
        <w:t xml:space="preserve"> için </w:t>
      </w:r>
      <w:r w:rsidR="00AD01B6" w:rsidRPr="00AD01B6">
        <w:rPr>
          <w:rFonts w:ascii="Palatino Linotype" w:hAnsi="Palatino Linotype" w:cstheme="minorHAnsi"/>
          <w:sz w:val="22"/>
          <w:szCs w:val="22"/>
        </w:rPr>
        <w:t xml:space="preserve">ithalat katkısı </w:t>
      </w:r>
      <w:r w:rsidR="00F33EED">
        <w:rPr>
          <w:rFonts w:ascii="Palatino Linotype" w:hAnsi="Palatino Linotype" w:cstheme="minorHAnsi"/>
          <w:sz w:val="22"/>
          <w:szCs w:val="22"/>
        </w:rPr>
        <w:t>eksi 1</w:t>
      </w:r>
      <w:r w:rsidR="00AD01B6" w:rsidRPr="00AD01B6">
        <w:rPr>
          <w:rFonts w:ascii="Palatino Linotype" w:hAnsi="Palatino Linotype" w:cstheme="minorHAnsi"/>
          <w:sz w:val="22"/>
          <w:szCs w:val="22"/>
        </w:rPr>
        <w:t>,</w:t>
      </w:r>
      <w:r w:rsidR="00F33EED">
        <w:rPr>
          <w:rFonts w:ascii="Palatino Linotype" w:hAnsi="Palatino Linotype" w:cstheme="minorHAnsi"/>
          <w:sz w:val="22"/>
          <w:szCs w:val="22"/>
        </w:rPr>
        <w:t>4</w:t>
      </w:r>
      <w:r w:rsidR="00927D28" w:rsidRPr="00AD01B6">
        <w:rPr>
          <w:rFonts w:ascii="Palatino Linotype" w:hAnsi="Palatino Linotype" w:cstheme="minorHAnsi"/>
          <w:sz w:val="22"/>
          <w:szCs w:val="22"/>
        </w:rPr>
        <w:t xml:space="preserve"> yüzde puan</w:t>
      </w:r>
      <w:r w:rsidR="004D626D">
        <w:rPr>
          <w:rFonts w:ascii="Palatino Linotype" w:hAnsi="Palatino Linotype" w:cstheme="minorHAnsi"/>
          <w:sz w:val="22"/>
          <w:szCs w:val="22"/>
        </w:rPr>
        <w:t xml:space="preserve"> oldu</w:t>
      </w:r>
      <w:r w:rsidR="00927D28" w:rsidRPr="00AD01B6">
        <w:rPr>
          <w:rFonts w:ascii="Palatino Linotype" w:hAnsi="Palatino Linotype" w:cstheme="minorHAnsi"/>
          <w:color w:val="000000" w:themeColor="text1"/>
          <w:sz w:val="22"/>
          <w:szCs w:val="22"/>
        </w:rPr>
        <w:t>.</w:t>
      </w:r>
      <w:r w:rsidR="0077111C">
        <w:rPr>
          <w:rFonts w:ascii="Palatino Linotype" w:hAnsi="Palatino Linotype" w:cstheme="minorHAnsi"/>
          <w:color w:val="000000" w:themeColor="text1"/>
          <w:sz w:val="22"/>
          <w:szCs w:val="22"/>
        </w:rPr>
        <w:t xml:space="preserve"> </w:t>
      </w:r>
    </w:p>
    <w:p w14:paraId="746C5C1C" w14:textId="77777777" w:rsidR="00E40DD5" w:rsidRDefault="00E40DD5" w:rsidP="001004FF">
      <w:pPr>
        <w:spacing w:line="300" w:lineRule="auto"/>
        <w:ind w:left="567" w:right="567"/>
        <w:jc w:val="both"/>
        <w:rPr>
          <w:rFonts w:ascii="Palatino Linotype" w:hAnsi="Palatino Linotype" w:cstheme="minorHAnsi"/>
          <w:color w:val="000000" w:themeColor="text1"/>
          <w:sz w:val="22"/>
          <w:szCs w:val="22"/>
        </w:rPr>
      </w:pPr>
    </w:p>
    <w:p w14:paraId="602D6638" w14:textId="198091F6" w:rsidR="00C73CC1" w:rsidRDefault="00C9003F" w:rsidP="001004FF">
      <w:pPr>
        <w:spacing w:line="300" w:lineRule="auto"/>
        <w:ind w:left="567" w:right="567"/>
        <w:jc w:val="both"/>
        <w:rPr>
          <w:rFonts w:ascii="Palatino Linotype" w:hAnsi="Palatino Linotype" w:cstheme="minorHAnsi"/>
          <w:sz w:val="22"/>
          <w:szCs w:val="22"/>
        </w:rPr>
      </w:pPr>
      <w:r>
        <w:rPr>
          <w:rFonts w:ascii="Palatino Linotype" w:hAnsi="Palatino Linotype" w:cstheme="minorHAnsi"/>
          <w:color w:val="000000" w:themeColor="text1"/>
          <w:sz w:val="22"/>
          <w:szCs w:val="22"/>
        </w:rPr>
        <w:t>M</w:t>
      </w:r>
      <w:r w:rsidRPr="00914D26">
        <w:rPr>
          <w:rFonts w:ascii="Palatino Linotype" w:hAnsi="Palatino Linotype" w:cstheme="minorHAnsi"/>
          <w:sz w:val="22"/>
          <w:szCs w:val="22"/>
        </w:rPr>
        <w:t xml:space="preserve">evsim ve takvim etkilerinden arındırılmış </w:t>
      </w:r>
      <w:r>
        <w:rPr>
          <w:rFonts w:ascii="Palatino Linotype" w:hAnsi="Palatino Linotype" w:cstheme="minorHAnsi"/>
          <w:sz w:val="22"/>
          <w:szCs w:val="22"/>
        </w:rPr>
        <w:t xml:space="preserve">verilere </w:t>
      </w:r>
      <w:r w:rsidR="00C066D2">
        <w:rPr>
          <w:rFonts w:ascii="Palatino Linotype" w:hAnsi="Palatino Linotype" w:cstheme="minorHAnsi"/>
          <w:sz w:val="22"/>
          <w:szCs w:val="22"/>
        </w:rPr>
        <w:t>göre ç</w:t>
      </w:r>
      <w:r w:rsidR="002829BC" w:rsidRPr="002829BC">
        <w:rPr>
          <w:rFonts w:ascii="Palatino Linotype" w:hAnsi="Palatino Linotype" w:cstheme="minorHAnsi"/>
          <w:sz w:val="22"/>
          <w:szCs w:val="22"/>
        </w:rPr>
        <w:t xml:space="preserve">eyreklik bazda özel tüketim, kamu tüketimi, ihracat ve stok değişiminin büyümeye pozitif katkı yaptığını görüyoruz. </w:t>
      </w:r>
      <w:r w:rsidR="00C066D2">
        <w:rPr>
          <w:rFonts w:ascii="Palatino Linotype" w:hAnsi="Palatino Linotype" w:cstheme="minorHAnsi"/>
          <w:sz w:val="22"/>
          <w:szCs w:val="22"/>
        </w:rPr>
        <w:t xml:space="preserve">İthalat katkısı ise eksi 2,9 yüzde puandır. </w:t>
      </w:r>
    </w:p>
    <w:p w14:paraId="6E1AE999" w14:textId="77777777" w:rsidR="00E40DD5" w:rsidRDefault="00E40DD5" w:rsidP="001004FF">
      <w:pPr>
        <w:spacing w:line="300" w:lineRule="auto"/>
        <w:ind w:left="567" w:right="567"/>
        <w:jc w:val="both"/>
        <w:rPr>
          <w:rFonts w:ascii="Palatino Linotype" w:hAnsi="Palatino Linotype" w:cstheme="minorHAnsi"/>
          <w:sz w:val="22"/>
          <w:szCs w:val="22"/>
        </w:rPr>
      </w:pPr>
    </w:p>
    <w:p w14:paraId="2871DC86" w14:textId="2171EC55" w:rsidR="00E40DD5" w:rsidRDefault="00E40DD5" w:rsidP="001004FF">
      <w:pPr>
        <w:spacing w:line="300" w:lineRule="auto"/>
        <w:ind w:left="567" w:right="567"/>
        <w:jc w:val="both"/>
        <w:rPr>
          <w:rFonts w:ascii="Palatino Linotype" w:hAnsi="Palatino Linotype" w:cstheme="minorHAnsi"/>
          <w:sz w:val="22"/>
          <w:szCs w:val="22"/>
        </w:rPr>
      </w:pPr>
      <w:r>
        <w:rPr>
          <w:rFonts w:ascii="Palatino Linotype" w:hAnsi="Palatino Linotype" w:cstheme="minorHAnsi"/>
          <w:sz w:val="22"/>
          <w:szCs w:val="22"/>
        </w:rPr>
        <w:t>Bir önceki notumuzda olduğu gibi s</w:t>
      </w:r>
      <w:r w:rsidRPr="002829BC">
        <w:rPr>
          <w:rFonts w:ascii="Palatino Linotype" w:hAnsi="Palatino Linotype" w:cstheme="minorHAnsi"/>
          <w:sz w:val="22"/>
          <w:szCs w:val="22"/>
        </w:rPr>
        <w:t>tok değişiminin ekonominin kötü gittiği bir dönemde pozitif katkı yapması</w:t>
      </w:r>
      <w:r>
        <w:rPr>
          <w:rFonts w:ascii="Palatino Linotype" w:hAnsi="Palatino Linotype" w:cstheme="minorHAnsi"/>
          <w:sz w:val="22"/>
          <w:szCs w:val="22"/>
        </w:rPr>
        <w:t>nı içinde bulunduğumuz dönemde</w:t>
      </w:r>
      <w:r w:rsidRPr="002829BC">
        <w:rPr>
          <w:rFonts w:ascii="Palatino Linotype" w:hAnsi="Palatino Linotype" w:cstheme="minorHAnsi"/>
          <w:sz w:val="22"/>
          <w:szCs w:val="22"/>
        </w:rPr>
        <w:t xml:space="preserve"> taleb</w:t>
      </w:r>
      <w:r>
        <w:rPr>
          <w:rFonts w:ascii="Palatino Linotype" w:hAnsi="Palatino Linotype" w:cstheme="minorHAnsi"/>
          <w:sz w:val="22"/>
          <w:szCs w:val="22"/>
        </w:rPr>
        <w:t xml:space="preserve">in düşük olmasına </w:t>
      </w:r>
      <w:r w:rsidRPr="002829BC">
        <w:rPr>
          <w:rFonts w:ascii="Palatino Linotype" w:hAnsi="Palatino Linotype" w:cstheme="minorHAnsi"/>
          <w:sz w:val="22"/>
          <w:szCs w:val="22"/>
        </w:rPr>
        <w:t>rağmen üretimin devam ettiği, dolayısı ile geleceğe dönük üretici beklentilerinin iyi olduğu şeklinde yoruml</w:t>
      </w:r>
      <w:r>
        <w:rPr>
          <w:rFonts w:ascii="Palatino Linotype" w:hAnsi="Palatino Linotype" w:cstheme="minorHAnsi"/>
          <w:sz w:val="22"/>
          <w:szCs w:val="22"/>
        </w:rPr>
        <w:t>uyoruz</w:t>
      </w:r>
      <w:r>
        <w:rPr>
          <w:rFonts w:ascii="Palatino Linotype" w:hAnsi="Palatino Linotype" w:cstheme="minorHAnsi"/>
          <w:sz w:val="22"/>
          <w:szCs w:val="22"/>
        </w:rPr>
        <w:t xml:space="preserve">. </w:t>
      </w:r>
      <w:r>
        <w:rPr>
          <w:rFonts w:ascii="Palatino Linotype" w:hAnsi="Palatino Linotype" w:cstheme="minorHAnsi"/>
          <w:sz w:val="22"/>
          <w:szCs w:val="22"/>
        </w:rPr>
        <w:t>Bu olumlu sinyale rağmen, yatırımların çeyreklik bazda yatay seyrettiği, yıldan yıla olan karşılaştırmada ise azalmaya devam ettiğini görüyoruz. Bu da gelecek</w:t>
      </w:r>
      <w:r>
        <w:rPr>
          <w:rFonts w:ascii="Palatino Linotype" w:hAnsi="Palatino Linotype" w:cstheme="minorHAnsi"/>
          <w:sz w:val="22"/>
          <w:szCs w:val="22"/>
        </w:rPr>
        <w:t xml:space="preserve"> dönem GSYH büyümeleri için kaygı verici.</w:t>
      </w:r>
      <w:r>
        <w:rPr>
          <w:rFonts w:ascii="Palatino Linotype" w:hAnsi="Palatino Linotype" w:cstheme="minorHAnsi"/>
          <w:sz w:val="22"/>
          <w:szCs w:val="22"/>
        </w:rPr>
        <w:t xml:space="preserve"> Bununla birlikte bir önceki çeyrekte yatırımlardaki azalmanın çeyreklik bazda yüzde 6</w:t>
      </w:r>
      <w:r w:rsidR="005F63C3">
        <w:rPr>
          <w:rFonts w:ascii="Palatino Linotype" w:hAnsi="Palatino Linotype" w:cstheme="minorHAnsi"/>
          <w:sz w:val="22"/>
          <w:szCs w:val="22"/>
        </w:rPr>
        <w:t>,</w:t>
      </w:r>
      <w:bookmarkStart w:id="0" w:name="_GoBack"/>
      <w:bookmarkEnd w:id="0"/>
      <w:r>
        <w:rPr>
          <w:rFonts w:ascii="Palatino Linotype" w:hAnsi="Palatino Linotype" w:cstheme="minorHAnsi"/>
          <w:sz w:val="22"/>
          <w:szCs w:val="22"/>
        </w:rPr>
        <w:t xml:space="preserve">8 olduğunu göz önüne alırsak yatırımlarda da bir düzelmeden bahsedebiliriz. Tüm bu işaretleri birlikte değerlendirdiğimizde en azından önümüzdeki yakın dönem için ekonomik büyümenin devam edeceğini öngörüyoruz. </w:t>
      </w:r>
    </w:p>
    <w:p w14:paraId="225AD36F" w14:textId="5B7FBD29" w:rsidR="00C1422A" w:rsidRPr="0050008F" w:rsidRDefault="001004FF" w:rsidP="00C1422A">
      <w:pPr>
        <w:keepNext/>
        <w:ind w:right="77"/>
        <w:jc w:val="both"/>
        <w:rPr>
          <w:rFonts w:ascii="Palatino Linotype" w:hAnsi="Palatino Linotype" w:cstheme="minorHAnsi"/>
          <w:b/>
          <w:bCs/>
          <w:sz w:val="22"/>
          <w:szCs w:val="22"/>
        </w:rPr>
      </w:pPr>
      <w:r>
        <w:rPr>
          <w:rFonts w:ascii="Palatino Linotype" w:hAnsi="Palatino Linotype" w:cstheme="minorHAnsi"/>
          <w:sz w:val="22"/>
          <w:szCs w:val="22"/>
        </w:rPr>
        <w:lastRenderedPageBreak/>
        <w:br/>
      </w:r>
      <w:r w:rsidR="00C1422A" w:rsidRPr="0050008F">
        <w:rPr>
          <w:rFonts w:ascii="Palatino Linotype" w:hAnsi="Palatino Linotype" w:cstheme="minorHAnsi"/>
          <w:b/>
          <w:bCs/>
          <w:sz w:val="22"/>
          <w:szCs w:val="22"/>
        </w:rPr>
        <w:t>Şekil 1: GSYH alt kalemlerinin 201</w:t>
      </w:r>
      <w:r w:rsidR="00C1422A">
        <w:rPr>
          <w:rFonts w:ascii="Palatino Linotype" w:hAnsi="Palatino Linotype" w:cstheme="minorHAnsi"/>
          <w:b/>
          <w:bCs/>
          <w:sz w:val="22"/>
          <w:szCs w:val="22"/>
        </w:rPr>
        <w:t>9</w:t>
      </w:r>
      <w:r w:rsidR="00C1422A" w:rsidRPr="0050008F">
        <w:rPr>
          <w:rFonts w:ascii="Palatino Linotype" w:hAnsi="Palatino Linotype" w:cstheme="minorHAnsi"/>
          <w:b/>
          <w:bCs/>
          <w:sz w:val="22"/>
          <w:szCs w:val="22"/>
        </w:rPr>
        <w:t xml:space="preserve"> </w:t>
      </w:r>
      <w:r w:rsidR="000D6E6C">
        <w:rPr>
          <w:rFonts w:ascii="Palatino Linotype" w:hAnsi="Palatino Linotype" w:cstheme="minorHAnsi"/>
          <w:b/>
          <w:bCs/>
          <w:sz w:val="22"/>
          <w:szCs w:val="22"/>
        </w:rPr>
        <w:t>3</w:t>
      </w:r>
      <w:r w:rsidR="00C1422A" w:rsidRPr="0050008F">
        <w:rPr>
          <w:rFonts w:ascii="Palatino Linotype" w:hAnsi="Palatino Linotype" w:cstheme="minorHAnsi"/>
          <w:b/>
          <w:bCs/>
          <w:sz w:val="22"/>
          <w:szCs w:val="22"/>
        </w:rPr>
        <w:t xml:space="preserve">. çeyrekte bir önceki yılın aynı çeyreğine göre büyümeye katkıları (sol şekil) ve büyüme oranları (sağ şekil) </w:t>
      </w:r>
    </w:p>
    <w:p w14:paraId="116E1D3F" w14:textId="77777777" w:rsidR="00C1422A" w:rsidRPr="0050008F" w:rsidRDefault="00C1422A" w:rsidP="00C1422A">
      <w:pPr>
        <w:keepNext/>
        <w:rPr>
          <w:rFonts w:ascii="Palatino Linotype" w:hAnsi="Palatino Linotype" w:cstheme="minorHAnsi"/>
        </w:rPr>
      </w:pPr>
    </w:p>
    <w:p w14:paraId="4864BE25" w14:textId="658CE075" w:rsidR="00C1422A" w:rsidRPr="0050008F" w:rsidRDefault="00602C2B" w:rsidP="00C1422A">
      <w:pPr>
        <w:keepNext/>
        <w:ind w:left="-567" w:right="-567"/>
        <w:jc w:val="center"/>
        <w:rPr>
          <w:rFonts w:ascii="Palatino Linotype" w:hAnsi="Palatino Linotype" w:cstheme="minorHAnsi"/>
        </w:rPr>
      </w:pPr>
      <w:r>
        <w:rPr>
          <w:noProof/>
          <w:lang w:val="en-GB" w:eastAsia="en-GB"/>
        </w:rPr>
        <w:drawing>
          <wp:inline distT="0" distB="0" distL="0" distR="0" wp14:anchorId="79455E27" wp14:editId="517B1FB8">
            <wp:extent cx="3152775" cy="2483485"/>
            <wp:effectExtent l="0" t="0" r="9525" b="12065"/>
            <wp:docPr id="4" name="Chart 4">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1422A" w:rsidRPr="005438B0">
        <w:rPr>
          <w:noProof/>
          <w:lang w:val="en-GB" w:eastAsia="en-GB"/>
        </w:rPr>
        <w:t xml:space="preserve"> </w:t>
      </w:r>
      <w:r>
        <w:rPr>
          <w:noProof/>
          <w:lang w:val="en-GB" w:eastAsia="en-GB"/>
        </w:rPr>
        <w:drawing>
          <wp:inline distT="0" distB="0" distL="0" distR="0" wp14:anchorId="688BE076" wp14:editId="56E0933E">
            <wp:extent cx="3063922" cy="2483712"/>
            <wp:effectExtent l="0" t="0" r="3175" b="12065"/>
            <wp:docPr id="7" name="Chart 7">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DDFB67" w14:textId="583A80FC" w:rsidR="00C1422A" w:rsidRPr="00062A8A" w:rsidRDefault="00C1422A" w:rsidP="00C1422A">
      <w:pPr>
        <w:keepNext/>
        <w:rPr>
          <w:rFonts w:ascii="Palatino Linotype" w:hAnsi="Palatino Linotype" w:cstheme="minorHAnsi"/>
        </w:rPr>
      </w:pPr>
      <w:r w:rsidRPr="0050008F">
        <w:rPr>
          <w:rFonts w:ascii="Palatino Linotype" w:hAnsi="Palatino Linotype" w:cstheme="minorHAnsi"/>
          <w:sz w:val="18"/>
          <w:szCs w:val="18"/>
        </w:rPr>
        <w:t>Kaynak: TÜİK, Betam</w:t>
      </w:r>
      <w:r w:rsidRPr="0050008F">
        <w:rPr>
          <w:rFonts w:ascii="Palatino Linotype" w:hAnsi="Palatino Linotype" w:cstheme="minorHAnsi"/>
          <w:sz w:val="16"/>
          <w:szCs w:val="16"/>
        </w:rPr>
        <w:t xml:space="preserve">. </w:t>
      </w:r>
    </w:p>
    <w:p w14:paraId="4F771C34" w14:textId="6325309C" w:rsidR="00044AF3" w:rsidRDefault="00044AF3"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4C6C2F1" w14:textId="77777777"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53FC0C31" w:rsidR="006C3EE6" w:rsidRPr="004B6E05" w:rsidRDefault="00BA7E44"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Pr>
          <w:rFonts w:ascii="Palatino Linotype" w:hAnsi="Palatino Linotype" w:cstheme="minorHAnsi"/>
          <w:b/>
          <w:bCs/>
          <w:sz w:val="22"/>
          <w:szCs w:val="22"/>
        </w:rPr>
        <w:t xml:space="preserve"> </w:t>
      </w:r>
      <w:r w:rsidR="00C21E02" w:rsidRPr="00D1282D">
        <w:rPr>
          <w:rFonts w:ascii="Palatino Linotype" w:hAnsi="Palatino Linotype" w:cstheme="minorHAnsi"/>
          <w:b/>
          <w:bCs/>
          <w:sz w:val="22"/>
          <w:szCs w:val="22"/>
        </w:rPr>
        <w:t>Özel</w:t>
      </w:r>
      <w:r w:rsidR="00C11B5A" w:rsidRPr="00D1282D">
        <w:rPr>
          <w:rFonts w:ascii="Palatino Linotype" w:hAnsi="Palatino Linotype" w:cstheme="minorHAnsi"/>
          <w:b/>
          <w:bCs/>
          <w:sz w:val="22"/>
          <w:szCs w:val="22"/>
        </w:rPr>
        <w:t xml:space="preserve"> t</w:t>
      </w:r>
      <w:r w:rsidR="00D1282D" w:rsidRPr="00D1282D">
        <w:rPr>
          <w:rFonts w:ascii="Palatino Linotype" w:hAnsi="Palatino Linotype" w:cstheme="minorHAnsi"/>
          <w:b/>
          <w:bCs/>
          <w:sz w:val="22"/>
          <w:szCs w:val="22"/>
        </w:rPr>
        <w:t>üketim</w:t>
      </w:r>
      <w:r w:rsidR="0061333E">
        <w:rPr>
          <w:rFonts w:ascii="Palatino Linotype" w:hAnsi="Palatino Linotype" w:cstheme="minorHAnsi"/>
          <w:b/>
          <w:bCs/>
          <w:sz w:val="22"/>
          <w:szCs w:val="22"/>
        </w:rPr>
        <w:t xml:space="preserve"> katkısı pozitif</w:t>
      </w:r>
    </w:p>
    <w:p w14:paraId="6CC05D02" w14:textId="452E9931" w:rsidR="003F00A9" w:rsidRPr="00111CED" w:rsidRDefault="003F00A9" w:rsidP="003F00A9">
      <w:pPr>
        <w:pStyle w:val="NormalWeb"/>
        <w:spacing w:before="0" w:beforeAutospacing="0" w:after="0" w:afterAutospacing="0" w:line="360" w:lineRule="auto"/>
        <w:ind w:right="77"/>
        <w:jc w:val="both"/>
        <w:rPr>
          <w:rFonts w:ascii="Palatino Linotype" w:hAnsi="Palatino Linotype" w:cstheme="minorHAnsi"/>
          <w:sz w:val="22"/>
          <w:szCs w:val="22"/>
        </w:rPr>
      </w:pPr>
      <w:r w:rsidRPr="00111CED">
        <w:rPr>
          <w:rFonts w:ascii="Palatino Linotype" w:hAnsi="Palatino Linotype" w:cstheme="minorHAnsi"/>
          <w:sz w:val="22"/>
          <w:szCs w:val="22"/>
        </w:rPr>
        <w:t xml:space="preserve">Geçen yılın aynı çeyreğine göre </w:t>
      </w:r>
      <w:r>
        <w:rPr>
          <w:rFonts w:ascii="Palatino Linotype" w:hAnsi="Palatino Linotype" w:cstheme="minorHAnsi"/>
          <w:sz w:val="22"/>
          <w:szCs w:val="22"/>
        </w:rPr>
        <w:t>birinci</w:t>
      </w:r>
      <w:r w:rsidRPr="00111CED">
        <w:rPr>
          <w:rFonts w:ascii="Palatino Linotype" w:hAnsi="Palatino Linotype" w:cstheme="minorHAnsi"/>
          <w:sz w:val="22"/>
          <w:szCs w:val="22"/>
        </w:rPr>
        <w:t xml:space="preserve"> çeyrekte yüzde </w:t>
      </w:r>
      <w:r>
        <w:rPr>
          <w:rFonts w:ascii="Palatino Linotype" w:hAnsi="Palatino Linotype" w:cstheme="minorHAnsi"/>
          <w:sz w:val="22"/>
          <w:szCs w:val="22"/>
        </w:rPr>
        <w:t>5</w:t>
      </w:r>
      <w:r w:rsidR="0061333E">
        <w:rPr>
          <w:rFonts w:ascii="Palatino Linotype" w:hAnsi="Palatino Linotype" w:cstheme="minorHAnsi"/>
          <w:sz w:val="22"/>
          <w:szCs w:val="22"/>
        </w:rPr>
        <w:t xml:space="preserve">, ikinci çeyrekte ise yüzde 1 </w:t>
      </w:r>
      <w:r>
        <w:rPr>
          <w:rFonts w:ascii="Palatino Linotype" w:hAnsi="Palatino Linotype" w:cstheme="minorHAnsi"/>
          <w:sz w:val="22"/>
          <w:szCs w:val="22"/>
        </w:rPr>
        <w:t xml:space="preserve">azalan </w:t>
      </w:r>
      <w:r w:rsidRPr="00111CED">
        <w:rPr>
          <w:rFonts w:ascii="Palatino Linotype" w:hAnsi="Palatino Linotype" w:cstheme="minorHAnsi"/>
          <w:sz w:val="22"/>
          <w:szCs w:val="22"/>
        </w:rPr>
        <w:t xml:space="preserve">özel tüketim </w:t>
      </w:r>
      <w:r w:rsidR="0061333E">
        <w:rPr>
          <w:rFonts w:ascii="Palatino Linotype" w:hAnsi="Palatino Linotype" w:cstheme="minorHAnsi"/>
          <w:sz w:val="22"/>
          <w:szCs w:val="22"/>
        </w:rPr>
        <w:t>üçüncü</w:t>
      </w:r>
      <w:r w:rsidRPr="00111CED">
        <w:rPr>
          <w:rFonts w:ascii="Palatino Linotype" w:hAnsi="Palatino Linotype" w:cstheme="minorHAnsi"/>
          <w:sz w:val="22"/>
          <w:szCs w:val="22"/>
        </w:rPr>
        <w:t xml:space="preserve"> çeyrekte yüzde 1</w:t>
      </w:r>
      <w:r>
        <w:rPr>
          <w:rFonts w:ascii="Palatino Linotype" w:hAnsi="Palatino Linotype" w:cstheme="minorHAnsi"/>
          <w:sz w:val="22"/>
          <w:szCs w:val="22"/>
        </w:rPr>
        <w:t>,</w:t>
      </w:r>
      <w:r w:rsidR="0061333E">
        <w:rPr>
          <w:rFonts w:ascii="Palatino Linotype" w:hAnsi="Palatino Linotype" w:cstheme="minorHAnsi"/>
          <w:sz w:val="22"/>
          <w:szCs w:val="22"/>
        </w:rPr>
        <w:t>5</w:t>
      </w:r>
      <w:r w:rsidRPr="00111CED">
        <w:rPr>
          <w:rFonts w:ascii="Palatino Linotype" w:hAnsi="Palatino Linotype" w:cstheme="minorHAnsi"/>
          <w:sz w:val="22"/>
          <w:szCs w:val="22"/>
        </w:rPr>
        <w:t xml:space="preserve"> </w:t>
      </w:r>
      <w:r w:rsidR="0061333E">
        <w:rPr>
          <w:rFonts w:ascii="Palatino Linotype" w:hAnsi="Palatino Linotype" w:cstheme="minorHAnsi"/>
          <w:sz w:val="22"/>
          <w:szCs w:val="22"/>
        </w:rPr>
        <w:t>arttı</w:t>
      </w:r>
      <w:r w:rsidRPr="00111CED">
        <w:rPr>
          <w:rFonts w:ascii="Palatino Linotype" w:hAnsi="Palatino Linotype" w:cstheme="minorHAnsi"/>
          <w:sz w:val="22"/>
          <w:szCs w:val="22"/>
        </w:rPr>
        <w:t xml:space="preserve">. Büyümeye yaptığı katkı </w:t>
      </w:r>
      <w:r w:rsidR="0061333E">
        <w:rPr>
          <w:rFonts w:ascii="Palatino Linotype" w:hAnsi="Palatino Linotype" w:cstheme="minorHAnsi"/>
          <w:sz w:val="22"/>
          <w:szCs w:val="22"/>
        </w:rPr>
        <w:t>da</w:t>
      </w:r>
      <w:r>
        <w:rPr>
          <w:rFonts w:ascii="Palatino Linotype" w:hAnsi="Palatino Linotype" w:cstheme="minorHAnsi"/>
          <w:sz w:val="22"/>
          <w:szCs w:val="22"/>
        </w:rPr>
        <w:t xml:space="preserve"> 0,</w:t>
      </w:r>
      <w:r w:rsidR="0061333E">
        <w:rPr>
          <w:rFonts w:ascii="Palatino Linotype" w:hAnsi="Palatino Linotype" w:cstheme="minorHAnsi"/>
          <w:sz w:val="22"/>
          <w:szCs w:val="22"/>
        </w:rPr>
        <w:t>9</w:t>
      </w:r>
      <w:r>
        <w:rPr>
          <w:rFonts w:ascii="Palatino Linotype" w:hAnsi="Palatino Linotype" w:cstheme="minorHAnsi"/>
          <w:sz w:val="22"/>
          <w:szCs w:val="22"/>
        </w:rPr>
        <w:t xml:space="preserve"> yüzde puan oldu </w:t>
      </w:r>
      <w:r w:rsidRPr="00111CED">
        <w:rPr>
          <w:rFonts w:ascii="Palatino Linotype" w:hAnsi="Palatino Linotype" w:cstheme="minorHAnsi"/>
          <w:sz w:val="22"/>
          <w:szCs w:val="22"/>
        </w:rPr>
        <w:t>(Tablo 1). Mevsim ve takvim etkilerinden arındırılmış rakamlara baktığımızda</w:t>
      </w:r>
      <w:r>
        <w:rPr>
          <w:rFonts w:ascii="Palatino Linotype" w:hAnsi="Palatino Linotype" w:cstheme="minorHAnsi"/>
          <w:sz w:val="22"/>
          <w:szCs w:val="22"/>
        </w:rPr>
        <w:t xml:space="preserve"> ise</w:t>
      </w:r>
      <w:r w:rsidRPr="00111CED">
        <w:rPr>
          <w:rFonts w:ascii="Palatino Linotype" w:hAnsi="Palatino Linotype" w:cstheme="minorHAnsi"/>
          <w:sz w:val="22"/>
          <w:szCs w:val="22"/>
        </w:rPr>
        <w:t xml:space="preserve"> özel tüketim</w:t>
      </w:r>
      <w:r w:rsidR="0061333E">
        <w:rPr>
          <w:rFonts w:ascii="Palatino Linotype" w:hAnsi="Palatino Linotype" w:cstheme="minorHAnsi"/>
          <w:sz w:val="22"/>
          <w:szCs w:val="22"/>
        </w:rPr>
        <w:t>in</w:t>
      </w:r>
      <w:r w:rsidRPr="00111CED">
        <w:rPr>
          <w:rFonts w:ascii="Palatino Linotype" w:hAnsi="Palatino Linotype" w:cstheme="minorHAnsi"/>
          <w:sz w:val="22"/>
          <w:szCs w:val="22"/>
        </w:rPr>
        <w:t xml:space="preserve"> </w:t>
      </w:r>
      <w:r w:rsidR="0061333E">
        <w:rPr>
          <w:rFonts w:ascii="Palatino Linotype" w:hAnsi="Palatino Linotype" w:cstheme="minorHAnsi"/>
          <w:sz w:val="22"/>
          <w:szCs w:val="22"/>
        </w:rPr>
        <w:t>yüzde 1,9 artarak büyümeye 1,1 yüzde puan katkı yaptığını görüyoruz</w:t>
      </w:r>
      <w:r w:rsidRPr="00111CED">
        <w:rPr>
          <w:rFonts w:ascii="Palatino Linotype" w:hAnsi="Palatino Linotype" w:cstheme="minorHAnsi"/>
          <w:sz w:val="22"/>
          <w:szCs w:val="22"/>
        </w:rPr>
        <w:t xml:space="preserve"> (Tablo 2). </w:t>
      </w:r>
    </w:p>
    <w:p w14:paraId="3D67829E" w14:textId="7A39B170" w:rsidR="00044AF3" w:rsidRPr="00062A8A" w:rsidRDefault="00044AF3"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470ACB6D" w14:textId="51A3E96D" w:rsidR="003D44CE"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Tablo 1: </w:t>
      </w:r>
      <w:r w:rsidR="00D53424" w:rsidRPr="0050008F">
        <w:rPr>
          <w:rFonts w:ascii="Palatino Linotype" w:hAnsi="Palatino Linotype" w:cstheme="minorHAnsi"/>
          <w:b/>
          <w:bCs/>
          <w:sz w:val="22"/>
          <w:szCs w:val="22"/>
        </w:rPr>
        <w:t xml:space="preserve">GSYH alt kalemlerinin </w:t>
      </w:r>
      <w:bookmarkStart w:id="1" w:name="OLE_LINK1"/>
      <w:bookmarkStart w:id="2" w:name="OLE_LINK2"/>
      <w:r w:rsidR="009F2483" w:rsidRPr="0050008F">
        <w:rPr>
          <w:rFonts w:ascii="Palatino Linotype" w:hAnsi="Palatino Linotype" w:cstheme="minorHAnsi"/>
          <w:b/>
          <w:bCs/>
          <w:sz w:val="22"/>
          <w:szCs w:val="22"/>
        </w:rPr>
        <w:t>201</w:t>
      </w:r>
      <w:r w:rsidR="005D27F8">
        <w:rPr>
          <w:rFonts w:ascii="Palatino Linotype" w:hAnsi="Palatino Linotype" w:cstheme="minorHAnsi"/>
          <w:b/>
          <w:bCs/>
          <w:sz w:val="22"/>
          <w:szCs w:val="22"/>
        </w:rPr>
        <w:t>9</w:t>
      </w:r>
      <w:r w:rsidR="009F2483" w:rsidRPr="0050008F">
        <w:rPr>
          <w:rFonts w:ascii="Palatino Linotype" w:hAnsi="Palatino Linotype" w:cstheme="minorHAnsi"/>
          <w:b/>
          <w:bCs/>
          <w:sz w:val="22"/>
          <w:szCs w:val="22"/>
        </w:rPr>
        <w:t xml:space="preserve"> </w:t>
      </w:r>
      <w:r w:rsidR="001D2107">
        <w:rPr>
          <w:rFonts w:ascii="Palatino Linotype" w:hAnsi="Palatino Linotype" w:cstheme="minorHAnsi"/>
          <w:b/>
          <w:bCs/>
          <w:sz w:val="22"/>
          <w:szCs w:val="22"/>
        </w:rPr>
        <w:t>2</w:t>
      </w:r>
      <w:r w:rsidR="00632CF6">
        <w:rPr>
          <w:rFonts w:ascii="Palatino Linotype" w:hAnsi="Palatino Linotype" w:cstheme="minorHAnsi"/>
          <w:b/>
          <w:bCs/>
          <w:sz w:val="22"/>
          <w:szCs w:val="22"/>
        </w:rPr>
        <w:t xml:space="preserve">. ve 2019 </w:t>
      </w:r>
      <w:r w:rsidR="001D2107">
        <w:rPr>
          <w:rFonts w:ascii="Palatino Linotype" w:hAnsi="Palatino Linotype" w:cstheme="minorHAnsi"/>
          <w:b/>
          <w:bCs/>
          <w:sz w:val="22"/>
          <w:szCs w:val="22"/>
        </w:rPr>
        <w:t>3</w:t>
      </w:r>
      <w:r w:rsidR="009F2483" w:rsidRPr="0050008F">
        <w:rPr>
          <w:rFonts w:ascii="Palatino Linotype" w:hAnsi="Palatino Linotype" w:cstheme="minorHAnsi"/>
          <w:b/>
          <w:bCs/>
          <w:sz w:val="22"/>
          <w:szCs w:val="22"/>
        </w:rPr>
        <w:t>. çeyrekte</w:t>
      </w:r>
      <w:bookmarkEnd w:id="1"/>
      <w:bookmarkEnd w:id="2"/>
      <w:r w:rsidR="009F2483"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yılın aynı çeyreğine göre büyüme oranları ve büyümeye katkıları</w:t>
      </w:r>
    </w:p>
    <w:p w14:paraId="042B013F" w14:textId="77777777" w:rsidR="00997713" w:rsidRPr="0050008F" w:rsidRDefault="00997713"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1D2107" w:rsidRPr="001D2107" w14:paraId="573E67ED" w14:textId="77777777" w:rsidTr="001D2107">
        <w:trPr>
          <w:trHeight w:val="282"/>
        </w:trPr>
        <w:tc>
          <w:tcPr>
            <w:tcW w:w="1480" w:type="dxa"/>
            <w:tcBorders>
              <w:top w:val="nil"/>
              <w:left w:val="nil"/>
              <w:bottom w:val="nil"/>
              <w:right w:val="nil"/>
            </w:tcBorders>
            <w:shd w:val="clear" w:color="000000" w:fill="FFFFFF"/>
            <w:noWrap/>
            <w:vAlign w:val="bottom"/>
            <w:hideMark/>
          </w:tcPr>
          <w:p w14:paraId="4547CA78" w14:textId="77777777" w:rsidR="001D2107" w:rsidRPr="001D2107" w:rsidRDefault="001D2107" w:rsidP="001D2107">
            <w:pP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2F363B" w14:textId="77777777" w:rsidR="001D2107" w:rsidRPr="001D2107" w:rsidRDefault="001D2107" w:rsidP="001D2107">
            <w:pPr>
              <w:jc w:val="cente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2019Q2</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4407111" w14:textId="77777777" w:rsidR="001D2107" w:rsidRPr="001D2107" w:rsidRDefault="001D2107" w:rsidP="001D2107">
            <w:pPr>
              <w:jc w:val="cente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2019Q3</w:t>
            </w:r>
          </w:p>
        </w:tc>
      </w:tr>
      <w:tr w:rsidR="001D2107" w:rsidRPr="001D2107" w14:paraId="37746CC7" w14:textId="77777777" w:rsidTr="001D2107">
        <w:trPr>
          <w:trHeight w:val="282"/>
        </w:trPr>
        <w:tc>
          <w:tcPr>
            <w:tcW w:w="1480" w:type="dxa"/>
            <w:tcBorders>
              <w:top w:val="nil"/>
              <w:left w:val="nil"/>
              <w:bottom w:val="nil"/>
              <w:right w:val="nil"/>
            </w:tcBorders>
            <w:shd w:val="clear" w:color="000000" w:fill="FFFFFF"/>
            <w:noWrap/>
            <w:vAlign w:val="bottom"/>
            <w:hideMark/>
          </w:tcPr>
          <w:p w14:paraId="1025C545" w14:textId="77777777" w:rsidR="001D2107" w:rsidRPr="001D2107" w:rsidRDefault="001D2107" w:rsidP="001D2107">
            <w:pP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140D9733" w14:textId="77777777" w:rsidR="001D2107" w:rsidRPr="001D2107" w:rsidRDefault="001D2107" w:rsidP="001D2107">
            <w:pPr>
              <w:jc w:val="cente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Değişim</w:t>
            </w:r>
            <w:proofErr w:type="spellEnd"/>
            <w:r w:rsidRPr="001D2107">
              <w:rPr>
                <w:rFonts w:ascii="Calibri" w:hAnsi="Calibri" w:cs="Calibri"/>
                <w:b/>
                <w:bCs/>
                <w:color w:val="000000"/>
                <w:sz w:val="20"/>
                <w:szCs w:val="20"/>
                <w:lang w:val="en-GB" w:eastAsia="en-GB"/>
              </w:rPr>
              <w:t xml:space="preserve"> (%)</w:t>
            </w:r>
          </w:p>
        </w:tc>
        <w:tc>
          <w:tcPr>
            <w:tcW w:w="961" w:type="dxa"/>
            <w:tcBorders>
              <w:top w:val="nil"/>
              <w:left w:val="nil"/>
              <w:bottom w:val="nil"/>
              <w:right w:val="single" w:sz="4" w:space="0" w:color="auto"/>
            </w:tcBorders>
            <w:shd w:val="clear" w:color="000000" w:fill="FFFFFF"/>
            <w:noWrap/>
            <w:vAlign w:val="bottom"/>
            <w:hideMark/>
          </w:tcPr>
          <w:p w14:paraId="686E3CAB" w14:textId="77777777" w:rsidR="001D2107" w:rsidRPr="001D2107" w:rsidRDefault="001D2107" w:rsidP="001D2107">
            <w:pPr>
              <w:jc w:val="cente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Katkı</w:t>
            </w:r>
            <w:proofErr w:type="spellEnd"/>
            <w:r w:rsidRPr="001D2107">
              <w:rPr>
                <w:rFonts w:ascii="Calibri" w:hAnsi="Calibri" w:cs="Calibri"/>
                <w:b/>
                <w:bCs/>
                <w:color w:val="000000"/>
                <w:sz w:val="20"/>
                <w:szCs w:val="20"/>
                <w:lang w:val="en-GB" w:eastAsia="en-GB"/>
              </w:rPr>
              <w:t xml:space="preserve"> (%)</w:t>
            </w:r>
          </w:p>
        </w:tc>
        <w:tc>
          <w:tcPr>
            <w:tcW w:w="1259" w:type="dxa"/>
            <w:tcBorders>
              <w:top w:val="nil"/>
              <w:left w:val="nil"/>
              <w:bottom w:val="nil"/>
              <w:right w:val="nil"/>
            </w:tcBorders>
            <w:shd w:val="clear" w:color="000000" w:fill="FFFFFF"/>
            <w:noWrap/>
            <w:vAlign w:val="bottom"/>
            <w:hideMark/>
          </w:tcPr>
          <w:p w14:paraId="681A4E5A" w14:textId="77777777" w:rsidR="001D2107" w:rsidRPr="001D2107" w:rsidRDefault="001D2107" w:rsidP="001D2107">
            <w:pPr>
              <w:jc w:val="cente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Değişim</w:t>
            </w:r>
            <w:proofErr w:type="spellEnd"/>
            <w:r w:rsidRPr="001D2107">
              <w:rPr>
                <w:rFonts w:ascii="Calibri" w:hAnsi="Calibri" w:cs="Calibri"/>
                <w:b/>
                <w:bCs/>
                <w:color w:val="000000"/>
                <w:sz w:val="20"/>
                <w:szCs w:val="20"/>
                <w:lang w:val="en-GB" w:eastAsia="en-GB"/>
              </w:rPr>
              <w:t xml:space="preserve"> (%)</w:t>
            </w:r>
          </w:p>
        </w:tc>
        <w:tc>
          <w:tcPr>
            <w:tcW w:w="961" w:type="dxa"/>
            <w:tcBorders>
              <w:top w:val="nil"/>
              <w:left w:val="nil"/>
              <w:bottom w:val="nil"/>
              <w:right w:val="single" w:sz="4" w:space="0" w:color="auto"/>
            </w:tcBorders>
            <w:shd w:val="clear" w:color="000000" w:fill="FFFFFF"/>
            <w:noWrap/>
            <w:vAlign w:val="bottom"/>
            <w:hideMark/>
          </w:tcPr>
          <w:p w14:paraId="543CB18E" w14:textId="77777777" w:rsidR="001D2107" w:rsidRPr="001D2107" w:rsidRDefault="001D2107" w:rsidP="001D2107">
            <w:pPr>
              <w:jc w:val="cente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Katkı</w:t>
            </w:r>
            <w:proofErr w:type="spellEnd"/>
            <w:r w:rsidRPr="001D2107">
              <w:rPr>
                <w:rFonts w:ascii="Calibri" w:hAnsi="Calibri" w:cs="Calibri"/>
                <w:b/>
                <w:bCs/>
                <w:color w:val="000000"/>
                <w:sz w:val="20"/>
                <w:szCs w:val="20"/>
                <w:lang w:val="en-GB" w:eastAsia="en-GB"/>
              </w:rPr>
              <w:t xml:space="preserve"> (%)</w:t>
            </w:r>
          </w:p>
        </w:tc>
      </w:tr>
      <w:tr w:rsidR="001D2107" w:rsidRPr="001D2107" w14:paraId="56C2DD7E" w14:textId="77777777" w:rsidTr="001D2107">
        <w:trPr>
          <w:trHeight w:val="282"/>
        </w:trPr>
        <w:tc>
          <w:tcPr>
            <w:tcW w:w="1480" w:type="dxa"/>
            <w:tcBorders>
              <w:top w:val="single" w:sz="4" w:space="0" w:color="auto"/>
              <w:left w:val="nil"/>
              <w:bottom w:val="nil"/>
              <w:right w:val="nil"/>
            </w:tcBorders>
            <w:shd w:val="clear" w:color="000000" w:fill="FFFFFF"/>
            <w:noWrap/>
            <w:vAlign w:val="bottom"/>
            <w:hideMark/>
          </w:tcPr>
          <w:p w14:paraId="087DE01E"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Özel</w:t>
            </w:r>
            <w:proofErr w:type="spellEnd"/>
            <w:r w:rsidRPr="001D2107">
              <w:rPr>
                <w:rFonts w:ascii="Calibri" w:hAnsi="Calibri" w:cs="Calibri"/>
                <w:b/>
                <w:bCs/>
                <w:color w:val="000000"/>
                <w:sz w:val="20"/>
                <w:szCs w:val="20"/>
                <w:lang w:val="en-GB" w:eastAsia="en-GB"/>
              </w:rPr>
              <w:t xml:space="preserve"> </w:t>
            </w:r>
            <w:proofErr w:type="spellStart"/>
            <w:r w:rsidRPr="001D2107">
              <w:rPr>
                <w:rFonts w:ascii="Calibri" w:hAnsi="Calibri" w:cs="Calibri"/>
                <w:b/>
                <w:bCs/>
                <w:color w:val="000000"/>
                <w:sz w:val="20"/>
                <w:szCs w:val="20"/>
                <w:lang w:val="en-GB" w:eastAsia="en-GB"/>
              </w:rPr>
              <w:t>Tüketim</w:t>
            </w:r>
            <w:proofErr w:type="spellEnd"/>
          </w:p>
        </w:tc>
        <w:tc>
          <w:tcPr>
            <w:tcW w:w="1259" w:type="dxa"/>
            <w:tcBorders>
              <w:top w:val="nil"/>
              <w:left w:val="single" w:sz="4" w:space="0" w:color="auto"/>
              <w:bottom w:val="nil"/>
              <w:right w:val="nil"/>
            </w:tcBorders>
            <w:shd w:val="clear" w:color="000000" w:fill="FFFFFF"/>
            <w:noWrap/>
            <w:vAlign w:val="bottom"/>
            <w:hideMark/>
          </w:tcPr>
          <w:p w14:paraId="600B9FDC"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-1.0</w:t>
            </w:r>
          </w:p>
        </w:tc>
        <w:tc>
          <w:tcPr>
            <w:tcW w:w="961" w:type="dxa"/>
            <w:tcBorders>
              <w:top w:val="single" w:sz="4" w:space="0" w:color="auto"/>
              <w:left w:val="nil"/>
              <w:bottom w:val="nil"/>
              <w:right w:val="single" w:sz="4" w:space="0" w:color="auto"/>
            </w:tcBorders>
            <w:shd w:val="clear" w:color="000000" w:fill="FFFFFF"/>
            <w:noWrap/>
            <w:vAlign w:val="bottom"/>
            <w:hideMark/>
          </w:tcPr>
          <w:p w14:paraId="3900A745"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-0.6</w:t>
            </w:r>
          </w:p>
        </w:tc>
        <w:tc>
          <w:tcPr>
            <w:tcW w:w="1259" w:type="dxa"/>
            <w:tcBorders>
              <w:top w:val="single" w:sz="4" w:space="0" w:color="auto"/>
              <w:left w:val="nil"/>
              <w:bottom w:val="nil"/>
              <w:right w:val="nil"/>
            </w:tcBorders>
            <w:shd w:val="clear" w:color="000000" w:fill="FFFFFF"/>
            <w:noWrap/>
            <w:vAlign w:val="bottom"/>
            <w:hideMark/>
          </w:tcPr>
          <w:p w14:paraId="691DCE91"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1.5</w:t>
            </w:r>
          </w:p>
        </w:tc>
        <w:tc>
          <w:tcPr>
            <w:tcW w:w="961" w:type="dxa"/>
            <w:tcBorders>
              <w:top w:val="single" w:sz="4" w:space="0" w:color="auto"/>
              <w:left w:val="nil"/>
              <w:bottom w:val="nil"/>
              <w:right w:val="single" w:sz="4" w:space="0" w:color="auto"/>
            </w:tcBorders>
            <w:shd w:val="clear" w:color="000000" w:fill="FFFFFF"/>
            <w:noWrap/>
            <w:vAlign w:val="bottom"/>
            <w:hideMark/>
          </w:tcPr>
          <w:p w14:paraId="378A7BF9"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0.9</w:t>
            </w:r>
          </w:p>
        </w:tc>
      </w:tr>
      <w:tr w:rsidR="001D2107" w:rsidRPr="001D2107" w14:paraId="566E0951" w14:textId="77777777" w:rsidTr="001D2107">
        <w:trPr>
          <w:trHeight w:val="282"/>
        </w:trPr>
        <w:tc>
          <w:tcPr>
            <w:tcW w:w="1480" w:type="dxa"/>
            <w:tcBorders>
              <w:top w:val="nil"/>
              <w:left w:val="nil"/>
              <w:bottom w:val="nil"/>
              <w:right w:val="nil"/>
            </w:tcBorders>
            <w:shd w:val="clear" w:color="000000" w:fill="FFFFFF"/>
            <w:noWrap/>
            <w:vAlign w:val="bottom"/>
            <w:hideMark/>
          </w:tcPr>
          <w:p w14:paraId="0CB8030B"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Kamu</w:t>
            </w:r>
            <w:proofErr w:type="spellEnd"/>
            <w:r w:rsidRPr="001D2107">
              <w:rPr>
                <w:rFonts w:ascii="Calibri" w:hAnsi="Calibri" w:cs="Calibri"/>
                <w:b/>
                <w:bCs/>
                <w:color w:val="000000"/>
                <w:sz w:val="20"/>
                <w:szCs w:val="20"/>
                <w:lang w:val="en-GB" w:eastAsia="en-GB"/>
              </w:rPr>
              <w:t xml:space="preserve"> </w:t>
            </w:r>
            <w:proofErr w:type="spellStart"/>
            <w:r w:rsidRPr="001D2107">
              <w:rPr>
                <w:rFonts w:ascii="Calibri" w:hAnsi="Calibri" w:cs="Calibri"/>
                <w:b/>
                <w:bCs/>
                <w:color w:val="000000"/>
                <w:sz w:val="20"/>
                <w:szCs w:val="20"/>
                <w:lang w:val="en-GB" w:eastAsia="en-GB"/>
              </w:rPr>
              <w:t>Tüketimi</w:t>
            </w:r>
            <w:proofErr w:type="spellEnd"/>
          </w:p>
        </w:tc>
        <w:tc>
          <w:tcPr>
            <w:tcW w:w="1259" w:type="dxa"/>
            <w:tcBorders>
              <w:top w:val="nil"/>
              <w:left w:val="single" w:sz="4" w:space="0" w:color="auto"/>
              <w:bottom w:val="nil"/>
              <w:right w:val="nil"/>
            </w:tcBorders>
            <w:shd w:val="clear" w:color="000000" w:fill="FFFFFF"/>
            <w:noWrap/>
            <w:vAlign w:val="bottom"/>
            <w:hideMark/>
          </w:tcPr>
          <w:p w14:paraId="0A596F6D"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3.4</w:t>
            </w:r>
          </w:p>
        </w:tc>
        <w:tc>
          <w:tcPr>
            <w:tcW w:w="961" w:type="dxa"/>
            <w:tcBorders>
              <w:top w:val="nil"/>
              <w:left w:val="nil"/>
              <w:bottom w:val="nil"/>
              <w:right w:val="single" w:sz="4" w:space="0" w:color="auto"/>
            </w:tcBorders>
            <w:shd w:val="clear" w:color="000000" w:fill="FFFFFF"/>
            <w:noWrap/>
            <w:vAlign w:val="bottom"/>
            <w:hideMark/>
          </w:tcPr>
          <w:p w14:paraId="24146571"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0.5</w:t>
            </w:r>
          </w:p>
        </w:tc>
        <w:tc>
          <w:tcPr>
            <w:tcW w:w="1259" w:type="dxa"/>
            <w:tcBorders>
              <w:top w:val="nil"/>
              <w:left w:val="nil"/>
              <w:bottom w:val="nil"/>
              <w:right w:val="nil"/>
            </w:tcBorders>
            <w:shd w:val="clear" w:color="000000" w:fill="FFFFFF"/>
            <w:noWrap/>
            <w:vAlign w:val="bottom"/>
            <w:hideMark/>
          </w:tcPr>
          <w:p w14:paraId="3D846669"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7.0</w:t>
            </w:r>
          </w:p>
        </w:tc>
        <w:tc>
          <w:tcPr>
            <w:tcW w:w="961" w:type="dxa"/>
            <w:tcBorders>
              <w:top w:val="nil"/>
              <w:left w:val="nil"/>
              <w:bottom w:val="nil"/>
              <w:right w:val="single" w:sz="4" w:space="0" w:color="auto"/>
            </w:tcBorders>
            <w:shd w:val="clear" w:color="000000" w:fill="FFFFFF"/>
            <w:noWrap/>
            <w:vAlign w:val="bottom"/>
            <w:hideMark/>
          </w:tcPr>
          <w:p w14:paraId="1B599321"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0.9</w:t>
            </w:r>
          </w:p>
        </w:tc>
      </w:tr>
      <w:tr w:rsidR="001D2107" w:rsidRPr="001D2107" w14:paraId="7FAB3D28" w14:textId="77777777" w:rsidTr="001D2107">
        <w:trPr>
          <w:trHeight w:val="282"/>
        </w:trPr>
        <w:tc>
          <w:tcPr>
            <w:tcW w:w="1480" w:type="dxa"/>
            <w:tcBorders>
              <w:top w:val="nil"/>
              <w:left w:val="nil"/>
              <w:bottom w:val="nil"/>
              <w:right w:val="nil"/>
            </w:tcBorders>
            <w:shd w:val="clear" w:color="000000" w:fill="FFFFFF"/>
            <w:noWrap/>
            <w:vAlign w:val="bottom"/>
            <w:hideMark/>
          </w:tcPr>
          <w:p w14:paraId="56684855"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Yatırım</w:t>
            </w:r>
            <w:proofErr w:type="spellEnd"/>
          </w:p>
        </w:tc>
        <w:tc>
          <w:tcPr>
            <w:tcW w:w="1259" w:type="dxa"/>
            <w:tcBorders>
              <w:top w:val="nil"/>
              <w:left w:val="single" w:sz="4" w:space="0" w:color="auto"/>
              <w:bottom w:val="nil"/>
              <w:right w:val="nil"/>
            </w:tcBorders>
            <w:shd w:val="clear" w:color="000000" w:fill="FFFFFF"/>
            <w:noWrap/>
            <w:vAlign w:val="bottom"/>
            <w:hideMark/>
          </w:tcPr>
          <w:p w14:paraId="79ABD1E5"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-22.4</w:t>
            </w:r>
          </w:p>
        </w:tc>
        <w:tc>
          <w:tcPr>
            <w:tcW w:w="961" w:type="dxa"/>
            <w:tcBorders>
              <w:top w:val="nil"/>
              <w:left w:val="nil"/>
              <w:bottom w:val="nil"/>
              <w:right w:val="single" w:sz="4" w:space="0" w:color="auto"/>
            </w:tcBorders>
            <w:shd w:val="clear" w:color="000000" w:fill="FFFFFF"/>
            <w:noWrap/>
            <w:vAlign w:val="bottom"/>
            <w:hideMark/>
          </w:tcPr>
          <w:p w14:paraId="4FA04968"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-7.2</w:t>
            </w:r>
          </w:p>
        </w:tc>
        <w:tc>
          <w:tcPr>
            <w:tcW w:w="1259" w:type="dxa"/>
            <w:tcBorders>
              <w:top w:val="nil"/>
              <w:left w:val="nil"/>
              <w:bottom w:val="nil"/>
              <w:right w:val="nil"/>
            </w:tcBorders>
            <w:shd w:val="clear" w:color="000000" w:fill="FFFFFF"/>
            <w:noWrap/>
            <w:vAlign w:val="bottom"/>
            <w:hideMark/>
          </w:tcPr>
          <w:p w14:paraId="532D0780"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-12.6</w:t>
            </w:r>
          </w:p>
        </w:tc>
        <w:tc>
          <w:tcPr>
            <w:tcW w:w="961" w:type="dxa"/>
            <w:tcBorders>
              <w:top w:val="nil"/>
              <w:left w:val="nil"/>
              <w:bottom w:val="nil"/>
              <w:right w:val="single" w:sz="4" w:space="0" w:color="auto"/>
            </w:tcBorders>
            <w:shd w:val="clear" w:color="000000" w:fill="FFFFFF"/>
            <w:noWrap/>
            <w:vAlign w:val="bottom"/>
            <w:hideMark/>
          </w:tcPr>
          <w:p w14:paraId="0185A8D9"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-3.6</w:t>
            </w:r>
          </w:p>
        </w:tc>
      </w:tr>
      <w:tr w:rsidR="001D2107" w:rsidRPr="001D2107" w14:paraId="7031884C" w14:textId="77777777" w:rsidTr="001D2107">
        <w:trPr>
          <w:trHeight w:val="282"/>
        </w:trPr>
        <w:tc>
          <w:tcPr>
            <w:tcW w:w="1480" w:type="dxa"/>
            <w:tcBorders>
              <w:top w:val="nil"/>
              <w:left w:val="nil"/>
              <w:bottom w:val="nil"/>
              <w:right w:val="nil"/>
            </w:tcBorders>
            <w:shd w:val="clear" w:color="000000" w:fill="FFFFFF"/>
            <w:noWrap/>
            <w:vAlign w:val="bottom"/>
            <w:hideMark/>
          </w:tcPr>
          <w:p w14:paraId="67562DCD" w14:textId="77777777" w:rsidR="001D2107" w:rsidRPr="001D2107" w:rsidRDefault="001D2107" w:rsidP="001D2107">
            <w:pP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 xml:space="preserve">Stok </w:t>
            </w:r>
            <w:proofErr w:type="spellStart"/>
            <w:r w:rsidRPr="001D2107">
              <w:rPr>
                <w:rFonts w:ascii="Calibri" w:hAnsi="Calibri" w:cs="Calibri"/>
                <w:b/>
                <w:bCs/>
                <w:color w:val="000000"/>
                <w:sz w:val="20"/>
                <w:szCs w:val="20"/>
                <w:lang w:val="en-GB" w:eastAsia="en-GB"/>
              </w:rPr>
              <w:t>Değişimi</w:t>
            </w:r>
            <w:proofErr w:type="spellEnd"/>
          </w:p>
        </w:tc>
        <w:tc>
          <w:tcPr>
            <w:tcW w:w="1259" w:type="dxa"/>
            <w:tcBorders>
              <w:top w:val="nil"/>
              <w:left w:val="single" w:sz="4" w:space="0" w:color="auto"/>
              <w:bottom w:val="nil"/>
              <w:right w:val="nil"/>
            </w:tcBorders>
            <w:shd w:val="clear" w:color="000000" w:fill="FFFFFF"/>
            <w:noWrap/>
            <w:vAlign w:val="bottom"/>
            <w:hideMark/>
          </w:tcPr>
          <w:p w14:paraId="70280A08"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4B15B8B6"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-1.7</w:t>
            </w:r>
          </w:p>
        </w:tc>
        <w:tc>
          <w:tcPr>
            <w:tcW w:w="1259" w:type="dxa"/>
            <w:tcBorders>
              <w:top w:val="nil"/>
              <w:left w:val="nil"/>
              <w:bottom w:val="nil"/>
              <w:right w:val="nil"/>
            </w:tcBorders>
            <w:shd w:val="clear" w:color="000000" w:fill="FFFFFF"/>
            <w:noWrap/>
            <w:vAlign w:val="bottom"/>
            <w:hideMark/>
          </w:tcPr>
          <w:p w14:paraId="1B5BF5DC"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31F3C74C"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2.4</w:t>
            </w:r>
          </w:p>
        </w:tc>
      </w:tr>
      <w:tr w:rsidR="001D2107" w:rsidRPr="001D2107" w14:paraId="711C4B2A" w14:textId="77777777" w:rsidTr="001D2107">
        <w:trPr>
          <w:trHeight w:val="282"/>
        </w:trPr>
        <w:tc>
          <w:tcPr>
            <w:tcW w:w="1480" w:type="dxa"/>
            <w:tcBorders>
              <w:top w:val="nil"/>
              <w:left w:val="nil"/>
              <w:bottom w:val="nil"/>
              <w:right w:val="nil"/>
            </w:tcBorders>
            <w:shd w:val="clear" w:color="000000" w:fill="FFFFFF"/>
            <w:noWrap/>
            <w:vAlign w:val="bottom"/>
            <w:hideMark/>
          </w:tcPr>
          <w:p w14:paraId="3746B5B5"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İhracat</w:t>
            </w:r>
            <w:proofErr w:type="spellEnd"/>
          </w:p>
        </w:tc>
        <w:tc>
          <w:tcPr>
            <w:tcW w:w="1259" w:type="dxa"/>
            <w:tcBorders>
              <w:top w:val="nil"/>
              <w:left w:val="single" w:sz="4" w:space="0" w:color="auto"/>
              <w:bottom w:val="nil"/>
              <w:right w:val="nil"/>
            </w:tcBorders>
            <w:shd w:val="clear" w:color="000000" w:fill="FFFFFF"/>
            <w:noWrap/>
            <w:vAlign w:val="bottom"/>
            <w:hideMark/>
          </w:tcPr>
          <w:p w14:paraId="2EB5C263"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8.1</w:t>
            </w:r>
          </w:p>
        </w:tc>
        <w:tc>
          <w:tcPr>
            <w:tcW w:w="961" w:type="dxa"/>
            <w:tcBorders>
              <w:top w:val="nil"/>
              <w:left w:val="nil"/>
              <w:bottom w:val="nil"/>
              <w:right w:val="single" w:sz="4" w:space="0" w:color="auto"/>
            </w:tcBorders>
            <w:shd w:val="clear" w:color="000000" w:fill="FFFFFF"/>
            <w:noWrap/>
            <w:vAlign w:val="bottom"/>
            <w:hideMark/>
          </w:tcPr>
          <w:p w14:paraId="0DEF1D72"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2.2</w:t>
            </w:r>
          </w:p>
        </w:tc>
        <w:tc>
          <w:tcPr>
            <w:tcW w:w="1259" w:type="dxa"/>
            <w:tcBorders>
              <w:top w:val="nil"/>
              <w:left w:val="nil"/>
              <w:bottom w:val="nil"/>
              <w:right w:val="nil"/>
            </w:tcBorders>
            <w:shd w:val="clear" w:color="000000" w:fill="FFFFFF"/>
            <w:noWrap/>
            <w:vAlign w:val="bottom"/>
            <w:hideMark/>
          </w:tcPr>
          <w:p w14:paraId="29494AD9"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5.1</w:t>
            </w:r>
          </w:p>
        </w:tc>
        <w:tc>
          <w:tcPr>
            <w:tcW w:w="961" w:type="dxa"/>
            <w:tcBorders>
              <w:top w:val="nil"/>
              <w:left w:val="nil"/>
              <w:bottom w:val="nil"/>
              <w:right w:val="single" w:sz="4" w:space="0" w:color="auto"/>
            </w:tcBorders>
            <w:shd w:val="clear" w:color="000000" w:fill="FFFFFF"/>
            <w:noWrap/>
            <w:vAlign w:val="bottom"/>
            <w:hideMark/>
          </w:tcPr>
          <w:p w14:paraId="7BC935A7"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1.7</w:t>
            </w:r>
          </w:p>
        </w:tc>
      </w:tr>
      <w:tr w:rsidR="001D2107" w:rsidRPr="001D2107" w14:paraId="0FFB31E1" w14:textId="77777777" w:rsidTr="001D2107">
        <w:trPr>
          <w:trHeight w:val="282"/>
        </w:trPr>
        <w:tc>
          <w:tcPr>
            <w:tcW w:w="1480" w:type="dxa"/>
            <w:tcBorders>
              <w:top w:val="nil"/>
              <w:left w:val="nil"/>
              <w:bottom w:val="nil"/>
              <w:right w:val="nil"/>
            </w:tcBorders>
            <w:shd w:val="clear" w:color="000000" w:fill="FFFFFF"/>
            <w:noWrap/>
            <w:vAlign w:val="bottom"/>
            <w:hideMark/>
          </w:tcPr>
          <w:p w14:paraId="657C8211"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İthalat</w:t>
            </w:r>
            <w:proofErr w:type="spellEnd"/>
          </w:p>
        </w:tc>
        <w:tc>
          <w:tcPr>
            <w:tcW w:w="1259" w:type="dxa"/>
            <w:tcBorders>
              <w:top w:val="nil"/>
              <w:left w:val="single" w:sz="4" w:space="0" w:color="auto"/>
              <w:bottom w:val="nil"/>
              <w:right w:val="nil"/>
            </w:tcBorders>
            <w:shd w:val="clear" w:color="000000" w:fill="FFFFFF"/>
            <w:noWrap/>
            <w:vAlign w:val="bottom"/>
            <w:hideMark/>
          </w:tcPr>
          <w:p w14:paraId="7496B118"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-17.0</w:t>
            </w:r>
          </w:p>
        </w:tc>
        <w:tc>
          <w:tcPr>
            <w:tcW w:w="961" w:type="dxa"/>
            <w:tcBorders>
              <w:top w:val="nil"/>
              <w:left w:val="nil"/>
              <w:bottom w:val="nil"/>
              <w:right w:val="single" w:sz="4" w:space="0" w:color="auto"/>
            </w:tcBorders>
            <w:shd w:val="clear" w:color="000000" w:fill="FFFFFF"/>
            <w:noWrap/>
            <w:vAlign w:val="bottom"/>
            <w:hideMark/>
          </w:tcPr>
          <w:p w14:paraId="5414EDA3"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5.3</w:t>
            </w:r>
          </w:p>
        </w:tc>
        <w:tc>
          <w:tcPr>
            <w:tcW w:w="1259" w:type="dxa"/>
            <w:tcBorders>
              <w:top w:val="nil"/>
              <w:left w:val="nil"/>
              <w:bottom w:val="nil"/>
              <w:right w:val="nil"/>
            </w:tcBorders>
            <w:shd w:val="clear" w:color="000000" w:fill="FFFFFF"/>
            <w:noWrap/>
            <w:vAlign w:val="bottom"/>
            <w:hideMark/>
          </w:tcPr>
          <w:p w14:paraId="41ED733C"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7.6</w:t>
            </w:r>
          </w:p>
        </w:tc>
        <w:tc>
          <w:tcPr>
            <w:tcW w:w="961" w:type="dxa"/>
            <w:tcBorders>
              <w:top w:val="nil"/>
              <w:left w:val="nil"/>
              <w:bottom w:val="nil"/>
              <w:right w:val="single" w:sz="4" w:space="0" w:color="auto"/>
            </w:tcBorders>
            <w:shd w:val="clear" w:color="000000" w:fill="FFFFFF"/>
            <w:noWrap/>
            <w:vAlign w:val="bottom"/>
            <w:hideMark/>
          </w:tcPr>
          <w:p w14:paraId="4D6AA9A6"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-1.4</w:t>
            </w:r>
          </w:p>
        </w:tc>
      </w:tr>
      <w:tr w:rsidR="001D2107" w:rsidRPr="001D2107" w14:paraId="7DB37D1F" w14:textId="77777777" w:rsidTr="001D2107">
        <w:trPr>
          <w:trHeight w:val="315"/>
        </w:trPr>
        <w:tc>
          <w:tcPr>
            <w:tcW w:w="1480" w:type="dxa"/>
            <w:tcBorders>
              <w:top w:val="nil"/>
              <w:left w:val="nil"/>
              <w:bottom w:val="double" w:sz="6" w:space="0" w:color="auto"/>
              <w:right w:val="nil"/>
            </w:tcBorders>
            <w:shd w:val="clear" w:color="000000" w:fill="FFFFFF"/>
            <w:noWrap/>
            <w:vAlign w:val="bottom"/>
            <w:hideMark/>
          </w:tcPr>
          <w:p w14:paraId="32B53FC8" w14:textId="77777777" w:rsidR="001D2107" w:rsidRPr="001D2107" w:rsidRDefault="001D2107" w:rsidP="001D2107">
            <w:pP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6E5CBA97"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-1.6</w:t>
            </w:r>
          </w:p>
        </w:tc>
        <w:tc>
          <w:tcPr>
            <w:tcW w:w="961" w:type="dxa"/>
            <w:tcBorders>
              <w:top w:val="nil"/>
              <w:left w:val="nil"/>
              <w:bottom w:val="double" w:sz="6" w:space="0" w:color="auto"/>
              <w:right w:val="single" w:sz="4" w:space="0" w:color="auto"/>
            </w:tcBorders>
            <w:shd w:val="clear" w:color="000000" w:fill="FFFFFF"/>
            <w:noWrap/>
            <w:vAlign w:val="bottom"/>
            <w:hideMark/>
          </w:tcPr>
          <w:p w14:paraId="766F1203"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1E12F14E"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0.9</w:t>
            </w:r>
          </w:p>
        </w:tc>
        <w:tc>
          <w:tcPr>
            <w:tcW w:w="961" w:type="dxa"/>
            <w:tcBorders>
              <w:top w:val="nil"/>
              <w:left w:val="nil"/>
              <w:bottom w:val="double" w:sz="6" w:space="0" w:color="auto"/>
              <w:right w:val="single" w:sz="4" w:space="0" w:color="auto"/>
            </w:tcBorders>
            <w:shd w:val="clear" w:color="000000" w:fill="FFFFFF"/>
            <w:noWrap/>
            <w:vAlign w:val="bottom"/>
            <w:hideMark/>
          </w:tcPr>
          <w:p w14:paraId="57C00CAF"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 </w:t>
            </w:r>
          </w:p>
        </w:tc>
      </w:tr>
    </w:tbl>
    <w:p w14:paraId="68ED2418" w14:textId="77777777" w:rsidR="00405BD8" w:rsidRDefault="003D44CE" w:rsidP="00405BD8">
      <w:pPr>
        <w:keepLines/>
        <w:widowControl w:val="0"/>
        <w:rPr>
          <w:rFonts w:ascii="Palatino Linotype" w:hAnsi="Palatino Linotype" w:cstheme="minorHAnsi"/>
          <w:sz w:val="18"/>
          <w:szCs w:val="18"/>
        </w:rPr>
      </w:pPr>
      <w:r w:rsidRPr="0050008F">
        <w:rPr>
          <w:rFonts w:ascii="Palatino Linotype" w:hAnsi="Palatino Linotype" w:cstheme="minorHAnsi"/>
          <w:sz w:val="18"/>
          <w:szCs w:val="18"/>
        </w:rPr>
        <w:t>Ka</w:t>
      </w:r>
      <w:r w:rsidR="00062A8A">
        <w:rPr>
          <w:rFonts w:ascii="Palatino Linotype" w:hAnsi="Palatino Linotype" w:cstheme="minorHAnsi"/>
          <w:sz w:val="18"/>
          <w:szCs w:val="18"/>
        </w:rPr>
        <w:t>ynak: TÜİK, Betam</w:t>
      </w:r>
    </w:p>
    <w:p w14:paraId="6C8EA5E0" w14:textId="77777777" w:rsidR="00FE385C" w:rsidRDefault="00FE385C" w:rsidP="00405BD8">
      <w:pPr>
        <w:keepLines/>
        <w:widowControl w:val="0"/>
        <w:rPr>
          <w:rFonts w:ascii="Palatino Linotype" w:hAnsi="Palatino Linotype" w:cstheme="minorHAnsi"/>
          <w:sz w:val="18"/>
          <w:szCs w:val="18"/>
        </w:rPr>
      </w:pPr>
    </w:p>
    <w:p w14:paraId="377E7790" w14:textId="77777777" w:rsidR="00FE385C" w:rsidRDefault="00FE385C" w:rsidP="00405BD8">
      <w:pPr>
        <w:keepLines/>
        <w:widowControl w:val="0"/>
        <w:rPr>
          <w:rFonts w:ascii="Palatino Linotype" w:hAnsi="Palatino Linotype" w:cstheme="minorHAnsi"/>
          <w:sz w:val="18"/>
          <w:szCs w:val="18"/>
        </w:rPr>
      </w:pPr>
    </w:p>
    <w:p w14:paraId="09BDAC74" w14:textId="77777777" w:rsidR="00FE385C" w:rsidRDefault="00FE385C" w:rsidP="00405BD8">
      <w:pPr>
        <w:keepLines/>
        <w:widowControl w:val="0"/>
        <w:rPr>
          <w:rFonts w:ascii="Palatino Linotype" w:hAnsi="Palatino Linotype" w:cstheme="minorHAnsi"/>
          <w:sz w:val="18"/>
          <w:szCs w:val="18"/>
        </w:rPr>
      </w:pPr>
    </w:p>
    <w:p w14:paraId="4C8D8926" w14:textId="611545A5" w:rsidR="006C3EE6"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 xml:space="preserve">Tablo 2: </w:t>
      </w:r>
      <w:r w:rsidR="00D53424" w:rsidRPr="0050008F">
        <w:rPr>
          <w:rFonts w:ascii="Palatino Linotype" w:hAnsi="Palatino Linotype" w:cstheme="minorHAnsi"/>
          <w:b/>
          <w:bCs/>
          <w:sz w:val="22"/>
          <w:szCs w:val="22"/>
        </w:rPr>
        <w:t xml:space="preserve">GSYH </w:t>
      </w:r>
      <w:r w:rsidR="00D53424" w:rsidRPr="0050008F">
        <w:rPr>
          <w:rFonts w:ascii="Palatino Linotype" w:hAnsi="Palatino Linotype" w:cstheme="minorHAnsi"/>
          <w:b/>
          <w:bCs/>
          <w:color w:val="000000" w:themeColor="text1"/>
          <w:sz w:val="22"/>
          <w:szCs w:val="22"/>
        </w:rPr>
        <w:t xml:space="preserve">alt </w:t>
      </w:r>
      <w:r w:rsidR="00D53424" w:rsidRPr="0050008F">
        <w:rPr>
          <w:rFonts w:ascii="Palatino Linotype" w:hAnsi="Palatino Linotype" w:cstheme="minorHAnsi"/>
          <w:b/>
          <w:bCs/>
          <w:sz w:val="22"/>
          <w:szCs w:val="22"/>
        </w:rPr>
        <w:t xml:space="preserve">kalemlerinin </w:t>
      </w:r>
      <w:r w:rsidR="000561F7">
        <w:rPr>
          <w:rFonts w:ascii="Palatino Linotype" w:hAnsi="Palatino Linotype" w:cstheme="minorHAnsi"/>
          <w:b/>
          <w:bCs/>
          <w:sz w:val="22"/>
          <w:szCs w:val="22"/>
        </w:rPr>
        <w:t>2019 2. ve 2019 3</w:t>
      </w:r>
      <w:r w:rsidR="006F1912" w:rsidRPr="0050008F">
        <w:rPr>
          <w:rFonts w:ascii="Palatino Linotype" w:hAnsi="Palatino Linotype" w:cstheme="minorHAnsi"/>
          <w:b/>
          <w:bCs/>
          <w:sz w:val="22"/>
          <w:szCs w:val="22"/>
        </w:rPr>
        <w:t>. çeyrekte</w:t>
      </w:r>
      <w:r w:rsidR="00E4681E"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çeyreğe göre büyüme oranları ve büyümeye katkıları</w:t>
      </w:r>
      <w:r w:rsidR="00CF5053" w:rsidRPr="0050008F">
        <w:rPr>
          <w:rFonts w:ascii="Palatino Linotype" w:hAnsi="Palatino Linotype" w:cstheme="minorHAnsi"/>
          <w:b/>
          <w:bCs/>
          <w:sz w:val="22"/>
          <w:szCs w:val="22"/>
        </w:rPr>
        <w:t xml:space="preserve"> (mevsim ve takvim etkilerinden arındırılmış)</w:t>
      </w:r>
    </w:p>
    <w:p w14:paraId="6CD35AAF" w14:textId="77777777" w:rsidR="00996151" w:rsidRDefault="00996151"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1D2107" w:rsidRPr="001D2107" w14:paraId="37F84EE7" w14:textId="77777777" w:rsidTr="001D2107">
        <w:trPr>
          <w:trHeight w:val="282"/>
        </w:trPr>
        <w:tc>
          <w:tcPr>
            <w:tcW w:w="1480" w:type="dxa"/>
            <w:tcBorders>
              <w:top w:val="nil"/>
              <w:left w:val="nil"/>
              <w:bottom w:val="nil"/>
              <w:right w:val="nil"/>
            </w:tcBorders>
            <w:shd w:val="clear" w:color="000000" w:fill="FFFFFF"/>
            <w:noWrap/>
            <w:vAlign w:val="bottom"/>
            <w:hideMark/>
          </w:tcPr>
          <w:p w14:paraId="4A51909E" w14:textId="77777777" w:rsidR="001D2107" w:rsidRPr="001D2107" w:rsidRDefault="001D2107" w:rsidP="001D2107">
            <w:pP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25E639" w14:textId="77777777" w:rsidR="001D2107" w:rsidRPr="001D2107" w:rsidRDefault="001D2107" w:rsidP="001D2107">
            <w:pPr>
              <w:jc w:val="cente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2019Q2</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6FDF6F7" w14:textId="77777777" w:rsidR="001D2107" w:rsidRPr="001D2107" w:rsidRDefault="001D2107" w:rsidP="001D2107">
            <w:pPr>
              <w:jc w:val="cente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2019Q3</w:t>
            </w:r>
          </w:p>
        </w:tc>
      </w:tr>
      <w:tr w:rsidR="001D2107" w:rsidRPr="001D2107" w14:paraId="05C7F523" w14:textId="77777777" w:rsidTr="001D2107">
        <w:trPr>
          <w:trHeight w:val="282"/>
        </w:trPr>
        <w:tc>
          <w:tcPr>
            <w:tcW w:w="1480" w:type="dxa"/>
            <w:tcBorders>
              <w:top w:val="nil"/>
              <w:left w:val="nil"/>
              <w:bottom w:val="nil"/>
              <w:right w:val="nil"/>
            </w:tcBorders>
            <w:shd w:val="clear" w:color="000000" w:fill="FFFFFF"/>
            <w:noWrap/>
            <w:vAlign w:val="bottom"/>
            <w:hideMark/>
          </w:tcPr>
          <w:p w14:paraId="4BF7C058" w14:textId="77777777" w:rsidR="001D2107" w:rsidRPr="001D2107" w:rsidRDefault="001D2107" w:rsidP="001D2107">
            <w:pP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 </w:t>
            </w:r>
          </w:p>
        </w:tc>
        <w:tc>
          <w:tcPr>
            <w:tcW w:w="1259" w:type="dxa"/>
            <w:tcBorders>
              <w:top w:val="nil"/>
              <w:left w:val="single" w:sz="4" w:space="0" w:color="auto"/>
              <w:bottom w:val="nil"/>
              <w:right w:val="nil"/>
            </w:tcBorders>
            <w:shd w:val="clear" w:color="000000" w:fill="FFFFFF"/>
            <w:noWrap/>
            <w:vAlign w:val="bottom"/>
            <w:hideMark/>
          </w:tcPr>
          <w:p w14:paraId="7A9AD44B" w14:textId="77777777" w:rsidR="001D2107" w:rsidRPr="001D2107" w:rsidRDefault="001D2107" w:rsidP="001D2107">
            <w:pPr>
              <w:jc w:val="cente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Değişim</w:t>
            </w:r>
            <w:proofErr w:type="spellEnd"/>
            <w:r w:rsidRPr="001D2107">
              <w:rPr>
                <w:rFonts w:ascii="Calibri" w:hAnsi="Calibri" w:cs="Calibri"/>
                <w:b/>
                <w:bCs/>
                <w:color w:val="000000"/>
                <w:sz w:val="20"/>
                <w:szCs w:val="20"/>
                <w:lang w:val="en-GB" w:eastAsia="en-GB"/>
              </w:rPr>
              <w:t xml:space="preserve"> (%)</w:t>
            </w:r>
          </w:p>
        </w:tc>
        <w:tc>
          <w:tcPr>
            <w:tcW w:w="961" w:type="dxa"/>
            <w:tcBorders>
              <w:top w:val="nil"/>
              <w:left w:val="nil"/>
              <w:bottom w:val="nil"/>
              <w:right w:val="single" w:sz="4" w:space="0" w:color="auto"/>
            </w:tcBorders>
            <w:shd w:val="clear" w:color="000000" w:fill="FFFFFF"/>
            <w:noWrap/>
            <w:vAlign w:val="bottom"/>
            <w:hideMark/>
          </w:tcPr>
          <w:p w14:paraId="20CF49C5" w14:textId="77777777" w:rsidR="001D2107" w:rsidRPr="001D2107" w:rsidRDefault="001D2107" w:rsidP="001D2107">
            <w:pPr>
              <w:jc w:val="cente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Katkı</w:t>
            </w:r>
            <w:proofErr w:type="spellEnd"/>
            <w:r w:rsidRPr="001D2107">
              <w:rPr>
                <w:rFonts w:ascii="Calibri" w:hAnsi="Calibri" w:cs="Calibri"/>
                <w:b/>
                <w:bCs/>
                <w:color w:val="000000"/>
                <w:sz w:val="20"/>
                <w:szCs w:val="20"/>
                <w:lang w:val="en-GB" w:eastAsia="en-GB"/>
              </w:rPr>
              <w:t xml:space="preserve"> (%)</w:t>
            </w:r>
          </w:p>
        </w:tc>
        <w:tc>
          <w:tcPr>
            <w:tcW w:w="1259" w:type="dxa"/>
            <w:tcBorders>
              <w:top w:val="nil"/>
              <w:left w:val="nil"/>
              <w:bottom w:val="nil"/>
              <w:right w:val="nil"/>
            </w:tcBorders>
            <w:shd w:val="clear" w:color="000000" w:fill="FFFFFF"/>
            <w:noWrap/>
            <w:vAlign w:val="bottom"/>
            <w:hideMark/>
          </w:tcPr>
          <w:p w14:paraId="4B4DBC3E" w14:textId="77777777" w:rsidR="001D2107" w:rsidRPr="001D2107" w:rsidRDefault="001D2107" w:rsidP="001D2107">
            <w:pPr>
              <w:jc w:val="cente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Değişim</w:t>
            </w:r>
            <w:proofErr w:type="spellEnd"/>
            <w:r w:rsidRPr="001D2107">
              <w:rPr>
                <w:rFonts w:ascii="Calibri" w:hAnsi="Calibri" w:cs="Calibri"/>
                <w:b/>
                <w:bCs/>
                <w:color w:val="000000"/>
                <w:sz w:val="20"/>
                <w:szCs w:val="20"/>
                <w:lang w:val="en-GB" w:eastAsia="en-GB"/>
              </w:rPr>
              <w:t xml:space="preserve"> (%)</w:t>
            </w:r>
          </w:p>
        </w:tc>
        <w:tc>
          <w:tcPr>
            <w:tcW w:w="961" w:type="dxa"/>
            <w:tcBorders>
              <w:top w:val="nil"/>
              <w:left w:val="nil"/>
              <w:bottom w:val="nil"/>
              <w:right w:val="single" w:sz="4" w:space="0" w:color="auto"/>
            </w:tcBorders>
            <w:shd w:val="clear" w:color="000000" w:fill="FFFFFF"/>
            <w:noWrap/>
            <w:vAlign w:val="bottom"/>
            <w:hideMark/>
          </w:tcPr>
          <w:p w14:paraId="003B80C7" w14:textId="77777777" w:rsidR="001D2107" w:rsidRPr="001D2107" w:rsidRDefault="001D2107" w:rsidP="001D2107">
            <w:pPr>
              <w:jc w:val="cente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Katkı</w:t>
            </w:r>
            <w:proofErr w:type="spellEnd"/>
            <w:r w:rsidRPr="001D2107">
              <w:rPr>
                <w:rFonts w:ascii="Calibri" w:hAnsi="Calibri" w:cs="Calibri"/>
                <w:b/>
                <w:bCs/>
                <w:color w:val="000000"/>
                <w:sz w:val="20"/>
                <w:szCs w:val="20"/>
                <w:lang w:val="en-GB" w:eastAsia="en-GB"/>
              </w:rPr>
              <w:t xml:space="preserve"> (%)</w:t>
            </w:r>
          </w:p>
        </w:tc>
      </w:tr>
      <w:tr w:rsidR="001D2107" w:rsidRPr="001D2107" w14:paraId="413AC7C0" w14:textId="77777777" w:rsidTr="001D2107">
        <w:trPr>
          <w:trHeight w:val="282"/>
        </w:trPr>
        <w:tc>
          <w:tcPr>
            <w:tcW w:w="1480" w:type="dxa"/>
            <w:tcBorders>
              <w:top w:val="single" w:sz="4" w:space="0" w:color="auto"/>
              <w:left w:val="nil"/>
              <w:bottom w:val="nil"/>
              <w:right w:val="nil"/>
            </w:tcBorders>
            <w:shd w:val="clear" w:color="000000" w:fill="FFFFFF"/>
            <w:noWrap/>
            <w:vAlign w:val="bottom"/>
            <w:hideMark/>
          </w:tcPr>
          <w:p w14:paraId="631404F3"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Özel</w:t>
            </w:r>
            <w:proofErr w:type="spellEnd"/>
            <w:r w:rsidRPr="001D2107">
              <w:rPr>
                <w:rFonts w:ascii="Calibri" w:hAnsi="Calibri" w:cs="Calibri"/>
                <w:b/>
                <w:bCs/>
                <w:color w:val="000000"/>
                <w:sz w:val="20"/>
                <w:szCs w:val="20"/>
                <w:lang w:val="en-GB" w:eastAsia="en-GB"/>
              </w:rPr>
              <w:t xml:space="preserve"> </w:t>
            </w:r>
            <w:proofErr w:type="spellStart"/>
            <w:r w:rsidRPr="001D2107">
              <w:rPr>
                <w:rFonts w:ascii="Calibri" w:hAnsi="Calibri" w:cs="Calibri"/>
                <w:b/>
                <w:bCs/>
                <w:color w:val="000000"/>
                <w:sz w:val="20"/>
                <w:szCs w:val="20"/>
                <w:lang w:val="en-GB" w:eastAsia="en-GB"/>
              </w:rPr>
              <w:t>Tüketim</w:t>
            </w:r>
            <w:proofErr w:type="spellEnd"/>
          </w:p>
        </w:tc>
        <w:tc>
          <w:tcPr>
            <w:tcW w:w="1259" w:type="dxa"/>
            <w:tcBorders>
              <w:top w:val="single" w:sz="4" w:space="0" w:color="auto"/>
              <w:left w:val="single" w:sz="4" w:space="0" w:color="auto"/>
              <w:bottom w:val="nil"/>
              <w:right w:val="nil"/>
            </w:tcBorders>
            <w:shd w:val="clear" w:color="000000" w:fill="FFFFFF"/>
            <w:noWrap/>
            <w:vAlign w:val="bottom"/>
            <w:hideMark/>
          </w:tcPr>
          <w:p w14:paraId="120EC033"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3.4</w:t>
            </w:r>
          </w:p>
        </w:tc>
        <w:tc>
          <w:tcPr>
            <w:tcW w:w="961" w:type="dxa"/>
            <w:tcBorders>
              <w:top w:val="single" w:sz="4" w:space="0" w:color="auto"/>
              <w:left w:val="nil"/>
              <w:bottom w:val="nil"/>
              <w:right w:val="single" w:sz="4" w:space="0" w:color="auto"/>
            </w:tcBorders>
            <w:shd w:val="clear" w:color="000000" w:fill="FFFFFF"/>
            <w:noWrap/>
            <w:vAlign w:val="bottom"/>
            <w:hideMark/>
          </w:tcPr>
          <w:p w14:paraId="5AF010A9"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1.9</w:t>
            </w:r>
          </w:p>
        </w:tc>
        <w:tc>
          <w:tcPr>
            <w:tcW w:w="1259" w:type="dxa"/>
            <w:tcBorders>
              <w:top w:val="single" w:sz="4" w:space="0" w:color="auto"/>
              <w:left w:val="nil"/>
              <w:bottom w:val="nil"/>
              <w:right w:val="nil"/>
            </w:tcBorders>
            <w:shd w:val="clear" w:color="000000" w:fill="FFFFFF"/>
            <w:noWrap/>
            <w:vAlign w:val="bottom"/>
            <w:hideMark/>
          </w:tcPr>
          <w:p w14:paraId="46BBFCB5"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1.9</w:t>
            </w:r>
          </w:p>
        </w:tc>
        <w:tc>
          <w:tcPr>
            <w:tcW w:w="961" w:type="dxa"/>
            <w:tcBorders>
              <w:top w:val="single" w:sz="4" w:space="0" w:color="auto"/>
              <w:left w:val="nil"/>
              <w:bottom w:val="nil"/>
              <w:right w:val="single" w:sz="4" w:space="0" w:color="auto"/>
            </w:tcBorders>
            <w:shd w:val="clear" w:color="000000" w:fill="FFFFFF"/>
            <w:noWrap/>
            <w:vAlign w:val="bottom"/>
            <w:hideMark/>
          </w:tcPr>
          <w:p w14:paraId="34DA9960"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1.1</w:t>
            </w:r>
          </w:p>
        </w:tc>
      </w:tr>
      <w:tr w:rsidR="001D2107" w:rsidRPr="001D2107" w14:paraId="2B415E93" w14:textId="77777777" w:rsidTr="001D2107">
        <w:trPr>
          <w:trHeight w:val="282"/>
        </w:trPr>
        <w:tc>
          <w:tcPr>
            <w:tcW w:w="1480" w:type="dxa"/>
            <w:tcBorders>
              <w:top w:val="nil"/>
              <w:left w:val="nil"/>
              <w:bottom w:val="nil"/>
              <w:right w:val="nil"/>
            </w:tcBorders>
            <w:shd w:val="clear" w:color="000000" w:fill="FFFFFF"/>
            <w:noWrap/>
            <w:vAlign w:val="bottom"/>
            <w:hideMark/>
          </w:tcPr>
          <w:p w14:paraId="070DDC5B"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Kamu</w:t>
            </w:r>
            <w:proofErr w:type="spellEnd"/>
            <w:r w:rsidRPr="001D2107">
              <w:rPr>
                <w:rFonts w:ascii="Calibri" w:hAnsi="Calibri" w:cs="Calibri"/>
                <w:b/>
                <w:bCs/>
                <w:color w:val="000000"/>
                <w:sz w:val="20"/>
                <w:szCs w:val="20"/>
                <w:lang w:val="en-GB" w:eastAsia="en-GB"/>
              </w:rPr>
              <w:t xml:space="preserve"> </w:t>
            </w:r>
            <w:proofErr w:type="spellStart"/>
            <w:r w:rsidRPr="001D2107">
              <w:rPr>
                <w:rFonts w:ascii="Calibri" w:hAnsi="Calibri" w:cs="Calibri"/>
                <w:b/>
                <w:bCs/>
                <w:color w:val="000000"/>
                <w:sz w:val="20"/>
                <w:szCs w:val="20"/>
                <w:lang w:val="en-GB" w:eastAsia="en-GB"/>
              </w:rPr>
              <w:t>Tüketimi</w:t>
            </w:r>
            <w:proofErr w:type="spellEnd"/>
          </w:p>
        </w:tc>
        <w:tc>
          <w:tcPr>
            <w:tcW w:w="1259" w:type="dxa"/>
            <w:tcBorders>
              <w:top w:val="nil"/>
              <w:left w:val="single" w:sz="4" w:space="0" w:color="auto"/>
              <w:bottom w:val="nil"/>
              <w:right w:val="nil"/>
            </w:tcBorders>
            <w:shd w:val="clear" w:color="000000" w:fill="FFFFFF"/>
            <w:noWrap/>
            <w:vAlign w:val="bottom"/>
            <w:hideMark/>
          </w:tcPr>
          <w:p w14:paraId="39CB4D1A"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2.2</w:t>
            </w:r>
          </w:p>
        </w:tc>
        <w:tc>
          <w:tcPr>
            <w:tcW w:w="961" w:type="dxa"/>
            <w:tcBorders>
              <w:top w:val="nil"/>
              <w:left w:val="nil"/>
              <w:bottom w:val="nil"/>
              <w:right w:val="single" w:sz="4" w:space="0" w:color="auto"/>
            </w:tcBorders>
            <w:shd w:val="clear" w:color="000000" w:fill="FFFFFF"/>
            <w:noWrap/>
            <w:vAlign w:val="bottom"/>
            <w:hideMark/>
          </w:tcPr>
          <w:p w14:paraId="4759A135"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0.3</w:t>
            </w:r>
          </w:p>
        </w:tc>
        <w:tc>
          <w:tcPr>
            <w:tcW w:w="1259" w:type="dxa"/>
            <w:tcBorders>
              <w:top w:val="nil"/>
              <w:left w:val="nil"/>
              <w:bottom w:val="nil"/>
              <w:right w:val="nil"/>
            </w:tcBorders>
            <w:shd w:val="clear" w:color="000000" w:fill="FFFFFF"/>
            <w:noWrap/>
            <w:vAlign w:val="bottom"/>
            <w:hideMark/>
          </w:tcPr>
          <w:p w14:paraId="548A4206"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1.9</w:t>
            </w:r>
          </w:p>
        </w:tc>
        <w:tc>
          <w:tcPr>
            <w:tcW w:w="961" w:type="dxa"/>
            <w:tcBorders>
              <w:top w:val="nil"/>
              <w:left w:val="nil"/>
              <w:bottom w:val="nil"/>
              <w:right w:val="single" w:sz="4" w:space="0" w:color="auto"/>
            </w:tcBorders>
            <w:shd w:val="clear" w:color="000000" w:fill="FFFFFF"/>
            <w:noWrap/>
            <w:vAlign w:val="bottom"/>
            <w:hideMark/>
          </w:tcPr>
          <w:p w14:paraId="5713BCDD"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0.3</w:t>
            </w:r>
          </w:p>
        </w:tc>
      </w:tr>
      <w:tr w:rsidR="001D2107" w:rsidRPr="001D2107" w14:paraId="77100FC8" w14:textId="77777777" w:rsidTr="001D2107">
        <w:trPr>
          <w:trHeight w:val="282"/>
        </w:trPr>
        <w:tc>
          <w:tcPr>
            <w:tcW w:w="1480" w:type="dxa"/>
            <w:tcBorders>
              <w:top w:val="nil"/>
              <w:left w:val="nil"/>
              <w:bottom w:val="nil"/>
              <w:right w:val="nil"/>
            </w:tcBorders>
            <w:shd w:val="clear" w:color="000000" w:fill="FFFFFF"/>
            <w:noWrap/>
            <w:vAlign w:val="bottom"/>
            <w:hideMark/>
          </w:tcPr>
          <w:p w14:paraId="05D603A6"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Yatırım</w:t>
            </w:r>
            <w:proofErr w:type="spellEnd"/>
          </w:p>
        </w:tc>
        <w:tc>
          <w:tcPr>
            <w:tcW w:w="1259" w:type="dxa"/>
            <w:tcBorders>
              <w:top w:val="nil"/>
              <w:left w:val="single" w:sz="4" w:space="0" w:color="auto"/>
              <w:bottom w:val="nil"/>
              <w:right w:val="nil"/>
            </w:tcBorders>
            <w:shd w:val="clear" w:color="000000" w:fill="FFFFFF"/>
            <w:noWrap/>
            <w:vAlign w:val="bottom"/>
            <w:hideMark/>
          </w:tcPr>
          <w:p w14:paraId="7E56AD66"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-5.8</w:t>
            </w:r>
          </w:p>
        </w:tc>
        <w:tc>
          <w:tcPr>
            <w:tcW w:w="961" w:type="dxa"/>
            <w:tcBorders>
              <w:top w:val="nil"/>
              <w:left w:val="nil"/>
              <w:bottom w:val="nil"/>
              <w:right w:val="single" w:sz="4" w:space="0" w:color="auto"/>
            </w:tcBorders>
            <w:shd w:val="clear" w:color="000000" w:fill="FFFFFF"/>
            <w:noWrap/>
            <w:vAlign w:val="bottom"/>
            <w:hideMark/>
          </w:tcPr>
          <w:p w14:paraId="5E4727CD"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-1.6</w:t>
            </w:r>
          </w:p>
        </w:tc>
        <w:tc>
          <w:tcPr>
            <w:tcW w:w="1259" w:type="dxa"/>
            <w:tcBorders>
              <w:top w:val="nil"/>
              <w:left w:val="nil"/>
              <w:bottom w:val="nil"/>
              <w:right w:val="nil"/>
            </w:tcBorders>
            <w:shd w:val="clear" w:color="000000" w:fill="FFFFFF"/>
            <w:noWrap/>
            <w:vAlign w:val="bottom"/>
            <w:hideMark/>
          </w:tcPr>
          <w:p w14:paraId="6ACEC627"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-0.1</w:t>
            </w:r>
          </w:p>
        </w:tc>
        <w:tc>
          <w:tcPr>
            <w:tcW w:w="961" w:type="dxa"/>
            <w:tcBorders>
              <w:top w:val="nil"/>
              <w:left w:val="nil"/>
              <w:bottom w:val="nil"/>
              <w:right w:val="single" w:sz="4" w:space="0" w:color="auto"/>
            </w:tcBorders>
            <w:shd w:val="clear" w:color="000000" w:fill="FFFFFF"/>
            <w:noWrap/>
            <w:vAlign w:val="bottom"/>
            <w:hideMark/>
          </w:tcPr>
          <w:p w14:paraId="1994A87A"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0.0</w:t>
            </w:r>
          </w:p>
        </w:tc>
      </w:tr>
      <w:tr w:rsidR="001D2107" w:rsidRPr="001D2107" w14:paraId="52B1CE7D" w14:textId="77777777" w:rsidTr="001D2107">
        <w:trPr>
          <w:trHeight w:val="282"/>
        </w:trPr>
        <w:tc>
          <w:tcPr>
            <w:tcW w:w="1480" w:type="dxa"/>
            <w:tcBorders>
              <w:top w:val="nil"/>
              <w:left w:val="nil"/>
              <w:bottom w:val="nil"/>
              <w:right w:val="nil"/>
            </w:tcBorders>
            <w:shd w:val="clear" w:color="000000" w:fill="FFFFFF"/>
            <w:noWrap/>
            <w:vAlign w:val="bottom"/>
            <w:hideMark/>
          </w:tcPr>
          <w:p w14:paraId="3E3A6617" w14:textId="77777777" w:rsidR="001D2107" w:rsidRPr="001D2107" w:rsidRDefault="001D2107" w:rsidP="001D2107">
            <w:pP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 xml:space="preserve">Stok </w:t>
            </w:r>
            <w:proofErr w:type="spellStart"/>
            <w:r w:rsidRPr="001D2107">
              <w:rPr>
                <w:rFonts w:ascii="Calibri" w:hAnsi="Calibri" w:cs="Calibri"/>
                <w:b/>
                <w:bCs/>
                <w:color w:val="000000"/>
                <w:sz w:val="20"/>
                <w:szCs w:val="20"/>
                <w:lang w:val="en-GB" w:eastAsia="en-GB"/>
              </w:rPr>
              <w:t>Değişimi</w:t>
            </w:r>
            <w:proofErr w:type="spellEnd"/>
          </w:p>
        </w:tc>
        <w:tc>
          <w:tcPr>
            <w:tcW w:w="1259" w:type="dxa"/>
            <w:tcBorders>
              <w:top w:val="nil"/>
              <w:left w:val="single" w:sz="4" w:space="0" w:color="auto"/>
              <w:bottom w:val="nil"/>
              <w:right w:val="nil"/>
            </w:tcBorders>
            <w:shd w:val="clear" w:color="000000" w:fill="FFFFFF"/>
            <w:noWrap/>
            <w:vAlign w:val="bottom"/>
            <w:hideMark/>
          </w:tcPr>
          <w:p w14:paraId="616B52B3"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6D508EC4"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0.3</w:t>
            </w:r>
          </w:p>
        </w:tc>
        <w:tc>
          <w:tcPr>
            <w:tcW w:w="1259" w:type="dxa"/>
            <w:tcBorders>
              <w:top w:val="nil"/>
              <w:left w:val="nil"/>
              <w:bottom w:val="nil"/>
              <w:right w:val="nil"/>
            </w:tcBorders>
            <w:shd w:val="clear" w:color="000000" w:fill="FFFFFF"/>
            <w:noWrap/>
            <w:vAlign w:val="bottom"/>
            <w:hideMark/>
          </w:tcPr>
          <w:p w14:paraId="4681EB11"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0123BA61"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0.2</w:t>
            </w:r>
          </w:p>
        </w:tc>
      </w:tr>
      <w:tr w:rsidR="001D2107" w:rsidRPr="001D2107" w14:paraId="751A5F1B" w14:textId="77777777" w:rsidTr="001D2107">
        <w:trPr>
          <w:trHeight w:val="282"/>
        </w:trPr>
        <w:tc>
          <w:tcPr>
            <w:tcW w:w="1480" w:type="dxa"/>
            <w:tcBorders>
              <w:top w:val="nil"/>
              <w:left w:val="nil"/>
              <w:bottom w:val="nil"/>
              <w:right w:val="nil"/>
            </w:tcBorders>
            <w:shd w:val="clear" w:color="000000" w:fill="FFFFFF"/>
            <w:noWrap/>
            <w:vAlign w:val="bottom"/>
            <w:hideMark/>
          </w:tcPr>
          <w:p w14:paraId="0A4B748C"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İhracat</w:t>
            </w:r>
            <w:proofErr w:type="spellEnd"/>
          </w:p>
        </w:tc>
        <w:tc>
          <w:tcPr>
            <w:tcW w:w="1259" w:type="dxa"/>
            <w:tcBorders>
              <w:top w:val="nil"/>
              <w:left w:val="single" w:sz="4" w:space="0" w:color="auto"/>
              <w:bottom w:val="nil"/>
              <w:right w:val="nil"/>
            </w:tcBorders>
            <w:shd w:val="clear" w:color="000000" w:fill="FFFFFF"/>
            <w:noWrap/>
            <w:vAlign w:val="bottom"/>
            <w:hideMark/>
          </w:tcPr>
          <w:p w14:paraId="0BC2C35A"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5.0</w:t>
            </w:r>
          </w:p>
        </w:tc>
        <w:tc>
          <w:tcPr>
            <w:tcW w:w="961" w:type="dxa"/>
            <w:tcBorders>
              <w:top w:val="nil"/>
              <w:left w:val="nil"/>
              <w:bottom w:val="nil"/>
              <w:right w:val="single" w:sz="4" w:space="0" w:color="auto"/>
            </w:tcBorders>
            <w:shd w:val="clear" w:color="000000" w:fill="FFFFFF"/>
            <w:noWrap/>
            <w:vAlign w:val="bottom"/>
            <w:hideMark/>
          </w:tcPr>
          <w:p w14:paraId="49CD18C7"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1.5</w:t>
            </w:r>
          </w:p>
        </w:tc>
        <w:tc>
          <w:tcPr>
            <w:tcW w:w="1259" w:type="dxa"/>
            <w:tcBorders>
              <w:top w:val="nil"/>
              <w:left w:val="nil"/>
              <w:bottom w:val="nil"/>
              <w:right w:val="nil"/>
            </w:tcBorders>
            <w:shd w:val="clear" w:color="000000" w:fill="FFFFFF"/>
            <w:noWrap/>
            <w:vAlign w:val="bottom"/>
            <w:hideMark/>
          </w:tcPr>
          <w:p w14:paraId="5C3C7643"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5.5</w:t>
            </w:r>
          </w:p>
        </w:tc>
        <w:tc>
          <w:tcPr>
            <w:tcW w:w="961" w:type="dxa"/>
            <w:tcBorders>
              <w:top w:val="nil"/>
              <w:left w:val="nil"/>
              <w:bottom w:val="nil"/>
              <w:right w:val="single" w:sz="4" w:space="0" w:color="auto"/>
            </w:tcBorders>
            <w:shd w:val="clear" w:color="000000" w:fill="FFFFFF"/>
            <w:noWrap/>
            <w:vAlign w:val="bottom"/>
            <w:hideMark/>
          </w:tcPr>
          <w:p w14:paraId="1691DEBB"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1.7</w:t>
            </w:r>
          </w:p>
        </w:tc>
      </w:tr>
      <w:tr w:rsidR="001D2107" w:rsidRPr="001D2107" w14:paraId="6767579E" w14:textId="77777777" w:rsidTr="001D2107">
        <w:trPr>
          <w:trHeight w:val="282"/>
        </w:trPr>
        <w:tc>
          <w:tcPr>
            <w:tcW w:w="1480" w:type="dxa"/>
            <w:tcBorders>
              <w:top w:val="nil"/>
              <w:left w:val="nil"/>
              <w:bottom w:val="nil"/>
              <w:right w:val="nil"/>
            </w:tcBorders>
            <w:shd w:val="clear" w:color="000000" w:fill="FFFFFF"/>
            <w:noWrap/>
            <w:vAlign w:val="bottom"/>
            <w:hideMark/>
          </w:tcPr>
          <w:p w14:paraId="0FBF9156" w14:textId="77777777" w:rsidR="001D2107" w:rsidRPr="001D2107" w:rsidRDefault="001D2107" w:rsidP="001D2107">
            <w:pPr>
              <w:rPr>
                <w:rFonts w:ascii="Calibri" w:hAnsi="Calibri" w:cs="Calibri"/>
                <w:b/>
                <w:bCs/>
                <w:color w:val="000000"/>
                <w:sz w:val="20"/>
                <w:szCs w:val="20"/>
                <w:lang w:val="en-GB" w:eastAsia="en-GB"/>
              </w:rPr>
            </w:pPr>
            <w:proofErr w:type="spellStart"/>
            <w:r w:rsidRPr="001D2107">
              <w:rPr>
                <w:rFonts w:ascii="Calibri" w:hAnsi="Calibri" w:cs="Calibri"/>
                <w:b/>
                <w:bCs/>
                <w:color w:val="000000"/>
                <w:sz w:val="20"/>
                <w:szCs w:val="20"/>
                <w:lang w:val="en-GB" w:eastAsia="en-GB"/>
              </w:rPr>
              <w:t>İthalat</w:t>
            </w:r>
            <w:proofErr w:type="spellEnd"/>
          </w:p>
        </w:tc>
        <w:tc>
          <w:tcPr>
            <w:tcW w:w="1259" w:type="dxa"/>
            <w:tcBorders>
              <w:top w:val="nil"/>
              <w:left w:val="single" w:sz="4" w:space="0" w:color="auto"/>
              <w:bottom w:val="nil"/>
              <w:right w:val="nil"/>
            </w:tcBorders>
            <w:shd w:val="clear" w:color="000000" w:fill="FFFFFF"/>
            <w:noWrap/>
            <w:vAlign w:val="bottom"/>
            <w:hideMark/>
          </w:tcPr>
          <w:p w14:paraId="433753E7"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5.6</w:t>
            </w:r>
          </w:p>
        </w:tc>
        <w:tc>
          <w:tcPr>
            <w:tcW w:w="961" w:type="dxa"/>
            <w:tcBorders>
              <w:top w:val="nil"/>
              <w:left w:val="nil"/>
              <w:bottom w:val="nil"/>
              <w:right w:val="single" w:sz="4" w:space="0" w:color="auto"/>
            </w:tcBorders>
            <w:shd w:val="clear" w:color="000000" w:fill="FFFFFF"/>
            <w:noWrap/>
            <w:vAlign w:val="bottom"/>
            <w:hideMark/>
          </w:tcPr>
          <w:p w14:paraId="3C9A9F95"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-1.4</w:t>
            </w:r>
          </w:p>
        </w:tc>
        <w:tc>
          <w:tcPr>
            <w:tcW w:w="1259" w:type="dxa"/>
            <w:tcBorders>
              <w:top w:val="nil"/>
              <w:left w:val="nil"/>
              <w:bottom w:val="nil"/>
              <w:right w:val="nil"/>
            </w:tcBorders>
            <w:shd w:val="clear" w:color="000000" w:fill="FFFFFF"/>
            <w:noWrap/>
            <w:vAlign w:val="bottom"/>
            <w:hideMark/>
          </w:tcPr>
          <w:p w14:paraId="12E8E8BB"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10.5</w:t>
            </w:r>
          </w:p>
        </w:tc>
        <w:tc>
          <w:tcPr>
            <w:tcW w:w="961" w:type="dxa"/>
            <w:tcBorders>
              <w:top w:val="nil"/>
              <w:left w:val="nil"/>
              <w:bottom w:val="nil"/>
              <w:right w:val="single" w:sz="4" w:space="0" w:color="auto"/>
            </w:tcBorders>
            <w:shd w:val="clear" w:color="000000" w:fill="FFFFFF"/>
            <w:noWrap/>
            <w:vAlign w:val="bottom"/>
            <w:hideMark/>
          </w:tcPr>
          <w:p w14:paraId="0C34F9FF"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-2.9</w:t>
            </w:r>
          </w:p>
        </w:tc>
      </w:tr>
      <w:tr w:rsidR="001D2107" w:rsidRPr="001D2107" w14:paraId="7299CF10" w14:textId="77777777" w:rsidTr="001D2107">
        <w:trPr>
          <w:trHeight w:val="315"/>
        </w:trPr>
        <w:tc>
          <w:tcPr>
            <w:tcW w:w="1480" w:type="dxa"/>
            <w:tcBorders>
              <w:top w:val="nil"/>
              <w:left w:val="nil"/>
              <w:bottom w:val="double" w:sz="6" w:space="0" w:color="auto"/>
              <w:right w:val="nil"/>
            </w:tcBorders>
            <w:shd w:val="clear" w:color="000000" w:fill="FFFFFF"/>
            <w:noWrap/>
            <w:vAlign w:val="bottom"/>
            <w:hideMark/>
          </w:tcPr>
          <w:p w14:paraId="02993A25" w14:textId="77777777" w:rsidR="001D2107" w:rsidRPr="001D2107" w:rsidRDefault="001D2107" w:rsidP="001D2107">
            <w:pPr>
              <w:rPr>
                <w:rFonts w:ascii="Calibri" w:hAnsi="Calibri" w:cs="Calibri"/>
                <w:b/>
                <w:bCs/>
                <w:color w:val="000000"/>
                <w:sz w:val="20"/>
                <w:szCs w:val="20"/>
                <w:lang w:val="en-GB" w:eastAsia="en-GB"/>
              </w:rPr>
            </w:pPr>
            <w:r w:rsidRPr="001D2107">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4B584694"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1.0</w:t>
            </w:r>
          </w:p>
        </w:tc>
        <w:tc>
          <w:tcPr>
            <w:tcW w:w="961" w:type="dxa"/>
            <w:tcBorders>
              <w:top w:val="nil"/>
              <w:left w:val="nil"/>
              <w:bottom w:val="double" w:sz="6" w:space="0" w:color="auto"/>
              <w:right w:val="single" w:sz="4" w:space="0" w:color="auto"/>
            </w:tcBorders>
            <w:shd w:val="clear" w:color="000000" w:fill="FFFFFF"/>
            <w:noWrap/>
            <w:vAlign w:val="bottom"/>
            <w:hideMark/>
          </w:tcPr>
          <w:p w14:paraId="14986AE5"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3649967A"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0.4</w:t>
            </w:r>
          </w:p>
        </w:tc>
        <w:tc>
          <w:tcPr>
            <w:tcW w:w="961" w:type="dxa"/>
            <w:tcBorders>
              <w:top w:val="nil"/>
              <w:left w:val="nil"/>
              <w:bottom w:val="double" w:sz="6" w:space="0" w:color="auto"/>
              <w:right w:val="single" w:sz="4" w:space="0" w:color="auto"/>
            </w:tcBorders>
            <w:shd w:val="clear" w:color="000000" w:fill="FFFFFF"/>
            <w:noWrap/>
            <w:vAlign w:val="bottom"/>
            <w:hideMark/>
          </w:tcPr>
          <w:p w14:paraId="401EA481" w14:textId="77777777" w:rsidR="001D2107" w:rsidRPr="001D2107" w:rsidRDefault="001D2107" w:rsidP="001D2107">
            <w:pPr>
              <w:jc w:val="center"/>
              <w:rPr>
                <w:rFonts w:ascii="Calibri" w:hAnsi="Calibri" w:cs="Calibri"/>
                <w:color w:val="000000"/>
                <w:sz w:val="20"/>
                <w:szCs w:val="20"/>
                <w:lang w:val="en-GB" w:eastAsia="en-GB"/>
              </w:rPr>
            </w:pPr>
            <w:r w:rsidRPr="001D2107">
              <w:rPr>
                <w:rFonts w:ascii="Calibri" w:hAnsi="Calibri" w:cs="Calibri"/>
                <w:color w:val="000000"/>
                <w:sz w:val="20"/>
                <w:szCs w:val="20"/>
                <w:lang w:val="en-GB" w:eastAsia="en-GB"/>
              </w:rPr>
              <w:t> </w:t>
            </w:r>
          </w:p>
        </w:tc>
      </w:tr>
    </w:tbl>
    <w:p w14:paraId="04FC8E76" w14:textId="77777777" w:rsidR="00F46A54" w:rsidRPr="0050008F" w:rsidRDefault="003D44CE" w:rsidP="00F46A54">
      <w:pPr>
        <w:keepNext/>
        <w:rPr>
          <w:rFonts w:ascii="Palatino Linotype" w:hAnsi="Palatino Linotype" w:cstheme="minorHAnsi"/>
          <w:sz w:val="18"/>
          <w:szCs w:val="18"/>
        </w:rPr>
      </w:pPr>
      <w:r w:rsidRPr="0050008F">
        <w:rPr>
          <w:rFonts w:ascii="Palatino Linotype" w:hAnsi="Palatino Linotype" w:cstheme="minorHAnsi"/>
          <w:sz w:val="18"/>
          <w:szCs w:val="18"/>
        </w:rPr>
        <w:t>Ka</w:t>
      </w:r>
      <w:r w:rsidR="00062A8A">
        <w:rPr>
          <w:rFonts w:ascii="Palatino Linotype" w:hAnsi="Palatino Linotype" w:cstheme="minorHAnsi"/>
          <w:sz w:val="18"/>
          <w:szCs w:val="18"/>
        </w:rPr>
        <w:t>ynak: TÜİK, Betam</w:t>
      </w:r>
    </w:p>
    <w:p w14:paraId="67F1EC21" w14:textId="77777777" w:rsidR="006C3EE6" w:rsidRPr="0050008F"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64533EB0" w:rsidR="006C3EE6" w:rsidRPr="0050008F"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835D87">
        <w:rPr>
          <w:rFonts w:ascii="Palatino Linotype" w:hAnsi="Palatino Linotype" w:cstheme="minorHAnsi"/>
          <w:b/>
          <w:sz w:val="22"/>
          <w:szCs w:val="22"/>
        </w:rPr>
        <w:t>Yatırımlar</w:t>
      </w:r>
      <w:r w:rsidR="005B67B3">
        <w:rPr>
          <w:rFonts w:ascii="Palatino Linotype" w:hAnsi="Palatino Linotype" w:cstheme="minorHAnsi"/>
          <w:b/>
          <w:sz w:val="22"/>
          <w:szCs w:val="22"/>
        </w:rPr>
        <w:t>daki düşüş devam ediyor</w:t>
      </w:r>
    </w:p>
    <w:p w14:paraId="1EDCC445" w14:textId="58AE8833" w:rsidR="00062A8A" w:rsidRPr="002A037D" w:rsidRDefault="00A648DB"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G</w:t>
      </w:r>
      <w:r w:rsidR="00B119E3">
        <w:rPr>
          <w:rFonts w:ascii="Palatino Linotype" w:hAnsi="Palatino Linotype" w:cstheme="minorHAnsi"/>
          <w:sz w:val="22"/>
          <w:szCs w:val="22"/>
        </w:rPr>
        <w:t>eçen yılın aynı çeyreğine göre</w:t>
      </w:r>
      <w:r>
        <w:rPr>
          <w:rFonts w:ascii="Palatino Linotype" w:hAnsi="Palatino Linotype" w:cstheme="minorHAnsi"/>
          <w:sz w:val="22"/>
          <w:szCs w:val="22"/>
        </w:rPr>
        <w:t xml:space="preserve"> yatırımlar</w:t>
      </w:r>
      <w:r w:rsidR="005B67B3">
        <w:rPr>
          <w:rFonts w:ascii="Palatino Linotype" w:hAnsi="Palatino Linotype" w:cstheme="minorHAnsi"/>
          <w:sz w:val="22"/>
          <w:szCs w:val="22"/>
        </w:rPr>
        <w:t xml:space="preserve"> 2</w:t>
      </w:r>
      <w:r w:rsidR="00480684">
        <w:rPr>
          <w:rFonts w:ascii="Palatino Linotype" w:hAnsi="Palatino Linotype" w:cstheme="minorHAnsi"/>
          <w:sz w:val="22"/>
          <w:szCs w:val="22"/>
        </w:rPr>
        <w:t>01</w:t>
      </w:r>
      <w:r w:rsidR="0016084A">
        <w:rPr>
          <w:rFonts w:ascii="Palatino Linotype" w:hAnsi="Palatino Linotype" w:cstheme="minorHAnsi"/>
          <w:sz w:val="22"/>
          <w:szCs w:val="22"/>
        </w:rPr>
        <w:t xml:space="preserve">9 yılı birinci çeyrekte </w:t>
      </w:r>
      <w:r w:rsidR="005B67B3">
        <w:rPr>
          <w:rFonts w:ascii="Palatino Linotype" w:hAnsi="Palatino Linotype" w:cstheme="minorHAnsi"/>
          <w:sz w:val="22"/>
          <w:szCs w:val="22"/>
        </w:rPr>
        <w:t>yüzde 12,4</w:t>
      </w:r>
      <w:r w:rsidR="00B119E3">
        <w:rPr>
          <w:rFonts w:ascii="Palatino Linotype" w:hAnsi="Palatino Linotype" w:cstheme="minorHAnsi"/>
          <w:sz w:val="22"/>
          <w:szCs w:val="22"/>
        </w:rPr>
        <w:t xml:space="preserve">, </w:t>
      </w:r>
      <w:r w:rsidR="005B67B3">
        <w:rPr>
          <w:rFonts w:ascii="Palatino Linotype" w:hAnsi="Palatino Linotype" w:cstheme="minorHAnsi"/>
          <w:sz w:val="22"/>
          <w:szCs w:val="22"/>
        </w:rPr>
        <w:t>ikinci</w:t>
      </w:r>
      <w:r w:rsidR="00480684">
        <w:rPr>
          <w:rFonts w:ascii="Palatino Linotype" w:hAnsi="Palatino Linotype" w:cstheme="minorHAnsi"/>
          <w:sz w:val="22"/>
          <w:szCs w:val="22"/>
        </w:rPr>
        <w:t xml:space="preserve"> çeyrekte</w:t>
      </w:r>
      <w:r w:rsidR="00302EDD">
        <w:rPr>
          <w:rFonts w:ascii="Palatino Linotype" w:hAnsi="Palatino Linotype" w:cstheme="minorHAnsi"/>
          <w:sz w:val="22"/>
          <w:szCs w:val="22"/>
        </w:rPr>
        <w:t xml:space="preserve"> ise yüzde </w:t>
      </w:r>
      <w:r w:rsidR="0016084A">
        <w:rPr>
          <w:rFonts w:ascii="Palatino Linotype" w:hAnsi="Palatino Linotype" w:cstheme="minorHAnsi"/>
          <w:sz w:val="22"/>
          <w:szCs w:val="22"/>
        </w:rPr>
        <w:t>22,8</w:t>
      </w:r>
      <w:r w:rsidR="0061333E">
        <w:rPr>
          <w:rFonts w:ascii="Palatino Linotype" w:hAnsi="Palatino Linotype" w:cstheme="minorHAnsi"/>
          <w:sz w:val="22"/>
          <w:szCs w:val="22"/>
        </w:rPr>
        <w:t xml:space="preserve"> azalmıştı</w:t>
      </w:r>
      <w:r w:rsidR="00480684">
        <w:rPr>
          <w:rFonts w:ascii="Palatino Linotype" w:hAnsi="Palatino Linotype" w:cstheme="minorHAnsi"/>
          <w:sz w:val="22"/>
          <w:szCs w:val="22"/>
        </w:rPr>
        <w:t>.</w:t>
      </w:r>
      <w:r w:rsidR="00302EDD">
        <w:rPr>
          <w:rFonts w:ascii="Palatino Linotype" w:hAnsi="Palatino Linotype" w:cstheme="minorHAnsi"/>
          <w:sz w:val="22"/>
          <w:szCs w:val="22"/>
        </w:rPr>
        <w:t xml:space="preserve"> </w:t>
      </w:r>
      <w:r w:rsidR="0061333E">
        <w:rPr>
          <w:rFonts w:ascii="Palatino Linotype" w:hAnsi="Palatino Linotype" w:cstheme="minorHAnsi"/>
          <w:sz w:val="22"/>
          <w:szCs w:val="22"/>
        </w:rPr>
        <w:t>Üçüncü çeyrekte ise y</w:t>
      </w:r>
      <w:r w:rsidR="00A25823">
        <w:rPr>
          <w:rFonts w:ascii="Palatino Linotype" w:hAnsi="Palatino Linotype" w:cstheme="minorHAnsi"/>
          <w:sz w:val="22"/>
          <w:szCs w:val="22"/>
        </w:rPr>
        <w:t>atırımlar</w:t>
      </w:r>
      <w:r w:rsidR="00B119E3">
        <w:rPr>
          <w:rFonts w:ascii="Palatino Linotype" w:hAnsi="Palatino Linotype" w:cstheme="minorHAnsi"/>
          <w:sz w:val="22"/>
          <w:szCs w:val="22"/>
        </w:rPr>
        <w:t xml:space="preserve"> yıllık b</w:t>
      </w:r>
      <w:r w:rsidR="0061333E">
        <w:rPr>
          <w:rFonts w:ascii="Palatino Linotype" w:hAnsi="Palatino Linotype" w:cstheme="minorHAnsi"/>
          <w:sz w:val="22"/>
          <w:szCs w:val="22"/>
        </w:rPr>
        <w:t xml:space="preserve">azda yüzde 12,6 azalarak büyümeyi yüzde 3,6 yüzde puan aşağı çekmiştir </w:t>
      </w:r>
      <w:r w:rsidR="00B119E3">
        <w:rPr>
          <w:rFonts w:ascii="Palatino Linotype" w:hAnsi="Palatino Linotype" w:cstheme="minorHAnsi"/>
          <w:sz w:val="22"/>
          <w:szCs w:val="22"/>
        </w:rPr>
        <w:t>(Tablo 1)</w:t>
      </w:r>
      <w:r w:rsidR="00310C5C">
        <w:rPr>
          <w:rFonts w:ascii="Palatino Linotype" w:hAnsi="Palatino Linotype" w:cstheme="minorHAnsi"/>
          <w:sz w:val="22"/>
          <w:szCs w:val="22"/>
        </w:rPr>
        <w:t>.</w:t>
      </w:r>
      <w:r w:rsidR="00480684">
        <w:rPr>
          <w:rFonts w:ascii="Palatino Linotype" w:hAnsi="Palatino Linotype" w:cstheme="minorHAnsi"/>
          <w:sz w:val="22"/>
          <w:szCs w:val="22"/>
        </w:rPr>
        <w:t xml:space="preserve"> </w:t>
      </w:r>
      <w:r w:rsidR="00F30329" w:rsidRPr="00FD7B4A">
        <w:rPr>
          <w:rFonts w:ascii="Palatino Linotype" w:hAnsi="Palatino Linotype" w:cstheme="minorHAnsi"/>
          <w:sz w:val="22"/>
          <w:szCs w:val="22"/>
        </w:rPr>
        <w:t>Mevsim ve takvim etkilerinden arındırılmış rakamlara baktığımızda ise</w:t>
      </w:r>
      <w:r w:rsidR="00F30329">
        <w:rPr>
          <w:rFonts w:ascii="Palatino Linotype" w:hAnsi="Palatino Linotype" w:cstheme="minorHAnsi"/>
          <w:sz w:val="22"/>
          <w:szCs w:val="22"/>
        </w:rPr>
        <w:t xml:space="preserve"> </w:t>
      </w:r>
      <w:r w:rsidR="00A25823">
        <w:rPr>
          <w:rFonts w:ascii="Palatino Linotype" w:hAnsi="Palatino Linotype" w:cstheme="minorHAnsi"/>
          <w:sz w:val="22"/>
          <w:szCs w:val="22"/>
        </w:rPr>
        <w:t>ilk iki çeyrek negatif olan yatırım katkısının bu üçüncü çeyrekte sıfırlandığı görüyoruz</w:t>
      </w:r>
      <w:r w:rsidR="000F0B6B" w:rsidRPr="0050008F">
        <w:rPr>
          <w:rFonts w:ascii="Palatino Linotype" w:hAnsi="Palatino Linotype" w:cstheme="minorHAnsi"/>
          <w:sz w:val="22"/>
          <w:szCs w:val="22"/>
        </w:rPr>
        <w:t xml:space="preserve"> </w:t>
      </w:r>
      <w:r w:rsidR="00480684">
        <w:rPr>
          <w:rFonts w:ascii="Palatino Linotype" w:hAnsi="Palatino Linotype" w:cstheme="minorHAnsi"/>
          <w:sz w:val="22"/>
          <w:szCs w:val="22"/>
        </w:rPr>
        <w:t xml:space="preserve">(Tablo 2). </w:t>
      </w:r>
    </w:p>
    <w:p w14:paraId="16625566" w14:textId="2A09F290" w:rsidR="00681AD9" w:rsidRPr="00FD7B4A"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FD7B4A">
        <w:rPr>
          <w:rFonts w:ascii="Palatino Linotype" w:hAnsi="Palatino Linotype" w:cstheme="minorHAnsi"/>
          <w:b/>
          <w:sz w:val="22"/>
          <w:szCs w:val="22"/>
        </w:rPr>
        <w:t>Stok</w:t>
      </w:r>
      <w:r w:rsidR="00773A17">
        <w:rPr>
          <w:rFonts w:ascii="Palatino Linotype" w:hAnsi="Palatino Linotype" w:cstheme="minorHAnsi"/>
          <w:b/>
          <w:sz w:val="22"/>
          <w:szCs w:val="22"/>
        </w:rPr>
        <w:t xml:space="preserve"> değişiminde </w:t>
      </w:r>
      <w:r w:rsidR="00835D87">
        <w:rPr>
          <w:rFonts w:ascii="Palatino Linotype" w:hAnsi="Palatino Linotype" w:cstheme="minorHAnsi"/>
          <w:b/>
          <w:sz w:val="22"/>
          <w:szCs w:val="22"/>
        </w:rPr>
        <w:t>toparlanma</w:t>
      </w:r>
      <w:r w:rsidR="00494926" w:rsidRPr="00FD7B4A">
        <w:rPr>
          <w:rStyle w:val="FootnoteReference"/>
          <w:rFonts w:ascii="Palatino Linotype" w:hAnsi="Palatino Linotype" w:cstheme="minorHAnsi"/>
          <w:b/>
          <w:sz w:val="22"/>
          <w:szCs w:val="22"/>
        </w:rPr>
        <w:footnoteReference w:id="3"/>
      </w:r>
    </w:p>
    <w:p w14:paraId="7912D79A" w14:textId="55D14770" w:rsidR="006138F0" w:rsidRPr="002A037D" w:rsidRDefault="003D4202"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3" w:name="OLE_LINK7"/>
      <w:bookmarkStart w:id="4" w:name="OLE_LINK8"/>
      <w:r>
        <w:rPr>
          <w:rFonts w:ascii="Palatino Linotype" w:hAnsi="Palatino Linotype" w:cstheme="minorHAnsi"/>
          <w:sz w:val="22"/>
          <w:szCs w:val="22"/>
        </w:rPr>
        <w:t xml:space="preserve">Yıllık bazda </w:t>
      </w:r>
      <w:r w:rsidR="00835D87">
        <w:rPr>
          <w:rFonts w:ascii="Palatino Linotype" w:hAnsi="Palatino Linotype" w:cstheme="minorHAnsi"/>
          <w:sz w:val="22"/>
          <w:szCs w:val="22"/>
        </w:rPr>
        <w:t>2019</w:t>
      </w:r>
      <w:r w:rsidR="006F2CD8" w:rsidRPr="00FD7B4A">
        <w:rPr>
          <w:rFonts w:ascii="Palatino Linotype" w:hAnsi="Palatino Linotype" w:cstheme="minorHAnsi"/>
          <w:sz w:val="22"/>
          <w:szCs w:val="22"/>
        </w:rPr>
        <w:t xml:space="preserve"> yılının </w:t>
      </w:r>
      <w:r w:rsidR="00370FEE">
        <w:rPr>
          <w:rFonts w:ascii="Palatino Linotype" w:hAnsi="Palatino Linotype" w:cstheme="minorHAnsi"/>
          <w:sz w:val="22"/>
          <w:szCs w:val="22"/>
        </w:rPr>
        <w:t>ikinci</w:t>
      </w:r>
      <w:r w:rsidR="006F2CD8" w:rsidRPr="00FD7B4A">
        <w:rPr>
          <w:rFonts w:ascii="Palatino Linotype" w:hAnsi="Palatino Linotype" w:cstheme="minorHAnsi"/>
          <w:sz w:val="22"/>
          <w:szCs w:val="22"/>
        </w:rPr>
        <w:t xml:space="preserve"> çeyreğ</w:t>
      </w:r>
      <w:r w:rsidR="00835D87">
        <w:rPr>
          <w:rFonts w:ascii="Palatino Linotype" w:hAnsi="Palatino Linotype" w:cstheme="minorHAnsi"/>
          <w:sz w:val="22"/>
          <w:szCs w:val="22"/>
        </w:rPr>
        <w:t xml:space="preserve">inde </w:t>
      </w:r>
      <w:r w:rsidR="00370FEE">
        <w:rPr>
          <w:rFonts w:ascii="Palatino Linotype" w:hAnsi="Palatino Linotype" w:cstheme="minorHAnsi"/>
          <w:sz w:val="22"/>
          <w:szCs w:val="22"/>
        </w:rPr>
        <w:t>eksi 1,7</w:t>
      </w:r>
      <w:r w:rsidR="00F67B66" w:rsidRPr="00FD7B4A">
        <w:rPr>
          <w:rFonts w:ascii="Palatino Linotype" w:hAnsi="Palatino Linotype" w:cstheme="minorHAnsi"/>
          <w:sz w:val="22"/>
          <w:szCs w:val="22"/>
        </w:rPr>
        <w:t xml:space="preserve"> yüzde puan olan </w:t>
      </w:r>
      <w:r w:rsidR="006F2CD8" w:rsidRPr="00FD7B4A">
        <w:rPr>
          <w:rFonts w:ascii="Palatino Linotype" w:hAnsi="Palatino Linotype" w:cstheme="minorHAnsi"/>
          <w:sz w:val="22"/>
          <w:szCs w:val="22"/>
        </w:rPr>
        <w:t xml:space="preserve">stok değişimlerinin büyümeye katkısı, </w:t>
      </w:r>
      <w:r w:rsidR="00835D87">
        <w:rPr>
          <w:rFonts w:ascii="Palatino Linotype" w:hAnsi="Palatino Linotype" w:cstheme="minorHAnsi"/>
          <w:sz w:val="22"/>
          <w:szCs w:val="22"/>
        </w:rPr>
        <w:t xml:space="preserve">2019 yılı </w:t>
      </w:r>
      <w:r w:rsidR="00370FEE">
        <w:rPr>
          <w:rFonts w:ascii="Palatino Linotype" w:hAnsi="Palatino Linotype" w:cstheme="minorHAnsi"/>
          <w:sz w:val="22"/>
          <w:szCs w:val="22"/>
        </w:rPr>
        <w:t>üçüncü</w:t>
      </w:r>
      <w:r w:rsidR="00F80F23">
        <w:rPr>
          <w:rFonts w:ascii="Palatino Linotype" w:hAnsi="Palatino Linotype" w:cstheme="minorHAnsi"/>
          <w:sz w:val="22"/>
          <w:szCs w:val="22"/>
        </w:rPr>
        <w:t xml:space="preserve"> çeyrekte</w:t>
      </w:r>
      <w:r w:rsidR="006F2CD8" w:rsidRPr="00FD7B4A">
        <w:rPr>
          <w:rFonts w:ascii="Palatino Linotype" w:hAnsi="Palatino Linotype" w:cstheme="minorHAnsi"/>
          <w:sz w:val="22"/>
          <w:szCs w:val="22"/>
        </w:rPr>
        <w:t xml:space="preserve"> </w:t>
      </w:r>
      <w:r w:rsidR="00370FEE">
        <w:rPr>
          <w:rFonts w:ascii="Palatino Linotype" w:hAnsi="Palatino Linotype" w:cstheme="minorHAnsi"/>
          <w:sz w:val="22"/>
          <w:szCs w:val="22"/>
        </w:rPr>
        <w:t>2,4</w:t>
      </w:r>
      <w:r w:rsidR="006F2CD8" w:rsidRPr="00FD7B4A">
        <w:rPr>
          <w:rFonts w:ascii="Palatino Linotype" w:hAnsi="Palatino Linotype" w:cstheme="minorHAnsi"/>
          <w:sz w:val="22"/>
          <w:szCs w:val="22"/>
        </w:rPr>
        <w:t xml:space="preserve"> yüzde puan olarak gerçekleşti</w:t>
      </w:r>
      <w:r w:rsidR="00492020" w:rsidRPr="00FD7B4A">
        <w:rPr>
          <w:rFonts w:ascii="Palatino Linotype" w:hAnsi="Palatino Linotype" w:cstheme="minorHAnsi"/>
          <w:sz w:val="22"/>
          <w:szCs w:val="22"/>
        </w:rPr>
        <w:t xml:space="preserve"> </w:t>
      </w:r>
      <w:bookmarkEnd w:id="3"/>
      <w:bookmarkEnd w:id="4"/>
      <w:r w:rsidR="00681022" w:rsidRPr="00FD7B4A">
        <w:rPr>
          <w:rFonts w:ascii="Palatino Linotype" w:hAnsi="Palatino Linotype" w:cstheme="minorHAnsi"/>
          <w:sz w:val="22"/>
          <w:szCs w:val="22"/>
        </w:rPr>
        <w:t xml:space="preserve">(Tablo 1). </w:t>
      </w:r>
      <w:r w:rsidR="006D02FD" w:rsidRPr="00FD7B4A">
        <w:rPr>
          <w:rFonts w:ascii="Palatino Linotype" w:hAnsi="Palatino Linotype" w:cstheme="minorHAnsi"/>
          <w:sz w:val="22"/>
          <w:szCs w:val="22"/>
        </w:rPr>
        <w:t xml:space="preserve">Çeyreklik büyümeye bakıldığında </w:t>
      </w:r>
      <w:r w:rsidR="00B95E66" w:rsidRPr="00FD7B4A">
        <w:rPr>
          <w:rFonts w:ascii="Palatino Linotype" w:hAnsi="Palatino Linotype" w:cstheme="minorHAnsi"/>
          <w:sz w:val="22"/>
          <w:szCs w:val="22"/>
        </w:rPr>
        <w:t>da</w:t>
      </w:r>
      <w:r w:rsidR="006D02FD" w:rsidRPr="00FD7B4A">
        <w:rPr>
          <w:rFonts w:ascii="Palatino Linotype" w:hAnsi="Palatino Linotype" w:cstheme="minorHAnsi"/>
          <w:sz w:val="22"/>
          <w:szCs w:val="22"/>
        </w:rPr>
        <w:t xml:space="preserve"> m</w:t>
      </w:r>
      <w:r w:rsidR="00681022" w:rsidRPr="00FD7B4A">
        <w:rPr>
          <w:rFonts w:ascii="Palatino Linotype" w:hAnsi="Palatino Linotype" w:cstheme="minorHAnsi"/>
          <w:sz w:val="22"/>
          <w:szCs w:val="22"/>
        </w:rPr>
        <w:t xml:space="preserve">evsim ve takvim etkilerinden arındırılmış stok değişiminin </w:t>
      </w:r>
      <w:r w:rsidR="00835D87">
        <w:rPr>
          <w:rFonts w:ascii="Palatino Linotype" w:hAnsi="Palatino Linotype" w:cstheme="minorHAnsi"/>
          <w:sz w:val="22"/>
          <w:szCs w:val="22"/>
        </w:rPr>
        <w:t>büyümeye</w:t>
      </w:r>
      <w:r w:rsidR="005D3C96">
        <w:rPr>
          <w:rFonts w:ascii="Palatino Linotype" w:hAnsi="Palatino Linotype" w:cstheme="minorHAnsi"/>
          <w:sz w:val="22"/>
          <w:szCs w:val="22"/>
        </w:rPr>
        <w:t xml:space="preserve"> </w:t>
      </w:r>
      <w:r w:rsidR="00370FEE">
        <w:rPr>
          <w:rFonts w:ascii="Palatino Linotype" w:hAnsi="Palatino Linotype" w:cstheme="minorHAnsi"/>
          <w:sz w:val="22"/>
          <w:szCs w:val="22"/>
        </w:rPr>
        <w:t>ikinci</w:t>
      </w:r>
      <w:r w:rsidR="005D3C96">
        <w:rPr>
          <w:rFonts w:ascii="Palatino Linotype" w:hAnsi="Palatino Linotype" w:cstheme="minorHAnsi"/>
          <w:sz w:val="22"/>
          <w:szCs w:val="22"/>
        </w:rPr>
        <w:t xml:space="preserve"> çeyrekte 0,</w:t>
      </w:r>
      <w:r w:rsidR="00370FEE">
        <w:rPr>
          <w:rFonts w:ascii="Palatino Linotype" w:hAnsi="Palatino Linotype" w:cstheme="minorHAnsi"/>
          <w:sz w:val="22"/>
          <w:szCs w:val="22"/>
        </w:rPr>
        <w:t>3</w:t>
      </w:r>
      <w:r w:rsidR="005D3C96">
        <w:rPr>
          <w:rFonts w:ascii="Palatino Linotype" w:hAnsi="Palatino Linotype" w:cstheme="minorHAnsi"/>
          <w:sz w:val="22"/>
          <w:szCs w:val="22"/>
        </w:rPr>
        <w:t xml:space="preserve">, </w:t>
      </w:r>
      <w:r w:rsidR="00370FEE">
        <w:rPr>
          <w:rFonts w:ascii="Palatino Linotype" w:hAnsi="Palatino Linotype" w:cstheme="minorHAnsi"/>
          <w:sz w:val="22"/>
          <w:szCs w:val="22"/>
        </w:rPr>
        <w:t>üçüncü</w:t>
      </w:r>
      <w:r w:rsidR="005D3C96">
        <w:rPr>
          <w:rFonts w:ascii="Palatino Linotype" w:hAnsi="Palatino Linotype" w:cstheme="minorHAnsi"/>
          <w:sz w:val="22"/>
          <w:szCs w:val="22"/>
        </w:rPr>
        <w:t xml:space="preserve"> çeyrekte ise</w:t>
      </w:r>
      <w:r w:rsidR="00ED5E21">
        <w:rPr>
          <w:rFonts w:ascii="Palatino Linotype" w:hAnsi="Palatino Linotype" w:cstheme="minorHAnsi"/>
          <w:sz w:val="22"/>
          <w:szCs w:val="22"/>
        </w:rPr>
        <w:t xml:space="preserve"> 0,</w:t>
      </w:r>
      <w:r w:rsidR="00370FEE">
        <w:rPr>
          <w:rFonts w:ascii="Palatino Linotype" w:hAnsi="Palatino Linotype" w:cstheme="minorHAnsi"/>
          <w:sz w:val="22"/>
          <w:szCs w:val="22"/>
        </w:rPr>
        <w:t>2</w:t>
      </w:r>
      <w:r w:rsidR="00835D87">
        <w:rPr>
          <w:rFonts w:ascii="Palatino Linotype" w:hAnsi="Palatino Linotype" w:cstheme="minorHAnsi"/>
          <w:sz w:val="22"/>
          <w:szCs w:val="22"/>
        </w:rPr>
        <w:t xml:space="preserve"> yüzde puan pozitif</w:t>
      </w:r>
      <w:r w:rsidR="00D1282D">
        <w:rPr>
          <w:rFonts w:ascii="Palatino Linotype" w:hAnsi="Palatino Linotype" w:cstheme="minorHAnsi"/>
          <w:sz w:val="22"/>
          <w:szCs w:val="22"/>
        </w:rPr>
        <w:t xml:space="preserve"> katkıda bulunduğu</w:t>
      </w:r>
      <w:r w:rsidR="005D3C96">
        <w:rPr>
          <w:rFonts w:ascii="Palatino Linotype" w:hAnsi="Palatino Linotype" w:cstheme="minorHAnsi"/>
          <w:sz w:val="22"/>
          <w:szCs w:val="22"/>
        </w:rPr>
        <w:t>nu</w:t>
      </w:r>
      <w:r w:rsidR="00ED5E21">
        <w:rPr>
          <w:rFonts w:ascii="Palatino Linotype" w:hAnsi="Palatino Linotype" w:cstheme="minorHAnsi"/>
          <w:sz w:val="22"/>
          <w:szCs w:val="22"/>
        </w:rPr>
        <w:t xml:space="preserve"> </w:t>
      </w:r>
      <w:r w:rsidR="005D3C96">
        <w:rPr>
          <w:rFonts w:ascii="Palatino Linotype" w:hAnsi="Palatino Linotype" w:cstheme="minorHAnsi"/>
          <w:sz w:val="22"/>
          <w:szCs w:val="22"/>
        </w:rPr>
        <w:t>hesaplıyoruz</w:t>
      </w:r>
      <w:r w:rsidR="00242C10">
        <w:rPr>
          <w:rFonts w:ascii="Palatino Linotype" w:hAnsi="Palatino Linotype" w:cstheme="minorHAnsi"/>
          <w:sz w:val="22"/>
          <w:szCs w:val="22"/>
        </w:rPr>
        <w:t xml:space="preserve"> (Tablo </w:t>
      </w:r>
      <w:r w:rsidR="00681022" w:rsidRPr="00FD7B4A">
        <w:rPr>
          <w:rFonts w:ascii="Palatino Linotype" w:hAnsi="Palatino Linotype" w:cstheme="minorHAnsi"/>
          <w:sz w:val="22"/>
          <w:szCs w:val="22"/>
        </w:rPr>
        <w:t>2).</w:t>
      </w:r>
    </w:p>
    <w:p w14:paraId="7233E2B8" w14:textId="00C74E48" w:rsidR="00F46A54" w:rsidRDefault="004F4BDC" w:rsidP="00F30329">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t>Net dış ticaretin pozitif katkısı</w:t>
      </w:r>
      <w:r w:rsidR="00FB701E">
        <w:rPr>
          <w:rFonts w:ascii="Palatino Linotype" w:hAnsi="Palatino Linotype" w:cstheme="minorHAnsi"/>
          <w:b/>
          <w:sz w:val="22"/>
          <w:szCs w:val="22"/>
        </w:rPr>
        <w:t>nda sona doğru</w:t>
      </w:r>
    </w:p>
    <w:p w14:paraId="142C0302" w14:textId="7364BF9C" w:rsidR="00062A8A" w:rsidRPr="002A037D" w:rsidRDefault="00232635"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2019</w:t>
      </w:r>
      <w:r w:rsidR="00A34DB9" w:rsidRPr="0050008F">
        <w:rPr>
          <w:rFonts w:ascii="Palatino Linotype" w:hAnsi="Palatino Linotype" w:cstheme="minorHAnsi"/>
          <w:sz w:val="22"/>
          <w:szCs w:val="22"/>
        </w:rPr>
        <w:t xml:space="preserve"> yılının </w:t>
      </w:r>
      <w:r w:rsidR="00FB701E">
        <w:rPr>
          <w:rFonts w:ascii="Palatino Linotype" w:hAnsi="Palatino Linotype" w:cstheme="minorHAnsi"/>
          <w:sz w:val="22"/>
          <w:szCs w:val="22"/>
        </w:rPr>
        <w:t>ikinci</w:t>
      </w:r>
      <w:r w:rsidR="00A34DB9" w:rsidRPr="0050008F">
        <w:rPr>
          <w:rFonts w:ascii="Palatino Linotype" w:hAnsi="Palatino Linotype" w:cstheme="minorHAnsi"/>
          <w:sz w:val="22"/>
          <w:szCs w:val="22"/>
        </w:rPr>
        <w:t xml:space="preserve"> çeyreğinde </w:t>
      </w:r>
      <w:r w:rsidR="006813D8">
        <w:rPr>
          <w:rFonts w:ascii="Palatino Linotype" w:hAnsi="Palatino Linotype" w:cstheme="minorHAnsi"/>
          <w:sz w:val="22"/>
          <w:szCs w:val="22"/>
        </w:rPr>
        <w:t>yıllık</w:t>
      </w:r>
      <w:r w:rsidR="00097794">
        <w:rPr>
          <w:rFonts w:ascii="Palatino Linotype" w:hAnsi="Palatino Linotype" w:cstheme="minorHAnsi"/>
          <w:sz w:val="22"/>
          <w:szCs w:val="22"/>
        </w:rPr>
        <w:t xml:space="preserve"> bazda</w:t>
      </w:r>
      <w:r w:rsidR="005D3C96">
        <w:rPr>
          <w:rFonts w:ascii="Palatino Linotype" w:hAnsi="Palatino Linotype" w:cstheme="minorHAnsi"/>
          <w:sz w:val="22"/>
          <w:szCs w:val="22"/>
        </w:rPr>
        <w:t xml:space="preserve"> yüzde </w:t>
      </w:r>
      <w:r w:rsidR="00FB701E">
        <w:rPr>
          <w:rFonts w:ascii="Palatino Linotype" w:hAnsi="Palatino Linotype" w:cstheme="minorHAnsi"/>
          <w:sz w:val="22"/>
          <w:szCs w:val="22"/>
        </w:rPr>
        <w:t>8</w:t>
      </w:r>
      <w:r w:rsidR="005D3C96">
        <w:rPr>
          <w:rFonts w:ascii="Palatino Linotype" w:hAnsi="Palatino Linotype" w:cstheme="minorHAnsi"/>
          <w:sz w:val="22"/>
          <w:szCs w:val="22"/>
        </w:rPr>
        <w:t>,</w:t>
      </w:r>
      <w:r w:rsidR="00FB701E">
        <w:rPr>
          <w:rFonts w:ascii="Palatino Linotype" w:hAnsi="Palatino Linotype" w:cstheme="minorHAnsi"/>
          <w:sz w:val="22"/>
          <w:szCs w:val="22"/>
        </w:rPr>
        <w:t>1</w:t>
      </w:r>
      <w:r w:rsidR="005D3C96">
        <w:rPr>
          <w:rFonts w:ascii="Palatino Linotype" w:hAnsi="Palatino Linotype" w:cstheme="minorHAnsi"/>
          <w:sz w:val="22"/>
          <w:szCs w:val="22"/>
        </w:rPr>
        <w:t xml:space="preserve"> artan ihracat </w:t>
      </w:r>
      <w:r w:rsidR="00FB701E">
        <w:rPr>
          <w:rFonts w:ascii="Palatino Linotype" w:hAnsi="Palatino Linotype" w:cstheme="minorHAnsi"/>
          <w:sz w:val="22"/>
          <w:szCs w:val="22"/>
        </w:rPr>
        <w:t>üçüncü</w:t>
      </w:r>
      <w:r w:rsidR="005D3C96">
        <w:rPr>
          <w:rFonts w:ascii="Palatino Linotype" w:hAnsi="Palatino Linotype" w:cstheme="minorHAnsi"/>
          <w:sz w:val="22"/>
          <w:szCs w:val="22"/>
        </w:rPr>
        <w:t xml:space="preserve"> çeyrekte yüzde </w:t>
      </w:r>
      <w:r w:rsidR="00FB701E">
        <w:rPr>
          <w:rFonts w:ascii="Palatino Linotype" w:hAnsi="Palatino Linotype" w:cstheme="minorHAnsi"/>
          <w:sz w:val="22"/>
          <w:szCs w:val="22"/>
        </w:rPr>
        <w:t>5</w:t>
      </w:r>
      <w:r w:rsidR="005D3C96">
        <w:rPr>
          <w:rFonts w:ascii="Palatino Linotype" w:hAnsi="Palatino Linotype" w:cstheme="minorHAnsi"/>
          <w:sz w:val="22"/>
          <w:szCs w:val="22"/>
        </w:rPr>
        <w:t>,1 arttı</w:t>
      </w:r>
      <w:r w:rsidR="00FB701E">
        <w:rPr>
          <w:rFonts w:ascii="Palatino Linotype" w:hAnsi="Palatino Linotype" w:cstheme="minorHAnsi"/>
          <w:sz w:val="22"/>
          <w:szCs w:val="22"/>
        </w:rPr>
        <w:t xml:space="preserve"> ve büyümeye katkısı</w:t>
      </w:r>
      <w:r w:rsidR="005D3C96">
        <w:rPr>
          <w:rFonts w:ascii="Palatino Linotype" w:hAnsi="Palatino Linotype" w:cstheme="minorHAnsi"/>
          <w:sz w:val="22"/>
          <w:szCs w:val="22"/>
        </w:rPr>
        <w:t xml:space="preserve"> </w:t>
      </w:r>
      <w:r w:rsidR="00FB701E">
        <w:rPr>
          <w:rFonts w:ascii="Palatino Linotype" w:hAnsi="Palatino Linotype" w:cstheme="minorHAnsi"/>
          <w:sz w:val="22"/>
          <w:szCs w:val="22"/>
        </w:rPr>
        <w:t>1,7</w:t>
      </w:r>
      <w:r w:rsidR="005D3C96">
        <w:rPr>
          <w:rFonts w:ascii="Palatino Linotype" w:hAnsi="Palatino Linotype" w:cstheme="minorHAnsi"/>
          <w:sz w:val="22"/>
          <w:szCs w:val="22"/>
        </w:rPr>
        <w:t xml:space="preserve"> yüzde puan oldu. İthalattaki azalış ise </w:t>
      </w:r>
      <w:r w:rsidR="00FB701E">
        <w:rPr>
          <w:rFonts w:ascii="Palatino Linotype" w:hAnsi="Palatino Linotype" w:cstheme="minorHAnsi"/>
          <w:sz w:val="22"/>
          <w:szCs w:val="22"/>
        </w:rPr>
        <w:t>bitmiş görünüyor</w:t>
      </w:r>
      <w:r w:rsidR="005D3C96">
        <w:rPr>
          <w:rFonts w:ascii="Palatino Linotype" w:hAnsi="Palatino Linotype" w:cstheme="minorHAnsi"/>
          <w:sz w:val="22"/>
          <w:szCs w:val="22"/>
        </w:rPr>
        <w:t>. İlk çeyrekte yüzde 2</w:t>
      </w:r>
      <w:r w:rsidR="005D27F8">
        <w:rPr>
          <w:rFonts w:ascii="Palatino Linotype" w:hAnsi="Palatino Linotype" w:cstheme="minorHAnsi"/>
          <w:sz w:val="22"/>
          <w:szCs w:val="22"/>
        </w:rPr>
        <w:t>9</w:t>
      </w:r>
      <w:r w:rsidR="005D3C96">
        <w:rPr>
          <w:rFonts w:ascii="Palatino Linotype" w:hAnsi="Palatino Linotype" w:cstheme="minorHAnsi"/>
          <w:sz w:val="22"/>
          <w:szCs w:val="22"/>
        </w:rPr>
        <w:t xml:space="preserve">’a yaklaşan ithalat azalışı ikinci çeyrekte </w:t>
      </w:r>
      <w:r>
        <w:rPr>
          <w:rFonts w:ascii="Palatino Linotype" w:hAnsi="Palatino Linotype" w:cstheme="minorHAnsi"/>
          <w:sz w:val="22"/>
          <w:szCs w:val="22"/>
        </w:rPr>
        <w:t xml:space="preserve">yüzde </w:t>
      </w:r>
      <w:r w:rsidR="005D3C96">
        <w:rPr>
          <w:rFonts w:ascii="Palatino Linotype" w:hAnsi="Palatino Linotype" w:cstheme="minorHAnsi"/>
          <w:sz w:val="22"/>
          <w:szCs w:val="22"/>
        </w:rPr>
        <w:t>17</w:t>
      </w:r>
      <w:r w:rsidR="00FB701E">
        <w:rPr>
          <w:rFonts w:ascii="Palatino Linotype" w:hAnsi="Palatino Linotype" w:cstheme="minorHAnsi"/>
          <w:sz w:val="22"/>
          <w:szCs w:val="22"/>
        </w:rPr>
        <w:t>’ydi</w:t>
      </w:r>
      <w:r w:rsidR="005D3C96">
        <w:rPr>
          <w:rFonts w:ascii="Palatino Linotype" w:hAnsi="Palatino Linotype" w:cstheme="minorHAnsi"/>
          <w:sz w:val="22"/>
          <w:szCs w:val="22"/>
        </w:rPr>
        <w:t>.</w:t>
      </w:r>
      <w:r w:rsidR="00FB701E">
        <w:rPr>
          <w:rFonts w:ascii="Palatino Linotype" w:hAnsi="Palatino Linotype" w:cstheme="minorHAnsi"/>
          <w:sz w:val="22"/>
          <w:szCs w:val="22"/>
        </w:rPr>
        <w:t xml:space="preserve"> Üçüncü çeyrekte ise yüzde 7,6 arttı ve neticede büyümeye katkısı eksi 1,4 yüzde puan oldu. </w:t>
      </w:r>
      <w:r w:rsidR="006813D8" w:rsidRPr="0050008F">
        <w:rPr>
          <w:rFonts w:ascii="Palatino Linotype" w:hAnsi="Palatino Linotype" w:cstheme="minorHAnsi"/>
          <w:sz w:val="22"/>
          <w:szCs w:val="22"/>
        </w:rPr>
        <w:t>(Tablo 1)</w:t>
      </w:r>
      <w:r w:rsidR="007B5A28">
        <w:rPr>
          <w:rFonts w:ascii="Palatino Linotype" w:hAnsi="Palatino Linotype" w:cstheme="minorHAnsi"/>
          <w:sz w:val="22"/>
          <w:szCs w:val="22"/>
        </w:rPr>
        <w:t>.</w:t>
      </w:r>
      <w:r w:rsidR="00EE150B" w:rsidRPr="0050008F">
        <w:rPr>
          <w:rFonts w:ascii="Palatino Linotype" w:hAnsi="Palatino Linotype" w:cstheme="minorHAnsi"/>
          <w:sz w:val="22"/>
          <w:szCs w:val="22"/>
        </w:rPr>
        <w:t xml:space="preserve"> </w:t>
      </w:r>
      <w:r w:rsidR="00C82B14" w:rsidRPr="0050008F">
        <w:rPr>
          <w:rFonts w:ascii="Palatino Linotype" w:hAnsi="Palatino Linotype" w:cstheme="minorHAnsi"/>
          <w:sz w:val="22"/>
          <w:szCs w:val="22"/>
        </w:rPr>
        <w:t>M</w:t>
      </w:r>
      <w:r w:rsidR="00EE150B" w:rsidRPr="0050008F">
        <w:rPr>
          <w:rFonts w:ascii="Palatino Linotype" w:hAnsi="Palatino Linotype" w:cstheme="minorHAnsi"/>
          <w:sz w:val="22"/>
          <w:szCs w:val="22"/>
        </w:rPr>
        <w:t xml:space="preserve">evsim ve takvim etkilerinden arındırılmış </w:t>
      </w:r>
      <w:r w:rsidR="005D3C96">
        <w:rPr>
          <w:rFonts w:ascii="Palatino Linotype" w:hAnsi="Palatino Linotype" w:cstheme="minorHAnsi"/>
          <w:sz w:val="22"/>
          <w:szCs w:val="22"/>
        </w:rPr>
        <w:t>rakamlara baktığımızda</w:t>
      </w:r>
      <w:r w:rsidR="00177002">
        <w:rPr>
          <w:rFonts w:ascii="Palatino Linotype" w:hAnsi="Palatino Linotype" w:cstheme="minorHAnsi"/>
          <w:sz w:val="22"/>
          <w:szCs w:val="22"/>
        </w:rPr>
        <w:t xml:space="preserve"> ise </w:t>
      </w:r>
      <w:r w:rsidR="00FB701E">
        <w:rPr>
          <w:rFonts w:ascii="Palatino Linotype" w:hAnsi="Palatino Linotype" w:cstheme="minorHAnsi"/>
          <w:sz w:val="22"/>
          <w:szCs w:val="22"/>
        </w:rPr>
        <w:t xml:space="preserve">ithalattaki artışın hızlandığını ve </w:t>
      </w:r>
      <w:r w:rsidR="00FB701E">
        <w:rPr>
          <w:rFonts w:ascii="Palatino Linotype" w:hAnsi="Palatino Linotype" w:cstheme="minorHAnsi"/>
          <w:sz w:val="22"/>
          <w:szCs w:val="22"/>
        </w:rPr>
        <w:lastRenderedPageBreak/>
        <w:t>net dış ticaretin çeyreklik büyümeye katkısının eksi 1,2 yüzde puan olduğunu hesaplıyoruz</w:t>
      </w:r>
      <w:r w:rsidR="00177002">
        <w:rPr>
          <w:rFonts w:ascii="Palatino Linotype" w:hAnsi="Palatino Linotype" w:cstheme="minorHAnsi"/>
          <w:sz w:val="22"/>
          <w:szCs w:val="22"/>
        </w:rPr>
        <w:t xml:space="preserve"> (Tablo 2).</w:t>
      </w:r>
    </w:p>
    <w:p w14:paraId="777C1939" w14:textId="40837642" w:rsidR="006C3EE6" w:rsidRPr="0050008F"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1E495B">
        <w:rPr>
          <w:rFonts w:ascii="Palatino Linotype" w:hAnsi="Palatino Linotype" w:cstheme="minorHAnsi"/>
          <w:b/>
          <w:bCs/>
          <w:sz w:val="22"/>
          <w:szCs w:val="22"/>
        </w:rPr>
        <w:t>Kamu harcamaları</w:t>
      </w:r>
      <w:r w:rsidR="0060593A">
        <w:rPr>
          <w:rFonts w:ascii="Palatino Linotype" w:hAnsi="Palatino Linotype" w:cstheme="minorHAnsi"/>
          <w:b/>
          <w:bCs/>
          <w:sz w:val="22"/>
          <w:szCs w:val="22"/>
        </w:rPr>
        <w:t>n</w:t>
      </w:r>
      <w:r w:rsidR="006138F0">
        <w:rPr>
          <w:rFonts w:ascii="Palatino Linotype" w:hAnsi="Palatino Linotype" w:cstheme="minorHAnsi"/>
          <w:b/>
          <w:bCs/>
          <w:sz w:val="22"/>
          <w:szCs w:val="22"/>
        </w:rPr>
        <w:t>d</w:t>
      </w:r>
      <w:r w:rsidR="0060593A">
        <w:rPr>
          <w:rFonts w:ascii="Palatino Linotype" w:hAnsi="Palatino Linotype" w:cstheme="minorHAnsi"/>
          <w:b/>
          <w:bCs/>
          <w:sz w:val="22"/>
          <w:szCs w:val="22"/>
        </w:rPr>
        <w:t>a</w:t>
      </w:r>
      <w:r w:rsidR="006138F0">
        <w:rPr>
          <w:rFonts w:ascii="Palatino Linotype" w:hAnsi="Palatino Linotype" w:cstheme="minorHAnsi"/>
          <w:b/>
          <w:bCs/>
          <w:sz w:val="22"/>
          <w:szCs w:val="22"/>
        </w:rPr>
        <w:t>n</w:t>
      </w:r>
      <w:r w:rsidR="0060593A">
        <w:rPr>
          <w:rFonts w:ascii="Palatino Linotype" w:hAnsi="Palatino Linotype" w:cstheme="minorHAnsi"/>
          <w:b/>
          <w:bCs/>
          <w:sz w:val="22"/>
          <w:szCs w:val="22"/>
        </w:rPr>
        <w:t xml:space="preserve"> </w:t>
      </w:r>
      <w:r w:rsidR="001978A0">
        <w:rPr>
          <w:rFonts w:ascii="Palatino Linotype" w:hAnsi="Palatino Linotype" w:cstheme="minorHAnsi"/>
          <w:b/>
          <w:bCs/>
          <w:sz w:val="22"/>
          <w:szCs w:val="22"/>
        </w:rPr>
        <w:t xml:space="preserve">sınırlı </w:t>
      </w:r>
      <w:r w:rsidR="006138F0">
        <w:rPr>
          <w:rFonts w:ascii="Palatino Linotype" w:hAnsi="Palatino Linotype" w:cstheme="minorHAnsi"/>
          <w:b/>
          <w:bCs/>
          <w:sz w:val="22"/>
          <w:szCs w:val="22"/>
        </w:rPr>
        <w:t>destek</w:t>
      </w:r>
    </w:p>
    <w:p w14:paraId="6D5A1000" w14:textId="7B17A992" w:rsidR="00370FEE" w:rsidRPr="00BD6EC8" w:rsidRDefault="00A648DB" w:rsidP="00BD6EC8">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Geçen yılın aynı çeyreğine göre </w:t>
      </w:r>
      <w:r w:rsidR="0060593A">
        <w:rPr>
          <w:rFonts w:ascii="Palatino Linotype" w:hAnsi="Palatino Linotype" w:cstheme="minorHAnsi"/>
          <w:sz w:val="22"/>
          <w:szCs w:val="22"/>
        </w:rPr>
        <w:t xml:space="preserve">2019 yılı </w:t>
      </w:r>
      <w:r w:rsidR="006138F0">
        <w:rPr>
          <w:rFonts w:ascii="Palatino Linotype" w:hAnsi="Palatino Linotype" w:cstheme="minorHAnsi"/>
          <w:sz w:val="22"/>
          <w:szCs w:val="22"/>
        </w:rPr>
        <w:t>üçüncü</w:t>
      </w:r>
      <w:r w:rsidR="0060593A">
        <w:rPr>
          <w:rFonts w:ascii="Palatino Linotype" w:hAnsi="Palatino Linotype" w:cstheme="minorHAnsi"/>
          <w:sz w:val="22"/>
          <w:szCs w:val="22"/>
        </w:rPr>
        <w:t xml:space="preserve"> çeyrekte </w:t>
      </w:r>
      <w:r w:rsidR="00205844">
        <w:rPr>
          <w:rFonts w:ascii="Palatino Linotype" w:hAnsi="Palatino Linotype" w:cstheme="minorHAnsi"/>
          <w:sz w:val="22"/>
          <w:szCs w:val="22"/>
        </w:rPr>
        <w:t xml:space="preserve">yüzde </w:t>
      </w:r>
      <w:r w:rsidR="006138F0">
        <w:rPr>
          <w:rFonts w:ascii="Palatino Linotype" w:hAnsi="Palatino Linotype" w:cstheme="minorHAnsi"/>
          <w:sz w:val="22"/>
          <w:szCs w:val="22"/>
        </w:rPr>
        <w:t>7</w:t>
      </w:r>
      <w:r w:rsidR="00C7698F">
        <w:rPr>
          <w:rFonts w:ascii="Palatino Linotype" w:hAnsi="Palatino Linotype" w:cstheme="minorHAnsi"/>
          <w:sz w:val="22"/>
          <w:szCs w:val="22"/>
        </w:rPr>
        <w:t xml:space="preserve"> </w:t>
      </w:r>
      <w:r>
        <w:rPr>
          <w:rFonts w:ascii="Palatino Linotype" w:hAnsi="Palatino Linotype" w:cstheme="minorHAnsi"/>
          <w:sz w:val="22"/>
          <w:szCs w:val="22"/>
        </w:rPr>
        <w:t xml:space="preserve">artan kamu tüketimi </w:t>
      </w:r>
      <w:r w:rsidR="000C5C80">
        <w:rPr>
          <w:rFonts w:ascii="Palatino Linotype" w:hAnsi="Palatino Linotype" w:cstheme="minorHAnsi"/>
          <w:sz w:val="22"/>
          <w:szCs w:val="22"/>
        </w:rPr>
        <w:t xml:space="preserve">büyümeye </w:t>
      </w:r>
      <w:r w:rsidR="006138F0">
        <w:rPr>
          <w:rFonts w:ascii="Palatino Linotype" w:hAnsi="Palatino Linotype" w:cstheme="minorHAnsi"/>
          <w:sz w:val="22"/>
          <w:szCs w:val="22"/>
        </w:rPr>
        <w:t xml:space="preserve">0,9 yüzde puan </w:t>
      </w:r>
      <w:r w:rsidR="000C5C80">
        <w:rPr>
          <w:rFonts w:ascii="Palatino Linotype" w:hAnsi="Palatino Linotype" w:cstheme="minorHAnsi"/>
          <w:sz w:val="22"/>
          <w:szCs w:val="22"/>
        </w:rPr>
        <w:t>katkı</w:t>
      </w:r>
      <w:r w:rsidR="006138F0">
        <w:rPr>
          <w:rFonts w:ascii="Palatino Linotype" w:hAnsi="Palatino Linotype" w:cstheme="minorHAnsi"/>
          <w:sz w:val="22"/>
          <w:szCs w:val="22"/>
        </w:rPr>
        <w:t xml:space="preserve"> yaptı</w:t>
      </w:r>
      <w:r w:rsidR="000C5C80">
        <w:rPr>
          <w:rFonts w:ascii="Palatino Linotype" w:hAnsi="Palatino Linotype" w:cstheme="minorHAnsi"/>
          <w:sz w:val="22"/>
          <w:szCs w:val="22"/>
        </w:rPr>
        <w:t xml:space="preserve"> (Tablo 1). </w:t>
      </w:r>
      <w:r w:rsidR="00D24254" w:rsidRPr="00B01508">
        <w:rPr>
          <w:rFonts w:ascii="Palatino Linotype" w:hAnsi="Palatino Linotype" w:cstheme="minorHAnsi"/>
          <w:sz w:val="22"/>
          <w:szCs w:val="22"/>
        </w:rPr>
        <w:t xml:space="preserve">Mevsim ve takvim etkilerinden arındırılmış çeyreklik büyüme rakamlarına </w:t>
      </w:r>
      <w:r w:rsidR="006138F0">
        <w:rPr>
          <w:rFonts w:ascii="Palatino Linotype" w:hAnsi="Palatino Linotype" w:cstheme="minorHAnsi"/>
          <w:sz w:val="22"/>
          <w:szCs w:val="22"/>
        </w:rPr>
        <w:t>göre ise kamu harcamaları üçüncü çeyrekte ikinci çeyreğe kıyasla yüzde 1,9 arttı. Büyümeye katkısı ise 0,3 yüzde puan ile sınırlı</w:t>
      </w:r>
      <w:r w:rsidR="000C5C80">
        <w:rPr>
          <w:rFonts w:ascii="Palatino Linotype" w:hAnsi="Palatino Linotype" w:cstheme="minorHAnsi"/>
          <w:sz w:val="22"/>
          <w:szCs w:val="22"/>
        </w:rPr>
        <w:t xml:space="preserve"> </w:t>
      </w:r>
      <w:r w:rsidR="0087023B" w:rsidRPr="00B01508">
        <w:rPr>
          <w:rFonts w:ascii="Palatino Linotype" w:hAnsi="Palatino Linotype" w:cstheme="minorHAnsi"/>
          <w:sz w:val="22"/>
          <w:szCs w:val="22"/>
        </w:rPr>
        <w:t>(Tablo 2).</w:t>
      </w:r>
      <w:r w:rsidR="00935D6E" w:rsidRPr="00B01508">
        <w:rPr>
          <w:rFonts w:ascii="Palatino Linotype" w:hAnsi="Palatino Linotype" w:cstheme="minorHAnsi"/>
          <w:sz w:val="22"/>
          <w:szCs w:val="22"/>
        </w:rPr>
        <w:t xml:space="preserve"> </w:t>
      </w:r>
    </w:p>
    <w:p w14:paraId="06A5A50A" w14:textId="7E7DCF77" w:rsidR="00BD6EC8" w:rsidRPr="00E40DD5" w:rsidRDefault="004F0543" w:rsidP="00BD6EC8">
      <w:pPr>
        <w:pStyle w:val="NormalWeb"/>
        <w:spacing w:before="0" w:beforeAutospacing="0" w:after="0" w:afterAutospacing="0" w:line="360" w:lineRule="auto"/>
        <w:ind w:right="77"/>
        <w:rPr>
          <w:rFonts w:ascii="Palatino Linotype" w:hAnsi="Palatino Linotype" w:cstheme="minorHAnsi"/>
          <w:b/>
          <w:bCs/>
          <w:sz w:val="22"/>
          <w:szCs w:val="22"/>
        </w:rPr>
      </w:pPr>
      <w:r w:rsidRPr="00E40DD5">
        <w:rPr>
          <w:rFonts w:ascii="Palatino Linotype" w:hAnsi="Palatino Linotype" w:cstheme="minorHAnsi"/>
          <w:b/>
          <w:bCs/>
          <w:sz w:val="22"/>
          <w:szCs w:val="22"/>
        </w:rPr>
        <w:t>B</w:t>
      </w:r>
      <w:r w:rsidR="00B27C9F" w:rsidRPr="00E40DD5">
        <w:rPr>
          <w:rFonts w:ascii="Palatino Linotype" w:hAnsi="Palatino Linotype" w:cstheme="minorHAnsi"/>
          <w:b/>
          <w:bCs/>
          <w:sz w:val="22"/>
          <w:szCs w:val="22"/>
        </w:rPr>
        <w:t>üyümenin geleceği</w:t>
      </w:r>
    </w:p>
    <w:p w14:paraId="29FB68B7" w14:textId="54DB1295" w:rsidR="00062A8A" w:rsidRDefault="00E40DD5" w:rsidP="002A037D">
      <w:pPr>
        <w:pStyle w:val="NormalWeb"/>
        <w:spacing w:before="0" w:beforeAutospacing="0" w:after="0" w:afterAutospacing="0" w:line="360" w:lineRule="auto"/>
        <w:ind w:right="77"/>
        <w:rPr>
          <w:rFonts w:ascii="Palatino Linotype" w:hAnsi="Palatino Linotype" w:cstheme="minorHAnsi"/>
          <w:bCs/>
          <w:sz w:val="22"/>
          <w:szCs w:val="22"/>
        </w:rPr>
      </w:pPr>
      <w:r w:rsidRPr="00E40DD5">
        <w:rPr>
          <w:rFonts w:ascii="Palatino Linotype" w:hAnsi="Palatino Linotype" w:cstheme="minorHAnsi"/>
          <w:bCs/>
          <w:sz w:val="22"/>
          <w:szCs w:val="22"/>
        </w:rPr>
        <w:t xml:space="preserve">Bir önceki notumuzda olduğu gibi stok değişiminin ekonominin kötü gittiği bir dönemde pozitif katkı yapmasını içinde bulunduğumuz dönemde talebin düşük olmasına rağmen üretimin devam ettiği, dolayısı ile geleceğe dönük üretici beklentilerinin iyi olduğu şeklinde yorumluyoruz. Bu olumlu sinyale rağmen, yatırımların çeyreklik bazda yatay seyrettiği, yıldan yıla olan karşılaştırmada ise azalmaya devam ettiğini görüyoruz. Bu da gelecek dönem GSYH büyümeleri için kaygı verici. Bununla birlikte bir önceki çeyrekte yatırımlardaki azalmanın çeyreklik bazda yüzde </w:t>
      </w:r>
      <w:proofErr w:type="gramStart"/>
      <w:r w:rsidRPr="00E40DD5">
        <w:rPr>
          <w:rFonts w:ascii="Palatino Linotype" w:hAnsi="Palatino Linotype" w:cstheme="minorHAnsi"/>
          <w:bCs/>
          <w:sz w:val="22"/>
          <w:szCs w:val="22"/>
        </w:rPr>
        <w:t>6.8</w:t>
      </w:r>
      <w:proofErr w:type="gramEnd"/>
      <w:r w:rsidRPr="00E40DD5">
        <w:rPr>
          <w:rFonts w:ascii="Palatino Linotype" w:hAnsi="Palatino Linotype" w:cstheme="minorHAnsi"/>
          <w:bCs/>
          <w:sz w:val="22"/>
          <w:szCs w:val="22"/>
        </w:rPr>
        <w:t xml:space="preserve"> olduğunu göz önüne alırsak yatırımlarda da bir düzelmeden bahsedebiliriz. Tüm bu işaretleri birlikte değerlendirdiğimizde en azından önümüzdeki yakın dönem için ekonomik büyümenin devam edeceğini öngörüyoruz.</w:t>
      </w:r>
    </w:p>
    <w:p w14:paraId="2CECF811" w14:textId="77777777" w:rsidR="00DF08BD" w:rsidRDefault="00E85F3F"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Şekil </w:t>
      </w:r>
      <w:r w:rsidR="00F22A71" w:rsidRPr="0050008F">
        <w:rPr>
          <w:rFonts w:ascii="Palatino Linotype" w:hAnsi="Palatino Linotype" w:cstheme="minorHAnsi"/>
          <w:b/>
          <w:bCs/>
          <w:sz w:val="22"/>
          <w:szCs w:val="22"/>
        </w:rPr>
        <w:t>2</w:t>
      </w:r>
      <w:r w:rsidRPr="0050008F">
        <w:rPr>
          <w:rFonts w:ascii="Palatino Linotype" w:hAnsi="Palatino Linotype" w:cstheme="minorHAnsi"/>
          <w:b/>
          <w:bCs/>
          <w:sz w:val="22"/>
          <w:szCs w:val="22"/>
        </w:rPr>
        <w:t>: Bir önceki çeyreğe ve geçen yılın aynı çeyreğine göre GSYH büyüme oranları</w:t>
      </w:r>
    </w:p>
    <w:p w14:paraId="19F577E0" w14:textId="43C35762" w:rsidR="003A4C32" w:rsidRDefault="00E631F0"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lang w:val="en-GB" w:eastAsia="en-GB"/>
        </w:rPr>
        <w:drawing>
          <wp:inline distT="0" distB="0" distL="0" distR="0" wp14:anchorId="37FC11DC" wp14:editId="2F49F3D3">
            <wp:extent cx="5760720" cy="3216275"/>
            <wp:effectExtent l="0" t="0" r="11430" b="3175"/>
            <wp:docPr id="8" name="Chart 8">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77777777" w:rsidR="001A080D" w:rsidRPr="00062A8A"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Pr>
          <w:rFonts w:ascii="Palatino Linotype" w:hAnsi="Palatino Linotype" w:cstheme="minorHAnsi"/>
          <w:sz w:val="18"/>
          <w:szCs w:val="18"/>
        </w:rPr>
        <w:t>Kaynak: TÜİK, Betam</w:t>
      </w:r>
    </w:p>
    <w:sectPr w:rsidR="001A080D" w:rsidRPr="00062A8A"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9B66" w14:textId="77777777" w:rsidR="008B6FC3" w:rsidRDefault="008B6FC3" w:rsidP="00DA0C5D">
      <w:r>
        <w:separator/>
      </w:r>
    </w:p>
  </w:endnote>
  <w:endnote w:type="continuationSeparator" w:id="0">
    <w:p w14:paraId="487DAA5C" w14:textId="77777777" w:rsidR="008B6FC3" w:rsidRDefault="008B6FC3"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58069" w14:textId="77777777" w:rsidR="008B6FC3" w:rsidRDefault="008B6FC3" w:rsidP="00DA0C5D">
      <w:r>
        <w:separator/>
      </w:r>
    </w:p>
  </w:footnote>
  <w:footnote w:type="continuationSeparator" w:id="0">
    <w:p w14:paraId="39B75668" w14:textId="77777777" w:rsidR="008B6FC3" w:rsidRDefault="008B6FC3"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3FCA575A"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C14C86">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77777777" w:rsidR="00494926" w:rsidRDefault="00494926">
      <w:pPr>
        <w:pStyle w:val="FootnoteText"/>
      </w:pPr>
      <w:r>
        <w:rPr>
          <w:rStyle w:val="FootnoteReference"/>
        </w:rPr>
        <w:footnoteRef/>
      </w:r>
      <w:r>
        <w:t xml:space="preserve"> </w:t>
      </w:r>
      <w:r w:rsidRPr="00494926">
        <w:t>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13"/>
    <w:rsid w:val="000141C7"/>
    <w:rsid w:val="00017B51"/>
    <w:rsid w:val="00036770"/>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3415"/>
    <w:rsid w:val="00080211"/>
    <w:rsid w:val="00080336"/>
    <w:rsid w:val="00085271"/>
    <w:rsid w:val="000905E5"/>
    <w:rsid w:val="00091F3E"/>
    <w:rsid w:val="00096CDA"/>
    <w:rsid w:val="00097794"/>
    <w:rsid w:val="000978C8"/>
    <w:rsid w:val="000A05ED"/>
    <w:rsid w:val="000A3019"/>
    <w:rsid w:val="000A612E"/>
    <w:rsid w:val="000B0D12"/>
    <w:rsid w:val="000B0FC1"/>
    <w:rsid w:val="000B45D6"/>
    <w:rsid w:val="000C5C80"/>
    <w:rsid w:val="000C634D"/>
    <w:rsid w:val="000D5FD3"/>
    <w:rsid w:val="000D6E6C"/>
    <w:rsid w:val="000E2388"/>
    <w:rsid w:val="000E445D"/>
    <w:rsid w:val="000F0B6B"/>
    <w:rsid w:val="000F2C7A"/>
    <w:rsid w:val="000F6529"/>
    <w:rsid w:val="001004FF"/>
    <w:rsid w:val="0010209C"/>
    <w:rsid w:val="00111CED"/>
    <w:rsid w:val="0011613D"/>
    <w:rsid w:val="0012527F"/>
    <w:rsid w:val="00125770"/>
    <w:rsid w:val="00126200"/>
    <w:rsid w:val="00130D73"/>
    <w:rsid w:val="00132910"/>
    <w:rsid w:val="00140468"/>
    <w:rsid w:val="00143F17"/>
    <w:rsid w:val="0014542A"/>
    <w:rsid w:val="00150FFB"/>
    <w:rsid w:val="001527FA"/>
    <w:rsid w:val="001537D8"/>
    <w:rsid w:val="0016084A"/>
    <w:rsid w:val="00160880"/>
    <w:rsid w:val="001648AB"/>
    <w:rsid w:val="001744CD"/>
    <w:rsid w:val="00177002"/>
    <w:rsid w:val="001777A4"/>
    <w:rsid w:val="00184174"/>
    <w:rsid w:val="001851FE"/>
    <w:rsid w:val="001855BC"/>
    <w:rsid w:val="001866FC"/>
    <w:rsid w:val="00190944"/>
    <w:rsid w:val="00194FF2"/>
    <w:rsid w:val="001978A0"/>
    <w:rsid w:val="001A080D"/>
    <w:rsid w:val="001A42FF"/>
    <w:rsid w:val="001A5699"/>
    <w:rsid w:val="001B3A44"/>
    <w:rsid w:val="001C2763"/>
    <w:rsid w:val="001C2C68"/>
    <w:rsid w:val="001C65BF"/>
    <w:rsid w:val="001C7370"/>
    <w:rsid w:val="001D0150"/>
    <w:rsid w:val="001D2107"/>
    <w:rsid w:val="001D36E7"/>
    <w:rsid w:val="001D420E"/>
    <w:rsid w:val="001D5B02"/>
    <w:rsid w:val="001D6465"/>
    <w:rsid w:val="001D7073"/>
    <w:rsid w:val="001D7513"/>
    <w:rsid w:val="001E2E49"/>
    <w:rsid w:val="001E495B"/>
    <w:rsid w:val="001E514D"/>
    <w:rsid w:val="001E72E4"/>
    <w:rsid w:val="001F12E3"/>
    <w:rsid w:val="001F1554"/>
    <w:rsid w:val="001F2DE9"/>
    <w:rsid w:val="001F7B1D"/>
    <w:rsid w:val="001F7BC7"/>
    <w:rsid w:val="00201E79"/>
    <w:rsid w:val="00202302"/>
    <w:rsid w:val="00205844"/>
    <w:rsid w:val="002106DF"/>
    <w:rsid w:val="00211E95"/>
    <w:rsid w:val="00212579"/>
    <w:rsid w:val="00212782"/>
    <w:rsid w:val="00214914"/>
    <w:rsid w:val="00214B5E"/>
    <w:rsid w:val="0022673E"/>
    <w:rsid w:val="00232635"/>
    <w:rsid w:val="002343A8"/>
    <w:rsid w:val="00242C10"/>
    <w:rsid w:val="00247A3C"/>
    <w:rsid w:val="0025111C"/>
    <w:rsid w:val="002663FD"/>
    <w:rsid w:val="00267F48"/>
    <w:rsid w:val="00270A75"/>
    <w:rsid w:val="002714F9"/>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B2A1B"/>
    <w:rsid w:val="002B3C10"/>
    <w:rsid w:val="002B4A1A"/>
    <w:rsid w:val="002C4E2F"/>
    <w:rsid w:val="002C5C24"/>
    <w:rsid w:val="002C64BB"/>
    <w:rsid w:val="002D1797"/>
    <w:rsid w:val="002D4D2D"/>
    <w:rsid w:val="002F2245"/>
    <w:rsid w:val="002F26B4"/>
    <w:rsid w:val="002F2D70"/>
    <w:rsid w:val="002F3163"/>
    <w:rsid w:val="00302EDD"/>
    <w:rsid w:val="003061DC"/>
    <w:rsid w:val="00310C5C"/>
    <w:rsid w:val="003172DB"/>
    <w:rsid w:val="0032176F"/>
    <w:rsid w:val="00321D78"/>
    <w:rsid w:val="0032280F"/>
    <w:rsid w:val="0032324A"/>
    <w:rsid w:val="00324C51"/>
    <w:rsid w:val="00326195"/>
    <w:rsid w:val="00327CFB"/>
    <w:rsid w:val="00334E27"/>
    <w:rsid w:val="0033649B"/>
    <w:rsid w:val="00344A74"/>
    <w:rsid w:val="00351F12"/>
    <w:rsid w:val="00362359"/>
    <w:rsid w:val="00364AAB"/>
    <w:rsid w:val="00370A07"/>
    <w:rsid w:val="00370FEE"/>
    <w:rsid w:val="00375EB0"/>
    <w:rsid w:val="003777B5"/>
    <w:rsid w:val="00385A29"/>
    <w:rsid w:val="00385C7B"/>
    <w:rsid w:val="003967B5"/>
    <w:rsid w:val="003A488B"/>
    <w:rsid w:val="003A4C32"/>
    <w:rsid w:val="003A7596"/>
    <w:rsid w:val="003B2008"/>
    <w:rsid w:val="003B2D0B"/>
    <w:rsid w:val="003C2891"/>
    <w:rsid w:val="003C65A1"/>
    <w:rsid w:val="003D4202"/>
    <w:rsid w:val="003D44CE"/>
    <w:rsid w:val="003D4627"/>
    <w:rsid w:val="003E1EED"/>
    <w:rsid w:val="003E3299"/>
    <w:rsid w:val="003F00A9"/>
    <w:rsid w:val="003F4E89"/>
    <w:rsid w:val="004017B2"/>
    <w:rsid w:val="00401813"/>
    <w:rsid w:val="004040C3"/>
    <w:rsid w:val="00405BD8"/>
    <w:rsid w:val="00407C84"/>
    <w:rsid w:val="00417F6E"/>
    <w:rsid w:val="00424382"/>
    <w:rsid w:val="00431236"/>
    <w:rsid w:val="00431C38"/>
    <w:rsid w:val="00433A75"/>
    <w:rsid w:val="004435E3"/>
    <w:rsid w:val="00443C08"/>
    <w:rsid w:val="00447743"/>
    <w:rsid w:val="00451A8A"/>
    <w:rsid w:val="004623F2"/>
    <w:rsid w:val="00476E22"/>
    <w:rsid w:val="00477AED"/>
    <w:rsid w:val="00480684"/>
    <w:rsid w:val="00483EC5"/>
    <w:rsid w:val="0048774D"/>
    <w:rsid w:val="00490AAE"/>
    <w:rsid w:val="00492020"/>
    <w:rsid w:val="004931A5"/>
    <w:rsid w:val="00494926"/>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10883"/>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617F"/>
    <w:rsid w:val="005B35F3"/>
    <w:rsid w:val="005B67B3"/>
    <w:rsid w:val="005C00FE"/>
    <w:rsid w:val="005C08B0"/>
    <w:rsid w:val="005C6245"/>
    <w:rsid w:val="005D00FB"/>
    <w:rsid w:val="005D27F8"/>
    <w:rsid w:val="005D2979"/>
    <w:rsid w:val="005D3C96"/>
    <w:rsid w:val="005D4126"/>
    <w:rsid w:val="005D72F5"/>
    <w:rsid w:val="005D7F3E"/>
    <w:rsid w:val="005E2717"/>
    <w:rsid w:val="005E49F0"/>
    <w:rsid w:val="005F0C29"/>
    <w:rsid w:val="005F63C3"/>
    <w:rsid w:val="005F69B2"/>
    <w:rsid w:val="005F7787"/>
    <w:rsid w:val="00602C2B"/>
    <w:rsid w:val="0060593A"/>
    <w:rsid w:val="0061333E"/>
    <w:rsid w:val="006138F0"/>
    <w:rsid w:val="00613D1F"/>
    <w:rsid w:val="0061410A"/>
    <w:rsid w:val="00625B95"/>
    <w:rsid w:val="006268DA"/>
    <w:rsid w:val="00631D5B"/>
    <w:rsid w:val="00632221"/>
    <w:rsid w:val="00632CF6"/>
    <w:rsid w:val="0064012D"/>
    <w:rsid w:val="00643113"/>
    <w:rsid w:val="006432C9"/>
    <w:rsid w:val="006439C5"/>
    <w:rsid w:val="00643F5D"/>
    <w:rsid w:val="0064483B"/>
    <w:rsid w:val="00645147"/>
    <w:rsid w:val="00647318"/>
    <w:rsid w:val="00647792"/>
    <w:rsid w:val="00650BB3"/>
    <w:rsid w:val="006549E3"/>
    <w:rsid w:val="00655938"/>
    <w:rsid w:val="00655B95"/>
    <w:rsid w:val="00657B23"/>
    <w:rsid w:val="0067008D"/>
    <w:rsid w:val="006761BB"/>
    <w:rsid w:val="0067693E"/>
    <w:rsid w:val="00680E36"/>
    <w:rsid w:val="00681022"/>
    <w:rsid w:val="006813D8"/>
    <w:rsid w:val="00681AD9"/>
    <w:rsid w:val="00694B4D"/>
    <w:rsid w:val="00694F52"/>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70188F"/>
    <w:rsid w:val="00707FBD"/>
    <w:rsid w:val="00711A8A"/>
    <w:rsid w:val="007135FC"/>
    <w:rsid w:val="00720250"/>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51D2"/>
    <w:rsid w:val="00817A10"/>
    <w:rsid w:val="008275A8"/>
    <w:rsid w:val="00830B62"/>
    <w:rsid w:val="008312F9"/>
    <w:rsid w:val="00832402"/>
    <w:rsid w:val="00835D87"/>
    <w:rsid w:val="00837B95"/>
    <w:rsid w:val="00841E4C"/>
    <w:rsid w:val="00844C00"/>
    <w:rsid w:val="00844C47"/>
    <w:rsid w:val="0084500C"/>
    <w:rsid w:val="00845815"/>
    <w:rsid w:val="00845A54"/>
    <w:rsid w:val="0084623F"/>
    <w:rsid w:val="008469D3"/>
    <w:rsid w:val="00856B55"/>
    <w:rsid w:val="0086495E"/>
    <w:rsid w:val="00865CE6"/>
    <w:rsid w:val="0087023B"/>
    <w:rsid w:val="00870A3F"/>
    <w:rsid w:val="00881E18"/>
    <w:rsid w:val="0088270D"/>
    <w:rsid w:val="00884819"/>
    <w:rsid w:val="0089048A"/>
    <w:rsid w:val="008914E6"/>
    <w:rsid w:val="00893320"/>
    <w:rsid w:val="008945AE"/>
    <w:rsid w:val="008A3BD9"/>
    <w:rsid w:val="008B29F8"/>
    <w:rsid w:val="008B6FC3"/>
    <w:rsid w:val="008C51CA"/>
    <w:rsid w:val="008C56F9"/>
    <w:rsid w:val="008C70C5"/>
    <w:rsid w:val="008C73E6"/>
    <w:rsid w:val="008F1741"/>
    <w:rsid w:val="008F2BCD"/>
    <w:rsid w:val="00912A8A"/>
    <w:rsid w:val="00914D26"/>
    <w:rsid w:val="00916533"/>
    <w:rsid w:val="00916C78"/>
    <w:rsid w:val="00917330"/>
    <w:rsid w:val="009204AA"/>
    <w:rsid w:val="009247BA"/>
    <w:rsid w:val="00924CD9"/>
    <w:rsid w:val="00927D28"/>
    <w:rsid w:val="00935D6E"/>
    <w:rsid w:val="009400E0"/>
    <w:rsid w:val="00940150"/>
    <w:rsid w:val="00940DA9"/>
    <w:rsid w:val="0094295F"/>
    <w:rsid w:val="009455F2"/>
    <w:rsid w:val="00945950"/>
    <w:rsid w:val="00957FE5"/>
    <w:rsid w:val="00961F5B"/>
    <w:rsid w:val="00963B04"/>
    <w:rsid w:val="009663D6"/>
    <w:rsid w:val="0098310A"/>
    <w:rsid w:val="00983612"/>
    <w:rsid w:val="0098616F"/>
    <w:rsid w:val="00990E34"/>
    <w:rsid w:val="00996151"/>
    <w:rsid w:val="00996EBD"/>
    <w:rsid w:val="00997694"/>
    <w:rsid w:val="00997713"/>
    <w:rsid w:val="00997C54"/>
    <w:rsid w:val="009A71AF"/>
    <w:rsid w:val="009B1546"/>
    <w:rsid w:val="009B16AD"/>
    <w:rsid w:val="009B2E56"/>
    <w:rsid w:val="009B385A"/>
    <w:rsid w:val="009B651F"/>
    <w:rsid w:val="009C66C3"/>
    <w:rsid w:val="009D62AC"/>
    <w:rsid w:val="009D71BF"/>
    <w:rsid w:val="009E0348"/>
    <w:rsid w:val="009E25DA"/>
    <w:rsid w:val="009E5241"/>
    <w:rsid w:val="009E68C6"/>
    <w:rsid w:val="009F2483"/>
    <w:rsid w:val="009F42CC"/>
    <w:rsid w:val="009F603E"/>
    <w:rsid w:val="00A0130D"/>
    <w:rsid w:val="00A03316"/>
    <w:rsid w:val="00A0483D"/>
    <w:rsid w:val="00A04EFA"/>
    <w:rsid w:val="00A10891"/>
    <w:rsid w:val="00A109C3"/>
    <w:rsid w:val="00A15DC3"/>
    <w:rsid w:val="00A2147D"/>
    <w:rsid w:val="00A25823"/>
    <w:rsid w:val="00A2601A"/>
    <w:rsid w:val="00A303D5"/>
    <w:rsid w:val="00A3095F"/>
    <w:rsid w:val="00A310EA"/>
    <w:rsid w:val="00A322AA"/>
    <w:rsid w:val="00A34DB9"/>
    <w:rsid w:val="00A40E31"/>
    <w:rsid w:val="00A444F9"/>
    <w:rsid w:val="00A46C4A"/>
    <w:rsid w:val="00A50FB7"/>
    <w:rsid w:val="00A6165E"/>
    <w:rsid w:val="00A648DB"/>
    <w:rsid w:val="00A675D3"/>
    <w:rsid w:val="00A719DB"/>
    <w:rsid w:val="00A73EA9"/>
    <w:rsid w:val="00A842EA"/>
    <w:rsid w:val="00A8572B"/>
    <w:rsid w:val="00A86808"/>
    <w:rsid w:val="00A874DA"/>
    <w:rsid w:val="00A90B4F"/>
    <w:rsid w:val="00A90F77"/>
    <w:rsid w:val="00A92286"/>
    <w:rsid w:val="00A9270B"/>
    <w:rsid w:val="00AA1706"/>
    <w:rsid w:val="00AB1006"/>
    <w:rsid w:val="00AB36F7"/>
    <w:rsid w:val="00AD01B6"/>
    <w:rsid w:val="00AD7ADC"/>
    <w:rsid w:val="00AE59EE"/>
    <w:rsid w:val="00B01508"/>
    <w:rsid w:val="00B02D74"/>
    <w:rsid w:val="00B119E3"/>
    <w:rsid w:val="00B17241"/>
    <w:rsid w:val="00B17B6A"/>
    <w:rsid w:val="00B24D13"/>
    <w:rsid w:val="00B27C9F"/>
    <w:rsid w:val="00B31FC9"/>
    <w:rsid w:val="00B34132"/>
    <w:rsid w:val="00B35FDB"/>
    <w:rsid w:val="00B36BFA"/>
    <w:rsid w:val="00B45DFF"/>
    <w:rsid w:val="00B4685F"/>
    <w:rsid w:val="00B56D03"/>
    <w:rsid w:val="00B703DE"/>
    <w:rsid w:val="00B76782"/>
    <w:rsid w:val="00B82B92"/>
    <w:rsid w:val="00B9319A"/>
    <w:rsid w:val="00B95E66"/>
    <w:rsid w:val="00BA3C62"/>
    <w:rsid w:val="00BA5FF0"/>
    <w:rsid w:val="00BA7E44"/>
    <w:rsid w:val="00BB3448"/>
    <w:rsid w:val="00BB5725"/>
    <w:rsid w:val="00BC1EF8"/>
    <w:rsid w:val="00BD00B2"/>
    <w:rsid w:val="00BD51DF"/>
    <w:rsid w:val="00BD6621"/>
    <w:rsid w:val="00BD6EC8"/>
    <w:rsid w:val="00BE06CE"/>
    <w:rsid w:val="00BE1622"/>
    <w:rsid w:val="00BE6CCA"/>
    <w:rsid w:val="00BE7C49"/>
    <w:rsid w:val="00BF1EC4"/>
    <w:rsid w:val="00BF59B3"/>
    <w:rsid w:val="00C066D2"/>
    <w:rsid w:val="00C11B5A"/>
    <w:rsid w:val="00C126FC"/>
    <w:rsid w:val="00C1422A"/>
    <w:rsid w:val="00C14C86"/>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C3EAD"/>
    <w:rsid w:val="00CC44D3"/>
    <w:rsid w:val="00CC79C0"/>
    <w:rsid w:val="00CD6778"/>
    <w:rsid w:val="00CF365B"/>
    <w:rsid w:val="00CF5053"/>
    <w:rsid w:val="00CF506B"/>
    <w:rsid w:val="00CF7798"/>
    <w:rsid w:val="00D0155A"/>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50220"/>
    <w:rsid w:val="00D53424"/>
    <w:rsid w:val="00D54395"/>
    <w:rsid w:val="00D60AAF"/>
    <w:rsid w:val="00D63430"/>
    <w:rsid w:val="00D65AAD"/>
    <w:rsid w:val="00D67F66"/>
    <w:rsid w:val="00D732A9"/>
    <w:rsid w:val="00D76361"/>
    <w:rsid w:val="00D803A1"/>
    <w:rsid w:val="00D90931"/>
    <w:rsid w:val="00D94A3B"/>
    <w:rsid w:val="00D95EA2"/>
    <w:rsid w:val="00D9649B"/>
    <w:rsid w:val="00D976E9"/>
    <w:rsid w:val="00DA0C5D"/>
    <w:rsid w:val="00DA5524"/>
    <w:rsid w:val="00DB5518"/>
    <w:rsid w:val="00DB6C1E"/>
    <w:rsid w:val="00DC0B1C"/>
    <w:rsid w:val="00DD2D75"/>
    <w:rsid w:val="00DD4D85"/>
    <w:rsid w:val="00DE57B8"/>
    <w:rsid w:val="00DF08BD"/>
    <w:rsid w:val="00DF1057"/>
    <w:rsid w:val="00DF44DE"/>
    <w:rsid w:val="00E05DE7"/>
    <w:rsid w:val="00E0602A"/>
    <w:rsid w:val="00E122C5"/>
    <w:rsid w:val="00E23E54"/>
    <w:rsid w:val="00E25A25"/>
    <w:rsid w:val="00E306CB"/>
    <w:rsid w:val="00E3778C"/>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476F"/>
    <w:rsid w:val="00EB52B3"/>
    <w:rsid w:val="00EC136E"/>
    <w:rsid w:val="00EC2814"/>
    <w:rsid w:val="00EC37CB"/>
    <w:rsid w:val="00ED0762"/>
    <w:rsid w:val="00ED5E21"/>
    <w:rsid w:val="00ED7C53"/>
    <w:rsid w:val="00EE0633"/>
    <w:rsid w:val="00EE150B"/>
    <w:rsid w:val="00EE4795"/>
    <w:rsid w:val="00EF09A7"/>
    <w:rsid w:val="00EF29EC"/>
    <w:rsid w:val="00F0076E"/>
    <w:rsid w:val="00F00FB7"/>
    <w:rsid w:val="00F0654E"/>
    <w:rsid w:val="00F118B1"/>
    <w:rsid w:val="00F136EE"/>
    <w:rsid w:val="00F22A71"/>
    <w:rsid w:val="00F27D86"/>
    <w:rsid w:val="00F30329"/>
    <w:rsid w:val="00F31726"/>
    <w:rsid w:val="00F33EED"/>
    <w:rsid w:val="00F41E19"/>
    <w:rsid w:val="00F441A2"/>
    <w:rsid w:val="00F44E44"/>
    <w:rsid w:val="00F46A54"/>
    <w:rsid w:val="00F50705"/>
    <w:rsid w:val="00F5130C"/>
    <w:rsid w:val="00F65C09"/>
    <w:rsid w:val="00F676BF"/>
    <w:rsid w:val="00F67B66"/>
    <w:rsid w:val="00F70EC7"/>
    <w:rsid w:val="00F80F23"/>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Dropbox%20(Personal)\betam\betam_buyume_degerlendirme\buy_deg_tablolar%20(Furk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gurcan.acar\Dropbox%20(Personal)\betam\betam_buyume_degerlendirme\buy_deg_tablolar%20(Furk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gurcan.acar\Dropbox%20(Personal)\betam\betam_buyume_degerlendirme\buy_deg_tablolar%20(Furk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Q3'!$F$3</c:f>
              <c:strCache>
                <c:ptCount val="1"/>
                <c:pt idx="0">
                  <c:v>Katkı (%)</c:v>
                </c:pt>
              </c:strCache>
            </c:strRef>
          </c:tx>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A897-4453-8761-59BDCDD07137}"/>
              </c:ext>
            </c:extLst>
          </c:dPt>
          <c:dPt>
            <c:idx val="2"/>
            <c:invertIfNegative val="0"/>
            <c:bubble3D val="0"/>
            <c:spPr>
              <a:solidFill>
                <a:srgbClr val="FF0000"/>
              </a:solidFill>
              <a:ln>
                <a:noFill/>
              </a:ln>
              <a:effectLst/>
            </c:spPr>
            <c:extLst>
              <c:ext xmlns:c16="http://schemas.microsoft.com/office/drawing/2014/chart" uri="{C3380CC4-5D6E-409C-BE32-E72D297353CC}">
                <c16:uniqueId val="{00000007-A897-4453-8761-59BDCDD07137}"/>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3-A897-4453-8761-59BDCDD07137}"/>
              </c:ext>
            </c:extLst>
          </c:dPt>
          <c:dPt>
            <c:idx val="5"/>
            <c:invertIfNegative val="0"/>
            <c:bubble3D val="0"/>
            <c:spPr>
              <a:solidFill>
                <a:srgbClr val="FF0000"/>
              </a:solidFill>
              <a:ln>
                <a:noFill/>
              </a:ln>
              <a:effectLst/>
            </c:spPr>
            <c:extLst>
              <c:ext xmlns:c16="http://schemas.microsoft.com/office/drawing/2014/chart" uri="{C3380CC4-5D6E-409C-BE32-E72D297353CC}">
                <c16:uniqueId val="{00000005-A897-4453-8761-59BDCDD071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'2019 Q3'!$F$4:$F$9</c:f>
              <c:numCache>
                <c:formatCode>0.0</c:formatCode>
                <c:ptCount val="6"/>
                <c:pt idx="0">
                  <c:v>0.85295383765905186</c:v>
                </c:pt>
                <c:pt idx="1">
                  <c:v>0.94245782913061094</c:v>
                </c:pt>
                <c:pt idx="2">
                  <c:v>-3.6032013397018119</c:v>
                </c:pt>
                <c:pt idx="3">
                  <c:v>2.4498035085594871</c:v>
                </c:pt>
                <c:pt idx="4">
                  <c:v>1.696724809591764</c:v>
                </c:pt>
                <c:pt idx="5">
                  <c:v>-1.3927324640582279</c:v>
                </c:pt>
              </c:numCache>
            </c:numRef>
          </c:val>
          <c:extLst>
            <c:ext xmlns:c16="http://schemas.microsoft.com/office/drawing/2014/chart" uri="{C3380CC4-5D6E-409C-BE32-E72D297353CC}">
              <c16:uniqueId val="{00000006-A897-4453-8761-59BDCDD07137}"/>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Q3'!$E$3</c:f>
              <c:strCache>
                <c:ptCount val="1"/>
                <c:pt idx="0">
                  <c:v>Değişim (%)</c:v>
                </c:pt>
              </c:strCache>
            </c:strRef>
          </c:tx>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5A9A-4E1C-82B4-8244FAEAF64B}"/>
              </c:ext>
            </c:extLst>
          </c:dPt>
          <c:dPt>
            <c:idx val="2"/>
            <c:invertIfNegative val="0"/>
            <c:bubble3D val="0"/>
            <c:spPr>
              <a:solidFill>
                <a:srgbClr val="FF0000"/>
              </a:solidFill>
              <a:ln>
                <a:noFill/>
              </a:ln>
              <a:effectLst/>
            </c:spPr>
            <c:extLst>
              <c:ext xmlns:c16="http://schemas.microsoft.com/office/drawing/2014/chart" uri="{C3380CC4-5D6E-409C-BE32-E72D297353CC}">
                <c16:uniqueId val="{00000005-5A9A-4E1C-82B4-8244FAEAF64B}"/>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3-5A9A-4E1C-82B4-8244FAEAF6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extLst/>
            </c:strRef>
          </c:cat>
          <c:val>
            <c:numRef>
              <c:f>'2019 Q3'!$E$4:$E$10</c:f>
              <c:numCache>
                <c:formatCode>0.0</c:formatCode>
                <c:ptCount val="6"/>
                <c:pt idx="0">
                  <c:v>1.5064313896205439</c:v>
                </c:pt>
                <c:pt idx="1">
                  <c:v>6.981522002558882</c:v>
                </c:pt>
                <c:pt idx="2">
                  <c:v>-12.555085157217217</c:v>
                </c:pt>
                <c:pt idx="3">
                  <c:v>5.054170418774806</c:v>
                </c:pt>
                <c:pt idx="4">
                  <c:v>7.6336347898674939</c:v>
                </c:pt>
                <c:pt idx="5">
                  <c:v>0.94600618118088065</c:v>
                </c:pt>
              </c:numCache>
              <c:extLst/>
            </c:numRef>
          </c:val>
          <c:extLst>
            <c:ext xmlns:c16="http://schemas.microsoft.com/office/drawing/2014/chart" uri="{C3380CC4-5D6E-409C-BE32-E72D297353CC}">
              <c16:uniqueId val="{00000004-5A9A-4E1C-82B4-8244FAEAF64B}"/>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Q3'!$E$29</c:f>
              <c:strCache>
                <c:ptCount val="1"/>
                <c:pt idx="0">
                  <c:v>Yıllık değişim</c:v>
                </c:pt>
              </c:strCache>
            </c:strRef>
          </c:tx>
          <c:spPr>
            <a:solidFill>
              <a:schemeClr val="accent1"/>
            </a:solidFill>
            <a:ln>
              <a:noFill/>
            </a:ln>
            <a:effectLst/>
          </c:spPr>
          <c:invertIfNegative val="0"/>
          <c:cat>
            <c:strRef>
              <c:f>'2019 Q3'!$A$38:$A$60</c:f>
              <c:strCache>
                <c:ptCount val="23"/>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strCache>
            </c:strRef>
          </c:cat>
          <c:val>
            <c:numRef>
              <c:f>'2019 Q3'!$E$38:$E$60</c:f>
              <c:numCache>
                <c:formatCode>0.0</c:formatCode>
                <c:ptCount val="23"/>
                <c:pt idx="0">
                  <c:v>8.679514433077685</c:v>
                </c:pt>
                <c:pt idx="1">
                  <c:v>2.8975438907233864</c:v>
                </c:pt>
                <c:pt idx="2">
                  <c:v>3.6662593748295391</c:v>
                </c:pt>
                <c:pt idx="3">
                  <c:v>5.9302729224654627</c:v>
                </c:pt>
                <c:pt idx="4">
                  <c:v>3.6016444988062446</c:v>
                </c:pt>
                <c:pt idx="5">
                  <c:v>7.1600269167206632</c:v>
                </c:pt>
                <c:pt idx="6">
                  <c:v>5.7850603678571977</c:v>
                </c:pt>
                <c:pt idx="7">
                  <c:v>7.4964855651153073</c:v>
                </c:pt>
                <c:pt idx="8">
                  <c:v>4.8088367842695545</c:v>
                </c:pt>
                <c:pt idx="9">
                  <c:v>4.9296739402332257</c:v>
                </c:pt>
                <c:pt idx="10">
                  <c:v>-0.81201904278707104</c:v>
                </c:pt>
                <c:pt idx="11">
                  <c:v>4.2392839067209698</c:v>
                </c:pt>
                <c:pt idx="12">
                  <c:v>5.2639590193166885</c:v>
                </c:pt>
                <c:pt idx="13">
                  <c:v>5.3389276286467613</c:v>
                </c:pt>
                <c:pt idx="14">
                  <c:v>11.646369076474716</c:v>
                </c:pt>
                <c:pt idx="15">
                  <c:v>7.2723925431292136</c:v>
                </c:pt>
                <c:pt idx="16">
                  <c:v>7.4389435840030105</c:v>
                </c:pt>
                <c:pt idx="17">
                  <c:v>5.6427704306570181</c:v>
                </c:pt>
                <c:pt idx="18">
                  <c:v>2.3014978242978712</c:v>
                </c:pt>
                <c:pt idx="19">
                  <c:v>-2.8057125047310838</c:v>
                </c:pt>
                <c:pt idx="20">
                  <c:v>-2.2865161929326749</c:v>
                </c:pt>
                <c:pt idx="21">
                  <c:v>-1.5539210621743127</c:v>
                </c:pt>
                <c:pt idx="22">
                  <c:v>0.94600618118088065</c:v>
                </c:pt>
              </c:numCache>
            </c:numRef>
          </c:val>
          <c:extLst>
            <c:ext xmlns:c16="http://schemas.microsoft.com/office/drawing/2014/chart" uri="{C3380CC4-5D6E-409C-BE32-E72D297353CC}">
              <c16:uniqueId val="{00000000-79EF-4A2A-A744-9B1B19787901}"/>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'2019 Q3'!$F$29</c:f>
              <c:strCache>
                <c:ptCount val="1"/>
                <c:pt idx="0">
                  <c:v>Çeyreklik değişim</c:v>
                </c:pt>
              </c:strCache>
            </c:strRef>
          </c:tx>
          <c:spPr>
            <a:ln w="25400" cap="rnd">
              <a:solidFill>
                <a:schemeClr val="tx1"/>
              </a:solidFill>
              <a:round/>
            </a:ln>
            <a:effectLst/>
          </c:spPr>
          <c:marker>
            <c:symbol val="none"/>
          </c:marker>
          <c:cat>
            <c:strRef>
              <c:f>'2019 Q3'!$A$38:$A$60</c:f>
              <c:strCache>
                <c:ptCount val="23"/>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strCache>
            </c:strRef>
          </c:cat>
          <c:val>
            <c:numRef>
              <c:f>'2019 Q3'!$F$38:$F$60</c:f>
              <c:numCache>
                <c:formatCode>0.0</c:formatCode>
                <c:ptCount val="23"/>
                <c:pt idx="0">
                  <c:v>2.6644199701995719</c:v>
                </c:pt>
                <c:pt idx="1">
                  <c:v>-1.5498061972216148</c:v>
                </c:pt>
                <c:pt idx="2">
                  <c:v>2.3568373716194246</c:v>
                </c:pt>
                <c:pt idx="3">
                  <c:v>1.4948925124467438</c:v>
                </c:pt>
                <c:pt idx="4">
                  <c:v>1.8589673319550526</c:v>
                </c:pt>
                <c:pt idx="5">
                  <c:v>1.4981017111983297</c:v>
                </c:pt>
                <c:pt idx="6">
                  <c:v>1.180776871342748</c:v>
                </c:pt>
                <c:pt idx="7">
                  <c:v>1.3846224922384742</c:v>
                </c:pt>
                <c:pt idx="8">
                  <c:v>0.47175848388221198</c:v>
                </c:pt>
                <c:pt idx="9">
                  <c:v>1.1302625184818504</c:v>
                </c:pt>
                <c:pt idx="10">
                  <c:v>-3.0712740456420029</c:v>
                </c:pt>
                <c:pt idx="11">
                  <c:v>5.8148082906511522</c:v>
                </c:pt>
                <c:pt idx="12">
                  <c:v>1.4865545148634585</c:v>
                </c:pt>
                <c:pt idx="13">
                  <c:v>1.6853992483670366</c:v>
                </c:pt>
                <c:pt idx="14">
                  <c:v>1.7661931406510956</c:v>
                </c:pt>
                <c:pt idx="15">
                  <c:v>2.4229496210926849</c:v>
                </c:pt>
                <c:pt idx="16">
                  <c:v>1.1888987461230016</c:v>
                </c:pt>
                <c:pt idx="17">
                  <c:v>-6.478204152484679E-2</c:v>
                </c:pt>
                <c:pt idx="18">
                  <c:v>-1.3669689425129472</c:v>
                </c:pt>
                <c:pt idx="19">
                  <c:v>-2.588514065665215</c:v>
                </c:pt>
                <c:pt idx="20">
                  <c:v>1.6942425517010085</c:v>
                </c:pt>
                <c:pt idx="21">
                  <c:v>0.99230506980372279</c:v>
                </c:pt>
                <c:pt idx="22">
                  <c:v>0.42724450021542903</c:v>
                </c:pt>
              </c:numCache>
            </c:numRef>
          </c:val>
          <c:smooth val="0"/>
          <c:extLst>
            <c:ext xmlns:c16="http://schemas.microsoft.com/office/drawing/2014/chart" uri="{C3380CC4-5D6E-409C-BE32-E72D297353CC}">
              <c16:uniqueId val="{00000001-79EF-4A2A-A744-9B1B19787901}"/>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3576-E3AD-4645-BF9C-08299A25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Ozan BAKIS</cp:lastModifiedBy>
  <cp:revision>4</cp:revision>
  <cp:lastPrinted>2019-12-05T12:09:00Z</cp:lastPrinted>
  <dcterms:created xsi:type="dcterms:W3CDTF">2019-12-05T12:09:00Z</dcterms:created>
  <dcterms:modified xsi:type="dcterms:W3CDTF">2019-12-05T12:10:00Z</dcterms:modified>
</cp:coreProperties>
</file>