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19994" w14:textId="77777777" w:rsidR="00D07713" w:rsidRPr="00924CD9" w:rsidRDefault="00D90931">
      <w:pPr>
        <w:rPr>
          <w:rFonts w:ascii="Palatino Linotype" w:hAnsi="Palatino Linotype" w:cstheme="minorHAnsi"/>
        </w:rPr>
      </w:pPr>
      <w:r>
        <w:rPr>
          <w:rFonts w:ascii="Palatino Linotype" w:hAnsi="Palatino Linotype" w:cstheme="minorHAnsi"/>
          <w:noProof/>
          <w:lang w:val="en-GB" w:eastAsia="en-GB"/>
        </w:rPr>
        <mc:AlternateContent>
          <mc:Choice Requires="wps">
            <w:drawing>
              <wp:anchor distT="0" distB="0" distL="114935" distR="114935" simplePos="0" relativeHeight="251661824" behindDoc="0" locked="0" layoutInCell="1" allowOverlap="1" wp14:anchorId="690A72DB" wp14:editId="32D951E7">
                <wp:simplePos x="0" y="0"/>
                <wp:positionH relativeFrom="column">
                  <wp:posOffset>4947657</wp:posOffset>
                </wp:positionH>
                <wp:positionV relativeFrom="paragraph">
                  <wp:posOffset>42545</wp:posOffset>
                </wp:positionV>
                <wp:extent cx="1711960" cy="4546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4D19B" w14:textId="42C91AB4" w:rsidR="00332F19" w:rsidRPr="00332F19" w:rsidRDefault="003B0360" w:rsidP="00332F19">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05</w:t>
                            </w:r>
                            <w:r w:rsidR="004E444D">
                              <w:rPr>
                                <w:rFonts w:ascii="Arial" w:eastAsia="Times New Roman" w:hAnsi="Arial" w:cs="Arial"/>
                                <w:b/>
                                <w:bCs/>
                                <w:color w:val="FFFFFF"/>
                                <w:sz w:val="22"/>
                                <w:szCs w:val="22"/>
                                <w:lang w:eastAsia="ar-SA"/>
                              </w:rPr>
                              <w:t xml:space="preserve"> </w:t>
                            </w:r>
                            <w:r w:rsidR="007E4586">
                              <w:rPr>
                                <w:rFonts w:ascii="Arial" w:eastAsia="Times New Roman" w:hAnsi="Arial" w:cs="Arial"/>
                                <w:b/>
                                <w:bCs/>
                                <w:color w:val="FFFFFF"/>
                                <w:sz w:val="22"/>
                                <w:szCs w:val="22"/>
                                <w:lang w:eastAsia="ar-SA"/>
                              </w:rPr>
                              <w:t>September</w:t>
                            </w:r>
                            <w:r w:rsidR="00332F19">
                              <w:rPr>
                                <w:rFonts w:ascii="Arial" w:eastAsia="Times New Roman" w:hAnsi="Arial" w:cs="Arial"/>
                                <w:b/>
                                <w:bCs/>
                                <w:color w:val="FFFFFF"/>
                                <w:sz w:val="22"/>
                                <w:szCs w:val="22"/>
                                <w:lang w:eastAsia="ar-SA"/>
                              </w:rPr>
                              <w:t xml:space="preserve"> 2019</w:t>
                            </w:r>
                          </w:p>
                          <w:p w14:paraId="5D7146F8"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A72DB" id="_x0000_t202" coordsize="21600,21600" o:spt="202" path="m,l,21600r21600,l21600,xe">
                <v:stroke joinstyle="miter"/>
                <v:path gradientshapeok="t" o:connecttype="rect"/>
              </v:shapetype>
              <v:shape id="Text Box 3" o:spid="_x0000_s1026" type="#_x0000_t202" style="position:absolute;margin-left:389.6pt;margin-top:3.35pt;width:134.8pt;height:35.8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atiAIAABw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" stroked="f">
                <v:fill opacity="0"/>
                <v:textbox inset="0,0,0,0">
                  <w:txbxContent>
                    <w:p w14:paraId="1E54D19B" w14:textId="42C91AB4" w:rsidR="00332F19" w:rsidRPr="00332F19" w:rsidRDefault="003B0360" w:rsidP="00332F19">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05</w:t>
                      </w:r>
                      <w:bookmarkStart w:id="1" w:name="_GoBack"/>
                      <w:bookmarkEnd w:id="1"/>
                      <w:r w:rsidR="004E444D">
                        <w:rPr>
                          <w:rFonts w:ascii="Arial" w:eastAsia="Times New Roman" w:hAnsi="Arial" w:cs="Arial"/>
                          <w:b/>
                          <w:bCs/>
                          <w:color w:val="FFFFFF"/>
                          <w:sz w:val="22"/>
                          <w:szCs w:val="22"/>
                          <w:lang w:eastAsia="ar-SA"/>
                        </w:rPr>
                        <w:t xml:space="preserve"> </w:t>
                      </w:r>
                      <w:r w:rsidR="007E4586">
                        <w:rPr>
                          <w:rFonts w:ascii="Arial" w:eastAsia="Times New Roman" w:hAnsi="Arial" w:cs="Arial"/>
                          <w:b/>
                          <w:bCs/>
                          <w:color w:val="FFFFFF"/>
                          <w:sz w:val="22"/>
                          <w:szCs w:val="22"/>
                          <w:lang w:eastAsia="ar-SA"/>
                        </w:rPr>
                        <w:t>September</w:t>
                      </w:r>
                      <w:r w:rsidR="00332F19">
                        <w:rPr>
                          <w:rFonts w:ascii="Arial" w:eastAsia="Times New Roman" w:hAnsi="Arial" w:cs="Arial"/>
                          <w:b/>
                          <w:bCs/>
                          <w:color w:val="FFFFFF"/>
                          <w:sz w:val="22"/>
                          <w:szCs w:val="22"/>
                          <w:lang w:eastAsia="ar-SA"/>
                        </w:rPr>
                        <w:t xml:space="preserve"> 2019</w:t>
                      </w:r>
                    </w:p>
                    <w:p w14:paraId="5D7146F8" w14:textId="77777777" w:rsidR="00D07713" w:rsidRPr="00187FA0" w:rsidRDefault="00D07713" w:rsidP="00D07713"/>
                  </w:txbxContent>
                </v:textbox>
              </v:shape>
            </w:pict>
          </mc:Fallback>
        </mc:AlternateContent>
      </w:r>
      <w:r>
        <w:rPr>
          <w:rFonts w:ascii="Palatino Linotype" w:hAnsi="Palatino Linotype" w:cstheme="minorHAnsi"/>
          <w:noProof/>
          <w:lang w:val="en-GB" w:eastAsia="en-GB"/>
        </w:rPr>
        <mc:AlternateContent>
          <mc:Choice Requires="wps">
            <w:drawing>
              <wp:anchor distT="0" distB="0" distL="114935" distR="114935" simplePos="0" relativeHeight="251658752" behindDoc="0" locked="0" layoutInCell="1" allowOverlap="1" wp14:anchorId="042445AC" wp14:editId="7E918E41">
                <wp:simplePos x="0" y="0"/>
                <wp:positionH relativeFrom="column">
                  <wp:posOffset>1367155</wp:posOffset>
                </wp:positionH>
                <wp:positionV relativeFrom="paragraph">
                  <wp:posOffset>-705485</wp:posOffset>
                </wp:positionV>
                <wp:extent cx="4343400" cy="64897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820" w14:textId="77777777" w:rsidR="00D07713" w:rsidRDefault="00414150" w:rsidP="00D07713">
                            <w:pPr>
                              <w:pStyle w:val="Heading1"/>
                              <w:rPr>
                                <w:rFonts w:ascii="Times New Roman" w:hAnsi="Times New Roman" w:cs="Times New Roman"/>
                                <w:sz w:val="40"/>
                                <w:szCs w:val="40"/>
                              </w:rPr>
                            </w:pPr>
                            <w:r>
                              <w:rPr>
                                <w:rFonts w:ascii="Times New Roman" w:hAnsi="Times New Roman" w:cs="Times New Roman"/>
                                <w:sz w:val="40"/>
                                <w:szCs w:val="40"/>
                              </w:rPr>
                              <w:t>Growth Evaluation</w:t>
                            </w:r>
                            <w:r w:rsidR="00D07713" w:rsidRPr="00803E3E">
                              <w:rPr>
                                <w:rFonts w:ascii="Times New Roman" w:hAnsi="Times New Roman" w:cs="Times New Roman"/>
                                <w:sz w:val="40"/>
                                <w:szCs w:val="40"/>
                              </w:rPr>
                              <w:t xml:space="preserve">: </w:t>
                            </w:r>
                          </w:p>
                          <w:p w14:paraId="48E6084B" w14:textId="31848306" w:rsidR="00D07713" w:rsidRPr="00526178" w:rsidRDefault="001537D8" w:rsidP="00D07713">
                            <w:pPr>
                              <w:pStyle w:val="Heading1"/>
                              <w:rPr>
                                <w:b w:val="0"/>
                                <w:bCs w:val="0"/>
                                <w:i/>
                                <w:iCs/>
                              </w:rPr>
                            </w:pPr>
                            <w:r>
                              <w:rPr>
                                <w:rFonts w:ascii="Times New Roman" w:hAnsi="Times New Roman" w:cs="Times New Roman"/>
                                <w:sz w:val="40"/>
                                <w:szCs w:val="40"/>
                              </w:rPr>
                              <w:t>201</w:t>
                            </w:r>
                            <w:r w:rsidR="00ED015D">
                              <w:rPr>
                                <w:rFonts w:ascii="Times New Roman" w:hAnsi="Times New Roman" w:cs="Times New Roman"/>
                                <w:sz w:val="40"/>
                                <w:szCs w:val="40"/>
                              </w:rPr>
                              <w:t>9</w:t>
                            </w:r>
                            <w:r>
                              <w:rPr>
                                <w:rFonts w:ascii="Times New Roman" w:hAnsi="Times New Roman" w:cs="Times New Roman"/>
                                <w:sz w:val="40"/>
                                <w:szCs w:val="40"/>
                              </w:rPr>
                              <w:t xml:space="preserve"> </w:t>
                            </w:r>
                            <w:r w:rsidR="007E4586">
                              <w:rPr>
                                <w:rFonts w:ascii="Times New Roman" w:hAnsi="Times New Roman" w:cs="Times New Roman"/>
                                <w:sz w:val="40"/>
                                <w:szCs w:val="40"/>
                              </w:rPr>
                              <w:t>2</w:t>
                            </w:r>
                            <w:r w:rsidR="007E4586">
                              <w:rPr>
                                <w:rFonts w:ascii="Times New Roman" w:hAnsi="Times New Roman" w:cs="Times New Roman"/>
                                <w:sz w:val="40"/>
                                <w:szCs w:val="40"/>
                                <w:vertAlign w:val="superscript"/>
                              </w:rPr>
                              <w:t>ND</w:t>
                            </w:r>
                            <w:r w:rsidR="00ED015D" w:rsidRPr="00803E3E">
                              <w:rPr>
                                <w:rFonts w:ascii="Times New Roman" w:hAnsi="Times New Roman" w:cs="Times New Roman"/>
                                <w:sz w:val="40"/>
                                <w:szCs w:val="40"/>
                              </w:rPr>
                              <w:t xml:space="preserve"> </w:t>
                            </w:r>
                            <w:r w:rsidR="00414150">
                              <w:rPr>
                                <w:rFonts w:ascii="Times New Roman" w:hAnsi="Times New Roman" w:cs="Times New Roman"/>
                                <w:sz w:val="40"/>
                                <w:szCs w:val="40"/>
                              </w:rPr>
                              <w:t>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445AC" id="Text Box 2" o:spid="_x0000_s1027" type="#_x0000_t202" style="position:absolute;margin-left:107.65pt;margin-top:-55.55pt;width:342pt;height:51.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" stroked="f">
                <v:fill opacity="0"/>
                <v:textbox inset="0,0,0,0">
                  <w:txbxContent>
                    <w:p w14:paraId="220F8820" w14:textId="77777777" w:rsidR="00D07713" w:rsidRDefault="00414150" w:rsidP="00D07713">
                      <w:pPr>
                        <w:pStyle w:val="Heading1"/>
                        <w:rPr>
                          <w:rFonts w:ascii="Times New Roman" w:hAnsi="Times New Roman" w:cs="Times New Roman"/>
                          <w:sz w:val="40"/>
                          <w:szCs w:val="40"/>
                        </w:rPr>
                      </w:pPr>
                      <w:r>
                        <w:rPr>
                          <w:rFonts w:ascii="Times New Roman" w:hAnsi="Times New Roman" w:cs="Times New Roman"/>
                          <w:sz w:val="40"/>
                          <w:szCs w:val="40"/>
                        </w:rPr>
                        <w:t>Growth Evaluation</w:t>
                      </w:r>
                      <w:r w:rsidR="00D07713" w:rsidRPr="00803E3E">
                        <w:rPr>
                          <w:rFonts w:ascii="Times New Roman" w:hAnsi="Times New Roman" w:cs="Times New Roman"/>
                          <w:sz w:val="40"/>
                          <w:szCs w:val="40"/>
                        </w:rPr>
                        <w:t xml:space="preserve">: </w:t>
                      </w:r>
                    </w:p>
                    <w:p w14:paraId="48E6084B" w14:textId="31848306" w:rsidR="00D07713" w:rsidRPr="00526178" w:rsidRDefault="001537D8" w:rsidP="00D07713">
                      <w:pPr>
                        <w:pStyle w:val="Heading1"/>
                        <w:rPr>
                          <w:b w:val="0"/>
                          <w:bCs w:val="0"/>
                          <w:i/>
                          <w:iCs/>
                        </w:rPr>
                      </w:pPr>
                      <w:r>
                        <w:rPr>
                          <w:rFonts w:ascii="Times New Roman" w:hAnsi="Times New Roman" w:cs="Times New Roman"/>
                          <w:sz w:val="40"/>
                          <w:szCs w:val="40"/>
                        </w:rPr>
                        <w:t>201</w:t>
                      </w:r>
                      <w:r w:rsidR="00ED015D">
                        <w:rPr>
                          <w:rFonts w:ascii="Times New Roman" w:hAnsi="Times New Roman" w:cs="Times New Roman"/>
                          <w:sz w:val="40"/>
                          <w:szCs w:val="40"/>
                        </w:rPr>
                        <w:t>9</w:t>
                      </w:r>
                      <w:r>
                        <w:rPr>
                          <w:rFonts w:ascii="Times New Roman" w:hAnsi="Times New Roman" w:cs="Times New Roman"/>
                          <w:sz w:val="40"/>
                          <w:szCs w:val="40"/>
                        </w:rPr>
                        <w:t xml:space="preserve"> </w:t>
                      </w:r>
                      <w:r w:rsidR="007E4586">
                        <w:rPr>
                          <w:rFonts w:ascii="Times New Roman" w:hAnsi="Times New Roman" w:cs="Times New Roman"/>
                          <w:sz w:val="40"/>
                          <w:szCs w:val="40"/>
                        </w:rPr>
                        <w:t>2</w:t>
                      </w:r>
                      <w:r w:rsidR="007E4586">
                        <w:rPr>
                          <w:rFonts w:ascii="Times New Roman" w:hAnsi="Times New Roman" w:cs="Times New Roman"/>
                          <w:sz w:val="40"/>
                          <w:szCs w:val="40"/>
                          <w:vertAlign w:val="superscript"/>
                        </w:rPr>
                        <w:t>ND</w:t>
                      </w:r>
                      <w:r w:rsidR="00ED015D" w:rsidRPr="00803E3E">
                        <w:rPr>
                          <w:rFonts w:ascii="Times New Roman" w:hAnsi="Times New Roman" w:cs="Times New Roman"/>
                          <w:sz w:val="40"/>
                          <w:szCs w:val="40"/>
                        </w:rPr>
                        <w:t xml:space="preserve"> </w:t>
                      </w:r>
                      <w:r w:rsidR="00414150">
                        <w:rPr>
                          <w:rFonts w:ascii="Times New Roman" w:hAnsi="Times New Roman" w:cs="Times New Roman"/>
                          <w:sz w:val="40"/>
                          <w:szCs w:val="40"/>
                        </w:rPr>
                        <w:t>Quarter</w:t>
                      </w:r>
                    </w:p>
                  </w:txbxContent>
                </v:textbox>
              </v:shape>
            </w:pict>
          </mc:Fallback>
        </mc:AlternateContent>
      </w:r>
      <w:r w:rsidR="00D07713" w:rsidRPr="00924CD9">
        <w:rPr>
          <w:rFonts w:ascii="Palatino Linotype" w:hAnsi="Palatino Linotype" w:cstheme="minorHAnsi"/>
          <w:noProof/>
          <w:lang w:val="en-GB" w:eastAsia="en-GB"/>
        </w:rPr>
        <w:drawing>
          <wp:anchor distT="0" distB="0" distL="114300" distR="114300" simplePos="0" relativeHeight="251655680" behindDoc="1" locked="0" layoutInCell="1" allowOverlap="1" wp14:anchorId="310B4B5A" wp14:editId="1956795D">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425D7B57" w14:textId="77777777" w:rsidR="00D07713" w:rsidRPr="00924CD9" w:rsidRDefault="00D07713">
      <w:pPr>
        <w:rPr>
          <w:rFonts w:ascii="Palatino Linotype" w:hAnsi="Palatino Linotype" w:cstheme="minorHAnsi"/>
        </w:rPr>
      </w:pPr>
    </w:p>
    <w:p w14:paraId="17518868" w14:textId="77777777" w:rsidR="00D07713" w:rsidRPr="00924CD9" w:rsidRDefault="00D07713" w:rsidP="00D07713">
      <w:pPr>
        <w:spacing w:line="288" w:lineRule="auto"/>
        <w:ind w:right="-319"/>
        <w:jc w:val="center"/>
        <w:outlineLvl w:val="0"/>
        <w:rPr>
          <w:rFonts w:ascii="Palatino Linotype" w:hAnsi="Palatino Linotype" w:cstheme="minorHAnsi"/>
          <w:b/>
          <w:bCs/>
          <w:sz w:val="28"/>
          <w:szCs w:val="28"/>
        </w:rPr>
      </w:pPr>
    </w:p>
    <w:p w14:paraId="7B31B229" w14:textId="77310464" w:rsidR="00ED015D" w:rsidRDefault="008360DB" w:rsidP="00ED015D">
      <w:pPr>
        <w:jc w:val="center"/>
        <w:rPr>
          <w:rFonts w:ascii="Palatino Linotype" w:hAnsi="Palatino Linotype" w:cstheme="minorHAnsi"/>
          <w:b/>
          <w:bCs/>
          <w:sz w:val="28"/>
          <w:szCs w:val="28"/>
        </w:rPr>
      </w:pPr>
      <w:r>
        <w:rPr>
          <w:rFonts w:ascii="Palatino Linotype" w:hAnsi="Palatino Linotype" w:cstheme="minorHAnsi"/>
          <w:b/>
          <w:bCs/>
          <w:sz w:val="28"/>
          <w:szCs w:val="28"/>
        </w:rPr>
        <w:t xml:space="preserve">POSITIVE NET EXPORT </w:t>
      </w:r>
      <w:r w:rsidR="001223E1">
        <w:rPr>
          <w:rFonts w:ascii="Palatino Linotype" w:hAnsi="Palatino Linotype" w:cstheme="minorHAnsi"/>
          <w:b/>
          <w:bCs/>
          <w:sz w:val="28"/>
          <w:szCs w:val="28"/>
        </w:rPr>
        <w:t>AND</w:t>
      </w:r>
      <w:r>
        <w:rPr>
          <w:rFonts w:ascii="Palatino Linotype" w:hAnsi="Palatino Linotype" w:cstheme="minorHAnsi"/>
          <w:b/>
          <w:bCs/>
          <w:sz w:val="28"/>
          <w:szCs w:val="28"/>
        </w:rPr>
        <w:t xml:space="preserve"> NEGATIVE INVESTMEN</w:t>
      </w:r>
      <w:r w:rsidR="00AB1341">
        <w:rPr>
          <w:rFonts w:ascii="Palatino Linotype" w:hAnsi="Palatino Linotype" w:cstheme="minorHAnsi"/>
          <w:b/>
          <w:bCs/>
          <w:sz w:val="28"/>
          <w:szCs w:val="28"/>
        </w:rPr>
        <w:t>TS</w:t>
      </w:r>
      <w:r>
        <w:rPr>
          <w:rFonts w:ascii="Palatino Linotype" w:hAnsi="Palatino Linotype" w:cstheme="minorHAnsi"/>
          <w:b/>
          <w:bCs/>
          <w:sz w:val="28"/>
          <w:szCs w:val="28"/>
        </w:rPr>
        <w:t xml:space="preserve"> CONTRIBUTIONS </w:t>
      </w:r>
      <w:r w:rsidR="001223E1">
        <w:rPr>
          <w:rFonts w:ascii="Palatino Linotype" w:hAnsi="Palatino Linotype" w:cstheme="minorHAnsi"/>
          <w:b/>
          <w:bCs/>
          <w:sz w:val="28"/>
          <w:szCs w:val="28"/>
        </w:rPr>
        <w:t>TO GDP</w:t>
      </w:r>
      <w:r>
        <w:rPr>
          <w:rFonts w:ascii="Palatino Linotype" w:hAnsi="Palatino Linotype" w:cstheme="minorHAnsi"/>
          <w:b/>
          <w:bCs/>
          <w:sz w:val="28"/>
          <w:szCs w:val="28"/>
        </w:rPr>
        <w:t xml:space="preserve"> GROWTH </w:t>
      </w:r>
    </w:p>
    <w:p w14:paraId="3C8CD4CB" w14:textId="77777777" w:rsidR="00ED015D" w:rsidRPr="00924CD9" w:rsidRDefault="00ED015D" w:rsidP="00ED015D">
      <w:pPr>
        <w:jc w:val="center"/>
        <w:rPr>
          <w:rFonts w:ascii="Palatino Linotype" w:hAnsi="Palatino Linotype" w:cstheme="minorHAnsi"/>
        </w:rPr>
      </w:pPr>
      <w:r w:rsidRPr="00924CD9">
        <w:rPr>
          <w:rFonts w:ascii="Palatino Linotype" w:hAnsi="Palatino Linotype" w:cstheme="minorHAnsi"/>
          <w:b/>
          <w:bCs/>
          <w:sz w:val="22"/>
          <w:szCs w:val="22"/>
        </w:rPr>
        <w:t xml:space="preserve"> Ozan </w:t>
      </w:r>
      <w:proofErr w:type="spellStart"/>
      <w:r w:rsidRPr="00924CD9">
        <w:rPr>
          <w:rFonts w:ascii="Palatino Linotype" w:hAnsi="Palatino Linotype" w:cstheme="minorHAnsi"/>
          <w:b/>
          <w:bCs/>
          <w:sz w:val="22"/>
          <w:szCs w:val="22"/>
        </w:rPr>
        <w:t>Bakış</w:t>
      </w:r>
      <w:proofErr w:type="spellEnd"/>
      <w:r w:rsidRPr="00924CD9">
        <w:rPr>
          <w:rStyle w:val="FootnoteReference"/>
          <w:rFonts w:ascii="Palatino Linotype" w:hAnsi="Palatino Linotype" w:cstheme="minorHAnsi"/>
          <w:b/>
          <w:bCs/>
          <w:sz w:val="22"/>
          <w:szCs w:val="22"/>
        </w:rPr>
        <w:footnoteReference w:id="1"/>
      </w:r>
      <w:r>
        <w:rPr>
          <w:rFonts w:ascii="Palatino Linotype" w:hAnsi="Palatino Linotype" w:cstheme="minorHAnsi"/>
          <w:b/>
          <w:bCs/>
          <w:sz w:val="22"/>
          <w:szCs w:val="22"/>
        </w:rPr>
        <w:t xml:space="preserve"> and Hamza </w:t>
      </w:r>
      <w:proofErr w:type="spellStart"/>
      <w:r>
        <w:rPr>
          <w:rFonts w:ascii="Palatino Linotype" w:hAnsi="Palatino Linotype" w:cstheme="minorHAnsi"/>
          <w:b/>
          <w:bCs/>
          <w:sz w:val="22"/>
          <w:szCs w:val="22"/>
        </w:rPr>
        <w:t>Mutluay</w:t>
      </w:r>
      <w:proofErr w:type="spellEnd"/>
      <w:r>
        <w:rPr>
          <w:rStyle w:val="FootnoteReference"/>
          <w:rFonts w:ascii="Palatino Linotype" w:hAnsi="Palatino Linotype" w:cstheme="minorHAnsi"/>
          <w:b/>
          <w:bCs/>
          <w:sz w:val="22"/>
          <w:szCs w:val="22"/>
        </w:rPr>
        <w:footnoteReference w:id="2"/>
      </w:r>
      <w:r>
        <w:rPr>
          <w:rFonts w:ascii="Palatino Linotype" w:hAnsi="Palatino Linotype" w:cstheme="minorHAnsi"/>
          <w:b/>
          <w:bCs/>
          <w:sz w:val="22"/>
          <w:szCs w:val="22"/>
        </w:rPr>
        <w:t xml:space="preserve"> </w:t>
      </w:r>
    </w:p>
    <w:p w14:paraId="57322CA8" w14:textId="0E64E279" w:rsidR="00D07713" w:rsidRDefault="00D07713">
      <w:pPr>
        <w:rPr>
          <w:rFonts w:ascii="Palatino Linotype" w:hAnsi="Palatino Linotype" w:cstheme="minorHAnsi"/>
        </w:rPr>
      </w:pPr>
    </w:p>
    <w:p w14:paraId="4F50E325" w14:textId="77777777" w:rsidR="00515940" w:rsidRPr="00924CD9" w:rsidRDefault="00515940">
      <w:pPr>
        <w:rPr>
          <w:rFonts w:ascii="Palatino Linotype" w:hAnsi="Palatino Linotype" w:cstheme="minorHAnsi"/>
        </w:rPr>
      </w:pPr>
    </w:p>
    <w:p w14:paraId="08B607E9" w14:textId="1D317BBE" w:rsidR="00223A5B" w:rsidRPr="00515940" w:rsidRDefault="00414150" w:rsidP="00515940">
      <w:pPr>
        <w:spacing w:line="360" w:lineRule="auto"/>
        <w:jc w:val="center"/>
        <w:rPr>
          <w:rFonts w:ascii="Arial" w:hAnsi="Arial" w:cs="Arial"/>
          <w:b/>
          <w:bCs/>
          <w:sz w:val="22"/>
          <w:szCs w:val="22"/>
        </w:rPr>
      </w:pPr>
      <w:r w:rsidRPr="00DE4D69">
        <w:rPr>
          <w:rFonts w:ascii="Arial" w:hAnsi="Arial" w:cs="Arial"/>
          <w:b/>
          <w:bCs/>
          <w:sz w:val="22"/>
          <w:szCs w:val="22"/>
        </w:rPr>
        <w:t>Executive Summary</w:t>
      </w:r>
    </w:p>
    <w:p w14:paraId="0CF565C0" w14:textId="77777777" w:rsidR="00DF3360" w:rsidRDefault="00414150" w:rsidP="0000121D">
      <w:pPr>
        <w:spacing w:line="360" w:lineRule="auto"/>
        <w:ind w:left="567" w:right="567"/>
        <w:jc w:val="both"/>
        <w:rPr>
          <w:rFonts w:ascii="Palatino Linotype" w:hAnsi="Palatino Linotype" w:cstheme="minorHAnsi"/>
          <w:sz w:val="22"/>
          <w:szCs w:val="22"/>
        </w:rPr>
      </w:pPr>
      <w:r w:rsidRPr="002D5820">
        <w:rPr>
          <w:rFonts w:ascii="Palatino Linotype" w:hAnsi="Palatino Linotype" w:cstheme="minorHAnsi"/>
          <w:sz w:val="22"/>
          <w:szCs w:val="22"/>
        </w:rPr>
        <w:t>In</w:t>
      </w:r>
      <w:r w:rsidRPr="00414150">
        <w:rPr>
          <w:rFonts w:ascii="Palatino Linotype" w:hAnsi="Palatino Linotype" w:cstheme="minorHAnsi"/>
          <w:sz w:val="22"/>
          <w:szCs w:val="22"/>
        </w:rPr>
        <w:t xml:space="preserve"> </w:t>
      </w:r>
      <w:r w:rsidRPr="002D5820">
        <w:rPr>
          <w:rFonts w:ascii="Palatino Linotype" w:hAnsi="Palatino Linotype" w:cstheme="minorHAnsi"/>
          <w:sz w:val="22"/>
          <w:szCs w:val="22"/>
        </w:rPr>
        <w:t>the</w:t>
      </w:r>
      <w:r w:rsidRPr="00414150">
        <w:rPr>
          <w:rFonts w:ascii="Palatino Linotype" w:hAnsi="Palatino Linotype" w:cstheme="minorHAnsi"/>
          <w:sz w:val="22"/>
          <w:szCs w:val="22"/>
        </w:rPr>
        <w:t xml:space="preserve"> </w:t>
      </w:r>
      <w:r w:rsidR="00E01CEA">
        <w:rPr>
          <w:rFonts w:ascii="Palatino Linotype" w:hAnsi="Palatino Linotype" w:cstheme="minorHAnsi"/>
          <w:sz w:val="22"/>
          <w:szCs w:val="22"/>
        </w:rPr>
        <w:t>second</w:t>
      </w:r>
      <w:r w:rsidR="002E2F3D">
        <w:rPr>
          <w:rFonts w:ascii="Palatino Linotype" w:hAnsi="Palatino Linotype" w:cstheme="minorHAnsi"/>
          <w:sz w:val="22"/>
          <w:szCs w:val="22"/>
        </w:rPr>
        <w:t xml:space="preserve"> </w:t>
      </w:r>
      <w:r w:rsidRPr="00414150">
        <w:rPr>
          <w:rFonts w:ascii="Palatino Linotype" w:hAnsi="Palatino Linotype" w:cstheme="minorHAnsi"/>
          <w:sz w:val="22"/>
          <w:szCs w:val="22"/>
        </w:rPr>
        <w:t>quarter of 201</w:t>
      </w:r>
      <w:r w:rsidR="00ED015D">
        <w:rPr>
          <w:rFonts w:ascii="Palatino Linotype" w:hAnsi="Palatino Linotype" w:cstheme="minorHAnsi"/>
          <w:sz w:val="22"/>
          <w:szCs w:val="22"/>
        </w:rPr>
        <w:t>9</w:t>
      </w:r>
      <w:r w:rsidRPr="00414150">
        <w:rPr>
          <w:rFonts w:ascii="Palatino Linotype" w:hAnsi="Palatino Linotype" w:cstheme="minorHAnsi"/>
          <w:sz w:val="22"/>
          <w:szCs w:val="22"/>
        </w:rPr>
        <w:t xml:space="preserve">, </w:t>
      </w:r>
      <w:r>
        <w:rPr>
          <w:rFonts w:ascii="Palatino Linotype" w:hAnsi="Palatino Linotype" w:cstheme="minorHAnsi"/>
          <w:sz w:val="22"/>
          <w:szCs w:val="22"/>
        </w:rPr>
        <w:t xml:space="preserve">according to </w:t>
      </w:r>
      <w:r w:rsidR="00D30DDE">
        <w:rPr>
          <w:rFonts w:ascii="Palatino Linotype" w:hAnsi="Palatino Linotype" w:cstheme="minorHAnsi"/>
          <w:sz w:val="22"/>
          <w:szCs w:val="22"/>
        </w:rPr>
        <w:t xml:space="preserve">seasonally and calendar day adjusted </w:t>
      </w:r>
      <w:r w:rsidR="00D30DDE" w:rsidRPr="002F0AEA">
        <w:rPr>
          <w:rFonts w:ascii="Palatino Linotype" w:hAnsi="Palatino Linotype" w:cstheme="minorHAnsi"/>
          <w:sz w:val="22"/>
          <w:szCs w:val="22"/>
        </w:rPr>
        <w:t xml:space="preserve">data, </w:t>
      </w:r>
      <w:r w:rsidR="00ED015D">
        <w:rPr>
          <w:rFonts w:ascii="Palatino Linotype" w:hAnsi="Palatino Linotype" w:cstheme="minorHAnsi"/>
          <w:sz w:val="22"/>
          <w:szCs w:val="22"/>
        </w:rPr>
        <w:t>Gross Domestic Product (GDP) in</w:t>
      </w:r>
      <w:r w:rsidRPr="002F0AEA">
        <w:rPr>
          <w:rFonts w:ascii="Palatino Linotype" w:hAnsi="Palatino Linotype" w:cstheme="minorHAnsi"/>
          <w:sz w:val="22"/>
          <w:szCs w:val="22"/>
        </w:rPr>
        <w:t xml:space="preserve">creased by </w:t>
      </w:r>
      <w:r w:rsidR="00E01CEA">
        <w:rPr>
          <w:rFonts w:ascii="Palatino Linotype" w:hAnsi="Palatino Linotype" w:cstheme="minorHAnsi"/>
          <w:sz w:val="22"/>
          <w:szCs w:val="22"/>
        </w:rPr>
        <w:t>1.2</w:t>
      </w:r>
      <w:r w:rsidRPr="002F0AEA">
        <w:rPr>
          <w:rFonts w:ascii="Palatino Linotype" w:hAnsi="Palatino Linotype" w:cstheme="minorHAnsi"/>
          <w:sz w:val="22"/>
          <w:szCs w:val="22"/>
        </w:rPr>
        <w:t xml:space="preserve"> percent comp</w:t>
      </w:r>
      <w:r w:rsidR="00180E6E" w:rsidRPr="002F0AEA">
        <w:rPr>
          <w:rFonts w:ascii="Palatino Linotype" w:hAnsi="Palatino Linotype" w:cstheme="minorHAnsi"/>
          <w:sz w:val="22"/>
          <w:szCs w:val="22"/>
        </w:rPr>
        <w:t xml:space="preserve">ared to the previous quarter, yet </w:t>
      </w:r>
      <w:r w:rsidR="00FC4AA3" w:rsidRPr="00117151">
        <w:rPr>
          <w:rFonts w:ascii="Palatino Linotype" w:hAnsi="Palatino Linotype" w:cstheme="minorHAnsi"/>
          <w:sz w:val="22"/>
          <w:szCs w:val="22"/>
        </w:rPr>
        <w:t>decreased</w:t>
      </w:r>
      <w:r w:rsidR="00FC4AA3">
        <w:rPr>
          <w:rFonts w:ascii="Palatino Linotype" w:hAnsi="Palatino Linotype" w:cstheme="minorHAnsi"/>
          <w:sz w:val="22"/>
          <w:szCs w:val="22"/>
        </w:rPr>
        <w:t xml:space="preserve"> </w:t>
      </w:r>
      <w:r w:rsidRPr="002F0AEA">
        <w:rPr>
          <w:rFonts w:ascii="Palatino Linotype" w:hAnsi="Palatino Linotype" w:cstheme="minorHAnsi"/>
          <w:sz w:val="22"/>
          <w:szCs w:val="22"/>
        </w:rPr>
        <w:t xml:space="preserve">by </w:t>
      </w:r>
      <w:r w:rsidR="00E01CEA">
        <w:rPr>
          <w:rFonts w:ascii="Palatino Linotype" w:hAnsi="Palatino Linotype" w:cstheme="minorHAnsi"/>
          <w:sz w:val="22"/>
          <w:szCs w:val="22"/>
        </w:rPr>
        <w:t>1.5</w:t>
      </w:r>
      <w:r w:rsidRPr="002F0AEA">
        <w:rPr>
          <w:rFonts w:ascii="Palatino Linotype" w:hAnsi="Palatino Linotype" w:cstheme="minorHAnsi"/>
          <w:sz w:val="22"/>
          <w:szCs w:val="22"/>
        </w:rPr>
        <w:t xml:space="preserve"> percent compared to the </w:t>
      </w:r>
      <w:r w:rsidR="00AB16C5" w:rsidRPr="002F0AEA">
        <w:rPr>
          <w:rFonts w:ascii="Palatino Linotype" w:hAnsi="Palatino Linotype" w:cstheme="minorHAnsi"/>
          <w:sz w:val="22"/>
          <w:szCs w:val="22"/>
        </w:rPr>
        <w:t>same</w:t>
      </w:r>
      <w:r w:rsidRPr="002F0AEA">
        <w:rPr>
          <w:rFonts w:ascii="Palatino Linotype" w:hAnsi="Palatino Linotype" w:cstheme="minorHAnsi"/>
          <w:sz w:val="22"/>
          <w:szCs w:val="22"/>
        </w:rPr>
        <w:t xml:space="preserve"> quarter of last year. The </w:t>
      </w:r>
      <w:r w:rsidR="002F0AEA" w:rsidRPr="002F0AEA">
        <w:rPr>
          <w:rFonts w:ascii="Palatino Linotype" w:hAnsi="Palatino Linotype" w:cstheme="minorHAnsi"/>
          <w:sz w:val="22"/>
          <w:szCs w:val="22"/>
        </w:rPr>
        <w:t xml:space="preserve">greatest negative impact </w:t>
      </w:r>
      <w:r w:rsidRPr="002F0AEA">
        <w:rPr>
          <w:rFonts w:ascii="Palatino Linotype" w:hAnsi="Palatino Linotype" w:cstheme="minorHAnsi"/>
          <w:sz w:val="22"/>
          <w:szCs w:val="22"/>
        </w:rPr>
        <w:t>o</w:t>
      </w:r>
      <w:r w:rsidR="002F0AEA" w:rsidRPr="002F0AEA">
        <w:rPr>
          <w:rFonts w:ascii="Palatino Linotype" w:hAnsi="Palatino Linotype" w:cstheme="minorHAnsi"/>
          <w:sz w:val="22"/>
          <w:szCs w:val="22"/>
        </w:rPr>
        <w:t>n the</w:t>
      </w:r>
      <w:r w:rsidRPr="002F0AEA">
        <w:rPr>
          <w:rFonts w:ascii="Palatino Linotype" w:hAnsi="Palatino Linotype" w:cstheme="minorHAnsi"/>
          <w:sz w:val="22"/>
          <w:szCs w:val="22"/>
        </w:rPr>
        <w:t xml:space="preserve"> </w:t>
      </w:r>
      <w:r w:rsidR="00D30DDE" w:rsidRPr="002F0AEA">
        <w:rPr>
          <w:rFonts w:ascii="Palatino Linotype" w:hAnsi="Palatino Linotype" w:cstheme="minorHAnsi"/>
          <w:sz w:val="22"/>
          <w:szCs w:val="22"/>
        </w:rPr>
        <w:t>annually economic growth</w:t>
      </w:r>
      <w:r w:rsidRPr="002F0AEA">
        <w:rPr>
          <w:rFonts w:ascii="Palatino Linotype" w:hAnsi="Palatino Linotype" w:cstheme="minorHAnsi"/>
          <w:sz w:val="22"/>
          <w:szCs w:val="22"/>
        </w:rPr>
        <w:t xml:space="preserve"> </w:t>
      </w:r>
      <w:r w:rsidR="00AB16C5" w:rsidRPr="002F0AEA">
        <w:rPr>
          <w:rFonts w:ascii="Palatino Linotype" w:hAnsi="Palatino Linotype" w:cstheme="minorHAnsi"/>
          <w:sz w:val="22"/>
          <w:szCs w:val="22"/>
        </w:rPr>
        <w:t xml:space="preserve">comes from </w:t>
      </w:r>
      <w:r w:rsidR="00E01CEA">
        <w:rPr>
          <w:rFonts w:ascii="Palatino Linotype" w:hAnsi="Palatino Linotype" w:cstheme="minorHAnsi"/>
          <w:sz w:val="22"/>
          <w:szCs w:val="22"/>
        </w:rPr>
        <w:t>investments</w:t>
      </w:r>
      <w:r w:rsidR="00D2047D">
        <w:rPr>
          <w:rFonts w:ascii="Palatino Linotype" w:hAnsi="Palatino Linotype" w:cstheme="minorHAnsi"/>
          <w:sz w:val="22"/>
          <w:szCs w:val="22"/>
        </w:rPr>
        <w:t xml:space="preserve">, for which the contribution to GDP growth was minus </w:t>
      </w:r>
      <w:r w:rsidR="00E01CEA">
        <w:rPr>
          <w:rFonts w:ascii="Palatino Linotype" w:hAnsi="Palatino Linotype" w:cstheme="minorHAnsi"/>
          <w:sz w:val="22"/>
          <w:szCs w:val="22"/>
        </w:rPr>
        <w:t>7,3</w:t>
      </w:r>
      <w:r w:rsidRPr="002F0AEA">
        <w:rPr>
          <w:rFonts w:ascii="Palatino Linotype" w:hAnsi="Palatino Linotype" w:cstheme="minorHAnsi"/>
          <w:sz w:val="22"/>
          <w:szCs w:val="22"/>
        </w:rPr>
        <w:t xml:space="preserve"> </w:t>
      </w:r>
      <w:r w:rsidRPr="00DF3360">
        <w:rPr>
          <w:rFonts w:ascii="Palatino Linotype" w:hAnsi="Palatino Linotype" w:cstheme="minorHAnsi"/>
          <w:sz w:val="22"/>
          <w:szCs w:val="22"/>
        </w:rPr>
        <w:t>percentage points.</w:t>
      </w:r>
      <w:r w:rsidRPr="002F0AEA">
        <w:rPr>
          <w:rFonts w:ascii="Palatino Linotype" w:hAnsi="Palatino Linotype" w:cstheme="minorHAnsi"/>
          <w:sz w:val="22"/>
          <w:szCs w:val="22"/>
        </w:rPr>
        <w:t xml:space="preserve"> </w:t>
      </w:r>
      <w:r w:rsidR="00E01CEA">
        <w:rPr>
          <w:rFonts w:ascii="Palatino Linotype" w:hAnsi="Palatino Linotype" w:cstheme="minorHAnsi"/>
          <w:sz w:val="22"/>
          <w:szCs w:val="22"/>
        </w:rPr>
        <w:t>The contribution of net exports</w:t>
      </w:r>
      <w:r w:rsidR="004E444D" w:rsidRPr="004E444D">
        <w:rPr>
          <w:rFonts w:ascii="Palatino Linotype" w:hAnsi="Palatino Linotype" w:cstheme="minorHAnsi"/>
          <w:sz w:val="22"/>
          <w:szCs w:val="22"/>
        </w:rPr>
        <w:t xml:space="preserve"> to growth</w:t>
      </w:r>
      <w:r w:rsidR="00E01CEA">
        <w:rPr>
          <w:rFonts w:ascii="Palatino Linotype" w:hAnsi="Palatino Linotype" w:cstheme="minorHAnsi"/>
          <w:sz w:val="22"/>
          <w:szCs w:val="22"/>
        </w:rPr>
        <w:t xml:space="preserve"> continues:</w:t>
      </w:r>
      <w:r w:rsidR="00BD6057">
        <w:rPr>
          <w:rFonts w:ascii="Palatino Linotype" w:hAnsi="Palatino Linotype" w:cstheme="minorHAnsi"/>
          <w:sz w:val="22"/>
          <w:szCs w:val="22"/>
        </w:rPr>
        <w:t xml:space="preserve"> while the contribution of exports was 2,2 percentage point, imports contribution was 5,2 as</w:t>
      </w:r>
      <w:r w:rsidR="00DF3360">
        <w:rPr>
          <w:rFonts w:ascii="Palatino Linotype" w:hAnsi="Palatino Linotype" w:cstheme="minorHAnsi"/>
          <w:sz w:val="22"/>
          <w:szCs w:val="22"/>
        </w:rPr>
        <w:t xml:space="preserve"> imports </w:t>
      </w:r>
      <w:r w:rsidR="00DF3360" w:rsidRPr="00DF3360">
        <w:rPr>
          <w:rFonts w:ascii="Palatino Linotype" w:hAnsi="Palatino Linotype" w:cstheme="minorHAnsi"/>
          <w:sz w:val="22"/>
          <w:szCs w:val="22"/>
        </w:rPr>
        <w:t>continue to decline.</w:t>
      </w:r>
      <w:r w:rsidR="004E444D" w:rsidRPr="004E444D">
        <w:rPr>
          <w:rFonts w:ascii="Palatino Linotype" w:hAnsi="Palatino Linotype" w:cstheme="minorHAnsi"/>
          <w:sz w:val="22"/>
          <w:szCs w:val="22"/>
        </w:rPr>
        <w:t xml:space="preserve"> </w:t>
      </w:r>
    </w:p>
    <w:p w14:paraId="7368C007" w14:textId="06BD1192" w:rsidR="00F612B5" w:rsidRDefault="00DF3360" w:rsidP="0000121D">
      <w:pPr>
        <w:spacing w:line="360" w:lineRule="auto"/>
        <w:ind w:left="567" w:right="567"/>
        <w:jc w:val="both"/>
        <w:rPr>
          <w:rFonts w:ascii="Palatino Linotype" w:hAnsi="Palatino Linotype" w:cstheme="minorHAnsi"/>
          <w:sz w:val="22"/>
          <w:szCs w:val="22"/>
        </w:rPr>
      </w:pPr>
      <w:r>
        <w:rPr>
          <w:rFonts w:ascii="Palatino Linotype" w:hAnsi="Palatino Linotype" w:cstheme="minorHAnsi"/>
          <w:sz w:val="22"/>
          <w:szCs w:val="22"/>
        </w:rPr>
        <w:t>W</w:t>
      </w:r>
      <w:r w:rsidRPr="00982F71">
        <w:rPr>
          <w:rFonts w:ascii="Palatino Linotype" w:hAnsi="Palatino Linotype" w:cstheme="minorHAnsi"/>
          <w:sz w:val="22"/>
          <w:szCs w:val="22"/>
        </w:rPr>
        <w:t xml:space="preserve">hen we look at the </w:t>
      </w:r>
      <w:r w:rsidRPr="007D787D">
        <w:rPr>
          <w:rFonts w:ascii="Palatino Linotype" w:hAnsi="Palatino Linotype" w:cstheme="minorHAnsi"/>
          <w:sz w:val="22"/>
          <w:szCs w:val="22"/>
        </w:rPr>
        <w:t xml:space="preserve">seasonally and calendar day adjusted </w:t>
      </w:r>
      <w:r>
        <w:rPr>
          <w:rFonts w:ascii="Palatino Linotype" w:hAnsi="Palatino Linotype" w:cstheme="minorHAnsi"/>
          <w:sz w:val="22"/>
          <w:szCs w:val="22"/>
        </w:rPr>
        <w:t xml:space="preserve">data, we see that the </w:t>
      </w:r>
      <w:r w:rsidR="0019114E">
        <w:rPr>
          <w:rFonts w:ascii="Palatino Linotype" w:hAnsi="Palatino Linotype" w:cstheme="minorHAnsi"/>
          <w:sz w:val="22"/>
          <w:szCs w:val="22"/>
        </w:rPr>
        <w:t>economic picture</w:t>
      </w:r>
      <w:r>
        <w:rPr>
          <w:rFonts w:ascii="Palatino Linotype" w:hAnsi="Palatino Linotype" w:cstheme="minorHAnsi"/>
          <w:sz w:val="22"/>
          <w:szCs w:val="22"/>
        </w:rPr>
        <w:t xml:space="preserve"> is </w:t>
      </w:r>
      <w:r w:rsidRPr="0044302D">
        <w:rPr>
          <w:rFonts w:ascii="Palatino Linotype" w:hAnsi="Palatino Linotype" w:cstheme="minorHAnsi"/>
          <w:sz w:val="22"/>
          <w:szCs w:val="22"/>
        </w:rPr>
        <w:t>relatively better.</w:t>
      </w:r>
      <w:r w:rsidRPr="004E444D">
        <w:rPr>
          <w:rFonts w:ascii="Palatino Linotype" w:hAnsi="Palatino Linotype" w:cstheme="minorHAnsi"/>
          <w:sz w:val="22"/>
          <w:szCs w:val="22"/>
        </w:rPr>
        <w:t xml:space="preserve"> </w:t>
      </w:r>
      <w:r w:rsidR="0019114E">
        <w:rPr>
          <w:rFonts w:ascii="Palatino Linotype" w:hAnsi="Palatino Linotype" w:cstheme="minorHAnsi"/>
          <w:sz w:val="22"/>
          <w:szCs w:val="22"/>
        </w:rPr>
        <w:t xml:space="preserve">On quarterly basis, </w:t>
      </w:r>
      <w:r w:rsidR="0044302D">
        <w:rPr>
          <w:rFonts w:ascii="Palatino Linotype" w:hAnsi="Palatino Linotype" w:cstheme="minorHAnsi"/>
          <w:sz w:val="22"/>
          <w:szCs w:val="22"/>
        </w:rPr>
        <w:t xml:space="preserve">we observe that private consumption, government expenditure, exports and stock change contribute positively to </w:t>
      </w:r>
      <w:r w:rsidR="0044302D" w:rsidRPr="0080775F">
        <w:rPr>
          <w:rFonts w:ascii="Palatino Linotype" w:hAnsi="Palatino Linotype" w:cstheme="minorHAnsi"/>
          <w:sz w:val="22"/>
          <w:szCs w:val="22"/>
        </w:rPr>
        <w:t>growth rate.</w:t>
      </w:r>
      <w:r w:rsidR="0044302D">
        <w:rPr>
          <w:rFonts w:ascii="Palatino Linotype" w:hAnsi="Palatino Linotype" w:cstheme="minorHAnsi"/>
          <w:sz w:val="22"/>
          <w:szCs w:val="22"/>
        </w:rPr>
        <w:t xml:space="preserve"> </w:t>
      </w:r>
      <w:r w:rsidR="002E1608">
        <w:rPr>
          <w:rFonts w:ascii="Palatino Linotype" w:hAnsi="Palatino Linotype" w:cstheme="minorHAnsi"/>
          <w:sz w:val="22"/>
          <w:szCs w:val="22"/>
        </w:rPr>
        <w:t xml:space="preserve">The fact that stock change contributes positively to growth </w:t>
      </w:r>
      <w:r w:rsidR="0084784E" w:rsidRPr="00D45FFE">
        <w:rPr>
          <w:rFonts w:ascii="Palatino Linotype" w:hAnsi="Palatino Linotype" w:cstheme="minorHAnsi"/>
          <w:sz w:val="22"/>
          <w:szCs w:val="22"/>
        </w:rPr>
        <w:t>since two quarters</w:t>
      </w:r>
      <w:r w:rsidR="0084784E">
        <w:rPr>
          <w:rFonts w:ascii="Palatino Linotype" w:hAnsi="Palatino Linotype" w:cstheme="minorHAnsi"/>
          <w:sz w:val="22"/>
          <w:szCs w:val="22"/>
        </w:rPr>
        <w:t xml:space="preserve"> </w:t>
      </w:r>
      <w:r w:rsidR="0080775F">
        <w:rPr>
          <w:rFonts w:ascii="Palatino Linotype" w:hAnsi="Palatino Linotype" w:cstheme="minorHAnsi"/>
          <w:sz w:val="22"/>
          <w:szCs w:val="22"/>
        </w:rPr>
        <w:t>can be interpreted that despite low demand,</w:t>
      </w:r>
      <w:r w:rsidR="00BE3442">
        <w:rPr>
          <w:rFonts w:ascii="Palatino Linotype" w:hAnsi="Palatino Linotype" w:cstheme="minorHAnsi"/>
          <w:sz w:val="22"/>
          <w:szCs w:val="22"/>
        </w:rPr>
        <w:t xml:space="preserve"> production is still in pr</w:t>
      </w:r>
      <w:r w:rsidR="0080775F">
        <w:rPr>
          <w:rFonts w:ascii="Palatino Linotype" w:hAnsi="Palatino Linotype" w:cstheme="minorHAnsi"/>
          <w:sz w:val="22"/>
          <w:szCs w:val="22"/>
        </w:rPr>
        <w:t>ogress, therefore, producer expectation</w:t>
      </w:r>
      <w:r w:rsidR="0084784E">
        <w:rPr>
          <w:rFonts w:ascii="Palatino Linotype" w:hAnsi="Palatino Linotype" w:cstheme="minorHAnsi"/>
          <w:sz w:val="22"/>
          <w:szCs w:val="22"/>
        </w:rPr>
        <w:t>s</w:t>
      </w:r>
      <w:r w:rsidR="0080775F">
        <w:rPr>
          <w:rFonts w:ascii="Palatino Linotype" w:hAnsi="Palatino Linotype" w:cstheme="minorHAnsi"/>
          <w:sz w:val="22"/>
          <w:szCs w:val="22"/>
        </w:rPr>
        <w:t xml:space="preserve"> </w:t>
      </w:r>
      <w:r w:rsidR="0084784E">
        <w:rPr>
          <w:rFonts w:ascii="Palatino Linotype" w:hAnsi="Palatino Linotype" w:cstheme="minorHAnsi"/>
          <w:sz w:val="22"/>
          <w:szCs w:val="22"/>
        </w:rPr>
        <w:t xml:space="preserve">of </w:t>
      </w:r>
      <w:r w:rsidR="0080775F">
        <w:rPr>
          <w:rFonts w:ascii="Palatino Linotype" w:hAnsi="Palatino Linotype" w:cstheme="minorHAnsi"/>
          <w:sz w:val="22"/>
          <w:szCs w:val="22"/>
        </w:rPr>
        <w:t xml:space="preserve">future </w:t>
      </w:r>
      <w:r w:rsidR="0080775F" w:rsidRPr="00643216">
        <w:rPr>
          <w:rFonts w:ascii="Palatino Linotype" w:hAnsi="Palatino Linotype" w:cstheme="minorHAnsi"/>
          <w:sz w:val="22"/>
          <w:szCs w:val="22"/>
        </w:rPr>
        <w:t xml:space="preserve">is </w:t>
      </w:r>
      <w:r w:rsidR="0084784E" w:rsidRPr="00D45FFE">
        <w:rPr>
          <w:rFonts w:ascii="Palatino Linotype" w:hAnsi="Palatino Linotype" w:cstheme="minorHAnsi"/>
          <w:sz w:val="22"/>
          <w:szCs w:val="22"/>
        </w:rPr>
        <w:t>optimistic</w:t>
      </w:r>
      <w:r w:rsidR="00D45FFE">
        <w:rPr>
          <w:rFonts w:ascii="Palatino Linotype" w:hAnsi="Palatino Linotype" w:cstheme="minorHAnsi"/>
          <w:sz w:val="22"/>
          <w:szCs w:val="22"/>
        </w:rPr>
        <w:t xml:space="preserve">. </w:t>
      </w:r>
      <w:r w:rsidR="0080775F">
        <w:rPr>
          <w:rFonts w:ascii="Palatino Linotype" w:hAnsi="Palatino Linotype" w:cstheme="minorHAnsi"/>
          <w:sz w:val="22"/>
          <w:szCs w:val="22"/>
        </w:rPr>
        <w:t xml:space="preserve">On the other hand, ongoing </w:t>
      </w:r>
      <w:r w:rsidR="0084784E" w:rsidRPr="00D45FFE">
        <w:rPr>
          <w:rFonts w:ascii="Palatino Linotype" w:hAnsi="Palatino Linotype" w:cstheme="minorHAnsi"/>
          <w:sz w:val="22"/>
          <w:szCs w:val="22"/>
        </w:rPr>
        <w:t>contraction</w:t>
      </w:r>
      <w:r w:rsidR="0084784E">
        <w:rPr>
          <w:rFonts w:ascii="Palatino Linotype" w:hAnsi="Palatino Linotype" w:cstheme="minorHAnsi"/>
          <w:sz w:val="22"/>
          <w:szCs w:val="22"/>
        </w:rPr>
        <w:t xml:space="preserve"> </w:t>
      </w:r>
      <w:r w:rsidR="0080775F">
        <w:rPr>
          <w:rFonts w:ascii="Palatino Linotype" w:hAnsi="Palatino Linotype" w:cstheme="minorHAnsi"/>
          <w:sz w:val="22"/>
          <w:szCs w:val="22"/>
        </w:rPr>
        <w:t>in investments</w:t>
      </w:r>
      <w:r w:rsidR="00643216">
        <w:rPr>
          <w:rFonts w:ascii="Palatino Linotype" w:hAnsi="Palatino Linotype" w:cstheme="minorHAnsi"/>
          <w:sz w:val="22"/>
          <w:szCs w:val="22"/>
        </w:rPr>
        <w:t xml:space="preserve"> </w:t>
      </w:r>
      <w:r w:rsidR="00846FD6">
        <w:rPr>
          <w:rFonts w:ascii="Palatino Linotype" w:hAnsi="Palatino Linotype" w:cstheme="minorHAnsi"/>
          <w:sz w:val="22"/>
          <w:szCs w:val="22"/>
        </w:rPr>
        <w:t xml:space="preserve">raise </w:t>
      </w:r>
      <w:r w:rsidR="00643216">
        <w:rPr>
          <w:rFonts w:ascii="Palatino Linotype" w:hAnsi="Palatino Linotype" w:cstheme="minorHAnsi"/>
          <w:sz w:val="22"/>
          <w:szCs w:val="22"/>
        </w:rPr>
        <w:t>concern</w:t>
      </w:r>
      <w:r w:rsidR="00846FD6">
        <w:rPr>
          <w:rFonts w:ascii="Palatino Linotype" w:hAnsi="Palatino Linotype" w:cstheme="minorHAnsi"/>
          <w:sz w:val="22"/>
          <w:szCs w:val="22"/>
        </w:rPr>
        <w:t>s</w:t>
      </w:r>
      <w:r w:rsidR="00643216">
        <w:rPr>
          <w:rFonts w:ascii="Palatino Linotype" w:hAnsi="Palatino Linotype" w:cstheme="minorHAnsi"/>
          <w:sz w:val="22"/>
          <w:szCs w:val="22"/>
        </w:rPr>
        <w:t xml:space="preserve"> for the next period of the GDP growth.</w:t>
      </w:r>
      <w:r w:rsidR="002E1608">
        <w:rPr>
          <w:rFonts w:ascii="Palatino Linotype" w:hAnsi="Palatino Linotype" w:cstheme="minorHAnsi"/>
          <w:sz w:val="22"/>
          <w:szCs w:val="22"/>
        </w:rPr>
        <w:t xml:space="preserve"> </w:t>
      </w:r>
    </w:p>
    <w:p w14:paraId="4C5A63AC" w14:textId="42AE92D4" w:rsidR="007858EF" w:rsidRDefault="007858EF" w:rsidP="0000121D">
      <w:pPr>
        <w:spacing w:line="360" w:lineRule="auto"/>
        <w:ind w:left="567" w:right="567"/>
        <w:jc w:val="both"/>
        <w:rPr>
          <w:rFonts w:ascii="Palatino Linotype" w:hAnsi="Palatino Linotype" w:cstheme="minorHAnsi"/>
          <w:sz w:val="22"/>
          <w:szCs w:val="22"/>
        </w:rPr>
      </w:pPr>
    </w:p>
    <w:p w14:paraId="3E43A496" w14:textId="77777777" w:rsidR="007858EF" w:rsidRPr="00C47DCC" w:rsidRDefault="007858EF" w:rsidP="0000121D">
      <w:pPr>
        <w:spacing w:line="360" w:lineRule="auto"/>
        <w:ind w:left="567" w:right="567"/>
        <w:jc w:val="both"/>
        <w:rPr>
          <w:rFonts w:ascii="Palatino Linotype" w:hAnsi="Palatino Linotype" w:cstheme="minorHAnsi"/>
          <w:sz w:val="22"/>
          <w:szCs w:val="22"/>
        </w:rPr>
      </w:pPr>
    </w:p>
    <w:p w14:paraId="33DA5D73" w14:textId="77777777" w:rsidR="00F612B5" w:rsidRDefault="00F612B5" w:rsidP="00515940">
      <w:pPr>
        <w:spacing w:line="360" w:lineRule="auto"/>
        <w:ind w:left="567" w:right="567"/>
        <w:jc w:val="both"/>
        <w:rPr>
          <w:rFonts w:ascii="Palatino Linotype" w:hAnsi="Palatino Linotype" w:cstheme="minorHAnsi"/>
          <w:sz w:val="22"/>
          <w:szCs w:val="22"/>
        </w:rPr>
      </w:pPr>
    </w:p>
    <w:p w14:paraId="7A80EABE" w14:textId="77777777" w:rsidR="00515940" w:rsidRDefault="00515940" w:rsidP="00515940">
      <w:pPr>
        <w:spacing w:after="120" w:line="360" w:lineRule="auto"/>
        <w:ind w:right="567"/>
        <w:jc w:val="both"/>
        <w:rPr>
          <w:rFonts w:ascii="Palatino Linotype" w:hAnsi="Palatino Linotype" w:cstheme="minorHAnsi"/>
          <w:b/>
          <w:bCs/>
          <w:sz w:val="22"/>
          <w:szCs w:val="22"/>
        </w:rPr>
      </w:pPr>
    </w:p>
    <w:p w14:paraId="3DE33BD0" w14:textId="77777777" w:rsidR="007858EF" w:rsidRDefault="007858EF" w:rsidP="00515940">
      <w:pPr>
        <w:spacing w:after="120" w:line="360" w:lineRule="auto"/>
        <w:ind w:right="567"/>
        <w:jc w:val="both"/>
        <w:rPr>
          <w:rFonts w:ascii="Palatino Linotype" w:hAnsi="Palatino Linotype" w:cstheme="minorHAnsi"/>
          <w:b/>
          <w:bCs/>
          <w:sz w:val="22"/>
          <w:szCs w:val="22"/>
        </w:rPr>
      </w:pPr>
    </w:p>
    <w:p w14:paraId="5EFD336B" w14:textId="02958A31" w:rsidR="00E01513" w:rsidRDefault="00B53557" w:rsidP="007858EF">
      <w:pPr>
        <w:spacing w:after="120" w:line="360" w:lineRule="auto"/>
        <w:ind w:right="567"/>
        <w:jc w:val="both"/>
        <w:rPr>
          <w:rFonts w:ascii="Palatino Linotype" w:hAnsi="Palatino Linotype" w:cstheme="minorHAnsi"/>
          <w:b/>
          <w:bCs/>
          <w:sz w:val="22"/>
          <w:szCs w:val="22"/>
        </w:rPr>
      </w:pPr>
      <w:r>
        <w:rPr>
          <w:rFonts w:ascii="Palatino Linotype" w:hAnsi="Palatino Linotype" w:cstheme="minorHAnsi"/>
          <w:b/>
          <w:bCs/>
          <w:sz w:val="22"/>
          <w:szCs w:val="22"/>
        </w:rPr>
        <w:lastRenderedPageBreak/>
        <w:t xml:space="preserve">Figure 1: </w:t>
      </w:r>
      <w:r w:rsidR="00AD2B46">
        <w:rPr>
          <w:rFonts w:ascii="Palatino Linotype" w:hAnsi="Palatino Linotype" w:cstheme="minorHAnsi"/>
          <w:b/>
          <w:bCs/>
          <w:sz w:val="22"/>
          <w:szCs w:val="22"/>
        </w:rPr>
        <w:t>C</w:t>
      </w:r>
      <w:r w:rsidR="00AD2B46" w:rsidRPr="00AD2B46">
        <w:rPr>
          <w:rFonts w:ascii="Palatino Linotype" w:hAnsi="Palatino Linotype" w:cstheme="minorHAnsi"/>
          <w:b/>
          <w:bCs/>
          <w:sz w:val="22"/>
          <w:szCs w:val="22"/>
        </w:rPr>
        <w:t xml:space="preserve">ontributions to growth (left) </w:t>
      </w:r>
      <w:r w:rsidR="00AD2B46">
        <w:rPr>
          <w:rFonts w:ascii="Palatino Linotype" w:hAnsi="Palatino Linotype" w:cstheme="minorHAnsi"/>
          <w:b/>
          <w:bCs/>
          <w:sz w:val="22"/>
          <w:szCs w:val="22"/>
        </w:rPr>
        <w:t>and y</w:t>
      </w:r>
      <w:r w:rsidR="00AD2B46" w:rsidRPr="00AD2B46">
        <w:rPr>
          <w:rFonts w:ascii="Palatino Linotype" w:hAnsi="Palatino Linotype" w:cstheme="minorHAnsi"/>
          <w:b/>
          <w:bCs/>
          <w:sz w:val="22"/>
          <w:szCs w:val="22"/>
        </w:rPr>
        <w:t>ear-on-year growth rates (right) of GDP components in 20</w:t>
      </w:r>
      <w:r w:rsidR="004116D0">
        <w:rPr>
          <w:rFonts w:ascii="Palatino Linotype" w:hAnsi="Palatino Linotype" w:cstheme="minorHAnsi"/>
          <w:b/>
          <w:bCs/>
          <w:sz w:val="22"/>
          <w:szCs w:val="22"/>
        </w:rPr>
        <w:t>19</w:t>
      </w:r>
      <w:r w:rsidR="00AD2B46" w:rsidRPr="00AD2B46">
        <w:rPr>
          <w:rFonts w:ascii="Palatino Linotype" w:hAnsi="Palatino Linotype" w:cstheme="minorHAnsi"/>
          <w:b/>
          <w:bCs/>
          <w:sz w:val="22"/>
          <w:szCs w:val="22"/>
        </w:rPr>
        <w:t xml:space="preserve"> Q</w:t>
      </w:r>
      <w:r w:rsidR="004375D0">
        <w:rPr>
          <w:rFonts w:ascii="Palatino Linotype" w:hAnsi="Palatino Linotype" w:cstheme="minorHAnsi"/>
          <w:b/>
          <w:bCs/>
          <w:sz w:val="22"/>
          <w:szCs w:val="22"/>
        </w:rPr>
        <w:t>1</w:t>
      </w:r>
    </w:p>
    <w:p w14:paraId="75865008" w14:textId="109CA77E" w:rsidR="00B53557" w:rsidRPr="00924CD9" w:rsidRDefault="00B53557" w:rsidP="00B53557">
      <w:pPr>
        <w:keepNext/>
        <w:ind w:left="-567" w:right="-567"/>
        <w:rPr>
          <w:rFonts w:ascii="Palatino Linotype" w:hAnsi="Palatino Linotype" w:cstheme="minorHAnsi"/>
        </w:rPr>
      </w:pPr>
      <w:r w:rsidRPr="00D56304">
        <w:rPr>
          <w:noProof/>
        </w:rPr>
        <w:t xml:space="preserve"> </w:t>
      </w:r>
      <w:r w:rsidR="007858EF">
        <w:rPr>
          <w:noProof/>
          <w:lang w:val="en-GB" w:eastAsia="en-GB"/>
        </w:rPr>
        <w:drawing>
          <wp:inline distT="0" distB="0" distL="0" distR="0" wp14:anchorId="7244571B" wp14:editId="6582B925">
            <wp:extent cx="3142769" cy="2620010"/>
            <wp:effectExtent l="0" t="0" r="635" b="8890"/>
            <wp:docPr id="7" name="Chart 7">
              <a:extLst xmlns:a="http://schemas.openxmlformats.org/drawingml/2006/main">
                <a:ext uri="{FF2B5EF4-FFF2-40B4-BE49-F238E27FC236}">
                  <a16:creationId xmlns:a16="http://schemas.microsoft.com/office/drawing/2014/main" id="{18BC373F-4370-4368-BF3E-E5C5B73E0A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15A3D" w:rsidRPr="00415A3D">
        <w:rPr>
          <w:noProof/>
          <w:lang w:val="en-GB" w:eastAsia="en-GB"/>
        </w:rPr>
        <w:t xml:space="preserve"> </w:t>
      </w:r>
      <w:r w:rsidR="007858EF">
        <w:rPr>
          <w:noProof/>
          <w:lang w:val="en-GB" w:eastAsia="en-GB"/>
        </w:rPr>
        <w:drawing>
          <wp:inline distT="0" distB="0" distL="0" distR="0" wp14:anchorId="64D25587" wp14:editId="344311D3">
            <wp:extent cx="3034665" cy="2612336"/>
            <wp:effectExtent l="0" t="0" r="13335" b="17145"/>
            <wp:docPr id="8" name="Chart 8">
              <a:extLst xmlns:a="http://schemas.openxmlformats.org/drawingml/2006/main">
                <a:ext uri="{FF2B5EF4-FFF2-40B4-BE49-F238E27FC236}">
                  <a16:creationId xmlns:a16="http://schemas.microsoft.com/office/drawing/2014/main" id="{0D245A8B-5CBD-429E-AACF-D2D3B7321D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B93672" w14:textId="7AD9677C" w:rsidR="00B53557" w:rsidRDefault="00B53557" w:rsidP="00B53557">
      <w:pPr>
        <w:keepNext/>
        <w:rPr>
          <w:rFonts w:ascii="Palatino Linotype" w:hAnsi="Palatino Linotype" w:cstheme="minorHAnsi"/>
          <w:sz w:val="16"/>
          <w:szCs w:val="16"/>
        </w:rPr>
      </w:pPr>
      <w:r w:rsidRPr="00A160F5">
        <w:rPr>
          <w:rFonts w:ascii="Palatino Linotype" w:hAnsi="Palatino Linotype" w:cstheme="minorHAnsi"/>
          <w:b/>
          <w:sz w:val="18"/>
          <w:szCs w:val="18"/>
        </w:rPr>
        <w:t>Source:</w:t>
      </w:r>
      <w:r w:rsidRPr="003E1EED">
        <w:rPr>
          <w:rFonts w:ascii="Palatino Linotype" w:hAnsi="Palatino Linotype" w:cstheme="minorHAnsi"/>
          <w:sz w:val="18"/>
          <w:szCs w:val="18"/>
        </w:rPr>
        <w:t xml:space="preserve"> </w:t>
      </w:r>
      <w:proofErr w:type="spellStart"/>
      <w:r w:rsidRPr="003E1EED">
        <w:rPr>
          <w:rFonts w:ascii="Palatino Linotype" w:hAnsi="Palatino Linotype" w:cstheme="minorHAnsi"/>
          <w:sz w:val="18"/>
          <w:szCs w:val="18"/>
        </w:rPr>
        <w:t>T</w:t>
      </w:r>
      <w:r>
        <w:rPr>
          <w:rFonts w:ascii="Palatino Linotype" w:hAnsi="Palatino Linotype" w:cstheme="minorHAnsi"/>
          <w:sz w:val="18"/>
          <w:szCs w:val="18"/>
        </w:rPr>
        <w:t>urkStat</w:t>
      </w:r>
      <w:proofErr w:type="spellEnd"/>
      <w:r w:rsidRPr="003E1EED">
        <w:rPr>
          <w:rFonts w:ascii="Palatino Linotype" w:hAnsi="Palatino Linotype" w:cstheme="minorHAnsi"/>
          <w:sz w:val="18"/>
          <w:szCs w:val="18"/>
        </w:rPr>
        <w:t xml:space="preserve">, </w:t>
      </w:r>
      <w:proofErr w:type="spellStart"/>
      <w:r w:rsidRPr="003E1EED">
        <w:rPr>
          <w:rFonts w:ascii="Palatino Linotype" w:hAnsi="Palatino Linotype" w:cstheme="minorHAnsi"/>
          <w:sz w:val="18"/>
          <w:szCs w:val="18"/>
        </w:rPr>
        <w:t>Betam</w:t>
      </w:r>
      <w:proofErr w:type="spellEnd"/>
      <w:r w:rsidRPr="00924CD9">
        <w:rPr>
          <w:rFonts w:ascii="Palatino Linotype" w:hAnsi="Palatino Linotype" w:cstheme="minorHAnsi"/>
          <w:sz w:val="16"/>
          <w:szCs w:val="16"/>
        </w:rPr>
        <w:t xml:space="preserve">. </w:t>
      </w:r>
    </w:p>
    <w:p w14:paraId="0163F371" w14:textId="6C1FCF65" w:rsidR="00823236" w:rsidRDefault="00823236" w:rsidP="00B53557">
      <w:pPr>
        <w:keepNext/>
        <w:rPr>
          <w:rFonts w:ascii="Palatino Linotype" w:hAnsi="Palatino Linotype" w:cstheme="minorHAnsi"/>
        </w:rPr>
      </w:pPr>
    </w:p>
    <w:p w14:paraId="062432CF" w14:textId="35BDF0C3" w:rsidR="007858EF" w:rsidRDefault="007858EF" w:rsidP="00B53557">
      <w:pPr>
        <w:keepNext/>
        <w:rPr>
          <w:rFonts w:ascii="Palatino Linotype" w:hAnsi="Palatino Linotype" w:cstheme="minorHAnsi"/>
        </w:rPr>
      </w:pPr>
    </w:p>
    <w:p w14:paraId="1517EF4E" w14:textId="55858349" w:rsidR="009E1F69" w:rsidRDefault="009E1F69" w:rsidP="00C65542">
      <w:pPr>
        <w:spacing w:line="360" w:lineRule="auto"/>
        <w:jc w:val="both"/>
        <w:rPr>
          <w:rFonts w:ascii="Palatino Linotype" w:hAnsi="Palatino Linotype" w:cstheme="minorHAnsi"/>
          <w:b/>
          <w:sz w:val="22"/>
          <w:szCs w:val="22"/>
        </w:rPr>
      </w:pPr>
      <w:r w:rsidRPr="009E1F69">
        <w:rPr>
          <w:rFonts w:ascii="Palatino Linotype" w:hAnsi="Palatino Linotype" w:cstheme="minorHAnsi"/>
          <w:b/>
          <w:sz w:val="22"/>
          <w:szCs w:val="22"/>
        </w:rPr>
        <w:t xml:space="preserve">Recovery in private consumption </w:t>
      </w:r>
    </w:p>
    <w:p w14:paraId="46B502D9" w14:textId="65FAD5CB" w:rsidR="00C65542" w:rsidRPr="00982F71" w:rsidRDefault="006A2580" w:rsidP="00C65542">
      <w:pPr>
        <w:spacing w:line="360" w:lineRule="auto"/>
        <w:jc w:val="both"/>
        <w:rPr>
          <w:rFonts w:ascii="Palatino Linotype" w:hAnsi="Palatino Linotype" w:cstheme="minorHAnsi"/>
          <w:sz w:val="22"/>
          <w:szCs w:val="22"/>
        </w:rPr>
      </w:pPr>
      <w:r w:rsidRPr="00117151">
        <w:rPr>
          <w:rFonts w:ascii="Palatino Linotype" w:hAnsi="Palatino Linotype" w:cstheme="minorHAnsi"/>
          <w:sz w:val="22"/>
          <w:szCs w:val="22"/>
        </w:rPr>
        <w:t>Private</w:t>
      </w:r>
      <w:r>
        <w:rPr>
          <w:rFonts w:ascii="Palatino Linotype" w:hAnsi="Palatino Linotype" w:cstheme="minorHAnsi"/>
          <w:sz w:val="22"/>
          <w:szCs w:val="22"/>
        </w:rPr>
        <w:t xml:space="preserve"> c</w:t>
      </w:r>
      <w:r w:rsidR="003031C7">
        <w:rPr>
          <w:rFonts w:ascii="Palatino Linotype" w:hAnsi="Palatino Linotype" w:cstheme="minorHAnsi"/>
          <w:sz w:val="22"/>
          <w:szCs w:val="22"/>
        </w:rPr>
        <w:t>onsumption, which decreased</w:t>
      </w:r>
      <w:r w:rsidR="00B6148C" w:rsidRPr="00B6148C">
        <w:rPr>
          <w:rFonts w:ascii="Palatino Linotype" w:hAnsi="Palatino Linotype" w:cstheme="minorHAnsi"/>
          <w:sz w:val="22"/>
          <w:szCs w:val="22"/>
        </w:rPr>
        <w:t xml:space="preserve"> </w:t>
      </w:r>
      <w:r w:rsidR="00B6148C">
        <w:rPr>
          <w:rFonts w:ascii="Palatino Linotype" w:hAnsi="Palatino Linotype" w:cstheme="minorHAnsi"/>
          <w:sz w:val="22"/>
          <w:szCs w:val="22"/>
        </w:rPr>
        <w:t xml:space="preserve">by </w:t>
      </w:r>
      <w:r w:rsidR="003031C7">
        <w:rPr>
          <w:rFonts w:ascii="Palatino Linotype" w:hAnsi="Palatino Linotype" w:cstheme="minorHAnsi"/>
          <w:sz w:val="22"/>
          <w:szCs w:val="22"/>
        </w:rPr>
        <w:t>nearly 5 percent in the first</w:t>
      </w:r>
      <w:r w:rsidR="00B6148C" w:rsidRPr="00B6148C">
        <w:rPr>
          <w:rFonts w:ascii="Palatino Linotype" w:hAnsi="Palatino Linotype" w:cstheme="minorHAnsi"/>
          <w:sz w:val="22"/>
          <w:szCs w:val="22"/>
        </w:rPr>
        <w:t xml:space="preserve"> quarter</w:t>
      </w:r>
      <w:r w:rsidR="003031C7">
        <w:rPr>
          <w:rFonts w:ascii="Palatino Linotype" w:hAnsi="Palatino Linotype" w:cstheme="minorHAnsi"/>
          <w:sz w:val="22"/>
          <w:szCs w:val="22"/>
        </w:rPr>
        <w:t xml:space="preserve"> of 2019</w:t>
      </w:r>
      <w:r w:rsidR="00B6148C" w:rsidRPr="00B6148C">
        <w:rPr>
          <w:rFonts w:ascii="Palatino Linotype" w:hAnsi="Palatino Linotype" w:cstheme="minorHAnsi"/>
          <w:sz w:val="22"/>
          <w:szCs w:val="22"/>
        </w:rPr>
        <w:t xml:space="preserve"> compared to the same quarter of the previous year, </w:t>
      </w:r>
      <w:r w:rsidR="003031C7">
        <w:rPr>
          <w:rFonts w:ascii="Palatino Linotype" w:hAnsi="Palatino Linotype" w:cstheme="minorHAnsi"/>
          <w:sz w:val="22"/>
          <w:szCs w:val="22"/>
        </w:rPr>
        <w:t>decreased by 1,1 percent in the second quarter of 2019</w:t>
      </w:r>
      <w:r w:rsidR="00A63696" w:rsidRPr="00A63696">
        <w:rPr>
          <w:rFonts w:ascii="Palatino Linotype" w:hAnsi="Palatino Linotype" w:cstheme="minorHAnsi"/>
          <w:sz w:val="22"/>
          <w:szCs w:val="22"/>
        </w:rPr>
        <w:t>.</w:t>
      </w:r>
      <w:r w:rsidR="00A63696">
        <w:rPr>
          <w:rFonts w:ascii="Palatino Linotype" w:hAnsi="Palatino Linotype" w:cstheme="minorHAnsi"/>
          <w:sz w:val="22"/>
          <w:szCs w:val="22"/>
        </w:rPr>
        <w:t xml:space="preserve"> </w:t>
      </w:r>
      <w:r w:rsidR="003031C7">
        <w:rPr>
          <w:rFonts w:ascii="Palatino Linotype" w:hAnsi="Palatino Linotype" w:cstheme="minorHAnsi"/>
          <w:sz w:val="22"/>
          <w:szCs w:val="22"/>
        </w:rPr>
        <w:t>With slight improvements, i</w:t>
      </w:r>
      <w:r w:rsidR="00381E85">
        <w:rPr>
          <w:rFonts w:ascii="Palatino Linotype" w:hAnsi="Palatino Linotype" w:cstheme="minorHAnsi"/>
          <w:sz w:val="22"/>
          <w:szCs w:val="22"/>
        </w:rPr>
        <w:t>ts</w:t>
      </w:r>
      <w:r w:rsidR="007539A6">
        <w:rPr>
          <w:rFonts w:ascii="Palatino Linotype" w:hAnsi="Palatino Linotype" w:cstheme="minorHAnsi"/>
          <w:sz w:val="22"/>
          <w:szCs w:val="22"/>
        </w:rPr>
        <w:t xml:space="preserve"> c</w:t>
      </w:r>
      <w:r w:rsidR="00B903AE">
        <w:rPr>
          <w:rFonts w:ascii="Palatino Linotype" w:hAnsi="Palatino Linotype" w:cstheme="minorHAnsi"/>
          <w:sz w:val="22"/>
          <w:szCs w:val="22"/>
        </w:rPr>
        <w:t>ontribution</w:t>
      </w:r>
      <w:r w:rsidR="00C65542">
        <w:rPr>
          <w:rFonts w:ascii="Palatino Linotype" w:hAnsi="Palatino Linotype" w:cstheme="minorHAnsi"/>
          <w:sz w:val="22"/>
          <w:szCs w:val="22"/>
        </w:rPr>
        <w:t xml:space="preserve"> to GDP growth </w:t>
      </w:r>
      <w:r w:rsidR="00B6148C">
        <w:rPr>
          <w:rFonts w:ascii="Palatino Linotype" w:hAnsi="Palatino Linotype" w:cstheme="minorHAnsi"/>
          <w:sz w:val="22"/>
          <w:szCs w:val="22"/>
        </w:rPr>
        <w:t xml:space="preserve">decreased from </w:t>
      </w:r>
      <w:r w:rsidR="00103251">
        <w:rPr>
          <w:rFonts w:ascii="Palatino Linotype" w:hAnsi="Palatino Linotype" w:cstheme="minorHAnsi"/>
          <w:sz w:val="22"/>
          <w:szCs w:val="22"/>
        </w:rPr>
        <w:t>minus 2.8</w:t>
      </w:r>
      <w:r w:rsidR="00B6148C">
        <w:rPr>
          <w:rFonts w:ascii="Palatino Linotype" w:hAnsi="Palatino Linotype" w:cstheme="minorHAnsi"/>
          <w:sz w:val="22"/>
          <w:szCs w:val="22"/>
        </w:rPr>
        <w:t xml:space="preserve"> to </w:t>
      </w:r>
      <w:r w:rsidR="00C6420F">
        <w:rPr>
          <w:rFonts w:ascii="Palatino Linotype" w:hAnsi="Palatino Linotype" w:cstheme="minorHAnsi"/>
          <w:sz w:val="22"/>
          <w:szCs w:val="22"/>
        </w:rPr>
        <w:t xml:space="preserve">minus </w:t>
      </w:r>
      <w:r w:rsidR="00103251">
        <w:rPr>
          <w:rFonts w:ascii="Palatino Linotype" w:hAnsi="Palatino Linotype" w:cstheme="minorHAnsi"/>
          <w:sz w:val="22"/>
          <w:szCs w:val="22"/>
        </w:rPr>
        <w:t>0</w:t>
      </w:r>
      <w:r w:rsidR="00B6148C">
        <w:rPr>
          <w:rFonts w:ascii="Palatino Linotype" w:hAnsi="Palatino Linotype" w:cstheme="minorHAnsi"/>
          <w:sz w:val="22"/>
          <w:szCs w:val="22"/>
        </w:rPr>
        <w:t>.</w:t>
      </w:r>
      <w:r w:rsidR="00103251">
        <w:rPr>
          <w:rFonts w:ascii="Palatino Linotype" w:hAnsi="Palatino Linotype" w:cstheme="minorHAnsi"/>
          <w:sz w:val="22"/>
          <w:szCs w:val="22"/>
        </w:rPr>
        <w:t>6</w:t>
      </w:r>
      <w:r w:rsidR="007539A6">
        <w:rPr>
          <w:rFonts w:ascii="Palatino Linotype" w:hAnsi="Palatino Linotype" w:cstheme="minorHAnsi"/>
          <w:sz w:val="22"/>
          <w:szCs w:val="22"/>
        </w:rPr>
        <w:t xml:space="preserve"> percentage points </w:t>
      </w:r>
      <w:r w:rsidR="00C65542" w:rsidRPr="00041E8F">
        <w:rPr>
          <w:rFonts w:ascii="Palatino Linotype" w:hAnsi="Palatino Linotype" w:cstheme="minorHAnsi"/>
          <w:sz w:val="22"/>
          <w:szCs w:val="22"/>
        </w:rPr>
        <w:t>(Table 1)</w:t>
      </w:r>
      <w:r w:rsidR="00C65542">
        <w:rPr>
          <w:rFonts w:ascii="Palatino Linotype" w:hAnsi="Palatino Linotype" w:cstheme="minorHAnsi"/>
          <w:sz w:val="22"/>
          <w:szCs w:val="22"/>
        </w:rPr>
        <w:t>.</w:t>
      </w:r>
      <w:r w:rsidR="00C65542" w:rsidRPr="00982F71">
        <w:rPr>
          <w:rFonts w:ascii="Palatino Linotype" w:hAnsi="Palatino Linotype" w:cstheme="minorHAnsi"/>
          <w:sz w:val="22"/>
          <w:szCs w:val="22"/>
        </w:rPr>
        <w:t xml:space="preserve"> </w:t>
      </w:r>
      <w:r w:rsidR="00C65542">
        <w:rPr>
          <w:rFonts w:ascii="Palatino Linotype" w:hAnsi="Palatino Linotype" w:cstheme="minorHAnsi"/>
          <w:sz w:val="22"/>
          <w:szCs w:val="22"/>
        </w:rPr>
        <w:t>W</w:t>
      </w:r>
      <w:r w:rsidR="00C65542" w:rsidRPr="00982F71">
        <w:rPr>
          <w:rFonts w:ascii="Palatino Linotype" w:hAnsi="Palatino Linotype" w:cstheme="minorHAnsi"/>
          <w:sz w:val="22"/>
          <w:szCs w:val="22"/>
        </w:rPr>
        <w:t xml:space="preserve">hen we look at the </w:t>
      </w:r>
      <w:r w:rsidR="00C65542" w:rsidRPr="007D787D">
        <w:rPr>
          <w:rFonts w:ascii="Palatino Linotype" w:hAnsi="Palatino Linotype" w:cstheme="minorHAnsi"/>
          <w:sz w:val="22"/>
          <w:szCs w:val="22"/>
        </w:rPr>
        <w:t xml:space="preserve">seasonally and calendar day adjusted </w:t>
      </w:r>
      <w:r w:rsidR="00C65542">
        <w:rPr>
          <w:rFonts w:ascii="Palatino Linotype" w:hAnsi="Palatino Linotype" w:cstheme="minorHAnsi"/>
          <w:sz w:val="22"/>
          <w:szCs w:val="22"/>
        </w:rPr>
        <w:t>data,</w:t>
      </w:r>
      <w:r w:rsidR="00C65542" w:rsidRPr="007D787D">
        <w:rPr>
          <w:rFonts w:ascii="Palatino Linotype" w:hAnsi="Palatino Linotype" w:cstheme="minorHAnsi"/>
          <w:sz w:val="22"/>
          <w:szCs w:val="22"/>
        </w:rPr>
        <w:t xml:space="preserve"> </w:t>
      </w:r>
      <w:r w:rsidR="00C65542" w:rsidRPr="00F9263F">
        <w:rPr>
          <w:rFonts w:ascii="Palatino Linotype" w:hAnsi="Palatino Linotype" w:cstheme="minorHAnsi"/>
          <w:sz w:val="22"/>
          <w:szCs w:val="22"/>
        </w:rPr>
        <w:t xml:space="preserve">we see that </w:t>
      </w:r>
      <w:r w:rsidR="00C65542">
        <w:rPr>
          <w:rFonts w:ascii="Palatino Linotype" w:hAnsi="Palatino Linotype" w:cstheme="minorHAnsi"/>
          <w:sz w:val="22"/>
          <w:szCs w:val="22"/>
        </w:rPr>
        <w:t xml:space="preserve">private </w:t>
      </w:r>
      <w:r w:rsidR="00C65542" w:rsidRPr="00F9263F">
        <w:rPr>
          <w:rFonts w:ascii="Palatino Linotype" w:hAnsi="Palatino Linotype" w:cstheme="minorHAnsi"/>
          <w:sz w:val="22"/>
          <w:szCs w:val="22"/>
        </w:rPr>
        <w:t xml:space="preserve">consumption </w:t>
      </w:r>
      <w:r w:rsidR="00103251">
        <w:rPr>
          <w:rFonts w:ascii="Palatino Linotype" w:hAnsi="Palatino Linotype" w:cstheme="minorHAnsi"/>
          <w:sz w:val="22"/>
          <w:szCs w:val="22"/>
        </w:rPr>
        <w:t xml:space="preserve">continues to increase and as well as its contribution </w:t>
      </w:r>
      <w:r w:rsidR="00103251" w:rsidRPr="004920A0">
        <w:rPr>
          <w:rFonts w:ascii="Palatino Linotype" w:hAnsi="Palatino Linotype" w:cstheme="minorHAnsi"/>
          <w:sz w:val="22"/>
          <w:szCs w:val="22"/>
        </w:rPr>
        <w:t>to growth.</w:t>
      </w:r>
      <w:r w:rsidR="00103251">
        <w:rPr>
          <w:rFonts w:ascii="Palatino Linotype" w:hAnsi="Palatino Linotype" w:cstheme="minorHAnsi"/>
          <w:sz w:val="22"/>
          <w:szCs w:val="22"/>
        </w:rPr>
        <w:t xml:space="preserve"> </w:t>
      </w:r>
      <w:r w:rsidR="007159A3">
        <w:rPr>
          <w:rFonts w:ascii="Palatino Linotype" w:hAnsi="Palatino Linotype" w:cstheme="minorHAnsi"/>
          <w:sz w:val="22"/>
          <w:szCs w:val="22"/>
        </w:rPr>
        <w:t>While its contribution to growth rate was 0,8 in the first quarter, it reached 1,7 percent point in the second quarter</w:t>
      </w:r>
      <w:r w:rsidR="00831515">
        <w:rPr>
          <w:rFonts w:ascii="Palatino Linotype" w:hAnsi="Palatino Linotype" w:cstheme="minorHAnsi"/>
          <w:sz w:val="22"/>
          <w:szCs w:val="22"/>
        </w:rPr>
        <w:t xml:space="preserve"> </w:t>
      </w:r>
      <w:r w:rsidR="00C65542" w:rsidRPr="007D787D">
        <w:rPr>
          <w:rFonts w:ascii="Palatino Linotype" w:hAnsi="Palatino Linotype" w:cstheme="minorHAnsi"/>
          <w:sz w:val="22"/>
          <w:szCs w:val="22"/>
        </w:rPr>
        <w:t xml:space="preserve">(Table 2). </w:t>
      </w:r>
    </w:p>
    <w:p w14:paraId="0F242608" w14:textId="77777777" w:rsidR="00835AF0" w:rsidRDefault="00835AF0" w:rsidP="007539A6">
      <w:pPr>
        <w:keepNext/>
        <w:ind w:right="77"/>
        <w:jc w:val="both"/>
        <w:rPr>
          <w:rFonts w:ascii="Palatino Linotype" w:hAnsi="Palatino Linotype" w:cstheme="minorHAnsi"/>
          <w:sz w:val="18"/>
          <w:szCs w:val="18"/>
        </w:rPr>
      </w:pPr>
    </w:p>
    <w:p w14:paraId="54782745" w14:textId="552B6AED" w:rsidR="007539A6" w:rsidRDefault="007539A6" w:rsidP="00BF4E41">
      <w:pPr>
        <w:keepNext/>
        <w:ind w:right="79"/>
        <w:jc w:val="both"/>
        <w:rPr>
          <w:rFonts w:ascii="Palatino Linotype" w:hAnsi="Palatino Linotype" w:cstheme="minorHAnsi"/>
          <w:b/>
          <w:bCs/>
          <w:sz w:val="22"/>
          <w:szCs w:val="22"/>
        </w:rPr>
      </w:pPr>
      <w:r w:rsidRPr="00924CD9">
        <w:rPr>
          <w:rFonts w:ascii="Palatino Linotype" w:hAnsi="Palatino Linotype" w:cstheme="minorHAnsi"/>
          <w:b/>
          <w:bCs/>
          <w:sz w:val="22"/>
          <w:szCs w:val="22"/>
        </w:rPr>
        <w:t>T</w:t>
      </w:r>
      <w:r>
        <w:rPr>
          <w:rFonts w:ascii="Palatino Linotype" w:hAnsi="Palatino Linotype" w:cstheme="minorHAnsi"/>
          <w:b/>
          <w:bCs/>
          <w:sz w:val="22"/>
          <w:szCs w:val="22"/>
        </w:rPr>
        <w:t>able</w:t>
      </w:r>
      <w:r w:rsidRPr="00924CD9">
        <w:rPr>
          <w:rFonts w:ascii="Palatino Linotype" w:hAnsi="Palatino Linotype" w:cstheme="minorHAnsi"/>
          <w:b/>
          <w:bCs/>
          <w:sz w:val="22"/>
          <w:szCs w:val="22"/>
        </w:rPr>
        <w:t xml:space="preserve"> 1: </w:t>
      </w:r>
      <w:r>
        <w:rPr>
          <w:rFonts w:ascii="Palatino Linotype" w:hAnsi="Palatino Linotype" w:cstheme="minorHAnsi"/>
          <w:b/>
          <w:bCs/>
          <w:sz w:val="22"/>
          <w:szCs w:val="22"/>
        </w:rPr>
        <w:t>Growth rates and contributions to gro</w:t>
      </w:r>
      <w:r w:rsidR="00835AF0">
        <w:rPr>
          <w:rFonts w:ascii="Palatino Linotype" w:hAnsi="Palatino Linotype" w:cstheme="minorHAnsi"/>
          <w:b/>
          <w:bCs/>
          <w:sz w:val="22"/>
          <w:szCs w:val="22"/>
        </w:rPr>
        <w:t>wth of GDP components in 2019 Q1 and 2019 Q2</w:t>
      </w:r>
      <w:r>
        <w:rPr>
          <w:rFonts w:ascii="Palatino Linotype" w:hAnsi="Palatino Linotype" w:cstheme="minorHAnsi"/>
          <w:b/>
          <w:bCs/>
          <w:sz w:val="22"/>
          <w:szCs w:val="22"/>
        </w:rPr>
        <w:t xml:space="preserve"> compared to same quarter of last year</w:t>
      </w:r>
    </w:p>
    <w:p w14:paraId="7DB1F7FC" w14:textId="77777777" w:rsidR="00BF4E41" w:rsidRDefault="00BF4E41" w:rsidP="007539A6">
      <w:pPr>
        <w:keepNext/>
        <w:ind w:right="77"/>
        <w:jc w:val="both"/>
        <w:rPr>
          <w:rFonts w:ascii="Palatino Linotype" w:hAnsi="Palatino Linotype" w:cstheme="minorHAnsi"/>
          <w:b/>
          <w:bCs/>
          <w:sz w:val="22"/>
          <w:szCs w:val="22"/>
        </w:rPr>
      </w:pPr>
    </w:p>
    <w:tbl>
      <w:tblPr>
        <w:tblW w:w="7620" w:type="dxa"/>
        <w:tblCellMar>
          <w:left w:w="0" w:type="dxa"/>
          <w:right w:w="0" w:type="dxa"/>
        </w:tblCellMar>
        <w:tblLook w:val="04A0" w:firstRow="1" w:lastRow="0" w:firstColumn="1" w:lastColumn="0" w:noHBand="0" w:noVBand="1"/>
      </w:tblPr>
      <w:tblGrid>
        <w:gridCol w:w="1893"/>
        <w:gridCol w:w="1252"/>
        <w:gridCol w:w="1828"/>
        <w:gridCol w:w="1243"/>
        <w:gridCol w:w="1817"/>
      </w:tblGrid>
      <w:tr w:rsidR="00835AF0" w14:paraId="35F89F79" w14:textId="77777777" w:rsidTr="00835AF0">
        <w:trPr>
          <w:trHeight w:val="282"/>
        </w:trPr>
        <w:tc>
          <w:tcPr>
            <w:tcW w:w="148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7647F219" w14:textId="77777777" w:rsidR="00835AF0" w:rsidRDefault="00835AF0">
            <w:pPr>
              <w:rPr>
                <w:rFonts w:ascii="Calibri" w:hAnsi="Calibri" w:cs="Calibri"/>
                <w:b/>
                <w:bCs/>
                <w:color w:val="000000"/>
                <w:sz w:val="20"/>
                <w:szCs w:val="20"/>
                <w:lang w:eastAsia="en-GB"/>
              </w:rPr>
            </w:pPr>
            <w:r>
              <w:rPr>
                <w:rFonts w:ascii="Calibri" w:hAnsi="Calibri" w:cs="Calibri"/>
                <w:b/>
                <w:bCs/>
                <w:color w:val="000000"/>
                <w:sz w:val="20"/>
                <w:szCs w:val="20"/>
              </w:rPr>
              <w:t> </w:t>
            </w:r>
          </w:p>
        </w:tc>
        <w:tc>
          <w:tcPr>
            <w:tcW w:w="3080" w:type="dxa"/>
            <w:gridSpan w:val="2"/>
            <w:tcBorders>
              <w:top w:val="single" w:sz="4" w:space="0" w:color="auto"/>
              <w:left w:val="single" w:sz="4" w:space="0" w:color="auto"/>
              <w:bottom w:val="single" w:sz="4" w:space="0" w:color="auto"/>
              <w:right w:val="single" w:sz="4" w:space="0" w:color="000000"/>
            </w:tcBorders>
            <w:shd w:val="clear" w:color="000000" w:fill="FFFFFF"/>
            <w:noWrap/>
            <w:tcMar>
              <w:top w:w="15" w:type="dxa"/>
              <w:left w:w="15" w:type="dxa"/>
              <w:bottom w:w="0" w:type="dxa"/>
              <w:right w:w="15" w:type="dxa"/>
            </w:tcMar>
            <w:vAlign w:val="bottom"/>
            <w:hideMark/>
          </w:tcPr>
          <w:p w14:paraId="411F9A86" w14:textId="77777777" w:rsidR="00835AF0" w:rsidRDefault="00835AF0">
            <w:pPr>
              <w:jc w:val="center"/>
              <w:rPr>
                <w:rFonts w:ascii="Calibri" w:hAnsi="Calibri" w:cs="Calibri"/>
                <w:b/>
                <w:bCs/>
                <w:color w:val="000000"/>
                <w:sz w:val="20"/>
                <w:szCs w:val="20"/>
              </w:rPr>
            </w:pPr>
            <w:r>
              <w:rPr>
                <w:rFonts w:ascii="Calibri" w:hAnsi="Calibri" w:cs="Calibri"/>
                <w:b/>
                <w:bCs/>
                <w:color w:val="000000"/>
                <w:sz w:val="20"/>
                <w:szCs w:val="20"/>
              </w:rPr>
              <w:t>2019Q1</w:t>
            </w:r>
          </w:p>
        </w:tc>
        <w:tc>
          <w:tcPr>
            <w:tcW w:w="3060" w:type="dxa"/>
            <w:gridSpan w:val="2"/>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bottom"/>
            <w:hideMark/>
          </w:tcPr>
          <w:p w14:paraId="7477E0D1" w14:textId="77777777" w:rsidR="00835AF0" w:rsidRDefault="00835AF0">
            <w:pPr>
              <w:jc w:val="center"/>
              <w:rPr>
                <w:rFonts w:ascii="Calibri" w:hAnsi="Calibri" w:cs="Calibri"/>
                <w:b/>
                <w:bCs/>
                <w:color w:val="000000"/>
                <w:sz w:val="20"/>
                <w:szCs w:val="20"/>
              </w:rPr>
            </w:pPr>
            <w:r>
              <w:rPr>
                <w:rFonts w:ascii="Calibri" w:hAnsi="Calibri" w:cs="Calibri"/>
                <w:b/>
                <w:bCs/>
                <w:color w:val="000000"/>
                <w:sz w:val="20"/>
                <w:szCs w:val="20"/>
              </w:rPr>
              <w:t>2019Q2</w:t>
            </w:r>
          </w:p>
        </w:tc>
      </w:tr>
      <w:tr w:rsidR="00835AF0" w14:paraId="3299DCD3" w14:textId="77777777" w:rsidTr="00835AF0">
        <w:trPr>
          <w:trHeight w:val="282"/>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E0AAE04" w14:textId="77777777" w:rsidR="00835AF0" w:rsidRDefault="00835AF0">
            <w:pPr>
              <w:rPr>
                <w:rFonts w:ascii="Calibri" w:hAnsi="Calibri" w:cs="Calibri"/>
                <w:b/>
                <w:bCs/>
                <w:color w:val="000000"/>
                <w:sz w:val="20"/>
                <w:szCs w:val="20"/>
              </w:rPr>
            </w:pPr>
            <w:r>
              <w:rPr>
                <w:rFonts w:ascii="Calibri" w:hAnsi="Calibri" w:cs="Calibri"/>
                <w:b/>
                <w:bCs/>
                <w:color w:val="000000"/>
                <w:sz w:val="20"/>
                <w:szCs w:val="20"/>
              </w:rPr>
              <w:t> </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hideMark/>
          </w:tcPr>
          <w:p w14:paraId="1AC286C1" w14:textId="77777777" w:rsidR="00835AF0" w:rsidRDefault="00835AF0">
            <w:pPr>
              <w:jc w:val="center"/>
              <w:rPr>
                <w:rFonts w:ascii="Calibri" w:hAnsi="Calibri" w:cs="Calibri"/>
                <w:b/>
                <w:bCs/>
                <w:color w:val="000000"/>
                <w:sz w:val="20"/>
                <w:szCs w:val="20"/>
              </w:rPr>
            </w:pPr>
            <w:r>
              <w:rPr>
                <w:rFonts w:ascii="Calibri" w:hAnsi="Calibri" w:cs="Calibri"/>
                <w:b/>
                <w:bCs/>
                <w:color w:val="000000"/>
                <w:sz w:val="20"/>
                <w:szCs w:val="20"/>
              </w:rPr>
              <w:t>Change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33B84F8A" w14:textId="77777777" w:rsidR="00835AF0" w:rsidRDefault="00835AF0">
            <w:pPr>
              <w:jc w:val="center"/>
              <w:rPr>
                <w:rFonts w:ascii="Calibri" w:hAnsi="Calibri" w:cs="Calibri"/>
                <w:b/>
                <w:bCs/>
                <w:color w:val="000000"/>
                <w:sz w:val="20"/>
                <w:szCs w:val="20"/>
              </w:rPr>
            </w:pPr>
            <w:r>
              <w:rPr>
                <w:rFonts w:ascii="Calibri" w:hAnsi="Calibri" w:cs="Calibri"/>
                <w:b/>
                <w:bCs/>
                <w:color w:val="000000"/>
                <w:sz w:val="20"/>
                <w:szCs w:val="20"/>
              </w:rPr>
              <w:t>Contribution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0D0282A" w14:textId="77777777" w:rsidR="00835AF0" w:rsidRDefault="00835AF0">
            <w:pPr>
              <w:jc w:val="center"/>
              <w:rPr>
                <w:rFonts w:ascii="Calibri" w:hAnsi="Calibri" w:cs="Calibri"/>
                <w:b/>
                <w:bCs/>
                <w:color w:val="000000"/>
                <w:sz w:val="20"/>
                <w:szCs w:val="20"/>
              </w:rPr>
            </w:pPr>
            <w:r>
              <w:rPr>
                <w:rFonts w:ascii="Calibri" w:hAnsi="Calibri" w:cs="Calibri"/>
                <w:b/>
                <w:bCs/>
                <w:color w:val="000000"/>
                <w:sz w:val="20"/>
                <w:szCs w:val="20"/>
              </w:rPr>
              <w:t>Change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CA1B498" w14:textId="77777777" w:rsidR="00835AF0" w:rsidRDefault="00835AF0">
            <w:pPr>
              <w:jc w:val="center"/>
              <w:rPr>
                <w:rFonts w:ascii="Calibri" w:hAnsi="Calibri" w:cs="Calibri"/>
                <w:b/>
                <w:bCs/>
                <w:color w:val="000000"/>
                <w:sz w:val="20"/>
                <w:szCs w:val="20"/>
              </w:rPr>
            </w:pPr>
            <w:r>
              <w:rPr>
                <w:rFonts w:ascii="Calibri" w:hAnsi="Calibri" w:cs="Calibri"/>
                <w:b/>
                <w:bCs/>
                <w:color w:val="000000"/>
                <w:sz w:val="20"/>
                <w:szCs w:val="20"/>
              </w:rPr>
              <w:t>Contribution (%)</w:t>
            </w:r>
          </w:p>
        </w:tc>
      </w:tr>
      <w:tr w:rsidR="00835AF0" w14:paraId="273DA3C5" w14:textId="77777777" w:rsidTr="00835AF0">
        <w:trPr>
          <w:trHeight w:val="282"/>
        </w:trPr>
        <w:tc>
          <w:tcPr>
            <w:tcW w:w="0" w:type="auto"/>
            <w:tcBorders>
              <w:top w:val="single" w:sz="4" w:space="0" w:color="auto"/>
              <w:left w:val="nil"/>
              <w:bottom w:val="nil"/>
              <w:right w:val="nil"/>
            </w:tcBorders>
            <w:shd w:val="clear" w:color="000000" w:fill="FFFFFF"/>
            <w:noWrap/>
            <w:tcMar>
              <w:top w:w="15" w:type="dxa"/>
              <w:left w:w="15" w:type="dxa"/>
              <w:bottom w:w="0" w:type="dxa"/>
              <w:right w:w="15" w:type="dxa"/>
            </w:tcMar>
            <w:vAlign w:val="bottom"/>
            <w:hideMark/>
          </w:tcPr>
          <w:p w14:paraId="53B94791" w14:textId="77777777" w:rsidR="00835AF0" w:rsidRDefault="00835AF0">
            <w:pPr>
              <w:rPr>
                <w:rFonts w:ascii="Calibri" w:hAnsi="Calibri" w:cs="Calibri"/>
                <w:b/>
                <w:bCs/>
                <w:color w:val="000000"/>
                <w:sz w:val="20"/>
                <w:szCs w:val="20"/>
              </w:rPr>
            </w:pPr>
            <w:r>
              <w:rPr>
                <w:rFonts w:ascii="Calibri" w:hAnsi="Calibri" w:cs="Calibri"/>
                <w:b/>
                <w:bCs/>
                <w:color w:val="000000"/>
                <w:sz w:val="20"/>
                <w:szCs w:val="20"/>
              </w:rPr>
              <w:t>Consumption</w:t>
            </w: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14:paraId="05FB795E"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-4.8</w:t>
            </w:r>
          </w:p>
        </w:tc>
        <w:tc>
          <w:tcPr>
            <w:tcW w:w="0" w:type="auto"/>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bottom"/>
            <w:hideMark/>
          </w:tcPr>
          <w:p w14:paraId="1B6BD003"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-2.8</w:t>
            </w:r>
          </w:p>
        </w:tc>
        <w:tc>
          <w:tcPr>
            <w:tcW w:w="0" w:type="auto"/>
            <w:tcBorders>
              <w:top w:val="single" w:sz="4" w:space="0" w:color="auto"/>
              <w:left w:val="nil"/>
              <w:bottom w:val="nil"/>
              <w:right w:val="nil"/>
            </w:tcBorders>
            <w:shd w:val="clear" w:color="000000" w:fill="FFFFFF"/>
            <w:noWrap/>
            <w:tcMar>
              <w:top w:w="15" w:type="dxa"/>
              <w:left w:w="15" w:type="dxa"/>
              <w:bottom w:w="0" w:type="dxa"/>
              <w:right w:w="15" w:type="dxa"/>
            </w:tcMar>
            <w:vAlign w:val="bottom"/>
            <w:hideMark/>
          </w:tcPr>
          <w:p w14:paraId="1217B3CC"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-1.1</w:t>
            </w:r>
          </w:p>
        </w:tc>
        <w:tc>
          <w:tcPr>
            <w:tcW w:w="0" w:type="auto"/>
            <w:tcBorders>
              <w:top w:val="single" w:sz="4" w:space="0" w:color="auto"/>
              <w:left w:val="nil"/>
              <w:bottom w:val="nil"/>
              <w:right w:val="nil"/>
            </w:tcBorders>
            <w:shd w:val="clear" w:color="000000" w:fill="FFFFFF"/>
            <w:noWrap/>
            <w:tcMar>
              <w:top w:w="15" w:type="dxa"/>
              <w:left w:w="15" w:type="dxa"/>
              <w:bottom w:w="0" w:type="dxa"/>
              <w:right w:w="15" w:type="dxa"/>
            </w:tcMar>
            <w:vAlign w:val="bottom"/>
            <w:hideMark/>
          </w:tcPr>
          <w:p w14:paraId="32594F22"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-0.6</w:t>
            </w:r>
          </w:p>
        </w:tc>
      </w:tr>
      <w:tr w:rsidR="00835AF0" w14:paraId="116E9367" w14:textId="77777777" w:rsidTr="00835AF0">
        <w:trPr>
          <w:trHeight w:val="282"/>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2C07CEF" w14:textId="77777777" w:rsidR="00835AF0" w:rsidRDefault="00835AF0">
            <w:pPr>
              <w:rPr>
                <w:rFonts w:ascii="Calibri" w:hAnsi="Calibri" w:cs="Calibri"/>
                <w:b/>
                <w:bCs/>
                <w:color w:val="000000"/>
                <w:sz w:val="20"/>
                <w:szCs w:val="20"/>
              </w:rPr>
            </w:pPr>
            <w:r>
              <w:rPr>
                <w:rFonts w:ascii="Calibri" w:hAnsi="Calibri" w:cs="Calibri"/>
                <w:b/>
                <w:bCs/>
                <w:color w:val="000000"/>
                <w:sz w:val="20"/>
                <w:szCs w:val="20"/>
              </w:rPr>
              <w:t>Government Spending</w:t>
            </w: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14:paraId="2D85916D"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6.6</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7828C9B4"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1.0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FCEFDB1"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3.3</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2E76084"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0.5</w:t>
            </w:r>
          </w:p>
        </w:tc>
      </w:tr>
      <w:tr w:rsidR="00835AF0" w14:paraId="5796095E" w14:textId="77777777" w:rsidTr="00835AF0">
        <w:trPr>
          <w:trHeight w:val="282"/>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A199C06" w14:textId="77777777" w:rsidR="00835AF0" w:rsidRDefault="00835AF0">
            <w:pPr>
              <w:rPr>
                <w:rFonts w:ascii="Calibri" w:hAnsi="Calibri" w:cs="Calibri"/>
                <w:b/>
                <w:bCs/>
                <w:color w:val="000000"/>
                <w:sz w:val="20"/>
                <w:szCs w:val="20"/>
              </w:rPr>
            </w:pPr>
            <w:r>
              <w:rPr>
                <w:rFonts w:ascii="Calibri" w:hAnsi="Calibri" w:cs="Calibri"/>
                <w:b/>
                <w:bCs/>
                <w:color w:val="000000"/>
                <w:sz w:val="20"/>
                <w:szCs w:val="20"/>
              </w:rPr>
              <w:t>Investment</w:t>
            </w: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14:paraId="23838892"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-12.4</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081AFC38"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-3.8</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E4AA625"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-22.8</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0D49CF3"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-7.3</w:t>
            </w:r>
          </w:p>
        </w:tc>
      </w:tr>
      <w:tr w:rsidR="00835AF0" w14:paraId="3A76CF3A" w14:textId="77777777" w:rsidTr="00835AF0">
        <w:trPr>
          <w:trHeight w:val="282"/>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1F234FD" w14:textId="77777777" w:rsidR="00835AF0" w:rsidRDefault="00835AF0">
            <w:pPr>
              <w:rPr>
                <w:rFonts w:ascii="Calibri" w:hAnsi="Calibri" w:cs="Calibri"/>
                <w:b/>
                <w:bCs/>
                <w:color w:val="000000"/>
                <w:sz w:val="20"/>
                <w:szCs w:val="20"/>
              </w:rPr>
            </w:pPr>
            <w:r>
              <w:rPr>
                <w:rFonts w:ascii="Calibri" w:hAnsi="Calibri" w:cs="Calibri"/>
                <w:b/>
                <w:bCs/>
                <w:color w:val="000000"/>
                <w:sz w:val="20"/>
                <w:szCs w:val="20"/>
              </w:rPr>
              <w:t>Change in Stock</w:t>
            </w: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14:paraId="33E79F95"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57E1F084"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-8.8</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1D4EC8B"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0835C40"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-1.5</w:t>
            </w:r>
          </w:p>
        </w:tc>
      </w:tr>
      <w:tr w:rsidR="00835AF0" w14:paraId="340572EB" w14:textId="77777777" w:rsidTr="00835AF0">
        <w:trPr>
          <w:trHeight w:val="282"/>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AF8C4F3" w14:textId="77777777" w:rsidR="00835AF0" w:rsidRDefault="00835AF0">
            <w:pPr>
              <w:rPr>
                <w:rFonts w:ascii="Calibri" w:hAnsi="Calibri" w:cs="Calibri"/>
                <w:b/>
                <w:bCs/>
                <w:color w:val="000000"/>
                <w:sz w:val="20"/>
                <w:szCs w:val="20"/>
              </w:rPr>
            </w:pPr>
            <w:r>
              <w:rPr>
                <w:rFonts w:ascii="Calibri" w:hAnsi="Calibri" w:cs="Calibri"/>
                <w:b/>
                <w:bCs/>
                <w:color w:val="000000"/>
                <w:sz w:val="20"/>
                <w:szCs w:val="20"/>
              </w:rPr>
              <w:t>Export</w:t>
            </w: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14:paraId="34A89929"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9.2</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43088F8A"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2.5</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A776C36"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8.1</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27F2D9C"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2.2</w:t>
            </w:r>
          </w:p>
        </w:tc>
      </w:tr>
      <w:tr w:rsidR="00835AF0" w14:paraId="2B055CDA" w14:textId="77777777" w:rsidTr="00835AF0">
        <w:trPr>
          <w:trHeight w:val="282"/>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0167285" w14:textId="77777777" w:rsidR="00835AF0" w:rsidRDefault="00835AF0">
            <w:pPr>
              <w:rPr>
                <w:rFonts w:ascii="Calibri" w:hAnsi="Calibri" w:cs="Calibri"/>
                <w:b/>
                <w:bCs/>
                <w:color w:val="000000"/>
                <w:sz w:val="20"/>
                <w:szCs w:val="20"/>
              </w:rPr>
            </w:pPr>
            <w:r>
              <w:rPr>
                <w:rFonts w:ascii="Calibri" w:hAnsi="Calibri" w:cs="Calibri"/>
                <w:b/>
                <w:bCs/>
                <w:color w:val="000000"/>
                <w:sz w:val="20"/>
                <w:szCs w:val="20"/>
              </w:rPr>
              <w:t>Import</w:t>
            </w: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14:paraId="0834274B"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-28.9</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53D42CF4"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9.7</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DCD7C23"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-16.9</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F2008FC"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5.2</w:t>
            </w:r>
          </w:p>
        </w:tc>
      </w:tr>
      <w:tr w:rsidR="00835AF0" w14:paraId="71526B59" w14:textId="77777777" w:rsidTr="00835AF0">
        <w:trPr>
          <w:trHeight w:val="315"/>
        </w:trPr>
        <w:tc>
          <w:tcPr>
            <w:tcW w:w="0" w:type="auto"/>
            <w:tcBorders>
              <w:top w:val="nil"/>
              <w:left w:val="nil"/>
              <w:bottom w:val="double" w:sz="6" w:space="0" w:color="auto"/>
              <w:right w:val="nil"/>
            </w:tcBorders>
            <w:shd w:val="clear" w:color="000000" w:fill="FFFFFF"/>
            <w:noWrap/>
            <w:tcMar>
              <w:top w:w="15" w:type="dxa"/>
              <w:left w:w="15" w:type="dxa"/>
              <w:bottom w:w="0" w:type="dxa"/>
              <w:right w:w="15" w:type="dxa"/>
            </w:tcMar>
            <w:vAlign w:val="bottom"/>
            <w:hideMark/>
          </w:tcPr>
          <w:p w14:paraId="07C7DE9B" w14:textId="77777777" w:rsidR="00835AF0" w:rsidRDefault="00835AF0">
            <w:pPr>
              <w:rPr>
                <w:rFonts w:ascii="Calibri" w:hAnsi="Calibri" w:cs="Calibri"/>
                <w:b/>
                <w:bCs/>
                <w:color w:val="000000"/>
                <w:sz w:val="20"/>
                <w:szCs w:val="20"/>
              </w:rPr>
            </w:pPr>
            <w:r>
              <w:rPr>
                <w:rFonts w:ascii="Calibri" w:hAnsi="Calibri" w:cs="Calibri"/>
                <w:b/>
                <w:bCs/>
                <w:color w:val="000000"/>
                <w:sz w:val="20"/>
                <w:szCs w:val="20"/>
              </w:rPr>
              <w:t>GDP</w:t>
            </w:r>
          </w:p>
        </w:tc>
        <w:tc>
          <w:tcPr>
            <w:tcW w:w="0" w:type="auto"/>
            <w:tcBorders>
              <w:top w:val="nil"/>
              <w:left w:val="single" w:sz="4" w:space="0" w:color="auto"/>
              <w:bottom w:val="double" w:sz="6" w:space="0" w:color="auto"/>
              <w:right w:val="nil"/>
            </w:tcBorders>
            <w:shd w:val="clear" w:color="000000" w:fill="FFFFFF"/>
            <w:noWrap/>
            <w:tcMar>
              <w:top w:w="15" w:type="dxa"/>
              <w:left w:w="15" w:type="dxa"/>
              <w:bottom w:w="0" w:type="dxa"/>
              <w:right w:w="15" w:type="dxa"/>
            </w:tcMar>
            <w:vAlign w:val="bottom"/>
            <w:hideMark/>
          </w:tcPr>
          <w:p w14:paraId="19B397C2"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-2.4</w:t>
            </w:r>
          </w:p>
        </w:tc>
        <w:tc>
          <w:tcPr>
            <w:tcW w:w="0" w:type="auto"/>
            <w:tcBorders>
              <w:top w:val="nil"/>
              <w:left w:val="nil"/>
              <w:bottom w:val="double" w:sz="6" w:space="0" w:color="auto"/>
              <w:right w:val="single" w:sz="4" w:space="0" w:color="auto"/>
            </w:tcBorders>
            <w:shd w:val="clear" w:color="000000" w:fill="FFFFFF"/>
            <w:noWrap/>
            <w:tcMar>
              <w:top w:w="15" w:type="dxa"/>
              <w:left w:w="15" w:type="dxa"/>
              <w:bottom w:w="0" w:type="dxa"/>
              <w:right w:w="15" w:type="dxa"/>
            </w:tcMar>
            <w:vAlign w:val="bottom"/>
            <w:hideMark/>
          </w:tcPr>
          <w:p w14:paraId="19D1B0D7"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double" w:sz="6" w:space="0" w:color="auto"/>
              <w:right w:val="nil"/>
            </w:tcBorders>
            <w:shd w:val="clear" w:color="000000" w:fill="FFFFFF"/>
            <w:noWrap/>
            <w:tcMar>
              <w:top w:w="15" w:type="dxa"/>
              <w:left w:w="15" w:type="dxa"/>
              <w:bottom w:w="0" w:type="dxa"/>
              <w:right w:w="15" w:type="dxa"/>
            </w:tcMar>
            <w:vAlign w:val="bottom"/>
            <w:hideMark/>
          </w:tcPr>
          <w:p w14:paraId="1C79E6E6"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-1.5</w:t>
            </w:r>
          </w:p>
        </w:tc>
        <w:tc>
          <w:tcPr>
            <w:tcW w:w="0" w:type="auto"/>
            <w:tcBorders>
              <w:top w:val="nil"/>
              <w:left w:val="nil"/>
              <w:bottom w:val="double" w:sz="6" w:space="0" w:color="auto"/>
              <w:right w:val="nil"/>
            </w:tcBorders>
            <w:shd w:val="clear" w:color="000000" w:fill="FFFFFF"/>
            <w:noWrap/>
            <w:tcMar>
              <w:top w:w="15" w:type="dxa"/>
              <w:left w:w="15" w:type="dxa"/>
              <w:bottom w:w="0" w:type="dxa"/>
              <w:right w:w="15" w:type="dxa"/>
            </w:tcMar>
            <w:vAlign w:val="bottom"/>
            <w:hideMark/>
          </w:tcPr>
          <w:p w14:paraId="0B9BC147" w14:textId="77777777" w:rsidR="00835AF0" w:rsidRDefault="00835AF0">
            <w:pPr>
              <w:jc w:val="center"/>
              <w:rPr>
                <w:rFonts w:ascii="Calibri" w:hAnsi="Calibri" w:cs="Calibri"/>
                <w:color w:val="000000"/>
                <w:sz w:val="20"/>
                <w:szCs w:val="20"/>
              </w:rPr>
            </w:pPr>
            <w:r>
              <w:rPr>
                <w:rFonts w:ascii="Calibri" w:hAnsi="Calibri" w:cs="Calibri"/>
                <w:color w:val="000000"/>
                <w:sz w:val="20"/>
                <w:szCs w:val="20"/>
              </w:rPr>
              <w:t> </w:t>
            </w:r>
          </w:p>
        </w:tc>
      </w:tr>
    </w:tbl>
    <w:p w14:paraId="60A51B07" w14:textId="01ED3C22" w:rsidR="007539A6" w:rsidRDefault="00835AF0" w:rsidP="007539A6">
      <w:pPr>
        <w:rPr>
          <w:rFonts w:ascii="Palatino Linotype" w:hAnsi="Palatino Linotype" w:cstheme="minorHAnsi"/>
          <w:sz w:val="18"/>
          <w:szCs w:val="18"/>
        </w:rPr>
      </w:pPr>
      <w:r>
        <w:rPr>
          <w:rFonts w:ascii="Palatino Linotype" w:hAnsi="Palatino Linotype" w:cstheme="minorHAnsi"/>
          <w:b/>
          <w:sz w:val="18"/>
          <w:szCs w:val="18"/>
        </w:rPr>
        <w:t xml:space="preserve"> </w:t>
      </w:r>
      <w:r w:rsidR="007539A6">
        <w:rPr>
          <w:rFonts w:ascii="Palatino Linotype" w:hAnsi="Palatino Linotype" w:cstheme="minorHAnsi"/>
          <w:b/>
          <w:sz w:val="18"/>
          <w:szCs w:val="18"/>
        </w:rPr>
        <w:t>S</w:t>
      </w:r>
      <w:r w:rsidR="007539A6" w:rsidRPr="007D787D">
        <w:rPr>
          <w:rFonts w:ascii="Palatino Linotype" w:hAnsi="Palatino Linotype" w:cstheme="minorHAnsi"/>
          <w:b/>
          <w:sz w:val="18"/>
          <w:szCs w:val="18"/>
        </w:rPr>
        <w:t>ource:</w:t>
      </w:r>
      <w:r w:rsidR="007539A6">
        <w:rPr>
          <w:rFonts w:ascii="Palatino Linotype" w:hAnsi="Palatino Linotype" w:cstheme="minorHAnsi"/>
          <w:sz w:val="18"/>
          <w:szCs w:val="18"/>
        </w:rPr>
        <w:t xml:space="preserve"> </w:t>
      </w:r>
      <w:proofErr w:type="spellStart"/>
      <w:r w:rsidR="007539A6">
        <w:rPr>
          <w:rFonts w:ascii="Palatino Linotype" w:hAnsi="Palatino Linotype" w:cstheme="minorHAnsi"/>
          <w:sz w:val="18"/>
          <w:szCs w:val="18"/>
        </w:rPr>
        <w:t>TurkStat</w:t>
      </w:r>
      <w:proofErr w:type="spellEnd"/>
      <w:r w:rsidR="007539A6">
        <w:rPr>
          <w:rFonts w:ascii="Palatino Linotype" w:hAnsi="Palatino Linotype" w:cstheme="minorHAnsi"/>
          <w:sz w:val="18"/>
          <w:szCs w:val="18"/>
        </w:rPr>
        <w:t xml:space="preserve">, </w:t>
      </w:r>
      <w:proofErr w:type="spellStart"/>
      <w:r w:rsidR="007539A6">
        <w:rPr>
          <w:rFonts w:ascii="Palatino Linotype" w:hAnsi="Palatino Linotype" w:cstheme="minorHAnsi"/>
          <w:sz w:val="18"/>
          <w:szCs w:val="18"/>
        </w:rPr>
        <w:t>Betam</w:t>
      </w:r>
      <w:proofErr w:type="spellEnd"/>
    </w:p>
    <w:p w14:paraId="390AC5DE" w14:textId="77777777" w:rsidR="007539A6" w:rsidRDefault="007539A6" w:rsidP="007539A6">
      <w:pPr>
        <w:rPr>
          <w:rFonts w:ascii="Palatino Linotype" w:hAnsi="Palatino Linotype" w:cstheme="minorHAnsi"/>
          <w:sz w:val="18"/>
          <w:szCs w:val="18"/>
        </w:rPr>
      </w:pPr>
    </w:p>
    <w:p w14:paraId="2FF0D0F5" w14:textId="77777777" w:rsidR="00515940" w:rsidRDefault="00515940" w:rsidP="007539A6">
      <w:pPr>
        <w:ind w:right="77"/>
        <w:jc w:val="both"/>
        <w:rPr>
          <w:rFonts w:ascii="Palatino Linotype" w:hAnsi="Palatino Linotype" w:cstheme="minorHAnsi"/>
          <w:b/>
          <w:bCs/>
          <w:sz w:val="22"/>
          <w:szCs w:val="22"/>
        </w:rPr>
      </w:pPr>
    </w:p>
    <w:p w14:paraId="75710D4B" w14:textId="77777777" w:rsidR="00515940" w:rsidRDefault="00515940" w:rsidP="007539A6">
      <w:pPr>
        <w:ind w:right="77"/>
        <w:jc w:val="both"/>
        <w:rPr>
          <w:rFonts w:ascii="Palatino Linotype" w:hAnsi="Palatino Linotype" w:cstheme="minorHAnsi"/>
          <w:b/>
          <w:bCs/>
          <w:sz w:val="22"/>
          <w:szCs w:val="22"/>
        </w:rPr>
      </w:pPr>
    </w:p>
    <w:p w14:paraId="692E845A" w14:textId="77777777" w:rsidR="00515940" w:rsidRDefault="00515940" w:rsidP="007539A6">
      <w:pPr>
        <w:ind w:right="77"/>
        <w:jc w:val="both"/>
        <w:rPr>
          <w:rFonts w:ascii="Palatino Linotype" w:hAnsi="Palatino Linotype" w:cstheme="minorHAnsi"/>
          <w:b/>
          <w:bCs/>
          <w:sz w:val="22"/>
          <w:szCs w:val="22"/>
        </w:rPr>
      </w:pPr>
    </w:p>
    <w:p w14:paraId="4A0226CE" w14:textId="77777777" w:rsidR="00515940" w:rsidRDefault="00515940" w:rsidP="007539A6">
      <w:pPr>
        <w:ind w:right="77"/>
        <w:jc w:val="both"/>
        <w:rPr>
          <w:rFonts w:ascii="Palatino Linotype" w:hAnsi="Palatino Linotype" w:cstheme="minorHAnsi"/>
          <w:b/>
          <w:bCs/>
          <w:sz w:val="22"/>
          <w:szCs w:val="22"/>
        </w:rPr>
      </w:pPr>
    </w:p>
    <w:p w14:paraId="6D55A5D2" w14:textId="6FD97F78" w:rsidR="007539A6" w:rsidRDefault="007539A6" w:rsidP="007539A6">
      <w:pPr>
        <w:ind w:right="77"/>
        <w:jc w:val="both"/>
        <w:rPr>
          <w:rFonts w:ascii="Palatino Linotype" w:hAnsi="Palatino Linotype" w:cstheme="minorHAnsi"/>
          <w:b/>
          <w:bCs/>
          <w:sz w:val="22"/>
          <w:szCs w:val="22"/>
        </w:rPr>
      </w:pPr>
      <w:r w:rsidRPr="007D787D">
        <w:rPr>
          <w:rFonts w:ascii="Palatino Linotype" w:hAnsi="Palatino Linotype" w:cstheme="minorHAnsi"/>
          <w:b/>
          <w:bCs/>
          <w:sz w:val="22"/>
          <w:szCs w:val="22"/>
        </w:rPr>
        <w:t xml:space="preserve">Table 2: Growth rates and contributions to growth of GDP components in </w:t>
      </w:r>
      <w:r w:rsidR="009D6C98">
        <w:rPr>
          <w:rFonts w:ascii="Palatino Linotype" w:hAnsi="Palatino Linotype" w:cstheme="minorHAnsi"/>
          <w:b/>
          <w:bCs/>
          <w:sz w:val="22"/>
          <w:szCs w:val="22"/>
        </w:rPr>
        <w:t>2019 Q1</w:t>
      </w:r>
      <w:r w:rsidR="00545452">
        <w:rPr>
          <w:rFonts w:ascii="Palatino Linotype" w:hAnsi="Palatino Linotype" w:cstheme="minorHAnsi"/>
          <w:b/>
          <w:bCs/>
          <w:sz w:val="22"/>
          <w:szCs w:val="22"/>
        </w:rPr>
        <w:t xml:space="preserve"> and 2019</w:t>
      </w:r>
      <w:r>
        <w:rPr>
          <w:rFonts w:ascii="Palatino Linotype" w:hAnsi="Palatino Linotype" w:cstheme="minorHAnsi"/>
          <w:b/>
          <w:bCs/>
          <w:sz w:val="22"/>
          <w:szCs w:val="22"/>
        </w:rPr>
        <w:t xml:space="preserve"> Q</w:t>
      </w:r>
      <w:r w:rsidR="009D6C98">
        <w:rPr>
          <w:rFonts w:ascii="Palatino Linotype" w:hAnsi="Palatino Linotype" w:cstheme="minorHAnsi"/>
          <w:b/>
          <w:bCs/>
          <w:sz w:val="22"/>
          <w:szCs w:val="22"/>
        </w:rPr>
        <w:t>2</w:t>
      </w:r>
      <w:r>
        <w:rPr>
          <w:rFonts w:ascii="Palatino Linotype" w:hAnsi="Palatino Linotype" w:cstheme="minorHAnsi"/>
          <w:b/>
          <w:bCs/>
          <w:sz w:val="22"/>
          <w:szCs w:val="22"/>
        </w:rPr>
        <w:t xml:space="preserve"> compared to previous quarter</w:t>
      </w:r>
    </w:p>
    <w:tbl>
      <w:tblPr>
        <w:tblW w:w="7620" w:type="dxa"/>
        <w:tblCellMar>
          <w:left w:w="0" w:type="dxa"/>
          <w:right w:w="0" w:type="dxa"/>
        </w:tblCellMar>
        <w:tblLook w:val="04A0" w:firstRow="1" w:lastRow="0" w:firstColumn="1" w:lastColumn="0" w:noHBand="0" w:noVBand="1"/>
      </w:tblPr>
      <w:tblGrid>
        <w:gridCol w:w="1893"/>
        <w:gridCol w:w="1252"/>
        <w:gridCol w:w="1828"/>
        <w:gridCol w:w="1243"/>
        <w:gridCol w:w="1817"/>
      </w:tblGrid>
      <w:tr w:rsidR="00BF4E41" w14:paraId="174B3EB2" w14:textId="77777777" w:rsidTr="00BF4E41">
        <w:trPr>
          <w:trHeight w:val="282"/>
        </w:trPr>
        <w:tc>
          <w:tcPr>
            <w:tcW w:w="148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2736E3C9" w14:textId="77777777" w:rsidR="00BF4E41" w:rsidRDefault="00BF4E41">
            <w:pPr>
              <w:rPr>
                <w:rFonts w:ascii="Calibri" w:hAnsi="Calibri" w:cs="Calibri"/>
                <w:b/>
                <w:bCs/>
                <w:color w:val="000000"/>
                <w:sz w:val="20"/>
                <w:szCs w:val="20"/>
                <w:lang w:eastAsia="en-GB"/>
              </w:rPr>
            </w:pPr>
            <w:r>
              <w:rPr>
                <w:rFonts w:ascii="Calibri" w:hAnsi="Calibri" w:cs="Calibri"/>
                <w:b/>
                <w:bCs/>
                <w:color w:val="000000"/>
                <w:sz w:val="20"/>
                <w:szCs w:val="20"/>
              </w:rPr>
              <w:t> </w:t>
            </w:r>
          </w:p>
        </w:tc>
        <w:tc>
          <w:tcPr>
            <w:tcW w:w="3080" w:type="dxa"/>
            <w:gridSpan w:val="2"/>
            <w:tcBorders>
              <w:top w:val="single" w:sz="4" w:space="0" w:color="auto"/>
              <w:left w:val="single" w:sz="4" w:space="0" w:color="auto"/>
              <w:bottom w:val="single" w:sz="4" w:space="0" w:color="auto"/>
              <w:right w:val="single" w:sz="4" w:space="0" w:color="000000"/>
            </w:tcBorders>
            <w:shd w:val="clear" w:color="000000" w:fill="FFFFFF"/>
            <w:noWrap/>
            <w:tcMar>
              <w:top w:w="15" w:type="dxa"/>
              <w:left w:w="15" w:type="dxa"/>
              <w:bottom w:w="0" w:type="dxa"/>
              <w:right w:w="15" w:type="dxa"/>
            </w:tcMar>
            <w:vAlign w:val="bottom"/>
            <w:hideMark/>
          </w:tcPr>
          <w:p w14:paraId="7FCD60B8" w14:textId="77777777" w:rsidR="00BF4E41" w:rsidRDefault="00BF4E41">
            <w:pPr>
              <w:jc w:val="center"/>
              <w:rPr>
                <w:rFonts w:ascii="Calibri" w:hAnsi="Calibri" w:cs="Calibri"/>
                <w:b/>
                <w:bCs/>
                <w:color w:val="000000"/>
                <w:sz w:val="20"/>
                <w:szCs w:val="20"/>
              </w:rPr>
            </w:pPr>
            <w:r>
              <w:rPr>
                <w:rFonts w:ascii="Calibri" w:hAnsi="Calibri" w:cs="Calibri"/>
                <w:b/>
                <w:bCs/>
                <w:color w:val="000000"/>
                <w:sz w:val="20"/>
                <w:szCs w:val="20"/>
              </w:rPr>
              <w:t>2019Q1</w:t>
            </w:r>
          </w:p>
        </w:tc>
        <w:tc>
          <w:tcPr>
            <w:tcW w:w="3060" w:type="dxa"/>
            <w:gridSpan w:val="2"/>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bottom"/>
            <w:hideMark/>
          </w:tcPr>
          <w:p w14:paraId="050476B9" w14:textId="77777777" w:rsidR="00BF4E41" w:rsidRDefault="00BF4E41">
            <w:pPr>
              <w:jc w:val="center"/>
              <w:rPr>
                <w:rFonts w:ascii="Calibri" w:hAnsi="Calibri" w:cs="Calibri"/>
                <w:b/>
                <w:bCs/>
                <w:color w:val="000000"/>
                <w:sz w:val="20"/>
                <w:szCs w:val="20"/>
              </w:rPr>
            </w:pPr>
            <w:r>
              <w:rPr>
                <w:rFonts w:ascii="Calibri" w:hAnsi="Calibri" w:cs="Calibri"/>
                <w:b/>
                <w:bCs/>
                <w:color w:val="000000"/>
                <w:sz w:val="20"/>
                <w:szCs w:val="20"/>
              </w:rPr>
              <w:t>2019Q2</w:t>
            </w:r>
          </w:p>
        </w:tc>
      </w:tr>
      <w:tr w:rsidR="00BF4E41" w14:paraId="72CE6A9F" w14:textId="77777777" w:rsidTr="00BF4E41">
        <w:trPr>
          <w:trHeight w:val="282"/>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CB101F0" w14:textId="77777777" w:rsidR="00BF4E41" w:rsidRDefault="00BF4E41">
            <w:pPr>
              <w:rPr>
                <w:rFonts w:ascii="Calibri" w:hAnsi="Calibri" w:cs="Calibri"/>
                <w:b/>
                <w:bCs/>
                <w:color w:val="000000"/>
                <w:sz w:val="20"/>
                <w:szCs w:val="20"/>
              </w:rPr>
            </w:pPr>
            <w:r>
              <w:rPr>
                <w:rFonts w:ascii="Calibri" w:hAnsi="Calibri" w:cs="Calibri"/>
                <w:b/>
                <w:bCs/>
                <w:color w:val="000000"/>
                <w:sz w:val="20"/>
                <w:szCs w:val="20"/>
              </w:rPr>
              <w:t> </w:t>
            </w:r>
          </w:p>
        </w:tc>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hideMark/>
          </w:tcPr>
          <w:p w14:paraId="6DA434C5" w14:textId="77777777" w:rsidR="00BF4E41" w:rsidRDefault="00BF4E41">
            <w:pPr>
              <w:jc w:val="center"/>
              <w:rPr>
                <w:rFonts w:ascii="Calibri" w:hAnsi="Calibri" w:cs="Calibri"/>
                <w:b/>
                <w:bCs/>
                <w:color w:val="000000"/>
                <w:sz w:val="20"/>
                <w:szCs w:val="20"/>
              </w:rPr>
            </w:pPr>
            <w:r>
              <w:rPr>
                <w:rFonts w:ascii="Calibri" w:hAnsi="Calibri" w:cs="Calibri"/>
                <w:b/>
                <w:bCs/>
                <w:color w:val="000000"/>
                <w:sz w:val="20"/>
                <w:szCs w:val="20"/>
              </w:rPr>
              <w:t>Change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4F894893" w14:textId="77777777" w:rsidR="00BF4E41" w:rsidRDefault="00BF4E41">
            <w:pPr>
              <w:jc w:val="center"/>
              <w:rPr>
                <w:rFonts w:ascii="Calibri" w:hAnsi="Calibri" w:cs="Calibri"/>
                <w:b/>
                <w:bCs/>
                <w:color w:val="000000"/>
                <w:sz w:val="20"/>
                <w:szCs w:val="20"/>
              </w:rPr>
            </w:pPr>
            <w:r>
              <w:rPr>
                <w:rFonts w:ascii="Calibri" w:hAnsi="Calibri" w:cs="Calibri"/>
                <w:b/>
                <w:bCs/>
                <w:color w:val="000000"/>
                <w:sz w:val="20"/>
                <w:szCs w:val="20"/>
              </w:rPr>
              <w:t>Contribution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0B21587" w14:textId="77777777" w:rsidR="00BF4E41" w:rsidRDefault="00BF4E41">
            <w:pPr>
              <w:jc w:val="center"/>
              <w:rPr>
                <w:rFonts w:ascii="Calibri" w:hAnsi="Calibri" w:cs="Calibri"/>
                <w:b/>
                <w:bCs/>
                <w:color w:val="000000"/>
                <w:sz w:val="20"/>
                <w:szCs w:val="20"/>
              </w:rPr>
            </w:pPr>
            <w:r>
              <w:rPr>
                <w:rFonts w:ascii="Calibri" w:hAnsi="Calibri" w:cs="Calibri"/>
                <w:b/>
                <w:bCs/>
                <w:color w:val="000000"/>
                <w:sz w:val="20"/>
                <w:szCs w:val="20"/>
              </w:rPr>
              <w:t>Change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AF0CBFD" w14:textId="77777777" w:rsidR="00BF4E41" w:rsidRDefault="00BF4E41">
            <w:pPr>
              <w:jc w:val="center"/>
              <w:rPr>
                <w:rFonts w:ascii="Calibri" w:hAnsi="Calibri" w:cs="Calibri"/>
                <w:b/>
                <w:bCs/>
                <w:color w:val="000000"/>
                <w:sz w:val="20"/>
                <w:szCs w:val="20"/>
              </w:rPr>
            </w:pPr>
            <w:r>
              <w:rPr>
                <w:rFonts w:ascii="Calibri" w:hAnsi="Calibri" w:cs="Calibri"/>
                <w:b/>
                <w:bCs/>
                <w:color w:val="000000"/>
                <w:sz w:val="20"/>
                <w:szCs w:val="20"/>
              </w:rPr>
              <w:t>Contribution (%)</w:t>
            </w:r>
          </w:p>
        </w:tc>
      </w:tr>
      <w:tr w:rsidR="00BF4E41" w14:paraId="4D2C6B76" w14:textId="77777777" w:rsidTr="00BF4E41">
        <w:trPr>
          <w:trHeight w:val="282"/>
        </w:trPr>
        <w:tc>
          <w:tcPr>
            <w:tcW w:w="0" w:type="auto"/>
            <w:tcBorders>
              <w:top w:val="single" w:sz="4" w:space="0" w:color="auto"/>
              <w:left w:val="nil"/>
              <w:bottom w:val="nil"/>
              <w:right w:val="nil"/>
            </w:tcBorders>
            <w:shd w:val="clear" w:color="000000" w:fill="FFFFFF"/>
            <w:noWrap/>
            <w:tcMar>
              <w:top w:w="15" w:type="dxa"/>
              <w:left w:w="15" w:type="dxa"/>
              <w:bottom w:w="0" w:type="dxa"/>
              <w:right w:w="15" w:type="dxa"/>
            </w:tcMar>
            <w:vAlign w:val="bottom"/>
            <w:hideMark/>
          </w:tcPr>
          <w:p w14:paraId="73DD3B10" w14:textId="77777777" w:rsidR="00BF4E41" w:rsidRDefault="00BF4E41">
            <w:pPr>
              <w:rPr>
                <w:rFonts w:ascii="Calibri" w:hAnsi="Calibri" w:cs="Calibri"/>
                <w:b/>
                <w:bCs/>
                <w:color w:val="000000"/>
                <w:sz w:val="20"/>
                <w:szCs w:val="20"/>
              </w:rPr>
            </w:pPr>
            <w:r>
              <w:rPr>
                <w:rFonts w:ascii="Calibri" w:hAnsi="Calibri" w:cs="Calibri"/>
                <w:b/>
                <w:bCs/>
                <w:color w:val="000000"/>
                <w:sz w:val="20"/>
                <w:szCs w:val="20"/>
              </w:rPr>
              <w:t>Consumption</w:t>
            </w: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14:paraId="092FC4D5"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1.4</w:t>
            </w:r>
          </w:p>
        </w:tc>
        <w:tc>
          <w:tcPr>
            <w:tcW w:w="0" w:type="auto"/>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bottom"/>
            <w:hideMark/>
          </w:tcPr>
          <w:p w14:paraId="089EE823"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0.8</w:t>
            </w:r>
          </w:p>
        </w:tc>
        <w:tc>
          <w:tcPr>
            <w:tcW w:w="0" w:type="auto"/>
            <w:tcBorders>
              <w:top w:val="single" w:sz="4" w:space="0" w:color="auto"/>
              <w:left w:val="nil"/>
              <w:bottom w:val="nil"/>
              <w:right w:val="nil"/>
            </w:tcBorders>
            <w:shd w:val="clear" w:color="000000" w:fill="FFFFFF"/>
            <w:noWrap/>
            <w:tcMar>
              <w:top w:w="15" w:type="dxa"/>
              <w:left w:w="15" w:type="dxa"/>
              <w:bottom w:w="0" w:type="dxa"/>
              <w:right w:w="15" w:type="dxa"/>
            </w:tcMar>
            <w:vAlign w:val="bottom"/>
            <w:hideMark/>
          </w:tcPr>
          <w:p w14:paraId="533C4880"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3.0</w:t>
            </w:r>
          </w:p>
        </w:tc>
        <w:tc>
          <w:tcPr>
            <w:tcW w:w="0" w:type="auto"/>
            <w:tcBorders>
              <w:top w:val="single" w:sz="4" w:space="0" w:color="auto"/>
              <w:left w:val="nil"/>
              <w:bottom w:val="nil"/>
              <w:right w:val="nil"/>
            </w:tcBorders>
            <w:shd w:val="clear" w:color="000000" w:fill="FFFFFF"/>
            <w:noWrap/>
            <w:tcMar>
              <w:top w:w="15" w:type="dxa"/>
              <w:left w:w="15" w:type="dxa"/>
              <w:bottom w:w="0" w:type="dxa"/>
              <w:right w:w="15" w:type="dxa"/>
            </w:tcMar>
            <w:vAlign w:val="bottom"/>
            <w:hideMark/>
          </w:tcPr>
          <w:p w14:paraId="4AB642C5"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1.7</w:t>
            </w:r>
          </w:p>
        </w:tc>
      </w:tr>
      <w:tr w:rsidR="00BF4E41" w14:paraId="6F5D28A0" w14:textId="77777777" w:rsidTr="00BF4E41">
        <w:trPr>
          <w:trHeight w:val="282"/>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C237D49" w14:textId="77777777" w:rsidR="00BF4E41" w:rsidRDefault="00BF4E41">
            <w:pPr>
              <w:rPr>
                <w:rFonts w:ascii="Calibri" w:hAnsi="Calibri" w:cs="Calibri"/>
                <w:b/>
                <w:bCs/>
                <w:color w:val="000000"/>
                <w:sz w:val="20"/>
                <w:szCs w:val="20"/>
              </w:rPr>
            </w:pPr>
            <w:r>
              <w:rPr>
                <w:rFonts w:ascii="Calibri" w:hAnsi="Calibri" w:cs="Calibri"/>
                <w:b/>
                <w:bCs/>
                <w:color w:val="000000"/>
                <w:sz w:val="20"/>
                <w:szCs w:val="20"/>
              </w:rPr>
              <w:t>Government Spending</w:t>
            </w: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14:paraId="388A372E"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3.1</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2973BB80"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0.5</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7ECE488"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1.9</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60816BD"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0.3</w:t>
            </w:r>
          </w:p>
        </w:tc>
      </w:tr>
      <w:tr w:rsidR="00BF4E41" w14:paraId="548E4DB7" w14:textId="77777777" w:rsidTr="00BF4E41">
        <w:trPr>
          <w:trHeight w:val="282"/>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3EC6567" w14:textId="77777777" w:rsidR="00BF4E41" w:rsidRDefault="00BF4E41">
            <w:pPr>
              <w:rPr>
                <w:rFonts w:ascii="Calibri" w:hAnsi="Calibri" w:cs="Calibri"/>
                <w:b/>
                <w:bCs/>
                <w:color w:val="000000"/>
                <w:sz w:val="20"/>
                <w:szCs w:val="20"/>
              </w:rPr>
            </w:pPr>
            <w:r>
              <w:rPr>
                <w:rFonts w:ascii="Calibri" w:hAnsi="Calibri" w:cs="Calibri"/>
                <w:b/>
                <w:bCs/>
                <w:color w:val="000000"/>
                <w:sz w:val="20"/>
                <w:szCs w:val="20"/>
              </w:rPr>
              <w:t>Investment</w:t>
            </w: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14:paraId="7EFB142E"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-5.0</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01421AE8"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-1.4</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00EE2DD"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-7.4</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622150C"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-2.0</w:t>
            </w:r>
          </w:p>
        </w:tc>
      </w:tr>
      <w:tr w:rsidR="00BF4E41" w14:paraId="7D1DB9BC" w14:textId="77777777" w:rsidTr="00BF4E41">
        <w:trPr>
          <w:trHeight w:val="282"/>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24855F2" w14:textId="77777777" w:rsidR="00BF4E41" w:rsidRDefault="00BF4E41">
            <w:pPr>
              <w:rPr>
                <w:rFonts w:ascii="Calibri" w:hAnsi="Calibri" w:cs="Calibri"/>
                <w:b/>
                <w:bCs/>
                <w:color w:val="000000"/>
                <w:sz w:val="20"/>
                <w:szCs w:val="20"/>
              </w:rPr>
            </w:pPr>
            <w:r>
              <w:rPr>
                <w:rFonts w:ascii="Calibri" w:hAnsi="Calibri" w:cs="Calibri"/>
                <w:b/>
                <w:bCs/>
                <w:color w:val="000000"/>
                <w:sz w:val="20"/>
                <w:szCs w:val="20"/>
              </w:rPr>
              <w:t>Change in Stock</w:t>
            </w: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14:paraId="5C161767"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568CB93C"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0.4</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FAB256F"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3C81015"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0.6</w:t>
            </w:r>
          </w:p>
        </w:tc>
      </w:tr>
      <w:tr w:rsidR="00BF4E41" w14:paraId="1B762E1E" w14:textId="77777777" w:rsidTr="00BF4E41">
        <w:trPr>
          <w:trHeight w:val="282"/>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86B65C4" w14:textId="77777777" w:rsidR="00BF4E41" w:rsidRDefault="00BF4E41">
            <w:pPr>
              <w:rPr>
                <w:rFonts w:ascii="Calibri" w:hAnsi="Calibri" w:cs="Calibri"/>
                <w:b/>
                <w:bCs/>
                <w:color w:val="000000"/>
                <w:sz w:val="20"/>
                <w:szCs w:val="20"/>
              </w:rPr>
            </w:pPr>
            <w:r>
              <w:rPr>
                <w:rFonts w:ascii="Calibri" w:hAnsi="Calibri" w:cs="Calibri"/>
                <w:b/>
                <w:bCs/>
                <w:color w:val="000000"/>
                <w:sz w:val="20"/>
                <w:szCs w:val="20"/>
              </w:rPr>
              <w:t>Export</w:t>
            </w: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14:paraId="4B2C15CD"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-3.7</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754D2E37"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-0.9</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CF2DE88"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4.5</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C4FC645"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1.3</w:t>
            </w:r>
          </w:p>
        </w:tc>
      </w:tr>
      <w:tr w:rsidR="00BF4E41" w14:paraId="6C417224" w14:textId="77777777" w:rsidTr="00BF4E41">
        <w:trPr>
          <w:trHeight w:val="282"/>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FD401DA" w14:textId="77777777" w:rsidR="00BF4E41" w:rsidRDefault="00BF4E41">
            <w:pPr>
              <w:rPr>
                <w:rFonts w:ascii="Calibri" w:hAnsi="Calibri" w:cs="Calibri"/>
                <w:b/>
                <w:bCs/>
                <w:color w:val="000000"/>
                <w:sz w:val="20"/>
                <w:szCs w:val="20"/>
              </w:rPr>
            </w:pPr>
            <w:r>
              <w:rPr>
                <w:rFonts w:ascii="Calibri" w:hAnsi="Calibri" w:cs="Calibri"/>
                <w:b/>
                <w:bCs/>
                <w:color w:val="000000"/>
                <w:sz w:val="20"/>
                <w:szCs w:val="20"/>
              </w:rPr>
              <w:t>Import</w:t>
            </w:r>
          </w:p>
        </w:tc>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14:paraId="2357D094"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-6.8</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14:paraId="7AE98312"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2.3</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B564A6A"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2.7</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871AE87"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-0.7</w:t>
            </w:r>
          </w:p>
        </w:tc>
      </w:tr>
      <w:tr w:rsidR="00BF4E41" w14:paraId="462FF7FD" w14:textId="77777777" w:rsidTr="00BF4E41">
        <w:trPr>
          <w:trHeight w:val="315"/>
        </w:trPr>
        <w:tc>
          <w:tcPr>
            <w:tcW w:w="0" w:type="auto"/>
            <w:tcBorders>
              <w:top w:val="nil"/>
              <w:left w:val="nil"/>
              <w:bottom w:val="double" w:sz="6" w:space="0" w:color="auto"/>
              <w:right w:val="nil"/>
            </w:tcBorders>
            <w:shd w:val="clear" w:color="000000" w:fill="FFFFFF"/>
            <w:noWrap/>
            <w:tcMar>
              <w:top w:w="15" w:type="dxa"/>
              <w:left w:w="15" w:type="dxa"/>
              <w:bottom w:w="0" w:type="dxa"/>
              <w:right w:w="15" w:type="dxa"/>
            </w:tcMar>
            <w:vAlign w:val="bottom"/>
            <w:hideMark/>
          </w:tcPr>
          <w:p w14:paraId="25C4CE02" w14:textId="77777777" w:rsidR="00BF4E41" w:rsidRDefault="00BF4E41">
            <w:pPr>
              <w:rPr>
                <w:rFonts w:ascii="Calibri" w:hAnsi="Calibri" w:cs="Calibri"/>
                <w:b/>
                <w:bCs/>
                <w:color w:val="000000"/>
                <w:sz w:val="20"/>
                <w:szCs w:val="20"/>
              </w:rPr>
            </w:pPr>
            <w:r>
              <w:rPr>
                <w:rFonts w:ascii="Calibri" w:hAnsi="Calibri" w:cs="Calibri"/>
                <w:b/>
                <w:bCs/>
                <w:color w:val="000000"/>
                <w:sz w:val="20"/>
                <w:szCs w:val="20"/>
              </w:rPr>
              <w:t>GDP</w:t>
            </w:r>
          </w:p>
        </w:tc>
        <w:tc>
          <w:tcPr>
            <w:tcW w:w="0" w:type="auto"/>
            <w:tcBorders>
              <w:top w:val="nil"/>
              <w:left w:val="single" w:sz="4" w:space="0" w:color="auto"/>
              <w:bottom w:val="double" w:sz="6" w:space="0" w:color="auto"/>
              <w:right w:val="nil"/>
            </w:tcBorders>
            <w:shd w:val="clear" w:color="000000" w:fill="FFFFFF"/>
            <w:noWrap/>
            <w:tcMar>
              <w:top w:w="15" w:type="dxa"/>
              <w:left w:w="15" w:type="dxa"/>
              <w:bottom w:w="0" w:type="dxa"/>
              <w:right w:w="15" w:type="dxa"/>
            </w:tcMar>
            <w:vAlign w:val="bottom"/>
            <w:hideMark/>
          </w:tcPr>
          <w:p w14:paraId="0A1FF12E"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1.6</w:t>
            </w:r>
          </w:p>
        </w:tc>
        <w:tc>
          <w:tcPr>
            <w:tcW w:w="0" w:type="auto"/>
            <w:tcBorders>
              <w:top w:val="nil"/>
              <w:left w:val="nil"/>
              <w:bottom w:val="double" w:sz="6" w:space="0" w:color="auto"/>
              <w:right w:val="single" w:sz="4" w:space="0" w:color="auto"/>
            </w:tcBorders>
            <w:shd w:val="clear" w:color="000000" w:fill="FFFFFF"/>
            <w:noWrap/>
            <w:tcMar>
              <w:top w:w="15" w:type="dxa"/>
              <w:left w:w="15" w:type="dxa"/>
              <w:bottom w:w="0" w:type="dxa"/>
              <w:right w:w="15" w:type="dxa"/>
            </w:tcMar>
            <w:vAlign w:val="bottom"/>
            <w:hideMark/>
          </w:tcPr>
          <w:p w14:paraId="06742C02"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 </w:t>
            </w:r>
          </w:p>
        </w:tc>
        <w:tc>
          <w:tcPr>
            <w:tcW w:w="0" w:type="auto"/>
            <w:tcBorders>
              <w:top w:val="nil"/>
              <w:left w:val="nil"/>
              <w:bottom w:val="double" w:sz="6" w:space="0" w:color="auto"/>
              <w:right w:val="nil"/>
            </w:tcBorders>
            <w:shd w:val="clear" w:color="000000" w:fill="FFFFFF"/>
            <w:noWrap/>
            <w:tcMar>
              <w:top w:w="15" w:type="dxa"/>
              <w:left w:w="15" w:type="dxa"/>
              <w:bottom w:w="0" w:type="dxa"/>
              <w:right w:w="15" w:type="dxa"/>
            </w:tcMar>
            <w:vAlign w:val="bottom"/>
            <w:hideMark/>
          </w:tcPr>
          <w:p w14:paraId="31C90858"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1.2</w:t>
            </w:r>
          </w:p>
        </w:tc>
        <w:tc>
          <w:tcPr>
            <w:tcW w:w="0" w:type="auto"/>
            <w:tcBorders>
              <w:top w:val="nil"/>
              <w:left w:val="nil"/>
              <w:bottom w:val="double" w:sz="6" w:space="0" w:color="auto"/>
              <w:right w:val="nil"/>
            </w:tcBorders>
            <w:shd w:val="clear" w:color="000000" w:fill="FFFFFF"/>
            <w:noWrap/>
            <w:tcMar>
              <w:top w:w="15" w:type="dxa"/>
              <w:left w:w="15" w:type="dxa"/>
              <w:bottom w:w="0" w:type="dxa"/>
              <w:right w:w="15" w:type="dxa"/>
            </w:tcMar>
            <w:vAlign w:val="bottom"/>
            <w:hideMark/>
          </w:tcPr>
          <w:p w14:paraId="0851D39E" w14:textId="77777777" w:rsidR="00BF4E41" w:rsidRDefault="00BF4E41">
            <w:pPr>
              <w:jc w:val="center"/>
              <w:rPr>
                <w:rFonts w:ascii="Calibri" w:hAnsi="Calibri" w:cs="Calibri"/>
                <w:color w:val="000000"/>
                <w:sz w:val="20"/>
                <w:szCs w:val="20"/>
              </w:rPr>
            </w:pPr>
            <w:r>
              <w:rPr>
                <w:rFonts w:ascii="Calibri" w:hAnsi="Calibri" w:cs="Calibri"/>
                <w:color w:val="000000"/>
                <w:sz w:val="20"/>
                <w:szCs w:val="20"/>
              </w:rPr>
              <w:t> </w:t>
            </w:r>
          </w:p>
        </w:tc>
      </w:tr>
    </w:tbl>
    <w:p w14:paraId="2078FB9B" w14:textId="39498977" w:rsidR="007539A6" w:rsidRDefault="00BF4E41" w:rsidP="007539A6">
      <w:pPr>
        <w:pStyle w:val="NormalWeb"/>
        <w:spacing w:before="0" w:beforeAutospacing="0" w:after="0" w:afterAutospacing="0" w:line="360" w:lineRule="auto"/>
        <w:ind w:right="77"/>
        <w:rPr>
          <w:rFonts w:ascii="Palatino Linotype" w:hAnsi="Palatino Linotype" w:cstheme="minorHAnsi"/>
          <w:sz w:val="18"/>
          <w:szCs w:val="18"/>
        </w:rPr>
      </w:pPr>
      <w:r>
        <w:rPr>
          <w:rFonts w:ascii="Palatino Linotype" w:hAnsi="Palatino Linotype" w:cstheme="minorHAnsi"/>
          <w:b/>
          <w:sz w:val="18"/>
          <w:szCs w:val="18"/>
        </w:rPr>
        <w:t xml:space="preserve"> </w:t>
      </w:r>
      <w:r w:rsidR="007539A6">
        <w:rPr>
          <w:rFonts w:ascii="Palatino Linotype" w:hAnsi="Palatino Linotype" w:cstheme="minorHAnsi"/>
          <w:b/>
          <w:sz w:val="18"/>
          <w:szCs w:val="18"/>
        </w:rPr>
        <w:t>So</w:t>
      </w:r>
      <w:r w:rsidR="007539A6" w:rsidRPr="00236056">
        <w:rPr>
          <w:rFonts w:ascii="Palatino Linotype" w:hAnsi="Palatino Linotype" w:cstheme="minorHAnsi"/>
          <w:b/>
          <w:sz w:val="18"/>
          <w:szCs w:val="18"/>
        </w:rPr>
        <w:t>urce:</w:t>
      </w:r>
      <w:r w:rsidR="007539A6">
        <w:rPr>
          <w:rFonts w:ascii="Palatino Linotype" w:hAnsi="Palatino Linotype" w:cstheme="minorHAnsi"/>
          <w:sz w:val="18"/>
          <w:szCs w:val="18"/>
        </w:rPr>
        <w:t xml:space="preserve"> </w:t>
      </w:r>
      <w:proofErr w:type="spellStart"/>
      <w:r w:rsidR="007539A6">
        <w:rPr>
          <w:rFonts w:ascii="Palatino Linotype" w:hAnsi="Palatino Linotype" w:cstheme="minorHAnsi"/>
          <w:sz w:val="18"/>
          <w:szCs w:val="18"/>
        </w:rPr>
        <w:t>TurkStat</w:t>
      </w:r>
      <w:proofErr w:type="spellEnd"/>
      <w:r w:rsidR="007539A6">
        <w:rPr>
          <w:rFonts w:ascii="Palatino Linotype" w:hAnsi="Palatino Linotype" w:cstheme="minorHAnsi"/>
          <w:sz w:val="18"/>
          <w:szCs w:val="18"/>
        </w:rPr>
        <w:t xml:space="preserve">, </w:t>
      </w:r>
      <w:proofErr w:type="spellStart"/>
      <w:r w:rsidR="007539A6">
        <w:rPr>
          <w:rFonts w:ascii="Palatino Linotype" w:hAnsi="Palatino Linotype" w:cstheme="minorHAnsi"/>
          <w:sz w:val="18"/>
          <w:szCs w:val="18"/>
        </w:rPr>
        <w:t>Betam</w:t>
      </w:r>
      <w:proofErr w:type="spellEnd"/>
    </w:p>
    <w:p w14:paraId="0BB1056F" w14:textId="427D9BCE" w:rsidR="00A87ED9" w:rsidRPr="00A87ED9" w:rsidRDefault="002F6884" w:rsidP="000D63E2">
      <w:pPr>
        <w:pStyle w:val="NormalWeb"/>
        <w:spacing w:before="0" w:beforeAutospacing="0" w:after="120" w:afterAutospacing="0" w:line="360" w:lineRule="auto"/>
        <w:ind w:right="79"/>
        <w:rPr>
          <w:rFonts w:ascii="Palatino Linotype" w:hAnsi="Palatino Linotype" w:cstheme="minorHAnsi"/>
          <w:b/>
          <w:sz w:val="22"/>
          <w:szCs w:val="22"/>
        </w:rPr>
      </w:pPr>
      <w:r>
        <w:rPr>
          <w:rFonts w:ascii="Palatino Linotype" w:hAnsi="Palatino Linotype" w:cstheme="minorHAnsi"/>
          <w:sz w:val="18"/>
          <w:szCs w:val="18"/>
        </w:rPr>
        <w:br/>
      </w:r>
      <w:r w:rsidR="008E3A9A">
        <w:rPr>
          <w:rFonts w:ascii="Palatino Linotype" w:hAnsi="Palatino Linotype" w:cstheme="minorHAnsi"/>
          <w:b/>
          <w:sz w:val="22"/>
          <w:szCs w:val="22"/>
        </w:rPr>
        <w:t>Slowdown in i</w:t>
      </w:r>
      <w:r w:rsidR="00C04698" w:rsidRPr="00C04698">
        <w:rPr>
          <w:rFonts w:ascii="Palatino Linotype" w:hAnsi="Palatino Linotype" w:cstheme="minorHAnsi"/>
          <w:b/>
          <w:sz w:val="22"/>
          <w:szCs w:val="22"/>
        </w:rPr>
        <w:t>nvestments</w:t>
      </w:r>
      <w:r w:rsidR="00A87ED9">
        <w:rPr>
          <w:rFonts w:ascii="Palatino Linotype" w:hAnsi="Palatino Linotype" w:cstheme="minorHAnsi"/>
          <w:b/>
          <w:sz w:val="22"/>
          <w:szCs w:val="22"/>
        </w:rPr>
        <w:t xml:space="preserve"> continues to</w:t>
      </w:r>
      <w:r w:rsidR="00C04698" w:rsidRPr="00C04698">
        <w:rPr>
          <w:rFonts w:ascii="Palatino Linotype" w:hAnsi="Palatino Linotype" w:cstheme="minorHAnsi"/>
          <w:b/>
          <w:sz w:val="22"/>
          <w:szCs w:val="22"/>
        </w:rPr>
        <w:t xml:space="preserve"> </w:t>
      </w:r>
      <w:r w:rsidR="00A87ED9">
        <w:rPr>
          <w:rFonts w:ascii="Palatino Linotype" w:hAnsi="Palatino Linotype" w:cstheme="minorHAnsi"/>
          <w:b/>
          <w:sz w:val="22"/>
          <w:szCs w:val="22"/>
        </w:rPr>
        <w:t xml:space="preserve">increase </w:t>
      </w:r>
    </w:p>
    <w:p w14:paraId="6F2AB283" w14:textId="77777777" w:rsidR="00F32B38" w:rsidRDefault="004920A0" w:rsidP="00EC3573">
      <w:pPr>
        <w:pStyle w:val="NormalWeb"/>
        <w:spacing w:before="0" w:beforeAutospacing="0" w:after="120" w:afterAutospacing="0" w:line="360" w:lineRule="auto"/>
        <w:ind w:right="79"/>
        <w:jc w:val="both"/>
        <w:rPr>
          <w:rFonts w:ascii="Palatino Linotype" w:hAnsi="Palatino Linotype" w:cstheme="minorHAnsi"/>
          <w:sz w:val="22"/>
          <w:szCs w:val="22"/>
        </w:rPr>
      </w:pPr>
      <w:r>
        <w:rPr>
          <w:rFonts w:ascii="Palatino Linotype" w:hAnsi="Palatino Linotype" w:cstheme="minorHAnsi"/>
          <w:sz w:val="22"/>
          <w:szCs w:val="22"/>
        </w:rPr>
        <w:t>On yearly basis, i</w:t>
      </w:r>
      <w:r w:rsidRPr="00C04698">
        <w:rPr>
          <w:rFonts w:ascii="Palatino Linotype" w:hAnsi="Palatino Linotype" w:cstheme="minorHAnsi"/>
          <w:sz w:val="22"/>
          <w:szCs w:val="22"/>
        </w:rPr>
        <w:t>nve</w:t>
      </w:r>
      <w:r>
        <w:rPr>
          <w:rFonts w:ascii="Palatino Linotype" w:hAnsi="Palatino Linotype" w:cstheme="minorHAnsi"/>
          <w:sz w:val="22"/>
          <w:szCs w:val="22"/>
        </w:rPr>
        <w:t>stments, which decreased by 12.4 percent in the first quarter of 2019, shrank by 22,8 percent in the second</w:t>
      </w:r>
      <w:r w:rsidRPr="00C04698">
        <w:rPr>
          <w:rFonts w:ascii="Palatino Linotype" w:hAnsi="Palatino Linotype" w:cstheme="minorHAnsi"/>
          <w:sz w:val="22"/>
          <w:szCs w:val="22"/>
        </w:rPr>
        <w:t xml:space="preserve"> quarter of 2019.</w:t>
      </w:r>
      <w:r>
        <w:rPr>
          <w:rFonts w:ascii="Palatino Linotype" w:hAnsi="Palatino Linotype" w:cstheme="minorHAnsi"/>
          <w:sz w:val="22"/>
          <w:szCs w:val="22"/>
        </w:rPr>
        <w:t xml:space="preserve"> Its</w:t>
      </w:r>
      <w:r w:rsidR="00C04698" w:rsidRPr="00C04698">
        <w:rPr>
          <w:rFonts w:ascii="Palatino Linotype" w:hAnsi="Palatino Linotype" w:cstheme="minorHAnsi"/>
          <w:sz w:val="22"/>
          <w:szCs w:val="22"/>
        </w:rPr>
        <w:t xml:space="preserve"> contribution to </w:t>
      </w:r>
      <w:r>
        <w:rPr>
          <w:rFonts w:ascii="Palatino Linotype" w:hAnsi="Palatino Linotype" w:cstheme="minorHAnsi"/>
          <w:sz w:val="22"/>
          <w:szCs w:val="22"/>
        </w:rPr>
        <w:t>growth rose from mines 3,8 percent point to minus 7,3 percent point</w:t>
      </w:r>
      <w:r w:rsidR="00C319B6">
        <w:rPr>
          <w:rFonts w:ascii="Palatino Linotype" w:hAnsi="Palatino Linotype" w:cstheme="minorHAnsi"/>
          <w:sz w:val="22"/>
          <w:szCs w:val="22"/>
        </w:rPr>
        <w:t xml:space="preserve"> (Table 1)</w:t>
      </w:r>
      <w:r w:rsidR="000764F0" w:rsidRPr="000764F0">
        <w:rPr>
          <w:rFonts w:ascii="Palatino Linotype" w:hAnsi="Palatino Linotype" w:cstheme="minorHAnsi"/>
          <w:sz w:val="22"/>
          <w:szCs w:val="22"/>
        </w:rPr>
        <w:t>.</w:t>
      </w:r>
      <w:r w:rsidR="000764F0">
        <w:rPr>
          <w:rFonts w:ascii="Palatino Linotype" w:hAnsi="Palatino Linotype" w:cstheme="minorHAnsi"/>
          <w:sz w:val="22"/>
          <w:szCs w:val="22"/>
        </w:rPr>
        <w:t xml:space="preserve"> When we look at seasonally and calendar day adjusted </w:t>
      </w:r>
      <w:r w:rsidR="000764F0" w:rsidRPr="002F0AEA">
        <w:rPr>
          <w:rFonts w:ascii="Palatino Linotype" w:hAnsi="Palatino Linotype" w:cstheme="minorHAnsi"/>
          <w:sz w:val="22"/>
          <w:szCs w:val="22"/>
        </w:rPr>
        <w:t>data</w:t>
      </w:r>
      <w:r w:rsidR="000764F0">
        <w:rPr>
          <w:rFonts w:ascii="Palatino Linotype" w:hAnsi="Palatino Linotype" w:cstheme="minorHAnsi"/>
          <w:sz w:val="22"/>
          <w:szCs w:val="22"/>
        </w:rPr>
        <w:t xml:space="preserve">, we see </w:t>
      </w:r>
      <w:r w:rsidR="00C319B6">
        <w:rPr>
          <w:rFonts w:ascii="Palatino Linotype" w:hAnsi="Palatino Linotype" w:cstheme="minorHAnsi"/>
          <w:sz w:val="22"/>
          <w:szCs w:val="22"/>
        </w:rPr>
        <w:t>a similar situation.</w:t>
      </w:r>
      <w:r w:rsidR="00F32B38">
        <w:rPr>
          <w:rFonts w:ascii="Palatino Linotype" w:hAnsi="Palatino Linotype" w:cstheme="minorHAnsi"/>
          <w:sz w:val="22"/>
          <w:szCs w:val="22"/>
        </w:rPr>
        <w:t xml:space="preserve"> While the contribution of investments to quarterly growth</w:t>
      </w:r>
      <w:r w:rsidR="00C319B6">
        <w:rPr>
          <w:rFonts w:ascii="Palatino Linotype" w:hAnsi="Palatino Linotype" w:cstheme="minorHAnsi"/>
          <w:sz w:val="22"/>
          <w:szCs w:val="22"/>
        </w:rPr>
        <w:t xml:space="preserve"> </w:t>
      </w:r>
      <w:r w:rsidR="00F32B38">
        <w:rPr>
          <w:rFonts w:ascii="Palatino Linotype" w:hAnsi="Palatino Linotype" w:cstheme="minorHAnsi"/>
          <w:sz w:val="22"/>
          <w:szCs w:val="22"/>
        </w:rPr>
        <w:t>was minus 1,4 percent point, it reached minus 2,0 percent point (Table 2).</w:t>
      </w:r>
    </w:p>
    <w:p w14:paraId="0A7340BC" w14:textId="54C347BD" w:rsidR="00556396" w:rsidRPr="00EC3573" w:rsidRDefault="00827196" w:rsidP="00EC3573">
      <w:pPr>
        <w:pStyle w:val="NormalWeb"/>
        <w:spacing w:before="0" w:beforeAutospacing="0" w:after="120" w:afterAutospacing="0" w:line="360" w:lineRule="auto"/>
        <w:ind w:right="79"/>
        <w:jc w:val="both"/>
        <w:rPr>
          <w:rFonts w:ascii="Palatino Linotype" w:hAnsi="Palatino Linotype" w:cstheme="minorHAnsi"/>
          <w:sz w:val="22"/>
          <w:szCs w:val="22"/>
        </w:rPr>
      </w:pPr>
      <w:r w:rsidRPr="009E1F69">
        <w:rPr>
          <w:rFonts w:ascii="Palatino Linotype" w:hAnsi="Palatino Linotype" w:cstheme="minorHAnsi"/>
          <w:b/>
          <w:sz w:val="22"/>
          <w:szCs w:val="22"/>
        </w:rPr>
        <w:t xml:space="preserve">Recovery in </w:t>
      </w:r>
      <w:r w:rsidR="003166A0">
        <w:rPr>
          <w:rFonts w:ascii="Palatino Linotype" w:hAnsi="Palatino Linotype" w:cstheme="minorHAnsi"/>
          <w:b/>
          <w:sz w:val="22"/>
          <w:szCs w:val="22"/>
        </w:rPr>
        <w:t>s</w:t>
      </w:r>
      <w:r w:rsidR="00556396" w:rsidRPr="000242B7">
        <w:rPr>
          <w:rFonts w:ascii="Palatino Linotype" w:hAnsi="Palatino Linotype" w:cstheme="minorHAnsi"/>
          <w:b/>
          <w:sz w:val="22"/>
          <w:szCs w:val="22"/>
        </w:rPr>
        <w:t>tocks</w:t>
      </w:r>
      <w:r w:rsidR="00781312" w:rsidRPr="000242B7">
        <w:rPr>
          <w:rStyle w:val="FootnoteReference"/>
          <w:rFonts w:ascii="Palatino Linotype" w:hAnsi="Palatino Linotype" w:cstheme="minorHAnsi"/>
          <w:b/>
          <w:sz w:val="22"/>
          <w:szCs w:val="22"/>
        </w:rPr>
        <w:footnoteReference w:id="3"/>
      </w:r>
    </w:p>
    <w:p w14:paraId="39E36EEF" w14:textId="31DC44F2" w:rsidR="00E80A0B" w:rsidRDefault="00395089" w:rsidP="00556396">
      <w:pPr>
        <w:pStyle w:val="NormalWeb"/>
        <w:spacing w:before="0" w:beforeAutospacing="0" w:after="0" w:afterAutospacing="0" w:line="360" w:lineRule="auto"/>
        <w:ind w:right="79"/>
        <w:rPr>
          <w:rFonts w:ascii="Palatino Linotype" w:hAnsi="Palatino Linotype" w:cstheme="minorHAnsi"/>
          <w:sz w:val="22"/>
          <w:szCs w:val="22"/>
        </w:rPr>
      </w:pPr>
      <w:r>
        <w:rPr>
          <w:rFonts w:ascii="Palatino Linotype" w:hAnsi="Palatino Linotype" w:cstheme="minorHAnsi"/>
          <w:sz w:val="22"/>
          <w:szCs w:val="22"/>
        </w:rPr>
        <w:t>On yearly basis, s</w:t>
      </w:r>
      <w:r w:rsidR="00781312">
        <w:rPr>
          <w:rFonts w:ascii="Palatino Linotype" w:hAnsi="Palatino Linotype" w:cstheme="minorHAnsi"/>
          <w:sz w:val="22"/>
          <w:szCs w:val="22"/>
        </w:rPr>
        <w:t>tock changes</w:t>
      </w:r>
      <w:r w:rsidR="003B5AC1">
        <w:rPr>
          <w:rFonts w:ascii="Palatino Linotype" w:hAnsi="Palatino Linotype" w:cstheme="minorHAnsi"/>
          <w:sz w:val="22"/>
          <w:szCs w:val="22"/>
        </w:rPr>
        <w:t>,</w:t>
      </w:r>
      <w:r w:rsidR="00D76EC3">
        <w:rPr>
          <w:rFonts w:ascii="Palatino Linotype" w:hAnsi="Palatino Linotype" w:cstheme="minorHAnsi"/>
          <w:sz w:val="22"/>
          <w:szCs w:val="22"/>
        </w:rPr>
        <w:t xml:space="preserve"> </w:t>
      </w:r>
      <w:r w:rsidR="003B5AC1">
        <w:rPr>
          <w:rFonts w:ascii="Palatino Linotype" w:hAnsi="Palatino Linotype" w:cstheme="minorHAnsi"/>
          <w:sz w:val="22"/>
          <w:szCs w:val="22"/>
        </w:rPr>
        <w:t xml:space="preserve">which had </w:t>
      </w:r>
      <w:r w:rsidR="00D76EC3">
        <w:rPr>
          <w:rFonts w:ascii="Palatino Linotype" w:hAnsi="Palatino Linotype" w:cstheme="minorHAnsi"/>
          <w:sz w:val="22"/>
          <w:szCs w:val="22"/>
        </w:rPr>
        <w:t>contributed to growth</w:t>
      </w:r>
      <w:r w:rsidR="00F819BC">
        <w:rPr>
          <w:rFonts w:ascii="Palatino Linotype" w:hAnsi="Palatino Linotype" w:cstheme="minorHAnsi"/>
          <w:sz w:val="22"/>
          <w:szCs w:val="22"/>
        </w:rPr>
        <w:t xml:space="preserve"> by </w:t>
      </w:r>
      <w:r>
        <w:rPr>
          <w:rFonts w:ascii="Palatino Linotype" w:hAnsi="Palatino Linotype" w:cstheme="minorHAnsi"/>
          <w:sz w:val="22"/>
          <w:szCs w:val="22"/>
        </w:rPr>
        <w:t>minus 8.8</w:t>
      </w:r>
      <w:r w:rsidR="00F819BC">
        <w:rPr>
          <w:rFonts w:ascii="Palatino Linotype" w:hAnsi="Palatino Linotype" w:cstheme="minorHAnsi"/>
          <w:sz w:val="22"/>
          <w:szCs w:val="22"/>
        </w:rPr>
        <w:t xml:space="preserve"> percentage points</w:t>
      </w:r>
      <w:r w:rsidR="003B5AC1">
        <w:rPr>
          <w:rFonts w:ascii="Palatino Linotype" w:hAnsi="Palatino Linotype" w:cstheme="minorHAnsi"/>
          <w:sz w:val="22"/>
          <w:szCs w:val="22"/>
        </w:rPr>
        <w:t xml:space="preserve"> </w:t>
      </w:r>
      <w:r w:rsidR="00D76EC3">
        <w:rPr>
          <w:rFonts w:ascii="Palatino Linotype" w:hAnsi="Palatino Linotype" w:cstheme="minorHAnsi"/>
          <w:sz w:val="22"/>
          <w:szCs w:val="22"/>
        </w:rPr>
        <w:t xml:space="preserve">in the </w:t>
      </w:r>
      <w:r>
        <w:rPr>
          <w:rFonts w:ascii="Palatino Linotype" w:hAnsi="Palatino Linotype" w:cstheme="minorHAnsi"/>
          <w:sz w:val="22"/>
          <w:szCs w:val="22"/>
        </w:rPr>
        <w:t>first</w:t>
      </w:r>
      <w:r w:rsidR="00D76EC3">
        <w:rPr>
          <w:rFonts w:ascii="Palatino Linotype" w:hAnsi="Palatino Linotype" w:cstheme="minorHAnsi"/>
          <w:sz w:val="22"/>
          <w:szCs w:val="22"/>
        </w:rPr>
        <w:t xml:space="preserve"> quarter</w:t>
      </w:r>
      <w:r w:rsidR="00781312">
        <w:rPr>
          <w:rFonts w:ascii="Palatino Linotype" w:hAnsi="Palatino Linotype" w:cstheme="minorHAnsi"/>
          <w:sz w:val="22"/>
          <w:szCs w:val="22"/>
        </w:rPr>
        <w:t xml:space="preserve"> of </w:t>
      </w:r>
      <w:r w:rsidR="00C45688">
        <w:rPr>
          <w:rFonts w:ascii="Palatino Linotype" w:hAnsi="Palatino Linotype" w:cstheme="minorHAnsi"/>
          <w:sz w:val="22"/>
          <w:szCs w:val="22"/>
        </w:rPr>
        <w:t>201</w:t>
      </w:r>
      <w:r>
        <w:rPr>
          <w:rFonts w:ascii="Palatino Linotype" w:hAnsi="Palatino Linotype" w:cstheme="minorHAnsi"/>
          <w:sz w:val="22"/>
          <w:szCs w:val="22"/>
        </w:rPr>
        <w:t>9</w:t>
      </w:r>
      <w:r w:rsidR="00C45688">
        <w:rPr>
          <w:rFonts w:ascii="Palatino Linotype" w:hAnsi="Palatino Linotype" w:cstheme="minorHAnsi"/>
          <w:sz w:val="22"/>
          <w:szCs w:val="22"/>
        </w:rPr>
        <w:t xml:space="preserve">, contributed minus </w:t>
      </w:r>
      <w:r>
        <w:rPr>
          <w:rFonts w:ascii="Palatino Linotype" w:hAnsi="Palatino Linotype" w:cstheme="minorHAnsi"/>
          <w:sz w:val="22"/>
          <w:szCs w:val="22"/>
        </w:rPr>
        <w:t>1,5</w:t>
      </w:r>
      <w:r w:rsidR="003B5AC1">
        <w:rPr>
          <w:rFonts w:ascii="Palatino Linotype" w:hAnsi="Palatino Linotype" w:cstheme="minorHAnsi"/>
          <w:sz w:val="22"/>
          <w:szCs w:val="22"/>
        </w:rPr>
        <w:t xml:space="preserve"> percentage points to growth in the </w:t>
      </w:r>
      <w:r>
        <w:rPr>
          <w:rFonts w:ascii="Palatino Linotype" w:hAnsi="Palatino Linotype" w:cstheme="minorHAnsi"/>
          <w:sz w:val="22"/>
          <w:szCs w:val="22"/>
        </w:rPr>
        <w:t>second</w:t>
      </w:r>
      <w:r w:rsidR="00CA47FB">
        <w:rPr>
          <w:rFonts w:ascii="Palatino Linotype" w:hAnsi="Palatino Linotype" w:cstheme="minorHAnsi"/>
          <w:sz w:val="22"/>
          <w:szCs w:val="22"/>
        </w:rPr>
        <w:t xml:space="preserve"> quarter of 2019</w:t>
      </w:r>
      <w:r w:rsidR="003B5AC1">
        <w:rPr>
          <w:rFonts w:ascii="Palatino Linotype" w:hAnsi="Palatino Linotype" w:cstheme="minorHAnsi"/>
          <w:sz w:val="22"/>
          <w:szCs w:val="22"/>
        </w:rPr>
        <w:t xml:space="preserve"> (Table 1). </w:t>
      </w:r>
      <w:r w:rsidR="00781312">
        <w:rPr>
          <w:rFonts w:ascii="Palatino Linotype" w:hAnsi="Palatino Linotype" w:cstheme="minorHAnsi"/>
          <w:sz w:val="22"/>
          <w:szCs w:val="22"/>
        </w:rPr>
        <w:t>When we look</w:t>
      </w:r>
      <w:r w:rsidR="00E80A0B">
        <w:rPr>
          <w:rFonts w:ascii="Palatino Linotype" w:hAnsi="Palatino Linotype" w:cstheme="minorHAnsi"/>
          <w:sz w:val="22"/>
          <w:szCs w:val="22"/>
        </w:rPr>
        <w:t xml:space="preserve"> </w:t>
      </w:r>
      <w:r w:rsidR="00781312">
        <w:rPr>
          <w:rFonts w:ascii="Palatino Linotype" w:hAnsi="Palatino Linotype" w:cstheme="minorHAnsi"/>
          <w:sz w:val="22"/>
          <w:szCs w:val="22"/>
        </w:rPr>
        <w:t xml:space="preserve">quarterly growth, </w:t>
      </w:r>
      <w:r w:rsidR="001F25C8">
        <w:rPr>
          <w:rFonts w:ascii="Palatino Linotype" w:hAnsi="Palatino Linotype" w:cstheme="minorHAnsi"/>
          <w:sz w:val="22"/>
          <w:szCs w:val="22"/>
        </w:rPr>
        <w:t>we see</w:t>
      </w:r>
      <w:r w:rsidR="00BF0205">
        <w:rPr>
          <w:rFonts w:ascii="Palatino Linotype" w:hAnsi="Palatino Linotype" w:cstheme="minorHAnsi"/>
          <w:sz w:val="22"/>
          <w:szCs w:val="22"/>
        </w:rPr>
        <w:t xml:space="preserve"> that </w:t>
      </w:r>
      <w:r w:rsidR="00E80A0B" w:rsidRPr="007D787D">
        <w:rPr>
          <w:rFonts w:ascii="Palatino Linotype" w:hAnsi="Palatino Linotype" w:cstheme="minorHAnsi"/>
          <w:sz w:val="22"/>
          <w:szCs w:val="22"/>
        </w:rPr>
        <w:t xml:space="preserve">seasonally and calendar day adjusted </w:t>
      </w:r>
      <w:r w:rsidR="00CA47FB">
        <w:rPr>
          <w:rFonts w:ascii="Palatino Linotype" w:hAnsi="Palatino Linotype" w:cstheme="minorHAnsi"/>
          <w:sz w:val="22"/>
          <w:szCs w:val="22"/>
        </w:rPr>
        <w:t>stock changes</w:t>
      </w:r>
      <w:r>
        <w:rPr>
          <w:rFonts w:ascii="Palatino Linotype" w:hAnsi="Palatino Linotype" w:cstheme="minorHAnsi"/>
          <w:sz w:val="22"/>
          <w:szCs w:val="22"/>
        </w:rPr>
        <w:t xml:space="preserve"> contributed to growth by 0.4</w:t>
      </w:r>
      <w:r w:rsidR="00D74CD7">
        <w:rPr>
          <w:rFonts w:ascii="Palatino Linotype" w:hAnsi="Palatino Linotype" w:cstheme="minorHAnsi"/>
          <w:sz w:val="22"/>
          <w:szCs w:val="22"/>
        </w:rPr>
        <w:t>, yet its contribution to growth was</w:t>
      </w:r>
      <w:r>
        <w:rPr>
          <w:rFonts w:ascii="Palatino Linotype" w:hAnsi="Palatino Linotype" w:cstheme="minorHAnsi"/>
          <w:sz w:val="22"/>
          <w:szCs w:val="22"/>
        </w:rPr>
        <w:t xml:space="preserve"> 0,6</w:t>
      </w:r>
      <w:r w:rsidR="00CA47FB" w:rsidRPr="00CA47FB">
        <w:rPr>
          <w:rFonts w:ascii="Palatino Linotype" w:hAnsi="Palatino Linotype" w:cstheme="minorHAnsi"/>
          <w:sz w:val="22"/>
          <w:szCs w:val="22"/>
        </w:rPr>
        <w:t xml:space="preserve"> percentage point</w:t>
      </w:r>
      <w:r>
        <w:rPr>
          <w:rFonts w:ascii="Palatino Linotype" w:hAnsi="Palatino Linotype" w:cstheme="minorHAnsi"/>
          <w:sz w:val="22"/>
          <w:szCs w:val="22"/>
        </w:rPr>
        <w:t>s in the second quarter</w:t>
      </w:r>
      <w:r w:rsidR="00CA47FB">
        <w:rPr>
          <w:rFonts w:ascii="Palatino Linotype" w:hAnsi="Palatino Linotype" w:cstheme="minorHAnsi"/>
          <w:sz w:val="22"/>
          <w:szCs w:val="22"/>
        </w:rPr>
        <w:t xml:space="preserve"> </w:t>
      </w:r>
      <w:r w:rsidR="00C34FEA" w:rsidRPr="007D787D">
        <w:rPr>
          <w:rFonts w:ascii="Palatino Linotype" w:hAnsi="Palatino Linotype" w:cstheme="minorHAnsi"/>
          <w:sz w:val="22"/>
          <w:szCs w:val="22"/>
        </w:rPr>
        <w:t>(Table 2).</w:t>
      </w:r>
      <w:bookmarkStart w:id="0" w:name="_Hlk501449844"/>
    </w:p>
    <w:bookmarkEnd w:id="0"/>
    <w:p w14:paraId="1CEA9145" w14:textId="77777777" w:rsidR="00DA05C4" w:rsidRDefault="00DA05C4" w:rsidP="00630D61">
      <w:pPr>
        <w:pStyle w:val="NormalWeb"/>
        <w:spacing w:before="0" w:beforeAutospacing="0" w:after="0" w:afterAutospacing="0" w:line="360" w:lineRule="auto"/>
        <w:ind w:right="79"/>
        <w:jc w:val="both"/>
        <w:rPr>
          <w:rFonts w:ascii="Palatino Linotype" w:hAnsi="Palatino Linotype" w:cstheme="minorHAnsi"/>
          <w:b/>
          <w:bCs/>
          <w:sz w:val="22"/>
          <w:szCs w:val="22"/>
        </w:rPr>
      </w:pPr>
    </w:p>
    <w:p w14:paraId="011266C2" w14:textId="7B808371" w:rsidR="00CA47FB" w:rsidRDefault="00D74CD7" w:rsidP="00556396">
      <w:pPr>
        <w:pStyle w:val="NormalWeb"/>
        <w:spacing w:before="0" w:beforeAutospacing="0" w:after="0" w:afterAutospacing="0" w:line="360" w:lineRule="auto"/>
        <w:ind w:right="79"/>
        <w:jc w:val="both"/>
        <w:rPr>
          <w:rFonts w:ascii="Palatino Linotype" w:hAnsi="Palatino Linotype" w:cstheme="minorHAnsi"/>
          <w:b/>
          <w:bCs/>
          <w:sz w:val="22"/>
          <w:szCs w:val="22"/>
        </w:rPr>
      </w:pPr>
      <w:r>
        <w:rPr>
          <w:rFonts w:ascii="Palatino Linotype" w:hAnsi="Palatino Linotype" w:cstheme="minorHAnsi"/>
          <w:b/>
          <w:bCs/>
          <w:sz w:val="22"/>
          <w:szCs w:val="22"/>
        </w:rPr>
        <w:lastRenderedPageBreak/>
        <w:t>P</w:t>
      </w:r>
      <w:r w:rsidR="00630D61">
        <w:rPr>
          <w:rFonts w:ascii="Palatino Linotype" w:hAnsi="Palatino Linotype" w:cstheme="minorHAnsi"/>
          <w:b/>
          <w:bCs/>
          <w:sz w:val="22"/>
          <w:szCs w:val="22"/>
        </w:rPr>
        <w:t xml:space="preserve">ositive contribution of net exports </w:t>
      </w:r>
      <w:r>
        <w:rPr>
          <w:rFonts w:ascii="Palatino Linotype" w:hAnsi="Palatino Linotype" w:cstheme="minorHAnsi"/>
          <w:b/>
          <w:bCs/>
          <w:sz w:val="22"/>
          <w:szCs w:val="22"/>
        </w:rPr>
        <w:t>continues</w:t>
      </w:r>
    </w:p>
    <w:p w14:paraId="70415A4B" w14:textId="3A43E659" w:rsidR="00630D61" w:rsidRPr="00DA05C4" w:rsidRDefault="00A84F92" w:rsidP="00556396">
      <w:pPr>
        <w:pStyle w:val="NormalWeb"/>
        <w:spacing w:before="0" w:beforeAutospacing="0" w:after="0" w:afterAutospacing="0" w:line="360" w:lineRule="auto"/>
        <w:ind w:right="79"/>
        <w:jc w:val="both"/>
        <w:rPr>
          <w:rFonts w:ascii="Palatino Linotype" w:hAnsi="Palatino Linotype" w:cstheme="minorHAnsi"/>
          <w:bCs/>
          <w:sz w:val="22"/>
          <w:szCs w:val="22"/>
        </w:rPr>
      </w:pPr>
      <w:r>
        <w:rPr>
          <w:rFonts w:ascii="Palatino Linotype" w:hAnsi="Palatino Linotype" w:cstheme="minorHAnsi"/>
          <w:bCs/>
          <w:sz w:val="22"/>
          <w:szCs w:val="22"/>
        </w:rPr>
        <w:t>E</w:t>
      </w:r>
      <w:r w:rsidR="00630D61" w:rsidRPr="00630D61">
        <w:rPr>
          <w:rFonts w:ascii="Palatino Linotype" w:hAnsi="Palatino Linotype" w:cstheme="minorHAnsi"/>
          <w:bCs/>
          <w:sz w:val="22"/>
          <w:szCs w:val="22"/>
        </w:rPr>
        <w:t>xport</w:t>
      </w:r>
      <w:r w:rsidR="00630D61">
        <w:rPr>
          <w:rFonts w:ascii="Palatino Linotype" w:hAnsi="Palatino Linotype" w:cstheme="minorHAnsi"/>
          <w:bCs/>
          <w:sz w:val="22"/>
          <w:szCs w:val="22"/>
        </w:rPr>
        <w:t>s</w:t>
      </w:r>
      <w:r>
        <w:rPr>
          <w:rFonts w:ascii="Palatino Linotype" w:hAnsi="Palatino Linotype" w:cstheme="minorHAnsi"/>
          <w:bCs/>
          <w:sz w:val="22"/>
          <w:szCs w:val="22"/>
        </w:rPr>
        <w:t>, which increased</w:t>
      </w:r>
      <w:r w:rsidR="00D74CD7">
        <w:rPr>
          <w:rFonts w:ascii="Palatino Linotype" w:hAnsi="Palatino Linotype" w:cstheme="minorHAnsi"/>
          <w:bCs/>
          <w:sz w:val="22"/>
          <w:szCs w:val="22"/>
        </w:rPr>
        <w:t xml:space="preserve"> </w:t>
      </w:r>
      <w:r>
        <w:rPr>
          <w:rFonts w:ascii="Palatino Linotype" w:hAnsi="Palatino Linotype" w:cstheme="minorHAnsi"/>
          <w:bCs/>
          <w:sz w:val="22"/>
          <w:szCs w:val="22"/>
        </w:rPr>
        <w:t>by</w:t>
      </w:r>
      <w:r w:rsidR="00D74CD7">
        <w:rPr>
          <w:rFonts w:ascii="Palatino Linotype" w:hAnsi="Palatino Linotype" w:cstheme="minorHAnsi"/>
          <w:bCs/>
          <w:sz w:val="22"/>
          <w:szCs w:val="22"/>
        </w:rPr>
        <w:t xml:space="preserve"> 9,2</w:t>
      </w:r>
      <w:r w:rsidR="00630D61" w:rsidRPr="00630D61">
        <w:rPr>
          <w:rFonts w:ascii="Palatino Linotype" w:hAnsi="Palatino Linotype" w:cstheme="minorHAnsi"/>
          <w:bCs/>
          <w:sz w:val="22"/>
          <w:szCs w:val="22"/>
        </w:rPr>
        <w:t xml:space="preserve"> percent</w:t>
      </w:r>
      <w:r>
        <w:rPr>
          <w:rFonts w:ascii="Palatino Linotype" w:hAnsi="Palatino Linotype" w:cstheme="minorHAnsi"/>
          <w:bCs/>
          <w:sz w:val="22"/>
          <w:szCs w:val="22"/>
        </w:rPr>
        <w:t xml:space="preserve"> </w:t>
      </w:r>
      <w:r>
        <w:rPr>
          <w:rFonts w:ascii="Palatino Linotype" w:hAnsi="Palatino Linotype" w:cstheme="minorHAnsi"/>
          <w:sz w:val="22"/>
          <w:szCs w:val="22"/>
        </w:rPr>
        <w:t>in the first</w:t>
      </w:r>
      <w:r w:rsidRPr="00B6148C">
        <w:rPr>
          <w:rFonts w:ascii="Palatino Linotype" w:hAnsi="Palatino Linotype" w:cstheme="minorHAnsi"/>
          <w:sz w:val="22"/>
          <w:szCs w:val="22"/>
        </w:rPr>
        <w:t xml:space="preserve"> quarter</w:t>
      </w:r>
      <w:r>
        <w:rPr>
          <w:rFonts w:ascii="Palatino Linotype" w:hAnsi="Palatino Linotype" w:cstheme="minorHAnsi"/>
          <w:sz w:val="22"/>
          <w:szCs w:val="22"/>
        </w:rPr>
        <w:t xml:space="preserve"> of 2019</w:t>
      </w:r>
      <w:r w:rsidRPr="00B6148C">
        <w:rPr>
          <w:rFonts w:ascii="Palatino Linotype" w:hAnsi="Palatino Linotype" w:cstheme="minorHAnsi"/>
          <w:sz w:val="22"/>
          <w:szCs w:val="22"/>
        </w:rPr>
        <w:t xml:space="preserve"> compared to the same quarter of the previous year</w:t>
      </w:r>
      <w:r w:rsidR="00630D61" w:rsidRPr="00630D61">
        <w:rPr>
          <w:rFonts w:ascii="Palatino Linotype" w:hAnsi="Palatino Linotype" w:cstheme="minorHAnsi"/>
          <w:bCs/>
          <w:sz w:val="22"/>
          <w:szCs w:val="22"/>
        </w:rPr>
        <w:t xml:space="preserve">, </w:t>
      </w:r>
      <w:r>
        <w:rPr>
          <w:rFonts w:ascii="Palatino Linotype" w:hAnsi="Palatino Linotype" w:cstheme="minorHAnsi"/>
          <w:bCs/>
          <w:sz w:val="22"/>
          <w:szCs w:val="22"/>
        </w:rPr>
        <w:t>rose by</w:t>
      </w:r>
      <w:r w:rsidR="00D74CD7">
        <w:rPr>
          <w:rFonts w:ascii="Palatino Linotype" w:hAnsi="Palatino Linotype" w:cstheme="minorHAnsi"/>
          <w:bCs/>
          <w:sz w:val="22"/>
          <w:szCs w:val="22"/>
        </w:rPr>
        <w:t xml:space="preserve"> 8,1 percent in the second quarter.</w:t>
      </w:r>
      <w:r>
        <w:rPr>
          <w:rFonts w:ascii="Palatino Linotype" w:hAnsi="Palatino Linotype" w:cstheme="minorHAnsi"/>
          <w:bCs/>
          <w:sz w:val="22"/>
          <w:szCs w:val="22"/>
        </w:rPr>
        <w:t xml:space="preserve"> </w:t>
      </w:r>
      <w:r w:rsidR="00847CF0">
        <w:rPr>
          <w:rFonts w:ascii="Palatino Linotype" w:hAnsi="Palatino Linotype" w:cstheme="minorHAnsi"/>
          <w:bCs/>
          <w:sz w:val="22"/>
          <w:szCs w:val="22"/>
        </w:rPr>
        <w:t xml:space="preserve">The contribution of this increments was over 2 percentage </w:t>
      </w:r>
      <w:r w:rsidR="00847CF0" w:rsidRPr="007A3C12">
        <w:rPr>
          <w:rFonts w:ascii="Palatino Linotype" w:hAnsi="Palatino Linotype" w:cstheme="minorHAnsi"/>
          <w:bCs/>
          <w:sz w:val="22"/>
          <w:szCs w:val="22"/>
        </w:rPr>
        <w:t>points.</w:t>
      </w:r>
      <w:r w:rsidR="00847CF0">
        <w:rPr>
          <w:rFonts w:ascii="Palatino Linotype" w:hAnsi="Palatino Linotype" w:cstheme="minorHAnsi"/>
          <w:bCs/>
          <w:sz w:val="22"/>
          <w:szCs w:val="22"/>
        </w:rPr>
        <w:t xml:space="preserve"> </w:t>
      </w:r>
      <w:r w:rsidR="007A3C12">
        <w:rPr>
          <w:rFonts w:ascii="Palatino Linotype" w:hAnsi="Palatino Linotype" w:cstheme="minorHAnsi"/>
          <w:bCs/>
          <w:sz w:val="22"/>
          <w:szCs w:val="22"/>
        </w:rPr>
        <w:t>I</w:t>
      </w:r>
      <w:r w:rsidR="007B70E0" w:rsidRPr="00630D61">
        <w:rPr>
          <w:rFonts w:ascii="Palatino Linotype" w:hAnsi="Palatino Linotype" w:cstheme="minorHAnsi"/>
          <w:bCs/>
          <w:sz w:val="22"/>
          <w:szCs w:val="22"/>
        </w:rPr>
        <w:t>mports</w:t>
      </w:r>
      <w:r w:rsidR="007A3C12">
        <w:rPr>
          <w:rFonts w:ascii="Palatino Linotype" w:hAnsi="Palatino Linotype" w:cstheme="minorHAnsi"/>
          <w:bCs/>
          <w:sz w:val="22"/>
          <w:szCs w:val="22"/>
        </w:rPr>
        <w:t xml:space="preserve"> continue to fall</w:t>
      </w:r>
      <w:r w:rsidR="007B70E0">
        <w:rPr>
          <w:rFonts w:ascii="Palatino Linotype" w:hAnsi="Palatino Linotype" w:cstheme="minorHAnsi"/>
          <w:bCs/>
          <w:sz w:val="22"/>
          <w:szCs w:val="22"/>
        </w:rPr>
        <w:t xml:space="preserve">. </w:t>
      </w:r>
      <w:r w:rsidR="007A3C12">
        <w:rPr>
          <w:rFonts w:ascii="Palatino Linotype" w:hAnsi="Palatino Linotype" w:cstheme="minorHAnsi"/>
          <w:bCs/>
          <w:sz w:val="22"/>
          <w:szCs w:val="22"/>
        </w:rPr>
        <w:t>While import reduction was nearly 29 percent in the first quarter, it remained slightly below 17 percent</w:t>
      </w:r>
      <w:r w:rsidR="00577733">
        <w:rPr>
          <w:rFonts w:ascii="Palatino Linotype" w:hAnsi="Palatino Linotype" w:cstheme="minorHAnsi"/>
          <w:bCs/>
          <w:sz w:val="22"/>
          <w:szCs w:val="22"/>
        </w:rPr>
        <w:t xml:space="preserve"> </w:t>
      </w:r>
      <w:r w:rsidR="00577733" w:rsidRPr="00D45FFE">
        <w:rPr>
          <w:rFonts w:ascii="Palatino Linotype" w:hAnsi="Palatino Linotype" w:cstheme="minorHAnsi"/>
          <w:bCs/>
          <w:sz w:val="22"/>
          <w:szCs w:val="22"/>
        </w:rPr>
        <w:t>in</w:t>
      </w:r>
      <w:r w:rsidR="00577733" w:rsidRPr="00577733">
        <w:rPr>
          <w:rFonts w:ascii="Palatino Linotype" w:hAnsi="Palatino Linotype" w:cstheme="minorHAnsi"/>
          <w:bCs/>
          <w:sz w:val="22"/>
          <w:szCs w:val="22"/>
          <w:highlight w:val="yellow"/>
        </w:rPr>
        <w:t xml:space="preserve"> </w:t>
      </w:r>
      <w:r w:rsidR="00577733" w:rsidRPr="00D45FFE">
        <w:rPr>
          <w:rFonts w:ascii="Palatino Linotype" w:hAnsi="Palatino Linotype" w:cstheme="minorHAnsi"/>
          <w:bCs/>
          <w:sz w:val="22"/>
          <w:szCs w:val="22"/>
        </w:rPr>
        <w:t>the second quarter</w:t>
      </w:r>
      <w:r w:rsidR="007A3C12" w:rsidRPr="00D45FFE">
        <w:rPr>
          <w:rFonts w:ascii="Palatino Linotype" w:hAnsi="Palatino Linotype" w:cstheme="minorHAnsi"/>
          <w:bCs/>
          <w:sz w:val="22"/>
          <w:szCs w:val="22"/>
        </w:rPr>
        <w:t>.</w:t>
      </w:r>
      <w:r w:rsidR="007A3C12">
        <w:rPr>
          <w:rFonts w:ascii="Palatino Linotype" w:hAnsi="Palatino Linotype" w:cstheme="minorHAnsi"/>
          <w:bCs/>
          <w:sz w:val="22"/>
          <w:szCs w:val="22"/>
        </w:rPr>
        <w:t xml:space="preserve"> </w:t>
      </w:r>
      <w:r w:rsidR="00181C5F">
        <w:rPr>
          <w:rFonts w:ascii="Palatino Linotype" w:hAnsi="Palatino Linotype" w:cstheme="minorHAnsi"/>
          <w:bCs/>
          <w:sz w:val="22"/>
          <w:szCs w:val="22"/>
        </w:rPr>
        <w:t>The contribution of these imports reduction to growth was 9,7 percentage points and 5,2 p</w:t>
      </w:r>
      <w:r w:rsidR="003B7721">
        <w:rPr>
          <w:rFonts w:ascii="Palatino Linotype" w:hAnsi="Palatino Linotype" w:cstheme="minorHAnsi"/>
          <w:bCs/>
          <w:sz w:val="22"/>
          <w:szCs w:val="22"/>
        </w:rPr>
        <w:t xml:space="preserve">ercentage points, respectively (Table 1). </w:t>
      </w:r>
      <w:r w:rsidR="007B70E0" w:rsidRPr="007B70E0">
        <w:rPr>
          <w:rFonts w:ascii="Palatino Linotype" w:hAnsi="Palatino Linotype" w:cstheme="minorHAnsi"/>
          <w:bCs/>
          <w:sz w:val="22"/>
          <w:szCs w:val="22"/>
        </w:rPr>
        <w:t>On the other hand, we see that the 9.7 percent contribution of net exports to growth in th</w:t>
      </w:r>
      <w:r w:rsidR="00905D7E">
        <w:rPr>
          <w:rFonts w:ascii="Palatino Linotype" w:hAnsi="Palatino Linotype" w:cstheme="minorHAnsi"/>
          <w:bCs/>
          <w:sz w:val="22"/>
          <w:szCs w:val="22"/>
        </w:rPr>
        <w:t>e fourth quarter of 2018 rose</w:t>
      </w:r>
      <w:r w:rsidR="007B70E0" w:rsidRPr="007B70E0">
        <w:rPr>
          <w:rFonts w:ascii="Palatino Linotype" w:hAnsi="Palatino Linotype" w:cstheme="minorHAnsi"/>
          <w:bCs/>
          <w:sz w:val="22"/>
          <w:szCs w:val="22"/>
        </w:rPr>
        <w:t xml:space="preserve"> 12.2 percent in the fi</w:t>
      </w:r>
      <w:r w:rsidR="007B70E0">
        <w:rPr>
          <w:rFonts w:ascii="Palatino Linotype" w:hAnsi="Palatino Linotype" w:cstheme="minorHAnsi"/>
          <w:bCs/>
          <w:sz w:val="22"/>
          <w:szCs w:val="22"/>
        </w:rPr>
        <w:t>rst quarte</w:t>
      </w:r>
      <w:r w:rsidR="00905D7E">
        <w:rPr>
          <w:rFonts w:ascii="Palatino Linotype" w:hAnsi="Palatino Linotype" w:cstheme="minorHAnsi"/>
          <w:bCs/>
          <w:sz w:val="22"/>
          <w:szCs w:val="22"/>
        </w:rPr>
        <w:t>r of 2019 on yearly basis (Table</w:t>
      </w:r>
      <w:r w:rsidR="007B70E0">
        <w:rPr>
          <w:rFonts w:ascii="Palatino Linotype" w:hAnsi="Palatino Linotype" w:cstheme="minorHAnsi"/>
          <w:bCs/>
          <w:sz w:val="22"/>
          <w:szCs w:val="22"/>
        </w:rPr>
        <w:t xml:space="preserve"> 1). </w:t>
      </w:r>
      <w:r w:rsidR="00905D7E">
        <w:rPr>
          <w:rFonts w:ascii="Palatino Linotype" w:hAnsi="Palatino Linotype" w:cstheme="minorHAnsi"/>
          <w:bCs/>
          <w:sz w:val="22"/>
          <w:szCs w:val="22"/>
        </w:rPr>
        <w:t>On quarterly basis, w</w:t>
      </w:r>
      <w:r w:rsidR="007B70E0">
        <w:rPr>
          <w:rFonts w:ascii="Palatino Linotype" w:hAnsi="Palatino Linotype" w:cstheme="minorHAnsi"/>
          <w:sz w:val="22"/>
          <w:szCs w:val="22"/>
        </w:rPr>
        <w:t xml:space="preserve">hen we look at seasonally and calendar day adjusted </w:t>
      </w:r>
      <w:r w:rsidR="007B70E0" w:rsidRPr="002F0AEA">
        <w:rPr>
          <w:rFonts w:ascii="Palatino Linotype" w:hAnsi="Palatino Linotype" w:cstheme="minorHAnsi"/>
          <w:sz w:val="22"/>
          <w:szCs w:val="22"/>
        </w:rPr>
        <w:t>data</w:t>
      </w:r>
      <w:r w:rsidR="007B70E0">
        <w:rPr>
          <w:rFonts w:ascii="Palatino Linotype" w:hAnsi="Palatino Linotype" w:cstheme="minorHAnsi"/>
          <w:sz w:val="22"/>
          <w:szCs w:val="22"/>
        </w:rPr>
        <w:t xml:space="preserve">, we see that </w:t>
      </w:r>
      <w:r w:rsidR="003B7721">
        <w:rPr>
          <w:rFonts w:ascii="Palatino Linotype" w:hAnsi="Palatino Linotype" w:cstheme="minorHAnsi"/>
          <w:sz w:val="22"/>
          <w:szCs w:val="22"/>
        </w:rPr>
        <w:t>both export and import decreased in the first quarter, yet increased in the second quarter. Nevertheless,</w:t>
      </w:r>
      <w:r w:rsidR="002E0F5A">
        <w:rPr>
          <w:rFonts w:ascii="Palatino Linotype" w:hAnsi="Palatino Linotype" w:cstheme="minorHAnsi"/>
          <w:sz w:val="22"/>
          <w:szCs w:val="22"/>
        </w:rPr>
        <w:t xml:space="preserve"> net exports contribute positively to growth tanks to strong exports growth (Table 2).</w:t>
      </w:r>
    </w:p>
    <w:p w14:paraId="1012F61F" w14:textId="77777777" w:rsidR="00630D61" w:rsidRDefault="00630D61" w:rsidP="00556396">
      <w:pPr>
        <w:pStyle w:val="NormalWeb"/>
        <w:spacing w:before="0" w:beforeAutospacing="0" w:after="0" w:afterAutospacing="0" w:line="360" w:lineRule="auto"/>
        <w:ind w:right="79"/>
        <w:jc w:val="both"/>
        <w:rPr>
          <w:rFonts w:ascii="Palatino Linotype" w:hAnsi="Palatino Linotype" w:cstheme="minorHAnsi"/>
          <w:b/>
          <w:bCs/>
          <w:sz w:val="22"/>
          <w:szCs w:val="22"/>
        </w:rPr>
      </w:pPr>
    </w:p>
    <w:p w14:paraId="1675665A" w14:textId="165A43D0" w:rsidR="00556396" w:rsidRPr="00061AD9" w:rsidRDefault="005664E8" w:rsidP="00556396">
      <w:pPr>
        <w:pStyle w:val="NormalWeb"/>
        <w:spacing w:before="0" w:beforeAutospacing="0" w:after="0" w:afterAutospacing="0" w:line="360" w:lineRule="auto"/>
        <w:ind w:right="79"/>
        <w:jc w:val="both"/>
        <w:rPr>
          <w:rFonts w:ascii="Palatino Linotype" w:hAnsi="Palatino Linotype" w:cstheme="minorHAnsi"/>
          <w:b/>
          <w:bCs/>
          <w:sz w:val="22"/>
          <w:szCs w:val="22"/>
        </w:rPr>
      </w:pPr>
      <w:r>
        <w:rPr>
          <w:rFonts w:ascii="Palatino Linotype" w:hAnsi="Palatino Linotype" w:cstheme="minorHAnsi"/>
          <w:b/>
          <w:bCs/>
          <w:sz w:val="22"/>
          <w:szCs w:val="22"/>
        </w:rPr>
        <w:t>Limited expansion in</w:t>
      </w:r>
      <w:r w:rsidR="00D73C94">
        <w:rPr>
          <w:rFonts w:ascii="Palatino Linotype" w:hAnsi="Palatino Linotype" w:cstheme="minorHAnsi"/>
          <w:b/>
          <w:bCs/>
          <w:sz w:val="22"/>
          <w:szCs w:val="22"/>
        </w:rPr>
        <w:t xml:space="preserve"> public </w:t>
      </w:r>
      <w:r w:rsidR="00061AD9" w:rsidRPr="00D45FFE">
        <w:rPr>
          <w:rFonts w:ascii="Palatino Linotype" w:hAnsi="Palatino Linotype" w:cstheme="minorHAnsi"/>
          <w:b/>
          <w:bCs/>
          <w:sz w:val="22"/>
          <w:szCs w:val="22"/>
        </w:rPr>
        <w:t>consumption expenditures</w:t>
      </w:r>
    </w:p>
    <w:p w14:paraId="16051BCE" w14:textId="4AD83F06" w:rsidR="00A603C8" w:rsidRDefault="005664E8" w:rsidP="00556396">
      <w:pPr>
        <w:pStyle w:val="NormalWeb"/>
        <w:spacing w:before="0" w:beforeAutospacing="0" w:after="0" w:afterAutospacing="0" w:line="360" w:lineRule="auto"/>
        <w:ind w:right="79"/>
        <w:jc w:val="both"/>
        <w:rPr>
          <w:rFonts w:ascii="Palatino Linotype" w:hAnsi="Palatino Linotype" w:cstheme="minorHAnsi"/>
          <w:bCs/>
          <w:sz w:val="22"/>
          <w:szCs w:val="22"/>
        </w:rPr>
      </w:pPr>
      <w:r>
        <w:rPr>
          <w:rFonts w:ascii="Palatino Linotype" w:hAnsi="Palatino Linotype" w:cstheme="minorHAnsi"/>
          <w:sz w:val="22"/>
          <w:szCs w:val="22"/>
        </w:rPr>
        <w:t xml:space="preserve">Public investments, which had </w:t>
      </w:r>
      <w:r w:rsidR="00B1173E">
        <w:rPr>
          <w:rFonts w:ascii="Palatino Linotype" w:hAnsi="Palatino Linotype" w:cstheme="minorHAnsi"/>
          <w:sz w:val="22"/>
          <w:szCs w:val="22"/>
        </w:rPr>
        <w:t>contracted</w:t>
      </w:r>
      <w:r w:rsidRPr="00B6148C">
        <w:rPr>
          <w:rFonts w:ascii="Palatino Linotype" w:hAnsi="Palatino Linotype" w:cstheme="minorHAnsi"/>
          <w:sz w:val="22"/>
          <w:szCs w:val="22"/>
        </w:rPr>
        <w:t xml:space="preserve"> </w:t>
      </w:r>
      <w:r w:rsidR="00061AD9">
        <w:rPr>
          <w:rFonts w:ascii="Palatino Linotype" w:hAnsi="Palatino Linotype" w:cstheme="minorHAnsi"/>
          <w:sz w:val="22"/>
          <w:szCs w:val="22"/>
        </w:rPr>
        <w:t>by nearly 6.</w:t>
      </w:r>
      <w:r>
        <w:rPr>
          <w:rFonts w:ascii="Palatino Linotype" w:hAnsi="Palatino Linotype" w:cstheme="minorHAnsi"/>
          <w:sz w:val="22"/>
          <w:szCs w:val="22"/>
        </w:rPr>
        <w:t>6 percen</w:t>
      </w:r>
      <w:bookmarkStart w:id="1" w:name="_GoBack"/>
      <w:bookmarkEnd w:id="1"/>
      <w:r>
        <w:rPr>
          <w:rFonts w:ascii="Palatino Linotype" w:hAnsi="Palatino Linotype" w:cstheme="minorHAnsi"/>
          <w:sz w:val="22"/>
          <w:szCs w:val="22"/>
        </w:rPr>
        <w:t>t in the first</w:t>
      </w:r>
      <w:r w:rsidRPr="00B6148C">
        <w:rPr>
          <w:rFonts w:ascii="Palatino Linotype" w:hAnsi="Palatino Linotype" w:cstheme="minorHAnsi"/>
          <w:sz w:val="22"/>
          <w:szCs w:val="22"/>
        </w:rPr>
        <w:t xml:space="preserve"> quarter</w:t>
      </w:r>
      <w:r>
        <w:rPr>
          <w:rFonts w:ascii="Palatino Linotype" w:hAnsi="Palatino Linotype" w:cstheme="minorHAnsi"/>
          <w:sz w:val="22"/>
          <w:szCs w:val="22"/>
        </w:rPr>
        <w:t xml:space="preserve"> of 2019</w:t>
      </w:r>
      <w:r w:rsidRPr="00B6148C">
        <w:rPr>
          <w:rFonts w:ascii="Palatino Linotype" w:hAnsi="Palatino Linotype" w:cstheme="minorHAnsi"/>
          <w:sz w:val="22"/>
          <w:szCs w:val="22"/>
        </w:rPr>
        <w:t xml:space="preserve"> compared to the same quarter of the previous year,</w:t>
      </w:r>
      <w:r w:rsidR="00B1173E">
        <w:rPr>
          <w:rFonts w:ascii="Palatino Linotype" w:hAnsi="Palatino Linotype" w:cstheme="minorHAnsi"/>
          <w:sz w:val="22"/>
          <w:szCs w:val="22"/>
        </w:rPr>
        <w:t xml:space="preserve"> grew</w:t>
      </w:r>
      <w:r>
        <w:rPr>
          <w:rFonts w:ascii="Palatino Linotype" w:hAnsi="Palatino Linotype" w:cstheme="minorHAnsi"/>
          <w:sz w:val="22"/>
          <w:szCs w:val="22"/>
        </w:rPr>
        <w:t xml:space="preserve"> only by </w:t>
      </w:r>
      <w:r w:rsidR="005D3341">
        <w:rPr>
          <w:rFonts w:ascii="Palatino Linotype" w:hAnsi="Palatino Linotype" w:cstheme="minorHAnsi"/>
          <w:sz w:val="22"/>
          <w:szCs w:val="22"/>
        </w:rPr>
        <w:t xml:space="preserve">3,3 percent. </w:t>
      </w:r>
      <w:r w:rsidR="005D3341">
        <w:rPr>
          <w:rFonts w:ascii="Palatino Linotype" w:hAnsi="Palatino Linotype" w:cstheme="minorHAnsi"/>
          <w:bCs/>
          <w:sz w:val="22"/>
          <w:szCs w:val="22"/>
        </w:rPr>
        <w:t xml:space="preserve">The contribution of this increments to growth </w:t>
      </w:r>
      <w:r w:rsidR="00B1173E">
        <w:rPr>
          <w:rFonts w:ascii="Palatino Linotype" w:hAnsi="Palatino Linotype" w:cstheme="minorHAnsi"/>
          <w:bCs/>
          <w:sz w:val="22"/>
          <w:szCs w:val="22"/>
        </w:rPr>
        <w:t xml:space="preserve">was </w:t>
      </w:r>
      <w:r w:rsidR="005D3341">
        <w:rPr>
          <w:rFonts w:ascii="Palatino Linotype" w:hAnsi="Palatino Linotype" w:cstheme="minorHAnsi"/>
          <w:bCs/>
          <w:sz w:val="22"/>
          <w:szCs w:val="22"/>
        </w:rPr>
        <w:t>1 percentage points and half percentage points, respectively (Table 1).</w:t>
      </w:r>
      <w:r w:rsidRPr="00B6148C">
        <w:rPr>
          <w:rFonts w:ascii="Palatino Linotype" w:hAnsi="Palatino Linotype" w:cstheme="minorHAnsi"/>
          <w:sz w:val="22"/>
          <w:szCs w:val="22"/>
        </w:rPr>
        <w:t xml:space="preserve"> </w:t>
      </w:r>
      <w:r w:rsidR="005D3341">
        <w:rPr>
          <w:rFonts w:ascii="Palatino Linotype" w:hAnsi="Palatino Linotype" w:cstheme="minorHAnsi"/>
          <w:bCs/>
          <w:sz w:val="22"/>
          <w:szCs w:val="22"/>
        </w:rPr>
        <w:t>On quarterly basis, w</w:t>
      </w:r>
      <w:r w:rsidR="005D3341">
        <w:rPr>
          <w:rFonts w:ascii="Palatino Linotype" w:hAnsi="Palatino Linotype" w:cstheme="minorHAnsi"/>
          <w:sz w:val="22"/>
          <w:szCs w:val="22"/>
        </w:rPr>
        <w:t xml:space="preserve">hen we look at seasonally and calendar day adjusted </w:t>
      </w:r>
      <w:r w:rsidR="005D3341" w:rsidRPr="002F0AEA">
        <w:rPr>
          <w:rFonts w:ascii="Palatino Linotype" w:hAnsi="Palatino Linotype" w:cstheme="minorHAnsi"/>
          <w:sz w:val="22"/>
          <w:szCs w:val="22"/>
        </w:rPr>
        <w:t>data</w:t>
      </w:r>
      <w:r w:rsidR="005D3341">
        <w:rPr>
          <w:rFonts w:ascii="Palatino Linotype" w:hAnsi="Palatino Linotype" w:cstheme="minorHAnsi"/>
          <w:sz w:val="22"/>
          <w:szCs w:val="22"/>
        </w:rPr>
        <w:t xml:space="preserve">, we observed that public investments had increased by 3,1 in the first quarter of 2019 and made contribution of 0,5 percentage points to growth. </w:t>
      </w:r>
      <w:r w:rsidR="005D3341">
        <w:rPr>
          <w:rFonts w:ascii="Palatino Linotype" w:hAnsi="Palatino Linotype" w:cstheme="minorHAnsi"/>
          <w:bCs/>
          <w:sz w:val="22"/>
          <w:szCs w:val="22"/>
        </w:rPr>
        <w:t xml:space="preserve">On quarterly basis, public investments </w:t>
      </w:r>
      <w:r w:rsidR="00B1173E">
        <w:rPr>
          <w:rFonts w:ascii="Palatino Linotype" w:hAnsi="Palatino Linotype" w:cstheme="minorHAnsi"/>
          <w:bCs/>
          <w:sz w:val="22"/>
          <w:szCs w:val="22"/>
        </w:rPr>
        <w:t>increased by 1,9 percentage points and made a contribution of 0,3 percentage points to growth (Table 2).</w:t>
      </w:r>
      <w:r w:rsidR="00A3483C">
        <w:rPr>
          <w:rFonts w:ascii="Palatino Linotype" w:hAnsi="Palatino Linotype" w:cstheme="minorHAnsi"/>
          <w:bCs/>
          <w:sz w:val="22"/>
          <w:szCs w:val="22"/>
        </w:rPr>
        <w:t xml:space="preserve"> </w:t>
      </w:r>
    </w:p>
    <w:p w14:paraId="7E0DFB81" w14:textId="77777777" w:rsidR="00556396" w:rsidRDefault="00556396" w:rsidP="002F6884">
      <w:pPr>
        <w:pStyle w:val="NormalWeb"/>
        <w:spacing w:before="0" w:beforeAutospacing="0" w:after="0" w:afterAutospacing="0"/>
        <w:ind w:right="77"/>
        <w:rPr>
          <w:rFonts w:ascii="Palatino Linotype" w:hAnsi="Palatino Linotype" w:cstheme="minorHAnsi"/>
          <w:b/>
          <w:bCs/>
          <w:sz w:val="22"/>
          <w:szCs w:val="22"/>
        </w:rPr>
      </w:pPr>
    </w:p>
    <w:p w14:paraId="785752FE" w14:textId="531CCD44" w:rsidR="00113E0A" w:rsidRPr="007D787D" w:rsidRDefault="00113E0A" w:rsidP="00556396">
      <w:pPr>
        <w:pStyle w:val="NormalWeb"/>
        <w:spacing w:before="0" w:beforeAutospacing="0" w:after="0" w:afterAutospacing="0" w:line="360" w:lineRule="auto"/>
        <w:ind w:right="77"/>
        <w:rPr>
          <w:rFonts w:ascii="Palatino Linotype" w:hAnsi="Palatino Linotype" w:cstheme="minorHAnsi"/>
          <w:b/>
          <w:bCs/>
          <w:sz w:val="22"/>
          <w:szCs w:val="22"/>
        </w:rPr>
      </w:pPr>
      <w:r w:rsidRPr="007D787D">
        <w:rPr>
          <w:rFonts w:ascii="Palatino Linotype" w:hAnsi="Palatino Linotype" w:cstheme="minorHAnsi"/>
          <w:b/>
          <w:bCs/>
          <w:sz w:val="22"/>
          <w:szCs w:val="22"/>
        </w:rPr>
        <w:t>The Future of Growth</w:t>
      </w:r>
    </w:p>
    <w:p w14:paraId="75081F50" w14:textId="1CAF846E" w:rsidR="003E0004" w:rsidRDefault="0084517B" w:rsidP="00642EE3">
      <w:pPr>
        <w:pStyle w:val="NormalWeb"/>
        <w:spacing w:before="0" w:beforeAutospacing="0" w:after="0" w:afterAutospacing="0" w:line="360" w:lineRule="auto"/>
        <w:ind w:right="79"/>
        <w:jc w:val="both"/>
        <w:rPr>
          <w:rFonts w:ascii="Palatino Linotype" w:hAnsi="Palatino Linotype" w:cstheme="minorHAnsi"/>
          <w:bCs/>
          <w:sz w:val="22"/>
          <w:szCs w:val="22"/>
        </w:rPr>
      </w:pPr>
      <w:r>
        <w:rPr>
          <w:rFonts w:ascii="Palatino Linotype" w:hAnsi="Palatino Linotype" w:cstheme="minorHAnsi"/>
          <w:bCs/>
          <w:sz w:val="22"/>
          <w:szCs w:val="22"/>
        </w:rPr>
        <w:t>It should be noted that there are conflicting signals on the future growth rate. On the one hand, investments continue to fall on both a yearly and a quarterly basis</w:t>
      </w:r>
      <w:r w:rsidR="00620937">
        <w:rPr>
          <w:rFonts w:ascii="Palatino Linotype" w:hAnsi="Palatino Linotype" w:cstheme="minorHAnsi"/>
          <w:bCs/>
          <w:sz w:val="22"/>
          <w:szCs w:val="22"/>
        </w:rPr>
        <w:t xml:space="preserve">, which means a bad indicator for the future period of growth. On the other hand, private consumption signals recovery and </w:t>
      </w:r>
      <w:r w:rsidR="00433E2F">
        <w:rPr>
          <w:rFonts w:ascii="Palatino Linotype" w:hAnsi="Palatino Linotype" w:cstheme="minorHAnsi"/>
          <w:bCs/>
          <w:sz w:val="22"/>
          <w:szCs w:val="22"/>
        </w:rPr>
        <w:t xml:space="preserve">quarterly </w:t>
      </w:r>
      <w:r w:rsidR="00620937">
        <w:rPr>
          <w:rFonts w:ascii="Palatino Linotype" w:hAnsi="Palatino Linotype" w:cstheme="minorHAnsi"/>
          <w:bCs/>
          <w:sz w:val="22"/>
          <w:szCs w:val="22"/>
        </w:rPr>
        <w:t>stock change makes a positive contribution to growth</w:t>
      </w:r>
      <w:r w:rsidR="00433E2F">
        <w:rPr>
          <w:rFonts w:ascii="Palatino Linotype" w:hAnsi="Palatino Linotype" w:cstheme="minorHAnsi"/>
          <w:bCs/>
          <w:sz w:val="22"/>
          <w:szCs w:val="22"/>
        </w:rPr>
        <w:t>. In the light of these, it is possible to interpret that</w:t>
      </w:r>
      <w:r w:rsidR="00280DBB">
        <w:rPr>
          <w:rFonts w:ascii="Palatino Linotype" w:hAnsi="Palatino Linotype" w:cstheme="minorHAnsi"/>
          <w:bCs/>
          <w:sz w:val="22"/>
          <w:szCs w:val="22"/>
        </w:rPr>
        <w:t xml:space="preserve"> producers think positively regarding</w:t>
      </w:r>
      <w:r w:rsidR="007D38D0">
        <w:rPr>
          <w:rFonts w:ascii="Palatino Linotype" w:hAnsi="Palatino Linotype" w:cstheme="minorHAnsi"/>
          <w:bCs/>
          <w:sz w:val="22"/>
          <w:szCs w:val="22"/>
        </w:rPr>
        <w:t xml:space="preserve"> the future periods, and thus, they did not cut production.</w:t>
      </w:r>
      <w:r w:rsidR="00280DBB">
        <w:rPr>
          <w:rFonts w:ascii="Palatino Linotype" w:hAnsi="Palatino Linotype" w:cstheme="minorHAnsi"/>
          <w:bCs/>
          <w:sz w:val="22"/>
          <w:szCs w:val="22"/>
        </w:rPr>
        <w:t xml:space="preserve">  </w:t>
      </w:r>
      <w:r w:rsidR="007D38D0" w:rsidRPr="007D38D0">
        <w:rPr>
          <w:rFonts w:ascii="Palatino Linotype" w:hAnsi="Palatino Linotype" w:cstheme="minorHAnsi"/>
          <w:bCs/>
          <w:sz w:val="22"/>
          <w:szCs w:val="22"/>
        </w:rPr>
        <w:t>It is al</w:t>
      </w:r>
      <w:r w:rsidR="00353941">
        <w:rPr>
          <w:rFonts w:ascii="Palatino Linotype" w:hAnsi="Palatino Linotype" w:cstheme="minorHAnsi"/>
          <w:bCs/>
          <w:sz w:val="22"/>
          <w:szCs w:val="22"/>
        </w:rPr>
        <w:t>so crucial</w:t>
      </w:r>
      <w:r w:rsidR="000450AC">
        <w:rPr>
          <w:rFonts w:ascii="Palatino Linotype" w:hAnsi="Palatino Linotype" w:cstheme="minorHAnsi"/>
          <w:bCs/>
          <w:sz w:val="22"/>
          <w:szCs w:val="22"/>
        </w:rPr>
        <w:t xml:space="preserve"> for the future periods</w:t>
      </w:r>
      <w:r w:rsidR="00D011BA">
        <w:rPr>
          <w:rFonts w:ascii="Palatino Linotype" w:hAnsi="Palatino Linotype" w:cstheme="minorHAnsi"/>
          <w:bCs/>
          <w:sz w:val="22"/>
          <w:szCs w:val="22"/>
        </w:rPr>
        <w:t xml:space="preserve"> </w:t>
      </w:r>
      <w:r w:rsidR="00353941">
        <w:rPr>
          <w:rFonts w:ascii="Palatino Linotype" w:hAnsi="Palatino Linotype" w:cstheme="minorHAnsi"/>
          <w:bCs/>
          <w:sz w:val="22"/>
          <w:szCs w:val="22"/>
        </w:rPr>
        <w:t xml:space="preserve">that </w:t>
      </w:r>
      <w:r w:rsidR="00D011BA">
        <w:rPr>
          <w:rFonts w:ascii="Palatino Linotype" w:hAnsi="Palatino Linotype" w:cstheme="minorHAnsi"/>
          <w:bCs/>
          <w:sz w:val="22"/>
          <w:szCs w:val="22"/>
        </w:rPr>
        <w:t xml:space="preserve">how </w:t>
      </w:r>
      <w:r w:rsidR="00DA6495">
        <w:rPr>
          <w:rFonts w:ascii="Palatino Linotype" w:hAnsi="Palatino Linotype" w:cstheme="minorHAnsi"/>
          <w:bCs/>
          <w:sz w:val="22"/>
          <w:szCs w:val="22"/>
        </w:rPr>
        <w:t>mortgage interest rate</w:t>
      </w:r>
      <w:r w:rsidR="007D38D0" w:rsidRPr="007D38D0">
        <w:rPr>
          <w:rFonts w:ascii="Palatino Linotype" w:hAnsi="Palatino Linotype" w:cstheme="minorHAnsi"/>
          <w:bCs/>
          <w:sz w:val="22"/>
          <w:szCs w:val="22"/>
        </w:rPr>
        <w:t xml:space="preserve"> below 1 percent</w:t>
      </w:r>
      <w:r w:rsidR="00353941">
        <w:rPr>
          <w:rFonts w:ascii="Palatino Linotype" w:hAnsi="Palatino Linotype" w:cstheme="minorHAnsi"/>
          <w:bCs/>
          <w:sz w:val="22"/>
          <w:szCs w:val="22"/>
        </w:rPr>
        <w:t xml:space="preserve"> initiated by three state banks</w:t>
      </w:r>
      <w:r w:rsidR="007D38D0" w:rsidRPr="007D38D0">
        <w:rPr>
          <w:rFonts w:ascii="Palatino Linotype" w:hAnsi="Palatino Linotype" w:cstheme="minorHAnsi"/>
          <w:bCs/>
          <w:sz w:val="22"/>
          <w:szCs w:val="22"/>
        </w:rPr>
        <w:t xml:space="preserve"> will affect housing sales and the con</w:t>
      </w:r>
      <w:r w:rsidR="00353941">
        <w:rPr>
          <w:rFonts w:ascii="Palatino Linotype" w:hAnsi="Palatino Linotype" w:cstheme="minorHAnsi"/>
          <w:bCs/>
          <w:sz w:val="22"/>
          <w:szCs w:val="22"/>
        </w:rPr>
        <w:t>struction sector that has been</w:t>
      </w:r>
      <w:r w:rsidR="007D38D0" w:rsidRPr="007D38D0">
        <w:rPr>
          <w:rFonts w:ascii="Palatino Linotype" w:hAnsi="Palatino Linotype" w:cstheme="minorHAnsi"/>
          <w:bCs/>
          <w:sz w:val="22"/>
          <w:szCs w:val="22"/>
        </w:rPr>
        <w:t xml:space="preserve"> declining for a long time.</w:t>
      </w:r>
    </w:p>
    <w:p w14:paraId="303CD719" w14:textId="2C773A66" w:rsidR="000242B7" w:rsidRDefault="003E0004" w:rsidP="003E0004">
      <w:pPr>
        <w:pStyle w:val="NormalWeb"/>
        <w:spacing w:before="0" w:beforeAutospacing="0" w:after="0" w:afterAutospacing="0" w:line="360" w:lineRule="auto"/>
        <w:ind w:right="79"/>
        <w:jc w:val="both"/>
        <w:rPr>
          <w:rFonts w:ascii="Palatino Linotype" w:hAnsi="Palatino Linotype" w:cstheme="minorHAnsi"/>
          <w:bCs/>
          <w:sz w:val="22"/>
          <w:szCs w:val="22"/>
        </w:rPr>
      </w:pPr>
      <w:r>
        <w:rPr>
          <w:rFonts w:ascii="Palatino Linotype" w:hAnsi="Palatino Linotype" w:cstheme="minorHAnsi"/>
          <w:bCs/>
          <w:sz w:val="22"/>
          <w:szCs w:val="22"/>
        </w:rPr>
        <w:lastRenderedPageBreak/>
        <w:t xml:space="preserve"> </w:t>
      </w:r>
    </w:p>
    <w:p w14:paraId="615E09C6" w14:textId="4842C154" w:rsidR="00620CE3" w:rsidRDefault="00620CE3" w:rsidP="00AA789A">
      <w:pPr>
        <w:pStyle w:val="NormalWeb"/>
        <w:spacing w:before="0" w:beforeAutospacing="0" w:after="0" w:afterAutospacing="0" w:line="360" w:lineRule="auto"/>
        <w:ind w:right="79"/>
        <w:jc w:val="both"/>
        <w:rPr>
          <w:rFonts w:ascii="Palatino Linotype" w:hAnsi="Palatino Linotype" w:cstheme="minorHAnsi"/>
          <w:b/>
          <w:bCs/>
          <w:sz w:val="22"/>
          <w:szCs w:val="22"/>
        </w:rPr>
      </w:pPr>
      <w:r>
        <w:rPr>
          <w:rFonts w:ascii="Palatino Linotype" w:hAnsi="Palatino Linotype" w:cstheme="minorHAnsi"/>
          <w:b/>
          <w:bCs/>
          <w:sz w:val="22"/>
          <w:szCs w:val="22"/>
        </w:rPr>
        <w:t>Figure</w:t>
      </w:r>
      <w:r w:rsidRPr="00924CD9">
        <w:rPr>
          <w:rFonts w:ascii="Palatino Linotype" w:hAnsi="Palatino Linotype" w:cstheme="minorHAnsi"/>
          <w:b/>
          <w:bCs/>
          <w:sz w:val="22"/>
          <w:szCs w:val="22"/>
        </w:rPr>
        <w:t xml:space="preserve"> 2: </w:t>
      </w:r>
      <w:r w:rsidRPr="00321431">
        <w:rPr>
          <w:rFonts w:ascii="Palatino Linotype" w:hAnsi="Palatino Linotype" w:cstheme="minorHAnsi"/>
          <w:b/>
          <w:bCs/>
          <w:sz w:val="22"/>
          <w:szCs w:val="22"/>
        </w:rPr>
        <w:t>GDP growth rates compared to the previous quarter and same quarter of last year</w:t>
      </w:r>
      <w:r w:rsidR="00BA7151" w:rsidRPr="00BA7151">
        <w:rPr>
          <w:noProof/>
          <w:lang w:val="en-GB" w:eastAsia="en-GB"/>
        </w:rPr>
        <w:t xml:space="preserve"> </w:t>
      </w:r>
    </w:p>
    <w:p w14:paraId="6FA9D674" w14:textId="18F1A842" w:rsidR="00620CE3" w:rsidRDefault="00F17DCD" w:rsidP="00620CE3">
      <w:pPr>
        <w:keepNext/>
        <w:rPr>
          <w:rFonts w:ascii="Palatino Linotype" w:hAnsi="Palatino Linotype" w:cstheme="minorHAnsi"/>
          <w:sz w:val="18"/>
          <w:szCs w:val="18"/>
        </w:rPr>
      </w:pPr>
      <w:r>
        <w:rPr>
          <w:noProof/>
          <w:lang w:val="en-GB" w:eastAsia="en-GB"/>
        </w:rPr>
        <w:drawing>
          <wp:inline distT="0" distB="0" distL="0" distR="0" wp14:anchorId="622E692F" wp14:editId="09D09B09">
            <wp:extent cx="5760720" cy="3622040"/>
            <wp:effectExtent l="0" t="0" r="11430" b="16510"/>
            <wp:docPr id="2" name="Chart 2">
              <a:extLst xmlns:a="http://schemas.openxmlformats.org/drawingml/2006/main">
                <a:ext uri="{FF2B5EF4-FFF2-40B4-BE49-F238E27FC236}">
                  <a16:creationId xmlns:a16="http://schemas.microsoft.com/office/drawing/2014/main" id="{72D9EBC5-21EC-487D-941E-FE52049D17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321431">
        <w:rPr>
          <w:rFonts w:ascii="Palatino Linotype" w:hAnsi="Palatino Linotype" w:cstheme="minorHAnsi"/>
          <w:b/>
          <w:sz w:val="18"/>
          <w:szCs w:val="18"/>
        </w:rPr>
        <w:t xml:space="preserve"> </w:t>
      </w:r>
      <w:r w:rsidR="00620CE3" w:rsidRPr="00321431">
        <w:rPr>
          <w:rFonts w:ascii="Palatino Linotype" w:hAnsi="Palatino Linotype" w:cstheme="minorHAnsi"/>
          <w:b/>
          <w:sz w:val="18"/>
          <w:szCs w:val="18"/>
        </w:rPr>
        <w:t>Source:</w:t>
      </w:r>
      <w:r w:rsidR="00620CE3" w:rsidRPr="003E1EED">
        <w:rPr>
          <w:rFonts w:ascii="Palatino Linotype" w:hAnsi="Palatino Linotype" w:cstheme="minorHAnsi"/>
          <w:sz w:val="18"/>
          <w:szCs w:val="18"/>
        </w:rPr>
        <w:t xml:space="preserve"> </w:t>
      </w:r>
      <w:proofErr w:type="spellStart"/>
      <w:r w:rsidR="00620CE3">
        <w:rPr>
          <w:rFonts w:ascii="Palatino Linotype" w:hAnsi="Palatino Linotype" w:cstheme="minorHAnsi"/>
          <w:sz w:val="18"/>
          <w:szCs w:val="18"/>
        </w:rPr>
        <w:t>TurkStat</w:t>
      </w:r>
      <w:proofErr w:type="spellEnd"/>
      <w:r w:rsidR="00620CE3" w:rsidRPr="003E1EED">
        <w:rPr>
          <w:rFonts w:ascii="Palatino Linotype" w:hAnsi="Palatino Linotype" w:cstheme="minorHAnsi"/>
          <w:sz w:val="18"/>
          <w:szCs w:val="18"/>
        </w:rPr>
        <w:t xml:space="preserve">, </w:t>
      </w:r>
      <w:proofErr w:type="spellStart"/>
      <w:r w:rsidR="00620CE3" w:rsidRPr="003E1EED">
        <w:rPr>
          <w:rFonts w:ascii="Palatino Linotype" w:hAnsi="Palatino Linotype" w:cstheme="minorHAnsi"/>
          <w:sz w:val="18"/>
          <w:szCs w:val="18"/>
        </w:rPr>
        <w:t>Betam</w:t>
      </w:r>
      <w:proofErr w:type="spellEnd"/>
      <w:r w:rsidR="00620CE3" w:rsidRPr="003E1EED">
        <w:rPr>
          <w:rFonts w:ascii="Palatino Linotype" w:hAnsi="Palatino Linotype" w:cstheme="minorHAnsi"/>
          <w:sz w:val="18"/>
          <w:szCs w:val="18"/>
        </w:rPr>
        <w:t xml:space="preserve">. </w:t>
      </w:r>
    </w:p>
    <w:p w14:paraId="3CA6E0CA" w14:textId="7B597DBB" w:rsidR="00681AD9" w:rsidRPr="00924CD9" w:rsidRDefault="00681AD9" w:rsidP="00E85F3F">
      <w:pPr>
        <w:keepNext/>
        <w:rPr>
          <w:rFonts w:ascii="Palatino Linotype" w:hAnsi="Palatino Linotype" w:cstheme="minorHAnsi"/>
        </w:rPr>
      </w:pPr>
    </w:p>
    <w:sectPr w:rsidR="00681AD9" w:rsidRPr="00924CD9"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90A23" w14:textId="77777777" w:rsidR="006E462A" w:rsidRDefault="006E462A" w:rsidP="00DA0C5D">
      <w:r>
        <w:separator/>
      </w:r>
    </w:p>
  </w:endnote>
  <w:endnote w:type="continuationSeparator" w:id="0">
    <w:p w14:paraId="1C985B6D" w14:textId="77777777" w:rsidR="006E462A" w:rsidRDefault="006E462A"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4B3F4" w14:textId="77777777" w:rsidR="006E462A" w:rsidRDefault="006E462A" w:rsidP="00DA0C5D">
      <w:r>
        <w:separator/>
      </w:r>
    </w:p>
  </w:footnote>
  <w:footnote w:type="continuationSeparator" w:id="0">
    <w:p w14:paraId="60018C85" w14:textId="77777777" w:rsidR="006E462A" w:rsidRDefault="006E462A" w:rsidP="00DA0C5D">
      <w:r>
        <w:continuationSeparator/>
      </w:r>
    </w:p>
  </w:footnote>
  <w:footnote w:id="1">
    <w:p w14:paraId="01CC3A01" w14:textId="77777777" w:rsidR="00ED015D" w:rsidRDefault="00ED015D" w:rsidP="00ED015D">
      <w:pPr>
        <w:pStyle w:val="FootnoteText"/>
      </w:pPr>
      <w:r>
        <w:rPr>
          <w:rStyle w:val="FootnoteReference"/>
        </w:rPr>
        <w:footnoteRef/>
      </w:r>
      <w:r>
        <w:t xml:space="preserve"> </w:t>
      </w:r>
      <w:proofErr w:type="spellStart"/>
      <w:r>
        <w:t>Betam</w:t>
      </w:r>
      <w:proofErr w:type="spellEnd"/>
      <w:r>
        <w:t>, ozan.bakis@eas.bau.edu.tr</w:t>
      </w:r>
    </w:p>
  </w:footnote>
  <w:footnote w:id="2">
    <w:p w14:paraId="12D9EC11" w14:textId="22A9B80B" w:rsidR="00ED015D" w:rsidRDefault="00ED015D" w:rsidP="00ED015D">
      <w:pPr>
        <w:pStyle w:val="FootnoteText"/>
      </w:pPr>
      <w:r>
        <w:rPr>
          <w:rStyle w:val="FootnoteReference"/>
        </w:rPr>
        <w:footnoteRef/>
      </w:r>
      <w:r>
        <w:t xml:space="preserve"> </w:t>
      </w:r>
      <w:proofErr w:type="spellStart"/>
      <w:r>
        <w:t>Betam</w:t>
      </w:r>
      <w:proofErr w:type="spellEnd"/>
      <w:r w:rsidR="00AE7247">
        <w:t>, hamza</w:t>
      </w:r>
      <w:r>
        <w:t>.</w:t>
      </w:r>
      <w:r w:rsidR="00AE7247">
        <w:t>mutluay</w:t>
      </w:r>
      <w:r>
        <w:t xml:space="preserve">@eas.bau.edu.tr </w:t>
      </w:r>
    </w:p>
  </w:footnote>
  <w:footnote w:id="3">
    <w:p w14:paraId="7B736CC5" w14:textId="77777777" w:rsidR="00781312" w:rsidRPr="00947B8B" w:rsidRDefault="00781312" w:rsidP="00AF4BB7">
      <w:pPr>
        <w:pStyle w:val="NormalWeb"/>
        <w:ind w:right="79"/>
        <w:jc w:val="both"/>
        <w:rPr>
          <w:rFonts w:ascii="Palatino Linotype" w:hAnsi="Palatino Linotype" w:cstheme="minorHAnsi"/>
          <w:sz w:val="20"/>
          <w:szCs w:val="22"/>
        </w:rPr>
      </w:pPr>
      <w:r w:rsidRPr="00947B8B">
        <w:rPr>
          <w:sz w:val="18"/>
          <w:szCs w:val="20"/>
          <w:lang w:val="tr-TR"/>
        </w:rPr>
        <w:footnoteRef/>
      </w:r>
      <w:r w:rsidRPr="00947B8B">
        <w:rPr>
          <w:sz w:val="18"/>
          <w:szCs w:val="20"/>
          <w:lang w:val="tr-TR"/>
        </w:rPr>
        <w:t xml:space="preserve"> </w:t>
      </w:r>
      <w:proofErr w:type="spellStart"/>
      <w:r w:rsidRPr="00947B8B">
        <w:rPr>
          <w:rFonts w:ascii="Palatino Linotype" w:hAnsi="Palatino Linotype"/>
          <w:sz w:val="18"/>
          <w:szCs w:val="20"/>
        </w:rPr>
        <w:t>TurkStat</w:t>
      </w:r>
      <w:proofErr w:type="spellEnd"/>
      <w:r w:rsidRPr="00947B8B">
        <w:rPr>
          <w:rFonts w:ascii="Palatino Linotype" w:hAnsi="Palatino Linotype"/>
          <w:sz w:val="18"/>
          <w:szCs w:val="20"/>
        </w:rPr>
        <w:t xml:space="preserve"> uses the chained volume index method when calculating new national income series. The contribution to growth of the stock change cannot be easily calculated because there is an additivity problem in the chain method and a chain index cannot be derived for the "changes in stock". We discussed in detail in the research note that we recently published how to account for the contribution of stock change to growth in the chain-volume index approach (see </w:t>
      </w:r>
      <w:proofErr w:type="spellStart"/>
      <w:r w:rsidRPr="00947B8B">
        <w:rPr>
          <w:rFonts w:ascii="Palatino Linotype" w:hAnsi="Palatino Linotype"/>
          <w:sz w:val="18"/>
          <w:szCs w:val="20"/>
        </w:rPr>
        <w:t>Betam</w:t>
      </w:r>
      <w:proofErr w:type="spellEnd"/>
      <w:r w:rsidRPr="00947B8B">
        <w:rPr>
          <w:rFonts w:ascii="Palatino Linotype" w:hAnsi="Palatino Linotype"/>
          <w:sz w:val="18"/>
          <w:szCs w:val="20"/>
        </w:rPr>
        <w:t xml:space="preserve"> Research Note 17/217).</w:t>
      </w:r>
    </w:p>
    <w:p w14:paraId="3A49B442" w14:textId="4D16B6E6" w:rsidR="00781312" w:rsidRPr="00781312" w:rsidRDefault="00781312">
      <w:pPr>
        <w:pStyle w:val="FootnoteText"/>
        <w:rPr>
          <w:lang w:val="tr-T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13"/>
    <w:rsid w:val="0000121D"/>
    <w:rsid w:val="00002F9A"/>
    <w:rsid w:val="00004F33"/>
    <w:rsid w:val="000119F9"/>
    <w:rsid w:val="00015B4E"/>
    <w:rsid w:val="000242B7"/>
    <w:rsid w:val="00033092"/>
    <w:rsid w:val="0003593D"/>
    <w:rsid w:val="00041E8F"/>
    <w:rsid w:val="00041FB7"/>
    <w:rsid w:val="000450AC"/>
    <w:rsid w:val="00051537"/>
    <w:rsid w:val="0005380F"/>
    <w:rsid w:val="00054943"/>
    <w:rsid w:val="00055EA1"/>
    <w:rsid w:val="00061AD9"/>
    <w:rsid w:val="000652B6"/>
    <w:rsid w:val="00070F11"/>
    <w:rsid w:val="000764F0"/>
    <w:rsid w:val="0008447C"/>
    <w:rsid w:val="00096CDA"/>
    <w:rsid w:val="000978C8"/>
    <w:rsid w:val="000A612E"/>
    <w:rsid w:val="000B2D39"/>
    <w:rsid w:val="000C22FC"/>
    <w:rsid w:val="000C634D"/>
    <w:rsid w:val="000D0913"/>
    <w:rsid w:val="000D5FD3"/>
    <w:rsid w:val="000D63E2"/>
    <w:rsid w:val="000F099A"/>
    <w:rsid w:val="000F2654"/>
    <w:rsid w:val="000F2ED1"/>
    <w:rsid w:val="00103251"/>
    <w:rsid w:val="001077D8"/>
    <w:rsid w:val="0011258F"/>
    <w:rsid w:val="00113E0A"/>
    <w:rsid w:val="00117151"/>
    <w:rsid w:val="001223E1"/>
    <w:rsid w:val="0012527F"/>
    <w:rsid w:val="001347D5"/>
    <w:rsid w:val="00140468"/>
    <w:rsid w:val="00140A01"/>
    <w:rsid w:val="0014542A"/>
    <w:rsid w:val="001457A8"/>
    <w:rsid w:val="0015026C"/>
    <w:rsid w:val="001537D8"/>
    <w:rsid w:val="001609DE"/>
    <w:rsid w:val="001657AC"/>
    <w:rsid w:val="00172B2C"/>
    <w:rsid w:val="00180E6E"/>
    <w:rsid w:val="00181C5F"/>
    <w:rsid w:val="0019114E"/>
    <w:rsid w:val="001B3A44"/>
    <w:rsid w:val="001C2C68"/>
    <w:rsid w:val="001C65BF"/>
    <w:rsid w:val="001D5B02"/>
    <w:rsid w:val="001D5B0E"/>
    <w:rsid w:val="001D6465"/>
    <w:rsid w:val="001F22EF"/>
    <w:rsid w:val="001F25C8"/>
    <w:rsid w:val="001F7B1D"/>
    <w:rsid w:val="001F7BC7"/>
    <w:rsid w:val="00200A56"/>
    <w:rsid w:val="002106DF"/>
    <w:rsid w:val="00212579"/>
    <w:rsid w:val="00214914"/>
    <w:rsid w:val="002159C6"/>
    <w:rsid w:val="00223A5B"/>
    <w:rsid w:val="00225C57"/>
    <w:rsid w:val="0022673E"/>
    <w:rsid w:val="00227A08"/>
    <w:rsid w:val="00236001"/>
    <w:rsid w:val="00236056"/>
    <w:rsid w:val="00247739"/>
    <w:rsid w:val="00256F28"/>
    <w:rsid w:val="00266308"/>
    <w:rsid w:val="00275745"/>
    <w:rsid w:val="00280DBB"/>
    <w:rsid w:val="00282242"/>
    <w:rsid w:val="0028498B"/>
    <w:rsid w:val="00286BE7"/>
    <w:rsid w:val="002945D6"/>
    <w:rsid w:val="00294F61"/>
    <w:rsid w:val="0029624E"/>
    <w:rsid w:val="002A07A9"/>
    <w:rsid w:val="002A7673"/>
    <w:rsid w:val="002B0C37"/>
    <w:rsid w:val="002B7001"/>
    <w:rsid w:val="002C5BE5"/>
    <w:rsid w:val="002C5C24"/>
    <w:rsid w:val="002D3A48"/>
    <w:rsid w:val="002D5820"/>
    <w:rsid w:val="002E0F5A"/>
    <w:rsid w:val="002E1608"/>
    <w:rsid w:val="002E2F3D"/>
    <w:rsid w:val="002F0AEA"/>
    <w:rsid w:val="002F6884"/>
    <w:rsid w:val="002F6A43"/>
    <w:rsid w:val="002F7F35"/>
    <w:rsid w:val="003031C7"/>
    <w:rsid w:val="00307B16"/>
    <w:rsid w:val="00313197"/>
    <w:rsid w:val="003166A0"/>
    <w:rsid w:val="003172DB"/>
    <w:rsid w:val="00317618"/>
    <w:rsid w:val="00321431"/>
    <w:rsid w:val="00332F19"/>
    <w:rsid w:val="00333108"/>
    <w:rsid w:val="00334E27"/>
    <w:rsid w:val="00344A74"/>
    <w:rsid w:val="00353941"/>
    <w:rsid w:val="003566E5"/>
    <w:rsid w:val="00363B91"/>
    <w:rsid w:val="003654F6"/>
    <w:rsid w:val="00365DAB"/>
    <w:rsid w:val="00381E85"/>
    <w:rsid w:val="00390CFF"/>
    <w:rsid w:val="00395089"/>
    <w:rsid w:val="003967B5"/>
    <w:rsid w:val="00397D3C"/>
    <w:rsid w:val="003A0146"/>
    <w:rsid w:val="003A42E6"/>
    <w:rsid w:val="003A488B"/>
    <w:rsid w:val="003B0360"/>
    <w:rsid w:val="003B5AC1"/>
    <w:rsid w:val="003B7721"/>
    <w:rsid w:val="003C2891"/>
    <w:rsid w:val="003C39AF"/>
    <w:rsid w:val="003D44CE"/>
    <w:rsid w:val="003D6EC3"/>
    <w:rsid w:val="003E0004"/>
    <w:rsid w:val="003E0201"/>
    <w:rsid w:val="003E0902"/>
    <w:rsid w:val="003E1EED"/>
    <w:rsid w:val="003E4D3E"/>
    <w:rsid w:val="003E5A3D"/>
    <w:rsid w:val="003F19B0"/>
    <w:rsid w:val="003F6ED6"/>
    <w:rsid w:val="00403E71"/>
    <w:rsid w:val="004116D0"/>
    <w:rsid w:val="004124E0"/>
    <w:rsid w:val="00414150"/>
    <w:rsid w:val="00415A3D"/>
    <w:rsid w:val="004263DD"/>
    <w:rsid w:val="0042790B"/>
    <w:rsid w:val="00431C38"/>
    <w:rsid w:val="00433A75"/>
    <w:rsid w:val="00433E2F"/>
    <w:rsid w:val="0043726B"/>
    <w:rsid w:val="004375D0"/>
    <w:rsid w:val="00441D87"/>
    <w:rsid w:val="0044231D"/>
    <w:rsid w:val="0044302D"/>
    <w:rsid w:val="00444693"/>
    <w:rsid w:val="00451A8A"/>
    <w:rsid w:val="00453999"/>
    <w:rsid w:val="004606E3"/>
    <w:rsid w:val="004617D3"/>
    <w:rsid w:val="00475688"/>
    <w:rsid w:val="00483EC5"/>
    <w:rsid w:val="00484A6D"/>
    <w:rsid w:val="004859BE"/>
    <w:rsid w:val="00490E51"/>
    <w:rsid w:val="004920A0"/>
    <w:rsid w:val="004931A5"/>
    <w:rsid w:val="004A3CC1"/>
    <w:rsid w:val="004A78AD"/>
    <w:rsid w:val="004C3A1F"/>
    <w:rsid w:val="004D27CD"/>
    <w:rsid w:val="004E444D"/>
    <w:rsid w:val="004F0543"/>
    <w:rsid w:val="00510883"/>
    <w:rsid w:val="00515940"/>
    <w:rsid w:val="00521FA6"/>
    <w:rsid w:val="00523C43"/>
    <w:rsid w:val="00525FBC"/>
    <w:rsid w:val="0053582F"/>
    <w:rsid w:val="0053586E"/>
    <w:rsid w:val="0053686A"/>
    <w:rsid w:val="0054145E"/>
    <w:rsid w:val="00545452"/>
    <w:rsid w:val="00551E58"/>
    <w:rsid w:val="00556396"/>
    <w:rsid w:val="00563C88"/>
    <w:rsid w:val="005664E8"/>
    <w:rsid w:val="00574752"/>
    <w:rsid w:val="00577733"/>
    <w:rsid w:val="00582521"/>
    <w:rsid w:val="005828CE"/>
    <w:rsid w:val="00586707"/>
    <w:rsid w:val="005912A1"/>
    <w:rsid w:val="0059780D"/>
    <w:rsid w:val="005A2E43"/>
    <w:rsid w:val="005C5646"/>
    <w:rsid w:val="005C6542"/>
    <w:rsid w:val="005D255A"/>
    <w:rsid w:val="005D3341"/>
    <w:rsid w:val="005D37CE"/>
    <w:rsid w:val="005E736B"/>
    <w:rsid w:val="005F4406"/>
    <w:rsid w:val="00620937"/>
    <w:rsid w:val="00620CE3"/>
    <w:rsid w:val="00625B95"/>
    <w:rsid w:val="00630CA0"/>
    <w:rsid w:val="00630D61"/>
    <w:rsid w:val="0064012D"/>
    <w:rsid w:val="00642EE3"/>
    <w:rsid w:val="00643113"/>
    <w:rsid w:val="00643216"/>
    <w:rsid w:val="006439C5"/>
    <w:rsid w:val="00645154"/>
    <w:rsid w:val="00647318"/>
    <w:rsid w:val="006549E3"/>
    <w:rsid w:val="006703B7"/>
    <w:rsid w:val="00681022"/>
    <w:rsid w:val="00681AD9"/>
    <w:rsid w:val="00683311"/>
    <w:rsid w:val="00684E04"/>
    <w:rsid w:val="00694F52"/>
    <w:rsid w:val="006A2580"/>
    <w:rsid w:val="006A5CE2"/>
    <w:rsid w:val="006A6470"/>
    <w:rsid w:val="006B13E3"/>
    <w:rsid w:val="006C3EE6"/>
    <w:rsid w:val="006D0B7D"/>
    <w:rsid w:val="006D1DD6"/>
    <w:rsid w:val="006D32A0"/>
    <w:rsid w:val="006D59B8"/>
    <w:rsid w:val="006E1666"/>
    <w:rsid w:val="006E2B12"/>
    <w:rsid w:val="006E462A"/>
    <w:rsid w:val="00703415"/>
    <w:rsid w:val="00711A8A"/>
    <w:rsid w:val="007159A3"/>
    <w:rsid w:val="00724E7C"/>
    <w:rsid w:val="0072743C"/>
    <w:rsid w:val="00731AF8"/>
    <w:rsid w:val="00745B7D"/>
    <w:rsid w:val="007539A6"/>
    <w:rsid w:val="00773D8B"/>
    <w:rsid w:val="00781312"/>
    <w:rsid w:val="00783CD4"/>
    <w:rsid w:val="007858EF"/>
    <w:rsid w:val="00787DD7"/>
    <w:rsid w:val="00791FA7"/>
    <w:rsid w:val="00794982"/>
    <w:rsid w:val="00796675"/>
    <w:rsid w:val="007A3C12"/>
    <w:rsid w:val="007A6F0F"/>
    <w:rsid w:val="007B70AD"/>
    <w:rsid w:val="007B70E0"/>
    <w:rsid w:val="007C5B10"/>
    <w:rsid w:val="007D38D0"/>
    <w:rsid w:val="007D4953"/>
    <w:rsid w:val="007D787D"/>
    <w:rsid w:val="007E086F"/>
    <w:rsid w:val="007E3F1F"/>
    <w:rsid w:val="007E4586"/>
    <w:rsid w:val="007E4990"/>
    <w:rsid w:val="007E4E9F"/>
    <w:rsid w:val="007E6BA4"/>
    <w:rsid w:val="007F0A34"/>
    <w:rsid w:val="007F3C9B"/>
    <w:rsid w:val="0080775F"/>
    <w:rsid w:val="00815160"/>
    <w:rsid w:val="00817A10"/>
    <w:rsid w:val="00823236"/>
    <w:rsid w:val="00827196"/>
    <w:rsid w:val="00831515"/>
    <w:rsid w:val="00833950"/>
    <w:rsid w:val="00835AF0"/>
    <w:rsid w:val="008360DB"/>
    <w:rsid w:val="0084500C"/>
    <w:rsid w:val="0084517B"/>
    <w:rsid w:val="008459A9"/>
    <w:rsid w:val="00845A54"/>
    <w:rsid w:val="00846FD6"/>
    <w:rsid w:val="0084784E"/>
    <w:rsid w:val="00847CF0"/>
    <w:rsid w:val="00850B79"/>
    <w:rsid w:val="00853420"/>
    <w:rsid w:val="00855D64"/>
    <w:rsid w:val="00865CE6"/>
    <w:rsid w:val="00870A7B"/>
    <w:rsid w:val="008739C4"/>
    <w:rsid w:val="0088497D"/>
    <w:rsid w:val="00887E59"/>
    <w:rsid w:val="00895FBD"/>
    <w:rsid w:val="008C6F06"/>
    <w:rsid w:val="008C70C5"/>
    <w:rsid w:val="008D323B"/>
    <w:rsid w:val="008E3A9A"/>
    <w:rsid w:val="008E74F0"/>
    <w:rsid w:val="008F030E"/>
    <w:rsid w:val="008F1741"/>
    <w:rsid w:val="008F3A50"/>
    <w:rsid w:val="008F49E7"/>
    <w:rsid w:val="00902BF6"/>
    <w:rsid w:val="009052B6"/>
    <w:rsid w:val="00905D7E"/>
    <w:rsid w:val="00913396"/>
    <w:rsid w:val="00924CD9"/>
    <w:rsid w:val="009258D1"/>
    <w:rsid w:val="00925E74"/>
    <w:rsid w:val="00935809"/>
    <w:rsid w:val="00947B8B"/>
    <w:rsid w:val="009548FC"/>
    <w:rsid w:val="00957020"/>
    <w:rsid w:val="00963B04"/>
    <w:rsid w:val="009778A7"/>
    <w:rsid w:val="00982F71"/>
    <w:rsid w:val="00984FF1"/>
    <w:rsid w:val="0099072A"/>
    <w:rsid w:val="009A71AF"/>
    <w:rsid w:val="009A748C"/>
    <w:rsid w:val="009B1546"/>
    <w:rsid w:val="009B651F"/>
    <w:rsid w:val="009C5E11"/>
    <w:rsid w:val="009D2969"/>
    <w:rsid w:val="009D3CEB"/>
    <w:rsid w:val="009D6C98"/>
    <w:rsid w:val="009D7A7A"/>
    <w:rsid w:val="009E0C70"/>
    <w:rsid w:val="009E0CF4"/>
    <w:rsid w:val="009E1F69"/>
    <w:rsid w:val="009E3E2C"/>
    <w:rsid w:val="009E68C6"/>
    <w:rsid w:val="009F2EBE"/>
    <w:rsid w:val="009F4306"/>
    <w:rsid w:val="00A04563"/>
    <w:rsid w:val="00A160F5"/>
    <w:rsid w:val="00A20C0F"/>
    <w:rsid w:val="00A310EA"/>
    <w:rsid w:val="00A3483C"/>
    <w:rsid w:val="00A46C4A"/>
    <w:rsid w:val="00A50FB7"/>
    <w:rsid w:val="00A550B2"/>
    <w:rsid w:val="00A603C8"/>
    <w:rsid w:val="00A6165E"/>
    <w:rsid w:val="00A63696"/>
    <w:rsid w:val="00A675D3"/>
    <w:rsid w:val="00A719DB"/>
    <w:rsid w:val="00A71F3D"/>
    <w:rsid w:val="00A75B99"/>
    <w:rsid w:val="00A82E6E"/>
    <w:rsid w:val="00A842EA"/>
    <w:rsid w:val="00A84F92"/>
    <w:rsid w:val="00A874DA"/>
    <w:rsid w:val="00A87ED9"/>
    <w:rsid w:val="00A97679"/>
    <w:rsid w:val="00AA789A"/>
    <w:rsid w:val="00AB1341"/>
    <w:rsid w:val="00AB16C5"/>
    <w:rsid w:val="00AB1E4F"/>
    <w:rsid w:val="00AC3507"/>
    <w:rsid w:val="00AD2B46"/>
    <w:rsid w:val="00AE59EE"/>
    <w:rsid w:val="00AE7247"/>
    <w:rsid w:val="00AF28C2"/>
    <w:rsid w:val="00AF3FE7"/>
    <w:rsid w:val="00AF4BB7"/>
    <w:rsid w:val="00AF59C3"/>
    <w:rsid w:val="00B1173E"/>
    <w:rsid w:val="00B24D64"/>
    <w:rsid w:val="00B27C9F"/>
    <w:rsid w:val="00B37CD7"/>
    <w:rsid w:val="00B42852"/>
    <w:rsid w:val="00B45BD0"/>
    <w:rsid w:val="00B53557"/>
    <w:rsid w:val="00B555FB"/>
    <w:rsid w:val="00B577D2"/>
    <w:rsid w:val="00B57DBD"/>
    <w:rsid w:val="00B6148C"/>
    <w:rsid w:val="00B636B3"/>
    <w:rsid w:val="00B67E66"/>
    <w:rsid w:val="00B703D3"/>
    <w:rsid w:val="00B808FF"/>
    <w:rsid w:val="00B82B92"/>
    <w:rsid w:val="00B903AE"/>
    <w:rsid w:val="00B9498C"/>
    <w:rsid w:val="00BA0BA7"/>
    <w:rsid w:val="00BA1C54"/>
    <w:rsid w:val="00BA400E"/>
    <w:rsid w:val="00BA7151"/>
    <w:rsid w:val="00BB5631"/>
    <w:rsid w:val="00BB5725"/>
    <w:rsid w:val="00BB5AEB"/>
    <w:rsid w:val="00BB6454"/>
    <w:rsid w:val="00BD6057"/>
    <w:rsid w:val="00BE3442"/>
    <w:rsid w:val="00BE4B3B"/>
    <w:rsid w:val="00BE6FC9"/>
    <w:rsid w:val="00BF0205"/>
    <w:rsid w:val="00BF4E41"/>
    <w:rsid w:val="00BF5A0A"/>
    <w:rsid w:val="00C04698"/>
    <w:rsid w:val="00C07A54"/>
    <w:rsid w:val="00C11B5A"/>
    <w:rsid w:val="00C21B16"/>
    <w:rsid w:val="00C319B6"/>
    <w:rsid w:val="00C32789"/>
    <w:rsid w:val="00C32ACD"/>
    <w:rsid w:val="00C33714"/>
    <w:rsid w:val="00C34C5C"/>
    <w:rsid w:val="00C34FEA"/>
    <w:rsid w:val="00C35660"/>
    <w:rsid w:val="00C45688"/>
    <w:rsid w:val="00C47DCC"/>
    <w:rsid w:val="00C5056E"/>
    <w:rsid w:val="00C57749"/>
    <w:rsid w:val="00C60338"/>
    <w:rsid w:val="00C63F01"/>
    <w:rsid w:val="00C6420F"/>
    <w:rsid w:val="00C65542"/>
    <w:rsid w:val="00C67CEB"/>
    <w:rsid w:val="00C703CE"/>
    <w:rsid w:val="00C70AEB"/>
    <w:rsid w:val="00C71C2D"/>
    <w:rsid w:val="00C745E7"/>
    <w:rsid w:val="00C7680B"/>
    <w:rsid w:val="00C80503"/>
    <w:rsid w:val="00C82B14"/>
    <w:rsid w:val="00C86B48"/>
    <w:rsid w:val="00C86D88"/>
    <w:rsid w:val="00C97FD1"/>
    <w:rsid w:val="00CA234B"/>
    <w:rsid w:val="00CA47FB"/>
    <w:rsid w:val="00CB3462"/>
    <w:rsid w:val="00CB5D14"/>
    <w:rsid w:val="00CB767C"/>
    <w:rsid w:val="00CC6BB9"/>
    <w:rsid w:val="00CC79C0"/>
    <w:rsid w:val="00CD1958"/>
    <w:rsid w:val="00CD4010"/>
    <w:rsid w:val="00CE6742"/>
    <w:rsid w:val="00CE7DE8"/>
    <w:rsid w:val="00CF5053"/>
    <w:rsid w:val="00D011BA"/>
    <w:rsid w:val="00D02FDC"/>
    <w:rsid w:val="00D0565E"/>
    <w:rsid w:val="00D07713"/>
    <w:rsid w:val="00D11FED"/>
    <w:rsid w:val="00D16B42"/>
    <w:rsid w:val="00D16B80"/>
    <w:rsid w:val="00D2047D"/>
    <w:rsid w:val="00D225DC"/>
    <w:rsid w:val="00D257C1"/>
    <w:rsid w:val="00D30DDE"/>
    <w:rsid w:val="00D31133"/>
    <w:rsid w:val="00D31197"/>
    <w:rsid w:val="00D35D40"/>
    <w:rsid w:val="00D37D2E"/>
    <w:rsid w:val="00D4207F"/>
    <w:rsid w:val="00D4574F"/>
    <w:rsid w:val="00D45FFE"/>
    <w:rsid w:val="00D46B89"/>
    <w:rsid w:val="00D53424"/>
    <w:rsid w:val="00D56304"/>
    <w:rsid w:val="00D62FAD"/>
    <w:rsid w:val="00D73C94"/>
    <w:rsid w:val="00D74CD7"/>
    <w:rsid w:val="00D76EC3"/>
    <w:rsid w:val="00D80ACB"/>
    <w:rsid w:val="00D837DC"/>
    <w:rsid w:val="00D90931"/>
    <w:rsid w:val="00D92B0A"/>
    <w:rsid w:val="00DA05C4"/>
    <w:rsid w:val="00DA0C5D"/>
    <w:rsid w:val="00DA6495"/>
    <w:rsid w:val="00DC143D"/>
    <w:rsid w:val="00DD6027"/>
    <w:rsid w:val="00DD6379"/>
    <w:rsid w:val="00DE0C3C"/>
    <w:rsid w:val="00DE21F9"/>
    <w:rsid w:val="00DE2FC2"/>
    <w:rsid w:val="00DF3360"/>
    <w:rsid w:val="00E01513"/>
    <w:rsid w:val="00E01CEA"/>
    <w:rsid w:val="00E140CF"/>
    <w:rsid w:val="00E207B3"/>
    <w:rsid w:val="00E23E54"/>
    <w:rsid w:val="00E25DC7"/>
    <w:rsid w:val="00E306CB"/>
    <w:rsid w:val="00E41840"/>
    <w:rsid w:val="00E44957"/>
    <w:rsid w:val="00E44C25"/>
    <w:rsid w:val="00E46F18"/>
    <w:rsid w:val="00E57043"/>
    <w:rsid w:val="00E60BB7"/>
    <w:rsid w:val="00E6189A"/>
    <w:rsid w:val="00E637AC"/>
    <w:rsid w:val="00E667CB"/>
    <w:rsid w:val="00E750CC"/>
    <w:rsid w:val="00E80A0B"/>
    <w:rsid w:val="00E82940"/>
    <w:rsid w:val="00E85520"/>
    <w:rsid w:val="00E85F3F"/>
    <w:rsid w:val="00E93C61"/>
    <w:rsid w:val="00E9568F"/>
    <w:rsid w:val="00E95A54"/>
    <w:rsid w:val="00EA29DD"/>
    <w:rsid w:val="00EB00D0"/>
    <w:rsid w:val="00EB1BBC"/>
    <w:rsid w:val="00EB476F"/>
    <w:rsid w:val="00EC136E"/>
    <w:rsid w:val="00EC2814"/>
    <w:rsid w:val="00EC3573"/>
    <w:rsid w:val="00EC3B8B"/>
    <w:rsid w:val="00EC59FB"/>
    <w:rsid w:val="00ED015D"/>
    <w:rsid w:val="00ED0438"/>
    <w:rsid w:val="00EE150B"/>
    <w:rsid w:val="00EE1AD0"/>
    <w:rsid w:val="00EE4235"/>
    <w:rsid w:val="00EE6549"/>
    <w:rsid w:val="00EE6BE0"/>
    <w:rsid w:val="00EF09A7"/>
    <w:rsid w:val="00F0076E"/>
    <w:rsid w:val="00F076FB"/>
    <w:rsid w:val="00F118B1"/>
    <w:rsid w:val="00F11CD6"/>
    <w:rsid w:val="00F17DCD"/>
    <w:rsid w:val="00F22A71"/>
    <w:rsid w:val="00F23F99"/>
    <w:rsid w:val="00F27D86"/>
    <w:rsid w:val="00F32B38"/>
    <w:rsid w:val="00F46A54"/>
    <w:rsid w:val="00F5130C"/>
    <w:rsid w:val="00F612B5"/>
    <w:rsid w:val="00F61FEE"/>
    <w:rsid w:val="00F66A5A"/>
    <w:rsid w:val="00F66F36"/>
    <w:rsid w:val="00F70EC7"/>
    <w:rsid w:val="00F819BC"/>
    <w:rsid w:val="00F87871"/>
    <w:rsid w:val="00F9263F"/>
    <w:rsid w:val="00F94113"/>
    <w:rsid w:val="00F964EA"/>
    <w:rsid w:val="00F97771"/>
    <w:rsid w:val="00FA63BA"/>
    <w:rsid w:val="00FA79F3"/>
    <w:rsid w:val="00FA7B27"/>
    <w:rsid w:val="00FB6ACD"/>
    <w:rsid w:val="00FC4AA3"/>
    <w:rsid w:val="00FD311B"/>
    <w:rsid w:val="00FD47AA"/>
    <w:rsid w:val="00FE07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9B7E"/>
  <w15:docId w15:val="{0D3A7D73-F15D-419F-87BD-95A79091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13"/>
    <w:pPr>
      <w:spacing w:after="0" w:line="240" w:lineRule="auto"/>
    </w:pPr>
    <w:rPr>
      <w:rFonts w:ascii="Times New Roman"/>
      <w:sz w:val="24"/>
      <w:szCs w:val="24"/>
      <w:lang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247739"/>
    <w:rPr>
      <w:sz w:val="16"/>
      <w:szCs w:val="16"/>
    </w:rPr>
  </w:style>
  <w:style w:type="paragraph" w:styleId="CommentText">
    <w:name w:val="annotation text"/>
    <w:basedOn w:val="Normal"/>
    <w:link w:val="CommentTextChar"/>
    <w:uiPriority w:val="99"/>
    <w:semiHidden/>
    <w:unhideWhenUsed/>
    <w:rsid w:val="00247739"/>
    <w:rPr>
      <w:sz w:val="20"/>
      <w:szCs w:val="20"/>
    </w:rPr>
  </w:style>
  <w:style w:type="character" w:customStyle="1" w:styleId="CommentTextChar">
    <w:name w:val="Comment Text Char"/>
    <w:basedOn w:val="DefaultParagraphFont"/>
    <w:link w:val="CommentText"/>
    <w:uiPriority w:val="99"/>
    <w:semiHidden/>
    <w:rsid w:val="00247739"/>
    <w:rPr>
      <w:rFonts w:ascii="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247739"/>
    <w:rPr>
      <w:b/>
      <w:bCs/>
    </w:rPr>
  </w:style>
  <w:style w:type="character" w:customStyle="1" w:styleId="CommentSubjectChar">
    <w:name w:val="Comment Subject Char"/>
    <w:basedOn w:val="CommentTextChar"/>
    <w:link w:val="CommentSubject"/>
    <w:uiPriority w:val="99"/>
    <w:semiHidden/>
    <w:rsid w:val="00247739"/>
    <w:rPr>
      <w:rFonts w:ascii="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686">
      <w:bodyDiv w:val="1"/>
      <w:marLeft w:val="0"/>
      <w:marRight w:val="0"/>
      <w:marTop w:val="0"/>
      <w:marBottom w:val="0"/>
      <w:divBdr>
        <w:top w:val="none" w:sz="0" w:space="0" w:color="auto"/>
        <w:left w:val="none" w:sz="0" w:space="0" w:color="auto"/>
        <w:bottom w:val="none" w:sz="0" w:space="0" w:color="auto"/>
        <w:right w:val="none" w:sz="0" w:space="0" w:color="auto"/>
      </w:divBdr>
    </w:div>
    <w:div w:id="136801609">
      <w:bodyDiv w:val="1"/>
      <w:marLeft w:val="0"/>
      <w:marRight w:val="0"/>
      <w:marTop w:val="0"/>
      <w:marBottom w:val="0"/>
      <w:divBdr>
        <w:top w:val="none" w:sz="0" w:space="0" w:color="auto"/>
        <w:left w:val="none" w:sz="0" w:space="0" w:color="auto"/>
        <w:bottom w:val="none" w:sz="0" w:space="0" w:color="auto"/>
        <w:right w:val="none" w:sz="0" w:space="0" w:color="auto"/>
      </w:divBdr>
    </w:div>
    <w:div w:id="178666852">
      <w:bodyDiv w:val="1"/>
      <w:marLeft w:val="0"/>
      <w:marRight w:val="0"/>
      <w:marTop w:val="0"/>
      <w:marBottom w:val="0"/>
      <w:divBdr>
        <w:top w:val="none" w:sz="0" w:space="0" w:color="auto"/>
        <w:left w:val="none" w:sz="0" w:space="0" w:color="auto"/>
        <w:bottom w:val="none" w:sz="0" w:space="0" w:color="auto"/>
        <w:right w:val="none" w:sz="0" w:space="0" w:color="auto"/>
      </w:divBdr>
    </w:div>
    <w:div w:id="183788463">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93414002">
      <w:bodyDiv w:val="1"/>
      <w:marLeft w:val="0"/>
      <w:marRight w:val="0"/>
      <w:marTop w:val="0"/>
      <w:marBottom w:val="0"/>
      <w:divBdr>
        <w:top w:val="none" w:sz="0" w:space="0" w:color="auto"/>
        <w:left w:val="none" w:sz="0" w:space="0" w:color="auto"/>
        <w:bottom w:val="none" w:sz="0" w:space="0" w:color="auto"/>
        <w:right w:val="none" w:sz="0" w:space="0" w:color="auto"/>
      </w:divBdr>
    </w:div>
    <w:div w:id="396519560">
      <w:bodyDiv w:val="1"/>
      <w:marLeft w:val="0"/>
      <w:marRight w:val="0"/>
      <w:marTop w:val="0"/>
      <w:marBottom w:val="0"/>
      <w:divBdr>
        <w:top w:val="none" w:sz="0" w:space="0" w:color="auto"/>
        <w:left w:val="none" w:sz="0" w:space="0" w:color="auto"/>
        <w:bottom w:val="none" w:sz="0" w:space="0" w:color="auto"/>
        <w:right w:val="none" w:sz="0" w:space="0" w:color="auto"/>
      </w:divBdr>
      <w:divsChild>
        <w:div w:id="5252057">
          <w:marLeft w:val="0"/>
          <w:marRight w:val="0"/>
          <w:marTop w:val="0"/>
          <w:marBottom w:val="0"/>
          <w:divBdr>
            <w:top w:val="none" w:sz="0" w:space="0" w:color="auto"/>
            <w:left w:val="none" w:sz="0" w:space="0" w:color="auto"/>
            <w:bottom w:val="none" w:sz="0" w:space="0" w:color="auto"/>
            <w:right w:val="none" w:sz="0" w:space="0" w:color="auto"/>
          </w:divBdr>
          <w:divsChild>
            <w:div w:id="628557301">
              <w:marLeft w:val="0"/>
              <w:marRight w:val="0"/>
              <w:marTop w:val="0"/>
              <w:marBottom w:val="0"/>
              <w:divBdr>
                <w:top w:val="none" w:sz="0" w:space="0" w:color="auto"/>
                <w:left w:val="none" w:sz="0" w:space="0" w:color="auto"/>
                <w:bottom w:val="none" w:sz="0" w:space="0" w:color="auto"/>
                <w:right w:val="none" w:sz="0" w:space="0" w:color="auto"/>
              </w:divBdr>
              <w:divsChild>
                <w:div w:id="1447653471">
                  <w:marLeft w:val="0"/>
                  <w:marRight w:val="0"/>
                  <w:marTop w:val="0"/>
                  <w:marBottom w:val="0"/>
                  <w:divBdr>
                    <w:top w:val="none" w:sz="0" w:space="0" w:color="auto"/>
                    <w:left w:val="none" w:sz="0" w:space="0" w:color="auto"/>
                    <w:bottom w:val="none" w:sz="0" w:space="0" w:color="auto"/>
                    <w:right w:val="none" w:sz="0" w:space="0" w:color="auto"/>
                  </w:divBdr>
                  <w:divsChild>
                    <w:div w:id="746073400">
                      <w:marLeft w:val="0"/>
                      <w:marRight w:val="0"/>
                      <w:marTop w:val="0"/>
                      <w:marBottom w:val="0"/>
                      <w:divBdr>
                        <w:top w:val="none" w:sz="0" w:space="0" w:color="auto"/>
                        <w:left w:val="none" w:sz="0" w:space="0" w:color="auto"/>
                        <w:bottom w:val="none" w:sz="0" w:space="0" w:color="auto"/>
                        <w:right w:val="none" w:sz="0" w:space="0" w:color="auto"/>
                      </w:divBdr>
                      <w:divsChild>
                        <w:div w:id="1245452024">
                          <w:marLeft w:val="0"/>
                          <w:marRight w:val="0"/>
                          <w:marTop w:val="0"/>
                          <w:marBottom w:val="0"/>
                          <w:divBdr>
                            <w:top w:val="none" w:sz="0" w:space="0" w:color="auto"/>
                            <w:left w:val="none" w:sz="0" w:space="0" w:color="auto"/>
                            <w:bottom w:val="none" w:sz="0" w:space="0" w:color="auto"/>
                            <w:right w:val="none" w:sz="0" w:space="0" w:color="auto"/>
                          </w:divBdr>
                          <w:divsChild>
                            <w:div w:id="273640104">
                              <w:marLeft w:val="0"/>
                              <w:marRight w:val="300"/>
                              <w:marTop w:val="180"/>
                              <w:marBottom w:val="0"/>
                              <w:divBdr>
                                <w:top w:val="none" w:sz="0" w:space="0" w:color="auto"/>
                                <w:left w:val="none" w:sz="0" w:space="0" w:color="auto"/>
                                <w:bottom w:val="none" w:sz="0" w:space="0" w:color="auto"/>
                                <w:right w:val="none" w:sz="0" w:space="0" w:color="auto"/>
                              </w:divBdr>
                              <w:divsChild>
                                <w:div w:id="20034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206833">
          <w:marLeft w:val="0"/>
          <w:marRight w:val="0"/>
          <w:marTop w:val="0"/>
          <w:marBottom w:val="0"/>
          <w:divBdr>
            <w:top w:val="none" w:sz="0" w:space="0" w:color="auto"/>
            <w:left w:val="none" w:sz="0" w:space="0" w:color="auto"/>
            <w:bottom w:val="none" w:sz="0" w:space="0" w:color="auto"/>
            <w:right w:val="none" w:sz="0" w:space="0" w:color="auto"/>
          </w:divBdr>
          <w:divsChild>
            <w:div w:id="8722971">
              <w:marLeft w:val="0"/>
              <w:marRight w:val="0"/>
              <w:marTop w:val="0"/>
              <w:marBottom w:val="0"/>
              <w:divBdr>
                <w:top w:val="none" w:sz="0" w:space="0" w:color="auto"/>
                <w:left w:val="none" w:sz="0" w:space="0" w:color="auto"/>
                <w:bottom w:val="none" w:sz="0" w:space="0" w:color="auto"/>
                <w:right w:val="none" w:sz="0" w:space="0" w:color="auto"/>
              </w:divBdr>
              <w:divsChild>
                <w:div w:id="1375081824">
                  <w:marLeft w:val="0"/>
                  <w:marRight w:val="0"/>
                  <w:marTop w:val="0"/>
                  <w:marBottom w:val="0"/>
                  <w:divBdr>
                    <w:top w:val="none" w:sz="0" w:space="0" w:color="auto"/>
                    <w:left w:val="none" w:sz="0" w:space="0" w:color="auto"/>
                    <w:bottom w:val="none" w:sz="0" w:space="0" w:color="auto"/>
                    <w:right w:val="none" w:sz="0" w:space="0" w:color="auto"/>
                  </w:divBdr>
                  <w:divsChild>
                    <w:div w:id="748385804">
                      <w:marLeft w:val="0"/>
                      <w:marRight w:val="0"/>
                      <w:marTop w:val="0"/>
                      <w:marBottom w:val="0"/>
                      <w:divBdr>
                        <w:top w:val="none" w:sz="0" w:space="0" w:color="auto"/>
                        <w:left w:val="none" w:sz="0" w:space="0" w:color="auto"/>
                        <w:bottom w:val="none" w:sz="0" w:space="0" w:color="auto"/>
                        <w:right w:val="none" w:sz="0" w:space="0" w:color="auto"/>
                      </w:divBdr>
                      <w:divsChild>
                        <w:div w:id="15941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36901">
      <w:bodyDiv w:val="1"/>
      <w:marLeft w:val="0"/>
      <w:marRight w:val="0"/>
      <w:marTop w:val="0"/>
      <w:marBottom w:val="0"/>
      <w:divBdr>
        <w:top w:val="none" w:sz="0" w:space="0" w:color="auto"/>
        <w:left w:val="none" w:sz="0" w:space="0" w:color="auto"/>
        <w:bottom w:val="none" w:sz="0" w:space="0" w:color="auto"/>
        <w:right w:val="none" w:sz="0" w:space="0" w:color="auto"/>
      </w:divBdr>
    </w:div>
    <w:div w:id="666320978">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80173527">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608541272">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673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 Q2'!$F$3</c:f>
              <c:strCache>
                <c:ptCount val="1"/>
                <c:pt idx="0">
                  <c:v>Contribution (%)</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2B6A-4CC6-B6B6-0B9F1C3CC1A0}"/>
              </c:ext>
            </c:extLst>
          </c:dPt>
          <c:dPt>
            <c:idx val="1"/>
            <c:invertIfNegative val="0"/>
            <c:bubble3D val="0"/>
            <c:spPr>
              <a:solidFill>
                <a:srgbClr val="FF0000"/>
              </a:solidFill>
              <a:ln>
                <a:noFill/>
              </a:ln>
              <a:effectLst/>
            </c:spPr>
            <c:extLst>
              <c:ext xmlns:c16="http://schemas.microsoft.com/office/drawing/2014/chart" uri="{C3380CC4-5D6E-409C-BE32-E72D297353CC}">
                <c16:uniqueId val="{00000003-2B6A-4CC6-B6B6-0B9F1C3CC1A0}"/>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5-2B6A-4CC6-B6B6-0B9F1C3CC1A0}"/>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7-2B6A-4CC6-B6B6-0B9F1C3CC1A0}"/>
              </c:ext>
            </c:extLst>
          </c:dPt>
          <c:dPt>
            <c:idx val="4"/>
            <c:invertIfNegative val="0"/>
            <c:bubble3D val="0"/>
            <c:spPr>
              <a:solidFill>
                <a:srgbClr val="FF0000"/>
              </a:solidFill>
              <a:ln>
                <a:noFill/>
              </a:ln>
              <a:effectLst/>
            </c:spPr>
            <c:extLst>
              <c:ext xmlns:c16="http://schemas.microsoft.com/office/drawing/2014/chart" uri="{C3380CC4-5D6E-409C-BE32-E72D297353CC}">
                <c16:uniqueId val="{00000009-2B6A-4CC6-B6B6-0B9F1C3CC1A0}"/>
              </c:ext>
            </c:extLst>
          </c:dPt>
          <c:dPt>
            <c:idx val="5"/>
            <c:invertIfNegative val="0"/>
            <c:bubble3D val="0"/>
            <c:spPr>
              <a:solidFill>
                <a:srgbClr val="FF0000"/>
              </a:solidFill>
              <a:ln>
                <a:noFill/>
              </a:ln>
              <a:effectLst/>
            </c:spPr>
            <c:extLst>
              <c:ext xmlns:c16="http://schemas.microsoft.com/office/drawing/2014/chart" uri="{C3380CC4-5D6E-409C-BE32-E72D297353CC}">
                <c16:uniqueId val="{0000000B-2B6A-4CC6-B6B6-0B9F1C3CC1A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 Q2'!$B$4:$B$10</c:f>
              <c:strCache>
                <c:ptCount val="7"/>
                <c:pt idx="0">
                  <c:v>Consumption</c:v>
                </c:pt>
                <c:pt idx="1">
                  <c:v>Government Spending</c:v>
                </c:pt>
                <c:pt idx="2">
                  <c:v>Investment</c:v>
                </c:pt>
                <c:pt idx="3">
                  <c:v>Change in Stock</c:v>
                </c:pt>
                <c:pt idx="4">
                  <c:v>Export</c:v>
                </c:pt>
                <c:pt idx="5">
                  <c:v>Import</c:v>
                </c:pt>
                <c:pt idx="6">
                  <c:v>GDP</c:v>
                </c:pt>
              </c:strCache>
            </c:strRef>
          </c:cat>
          <c:val>
            <c:numRef>
              <c:f>'2019 Q2'!$F$4:$F$9</c:f>
              <c:numCache>
                <c:formatCode>0.0</c:formatCode>
                <c:ptCount val="6"/>
                <c:pt idx="0">
                  <c:v>-0.58721899152777746</c:v>
                </c:pt>
                <c:pt idx="1">
                  <c:v>0.47956396654305411</c:v>
                </c:pt>
                <c:pt idx="2">
                  <c:v>-7.3318732926072103</c:v>
                </c:pt>
                <c:pt idx="3">
                  <c:v>-1.519849158145002</c:v>
                </c:pt>
                <c:pt idx="4">
                  <c:v>2.1912690222818161</c:v>
                </c:pt>
                <c:pt idx="5">
                  <c:v>5.2471698096907264</c:v>
                </c:pt>
              </c:numCache>
            </c:numRef>
          </c:val>
          <c:extLst>
            <c:ext xmlns:c16="http://schemas.microsoft.com/office/drawing/2014/chart" uri="{C3380CC4-5D6E-409C-BE32-E72D297353CC}">
              <c16:uniqueId val="{0000000C-2B6A-4CC6-B6B6-0B9F1C3CC1A0}"/>
            </c:ext>
          </c:extLst>
        </c:ser>
        <c:dLbls>
          <c:dLblPos val="outEnd"/>
          <c:showLegendKey val="0"/>
          <c:showVal val="1"/>
          <c:showCatName val="0"/>
          <c:showSerName val="0"/>
          <c:showPercent val="0"/>
          <c:showBubbleSize val="0"/>
        </c:dLbls>
        <c:gapWidth val="219"/>
        <c:overlap val="-27"/>
        <c:axId val="327991472"/>
        <c:axId val="327992592"/>
      </c:barChart>
      <c:catAx>
        <c:axId val="3279914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992592"/>
        <c:crosses val="autoZero"/>
        <c:auto val="1"/>
        <c:lblAlgn val="ctr"/>
        <c:lblOffset val="100"/>
        <c:noMultiLvlLbl val="0"/>
      </c:catAx>
      <c:valAx>
        <c:axId val="32799259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99147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 Q2'!$E$3</c:f>
              <c:strCache>
                <c:ptCount val="1"/>
                <c:pt idx="0">
                  <c:v>Change (%)</c:v>
                </c:pt>
              </c:strCache>
            </c:strRef>
          </c:tx>
          <c:spPr>
            <a:solidFill>
              <a:schemeClr val="accent1"/>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6284-41AE-93D5-A6B2CFE4CAD0}"/>
              </c:ext>
            </c:extLst>
          </c:dPt>
          <c:dPt>
            <c:idx val="1"/>
            <c:invertIfNegative val="0"/>
            <c:bubble3D val="0"/>
            <c:spPr>
              <a:solidFill>
                <a:srgbClr val="FF0000"/>
              </a:solidFill>
              <a:ln>
                <a:noFill/>
              </a:ln>
              <a:effectLst/>
            </c:spPr>
            <c:extLst>
              <c:ext xmlns:c16="http://schemas.microsoft.com/office/drawing/2014/chart" uri="{C3380CC4-5D6E-409C-BE32-E72D297353CC}">
                <c16:uniqueId val="{00000003-6284-41AE-93D5-A6B2CFE4CAD0}"/>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5-6284-41AE-93D5-A6B2CFE4CAD0}"/>
              </c:ext>
            </c:extLst>
          </c:dPt>
          <c:dPt>
            <c:idx val="3"/>
            <c:invertIfNegative val="0"/>
            <c:bubble3D val="0"/>
            <c:spPr>
              <a:solidFill>
                <a:srgbClr val="FF0000"/>
              </a:solidFill>
              <a:ln>
                <a:noFill/>
              </a:ln>
              <a:effectLst/>
            </c:spPr>
            <c:extLst>
              <c:ext xmlns:c16="http://schemas.microsoft.com/office/drawing/2014/chart" uri="{C3380CC4-5D6E-409C-BE32-E72D297353CC}">
                <c16:uniqueId val="{00000007-6284-41AE-93D5-A6B2CFE4CAD0}"/>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9-6284-41AE-93D5-A6B2CFE4CAD0}"/>
              </c:ext>
            </c:extLst>
          </c:dPt>
          <c:dPt>
            <c:idx val="5"/>
            <c:invertIfNegative val="0"/>
            <c:bubble3D val="0"/>
            <c:spPr>
              <a:solidFill>
                <a:schemeClr val="accent1"/>
              </a:solidFill>
              <a:ln>
                <a:noFill/>
              </a:ln>
              <a:effectLst/>
            </c:spPr>
            <c:extLst>
              <c:ext xmlns:c16="http://schemas.microsoft.com/office/drawing/2014/chart" uri="{C3380CC4-5D6E-409C-BE32-E72D297353CC}">
                <c16:uniqueId val="{0000000B-6284-41AE-93D5-A6B2CFE4CAD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 Q2'!$B$22:$B$28</c:f>
              <c:strCache>
                <c:ptCount val="6"/>
                <c:pt idx="0">
                  <c:v>Consumption</c:v>
                </c:pt>
                <c:pt idx="1">
                  <c:v>Government Spending</c:v>
                </c:pt>
                <c:pt idx="2">
                  <c:v>Investment</c:v>
                </c:pt>
                <c:pt idx="3">
                  <c:v>Export</c:v>
                </c:pt>
                <c:pt idx="4">
                  <c:v>Import</c:v>
                </c:pt>
                <c:pt idx="5">
                  <c:v>GDP</c:v>
                </c:pt>
              </c:strCache>
            </c:strRef>
          </c:cat>
          <c:val>
            <c:numRef>
              <c:f>'2019 Q2'!$E$4:$E$10</c:f>
              <c:numCache>
                <c:formatCode>0.0</c:formatCode>
                <c:ptCount val="6"/>
                <c:pt idx="0">
                  <c:v>-1.0518241078672164</c:v>
                </c:pt>
                <c:pt idx="1">
                  <c:v>3.3136277741872666</c:v>
                </c:pt>
                <c:pt idx="2">
                  <c:v>-22.78692783038273</c:v>
                </c:pt>
                <c:pt idx="3">
                  <c:v>8.0697404555735588</c:v>
                </c:pt>
                <c:pt idx="4">
                  <c:v>-16.888022205811215</c:v>
                </c:pt>
                <c:pt idx="5">
                  <c:v>-1.5209386437643913</c:v>
                </c:pt>
              </c:numCache>
            </c:numRef>
          </c:val>
          <c:extLst>
            <c:ext xmlns:c16="http://schemas.microsoft.com/office/drawing/2014/chart" uri="{C3380CC4-5D6E-409C-BE32-E72D297353CC}">
              <c16:uniqueId val="{0000000C-6284-41AE-93D5-A6B2CFE4CAD0}"/>
            </c:ext>
          </c:extLst>
        </c:ser>
        <c:dLbls>
          <c:dLblPos val="outEnd"/>
          <c:showLegendKey val="0"/>
          <c:showVal val="1"/>
          <c:showCatName val="0"/>
          <c:showSerName val="0"/>
          <c:showPercent val="0"/>
          <c:showBubbleSize val="0"/>
        </c:dLbls>
        <c:gapWidth val="219"/>
        <c:overlap val="-27"/>
        <c:axId val="259799184"/>
        <c:axId val="259799744"/>
      </c:barChart>
      <c:catAx>
        <c:axId val="2597991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59799744"/>
        <c:crosses val="autoZero"/>
        <c:auto val="1"/>
        <c:lblAlgn val="ctr"/>
        <c:lblOffset val="1"/>
        <c:noMultiLvlLbl val="0"/>
      </c:catAx>
      <c:valAx>
        <c:axId val="25979974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799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 Q2'!$E$32</c:f>
              <c:strCache>
                <c:ptCount val="1"/>
                <c:pt idx="0">
                  <c:v>Annual Change</c:v>
                </c:pt>
              </c:strCache>
            </c:strRef>
          </c:tx>
          <c:spPr>
            <a:solidFill>
              <a:schemeClr val="accent1"/>
            </a:solidFill>
            <a:ln>
              <a:noFill/>
            </a:ln>
            <a:effectLst/>
          </c:spPr>
          <c:invertIfNegative val="0"/>
          <c:cat>
            <c:strRef>
              <c:f>'2019 Q2'!$A$39:$A$62</c:f>
              <c:strCache>
                <c:ptCount val="24"/>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strCache>
            </c:strRef>
          </c:cat>
          <c:val>
            <c:numRef>
              <c:f>'2019 Q2'!$E$39:$E$62</c:f>
              <c:numCache>
                <c:formatCode>0.0</c:formatCode>
                <c:ptCount val="24"/>
                <c:pt idx="0">
                  <c:v>8.9226688185641834</c:v>
                </c:pt>
                <c:pt idx="1">
                  <c:v>6.8804097448097012</c:v>
                </c:pt>
                <c:pt idx="2">
                  <c:v>8.679514433077685</c:v>
                </c:pt>
                <c:pt idx="3">
                  <c:v>2.8975438907233864</c:v>
                </c:pt>
                <c:pt idx="4">
                  <c:v>3.6662593748295391</c:v>
                </c:pt>
                <c:pt idx="5">
                  <c:v>5.9302729224654627</c:v>
                </c:pt>
                <c:pt idx="6">
                  <c:v>3.6016444988062446</c:v>
                </c:pt>
                <c:pt idx="7">
                  <c:v>7.1600269167206632</c:v>
                </c:pt>
                <c:pt idx="8">
                  <c:v>5.7850603678571977</c:v>
                </c:pt>
                <c:pt idx="9">
                  <c:v>7.4964855651153073</c:v>
                </c:pt>
                <c:pt idx="10">
                  <c:v>4.8088367842695545</c:v>
                </c:pt>
                <c:pt idx="11">
                  <c:v>4.9296739402332257</c:v>
                </c:pt>
                <c:pt idx="12">
                  <c:v>-0.81201904278707104</c:v>
                </c:pt>
                <c:pt idx="13">
                  <c:v>4.2392839067209698</c:v>
                </c:pt>
                <c:pt idx="14">
                  <c:v>5.2639590193166885</c:v>
                </c:pt>
                <c:pt idx="15">
                  <c:v>5.3389276286467613</c:v>
                </c:pt>
                <c:pt idx="16">
                  <c:v>11.646369076474716</c:v>
                </c:pt>
                <c:pt idx="17">
                  <c:v>7.2723925431292136</c:v>
                </c:pt>
                <c:pt idx="18">
                  <c:v>7.4389435840030105</c:v>
                </c:pt>
                <c:pt idx="19">
                  <c:v>5.6427704306570181</c:v>
                </c:pt>
                <c:pt idx="20">
                  <c:v>2.3014978242978712</c:v>
                </c:pt>
                <c:pt idx="21">
                  <c:v>-2.8057125047310838</c:v>
                </c:pt>
                <c:pt idx="22">
                  <c:v>-2.3566037800364814</c:v>
                </c:pt>
                <c:pt idx="23">
                  <c:v>-1.5209386437643913</c:v>
                </c:pt>
              </c:numCache>
            </c:numRef>
          </c:val>
          <c:extLst>
            <c:ext xmlns:c16="http://schemas.microsoft.com/office/drawing/2014/chart" uri="{C3380CC4-5D6E-409C-BE32-E72D297353CC}">
              <c16:uniqueId val="{00000000-7EBF-46AB-80E3-6CA28535EDE9}"/>
            </c:ext>
          </c:extLst>
        </c:ser>
        <c:dLbls>
          <c:showLegendKey val="0"/>
          <c:showVal val="0"/>
          <c:showCatName val="0"/>
          <c:showSerName val="0"/>
          <c:showPercent val="0"/>
          <c:showBubbleSize val="0"/>
        </c:dLbls>
        <c:gapWidth val="75"/>
        <c:overlap val="-25"/>
        <c:axId val="327913376"/>
        <c:axId val="327913936"/>
      </c:barChart>
      <c:lineChart>
        <c:grouping val="standard"/>
        <c:varyColors val="0"/>
        <c:ser>
          <c:idx val="1"/>
          <c:order val="1"/>
          <c:tx>
            <c:strRef>
              <c:f>'2019 Q2'!$F$32</c:f>
              <c:strCache>
                <c:ptCount val="1"/>
                <c:pt idx="0">
                  <c:v>Quarter Change</c:v>
                </c:pt>
              </c:strCache>
            </c:strRef>
          </c:tx>
          <c:spPr>
            <a:ln w="25400" cap="rnd">
              <a:solidFill>
                <a:schemeClr val="tx1"/>
              </a:solidFill>
              <a:round/>
            </a:ln>
            <a:effectLst/>
          </c:spPr>
          <c:marker>
            <c:symbol val="none"/>
          </c:marker>
          <c:cat>
            <c:strRef>
              <c:f>'2019 Q2'!$A$39:$A$62</c:f>
              <c:strCache>
                <c:ptCount val="24"/>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pt idx="23">
                  <c:v>2019Q2</c:v>
                </c:pt>
              </c:strCache>
            </c:strRef>
          </c:cat>
          <c:val>
            <c:numRef>
              <c:f>'2019 Q2'!$F$39:$F$62</c:f>
              <c:numCache>
                <c:formatCode>0.0</c:formatCode>
                <c:ptCount val="24"/>
                <c:pt idx="0">
                  <c:v>1.3467776239150187</c:v>
                </c:pt>
                <c:pt idx="1">
                  <c:v>0.7323027398944415</c:v>
                </c:pt>
                <c:pt idx="2">
                  <c:v>2.6644199701995719</c:v>
                </c:pt>
                <c:pt idx="3">
                  <c:v>-1.5498061972216148</c:v>
                </c:pt>
                <c:pt idx="4">
                  <c:v>2.3568373716194246</c:v>
                </c:pt>
                <c:pt idx="5">
                  <c:v>1.4948925124467438</c:v>
                </c:pt>
                <c:pt idx="6">
                  <c:v>1.8589673319550526</c:v>
                </c:pt>
                <c:pt idx="7">
                  <c:v>1.4981017111983297</c:v>
                </c:pt>
                <c:pt idx="8">
                  <c:v>1.180776871342748</c:v>
                </c:pt>
                <c:pt idx="9">
                  <c:v>1.3846224922384742</c:v>
                </c:pt>
                <c:pt idx="10">
                  <c:v>0.46644902408239375</c:v>
                </c:pt>
                <c:pt idx="11">
                  <c:v>1.0684622998900606</c:v>
                </c:pt>
                <c:pt idx="12">
                  <c:v>-2.9496870640829065</c:v>
                </c:pt>
                <c:pt idx="13">
                  <c:v>5.740587588818169</c:v>
                </c:pt>
                <c:pt idx="14">
                  <c:v>1.4283695881615488</c:v>
                </c:pt>
                <c:pt idx="15">
                  <c:v>1.8247954840513447</c:v>
                </c:pt>
                <c:pt idx="16">
                  <c:v>1.66336136109968</c:v>
                </c:pt>
                <c:pt idx="17">
                  <c:v>2.4417321744617748</c:v>
                </c:pt>
                <c:pt idx="18">
                  <c:v>1.0947341573365188</c:v>
                </c:pt>
                <c:pt idx="19">
                  <c:v>0.17359568415564741</c:v>
                </c:pt>
                <c:pt idx="20">
                  <c:v>-1.4162187829279582</c:v>
                </c:pt>
                <c:pt idx="21">
                  <c:v>-2.7727677893443881</c:v>
                </c:pt>
                <c:pt idx="22">
                  <c:v>1.5697372033030454</c:v>
                </c:pt>
                <c:pt idx="23">
                  <c:v>1.246133139524086</c:v>
                </c:pt>
              </c:numCache>
            </c:numRef>
          </c:val>
          <c:smooth val="0"/>
          <c:extLst>
            <c:ext xmlns:c16="http://schemas.microsoft.com/office/drawing/2014/chart" uri="{C3380CC4-5D6E-409C-BE32-E72D297353CC}">
              <c16:uniqueId val="{00000001-7EBF-46AB-80E3-6CA28535EDE9}"/>
            </c:ext>
          </c:extLst>
        </c:ser>
        <c:dLbls>
          <c:showLegendKey val="0"/>
          <c:showVal val="0"/>
          <c:showCatName val="0"/>
          <c:showSerName val="0"/>
          <c:showPercent val="0"/>
          <c:showBubbleSize val="0"/>
        </c:dLbls>
        <c:marker val="1"/>
        <c:smooth val="0"/>
        <c:axId val="327913376"/>
        <c:axId val="327913936"/>
      </c:lineChart>
      <c:catAx>
        <c:axId val="32791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27913936"/>
        <c:crosses val="autoZero"/>
        <c:auto val="1"/>
        <c:lblAlgn val="ctr"/>
        <c:lblOffset val="100"/>
        <c:noMultiLvlLbl val="0"/>
      </c:catAx>
      <c:valAx>
        <c:axId val="3279139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913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57F83-F48B-4CE6-8B78-C0623C5B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5</Pages>
  <Words>973</Words>
  <Characters>5548</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BAKIS</dc:creator>
  <cp:keywords/>
  <dc:description/>
  <cp:lastModifiedBy>Hamza MUTLUAY</cp:lastModifiedBy>
  <cp:revision>51</cp:revision>
  <cp:lastPrinted>2017-12-14T09:18:00Z</cp:lastPrinted>
  <dcterms:created xsi:type="dcterms:W3CDTF">2019-07-25T14:40:00Z</dcterms:created>
  <dcterms:modified xsi:type="dcterms:W3CDTF">2019-09-05T09:22:00Z</dcterms:modified>
</cp:coreProperties>
</file>