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1B7D" w14:textId="77777777" w:rsidR="00917330" w:rsidRDefault="00917330">
      <w:pPr>
        <w:rPr>
          <w:rFonts w:ascii="Palatino Linotype" w:hAnsi="Palatino Linotype" w:cstheme="minorHAnsi"/>
        </w:rPr>
      </w:pPr>
    </w:p>
    <w:p w14:paraId="4E745BEF" w14:textId="77777777" w:rsidR="00D07713" w:rsidRPr="0050008F" w:rsidRDefault="00062A8A">
      <w:pPr>
        <w:rPr>
          <w:rFonts w:ascii="Palatino Linotype" w:hAnsi="Palatino Linotype" w:cstheme="minorHAnsi"/>
        </w:rPr>
      </w:pPr>
      <w:r w:rsidRPr="0050008F">
        <w:rPr>
          <w:rFonts w:ascii="Palatino Linotype" w:hAnsi="Palatino Linotype" w:cstheme="minorHAnsi"/>
          <w:noProof/>
        </w:rPr>
        <mc:AlternateContent>
          <mc:Choice Requires="wps">
            <w:drawing>
              <wp:anchor distT="0" distB="0" distL="114935" distR="114935" simplePos="0" relativeHeight="251659264" behindDoc="0" locked="0" layoutInCell="1" allowOverlap="1" wp14:anchorId="3C0B86FB" wp14:editId="21462121">
                <wp:simplePos x="0" y="0"/>
                <wp:positionH relativeFrom="column">
                  <wp:posOffset>5394876</wp:posOffset>
                </wp:positionH>
                <wp:positionV relativeFrom="paragraph">
                  <wp:posOffset>53663</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77777777" w:rsidR="00D07713" w:rsidRPr="00D07713" w:rsidRDefault="00A40E31"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25</w:t>
                            </w:r>
                            <w:r w:rsidR="004017B2">
                              <w:rPr>
                                <w:rFonts w:ascii="Arial" w:eastAsia="Times New Roman" w:hAnsi="Arial" w:cs="Arial"/>
                                <w:b/>
                                <w:bCs/>
                                <w:color w:val="FFFFFF"/>
                                <w:sz w:val="22"/>
                                <w:szCs w:val="22"/>
                                <w:lang w:eastAsia="ar-SA"/>
                              </w:rPr>
                              <w:t xml:space="preserve"> Temmuz</w:t>
                            </w:r>
                            <w:r w:rsidR="00062A8A">
                              <w:rPr>
                                <w:rFonts w:ascii="Arial" w:eastAsia="Times New Roman" w:hAnsi="Arial" w:cs="Arial"/>
                                <w:b/>
                                <w:bCs/>
                                <w:color w:val="FFFFFF"/>
                                <w:sz w:val="22"/>
                                <w:szCs w:val="22"/>
                                <w:lang w:eastAsia="ar-SA"/>
                              </w:rPr>
                              <w:t xml:space="preserve"> 2019</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0B86FB" id="_x0000_t202" coordsize="21600,21600" o:spt="202" path="m,l,21600r21600,l21600,xe">
                <v:stroke joinstyle="miter"/>
                <v:path gradientshapeok="t" o:connecttype="rect"/>
              </v:shapetype>
              <v:shape id="Text Box 3" o:spid="_x0000_s1026" type="#_x0000_t202" style="position:absolute;margin-left:424.8pt;margin-top:4.25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3aiwIAABwFAAAOAAAAZHJzL2Uyb0RvYy54bWysVNuO2yAQfa/Uf0C8Z32pk42tdVZ7aapK&#10;24u02w8gBseoGCiQ2NtV/70DxNnN9qWq6gc8wHDmzMyBi8uxF2jPjOVK1jg7SzFislGUy22Nvz2s&#10;Z0uMrCOSEqEkq/Ejs/hy9fbNxaArlqtOCcoMAhBpq0HXuHNOV0lim471xJ4pzSRstsr0xMHUbBNq&#10;yADovUjyNF0kgzJUG9Uwa2H1Nm7iVcBvW9a4L21rmUOixsDNhdGEcePHZHVBqq0huuPNgQb5BxY9&#10;4RKCHqFuiSNoZ/gfUD1vjLKqdWeN6hPVtrxhIQfIJktfZXPfEc1CLlAcq49lsv8Ptvm8/2oQpzXO&#10;MZKkhxY9sNGhazWid746g7YVON1rcHMjLEOXQ6ZW36nmu0VS3XREbtmVMWroGKHALvMnkxdHI471&#10;IJvhk6IQhuycCkBja3pfOigGAnTo0uOxM55K40Pmabk4n2PUwF6RlVkaWpeQajqtjXUfmOqRN2ps&#10;oPMBnezvrPNsSDW5+GBWCU7XXIgwMdvNjTBoT0Al6/DFs0J3JK5O4Wx0DXgnGEJ6JKk8ZgwXVyAD&#10;IOD3fC5BEk9llhfpdV7O1ovl+axYF/NZeZ4uZ2lWXpeLtCiL2/UvzyArqo5TyuQdl2ySZ1b8XfsP&#10;FyUKKwgUDTUu5/k8JHfC/pDWIdfUf6GFrwrVcwe3VfC+xsujE6l8199LCmmTyhEuop2c0g8lgxpM&#10;/1CVoBEviygQN25GQPHC2Sj6CGoxCpoJkoAnBoxOmZ8YDXBda2x/7IhhGImPEhTn7/ZkmMnYTAaR&#10;DRytscMomjcuvgE7bfi2A+SoaamuQJUtD4J5ZgGU/QSuYCB/eC78HX85D17Pj9rqNwAAAP//AwBQ&#10;SwMEFAAGAAgAAAAhAGGSSU/gAAAADgEAAA8AAABkcnMvZG93bnJldi54bWxMT01vwjAMvU/iP0RG&#10;2m0ksAKlNEUbaLtO6yZxDY1pqjZO1QTo/v3CabtYtt7z+8h3o+3YFQffOJIwnwlgSJXTDdUSvr/e&#10;nlJgPijSqnOEEn7Qw66YPOQq0+5Gn3gtQ82iCPlMSTAh9BnnvjJolZ+5HiliZzdYFeI51FwP6hbF&#10;bccXQqy4VQ1FB6N63Bus2vJiJTx/LNZH/14e9v0RN23qX9szGSkfp+NhG8fLFljAMfx9wL1DzA9F&#10;DHZyF9KedRLSZLOK1Lgsgd1xkYg5sJOEdbIEXuT8f43iFwAA//8DAFBLAQItABQABgAIAAAAIQC2&#10;gziS/gAAAOEBAAATAAAAAAAAAAAAAAAAAAAAAABbQ29udGVudF9UeXBlc10ueG1sUEsBAi0AFAAG&#10;AAgAAAAhADj9If/WAAAAlAEAAAsAAAAAAAAAAAAAAAAALwEAAF9yZWxzLy5yZWxzUEsBAi0AFAAG&#10;AAgAAAAhAI5GjdqLAgAAHAUAAA4AAAAAAAAAAAAAAAAALgIAAGRycy9lMm9Eb2MueG1sUEsBAi0A&#10;FAAGAAgAAAAhAGGSSU/gAAAADgEAAA8AAAAAAAAAAAAAAAAA5QQAAGRycy9kb3ducmV2LnhtbFBL&#10;BQYAAAAABAAEAPMAAADyBQAAAAA=&#10;" stroked="f">
                <v:fill opacity="0"/>
                <v:textbox inset="0,0,0,0">
                  <w:txbxContent>
                    <w:p w14:paraId="5B0CFDC6" w14:textId="77777777" w:rsidR="00D07713" w:rsidRPr="00D07713" w:rsidRDefault="00A40E31"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25</w:t>
                      </w:r>
                      <w:r w:rsidR="004017B2">
                        <w:rPr>
                          <w:rFonts w:ascii="Arial" w:eastAsia="Times New Roman" w:hAnsi="Arial" w:cs="Arial"/>
                          <w:b/>
                          <w:bCs/>
                          <w:color w:val="FFFFFF"/>
                          <w:sz w:val="22"/>
                          <w:szCs w:val="22"/>
                          <w:lang w:eastAsia="ar-SA"/>
                        </w:rPr>
                        <w:t xml:space="preserve"> Temmuz</w:t>
                      </w:r>
                      <w:r w:rsidR="00062A8A">
                        <w:rPr>
                          <w:rFonts w:ascii="Arial" w:eastAsia="Times New Roman" w:hAnsi="Arial" w:cs="Arial"/>
                          <w:b/>
                          <w:bCs/>
                          <w:color w:val="FFFFFF"/>
                          <w:sz w:val="22"/>
                          <w:szCs w:val="22"/>
                          <w:lang w:eastAsia="ar-SA"/>
                        </w:rPr>
                        <w:t xml:space="preserve"> 2019</w:t>
                      </w:r>
                    </w:p>
                    <w:p w14:paraId="1C706E2C" w14:textId="77777777" w:rsidR="00D07713" w:rsidRPr="00187FA0" w:rsidRDefault="00D07713" w:rsidP="00D07713"/>
                  </w:txbxContent>
                </v:textbox>
              </v:shape>
            </w:pict>
          </mc:Fallback>
        </mc:AlternateContent>
      </w:r>
      <w:r w:rsidR="007F39BB" w:rsidRPr="0050008F">
        <w:rPr>
          <w:rFonts w:ascii="Palatino Linotype" w:hAnsi="Palatino Linotype" w:cstheme="minorHAnsi"/>
          <w:noProof/>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77777777" w:rsidR="00D07713" w:rsidRPr="00526178" w:rsidRDefault="001537D8" w:rsidP="00D07713">
                            <w:pPr>
                              <w:pStyle w:val="Heading1"/>
                              <w:rPr>
                                <w:b w:val="0"/>
                                <w:bCs w:val="0"/>
                                <w:i/>
                                <w:iCs/>
                              </w:rPr>
                            </w:pPr>
                            <w:r>
                              <w:rPr>
                                <w:rFonts w:ascii="Times New Roman" w:hAnsi="Times New Roman" w:cs="Times New Roman"/>
                                <w:sz w:val="40"/>
                                <w:szCs w:val="40"/>
                              </w:rPr>
                              <w:t>201</w:t>
                            </w:r>
                            <w:r w:rsidR="004017B2">
                              <w:rPr>
                                <w:rFonts w:ascii="Times New Roman" w:hAnsi="Times New Roman" w:cs="Times New Roman"/>
                                <w:sz w:val="40"/>
                                <w:szCs w:val="40"/>
                              </w:rPr>
                              <w:t>9</w:t>
                            </w:r>
                            <w:r>
                              <w:rPr>
                                <w:rFonts w:ascii="Times New Roman" w:hAnsi="Times New Roman" w:cs="Times New Roman"/>
                                <w:sz w:val="40"/>
                                <w:szCs w:val="40"/>
                              </w:rPr>
                              <w:t xml:space="preserve"> </w:t>
                            </w:r>
                            <w:r w:rsidR="004017B2">
                              <w:rPr>
                                <w:rFonts w:ascii="Times New Roman" w:hAnsi="Times New Roman" w:cs="Times New Roman"/>
                                <w:sz w:val="40"/>
                                <w:szCs w:val="40"/>
                              </w:rPr>
                              <w:t>1</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wOigIAACQFAAAOAAAAZHJzL2Uyb0RvYy54bWysVNuO2yAQfa/Uf0C8Z32pN4mtdVabbFNV&#10;2l6k3X4AwThGxUCBxN5W/fcOsM5eqkpVVT/gAYbDmZkzXFyOvUBHZixXssbZWYoRk1Q1XO5r/OVu&#10;O1tiZB2RDRFKshrfM4svV69fXQy6YrnqlGiYQQAibTXoGnfO6SpJLO1YT+yZ0kzCZqtMTxxMzT5p&#10;DBkAvRdJnqbzZFCm0UZRZi2sXsdNvAr4bcuo+9S2ljkkagzcXBhNGHd+TFYXpNobojtOH2iQf2DR&#10;Ey7h0hPUNXEEHQz/Darn1CirWndGVZ+otuWUhRggmix9Ec1tRzQLsUByrD6lyf4/WPrx+Nkg3tQ4&#10;h/RI0kON7tjo0FqNKPfpGbStwOtWg58bYRnKHEK1+kbRrxZJtemI3LMrY9TQMdIAvcyfTJ4cjTjW&#10;g+yGD6qBa8jBqQA0tqb3uYNsIEAHHven0ngqFBbfLLPyPD/HiMLevFgs0lC7hFTTaW2se8dUj7xR&#10;YwOlD+jkeGOdZ0OqycVfZpXgzZYLESZmv9sIg44EZLINXzwrdEfi6nSdja4B7xmGkB5JKo8Zr4sr&#10;EAEQ8Hs+lqCJH2WWF+k6L2fb+XIxK7bF+axcpMtZmpXrcp4WZXG9/ekZZEXV8aZh8oZLNukzK/6u&#10;/g+dEpUVFIqGGoc0hqD/mIE0fKGELxLVcwftKnhf4+XJiVS+6m9lA2GTyhEuop08px9SBjmY/iEr&#10;QSNeFlEgbtyNQY1BQF4/O9Xcg2iMgpqCMuCpAaNT5jtGA7Rtje23AzEMI/FegvB8j0+GmYzdZBBJ&#10;4WiNHUbR3Lj4Fhy04fsOkKO0pboCcbY86OaRBTD3E2jFEMPDs+F7/ek8eD0+bqtfAAAA//8DAFBL&#10;AwQUAAYACAAAACEAWwOZleMAAAAQAQAADwAAAGRycy9kb3ducmV2LnhtbEyPQU/DMAyF70j8h8hI&#10;3LY0nVi7rukEm+CKKEi7Zq3XVm2cqsm28u8xJ7hYsv38/L58N9tBXHHynSMNahmBQKpc3VGj4evz&#10;dZGC8MFQbQZHqOEbPeyK+7vcZLW70Qdey9AINiGfGQ1tCGMmpa9atMYv3YjEu7ObrAncTo2sJ3Nj&#10;czvIOIrW0pqO+ENrRty3WPXlxWpYvcfJ0b+Vh/14xE2f+pf+TK3Wjw/zYcvleQsi4Bz+LuCXgfND&#10;wcFO7kK1F4OGWD2tWKphoZRKQLAkVWtGOvFok4AscvkfpPgBAAD//wMAUEsBAi0AFAAGAAgAAAAh&#10;ALaDOJL+AAAA4QEAABMAAAAAAAAAAAAAAAAAAAAAAFtDb250ZW50X1R5cGVzXS54bWxQSwECLQAU&#10;AAYACAAAACEAOP0h/9YAAACUAQAACwAAAAAAAAAAAAAAAAAvAQAAX3JlbHMvLnJlbHNQSwECLQAU&#10;AAYACAAAACEAfW3MDooCAAAkBQAADgAAAAAAAAAAAAAAAAAuAgAAZHJzL2Uyb0RvYy54bWxQSwEC&#10;LQAUAAYACAAAACEAWwOZleMAAAAQAQAADwAAAAAAAAAAAAAAAADkBAAAZHJzL2Rvd25yZXYueG1s&#10;UEsFBgAAAAAEAAQA8wAAAPQFAAAAAA==&#10;" stroked="f">
                <v:fill opacity="0"/>
                <v:textbox inset="0,0,0,0">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77777777" w:rsidR="00D07713" w:rsidRPr="00526178" w:rsidRDefault="001537D8" w:rsidP="00D07713">
                      <w:pPr>
                        <w:pStyle w:val="Heading1"/>
                        <w:rPr>
                          <w:b w:val="0"/>
                          <w:bCs w:val="0"/>
                          <w:i/>
                          <w:iCs/>
                        </w:rPr>
                      </w:pPr>
                      <w:r>
                        <w:rPr>
                          <w:rFonts w:ascii="Times New Roman" w:hAnsi="Times New Roman" w:cs="Times New Roman"/>
                          <w:sz w:val="40"/>
                          <w:szCs w:val="40"/>
                        </w:rPr>
                        <w:t>201</w:t>
                      </w:r>
                      <w:r w:rsidR="004017B2">
                        <w:rPr>
                          <w:rFonts w:ascii="Times New Roman" w:hAnsi="Times New Roman" w:cs="Times New Roman"/>
                          <w:sz w:val="40"/>
                          <w:szCs w:val="40"/>
                        </w:rPr>
                        <w:t>9</w:t>
                      </w:r>
                      <w:r>
                        <w:rPr>
                          <w:rFonts w:ascii="Times New Roman" w:hAnsi="Times New Roman" w:cs="Times New Roman"/>
                          <w:sz w:val="40"/>
                          <w:szCs w:val="40"/>
                        </w:rPr>
                        <w:t xml:space="preserve"> </w:t>
                      </w:r>
                      <w:r w:rsidR="004017B2">
                        <w:rPr>
                          <w:rFonts w:ascii="Times New Roman" w:hAnsi="Times New Roman" w:cs="Times New Roman"/>
                          <w:sz w:val="40"/>
                          <w:szCs w:val="40"/>
                        </w:rPr>
                        <w:t>1</w:t>
                      </w:r>
                      <w:r w:rsidR="00D07713" w:rsidRPr="00803E3E">
                        <w:rPr>
                          <w:rFonts w:ascii="Times New Roman" w:hAnsi="Times New Roman" w:cs="Times New Roman"/>
                          <w:sz w:val="40"/>
                          <w:szCs w:val="40"/>
                        </w:rPr>
                        <w:t>. Çeyrek</w:t>
                      </w:r>
                    </w:p>
                  </w:txbxContent>
                </v:textbox>
              </v:shape>
            </w:pict>
          </mc:Fallback>
        </mc:AlternateContent>
      </w:r>
      <w:r w:rsidR="00D07713" w:rsidRPr="0050008F">
        <w:rPr>
          <w:rFonts w:ascii="Palatino Linotype" w:hAnsi="Palatino Linotype" w:cstheme="minorHAnsi"/>
          <w:noProof/>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77777777" w:rsidR="00D07713" w:rsidRPr="0050008F" w:rsidRDefault="00D07713">
      <w:pPr>
        <w:rPr>
          <w:rFonts w:ascii="Palatino Linotype" w:hAnsi="Palatino Linotype" w:cstheme="minorHAnsi"/>
        </w:rPr>
      </w:pPr>
    </w:p>
    <w:p w14:paraId="1A2A657A" w14:textId="77777777" w:rsidR="00D07713" w:rsidRPr="0050008F" w:rsidRDefault="00D07713" w:rsidP="00D07713">
      <w:pPr>
        <w:spacing w:line="288" w:lineRule="auto"/>
        <w:ind w:right="-319"/>
        <w:jc w:val="center"/>
        <w:outlineLvl w:val="0"/>
        <w:rPr>
          <w:rFonts w:ascii="Palatino Linotype" w:hAnsi="Palatino Linotype" w:cstheme="minorHAnsi"/>
          <w:b/>
          <w:bCs/>
          <w:sz w:val="28"/>
          <w:szCs w:val="28"/>
        </w:rPr>
      </w:pPr>
    </w:p>
    <w:p w14:paraId="6783B39D" w14:textId="0B3DC4EC" w:rsidR="00D34702" w:rsidRPr="0050008F" w:rsidRDefault="00F44E44" w:rsidP="00D34702">
      <w:pPr>
        <w:spacing w:line="288" w:lineRule="auto"/>
        <w:ind w:right="-319"/>
        <w:jc w:val="center"/>
        <w:outlineLvl w:val="0"/>
        <w:rPr>
          <w:rFonts w:ascii="Palatino Linotype" w:hAnsi="Palatino Linotype" w:cstheme="minorHAnsi"/>
          <w:b/>
          <w:bCs/>
          <w:sz w:val="28"/>
          <w:szCs w:val="28"/>
        </w:rPr>
      </w:pPr>
      <w:r w:rsidRPr="00940150">
        <w:rPr>
          <w:rFonts w:ascii="Palatino Linotype" w:hAnsi="Palatino Linotype" w:cstheme="minorHAnsi"/>
          <w:b/>
          <w:bCs/>
          <w:sz w:val="28"/>
          <w:szCs w:val="28"/>
        </w:rPr>
        <w:t xml:space="preserve">GSYH’DE </w:t>
      </w:r>
      <w:r w:rsidR="00940150" w:rsidRPr="00940150">
        <w:rPr>
          <w:rFonts w:ascii="Palatino Linotype" w:hAnsi="Palatino Linotype" w:cstheme="minorHAnsi"/>
          <w:b/>
          <w:bCs/>
          <w:sz w:val="28"/>
          <w:szCs w:val="28"/>
        </w:rPr>
        <w:t>1</w:t>
      </w:r>
      <w:r w:rsidRPr="00940150">
        <w:rPr>
          <w:rFonts w:ascii="Palatino Linotype" w:hAnsi="Palatino Linotype" w:cstheme="minorHAnsi"/>
          <w:b/>
          <w:bCs/>
          <w:sz w:val="28"/>
          <w:szCs w:val="28"/>
        </w:rPr>
        <w:t xml:space="preserve">. ÇEYREKTE </w:t>
      </w:r>
      <w:r w:rsidR="009D62AC">
        <w:rPr>
          <w:rFonts w:ascii="Palatino Linotype" w:hAnsi="Palatino Linotype" w:cstheme="minorHAnsi"/>
          <w:b/>
          <w:bCs/>
          <w:sz w:val="28"/>
          <w:szCs w:val="28"/>
        </w:rPr>
        <w:t>TOPARLANMA İŞARETLERİ</w:t>
      </w:r>
    </w:p>
    <w:p w14:paraId="428E7403" w14:textId="26646ACB" w:rsidR="00D07713" w:rsidRPr="0050008F" w:rsidRDefault="00D07713" w:rsidP="004623F2">
      <w:pPr>
        <w:spacing w:line="288" w:lineRule="auto"/>
        <w:ind w:right="-319"/>
        <w:jc w:val="center"/>
        <w:outlineLvl w:val="0"/>
        <w:rPr>
          <w:rFonts w:ascii="Palatino Linotype" w:hAnsi="Palatino Linotype" w:cstheme="minorHAnsi"/>
        </w:rPr>
      </w:pPr>
      <w:r w:rsidRPr="0050008F">
        <w:rPr>
          <w:rFonts w:ascii="Palatino Linotype" w:hAnsi="Palatino Linotype" w:cstheme="minorHAnsi"/>
          <w:b/>
          <w:bCs/>
          <w:sz w:val="22"/>
          <w:szCs w:val="22"/>
        </w:rPr>
        <w:t>Ozan Bakış</w:t>
      </w:r>
      <w:r w:rsidR="00C32789" w:rsidRPr="0050008F">
        <w:rPr>
          <w:rStyle w:val="FootnoteReference"/>
          <w:rFonts w:ascii="Palatino Linotype" w:hAnsi="Palatino Linotype" w:cstheme="minorHAnsi"/>
          <w:b/>
          <w:bCs/>
          <w:sz w:val="22"/>
          <w:szCs w:val="22"/>
        </w:rPr>
        <w:footnoteReference w:id="1"/>
      </w:r>
      <w:r w:rsidR="001537D8" w:rsidRPr="0050008F">
        <w:rPr>
          <w:rFonts w:ascii="Palatino Linotype" w:hAnsi="Palatino Linotype" w:cstheme="minorHAnsi"/>
          <w:b/>
          <w:bCs/>
          <w:sz w:val="22"/>
          <w:szCs w:val="22"/>
        </w:rPr>
        <w:t xml:space="preserve"> ve </w:t>
      </w:r>
      <w:r w:rsidR="00302EDD">
        <w:rPr>
          <w:rFonts w:ascii="Palatino Linotype" w:hAnsi="Palatino Linotype" w:cstheme="minorHAnsi"/>
          <w:b/>
          <w:bCs/>
          <w:sz w:val="22"/>
          <w:szCs w:val="22"/>
        </w:rPr>
        <w:t>Hamza Mutluay</w:t>
      </w:r>
      <w:r w:rsidR="001537D8" w:rsidRPr="0050008F">
        <w:rPr>
          <w:rStyle w:val="FootnoteReference"/>
          <w:rFonts w:ascii="Palatino Linotype" w:hAnsi="Palatino Linotype" w:cstheme="minorHAnsi"/>
          <w:b/>
          <w:bCs/>
          <w:sz w:val="22"/>
          <w:szCs w:val="22"/>
        </w:rPr>
        <w:footnoteReference w:id="2"/>
      </w:r>
    </w:p>
    <w:p w14:paraId="6E057918" w14:textId="77777777" w:rsidR="00405BD8" w:rsidRDefault="00405BD8" w:rsidP="00751F72">
      <w:pPr>
        <w:jc w:val="center"/>
        <w:rPr>
          <w:rFonts w:ascii="Palatino Linotype" w:hAnsi="Palatino Linotype" w:cstheme="minorHAnsi"/>
          <w:b/>
          <w:sz w:val="22"/>
          <w:szCs w:val="22"/>
        </w:rPr>
      </w:pPr>
    </w:p>
    <w:p w14:paraId="63037E09" w14:textId="77777777" w:rsidR="00405BD8" w:rsidRDefault="00405BD8" w:rsidP="00751F72">
      <w:pPr>
        <w:jc w:val="center"/>
        <w:rPr>
          <w:rFonts w:ascii="Palatino Linotype" w:hAnsi="Palatino Linotype" w:cstheme="minorHAnsi"/>
          <w:b/>
          <w:sz w:val="22"/>
          <w:szCs w:val="22"/>
        </w:rPr>
      </w:pPr>
    </w:p>
    <w:p w14:paraId="180703E7" w14:textId="77777777" w:rsidR="00111CED" w:rsidRPr="0050008F" w:rsidRDefault="00D257C1" w:rsidP="00405BD8">
      <w:pPr>
        <w:spacing w:line="360" w:lineRule="auto"/>
        <w:jc w:val="center"/>
        <w:rPr>
          <w:rFonts w:ascii="Palatino Linotype" w:hAnsi="Palatino Linotype" w:cstheme="minorHAnsi"/>
          <w:b/>
          <w:sz w:val="22"/>
          <w:szCs w:val="22"/>
        </w:rPr>
      </w:pPr>
      <w:r w:rsidRPr="0050008F">
        <w:rPr>
          <w:rFonts w:ascii="Palatino Linotype" w:hAnsi="Palatino Linotype" w:cstheme="minorHAnsi"/>
          <w:b/>
          <w:sz w:val="22"/>
          <w:szCs w:val="22"/>
        </w:rPr>
        <w:t>Yönetici</w:t>
      </w:r>
      <w:r w:rsidR="00C86475" w:rsidRPr="0050008F">
        <w:rPr>
          <w:rFonts w:ascii="Palatino Linotype" w:hAnsi="Palatino Linotype" w:cstheme="minorHAnsi"/>
          <w:b/>
          <w:sz w:val="22"/>
          <w:szCs w:val="22"/>
        </w:rPr>
        <w:t xml:space="preserve"> </w:t>
      </w:r>
      <w:r w:rsidRPr="0050008F">
        <w:rPr>
          <w:rFonts w:ascii="Palatino Linotype" w:hAnsi="Palatino Linotype" w:cstheme="minorHAnsi"/>
          <w:b/>
          <w:sz w:val="22"/>
          <w:szCs w:val="22"/>
        </w:rPr>
        <w:t>Özeti</w:t>
      </w:r>
    </w:p>
    <w:p w14:paraId="602D6638" w14:textId="180E0B57" w:rsidR="00C73CC1" w:rsidRPr="00062A8A" w:rsidRDefault="00D257C1" w:rsidP="00062A8A">
      <w:pPr>
        <w:spacing w:line="360" w:lineRule="auto"/>
        <w:ind w:left="567" w:right="567"/>
        <w:jc w:val="both"/>
        <w:rPr>
          <w:rFonts w:ascii="Palatino Linotype" w:hAnsi="Palatino Linotype" w:cstheme="minorHAnsi"/>
          <w:sz w:val="22"/>
          <w:szCs w:val="22"/>
        </w:rPr>
      </w:pPr>
      <w:r w:rsidRPr="00914D26">
        <w:rPr>
          <w:rFonts w:ascii="Palatino Linotype" w:hAnsi="Palatino Linotype" w:cstheme="minorHAnsi"/>
          <w:sz w:val="22"/>
          <w:szCs w:val="22"/>
        </w:rPr>
        <w:t>201</w:t>
      </w:r>
      <w:r w:rsidR="004435E3">
        <w:rPr>
          <w:rFonts w:ascii="Palatino Linotype" w:hAnsi="Palatino Linotype" w:cstheme="minorHAnsi"/>
          <w:sz w:val="22"/>
          <w:szCs w:val="22"/>
        </w:rPr>
        <w:t>9</w:t>
      </w:r>
      <w:r w:rsidRPr="00914D26">
        <w:rPr>
          <w:rFonts w:ascii="Palatino Linotype" w:hAnsi="Palatino Linotype" w:cstheme="minorHAnsi"/>
          <w:sz w:val="22"/>
          <w:szCs w:val="22"/>
        </w:rPr>
        <w:t xml:space="preserve"> yılının </w:t>
      </w:r>
      <w:r w:rsidR="004435E3">
        <w:rPr>
          <w:rFonts w:ascii="Palatino Linotype" w:hAnsi="Palatino Linotype" w:cstheme="minorHAnsi"/>
          <w:sz w:val="22"/>
          <w:szCs w:val="22"/>
        </w:rPr>
        <w:t>birinci</w:t>
      </w:r>
      <w:r w:rsidRPr="00914D26">
        <w:rPr>
          <w:rFonts w:ascii="Palatino Linotype" w:hAnsi="Palatino Linotype" w:cstheme="minorHAnsi"/>
          <w:sz w:val="22"/>
          <w:szCs w:val="22"/>
        </w:rPr>
        <w:t xml:space="preserve"> çeyreğinde Gayri Safi Yurtiçi Hasıla (GSYH) mevsim ve takvim etkilerinden arındırılmış rakamlarla bir önceki çeyreğe kıyasla yüzde </w:t>
      </w:r>
      <w:r w:rsidR="004435E3">
        <w:rPr>
          <w:rFonts w:ascii="Palatino Linotype" w:hAnsi="Palatino Linotype" w:cstheme="minorHAnsi"/>
          <w:sz w:val="22"/>
          <w:szCs w:val="22"/>
        </w:rPr>
        <w:t>1</w:t>
      </w:r>
      <w:r w:rsidR="007135FC" w:rsidRPr="00914D26">
        <w:rPr>
          <w:rFonts w:ascii="Palatino Linotype" w:hAnsi="Palatino Linotype" w:cstheme="minorHAnsi"/>
          <w:sz w:val="22"/>
          <w:szCs w:val="22"/>
        </w:rPr>
        <w:t>,</w:t>
      </w:r>
      <w:r w:rsidR="004435E3">
        <w:rPr>
          <w:rFonts w:ascii="Palatino Linotype" w:hAnsi="Palatino Linotype" w:cstheme="minorHAnsi"/>
          <w:sz w:val="22"/>
          <w:szCs w:val="22"/>
        </w:rPr>
        <w:t>3</w:t>
      </w:r>
      <w:r w:rsidR="00996151" w:rsidRPr="00914D26">
        <w:rPr>
          <w:rFonts w:ascii="Palatino Linotype" w:hAnsi="Palatino Linotype" w:cstheme="minorHAnsi"/>
          <w:sz w:val="22"/>
          <w:szCs w:val="22"/>
        </w:rPr>
        <w:t xml:space="preserve"> oranında </w:t>
      </w:r>
      <w:r w:rsidR="004435E3">
        <w:rPr>
          <w:rFonts w:ascii="Palatino Linotype" w:hAnsi="Palatino Linotype" w:cstheme="minorHAnsi"/>
          <w:sz w:val="22"/>
          <w:szCs w:val="22"/>
        </w:rPr>
        <w:t>artarken</w:t>
      </w:r>
      <w:r w:rsidRPr="00914D26">
        <w:rPr>
          <w:rFonts w:ascii="Palatino Linotype" w:hAnsi="Palatino Linotype" w:cstheme="minorHAnsi"/>
          <w:sz w:val="22"/>
          <w:szCs w:val="22"/>
        </w:rPr>
        <w:t xml:space="preserve"> geçen yılın </w:t>
      </w:r>
      <w:r w:rsidR="004435E3">
        <w:rPr>
          <w:rFonts w:ascii="Palatino Linotype" w:hAnsi="Palatino Linotype" w:cstheme="minorHAnsi"/>
          <w:sz w:val="22"/>
          <w:szCs w:val="22"/>
        </w:rPr>
        <w:t>birinci</w:t>
      </w:r>
      <w:r w:rsidRPr="00914D26">
        <w:rPr>
          <w:rFonts w:ascii="Palatino Linotype" w:hAnsi="Palatino Linotype" w:cstheme="minorHAnsi"/>
          <w:sz w:val="22"/>
          <w:szCs w:val="22"/>
        </w:rPr>
        <w:t xml:space="preserve"> çeyreğine kıyasla yüzde </w:t>
      </w:r>
      <w:r w:rsidR="004435E3">
        <w:rPr>
          <w:rFonts w:ascii="Palatino Linotype" w:hAnsi="Palatino Linotype" w:cstheme="minorHAnsi"/>
          <w:sz w:val="22"/>
          <w:szCs w:val="22"/>
        </w:rPr>
        <w:t>2,6</w:t>
      </w:r>
      <w:r w:rsidR="007135FC" w:rsidRPr="00914D26">
        <w:rPr>
          <w:rFonts w:ascii="Palatino Linotype" w:hAnsi="Palatino Linotype" w:cstheme="minorHAnsi"/>
          <w:sz w:val="22"/>
          <w:szCs w:val="22"/>
        </w:rPr>
        <w:t xml:space="preserve"> küçüldü</w:t>
      </w:r>
      <w:r w:rsidRPr="00914D26">
        <w:rPr>
          <w:rFonts w:ascii="Palatino Linotype" w:hAnsi="Palatino Linotype" w:cstheme="minorHAnsi"/>
          <w:sz w:val="22"/>
          <w:szCs w:val="22"/>
        </w:rPr>
        <w:t>.</w:t>
      </w:r>
      <w:r w:rsidR="00062A8A">
        <w:rPr>
          <w:rFonts w:ascii="Palatino Linotype" w:hAnsi="Palatino Linotype" w:cstheme="minorHAnsi"/>
          <w:sz w:val="22"/>
          <w:szCs w:val="22"/>
        </w:rPr>
        <w:t xml:space="preserve"> </w:t>
      </w:r>
      <w:r w:rsidR="00CC79C0" w:rsidRPr="00202302">
        <w:rPr>
          <w:rFonts w:ascii="Palatino Linotype" w:hAnsi="Palatino Linotype" w:cstheme="minorHAnsi"/>
          <w:sz w:val="22"/>
          <w:szCs w:val="22"/>
        </w:rPr>
        <w:t xml:space="preserve">Yıldan yıla büyümeye </w:t>
      </w:r>
      <w:r w:rsidR="00996151" w:rsidRPr="00202302">
        <w:rPr>
          <w:rFonts w:ascii="Palatino Linotype" w:hAnsi="Palatino Linotype" w:cstheme="minorHAnsi"/>
          <w:sz w:val="22"/>
          <w:szCs w:val="22"/>
        </w:rPr>
        <w:t xml:space="preserve">en büyük </w:t>
      </w:r>
      <w:r w:rsidR="002343A8" w:rsidRPr="00202302">
        <w:rPr>
          <w:rFonts w:ascii="Palatino Linotype" w:hAnsi="Palatino Linotype" w:cstheme="minorHAnsi"/>
          <w:sz w:val="22"/>
          <w:szCs w:val="22"/>
        </w:rPr>
        <w:t xml:space="preserve">negatif </w:t>
      </w:r>
      <w:r w:rsidR="006B0633" w:rsidRPr="00202302">
        <w:rPr>
          <w:rFonts w:ascii="Palatino Linotype" w:hAnsi="Palatino Linotype" w:cstheme="minorHAnsi"/>
          <w:sz w:val="22"/>
          <w:szCs w:val="22"/>
        </w:rPr>
        <w:t>katkı</w:t>
      </w:r>
      <w:r w:rsidR="00996151" w:rsidRPr="00202302">
        <w:rPr>
          <w:rFonts w:ascii="Palatino Linotype" w:hAnsi="Palatino Linotype" w:cstheme="minorHAnsi"/>
          <w:sz w:val="22"/>
          <w:szCs w:val="22"/>
        </w:rPr>
        <w:t xml:space="preserve"> </w:t>
      </w:r>
      <w:r w:rsidR="009E5241" w:rsidRPr="00202302">
        <w:rPr>
          <w:rFonts w:ascii="Palatino Linotype" w:hAnsi="Palatino Linotype" w:cstheme="minorHAnsi"/>
          <w:sz w:val="22"/>
          <w:szCs w:val="22"/>
        </w:rPr>
        <w:t xml:space="preserve">eksi </w:t>
      </w:r>
      <w:r w:rsidR="004435E3">
        <w:rPr>
          <w:rFonts w:ascii="Palatino Linotype" w:hAnsi="Palatino Linotype" w:cstheme="minorHAnsi"/>
          <w:sz w:val="22"/>
          <w:szCs w:val="22"/>
        </w:rPr>
        <w:t>9</w:t>
      </w:r>
      <w:r w:rsidR="000978C8" w:rsidRPr="00202302">
        <w:rPr>
          <w:rFonts w:ascii="Palatino Linotype" w:hAnsi="Palatino Linotype" w:cstheme="minorHAnsi"/>
          <w:sz w:val="22"/>
          <w:szCs w:val="22"/>
        </w:rPr>
        <w:t xml:space="preserve"> yüzde puan</w:t>
      </w:r>
      <w:r w:rsidR="00914D26" w:rsidRPr="00202302">
        <w:rPr>
          <w:rFonts w:ascii="Palatino Linotype" w:hAnsi="Palatino Linotype" w:cstheme="minorHAnsi"/>
          <w:sz w:val="22"/>
          <w:szCs w:val="22"/>
        </w:rPr>
        <w:t xml:space="preserve"> ile</w:t>
      </w:r>
      <w:r w:rsidR="00830B62" w:rsidRPr="00202302">
        <w:rPr>
          <w:rFonts w:ascii="Palatino Linotype" w:hAnsi="Palatino Linotype" w:cstheme="minorHAnsi"/>
          <w:sz w:val="22"/>
          <w:szCs w:val="22"/>
        </w:rPr>
        <w:t xml:space="preserve"> </w:t>
      </w:r>
      <w:r w:rsidR="004435E3">
        <w:rPr>
          <w:rFonts w:ascii="Palatino Linotype" w:hAnsi="Palatino Linotype" w:cstheme="minorHAnsi"/>
          <w:sz w:val="22"/>
          <w:szCs w:val="22"/>
        </w:rPr>
        <w:t>stok değişimi</w:t>
      </w:r>
      <w:r w:rsidR="008312F9" w:rsidRPr="00202302">
        <w:rPr>
          <w:rFonts w:ascii="Palatino Linotype" w:hAnsi="Palatino Linotype" w:cstheme="minorHAnsi"/>
          <w:sz w:val="22"/>
          <w:szCs w:val="22"/>
        </w:rPr>
        <w:t xml:space="preserve"> </w:t>
      </w:r>
      <w:r w:rsidR="00830B62" w:rsidRPr="00202302">
        <w:rPr>
          <w:rFonts w:ascii="Palatino Linotype" w:hAnsi="Palatino Linotype" w:cstheme="minorHAnsi"/>
          <w:sz w:val="22"/>
          <w:szCs w:val="22"/>
        </w:rPr>
        <w:t>kalem</w:t>
      </w:r>
      <w:r w:rsidR="00C271FA" w:rsidRPr="00202302">
        <w:rPr>
          <w:rFonts w:ascii="Palatino Linotype" w:hAnsi="Palatino Linotype" w:cstheme="minorHAnsi"/>
          <w:sz w:val="22"/>
          <w:szCs w:val="22"/>
        </w:rPr>
        <w:t>i</w:t>
      </w:r>
      <w:r w:rsidR="00830B62" w:rsidRPr="00202302">
        <w:rPr>
          <w:rFonts w:ascii="Palatino Linotype" w:hAnsi="Palatino Linotype" w:cstheme="minorHAnsi"/>
          <w:sz w:val="22"/>
          <w:szCs w:val="22"/>
        </w:rPr>
        <w:t>nden geldi.</w:t>
      </w:r>
      <w:r w:rsidR="00D54395">
        <w:rPr>
          <w:rFonts w:ascii="Palatino Linotype" w:hAnsi="Palatino Linotype" w:cstheme="minorHAnsi"/>
          <w:sz w:val="22"/>
          <w:szCs w:val="22"/>
        </w:rPr>
        <w:t xml:space="preserve"> Yatırımların</w:t>
      </w:r>
      <w:r w:rsidR="00CB41BA">
        <w:rPr>
          <w:rFonts w:ascii="Palatino Linotype" w:hAnsi="Palatino Linotype" w:cstheme="minorHAnsi"/>
          <w:sz w:val="22"/>
          <w:szCs w:val="22"/>
        </w:rPr>
        <w:t xml:space="preserve"> büyümeye olan </w:t>
      </w:r>
      <w:r w:rsidR="004435E3">
        <w:rPr>
          <w:rFonts w:ascii="Palatino Linotype" w:hAnsi="Palatino Linotype" w:cstheme="minorHAnsi"/>
          <w:sz w:val="22"/>
          <w:szCs w:val="22"/>
        </w:rPr>
        <w:t>katkısı ise değişmeyerek eksi 3,9 yüzde puan seviyesinde kaldı. K</w:t>
      </w:r>
      <w:r w:rsidR="00A322AA" w:rsidRPr="00202302">
        <w:rPr>
          <w:rFonts w:ascii="Palatino Linotype" w:hAnsi="Palatino Linotype" w:cstheme="minorHAnsi"/>
          <w:sz w:val="22"/>
          <w:szCs w:val="22"/>
        </w:rPr>
        <w:t xml:space="preserve">amu </w:t>
      </w:r>
      <w:r w:rsidR="00927D28" w:rsidRPr="00202302">
        <w:rPr>
          <w:rFonts w:ascii="Palatino Linotype" w:hAnsi="Palatino Linotype" w:cstheme="minorHAnsi"/>
          <w:sz w:val="22"/>
          <w:szCs w:val="22"/>
        </w:rPr>
        <w:t xml:space="preserve">tüketiminin katkısı </w:t>
      </w:r>
      <w:r w:rsidR="00844C47">
        <w:rPr>
          <w:rFonts w:ascii="Palatino Linotype" w:hAnsi="Palatino Linotype" w:cstheme="minorHAnsi"/>
          <w:sz w:val="22"/>
          <w:szCs w:val="22"/>
        </w:rPr>
        <w:t>geçen yılın birinci ç</w:t>
      </w:r>
      <w:r w:rsidR="00302EDD">
        <w:rPr>
          <w:rFonts w:ascii="Palatino Linotype" w:hAnsi="Palatino Linotype" w:cstheme="minorHAnsi"/>
          <w:sz w:val="22"/>
          <w:szCs w:val="22"/>
        </w:rPr>
        <w:t xml:space="preserve">eyreğine kıyasla yüzde 1 puan </w:t>
      </w:r>
      <w:r w:rsidR="00EE4795">
        <w:rPr>
          <w:rFonts w:ascii="Palatino Linotype" w:hAnsi="Palatino Linotype" w:cstheme="minorHAnsi"/>
          <w:sz w:val="22"/>
          <w:szCs w:val="22"/>
        </w:rPr>
        <w:t>a</w:t>
      </w:r>
      <w:r w:rsidR="00844C47">
        <w:rPr>
          <w:rFonts w:ascii="Palatino Linotype" w:hAnsi="Palatino Linotype" w:cstheme="minorHAnsi"/>
          <w:sz w:val="22"/>
          <w:szCs w:val="22"/>
        </w:rPr>
        <w:t>rttı</w:t>
      </w:r>
      <w:r w:rsidR="00927D28" w:rsidRPr="00202302">
        <w:rPr>
          <w:rFonts w:ascii="Palatino Linotype" w:hAnsi="Palatino Linotype" w:cstheme="minorHAnsi"/>
          <w:sz w:val="22"/>
          <w:szCs w:val="22"/>
        </w:rPr>
        <w:t xml:space="preserve">. </w:t>
      </w:r>
      <w:r w:rsidR="00680E36" w:rsidRPr="00680E36">
        <w:rPr>
          <w:rFonts w:ascii="Palatino Linotype" w:hAnsi="Palatino Linotype" w:cstheme="minorHAnsi"/>
          <w:sz w:val="22"/>
          <w:szCs w:val="22"/>
        </w:rPr>
        <w:t>Buna karşılık büyümeye ola</w:t>
      </w:r>
      <w:r w:rsidR="00FB5611">
        <w:rPr>
          <w:rFonts w:ascii="Palatino Linotype" w:hAnsi="Palatino Linotype" w:cstheme="minorHAnsi"/>
          <w:sz w:val="22"/>
          <w:szCs w:val="22"/>
        </w:rPr>
        <w:t>n pozitif katkı sadece</w:t>
      </w:r>
      <w:r w:rsidR="00680E36" w:rsidRPr="00680E36">
        <w:rPr>
          <w:rFonts w:ascii="Palatino Linotype" w:hAnsi="Palatino Linotype" w:cstheme="minorHAnsi"/>
          <w:sz w:val="22"/>
          <w:szCs w:val="22"/>
        </w:rPr>
        <w:t xml:space="preserve"> net ihracat ve kamu tüketiminden</w:t>
      </w:r>
      <w:r w:rsidR="00927D28" w:rsidRPr="00680E36">
        <w:rPr>
          <w:rFonts w:ascii="Palatino Linotype" w:hAnsi="Palatino Linotype" w:cstheme="minorHAnsi"/>
          <w:sz w:val="22"/>
          <w:szCs w:val="22"/>
        </w:rPr>
        <w:t xml:space="preserve"> geldi.</w:t>
      </w:r>
      <w:r w:rsidR="00844C47">
        <w:rPr>
          <w:rFonts w:ascii="Palatino Linotype" w:hAnsi="Palatino Linotype" w:cstheme="minorHAnsi"/>
          <w:sz w:val="22"/>
          <w:szCs w:val="22"/>
        </w:rPr>
        <w:t xml:space="preserve"> İhracatın katkısı 2,5</w:t>
      </w:r>
      <w:r w:rsidR="00927D28" w:rsidRPr="00202302">
        <w:rPr>
          <w:rFonts w:ascii="Palatino Linotype" w:hAnsi="Palatino Linotype" w:cstheme="minorHAnsi"/>
          <w:sz w:val="22"/>
          <w:szCs w:val="22"/>
        </w:rPr>
        <w:t xml:space="preserve"> yüzde</w:t>
      </w:r>
      <w:r w:rsidR="00194FF2">
        <w:rPr>
          <w:rFonts w:ascii="Palatino Linotype" w:hAnsi="Palatino Linotype" w:cstheme="minorHAnsi"/>
          <w:sz w:val="22"/>
          <w:szCs w:val="22"/>
        </w:rPr>
        <w:t xml:space="preserve"> puan olurken, ithalattaki </w:t>
      </w:r>
      <w:r w:rsidR="00927D28" w:rsidRPr="00202302">
        <w:rPr>
          <w:rFonts w:ascii="Palatino Linotype" w:hAnsi="Palatino Linotype" w:cstheme="minorHAnsi"/>
          <w:sz w:val="22"/>
          <w:szCs w:val="22"/>
        </w:rPr>
        <w:t>düşü</w:t>
      </w:r>
      <w:r w:rsidR="00844C47">
        <w:rPr>
          <w:rFonts w:ascii="Palatino Linotype" w:hAnsi="Palatino Linotype" w:cstheme="minorHAnsi"/>
          <w:sz w:val="22"/>
          <w:szCs w:val="22"/>
        </w:rPr>
        <w:t>ş devam ederek ithalat katkısı 9,7</w:t>
      </w:r>
      <w:r w:rsidR="00927D28" w:rsidRPr="00202302">
        <w:rPr>
          <w:rFonts w:ascii="Palatino Linotype" w:hAnsi="Palatino Linotype" w:cstheme="minorHAnsi"/>
          <w:sz w:val="22"/>
          <w:szCs w:val="22"/>
        </w:rPr>
        <w:t xml:space="preserve"> yüzde puana yükseldi</w:t>
      </w:r>
      <w:r w:rsidR="00927D28" w:rsidRPr="00680E36">
        <w:rPr>
          <w:rFonts w:ascii="Palatino Linotype" w:hAnsi="Palatino Linotype" w:cstheme="minorHAnsi"/>
          <w:color w:val="000000" w:themeColor="text1"/>
          <w:sz w:val="22"/>
          <w:szCs w:val="22"/>
        </w:rPr>
        <w:t xml:space="preserve">. </w:t>
      </w:r>
      <w:r w:rsidR="0094295F" w:rsidRPr="00680E36">
        <w:rPr>
          <w:rFonts w:ascii="Palatino Linotype" w:hAnsi="Palatino Linotype" w:cstheme="minorHAnsi"/>
          <w:color w:val="000000" w:themeColor="text1"/>
          <w:sz w:val="22"/>
          <w:szCs w:val="22"/>
        </w:rPr>
        <w:t>Böylece</w:t>
      </w:r>
      <w:r w:rsidR="00FB5611">
        <w:rPr>
          <w:rFonts w:ascii="Palatino Linotype" w:hAnsi="Palatino Linotype" w:cstheme="minorHAnsi"/>
          <w:color w:val="000000" w:themeColor="text1"/>
          <w:sz w:val="22"/>
          <w:szCs w:val="22"/>
        </w:rPr>
        <w:t xml:space="preserve"> 2018 yılı dördüncü çeyrekte </w:t>
      </w:r>
      <w:r w:rsidR="0094295F" w:rsidRPr="00680E36">
        <w:rPr>
          <w:rFonts w:ascii="Palatino Linotype" w:hAnsi="Palatino Linotype" w:cstheme="minorHAnsi"/>
          <w:color w:val="000000" w:themeColor="text1"/>
          <w:sz w:val="22"/>
          <w:szCs w:val="22"/>
        </w:rPr>
        <w:t>9,7</w:t>
      </w:r>
      <w:r w:rsidR="00FB5611">
        <w:rPr>
          <w:rFonts w:ascii="Palatino Linotype" w:hAnsi="Palatino Linotype" w:cstheme="minorHAnsi"/>
          <w:color w:val="000000" w:themeColor="text1"/>
          <w:sz w:val="22"/>
          <w:szCs w:val="22"/>
        </w:rPr>
        <w:t xml:space="preserve"> yüzde puan olan </w:t>
      </w:r>
      <w:r w:rsidR="00FB5611" w:rsidRPr="00680E36">
        <w:rPr>
          <w:rFonts w:ascii="Palatino Linotype" w:hAnsi="Palatino Linotype" w:cstheme="minorHAnsi"/>
          <w:color w:val="000000" w:themeColor="text1"/>
          <w:sz w:val="22"/>
          <w:szCs w:val="22"/>
        </w:rPr>
        <w:t>net ihracat katkısı</w:t>
      </w:r>
      <w:r w:rsidR="00FB5611">
        <w:rPr>
          <w:rFonts w:ascii="Palatino Linotype" w:hAnsi="Palatino Linotype" w:cstheme="minorHAnsi"/>
          <w:color w:val="000000" w:themeColor="text1"/>
          <w:sz w:val="22"/>
          <w:szCs w:val="22"/>
        </w:rPr>
        <w:t xml:space="preserve"> 2019 yılı birinci</w:t>
      </w:r>
      <w:r w:rsidR="00927D28" w:rsidRPr="00680E36">
        <w:rPr>
          <w:rFonts w:ascii="Palatino Linotype" w:hAnsi="Palatino Linotype" w:cstheme="minorHAnsi"/>
          <w:color w:val="000000" w:themeColor="text1"/>
          <w:sz w:val="22"/>
          <w:szCs w:val="22"/>
        </w:rPr>
        <w:t xml:space="preserve"> </w:t>
      </w:r>
      <w:r w:rsidR="0094295F" w:rsidRPr="00680E36">
        <w:rPr>
          <w:rFonts w:ascii="Palatino Linotype" w:hAnsi="Palatino Linotype" w:cstheme="minorHAnsi"/>
          <w:color w:val="000000" w:themeColor="text1"/>
          <w:sz w:val="22"/>
          <w:szCs w:val="22"/>
        </w:rPr>
        <w:t>çeyrekte 12,2</w:t>
      </w:r>
      <w:r w:rsidR="003B2D0B" w:rsidRPr="00680E36">
        <w:rPr>
          <w:rFonts w:ascii="Palatino Linotype" w:hAnsi="Palatino Linotype" w:cstheme="minorHAnsi"/>
          <w:color w:val="000000" w:themeColor="text1"/>
          <w:sz w:val="22"/>
          <w:szCs w:val="22"/>
        </w:rPr>
        <w:t xml:space="preserve"> yüzde puana yüksel</w:t>
      </w:r>
      <w:r w:rsidR="00927D28" w:rsidRPr="00680E36">
        <w:rPr>
          <w:rFonts w:ascii="Palatino Linotype" w:hAnsi="Palatino Linotype" w:cstheme="minorHAnsi"/>
          <w:color w:val="000000" w:themeColor="text1"/>
          <w:sz w:val="22"/>
          <w:szCs w:val="22"/>
        </w:rPr>
        <w:t>di</w:t>
      </w:r>
      <w:r w:rsidR="00194FF2">
        <w:rPr>
          <w:rFonts w:ascii="Palatino Linotype" w:hAnsi="Palatino Linotype" w:cstheme="minorHAnsi"/>
          <w:color w:val="000000" w:themeColor="text1"/>
          <w:sz w:val="22"/>
          <w:szCs w:val="22"/>
        </w:rPr>
        <w:t>.</w:t>
      </w:r>
      <w:r w:rsidR="00720250" w:rsidRPr="00202302">
        <w:rPr>
          <w:rFonts w:ascii="Palatino Linotype" w:hAnsi="Palatino Linotype" w:cstheme="minorHAnsi"/>
          <w:sz w:val="22"/>
          <w:szCs w:val="22"/>
        </w:rPr>
        <w:t xml:space="preserve"> </w:t>
      </w:r>
    </w:p>
    <w:p w14:paraId="48B7601D" w14:textId="77777777" w:rsidR="00062A8A" w:rsidRDefault="00062A8A" w:rsidP="00062A8A">
      <w:pPr>
        <w:spacing w:line="360" w:lineRule="auto"/>
        <w:ind w:right="567"/>
        <w:jc w:val="both"/>
        <w:rPr>
          <w:rFonts w:ascii="Palatino Linotype" w:hAnsi="Palatino Linotype" w:cstheme="minorHAnsi"/>
          <w:b/>
          <w:sz w:val="22"/>
          <w:szCs w:val="22"/>
        </w:rPr>
      </w:pPr>
    </w:p>
    <w:p w14:paraId="3DEF1659" w14:textId="77777777" w:rsidR="00C73CC1" w:rsidRPr="00C73CC1" w:rsidRDefault="00940150" w:rsidP="00062A8A">
      <w:pPr>
        <w:spacing w:line="360" w:lineRule="auto"/>
        <w:ind w:right="567"/>
        <w:jc w:val="both"/>
        <w:rPr>
          <w:rFonts w:ascii="Palatino Linotype" w:hAnsi="Palatino Linotype" w:cstheme="minorHAnsi"/>
          <w:b/>
          <w:sz w:val="22"/>
          <w:szCs w:val="22"/>
        </w:rPr>
      </w:pPr>
      <w:r w:rsidRPr="00940150">
        <w:rPr>
          <w:rFonts w:ascii="Palatino Linotype" w:hAnsi="Palatino Linotype" w:cstheme="minorHAnsi"/>
          <w:b/>
          <w:sz w:val="22"/>
          <w:szCs w:val="22"/>
        </w:rPr>
        <w:t>Birinci</w:t>
      </w:r>
      <w:r w:rsidR="00C73CC1" w:rsidRPr="00940150">
        <w:rPr>
          <w:rFonts w:ascii="Palatino Linotype" w:hAnsi="Palatino Linotype" w:cstheme="minorHAnsi"/>
          <w:b/>
          <w:sz w:val="22"/>
          <w:szCs w:val="22"/>
        </w:rPr>
        <w:t xml:space="preserve"> çeyrekte </w:t>
      </w:r>
      <w:r w:rsidRPr="00940150">
        <w:rPr>
          <w:rFonts w:ascii="Palatino Linotype" w:hAnsi="Palatino Linotype" w:cstheme="minorHAnsi"/>
          <w:b/>
          <w:sz w:val="22"/>
          <w:szCs w:val="22"/>
        </w:rPr>
        <w:t>genişleme</w:t>
      </w:r>
    </w:p>
    <w:p w14:paraId="183917B2" w14:textId="5B79DE2C" w:rsidR="00C73CC1" w:rsidRPr="00062A8A" w:rsidRDefault="00BF59B3" w:rsidP="00062A8A">
      <w:pPr>
        <w:spacing w:line="360" w:lineRule="auto"/>
        <w:ind w:right="567"/>
        <w:jc w:val="both"/>
        <w:rPr>
          <w:rFonts w:ascii="Palatino Linotype" w:hAnsi="Palatino Linotype" w:cstheme="minorHAnsi"/>
          <w:sz w:val="22"/>
          <w:szCs w:val="22"/>
        </w:rPr>
      </w:pPr>
      <w:r>
        <w:rPr>
          <w:rFonts w:ascii="Palatino Linotype" w:hAnsi="Palatino Linotype" w:cstheme="minorHAnsi"/>
          <w:sz w:val="22"/>
          <w:szCs w:val="22"/>
        </w:rPr>
        <w:t>Çeyrekl</w:t>
      </w:r>
      <w:r w:rsidR="00A10891">
        <w:rPr>
          <w:rFonts w:ascii="Palatino Linotype" w:hAnsi="Palatino Linotype" w:cstheme="minorHAnsi"/>
          <w:sz w:val="22"/>
          <w:szCs w:val="22"/>
        </w:rPr>
        <w:t>ik bazda 2018 yılı ikinci çeyre</w:t>
      </w:r>
      <w:r>
        <w:rPr>
          <w:rFonts w:ascii="Palatino Linotype" w:hAnsi="Palatino Linotype" w:cstheme="minorHAnsi"/>
          <w:sz w:val="22"/>
          <w:szCs w:val="22"/>
        </w:rPr>
        <w:t xml:space="preserve">ğinden itibaren </w:t>
      </w:r>
      <w:proofErr w:type="spellStart"/>
      <w:r w:rsidR="00C73CC1" w:rsidRPr="00C73CC1">
        <w:rPr>
          <w:rFonts w:ascii="Palatino Linotype" w:hAnsi="Palatino Linotype" w:cstheme="minorHAnsi"/>
          <w:sz w:val="22"/>
          <w:szCs w:val="22"/>
        </w:rPr>
        <w:t>GSYH</w:t>
      </w:r>
      <w:r>
        <w:rPr>
          <w:rFonts w:ascii="Palatino Linotype" w:hAnsi="Palatino Linotype" w:cstheme="minorHAnsi"/>
          <w:sz w:val="22"/>
          <w:szCs w:val="22"/>
        </w:rPr>
        <w:t>’daki</w:t>
      </w:r>
      <w:proofErr w:type="spellEnd"/>
      <w:r>
        <w:rPr>
          <w:rFonts w:ascii="Palatino Linotype" w:hAnsi="Palatino Linotype" w:cstheme="minorHAnsi"/>
          <w:sz w:val="22"/>
          <w:szCs w:val="22"/>
        </w:rPr>
        <w:t xml:space="preserve"> </w:t>
      </w:r>
      <w:r w:rsidR="00647792">
        <w:rPr>
          <w:rFonts w:ascii="Palatino Linotype" w:hAnsi="Palatino Linotype" w:cstheme="minorHAnsi"/>
          <w:sz w:val="22"/>
          <w:szCs w:val="22"/>
        </w:rPr>
        <w:t xml:space="preserve">daralmalar </w:t>
      </w:r>
      <w:r w:rsidR="00647792" w:rsidRPr="00C73CC1">
        <w:rPr>
          <w:rFonts w:ascii="Palatino Linotype" w:hAnsi="Palatino Linotype" w:cstheme="minorHAnsi"/>
          <w:sz w:val="22"/>
          <w:szCs w:val="22"/>
        </w:rPr>
        <w:t>mevsim</w:t>
      </w:r>
      <w:r w:rsidR="00C73CC1" w:rsidRPr="00C73CC1">
        <w:rPr>
          <w:rFonts w:ascii="Palatino Linotype" w:hAnsi="Palatino Linotype" w:cstheme="minorHAnsi"/>
          <w:sz w:val="22"/>
          <w:szCs w:val="22"/>
        </w:rPr>
        <w:t xml:space="preserve"> ve takvim etkileri</w:t>
      </w:r>
      <w:r w:rsidR="00844C47">
        <w:rPr>
          <w:rFonts w:ascii="Palatino Linotype" w:hAnsi="Palatino Linotype" w:cstheme="minorHAnsi"/>
          <w:sz w:val="22"/>
          <w:szCs w:val="22"/>
        </w:rPr>
        <w:t>n</w:t>
      </w:r>
      <w:r>
        <w:rPr>
          <w:rFonts w:ascii="Palatino Linotype" w:hAnsi="Palatino Linotype" w:cstheme="minorHAnsi"/>
          <w:sz w:val="22"/>
          <w:szCs w:val="22"/>
        </w:rPr>
        <w:t xml:space="preserve">den arındırılmış rakamlarla 2019 yılı birinci çeyrekte yerini </w:t>
      </w:r>
      <w:r w:rsidR="00844C47">
        <w:rPr>
          <w:rFonts w:ascii="Palatino Linotype" w:hAnsi="Palatino Linotype" w:cstheme="minorHAnsi"/>
          <w:sz w:val="22"/>
          <w:szCs w:val="22"/>
        </w:rPr>
        <w:t>yüzde 1,3</w:t>
      </w:r>
      <w:r w:rsidR="00C73CC1" w:rsidRPr="00C73CC1">
        <w:rPr>
          <w:rFonts w:ascii="Palatino Linotype" w:hAnsi="Palatino Linotype" w:cstheme="minorHAnsi"/>
          <w:sz w:val="22"/>
          <w:szCs w:val="22"/>
        </w:rPr>
        <w:t xml:space="preserve"> </w:t>
      </w:r>
      <w:r>
        <w:rPr>
          <w:rFonts w:ascii="Palatino Linotype" w:hAnsi="Palatino Linotype" w:cstheme="minorHAnsi"/>
          <w:sz w:val="22"/>
          <w:szCs w:val="22"/>
        </w:rPr>
        <w:t>oranında artışa bırakmıştır</w:t>
      </w:r>
      <w:r w:rsidR="00C73CC1">
        <w:rPr>
          <w:rFonts w:ascii="Palatino Linotype" w:hAnsi="Palatino Linotype" w:cstheme="minorHAnsi"/>
          <w:sz w:val="22"/>
          <w:szCs w:val="22"/>
        </w:rPr>
        <w:t xml:space="preserve">. </w:t>
      </w:r>
      <w:r w:rsidR="00C73CC1" w:rsidRPr="00990E34">
        <w:rPr>
          <w:rFonts w:ascii="Palatino Linotype" w:hAnsi="Palatino Linotype" w:cstheme="minorHAnsi"/>
          <w:sz w:val="22"/>
          <w:szCs w:val="22"/>
        </w:rPr>
        <w:t>B</w:t>
      </w:r>
      <w:r w:rsidR="00990E34" w:rsidRPr="00990E34">
        <w:rPr>
          <w:rFonts w:ascii="Palatino Linotype" w:hAnsi="Palatino Linotype" w:cstheme="minorHAnsi"/>
          <w:sz w:val="22"/>
          <w:szCs w:val="22"/>
        </w:rPr>
        <w:t>öylece son üç</w:t>
      </w:r>
      <w:r w:rsidR="00C73CC1" w:rsidRPr="00990E34">
        <w:rPr>
          <w:rFonts w:ascii="Palatino Linotype" w:hAnsi="Palatino Linotype" w:cstheme="minorHAnsi"/>
          <w:sz w:val="22"/>
          <w:szCs w:val="22"/>
        </w:rPr>
        <w:t xml:space="preserve"> çeyrek üst üste daralan Türkiye ekonomisi</w:t>
      </w:r>
      <w:r w:rsidR="00A10891">
        <w:rPr>
          <w:rFonts w:ascii="Palatino Linotype" w:hAnsi="Palatino Linotype" w:cstheme="minorHAnsi"/>
          <w:sz w:val="22"/>
          <w:szCs w:val="22"/>
        </w:rPr>
        <w:t xml:space="preserve">nde </w:t>
      </w:r>
      <w:r w:rsidR="00990E34" w:rsidRPr="00990E34">
        <w:rPr>
          <w:rFonts w:ascii="Palatino Linotype" w:hAnsi="Palatino Linotype" w:cstheme="minorHAnsi"/>
          <w:sz w:val="22"/>
          <w:szCs w:val="22"/>
        </w:rPr>
        <w:t>resesyon dönemi</w:t>
      </w:r>
      <w:r w:rsidR="00302EDD">
        <w:rPr>
          <w:rFonts w:ascii="Palatino Linotype" w:hAnsi="Palatino Linotype" w:cstheme="minorHAnsi"/>
          <w:sz w:val="22"/>
          <w:szCs w:val="22"/>
        </w:rPr>
        <w:t xml:space="preserve"> şimdilik sona ermiştir</w:t>
      </w:r>
      <w:r w:rsidR="00C73CC1" w:rsidRPr="00990E34">
        <w:rPr>
          <w:rFonts w:ascii="Palatino Linotype" w:hAnsi="Palatino Linotype" w:cstheme="minorHAnsi"/>
          <w:sz w:val="22"/>
          <w:szCs w:val="22"/>
        </w:rPr>
        <w:t>.</w:t>
      </w:r>
      <w:r w:rsidR="00C73CC1">
        <w:rPr>
          <w:rFonts w:ascii="Palatino Linotype" w:hAnsi="Palatino Linotype" w:cstheme="minorHAnsi"/>
          <w:sz w:val="22"/>
          <w:szCs w:val="22"/>
        </w:rPr>
        <w:t xml:space="preserve"> </w:t>
      </w:r>
      <w:r w:rsidR="00C73CC1" w:rsidRPr="00940150">
        <w:rPr>
          <w:rFonts w:ascii="Palatino Linotype" w:hAnsi="Palatino Linotype" w:cstheme="minorHAnsi"/>
          <w:sz w:val="22"/>
          <w:szCs w:val="22"/>
        </w:rPr>
        <w:t>Yıllık</w:t>
      </w:r>
      <w:r w:rsidR="005B35F3" w:rsidRPr="00940150">
        <w:rPr>
          <w:rFonts w:ascii="Palatino Linotype" w:hAnsi="Palatino Linotype" w:cstheme="minorHAnsi"/>
          <w:sz w:val="22"/>
          <w:szCs w:val="22"/>
        </w:rPr>
        <w:t xml:space="preserve"> bazda</w:t>
      </w:r>
      <w:r w:rsidR="00940150" w:rsidRPr="00940150">
        <w:rPr>
          <w:rFonts w:ascii="Palatino Linotype" w:hAnsi="Palatino Linotype" w:cstheme="minorHAnsi"/>
          <w:sz w:val="22"/>
          <w:szCs w:val="22"/>
        </w:rPr>
        <w:t xml:space="preserve"> ise GSYH 2019 yılı birinci çeyrekte </w:t>
      </w:r>
      <w:r w:rsidR="00844C47" w:rsidRPr="00940150">
        <w:rPr>
          <w:rFonts w:ascii="Palatino Linotype" w:hAnsi="Palatino Linotype" w:cstheme="minorHAnsi"/>
          <w:sz w:val="22"/>
          <w:szCs w:val="22"/>
        </w:rPr>
        <w:t>yüzde 2</w:t>
      </w:r>
      <w:r w:rsidR="00647792">
        <w:rPr>
          <w:rFonts w:ascii="Palatino Linotype" w:hAnsi="Palatino Linotype" w:cstheme="minorHAnsi"/>
          <w:sz w:val="22"/>
          <w:szCs w:val="22"/>
        </w:rPr>
        <w:t>,</w:t>
      </w:r>
      <w:r w:rsidR="00844C47" w:rsidRPr="00940150">
        <w:rPr>
          <w:rFonts w:ascii="Palatino Linotype" w:hAnsi="Palatino Linotype" w:cstheme="minorHAnsi"/>
          <w:sz w:val="22"/>
          <w:szCs w:val="22"/>
        </w:rPr>
        <w:t>6</w:t>
      </w:r>
      <w:r w:rsidR="00A10891">
        <w:rPr>
          <w:rFonts w:ascii="Palatino Linotype" w:hAnsi="Palatino Linotype" w:cstheme="minorHAnsi"/>
          <w:sz w:val="22"/>
          <w:szCs w:val="22"/>
        </w:rPr>
        <w:t xml:space="preserve"> azalış sergilemiştir</w:t>
      </w:r>
      <w:r w:rsidR="00073415" w:rsidRPr="00940150">
        <w:rPr>
          <w:rFonts w:ascii="Palatino Linotype" w:hAnsi="Palatino Linotype" w:cstheme="minorHAnsi"/>
          <w:sz w:val="22"/>
          <w:szCs w:val="22"/>
        </w:rPr>
        <w:t xml:space="preserve"> (Şeki</w:t>
      </w:r>
      <w:r w:rsidR="00FD35CE" w:rsidRPr="00940150">
        <w:rPr>
          <w:rFonts w:ascii="Palatino Linotype" w:hAnsi="Palatino Linotype" w:cstheme="minorHAnsi"/>
          <w:sz w:val="22"/>
          <w:szCs w:val="22"/>
        </w:rPr>
        <w:t>l</w:t>
      </w:r>
      <w:r w:rsidR="00073415" w:rsidRPr="00940150">
        <w:rPr>
          <w:rFonts w:ascii="Palatino Linotype" w:hAnsi="Palatino Linotype" w:cstheme="minorHAnsi"/>
          <w:sz w:val="22"/>
          <w:szCs w:val="22"/>
        </w:rPr>
        <w:t xml:space="preserve"> </w:t>
      </w:r>
      <w:r w:rsidR="00FD35CE" w:rsidRPr="00940150">
        <w:rPr>
          <w:rFonts w:ascii="Palatino Linotype" w:hAnsi="Palatino Linotype" w:cstheme="minorHAnsi"/>
          <w:sz w:val="22"/>
          <w:szCs w:val="22"/>
        </w:rPr>
        <w:t>1)</w:t>
      </w:r>
      <w:r w:rsidR="005B35F3" w:rsidRPr="00940150">
        <w:rPr>
          <w:rFonts w:ascii="Palatino Linotype" w:hAnsi="Palatino Linotype" w:cstheme="minorHAnsi"/>
          <w:sz w:val="22"/>
          <w:szCs w:val="22"/>
        </w:rPr>
        <w:t>.</w:t>
      </w:r>
      <w:r w:rsidR="00D1282D">
        <w:rPr>
          <w:rFonts w:ascii="Palatino Linotype" w:hAnsi="Palatino Linotype" w:cstheme="minorHAnsi"/>
          <w:sz w:val="22"/>
          <w:szCs w:val="22"/>
        </w:rPr>
        <w:t xml:space="preserve"> </w:t>
      </w:r>
      <w:r w:rsidR="00A10891">
        <w:rPr>
          <w:rFonts w:ascii="Palatino Linotype" w:hAnsi="Palatino Linotype" w:cstheme="minorHAnsi"/>
          <w:sz w:val="22"/>
          <w:szCs w:val="22"/>
        </w:rPr>
        <w:t>Öte yandan b</w:t>
      </w:r>
      <w:r w:rsidR="00D1282D">
        <w:rPr>
          <w:rFonts w:ascii="Palatino Linotype" w:hAnsi="Palatino Linotype" w:cstheme="minorHAnsi"/>
          <w:sz w:val="22"/>
          <w:szCs w:val="22"/>
        </w:rPr>
        <w:t xml:space="preserve">irinci </w:t>
      </w:r>
      <w:r w:rsidR="00FD35CE">
        <w:rPr>
          <w:rFonts w:ascii="Palatino Linotype" w:hAnsi="Palatino Linotype" w:cstheme="minorHAnsi"/>
          <w:sz w:val="22"/>
          <w:szCs w:val="22"/>
        </w:rPr>
        <w:t xml:space="preserve">çeyrekte </w:t>
      </w:r>
      <w:r w:rsidR="00D1282D">
        <w:rPr>
          <w:rFonts w:ascii="Palatino Linotype" w:hAnsi="Palatino Linotype" w:cstheme="minorHAnsi"/>
          <w:sz w:val="22"/>
          <w:szCs w:val="22"/>
        </w:rPr>
        <w:t xml:space="preserve">kamu tüketimi hariç </w:t>
      </w:r>
      <w:r w:rsidR="00FD35CE">
        <w:rPr>
          <w:rFonts w:ascii="Palatino Linotype" w:hAnsi="Palatino Linotype" w:cstheme="minorHAnsi"/>
          <w:sz w:val="22"/>
          <w:szCs w:val="22"/>
        </w:rPr>
        <w:t>tüm</w:t>
      </w:r>
      <w:r w:rsidR="00D1282D">
        <w:rPr>
          <w:rFonts w:ascii="Palatino Linotype" w:hAnsi="Palatino Linotype" w:cstheme="minorHAnsi"/>
          <w:sz w:val="22"/>
          <w:szCs w:val="22"/>
        </w:rPr>
        <w:t xml:space="preserve"> iç talep unsurlarında </w:t>
      </w:r>
      <w:r w:rsidR="00FD35CE">
        <w:rPr>
          <w:rFonts w:ascii="Palatino Linotype" w:hAnsi="Palatino Linotype" w:cstheme="minorHAnsi"/>
          <w:sz w:val="22"/>
          <w:szCs w:val="22"/>
        </w:rPr>
        <w:t>azalma</w:t>
      </w:r>
      <w:r w:rsidR="00D1282D">
        <w:rPr>
          <w:rFonts w:ascii="Palatino Linotype" w:hAnsi="Palatino Linotype" w:cstheme="minorHAnsi"/>
          <w:sz w:val="22"/>
          <w:szCs w:val="22"/>
        </w:rPr>
        <w:t>lar</w:t>
      </w:r>
      <w:r w:rsidR="00FD35CE">
        <w:rPr>
          <w:rFonts w:ascii="Palatino Linotype" w:hAnsi="Palatino Linotype" w:cstheme="minorHAnsi"/>
          <w:sz w:val="22"/>
          <w:szCs w:val="22"/>
        </w:rPr>
        <w:t xml:space="preserve"> gözlemleniyor.</w:t>
      </w:r>
      <w:r w:rsidR="006F5E82">
        <w:rPr>
          <w:rFonts w:ascii="Palatino Linotype" w:hAnsi="Palatino Linotype" w:cstheme="minorHAnsi"/>
          <w:sz w:val="22"/>
          <w:szCs w:val="22"/>
        </w:rPr>
        <w:t xml:space="preserve"> </w:t>
      </w:r>
    </w:p>
    <w:p w14:paraId="614EC674" w14:textId="77777777" w:rsidR="00E57043" w:rsidRPr="0050008F" w:rsidRDefault="00E57043" w:rsidP="00E85F3F">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lastRenderedPageBreak/>
        <w:t>Şekil</w:t>
      </w:r>
      <w:r w:rsidR="00D53424" w:rsidRPr="0050008F">
        <w:rPr>
          <w:rFonts w:ascii="Palatino Linotype" w:hAnsi="Palatino Linotype" w:cstheme="minorHAnsi"/>
          <w:b/>
          <w:bCs/>
          <w:sz w:val="22"/>
          <w:szCs w:val="22"/>
        </w:rPr>
        <w:t xml:space="preserve"> 1: GSYH alt kalemlerinin 201</w:t>
      </w:r>
      <w:r w:rsidR="00632CF6">
        <w:rPr>
          <w:rFonts w:ascii="Palatino Linotype" w:hAnsi="Palatino Linotype" w:cstheme="minorHAnsi"/>
          <w:b/>
          <w:bCs/>
          <w:sz w:val="22"/>
          <w:szCs w:val="22"/>
        </w:rPr>
        <w:t>9</w:t>
      </w:r>
      <w:r w:rsidR="00D53424" w:rsidRPr="0050008F">
        <w:rPr>
          <w:rFonts w:ascii="Palatino Linotype" w:hAnsi="Palatino Linotype" w:cstheme="minorHAnsi"/>
          <w:b/>
          <w:bCs/>
          <w:sz w:val="22"/>
          <w:szCs w:val="22"/>
        </w:rPr>
        <w:t xml:space="preserve"> </w:t>
      </w:r>
      <w:r w:rsidR="00632CF6">
        <w:rPr>
          <w:rFonts w:ascii="Palatino Linotype" w:hAnsi="Palatino Linotype" w:cstheme="minorHAnsi"/>
          <w:b/>
          <w:bCs/>
          <w:sz w:val="22"/>
          <w:szCs w:val="22"/>
        </w:rPr>
        <w:t>1</w:t>
      </w:r>
      <w:r w:rsidRPr="0050008F">
        <w:rPr>
          <w:rFonts w:ascii="Palatino Linotype" w:hAnsi="Palatino Linotype" w:cstheme="minorHAnsi"/>
          <w:b/>
          <w:bCs/>
          <w:sz w:val="22"/>
          <w:szCs w:val="22"/>
        </w:rPr>
        <w:t xml:space="preserve">. çeyrekte bir önceki yılın aynı çeyreğine göre </w:t>
      </w:r>
      <w:r w:rsidR="001A42FF" w:rsidRPr="0050008F">
        <w:rPr>
          <w:rFonts w:ascii="Palatino Linotype" w:hAnsi="Palatino Linotype" w:cstheme="minorHAnsi"/>
          <w:b/>
          <w:bCs/>
          <w:sz w:val="22"/>
          <w:szCs w:val="22"/>
        </w:rPr>
        <w:t xml:space="preserve">büyümeye katkıları (sol şekil) ve </w:t>
      </w:r>
      <w:r w:rsidRPr="0050008F">
        <w:rPr>
          <w:rFonts w:ascii="Palatino Linotype" w:hAnsi="Palatino Linotype" w:cstheme="minorHAnsi"/>
          <w:b/>
          <w:bCs/>
          <w:sz w:val="22"/>
          <w:szCs w:val="22"/>
        </w:rPr>
        <w:t xml:space="preserve">büyüme oranları </w:t>
      </w:r>
      <w:r w:rsidR="006C3EE6" w:rsidRPr="0050008F">
        <w:rPr>
          <w:rFonts w:ascii="Palatino Linotype" w:hAnsi="Palatino Linotype" w:cstheme="minorHAnsi"/>
          <w:b/>
          <w:bCs/>
          <w:sz w:val="22"/>
          <w:szCs w:val="22"/>
        </w:rPr>
        <w:t>(s</w:t>
      </w:r>
      <w:r w:rsidR="00D4574F" w:rsidRPr="0050008F">
        <w:rPr>
          <w:rFonts w:ascii="Palatino Linotype" w:hAnsi="Palatino Linotype" w:cstheme="minorHAnsi"/>
          <w:b/>
          <w:bCs/>
          <w:sz w:val="22"/>
          <w:szCs w:val="22"/>
        </w:rPr>
        <w:t>ağ</w:t>
      </w:r>
      <w:r w:rsidR="001A080D" w:rsidRPr="0050008F">
        <w:rPr>
          <w:rFonts w:ascii="Palatino Linotype" w:hAnsi="Palatino Linotype" w:cstheme="minorHAnsi"/>
          <w:b/>
          <w:bCs/>
          <w:sz w:val="22"/>
          <w:szCs w:val="22"/>
        </w:rPr>
        <w:t xml:space="preserve"> </w:t>
      </w:r>
      <w:r w:rsidR="00CB3462" w:rsidRPr="0050008F">
        <w:rPr>
          <w:rFonts w:ascii="Palatino Linotype" w:hAnsi="Palatino Linotype" w:cstheme="minorHAnsi"/>
          <w:b/>
          <w:bCs/>
          <w:sz w:val="22"/>
          <w:szCs w:val="22"/>
        </w:rPr>
        <w:t>şekil</w:t>
      </w:r>
      <w:r w:rsidR="006C3EE6" w:rsidRPr="0050008F">
        <w:rPr>
          <w:rFonts w:ascii="Palatino Linotype" w:hAnsi="Palatino Linotype" w:cstheme="minorHAnsi"/>
          <w:b/>
          <w:bCs/>
          <w:sz w:val="22"/>
          <w:szCs w:val="22"/>
        </w:rPr>
        <w:t xml:space="preserve">) </w:t>
      </w:r>
    </w:p>
    <w:p w14:paraId="26203239" w14:textId="77777777" w:rsidR="00D07713" w:rsidRPr="0050008F" w:rsidRDefault="00D07713" w:rsidP="00E85F3F">
      <w:pPr>
        <w:keepNext/>
        <w:rPr>
          <w:rFonts w:ascii="Palatino Linotype" w:hAnsi="Palatino Linotype" w:cstheme="minorHAnsi"/>
        </w:rPr>
      </w:pPr>
    </w:p>
    <w:p w14:paraId="3C3385A1" w14:textId="77777777" w:rsidR="00D07713" w:rsidRPr="0050008F" w:rsidRDefault="00D76361" w:rsidP="00544773">
      <w:pPr>
        <w:keepNext/>
        <w:ind w:left="-567" w:right="-567"/>
        <w:jc w:val="center"/>
        <w:rPr>
          <w:rFonts w:ascii="Palatino Linotype" w:hAnsi="Palatino Linotype" w:cstheme="minorHAnsi"/>
        </w:rPr>
      </w:pPr>
      <w:r>
        <w:rPr>
          <w:noProof/>
        </w:rPr>
        <w:drawing>
          <wp:inline distT="0" distB="0" distL="0" distR="0" wp14:anchorId="29CB0C6D" wp14:editId="6DA87DCC">
            <wp:extent cx="3249146" cy="2482104"/>
            <wp:effectExtent l="0" t="0" r="8890" b="13970"/>
            <wp:docPr id="6" name="Chart 6">
              <a:extLst xmlns:a="http://schemas.openxmlformats.org/drawingml/2006/main">
                <a:ext uri="{FF2B5EF4-FFF2-40B4-BE49-F238E27FC236}">
                  <a16:creationId xmlns:a16="http://schemas.microsoft.com/office/drawing/2014/main" id="{18BC373F-4370-4368-BF3E-E5C5B73E0A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017B2">
        <w:rPr>
          <w:noProof/>
        </w:rPr>
        <w:drawing>
          <wp:inline distT="0" distB="0" distL="0" distR="0" wp14:anchorId="73EEF0E5" wp14:editId="309C6FB6">
            <wp:extent cx="3080487" cy="2493651"/>
            <wp:effectExtent l="0" t="0" r="5715" b="1905"/>
            <wp:docPr id="8" name="Chart 8">
              <a:extLst xmlns:a="http://schemas.openxmlformats.org/drawingml/2006/main">
                <a:ext uri="{FF2B5EF4-FFF2-40B4-BE49-F238E27FC236}">
                  <a16:creationId xmlns:a16="http://schemas.microsoft.com/office/drawing/2014/main" id="{0D245A8B-5CBD-429E-AACF-D2D3B7321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9A51EC" w14:textId="77777777" w:rsidR="001C2C68" w:rsidRPr="0050008F" w:rsidRDefault="001C2C68" w:rsidP="001C2C68">
      <w:pPr>
        <w:keepNext/>
        <w:rPr>
          <w:rFonts w:ascii="Palatino Linotype" w:hAnsi="Palatino Linotype" w:cstheme="minorHAnsi"/>
        </w:rPr>
      </w:pPr>
    </w:p>
    <w:p w14:paraId="7E459BCE" w14:textId="77777777" w:rsidR="006F615A" w:rsidRPr="00062A8A" w:rsidRDefault="004931A5" w:rsidP="00062A8A">
      <w:pPr>
        <w:keepNext/>
        <w:rPr>
          <w:rFonts w:ascii="Palatino Linotype" w:hAnsi="Palatino Linotype" w:cstheme="minorHAnsi"/>
        </w:rPr>
      </w:pPr>
      <w:r w:rsidRPr="0050008F">
        <w:rPr>
          <w:rFonts w:ascii="Palatino Linotype" w:hAnsi="Palatino Linotype" w:cstheme="minorHAnsi"/>
          <w:sz w:val="18"/>
          <w:szCs w:val="18"/>
        </w:rPr>
        <w:t>Kaynak: TÜİK, Betam</w:t>
      </w:r>
      <w:r w:rsidRPr="0050008F">
        <w:rPr>
          <w:rFonts w:ascii="Palatino Linotype" w:hAnsi="Palatino Linotype" w:cstheme="minorHAnsi"/>
          <w:sz w:val="16"/>
          <w:szCs w:val="16"/>
        </w:rPr>
        <w:t xml:space="preserve">. </w:t>
      </w:r>
    </w:p>
    <w:p w14:paraId="4F771C34" w14:textId="77777777" w:rsidR="00044AF3" w:rsidRDefault="00044AF3"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3CE4848B" w:rsidR="006C3EE6" w:rsidRPr="004B6E05" w:rsidRDefault="00BA7E44"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Pr>
          <w:rFonts w:ascii="Palatino Linotype" w:hAnsi="Palatino Linotype" w:cstheme="minorHAnsi"/>
          <w:b/>
          <w:bCs/>
          <w:sz w:val="22"/>
          <w:szCs w:val="22"/>
        </w:rPr>
        <w:t xml:space="preserve"> </w:t>
      </w:r>
      <w:r w:rsidR="00C21E02" w:rsidRPr="00D1282D">
        <w:rPr>
          <w:rFonts w:ascii="Palatino Linotype" w:hAnsi="Palatino Linotype" w:cstheme="minorHAnsi"/>
          <w:b/>
          <w:bCs/>
          <w:sz w:val="22"/>
          <w:szCs w:val="22"/>
        </w:rPr>
        <w:t>Özel</w:t>
      </w:r>
      <w:r w:rsidR="00C11B5A" w:rsidRPr="00D1282D">
        <w:rPr>
          <w:rFonts w:ascii="Palatino Linotype" w:hAnsi="Palatino Linotype" w:cstheme="minorHAnsi"/>
          <w:b/>
          <w:bCs/>
          <w:sz w:val="22"/>
          <w:szCs w:val="22"/>
        </w:rPr>
        <w:t xml:space="preserve"> t</w:t>
      </w:r>
      <w:r w:rsidR="00D1282D" w:rsidRPr="00D1282D">
        <w:rPr>
          <w:rFonts w:ascii="Palatino Linotype" w:hAnsi="Palatino Linotype" w:cstheme="minorHAnsi"/>
          <w:b/>
          <w:bCs/>
          <w:sz w:val="22"/>
          <w:szCs w:val="22"/>
        </w:rPr>
        <w:t>üketim</w:t>
      </w:r>
      <w:r w:rsidR="00647792">
        <w:rPr>
          <w:rFonts w:ascii="Palatino Linotype" w:hAnsi="Palatino Linotype" w:cstheme="minorHAnsi"/>
          <w:b/>
          <w:bCs/>
          <w:sz w:val="22"/>
          <w:szCs w:val="22"/>
        </w:rPr>
        <w:t>de toparlanma</w:t>
      </w:r>
    </w:p>
    <w:p w14:paraId="3D67829E" w14:textId="73003934" w:rsidR="00044AF3" w:rsidRPr="00062A8A" w:rsidRDefault="00044AF3" w:rsidP="00044AF3">
      <w:pPr>
        <w:pStyle w:val="NormalWeb"/>
        <w:spacing w:before="0" w:beforeAutospacing="0" w:after="0" w:afterAutospacing="0" w:line="360" w:lineRule="auto"/>
        <w:ind w:right="77"/>
        <w:jc w:val="both"/>
        <w:rPr>
          <w:rFonts w:ascii="Palatino Linotype" w:hAnsi="Palatino Linotype" w:cstheme="minorHAnsi"/>
          <w:sz w:val="22"/>
          <w:szCs w:val="22"/>
        </w:rPr>
      </w:pPr>
      <w:r w:rsidRPr="00FD7B4A">
        <w:rPr>
          <w:rFonts w:ascii="Palatino Linotype" w:hAnsi="Palatino Linotype" w:cstheme="minorHAnsi"/>
          <w:sz w:val="22"/>
          <w:szCs w:val="22"/>
        </w:rPr>
        <w:t>Geçen yılın aynı çeyreğine göre</w:t>
      </w:r>
      <w:r w:rsidR="00570C1B">
        <w:rPr>
          <w:rFonts w:ascii="Palatino Linotype" w:hAnsi="Palatino Linotype" w:cstheme="minorHAnsi"/>
          <w:sz w:val="22"/>
          <w:szCs w:val="22"/>
        </w:rPr>
        <w:t xml:space="preserve"> 2018 yılı</w:t>
      </w:r>
      <w:r w:rsidRPr="00FD7B4A">
        <w:rPr>
          <w:rFonts w:ascii="Palatino Linotype" w:hAnsi="Palatino Linotype" w:cstheme="minorHAnsi"/>
          <w:sz w:val="22"/>
          <w:szCs w:val="22"/>
        </w:rPr>
        <w:t xml:space="preserve"> </w:t>
      </w:r>
      <w:r>
        <w:rPr>
          <w:rFonts w:ascii="Palatino Linotype" w:hAnsi="Palatino Linotype" w:cstheme="minorHAnsi"/>
          <w:sz w:val="22"/>
          <w:szCs w:val="22"/>
        </w:rPr>
        <w:t>dördüncü</w:t>
      </w:r>
      <w:r w:rsidRPr="00FD7B4A">
        <w:rPr>
          <w:rFonts w:ascii="Palatino Linotype" w:hAnsi="Palatino Linotype" w:cstheme="minorHAnsi"/>
          <w:sz w:val="22"/>
          <w:szCs w:val="22"/>
        </w:rPr>
        <w:t xml:space="preserve"> çeyrekte </w:t>
      </w:r>
      <w:r>
        <w:rPr>
          <w:rFonts w:ascii="Palatino Linotype" w:hAnsi="Palatino Linotype" w:cstheme="minorHAnsi"/>
          <w:sz w:val="22"/>
          <w:szCs w:val="22"/>
        </w:rPr>
        <w:t>yüzde 8,9</w:t>
      </w:r>
      <w:r w:rsidRPr="00FD7B4A">
        <w:rPr>
          <w:rFonts w:ascii="Palatino Linotype" w:hAnsi="Palatino Linotype" w:cstheme="minorHAnsi"/>
          <w:sz w:val="22"/>
          <w:szCs w:val="22"/>
        </w:rPr>
        <w:t xml:space="preserve"> </w:t>
      </w:r>
      <w:r>
        <w:rPr>
          <w:rFonts w:ascii="Palatino Linotype" w:hAnsi="Palatino Linotype" w:cstheme="minorHAnsi"/>
          <w:sz w:val="22"/>
          <w:szCs w:val="22"/>
        </w:rPr>
        <w:t>küçülen</w:t>
      </w:r>
      <w:r w:rsidRPr="00FD7B4A">
        <w:rPr>
          <w:rFonts w:ascii="Palatino Linotype" w:hAnsi="Palatino Linotype" w:cstheme="minorHAnsi"/>
          <w:sz w:val="22"/>
          <w:szCs w:val="22"/>
        </w:rPr>
        <w:t xml:space="preserve"> özel tüketim</w:t>
      </w:r>
      <w:r w:rsidR="00D1282D">
        <w:rPr>
          <w:rFonts w:ascii="Palatino Linotype" w:hAnsi="Palatino Linotype" w:cstheme="minorHAnsi"/>
          <w:sz w:val="22"/>
          <w:szCs w:val="22"/>
        </w:rPr>
        <w:t>,</w:t>
      </w:r>
      <w:r>
        <w:rPr>
          <w:rFonts w:ascii="Palatino Linotype" w:hAnsi="Palatino Linotype" w:cstheme="minorHAnsi"/>
          <w:sz w:val="22"/>
          <w:szCs w:val="22"/>
        </w:rPr>
        <w:t xml:space="preserve"> 2019 b</w:t>
      </w:r>
      <w:r w:rsidR="00302EDD">
        <w:rPr>
          <w:rFonts w:ascii="Palatino Linotype" w:hAnsi="Palatino Linotype" w:cstheme="minorHAnsi"/>
          <w:sz w:val="22"/>
          <w:szCs w:val="22"/>
        </w:rPr>
        <w:t xml:space="preserve">irinci çeyrekte bir miktar toparlanarak </w:t>
      </w:r>
      <w:r>
        <w:rPr>
          <w:rFonts w:ascii="Palatino Linotype" w:hAnsi="Palatino Linotype" w:cstheme="minorHAnsi"/>
          <w:sz w:val="22"/>
          <w:szCs w:val="22"/>
        </w:rPr>
        <w:t>yüzde 4,7 küçüldü</w:t>
      </w:r>
      <w:r w:rsidRPr="00FD7B4A">
        <w:rPr>
          <w:rFonts w:ascii="Palatino Linotype" w:hAnsi="Palatino Linotype" w:cstheme="minorHAnsi"/>
          <w:sz w:val="22"/>
          <w:szCs w:val="22"/>
        </w:rPr>
        <w:t xml:space="preserve">. </w:t>
      </w:r>
      <w:bookmarkStart w:id="0" w:name="OLE_LINK3"/>
      <w:bookmarkStart w:id="1" w:name="OLE_LINK4"/>
      <w:r w:rsidRPr="00FD7B4A">
        <w:rPr>
          <w:rFonts w:ascii="Palatino Linotype" w:hAnsi="Palatino Linotype" w:cstheme="minorHAnsi"/>
          <w:sz w:val="22"/>
          <w:szCs w:val="22"/>
        </w:rPr>
        <w:t xml:space="preserve">Büyümeye yaptığı katkı </w:t>
      </w:r>
      <w:r>
        <w:rPr>
          <w:rFonts w:ascii="Palatino Linotype" w:hAnsi="Palatino Linotype" w:cstheme="minorHAnsi"/>
          <w:sz w:val="22"/>
          <w:szCs w:val="22"/>
        </w:rPr>
        <w:t>eksi 5,3</w:t>
      </w:r>
      <w:r w:rsidRPr="00FD7B4A">
        <w:rPr>
          <w:rFonts w:ascii="Palatino Linotype" w:hAnsi="Palatino Linotype" w:cstheme="minorHAnsi"/>
          <w:sz w:val="22"/>
          <w:szCs w:val="22"/>
        </w:rPr>
        <w:t xml:space="preserve"> yüzde puandan </w:t>
      </w:r>
      <w:r>
        <w:rPr>
          <w:rFonts w:ascii="Palatino Linotype" w:hAnsi="Palatino Linotype" w:cstheme="minorHAnsi"/>
          <w:sz w:val="22"/>
          <w:szCs w:val="22"/>
        </w:rPr>
        <w:t>eksi 2,9</w:t>
      </w:r>
      <w:r w:rsidRPr="00FD7B4A">
        <w:rPr>
          <w:rFonts w:ascii="Palatino Linotype" w:hAnsi="Palatino Linotype" w:cstheme="minorHAnsi"/>
          <w:sz w:val="22"/>
          <w:szCs w:val="22"/>
        </w:rPr>
        <w:t xml:space="preserve"> yüzde puana </w:t>
      </w:r>
      <w:bookmarkEnd w:id="0"/>
      <w:bookmarkEnd w:id="1"/>
      <w:r w:rsidRPr="00FD7B4A">
        <w:rPr>
          <w:rFonts w:ascii="Palatino Linotype" w:hAnsi="Palatino Linotype" w:cstheme="minorHAnsi"/>
          <w:sz w:val="22"/>
          <w:szCs w:val="22"/>
        </w:rPr>
        <w:t xml:space="preserve">düştü (Tablo 1). Mevsim ve takvim etkilerinden arındırılmış rakamlara baktığımızda ise özel tüketimin </w:t>
      </w:r>
      <w:r>
        <w:rPr>
          <w:rFonts w:ascii="Palatino Linotype" w:hAnsi="Palatino Linotype" w:cstheme="minorHAnsi"/>
          <w:sz w:val="22"/>
          <w:szCs w:val="22"/>
        </w:rPr>
        <w:t>2018 yılı dö</w:t>
      </w:r>
      <w:r w:rsidR="00D1282D">
        <w:rPr>
          <w:rFonts w:ascii="Palatino Linotype" w:hAnsi="Palatino Linotype" w:cstheme="minorHAnsi"/>
          <w:sz w:val="22"/>
          <w:szCs w:val="22"/>
        </w:rPr>
        <w:t>rdüncü çeyreğe kıyasla yüzde 0,8</w:t>
      </w:r>
      <w:r w:rsidRPr="00FD7B4A">
        <w:rPr>
          <w:rFonts w:ascii="Palatino Linotype" w:hAnsi="Palatino Linotype" w:cstheme="minorHAnsi"/>
          <w:sz w:val="22"/>
          <w:szCs w:val="22"/>
        </w:rPr>
        <w:t xml:space="preserve"> </w:t>
      </w:r>
      <w:r>
        <w:rPr>
          <w:rFonts w:ascii="Palatino Linotype" w:hAnsi="Palatino Linotype" w:cstheme="minorHAnsi"/>
          <w:sz w:val="22"/>
          <w:szCs w:val="22"/>
        </w:rPr>
        <w:t xml:space="preserve">büyüdüğünü </w:t>
      </w:r>
      <w:r w:rsidRPr="00FD7B4A">
        <w:rPr>
          <w:rFonts w:ascii="Palatino Linotype" w:hAnsi="Palatino Linotype" w:cstheme="minorHAnsi"/>
          <w:sz w:val="22"/>
          <w:szCs w:val="22"/>
        </w:rPr>
        <w:t>görüyoruz (Tablo 2).</w:t>
      </w:r>
      <w:r w:rsidRPr="0050008F">
        <w:rPr>
          <w:rFonts w:ascii="Palatino Linotype" w:hAnsi="Palatino Linotype" w:cstheme="minorHAnsi"/>
          <w:sz w:val="22"/>
          <w:szCs w:val="22"/>
        </w:rPr>
        <w:t xml:space="preserve"> </w:t>
      </w:r>
    </w:p>
    <w:p w14:paraId="470ACB6D" w14:textId="77777777" w:rsidR="003D44CE" w:rsidRDefault="006C3EE6" w:rsidP="006C3EE6">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t xml:space="preserve">Tablo 1: </w:t>
      </w:r>
      <w:r w:rsidR="00D53424" w:rsidRPr="0050008F">
        <w:rPr>
          <w:rFonts w:ascii="Palatino Linotype" w:hAnsi="Palatino Linotype" w:cstheme="minorHAnsi"/>
          <w:b/>
          <w:bCs/>
          <w:sz w:val="22"/>
          <w:szCs w:val="22"/>
        </w:rPr>
        <w:t xml:space="preserve">GSYH alt kalemlerinin </w:t>
      </w:r>
      <w:bookmarkStart w:id="2" w:name="OLE_LINK1"/>
      <w:bookmarkStart w:id="3" w:name="OLE_LINK2"/>
      <w:r w:rsidR="009F2483" w:rsidRPr="0050008F">
        <w:rPr>
          <w:rFonts w:ascii="Palatino Linotype" w:hAnsi="Palatino Linotype" w:cstheme="minorHAnsi"/>
          <w:b/>
          <w:bCs/>
          <w:sz w:val="22"/>
          <w:szCs w:val="22"/>
        </w:rPr>
        <w:t xml:space="preserve">2018 </w:t>
      </w:r>
      <w:r w:rsidR="00632CF6">
        <w:rPr>
          <w:rFonts w:ascii="Palatino Linotype" w:hAnsi="Palatino Linotype" w:cstheme="minorHAnsi"/>
          <w:b/>
          <w:bCs/>
          <w:sz w:val="22"/>
          <w:szCs w:val="22"/>
        </w:rPr>
        <w:t>4. ve 2019 1</w:t>
      </w:r>
      <w:r w:rsidR="009F2483" w:rsidRPr="0050008F">
        <w:rPr>
          <w:rFonts w:ascii="Palatino Linotype" w:hAnsi="Palatino Linotype" w:cstheme="minorHAnsi"/>
          <w:b/>
          <w:bCs/>
          <w:sz w:val="22"/>
          <w:szCs w:val="22"/>
        </w:rPr>
        <w:t>. çeyrekte</w:t>
      </w:r>
      <w:bookmarkEnd w:id="2"/>
      <w:bookmarkEnd w:id="3"/>
      <w:r w:rsidR="009F2483" w:rsidRPr="0050008F">
        <w:rPr>
          <w:rFonts w:ascii="Palatino Linotype" w:hAnsi="Palatino Linotype" w:cstheme="minorHAnsi"/>
          <w:b/>
          <w:bCs/>
          <w:sz w:val="22"/>
          <w:szCs w:val="22"/>
        </w:rPr>
        <w:t xml:space="preserve"> </w:t>
      </w:r>
      <w:r w:rsidRPr="0050008F">
        <w:rPr>
          <w:rFonts w:ascii="Palatino Linotype" w:hAnsi="Palatino Linotype" w:cstheme="minorHAnsi"/>
          <w:b/>
          <w:bCs/>
          <w:sz w:val="22"/>
          <w:szCs w:val="22"/>
        </w:rPr>
        <w:t>bir önceki yılın aynı çeyreğine göre büyüme oranları ve büyümeye katkıları</w:t>
      </w:r>
    </w:p>
    <w:p w14:paraId="042B013F" w14:textId="77777777" w:rsidR="00997713" w:rsidRPr="0050008F" w:rsidRDefault="00997713"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A109C3" w:rsidRPr="00A109C3" w14:paraId="53033D40" w14:textId="77777777" w:rsidTr="00A109C3">
        <w:trPr>
          <w:trHeight w:val="282"/>
        </w:trPr>
        <w:tc>
          <w:tcPr>
            <w:tcW w:w="1480" w:type="dxa"/>
            <w:tcBorders>
              <w:top w:val="nil"/>
              <w:left w:val="nil"/>
              <w:bottom w:val="nil"/>
              <w:right w:val="nil"/>
            </w:tcBorders>
            <w:shd w:val="clear" w:color="000000" w:fill="FFFFFF"/>
            <w:noWrap/>
            <w:vAlign w:val="bottom"/>
            <w:hideMark/>
          </w:tcPr>
          <w:p w14:paraId="00DB8FE7" w14:textId="77777777" w:rsidR="00A109C3" w:rsidRPr="00A109C3" w:rsidRDefault="00A109C3" w:rsidP="00A109C3">
            <w:pPr>
              <w:rPr>
                <w:rFonts w:ascii="Calibri" w:hAnsi="Calibri" w:cs="Calibri"/>
                <w:b/>
                <w:bCs/>
                <w:color w:val="000000"/>
                <w:sz w:val="20"/>
                <w:szCs w:val="20"/>
                <w:lang w:val="en-GB" w:eastAsia="en-GB"/>
              </w:rPr>
            </w:pPr>
            <w:r w:rsidRPr="00A109C3">
              <w:rPr>
                <w:rFonts w:ascii="Calibri" w:hAnsi="Calibri" w:cs="Calibri"/>
                <w:b/>
                <w:bCs/>
                <w:color w:val="000000"/>
                <w:sz w:val="20"/>
                <w:szCs w:val="20"/>
                <w:lang w:val="en-GB"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22C455F" w14:textId="77777777" w:rsidR="00A109C3" w:rsidRPr="00A109C3" w:rsidRDefault="00A109C3" w:rsidP="00A109C3">
            <w:pPr>
              <w:jc w:val="center"/>
              <w:rPr>
                <w:rFonts w:ascii="Calibri" w:hAnsi="Calibri" w:cs="Calibri"/>
                <w:b/>
                <w:bCs/>
                <w:color w:val="000000"/>
                <w:sz w:val="20"/>
                <w:szCs w:val="20"/>
                <w:lang w:val="en-GB" w:eastAsia="en-GB"/>
              </w:rPr>
            </w:pPr>
            <w:r w:rsidRPr="00A109C3">
              <w:rPr>
                <w:rFonts w:ascii="Calibri" w:hAnsi="Calibri" w:cs="Calibri"/>
                <w:b/>
                <w:bCs/>
                <w:color w:val="000000"/>
                <w:sz w:val="20"/>
                <w:szCs w:val="20"/>
                <w:lang w:val="en-GB" w:eastAsia="en-GB"/>
              </w:rPr>
              <w:t>2018Q4</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14:paraId="776E06AE" w14:textId="77777777" w:rsidR="00A109C3" w:rsidRPr="00A109C3" w:rsidRDefault="00A109C3" w:rsidP="00A109C3">
            <w:pPr>
              <w:jc w:val="center"/>
              <w:rPr>
                <w:rFonts w:ascii="Calibri" w:hAnsi="Calibri" w:cs="Calibri"/>
                <w:b/>
                <w:bCs/>
                <w:color w:val="000000"/>
                <w:sz w:val="20"/>
                <w:szCs w:val="20"/>
                <w:lang w:val="en-GB" w:eastAsia="en-GB"/>
              </w:rPr>
            </w:pPr>
            <w:r w:rsidRPr="00A109C3">
              <w:rPr>
                <w:rFonts w:ascii="Calibri" w:hAnsi="Calibri" w:cs="Calibri"/>
                <w:b/>
                <w:bCs/>
                <w:color w:val="000000"/>
                <w:sz w:val="20"/>
                <w:szCs w:val="20"/>
                <w:lang w:val="en-GB" w:eastAsia="en-GB"/>
              </w:rPr>
              <w:t>2019Q1</w:t>
            </w:r>
          </w:p>
        </w:tc>
      </w:tr>
      <w:tr w:rsidR="00A109C3" w:rsidRPr="00A109C3" w14:paraId="4B540B1B" w14:textId="77777777" w:rsidTr="00A109C3">
        <w:trPr>
          <w:trHeight w:val="282"/>
        </w:trPr>
        <w:tc>
          <w:tcPr>
            <w:tcW w:w="1480" w:type="dxa"/>
            <w:tcBorders>
              <w:top w:val="nil"/>
              <w:left w:val="nil"/>
              <w:bottom w:val="nil"/>
              <w:right w:val="nil"/>
            </w:tcBorders>
            <w:shd w:val="clear" w:color="000000" w:fill="FFFFFF"/>
            <w:noWrap/>
            <w:vAlign w:val="bottom"/>
            <w:hideMark/>
          </w:tcPr>
          <w:p w14:paraId="3E51B178" w14:textId="77777777" w:rsidR="00A109C3" w:rsidRPr="00A109C3" w:rsidRDefault="00A109C3" w:rsidP="00A109C3">
            <w:pPr>
              <w:rPr>
                <w:rFonts w:ascii="Calibri" w:hAnsi="Calibri" w:cs="Calibri"/>
                <w:b/>
                <w:bCs/>
                <w:color w:val="000000"/>
                <w:sz w:val="20"/>
                <w:szCs w:val="20"/>
                <w:lang w:val="en-GB" w:eastAsia="en-GB"/>
              </w:rPr>
            </w:pPr>
            <w:r w:rsidRPr="00A109C3">
              <w:rPr>
                <w:rFonts w:ascii="Calibri" w:hAnsi="Calibri" w:cs="Calibri"/>
                <w:b/>
                <w:bCs/>
                <w:color w:val="000000"/>
                <w:sz w:val="20"/>
                <w:szCs w:val="20"/>
                <w:lang w:val="en-GB" w:eastAsia="en-GB"/>
              </w:rPr>
              <w:t> </w:t>
            </w:r>
          </w:p>
        </w:tc>
        <w:tc>
          <w:tcPr>
            <w:tcW w:w="1259" w:type="dxa"/>
            <w:tcBorders>
              <w:top w:val="nil"/>
              <w:left w:val="single" w:sz="4" w:space="0" w:color="auto"/>
              <w:bottom w:val="single" w:sz="4" w:space="0" w:color="auto"/>
              <w:right w:val="nil"/>
            </w:tcBorders>
            <w:shd w:val="clear" w:color="000000" w:fill="FFFFFF"/>
            <w:noWrap/>
            <w:vAlign w:val="bottom"/>
            <w:hideMark/>
          </w:tcPr>
          <w:p w14:paraId="5F120DAD" w14:textId="77777777" w:rsidR="00A109C3" w:rsidRPr="00A109C3" w:rsidRDefault="00A109C3" w:rsidP="00A109C3">
            <w:pPr>
              <w:jc w:val="cente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Değişim</w:t>
            </w:r>
            <w:proofErr w:type="spellEnd"/>
            <w:r w:rsidRPr="00A109C3">
              <w:rPr>
                <w:rFonts w:ascii="Calibri" w:hAnsi="Calibri" w:cs="Calibri"/>
                <w:b/>
                <w:bCs/>
                <w:color w:val="000000"/>
                <w:sz w:val="20"/>
                <w:szCs w:val="20"/>
                <w:lang w:val="en-GB" w:eastAsia="en-GB"/>
              </w:rPr>
              <w:t xml:space="preserve"> (%)</w:t>
            </w:r>
          </w:p>
        </w:tc>
        <w:tc>
          <w:tcPr>
            <w:tcW w:w="961" w:type="dxa"/>
            <w:tcBorders>
              <w:top w:val="nil"/>
              <w:left w:val="nil"/>
              <w:bottom w:val="nil"/>
              <w:right w:val="single" w:sz="4" w:space="0" w:color="auto"/>
            </w:tcBorders>
            <w:shd w:val="clear" w:color="000000" w:fill="FFFFFF"/>
            <w:noWrap/>
            <w:vAlign w:val="bottom"/>
            <w:hideMark/>
          </w:tcPr>
          <w:p w14:paraId="52A391D2" w14:textId="77777777" w:rsidR="00A109C3" w:rsidRPr="00A109C3" w:rsidRDefault="00A109C3" w:rsidP="00A109C3">
            <w:pPr>
              <w:jc w:val="cente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Katkı</w:t>
            </w:r>
            <w:proofErr w:type="spellEnd"/>
            <w:r w:rsidRPr="00A109C3">
              <w:rPr>
                <w:rFonts w:ascii="Calibri" w:hAnsi="Calibri" w:cs="Calibri"/>
                <w:b/>
                <w:bCs/>
                <w:color w:val="000000"/>
                <w:sz w:val="20"/>
                <w:szCs w:val="20"/>
                <w:lang w:val="en-GB" w:eastAsia="en-GB"/>
              </w:rPr>
              <w:t xml:space="preserve"> (%)</w:t>
            </w:r>
          </w:p>
        </w:tc>
        <w:tc>
          <w:tcPr>
            <w:tcW w:w="1259" w:type="dxa"/>
            <w:tcBorders>
              <w:top w:val="nil"/>
              <w:left w:val="nil"/>
              <w:bottom w:val="nil"/>
              <w:right w:val="nil"/>
            </w:tcBorders>
            <w:shd w:val="clear" w:color="000000" w:fill="FFFFFF"/>
            <w:noWrap/>
            <w:vAlign w:val="bottom"/>
            <w:hideMark/>
          </w:tcPr>
          <w:p w14:paraId="681DF54F" w14:textId="77777777" w:rsidR="00A109C3" w:rsidRPr="00A109C3" w:rsidRDefault="00A109C3" w:rsidP="00A109C3">
            <w:pPr>
              <w:jc w:val="cente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Değişim</w:t>
            </w:r>
            <w:proofErr w:type="spellEnd"/>
            <w:r w:rsidRPr="00A109C3">
              <w:rPr>
                <w:rFonts w:ascii="Calibri" w:hAnsi="Calibri" w:cs="Calibri"/>
                <w:b/>
                <w:bCs/>
                <w:color w:val="000000"/>
                <w:sz w:val="20"/>
                <w:szCs w:val="20"/>
                <w:lang w:val="en-GB" w:eastAsia="en-GB"/>
              </w:rPr>
              <w:t xml:space="preserve"> (%)</w:t>
            </w:r>
          </w:p>
        </w:tc>
        <w:tc>
          <w:tcPr>
            <w:tcW w:w="961" w:type="dxa"/>
            <w:tcBorders>
              <w:top w:val="nil"/>
              <w:left w:val="nil"/>
              <w:bottom w:val="nil"/>
              <w:right w:val="nil"/>
            </w:tcBorders>
            <w:shd w:val="clear" w:color="000000" w:fill="FFFFFF"/>
            <w:noWrap/>
            <w:vAlign w:val="bottom"/>
            <w:hideMark/>
          </w:tcPr>
          <w:p w14:paraId="6058D79A" w14:textId="77777777" w:rsidR="00A109C3" w:rsidRPr="00A109C3" w:rsidRDefault="00A109C3" w:rsidP="00A109C3">
            <w:pPr>
              <w:jc w:val="cente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Katkı</w:t>
            </w:r>
            <w:proofErr w:type="spellEnd"/>
            <w:r w:rsidRPr="00A109C3">
              <w:rPr>
                <w:rFonts w:ascii="Calibri" w:hAnsi="Calibri" w:cs="Calibri"/>
                <w:b/>
                <w:bCs/>
                <w:color w:val="000000"/>
                <w:sz w:val="20"/>
                <w:szCs w:val="20"/>
                <w:lang w:val="en-GB" w:eastAsia="en-GB"/>
              </w:rPr>
              <w:t xml:space="preserve"> (%)</w:t>
            </w:r>
          </w:p>
        </w:tc>
      </w:tr>
      <w:tr w:rsidR="00A109C3" w:rsidRPr="00A109C3" w14:paraId="721B78A9" w14:textId="77777777" w:rsidTr="00A109C3">
        <w:trPr>
          <w:trHeight w:val="282"/>
        </w:trPr>
        <w:tc>
          <w:tcPr>
            <w:tcW w:w="1480" w:type="dxa"/>
            <w:tcBorders>
              <w:top w:val="single" w:sz="4" w:space="0" w:color="auto"/>
              <w:left w:val="nil"/>
              <w:bottom w:val="nil"/>
              <w:right w:val="nil"/>
            </w:tcBorders>
            <w:shd w:val="clear" w:color="000000" w:fill="FFFFFF"/>
            <w:noWrap/>
            <w:vAlign w:val="bottom"/>
            <w:hideMark/>
          </w:tcPr>
          <w:p w14:paraId="723AF4AE" w14:textId="77777777" w:rsidR="00A109C3" w:rsidRPr="00A109C3" w:rsidRDefault="00A109C3" w:rsidP="00A109C3">
            <w:pP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Özel</w:t>
            </w:r>
            <w:proofErr w:type="spellEnd"/>
            <w:r w:rsidRPr="00A109C3">
              <w:rPr>
                <w:rFonts w:ascii="Calibri" w:hAnsi="Calibri" w:cs="Calibri"/>
                <w:b/>
                <w:bCs/>
                <w:color w:val="000000"/>
                <w:sz w:val="20"/>
                <w:szCs w:val="20"/>
                <w:lang w:val="en-GB" w:eastAsia="en-GB"/>
              </w:rPr>
              <w:t xml:space="preserve"> </w:t>
            </w:r>
            <w:proofErr w:type="spellStart"/>
            <w:r w:rsidRPr="00A109C3">
              <w:rPr>
                <w:rFonts w:ascii="Calibri" w:hAnsi="Calibri" w:cs="Calibri"/>
                <w:b/>
                <w:bCs/>
                <w:color w:val="000000"/>
                <w:sz w:val="20"/>
                <w:szCs w:val="20"/>
                <w:lang w:val="en-GB" w:eastAsia="en-GB"/>
              </w:rPr>
              <w:t>Tüketim</w:t>
            </w:r>
            <w:proofErr w:type="spellEnd"/>
          </w:p>
        </w:tc>
        <w:tc>
          <w:tcPr>
            <w:tcW w:w="1259" w:type="dxa"/>
            <w:tcBorders>
              <w:top w:val="nil"/>
              <w:left w:val="single" w:sz="4" w:space="0" w:color="auto"/>
              <w:bottom w:val="nil"/>
              <w:right w:val="nil"/>
            </w:tcBorders>
            <w:shd w:val="clear" w:color="000000" w:fill="FFFFFF"/>
            <w:noWrap/>
            <w:vAlign w:val="bottom"/>
            <w:hideMark/>
          </w:tcPr>
          <w:p w14:paraId="5AC9AA4D"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-8.9</w:t>
            </w:r>
          </w:p>
        </w:tc>
        <w:tc>
          <w:tcPr>
            <w:tcW w:w="961" w:type="dxa"/>
            <w:tcBorders>
              <w:top w:val="single" w:sz="4" w:space="0" w:color="auto"/>
              <w:left w:val="nil"/>
              <w:bottom w:val="nil"/>
              <w:right w:val="single" w:sz="4" w:space="0" w:color="auto"/>
            </w:tcBorders>
            <w:shd w:val="clear" w:color="000000" w:fill="FFFFFF"/>
            <w:noWrap/>
            <w:vAlign w:val="bottom"/>
            <w:hideMark/>
          </w:tcPr>
          <w:p w14:paraId="059725D1"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-5.3</w:t>
            </w:r>
          </w:p>
        </w:tc>
        <w:tc>
          <w:tcPr>
            <w:tcW w:w="1259" w:type="dxa"/>
            <w:tcBorders>
              <w:top w:val="single" w:sz="4" w:space="0" w:color="auto"/>
              <w:left w:val="nil"/>
              <w:bottom w:val="nil"/>
              <w:right w:val="nil"/>
            </w:tcBorders>
            <w:shd w:val="clear" w:color="000000" w:fill="FFFFFF"/>
            <w:noWrap/>
            <w:vAlign w:val="bottom"/>
            <w:hideMark/>
          </w:tcPr>
          <w:p w14:paraId="12926E3D"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-4.7</w:t>
            </w:r>
          </w:p>
        </w:tc>
        <w:tc>
          <w:tcPr>
            <w:tcW w:w="961" w:type="dxa"/>
            <w:tcBorders>
              <w:top w:val="single" w:sz="4" w:space="0" w:color="auto"/>
              <w:left w:val="nil"/>
              <w:bottom w:val="nil"/>
              <w:right w:val="nil"/>
            </w:tcBorders>
            <w:shd w:val="clear" w:color="000000" w:fill="FFFFFF"/>
            <w:noWrap/>
            <w:vAlign w:val="bottom"/>
            <w:hideMark/>
          </w:tcPr>
          <w:p w14:paraId="169BCD30"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-2.9</w:t>
            </w:r>
          </w:p>
        </w:tc>
      </w:tr>
      <w:tr w:rsidR="00A109C3" w:rsidRPr="00A109C3" w14:paraId="79F3027A" w14:textId="77777777" w:rsidTr="00A109C3">
        <w:trPr>
          <w:trHeight w:val="282"/>
        </w:trPr>
        <w:tc>
          <w:tcPr>
            <w:tcW w:w="1480" w:type="dxa"/>
            <w:tcBorders>
              <w:top w:val="nil"/>
              <w:left w:val="nil"/>
              <w:bottom w:val="nil"/>
              <w:right w:val="nil"/>
            </w:tcBorders>
            <w:shd w:val="clear" w:color="000000" w:fill="FFFFFF"/>
            <w:noWrap/>
            <w:vAlign w:val="bottom"/>
            <w:hideMark/>
          </w:tcPr>
          <w:p w14:paraId="22F0DD83" w14:textId="77777777" w:rsidR="00A109C3" w:rsidRPr="00A109C3" w:rsidRDefault="00A109C3" w:rsidP="00A109C3">
            <w:pP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Kamu</w:t>
            </w:r>
            <w:proofErr w:type="spellEnd"/>
            <w:r w:rsidRPr="00A109C3">
              <w:rPr>
                <w:rFonts w:ascii="Calibri" w:hAnsi="Calibri" w:cs="Calibri"/>
                <w:b/>
                <w:bCs/>
                <w:color w:val="000000"/>
                <w:sz w:val="20"/>
                <w:szCs w:val="20"/>
                <w:lang w:val="en-GB" w:eastAsia="en-GB"/>
              </w:rPr>
              <w:t xml:space="preserve"> </w:t>
            </w:r>
            <w:proofErr w:type="spellStart"/>
            <w:r w:rsidRPr="00A109C3">
              <w:rPr>
                <w:rFonts w:ascii="Calibri" w:hAnsi="Calibri" w:cs="Calibri"/>
                <w:b/>
                <w:bCs/>
                <w:color w:val="000000"/>
                <w:sz w:val="20"/>
                <w:szCs w:val="20"/>
                <w:lang w:val="en-GB" w:eastAsia="en-GB"/>
              </w:rPr>
              <w:t>Tüketimi</w:t>
            </w:r>
            <w:proofErr w:type="spellEnd"/>
          </w:p>
        </w:tc>
        <w:tc>
          <w:tcPr>
            <w:tcW w:w="1259" w:type="dxa"/>
            <w:tcBorders>
              <w:top w:val="nil"/>
              <w:left w:val="single" w:sz="4" w:space="0" w:color="auto"/>
              <w:bottom w:val="nil"/>
              <w:right w:val="nil"/>
            </w:tcBorders>
            <w:shd w:val="clear" w:color="000000" w:fill="FFFFFF"/>
            <w:noWrap/>
            <w:vAlign w:val="bottom"/>
            <w:hideMark/>
          </w:tcPr>
          <w:p w14:paraId="0D6EB6A5"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0.5</w:t>
            </w:r>
          </w:p>
        </w:tc>
        <w:tc>
          <w:tcPr>
            <w:tcW w:w="961" w:type="dxa"/>
            <w:tcBorders>
              <w:top w:val="nil"/>
              <w:left w:val="nil"/>
              <w:bottom w:val="nil"/>
              <w:right w:val="single" w:sz="4" w:space="0" w:color="auto"/>
            </w:tcBorders>
            <w:shd w:val="clear" w:color="000000" w:fill="FFFFFF"/>
            <w:noWrap/>
            <w:vAlign w:val="bottom"/>
            <w:hideMark/>
          </w:tcPr>
          <w:p w14:paraId="6B61996D"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0.1</w:t>
            </w:r>
          </w:p>
        </w:tc>
        <w:tc>
          <w:tcPr>
            <w:tcW w:w="1259" w:type="dxa"/>
            <w:tcBorders>
              <w:top w:val="nil"/>
              <w:left w:val="nil"/>
              <w:bottom w:val="nil"/>
              <w:right w:val="nil"/>
            </w:tcBorders>
            <w:shd w:val="clear" w:color="000000" w:fill="FFFFFF"/>
            <w:noWrap/>
            <w:vAlign w:val="bottom"/>
            <w:hideMark/>
          </w:tcPr>
          <w:p w14:paraId="1A47E15D"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7.2</w:t>
            </w:r>
          </w:p>
        </w:tc>
        <w:tc>
          <w:tcPr>
            <w:tcW w:w="961" w:type="dxa"/>
            <w:tcBorders>
              <w:top w:val="nil"/>
              <w:left w:val="nil"/>
              <w:bottom w:val="nil"/>
              <w:right w:val="nil"/>
            </w:tcBorders>
            <w:shd w:val="clear" w:color="000000" w:fill="FFFFFF"/>
            <w:noWrap/>
            <w:vAlign w:val="bottom"/>
            <w:hideMark/>
          </w:tcPr>
          <w:p w14:paraId="529D5C84"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1.0</w:t>
            </w:r>
          </w:p>
        </w:tc>
      </w:tr>
      <w:tr w:rsidR="00A109C3" w:rsidRPr="00A109C3" w14:paraId="6EEB2151" w14:textId="77777777" w:rsidTr="00A109C3">
        <w:trPr>
          <w:trHeight w:val="282"/>
        </w:trPr>
        <w:tc>
          <w:tcPr>
            <w:tcW w:w="1480" w:type="dxa"/>
            <w:tcBorders>
              <w:top w:val="nil"/>
              <w:left w:val="nil"/>
              <w:bottom w:val="nil"/>
              <w:right w:val="nil"/>
            </w:tcBorders>
            <w:shd w:val="clear" w:color="000000" w:fill="FFFFFF"/>
            <w:noWrap/>
            <w:vAlign w:val="bottom"/>
            <w:hideMark/>
          </w:tcPr>
          <w:p w14:paraId="7AB2E9F1" w14:textId="77777777" w:rsidR="00A109C3" w:rsidRPr="00A109C3" w:rsidRDefault="00A109C3" w:rsidP="00A109C3">
            <w:pP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Yatırım</w:t>
            </w:r>
            <w:proofErr w:type="spellEnd"/>
          </w:p>
        </w:tc>
        <w:tc>
          <w:tcPr>
            <w:tcW w:w="1259" w:type="dxa"/>
            <w:tcBorders>
              <w:top w:val="nil"/>
              <w:left w:val="single" w:sz="4" w:space="0" w:color="auto"/>
              <w:bottom w:val="nil"/>
              <w:right w:val="nil"/>
            </w:tcBorders>
            <w:shd w:val="clear" w:color="000000" w:fill="FFFFFF"/>
            <w:noWrap/>
            <w:vAlign w:val="bottom"/>
            <w:hideMark/>
          </w:tcPr>
          <w:p w14:paraId="3CC5CAD9"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-12.9</w:t>
            </w:r>
          </w:p>
        </w:tc>
        <w:tc>
          <w:tcPr>
            <w:tcW w:w="961" w:type="dxa"/>
            <w:tcBorders>
              <w:top w:val="nil"/>
              <w:left w:val="nil"/>
              <w:bottom w:val="nil"/>
              <w:right w:val="single" w:sz="4" w:space="0" w:color="auto"/>
            </w:tcBorders>
            <w:shd w:val="clear" w:color="000000" w:fill="FFFFFF"/>
            <w:noWrap/>
            <w:vAlign w:val="bottom"/>
            <w:hideMark/>
          </w:tcPr>
          <w:p w14:paraId="0B03A9E5"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-3.9</w:t>
            </w:r>
          </w:p>
        </w:tc>
        <w:tc>
          <w:tcPr>
            <w:tcW w:w="1259" w:type="dxa"/>
            <w:tcBorders>
              <w:top w:val="nil"/>
              <w:left w:val="nil"/>
              <w:bottom w:val="nil"/>
              <w:right w:val="nil"/>
            </w:tcBorders>
            <w:shd w:val="clear" w:color="000000" w:fill="FFFFFF"/>
            <w:noWrap/>
            <w:vAlign w:val="bottom"/>
            <w:hideMark/>
          </w:tcPr>
          <w:p w14:paraId="26997F79"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-13.0</w:t>
            </w:r>
          </w:p>
        </w:tc>
        <w:tc>
          <w:tcPr>
            <w:tcW w:w="961" w:type="dxa"/>
            <w:tcBorders>
              <w:top w:val="nil"/>
              <w:left w:val="nil"/>
              <w:bottom w:val="nil"/>
              <w:right w:val="nil"/>
            </w:tcBorders>
            <w:shd w:val="clear" w:color="000000" w:fill="FFFFFF"/>
            <w:noWrap/>
            <w:vAlign w:val="bottom"/>
            <w:hideMark/>
          </w:tcPr>
          <w:p w14:paraId="69BC1128"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-3.9</w:t>
            </w:r>
          </w:p>
        </w:tc>
      </w:tr>
      <w:tr w:rsidR="00A109C3" w:rsidRPr="00A109C3" w14:paraId="2BE8634A" w14:textId="77777777" w:rsidTr="00A109C3">
        <w:trPr>
          <w:trHeight w:val="282"/>
        </w:trPr>
        <w:tc>
          <w:tcPr>
            <w:tcW w:w="1480" w:type="dxa"/>
            <w:tcBorders>
              <w:top w:val="nil"/>
              <w:left w:val="nil"/>
              <w:bottom w:val="nil"/>
              <w:right w:val="nil"/>
            </w:tcBorders>
            <w:shd w:val="clear" w:color="000000" w:fill="FFFFFF"/>
            <w:noWrap/>
            <w:vAlign w:val="bottom"/>
            <w:hideMark/>
          </w:tcPr>
          <w:p w14:paraId="4D6A0EF2" w14:textId="77777777" w:rsidR="00A109C3" w:rsidRPr="00A109C3" w:rsidRDefault="00A109C3" w:rsidP="00A109C3">
            <w:pPr>
              <w:rPr>
                <w:rFonts w:ascii="Calibri" w:hAnsi="Calibri" w:cs="Calibri"/>
                <w:b/>
                <w:bCs/>
                <w:color w:val="000000"/>
                <w:sz w:val="20"/>
                <w:szCs w:val="20"/>
                <w:lang w:val="en-GB" w:eastAsia="en-GB"/>
              </w:rPr>
            </w:pPr>
            <w:r w:rsidRPr="00A109C3">
              <w:rPr>
                <w:rFonts w:ascii="Calibri" w:hAnsi="Calibri" w:cs="Calibri"/>
                <w:b/>
                <w:bCs/>
                <w:color w:val="000000"/>
                <w:sz w:val="20"/>
                <w:szCs w:val="20"/>
                <w:lang w:val="en-GB" w:eastAsia="en-GB"/>
              </w:rPr>
              <w:t xml:space="preserve">Stok </w:t>
            </w:r>
            <w:proofErr w:type="spellStart"/>
            <w:r w:rsidRPr="00A109C3">
              <w:rPr>
                <w:rFonts w:ascii="Calibri" w:hAnsi="Calibri" w:cs="Calibri"/>
                <w:b/>
                <w:bCs/>
                <w:color w:val="000000"/>
                <w:sz w:val="20"/>
                <w:szCs w:val="20"/>
                <w:lang w:val="en-GB" w:eastAsia="en-GB"/>
              </w:rPr>
              <w:t>Değişimi</w:t>
            </w:r>
            <w:proofErr w:type="spellEnd"/>
          </w:p>
        </w:tc>
        <w:tc>
          <w:tcPr>
            <w:tcW w:w="1259" w:type="dxa"/>
            <w:tcBorders>
              <w:top w:val="nil"/>
              <w:left w:val="single" w:sz="4" w:space="0" w:color="auto"/>
              <w:bottom w:val="nil"/>
              <w:right w:val="nil"/>
            </w:tcBorders>
            <w:shd w:val="clear" w:color="000000" w:fill="FFFFFF"/>
            <w:noWrap/>
            <w:vAlign w:val="bottom"/>
            <w:hideMark/>
          </w:tcPr>
          <w:p w14:paraId="78CC30C1"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4C7749F5"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-3.6</w:t>
            </w:r>
          </w:p>
        </w:tc>
        <w:tc>
          <w:tcPr>
            <w:tcW w:w="1259" w:type="dxa"/>
            <w:tcBorders>
              <w:top w:val="nil"/>
              <w:left w:val="nil"/>
              <w:bottom w:val="nil"/>
              <w:right w:val="nil"/>
            </w:tcBorders>
            <w:shd w:val="clear" w:color="000000" w:fill="FFFFFF"/>
            <w:noWrap/>
            <w:vAlign w:val="bottom"/>
            <w:hideMark/>
          </w:tcPr>
          <w:p w14:paraId="175D20EF"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 </w:t>
            </w:r>
          </w:p>
        </w:tc>
        <w:tc>
          <w:tcPr>
            <w:tcW w:w="961" w:type="dxa"/>
            <w:tcBorders>
              <w:top w:val="nil"/>
              <w:left w:val="nil"/>
              <w:bottom w:val="nil"/>
              <w:right w:val="nil"/>
            </w:tcBorders>
            <w:shd w:val="clear" w:color="000000" w:fill="FFFFFF"/>
            <w:noWrap/>
            <w:vAlign w:val="bottom"/>
            <w:hideMark/>
          </w:tcPr>
          <w:p w14:paraId="6AC53E00"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-9.0</w:t>
            </w:r>
          </w:p>
        </w:tc>
      </w:tr>
      <w:tr w:rsidR="00A109C3" w:rsidRPr="00A109C3" w14:paraId="4836DE41" w14:textId="77777777" w:rsidTr="00A109C3">
        <w:trPr>
          <w:trHeight w:val="282"/>
        </w:trPr>
        <w:tc>
          <w:tcPr>
            <w:tcW w:w="1480" w:type="dxa"/>
            <w:tcBorders>
              <w:top w:val="nil"/>
              <w:left w:val="nil"/>
              <w:bottom w:val="nil"/>
              <w:right w:val="nil"/>
            </w:tcBorders>
            <w:shd w:val="clear" w:color="000000" w:fill="FFFFFF"/>
            <w:noWrap/>
            <w:vAlign w:val="bottom"/>
            <w:hideMark/>
          </w:tcPr>
          <w:p w14:paraId="0D35C6E8" w14:textId="77777777" w:rsidR="00A109C3" w:rsidRPr="00A109C3" w:rsidRDefault="00A109C3" w:rsidP="00A109C3">
            <w:pP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İhracat</w:t>
            </w:r>
            <w:proofErr w:type="spellEnd"/>
          </w:p>
        </w:tc>
        <w:tc>
          <w:tcPr>
            <w:tcW w:w="1259" w:type="dxa"/>
            <w:tcBorders>
              <w:top w:val="nil"/>
              <w:left w:val="single" w:sz="4" w:space="0" w:color="auto"/>
              <w:bottom w:val="nil"/>
              <w:right w:val="nil"/>
            </w:tcBorders>
            <w:shd w:val="clear" w:color="000000" w:fill="FFFFFF"/>
            <w:noWrap/>
            <w:vAlign w:val="bottom"/>
            <w:hideMark/>
          </w:tcPr>
          <w:p w14:paraId="631C6E86"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10.6</w:t>
            </w:r>
          </w:p>
        </w:tc>
        <w:tc>
          <w:tcPr>
            <w:tcW w:w="961" w:type="dxa"/>
            <w:tcBorders>
              <w:top w:val="nil"/>
              <w:left w:val="nil"/>
              <w:bottom w:val="nil"/>
              <w:right w:val="single" w:sz="4" w:space="0" w:color="auto"/>
            </w:tcBorders>
            <w:shd w:val="clear" w:color="000000" w:fill="FFFFFF"/>
            <w:noWrap/>
            <w:vAlign w:val="bottom"/>
            <w:hideMark/>
          </w:tcPr>
          <w:p w14:paraId="54C8E604"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2.4</w:t>
            </w:r>
          </w:p>
        </w:tc>
        <w:tc>
          <w:tcPr>
            <w:tcW w:w="1259" w:type="dxa"/>
            <w:tcBorders>
              <w:top w:val="nil"/>
              <w:left w:val="nil"/>
              <w:bottom w:val="nil"/>
              <w:right w:val="nil"/>
            </w:tcBorders>
            <w:shd w:val="clear" w:color="000000" w:fill="FFFFFF"/>
            <w:noWrap/>
            <w:vAlign w:val="bottom"/>
            <w:hideMark/>
          </w:tcPr>
          <w:p w14:paraId="3A2D1167"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9.5</w:t>
            </w:r>
          </w:p>
        </w:tc>
        <w:tc>
          <w:tcPr>
            <w:tcW w:w="961" w:type="dxa"/>
            <w:tcBorders>
              <w:top w:val="nil"/>
              <w:left w:val="nil"/>
              <w:bottom w:val="nil"/>
              <w:right w:val="nil"/>
            </w:tcBorders>
            <w:shd w:val="clear" w:color="000000" w:fill="FFFFFF"/>
            <w:noWrap/>
            <w:vAlign w:val="bottom"/>
            <w:hideMark/>
          </w:tcPr>
          <w:p w14:paraId="6E01701C"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2.5</w:t>
            </w:r>
          </w:p>
        </w:tc>
      </w:tr>
      <w:tr w:rsidR="00A109C3" w:rsidRPr="00A109C3" w14:paraId="02263B47" w14:textId="77777777" w:rsidTr="00A109C3">
        <w:trPr>
          <w:trHeight w:val="282"/>
        </w:trPr>
        <w:tc>
          <w:tcPr>
            <w:tcW w:w="1480" w:type="dxa"/>
            <w:tcBorders>
              <w:top w:val="nil"/>
              <w:left w:val="nil"/>
              <w:bottom w:val="nil"/>
              <w:right w:val="nil"/>
            </w:tcBorders>
            <w:shd w:val="clear" w:color="000000" w:fill="FFFFFF"/>
            <w:noWrap/>
            <w:vAlign w:val="bottom"/>
            <w:hideMark/>
          </w:tcPr>
          <w:p w14:paraId="7BF935A8" w14:textId="77777777" w:rsidR="00A109C3" w:rsidRPr="00A109C3" w:rsidRDefault="00A109C3" w:rsidP="00A109C3">
            <w:pP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İthalat</w:t>
            </w:r>
            <w:proofErr w:type="spellEnd"/>
          </w:p>
        </w:tc>
        <w:tc>
          <w:tcPr>
            <w:tcW w:w="1259" w:type="dxa"/>
            <w:tcBorders>
              <w:top w:val="nil"/>
              <w:left w:val="single" w:sz="4" w:space="0" w:color="auto"/>
              <w:bottom w:val="nil"/>
              <w:right w:val="nil"/>
            </w:tcBorders>
            <w:shd w:val="clear" w:color="000000" w:fill="FFFFFF"/>
            <w:noWrap/>
            <w:vAlign w:val="bottom"/>
            <w:hideMark/>
          </w:tcPr>
          <w:p w14:paraId="228C6A44"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-24.4</w:t>
            </w:r>
          </w:p>
        </w:tc>
        <w:tc>
          <w:tcPr>
            <w:tcW w:w="961" w:type="dxa"/>
            <w:tcBorders>
              <w:top w:val="nil"/>
              <w:left w:val="nil"/>
              <w:bottom w:val="nil"/>
              <w:right w:val="single" w:sz="4" w:space="0" w:color="auto"/>
            </w:tcBorders>
            <w:shd w:val="clear" w:color="000000" w:fill="FFFFFF"/>
            <w:noWrap/>
            <w:vAlign w:val="bottom"/>
            <w:hideMark/>
          </w:tcPr>
          <w:p w14:paraId="7FD56C78"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7.3</w:t>
            </w:r>
          </w:p>
        </w:tc>
        <w:tc>
          <w:tcPr>
            <w:tcW w:w="1259" w:type="dxa"/>
            <w:tcBorders>
              <w:top w:val="nil"/>
              <w:left w:val="nil"/>
              <w:bottom w:val="nil"/>
              <w:right w:val="nil"/>
            </w:tcBorders>
            <w:shd w:val="clear" w:color="000000" w:fill="FFFFFF"/>
            <w:noWrap/>
            <w:vAlign w:val="bottom"/>
            <w:hideMark/>
          </w:tcPr>
          <w:p w14:paraId="39AF3985"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-28.8</w:t>
            </w:r>
          </w:p>
        </w:tc>
        <w:tc>
          <w:tcPr>
            <w:tcW w:w="961" w:type="dxa"/>
            <w:tcBorders>
              <w:top w:val="nil"/>
              <w:left w:val="nil"/>
              <w:bottom w:val="nil"/>
              <w:right w:val="nil"/>
            </w:tcBorders>
            <w:shd w:val="clear" w:color="000000" w:fill="FFFFFF"/>
            <w:noWrap/>
            <w:vAlign w:val="bottom"/>
            <w:hideMark/>
          </w:tcPr>
          <w:p w14:paraId="123E7BF6"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9.7</w:t>
            </w:r>
          </w:p>
        </w:tc>
      </w:tr>
      <w:tr w:rsidR="00A109C3" w:rsidRPr="00A109C3" w14:paraId="6139292A" w14:textId="77777777" w:rsidTr="00A109C3">
        <w:trPr>
          <w:trHeight w:val="315"/>
        </w:trPr>
        <w:tc>
          <w:tcPr>
            <w:tcW w:w="1480" w:type="dxa"/>
            <w:tcBorders>
              <w:top w:val="nil"/>
              <w:left w:val="nil"/>
              <w:bottom w:val="double" w:sz="6" w:space="0" w:color="auto"/>
              <w:right w:val="nil"/>
            </w:tcBorders>
            <w:shd w:val="clear" w:color="000000" w:fill="FFFFFF"/>
            <w:noWrap/>
            <w:vAlign w:val="bottom"/>
            <w:hideMark/>
          </w:tcPr>
          <w:p w14:paraId="0FBCBB08" w14:textId="77777777" w:rsidR="00A109C3" w:rsidRPr="00A109C3" w:rsidRDefault="00A109C3" w:rsidP="00A109C3">
            <w:pPr>
              <w:rPr>
                <w:rFonts w:ascii="Calibri" w:hAnsi="Calibri" w:cs="Calibri"/>
                <w:b/>
                <w:bCs/>
                <w:color w:val="000000"/>
                <w:sz w:val="20"/>
                <w:szCs w:val="20"/>
                <w:lang w:val="en-GB" w:eastAsia="en-GB"/>
              </w:rPr>
            </w:pPr>
            <w:r w:rsidRPr="00A109C3">
              <w:rPr>
                <w:rFonts w:ascii="Calibri" w:hAnsi="Calibri" w:cs="Calibri"/>
                <w:b/>
                <w:bCs/>
                <w:color w:val="000000"/>
                <w:sz w:val="20"/>
                <w:szCs w:val="20"/>
                <w:lang w:val="en-GB"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565FEA23"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-3.0</w:t>
            </w:r>
          </w:p>
        </w:tc>
        <w:tc>
          <w:tcPr>
            <w:tcW w:w="961" w:type="dxa"/>
            <w:tcBorders>
              <w:top w:val="nil"/>
              <w:left w:val="nil"/>
              <w:bottom w:val="double" w:sz="6" w:space="0" w:color="auto"/>
              <w:right w:val="single" w:sz="4" w:space="0" w:color="auto"/>
            </w:tcBorders>
            <w:shd w:val="clear" w:color="000000" w:fill="FFFFFF"/>
            <w:noWrap/>
            <w:vAlign w:val="bottom"/>
            <w:hideMark/>
          </w:tcPr>
          <w:p w14:paraId="38A63574"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 </w:t>
            </w:r>
          </w:p>
        </w:tc>
        <w:tc>
          <w:tcPr>
            <w:tcW w:w="1259" w:type="dxa"/>
            <w:tcBorders>
              <w:top w:val="nil"/>
              <w:left w:val="nil"/>
              <w:bottom w:val="double" w:sz="6" w:space="0" w:color="auto"/>
              <w:right w:val="nil"/>
            </w:tcBorders>
            <w:shd w:val="clear" w:color="000000" w:fill="FFFFFF"/>
            <w:noWrap/>
            <w:vAlign w:val="bottom"/>
            <w:hideMark/>
          </w:tcPr>
          <w:p w14:paraId="5B5D7CD4"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-2.6</w:t>
            </w:r>
          </w:p>
        </w:tc>
        <w:tc>
          <w:tcPr>
            <w:tcW w:w="961" w:type="dxa"/>
            <w:tcBorders>
              <w:top w:val="nil"/>
              <w:left w:val="nil"/>
              <w:bottom w:val="double" w:sz="6" w:space="0" w:color="auto"/>
              <w:right w:val="nil"/>
            </w:tcBorders>
            <w:shd w:val="clear" w:color="000000" w:fill="FFFFFF"/>
            <w:noWrap/>
            <w:vAlign w:val="bottom"/>
            <w:hideMark/>
          </w:tcPr>
          <w:p w14:paraId="2C8ABB1E"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 </w:t>
            </w:r>
          </w:p>
        </w:tc>
      </w:tr>
    </w:tbl>
    <w:p w14:paraId="68ED2418" w14:textId="77777777" w:rsidR="00405BD8" w:rsidRDefault="003D44CE" w:rsidP="00405BD8">
      <w:pPr>
        <w:keepLines/>
        <w:widowControl w:val="0"/>
        <w:rPr>
          <w:rFonts w:ascii="Palatino Linotype" w:hAnsi="Palatino Linotype" w:cstheme="minorHAnsi"/>
          <w:sz w:val="18"/>
          <w:szCs w:val="18"/>
        </w:rPr>
      </w:pPr>
      <w:r w:rsidRPr="0050008F">
        <w:rPr>
          <w:rFonts w:ascii="Palatino Linotype" w:hAnsi="Palatino Linotype" w:cstheme="minorHAnsi"/>
          <w:sz w:val="18"/>
          <w:szCs w:val="18"/>
        </w:rPr>
        <w:t>Ka</w:t>
      </w:r>
      <w:r w:rsidR="00062A8A">
        <w:rPr>
          <w:rFonts w:ascii="Palatino Linotype" w:hAnsi="Palatino Linotype" w:cstheme="minorHAnsi"/>
          <w:sz w:val="18"/>
          <w:szCs w:val="18"/>
        </w:rPr>
        <w:t>ynak: TÜİK, Betam</w:t>
      </w:r>
    </w:p>
    <w:p w14:paraId="6C8EA5E0" w14:textId="77777777" w:rsidR="00FE385C" w:rsidRDefault="00FE385C" w:rsidP="00405BD8">
      <w:pPr>
        <w:keepLines/>
        <w:widowControl w:val="0"/>
        <w:rPr>
          <w:rFonts w:ascii="Palatino Linotype" w:hAnsi="Palatino Linotype" w:cstheme="minorHAnsi"/>
          <w:sz w:val="18"/>
          <w:szCs w:val="18"/>
        </w:rPr>
      </w:pPr>
    </w:p>
    <w:p w14:paraId="377E7790" w14:textId="77777777" w:rsidR="00FE385C" w:rsidRDefault="00FE385C" w:rsidP="00405BD8">
      <w:pPr>
        <w:keepLines/>
        <w:widowControl w:val="0"/>
        <w:rPr>
          <w:rFonts w:ascii="Palatino Linotype" w:hAnsi="Palatino Linotype" w:cstheme="minorHAnsi"/>
          <w:sz w:val="18"/>
          <w:szCs w:val="18"/>
        </w:rPr>
      </w:pPr>
    </w:p>
    <w:p w14:paraId="09BDAC74" w14:textId="77777777" w:rsidR="00FE385C" w:rsidRDefault="00FE385C" w:rsidP="00405BD8">
      <w:pPr>
        <w:keepLines/>
        <w:widowControl w:val="0"/>
        <w:rPr>
          <w:rFonts w:ascii="Palatino Linotype" w:hAnsi="Palatino Linotype" w:cstheme="minorHAnsi"/>
          <w:sz w:val="18"/>
          <w:szCs w:val="18"/>
        </w:rPr>
      </w:pPr>
    </w:p>
    <w:p w14:paraId="4C8D8926" w14:textId="77777777" w:rsidR="006C3EE6" w:rsidRDefault="006C3EE6" w:rsidP="006C3EE6">
      <w:pPr>
        <w:keepNext/>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lastRenderedPageBreak/>
        <w:t xml:space="preserve">Tablo 2: </w:t>
      </w:r>
      <w:r w:rsidR="00D53424" w:rsidRPr="0050008F">
        <w:rPr>
          <w:rFonts w:ascii="Palatino Linotype" w:hAnsi="Palatino Linotype" w:cstheme="minorHAnsi"/>
          <w:b/>
          <w:bCs/>
          <w:sz w:val="22"/>
          <w:szCs w:val="22"/>
        </w:rPr>
        <w:t xml:space="preserve">GSYH </w:t>
      </w:r>
      <w:r w:rsidR="00D53424" w:rsidRPr="0050008F">
        <w:rPr>
          <w:rFonts w:ascii="Palatino Linotype" w:hAnsi="Palatino Linotype" w:cstheme="minorHAnsi"/>
          <w:b/>
          <w:bCs/>
          <w:color w:val="000000" w:themeColor="text1"/>
          <w:sz w:val="22"/>
          <w:szCs w:val="22"/>
        </w:rPr>
        <w:t xml:space="preserve">alt </w:t>
      </w:r>
      <w:r w:rsidR="00D53424" w:rsidRPr="0050008F">
        <w:rPr>
          <w:rFonts w:ascii="Palatino Linotype" w:hAnsi="Palatino Linotype" w:cstheme="minorHAnsi"/>
          <w:b/>
          <w:bCs/>
          <w:sz w:val="22"/>
          <w:szCs w:val="22"/>
        </w:rPr>
        <w:t xml:space="preserve">kalemlerinin </w:t>
      </w:r>
      <w:r w:rsidR="00C900F9">
        <w:rPr>
          <w:rFonts w:ascii="Palatino Linotype" w:hAnsi="Palatino Linotype" w:cstheme="minorHAnsi"/>
          <w:b/>
          <w:bCs/>
          <w:sz w:val="22"/>
          <w:szCs w:val="22"/>
        </w:rPr>
        <w:t>2018 4. ve 2019 1</w:t>
      </w:r>
      <w:r w:rsidR="006F1912" w:rsidRPr="0050008F">
        <w:rPr>
          <w:rFonts w:ascii="Palatino Linotype" w:hAnsi="Palatino Linotype" w:cstheme="minorHAnsi"/>
          <w:b/>
          <w:bCs/>
          <w:sz w:val="22"/>
          <w:szCs w:val="22"/>
        </w:rPr>
        <w:t>. çeyrekte</w:t>
      </w:r>
      <w:r w:rsidR="00E4681E" w:rsidRPr="0050008F">
        <w:rPr>
          <w:rFonts w:ascii="Palatino Linotype" w:hAnsi="Palatino Linotype" w:cstheme="minorHAnsi"/>
          <w:b/>
          <w:bCs/>
          <w:sz w:val="22"/>
          <w:szCs w:val="22"/>
        </w:rPr>
        <w:t xml:space="preserve"> </w:t>
      </w:r>
      <w:r w:rsidRPr="0050008F">
        <w:rPr>
          <w:rFonts w:ascii="Palatino Linotype" w:hAnsi="Palatino Linotype" w:cstheme="minorHAnsi"/>
          <w:b/>
          <w:bCs/>
          <w:sz w:val="22"/>
          <w:szCs w:val="22"/>
        </w:rPr>
        <w:t>bir önceki çeyreğe göre büyüme oranları ve büyümeye katkıları</w:t>
      </w:r>
      <w:r w:rsidR="00CF5053" w:rsidRPr="0050008F">
        <w:rPr>
          <w:rFonts w:ascii="Palatino Linotype" w:hAnsi="Palatino Linotype" w:cstheme="minorHAnsi"/>
          <w:b/>
          <w:bCs/>
          <w:sz w:val="22"/>
          <w:szCs w:val="22"/>
        </w:rPr>
        <w:t xml:space="preserve"> (mevsim ve takvim etkilerinden arındırılmış)</w:t>
      </w:r>
    </w:p>
    <w:p w14:paraId="6CD35AAF" w14:textId="77777777" w:rsidR="00996151" w:rsidRDefault="00996151"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A109C3" w:rsidRPr="00A109C3" w14:paraId="559C5ADA" w14:textId="77777777" w:rsidTr="00A109C3">
        <w:trPr>
          <w:trHeight w:val="282"/>
        </w:trPr>
        <w:tc>
          <w:tcPr>
            <w:tcW w:w="1480" w:type="dxa"/>
            <w:tcBorders>
              <w:top w:val="nil"/>
              <w:left w:val="nil"/>
              <w:bottom w:val="nil"/>
              <w:right w:val="nil"/>
            </w:tcBorders>
            <w:shd w:val="clear" w:color="000000" w:fill="FFFFFF"/>
            <w:noWrap/>
            <w:vAlign w:val="bottom"/>
            <w:hideMark/>
          </w:tcPr>
          <w:p w14:paraId="034ACA4A" w14:textId="77777777" w:rsidR="00A109C3" w:rsidRPr="00A109C3" w:rsidRDefault="00A109C3" w:rsidP="00A109C3">
            <w:pPr>
              <w:rPr>
                <w:rFonts w:ascii="Calibri" w:hAnsi="Calibri" w:cs="Calibri"/>
                <w:b/>
                <w:bCs/>
                <w:color w:val="000000"/>
                <w:sz w:val="20"/>
                <w:szCs w:val="20"/>
                <w:lang w:val="en-GB" w:eastAsia="en-GB"/>
              </w:rPr>
            </w:pPr>
            <w:r w:rsidRPr="00A109C3">
              <w:rPr>
                <w:rFonts w:ascii="Calibri" w:hAnsi="Calibri" w:cs="Calibri"/>
                <w:b/>
                <w:bCs/>
                <w:color w:val="000000"/>
                <w:sz w:val="20"/>
                <w:szCs w:val="20"/>
                <w:lang w:val="en-GB"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73F1CC5" w14:textId="77777777" w:rsidR="00A109C3" w:rsidRPr="00A109C3" w:rsidRDefault="00A109C3" w:rsidP="00A109C3">
            <w:pPr>
              <w:jc w:val="center"/>
              <w:rPr>
                <w:rFonts w:ascii="Calibri" w:hAnsi="Calibri" w:cs="Calibri"/>
                <w:b/>
                <w:bCs/>
                <w:color w:val="000000"/>
                <w:sz w:val="20"/>
                <w:szCs w:val="20"/>
                <w:lang w:val="en-GB" w:eastAsia="en-GB"/>
              </w:rPr>
            </w:pPr>
            <w:r w:rsidRPr="00A109C3">
              <w:rPr>
                <w:rFonts w:ascii="Calibri" w:hAnsi="Calibri" w:cs="Calibri"/>
                <w:b/>
                <w:bCs/>
                <w:color w:val="000000"/>
                <w:sz w:val="20"/>
                <w:szCs w:val="20"/>
                <w:lang w:val="en-GB" w:eastAsia="en-GB"/>
              </w:rPr>
              <w:t>2018Q4</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14:paraId="7B3FB1FE" w14:textId="77777777" w:rsidR="00A109C3" w:rsidRPr="00A109C3" w:rsidRDefault="00A109C3" w:rsidP="00A109C3">
            <w:pPr>
              <w:jc w:val="center"/>
              <w:rPr>
                <w:rFonts w:ascii="Calibri" w:hAnsi="Calibri" w:cs="Calibri"/>
                <w:b/>
                <w:bCs/>
                <w:color w:val="000000"/>
                <w:sz w:val="20"/>
                <w:szCs w:val="20"/>
                <w:lang w:val="en-GB" w:eastAsia="en-GB"/>
              </w:rPr>
            </w:pPr>
            <w:r w:rsidRPr="00A109C3">
              <w:rPr>
                <w:rFonts w:ascii="Calibri" w:hAnsi="Calibri" w:cs="Calibri"/>
                <w:b/>
                <w:bCs/>
                <w:color w:val="000000"/>
                <w:sz w:val="20"/>
                <w:szCs w:val="20"/>
                <w:lang w:val="en-GB" w:eastAsia="en-GB"/>
              </w:rPr>
              <w:t>2019Q1</w:t>
            </w:r>
          </w:p>
        </w:tc>
      </w:tr>
      <w:tr w:rsidR="00A109C3" w:rsidRPr="00A109C3" w14:paraId="089703C2" w14:textId="77777777" w:rsidTr="00A109C3">
        <w:trPr>
          <w:trHeight w:val="282"/>
        </w:trPr>
        <w:tc>
          <w:tcPr>
            <w:tcW w:w="1480" w:type="dxa"/>
            <w:tcBorders>
              <w:top w:val="nil"/>
              <w:left w:val="nil"/>
              <w:bottom w:val="nil"/>
              <w:right w:val="nil"/>
            </w:tcBorders>
            <w:shd w:val="clear" w:color="000000" w:fill="FFFFFF"/>
            <w:noWrap/>
            <w:vAlign w:val="bottom"/>
            <w:hideMark/>
          </w:tcPr>
          <w:p w14:paraId="6A564784" w14:textId="77777777" w:rsidR="00A109C3" w:rsidRPr="00A109C3" w:rsidRDefault="00A109C3" w:rsidP="00A109C3">
            <w:pPr>
              <w:rPr>
                <w:rFonts w:ascii="Calibri" w:hAnsi="Calibri" w:cs="Calibri"/>
                <w:b/>
                <w:bCs/>
                <w:color w:val="000000"/>
                <w:sz w:val="20"/>
                <w:szCs w:val="20"/>
                <w:lang w:val="en-GB" w:eastAsia="en-GB"/>
              </w:rPr>
            </w:pPr>
            <w:r w:rsidRPr="00A109C3">
              <w:rPr>
                <w:rFonts w:ascii="Calibri" w:hAnsi="Calibri" w:cs="Calibri"/>
                <w:b/>
                <w:bCs/>
                <w:color w:val="000000"/>
                <w:sz w:val="20"/>
                <w:szCs w:val="20"/>
                <w:lang w:val="en-GB" w:eastAsia="en-GB"/>
              </w:rPr>
              <w:t> </w:t>
            </w:r>
          </w:p>
        </w:tc>
        <w:tc>
          <w:tcPr>
            <w:tcW w:w="1259" w:type="dxa"/>
            <w:tcBorders>
              <w:top w:val="nil"/>
              <w:left w:val="single" w:sz="4" w:space="0" w:color="auto"/>
              <w:bottom w:val="nil"/>
              <w:right w:val="nil"/>
            </w:tcBorders>
            <w:shd w:val="clear" w:color="000000" w:fill="FFFFFF"/>
            <w:noWrap/>
            <w:vAlign w:val="bottom"/>
            <w:hideMark/>
          </w:tcPr>
          <w:p w14:paraId="0B02897E" w14:textId="77777777" w:rsidR="00A109C3" w:rsidRPr="00A109C3" w:rsidRDefault="00A109C3" w:rsidP="00A109C3">
            <w:pPr>
              <w:jc w:val="cente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Değişim</w:t>
            </w:r>
            <w:proofErr w:type="spellEnd"/>
            <w:r w:rsidRPr="00A109C3">
              <w:rPr>
                <w:rFonts w:ascii="Calibri" w:hAnsi="Calibri" w:cs="Calibri"/>
                <w:b/>
                <w:bCs/>
                <w:color w:val="000000"/>
                <w:sz w:val="20"/>
                <w:szCs w:val="20"/>
                <w:lang w:val="en-GB" w:eastAsia="en-GB"/>
              </w:rPr>
              <w:t xml:space="preserve"> (%)</w:t>
            </w:r>
          </w:p>
        </w:tc>
        <w:tc>
          <w:tcPr>
            <w:tcW w:w="961" w:type="dxa"/>
            <w:tcBorders>
              <w:top w:val="nil"/>
              <w:left w:val="nil"/>
              <w:bottom w:val="nil"/>
              <w:right w:val="single" w:sz="4" w:space="0" w:color="auto"/>
            </w:tcBorders>
            <w:shd w:val="clear" w:color="000000" w:fill="FFFFFF"/>
            <w:noWrap/>
            <w:vAlign w:val="bottom"/>
            <w:hideMark/>
          </w:tcPr>
          <w:p w14:paraId="7B6167E2" w14:textId="77777777" w:rsidR="00A109C3" w:rsidRPr="00A109C3" w:rsidRDefault="00A109C3" w:rsidP="00A109C3">
            <w:pPr>
              <w:jc w:val="cente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Katkı</w:t>
            </w:r>
            <w:proofErr w:type="spellEnd"/>
            <w:r w:rsidRPr="00A109C3">
              <w:rPr>
                <w:rFonts w:ascii="Calibri" w:hAnsi="Calibri" w:cs="Calibri"/>
                <w:b/>
                <w:bCs/>
                <w:color w:val="000000"/>
                <w:sz w:val="20"/>
                <w:szCs w:val="20"/>
                <w:lang w:val="en-GB" w:eastAsia="en-GB"/>
              </w:rPr>
              <w:t xml:space="preserve"> (%)</w:t>
            </w:r>
          </w:p>
        </w:tc>
        <w:tc>
          <w:tcPr>
            <w:tcW w:w="1259" w:type="dxa"/>
            <w:tcBorders>
              <w:top w:val="nil"/>
              <w:left w:val="nil"/>
              <w:bottom w:val="nil"/>
              <w:right w:val="nil"/>
            </w:tcBorders>
            <w:shd w:val="clear" w:color="000000" w:fill="FFFFFF"/>
            <w:noWrap/>
            <w:vAlign w:val="bottom"/>
            <w:hideMark/>
          </w:tcPr>
          <w:p w14:paraId="62DB4362" w14:textId="77777777" w:rsidR="00A109C3" w:rsidRPr="00A109C3" w:rsidRDefault="00A109C3" w:rsidP="00A109C3">
            <w:pPr>
              <w:jc w:val="cente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Değişim</w:t>
            </w:r>
            <w:proofErr w:type="spellEnd"/>
            <w:r w:rsidRPr="00A109C3">
              <w:rPr>
                <w:rFonts w:ascii="Calibri" w:hAnsi="Calibri" w:cs="Calibri"/>
                <w:b/>
                <w:bCs/>
                <w:color w:val="000000"/>
                <w:sz w:val="20"/>
                <w:szCs w:val="20"/>
                <w:lang w:val="en-GB" w:eastAsia="en-GB"/>
              </w:rPr>
              <w:t xml:space="preserve"> (%)</w:t>
            </w:r>
          </w:p>
        </w:tc>
        <w:tc>
          <w:tcPr>
            <w:tcW w:w="961" w:type="dxa"/>
            <w:tcBorders>
              <w:top w:val="nil"/>
              <w:left w:val="nil"/>
              <w:bottom w:val="nil"/>
              <w:right w:val="nil"/>
            </w:tcBorders>
            <w:shd w:val="clear" w:color="000000" w:fill="FFFFFF"/>
            <w:noWrap/>
            <w:vAlign w:val="bottom"/>
            <w:hideMark/>
          </w:tcPr>
          <w:p w14:paraId="10B4F13A" w14:textId="77777777" w:rsidR="00A109C3" w:rsidRPr="00A109C3" w:rsidRDefault="00A109C3" w:rsidP="00A109C3">
            <w:pPr>
              <w:jc w:val="cente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Katkı</w:t>
            </w:r>
            <w:proofErr w:type="spellEnd"/>
            <w:r w:rsidRPr="00A109C3">
              <w:rPr>
                <w:rFonts w:ascii="Calibri" w:hAnsi="Calibri" w:cs="Calibri"/>
                <w:b/>
                <w:bCs/>
                <w:color w:val="000000"/>
                <w:sz w:val="20"/>
                <w:szCs w:val="20"/>
                <w:lang w:val="en-GB" w:eastAsia="en-GB"/>
              </w:rPr>
              <w:t xml:space="preserve"> (%)</w:t>
            </w:r>
          </w:p>
        </w:tc>
      </w:tr>
      <w:tr w:rsidR="00A109C3" w:rsidRPr="00A109C3" w14:paraId="0940C474" w14:textId="77777777" w:rsidTr="00A109C3">
        <w:trPr>
          <w:trHeight w:val="282"/>
        </w:trPr>
        <w:tc>
          <w:tcPr>
            <w:tcW w:w="1480" w:type="dxa"/>
            <w:tcBorders>
              <w:top w:val="single" w:sz="4" w:space="0" w:color="auto"/>
              <w:left w:val="nil"/>
              <w:bottom w:val="nil"/>
              <w:right w:val="nil"/>
            </w:tcBorders>
            <w:shd w:val="clear" w:color="000000" w:fill="FFFFFF"/>
            <w:noWrap/>
            <w:vAlign w:val="bottom"/>
            <w:hideMark/>
          </w:tcPr>
          <w:p w14:paraId="2477DA1B" w14:textId="77777777" w:rsidR="00A109C3" w:rsidRPr="00A109C3" w:rsidRDefault="00A109C3" w:rsidP="00A109C3">
            <w:pP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Özel</w:t>
            </w:r>
            <w:proofErr w:type="spellEnd"/>
            <w:r w:rsidRPr="00A109C3">
              <w:rPr>
                <w:rFonts w:ascii="Calibri" w:hAnsi="Calibri" w:cs="Calibri"/>
                <w:b/>
                <w:bCs/>
                <w:color w:val="000000"/>
                <w:sz w:val="20"/>
                <w:szCs w:val="20"/>
                <w:lang w:val="en-GB" w:eastAsia="en-GB"/>
              </w:rPr>
              <w:t xml:space="preserve"> </w:t>
            </w:r>
            <w:proofErr w:type="spellStart"/>
            <w:r w:rsidRPr="00A109C3">
              <w:rPr>
                <w:rFonts w:ascii="Calibri" w:hAnsi="Calibri" w:cs="Calibri"/>
                <w:b/>
                <w:bCs/>
                <w:color w:val="000000"/>
                <w:sz w:val="20"/>
                <w:szCs w:val="20"/>
                <w:lang w:val="en-GB" w:eastAsia="en-GB"/>
              </w:rPr>
              <w:t>Tüketim</w:t>
            </w:r>
            <w:proofErr w:type="spellEnd"/>
          </w:p>
        </w:tc>
        <w:tc>
          <w:tcPr>
            <w:tcW w:w="1259" w:type="dxa"/>
            <w:tcBorders>
              <w:top w:val="single" w:sz="4" w:space="0" w:color="auto"/>
              <w:left w:val="single" w:sz="4" w:space="0" w:color="auto"/>
              <w:bottom w:val="nil"/>
              <w:right w:val="nil"/>
            </w:tcBorders>
            <w:shd w:val="clear" w:color="000000" w:fill="FFFFFF"/>
            <w:noWrap/>
            <w:vAlign w:val="bottom"/>
            <w:hideMark/>
          </w:tcPr>
          <w:p w14:paraId="24F7133B"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-4.4</w:t>
            </w:r>
          </w:p>
        </w:tc>
        <w:tc>
          <w:tcPr>
            <w:tcW w:w="961" w:type="dxa"/>
            <w:tcBorders>
              <w:top w:val="single" w:sz="4" w:space="0" w:color="auto"/>
              <w:left w:val="nil"/>
              <w:bottom w:val="nil"/>
              <w:right w:val="single" w:sz="4" w:space="0" w:color="auto"/>
            </w:tcBorders>
            <w:shd w:val="clear" w:color="000000" w:fill="FFFFFF"/>
            <w:noWrap/>
            <w:vAlign w:val="bottom"/>
            <w:hideMark/>
          </w:tcPr>
          <w:p w14:paraId="35A9749C"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-2.5</w:t>
            </w:r>
          </w:p>
        </w:tc>
        <w:tc>
          <w:tcPr>
            <w:tcW w:w="1259" w:type="dxa"/>
            <w:tcBorders>
              <w:top w:val="single" w:sz="4" w:space="0" w:color="auto"/>
              <w:left w:val="nil"/>
              <w:bottom w:val="nil"/>
              <w:right w:val="nil"/>
            </w:tcBorders>
            <w:shd w:val="clear" w:color="000000" w:fill="FFFFFF"/>
            <w:noWrap/>
            <w:vAlign w:val="bottom"/>
            <w:hideMark/>
          </w:tcPr>
          <w:p w14:paraId="40EB44A9"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0.8</w:t>
            </w:r>
          </w:p>
        </w:tc>
        <w:tc>
          <w:tcPr>
            <w:tcW w:w="961" w:type="dxa"/>
            <w:tcBorders>
              <w:top w:val="single" w:sz="4" w:space="0" w:color="auto"/>
              <w:left w:val="nil"/>
              <w:bottom w:val="nil"/>
              <w:right w:val="nil"/>
            </w:tcBorders>
            <w:shd w:val="clear" w:color="000000" w:fill="FFFFFF"/>
            <w:noWrap/>
            <w:vAlign w:val="bottom"/>
            <w:hideMark/>
          </w:tcPr>
          <w:p w14:paraId="1CB5E5E2"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0.4</w:t>
            </w:r>
          </w:p>
        </w:tc>
      </w:tr>
      <w:tr w:rsidR="00A109C3" w:rsidRPr="00A109C3" w14:paraId="3D290C90" w14:textId="77777777" w:rsidTr="00A109C3">
        <w:trPr>
          <w:trHeight w:val="282"/>
        </w:trPr>
        <w:tc>
          <w:tcPr>
            <w:tcW w:w="1480" w:type="dxa"/>
            <w:tcBorders>
              <w:top w:val="nil"/>
              <w:left w:val="nil"/>
              <w:bottom w:val="nil"/>
              <w:right w:val="nil"/>
            </w:tcBorders>
            <w:shd w:val="clear" w:color="000000" w:fill="FFFFFF"/>
            <w:noWrap/>
            <w:vAlign w:val="bottom"/>
            <w:hideMark/>
          </w:tcPr>
          <w:p w14:paraId="14BD5635" w14:textId="77777777" w:rsidR="00A109C3" w:rsidRPr="00A109C3" w:rsidRDefault="00A109C3" w:rsidP="00A109C3">
            <w:pP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Kamu</w:t>
            </w:r>
            <w:proofErr w:type="spellEnd"/>
            <w:r w:rsidRPr="00A109C3">
              <w:rPr>
                <w:rFonts w:ascii="Calibri" w:hAnsi="Calibri" w:cs="Calibri"/>
                <w:b/>
                <w:bCs/>
                <w:color w:val="000000"/>
                <w:sz w:val="20"/>
                <w:szCs w:val="20"/>
                <w:lang w:val="en-GB" w:eastAsia="en-GB"/>
              </w:rPr>
              <w:t xml:space="preserve"> </w:t>
            </w:r>
            <w:proofErr w:type="spellStart"/>
            <w:r w:rsidRPr="00A109C3">
              <w:rPr>
                <w:rFonts w:ascii="Calibri" w:hAnsi="Calibri" w:cs="Calibri"/>
                <w:b/>
                <w:bCs/>
                <w:color w:val="000000"/>
                <w:sz w:val="20"/>
                <w:szCs w:val="20"/>
                <w:lang w:val="en-GB" w:eastAsia="en-GB"/>
              </w:rPr>
              <w:t>Tüketimi</w:t>
            </w:r>
            <w:proofErr w:type="spellEnd"/>
          </w:p>
        </w:tc>
        <w:tc>
          <w:tcPr>
            <w:tcW w:w="1259" w:type="dxa"/>
            <w:tcBorders>
              <w:top w:val="nil"/>
              <w:left w:val="single" w:sz="4" w:space="0" w:color="auto"/>
              <w:bottom w:val="nil"/>
              <w:right w:val="nil"/>
            </w:tcBorders>
            <w:shd w:val="clear" w:color="000000" w:fill="FFFFFF"/>
            <w:noWrap/>
            <w:vAlign w:val="bottom"/>
            <w:hideMark/>
          </w:tcPr>
          <w:p w14:paraId="3EA0EE58"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-0.1</w:t>
            </w:r>
          </w:p>
        </w:tc>
        <w:tc>
          <w:tcPr>
            <w:tcW w:w="961" w:type="dxa"/>
            <w:tcBorders>
              <w:top w:val="nil"/>
              <w:left w:val="nil"/>
              <w:bottom w:val="nil"/>
              <w:right w:val="single" w:sz="4" w:space="0" w:color="auto"/>
            </w:tcBorders>
            <w:shd w:val="clear" w:color="000000" w:fill="FFFFFF"/>
            <w:noWrap/>
            <w:vAlign w:val="bottom"/>
            <w:hideMark/>
          </w:tcPr>
          <w:p w14:paraId="3EE47D8F"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0.0</w:t>
            </w:r>
          </w:p>
        </w:tc>
        <w:tc>
          <w:tcPr>
            <w:tcW w:w="1259" w:type="dxa"/>
            <w:tcBorders>
              <w:top w:val="nil"/>
              <w:left w:val="nil"/>
              <w:bottom w:val="nil"/>
              <w:right w:val="nil"/>
            </w:tcBorders>
            <w:shd w:val="clear" w:color="000000" w:fill="FFFFFF"/>
            <w:noWrap/>
            <w:vAlign w:val="bottom"/>
            <w:hideMark/>
          </w:tcPr>
          <w:p w14:paraId="5EB1BDC0"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5.1</w:t>
            </w:r>
          </w:p>
        </w:tc>
        <w:tc>
          <w:tcPr>
            <w:tcW w:w="961" w:type="dxa"/>
            <w:tcBorders>
              <w:top w:val="nil"/>
              <w:left w:val="nil"/>
              <w:bottom w:val="nil"/>
              <w:right w:val="nil"/>
            </w:tcBorders>
            <w:shd w:val="clear" w:color="000000" w:fill="FFFFFF"/>
            <w:noWrap/>
            <w:vAlign w:val="bottom"/>
            <w:hideMark/>
          </w:tcPr>
          <w:p w14:paraId="63C950AE"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0.7</w:t>
            </w:r>
          </w:p>
        </w:tc>
      </w:tr>
      <w:tr w:rsidR="00A109C3" w:rsidRPr="00A109C3" w14:paraId="4BF6AE7D" w14:textId="77777777" w:rsidTr="00A109C3">
        <w:trPr>
          <w:trHeight w:val="282"/>
        </w:trPr>
        <w:tc>
          <w:tcPr>
            <w:tcW w:w="1480" w:type="dxa"/>
            <w:tcBorders>
              <w:top w:val="nil"/>
              <w:left w:val="nil"/>
              <w:bottom w:val="nil"/>
              <w:right w:val="nil"/>
            </w:tcBorders>
            <w:shd w:val="clear" w:color="000000" w:fill="FFFFFF"/>
            <w:noWrap/>
            <w:vAlign w:val="bottom"/>
            <w:hideMark/>
          </w:tcPr>
          <w:p w14:paraId="6AD3B29F" w14:textId="77777777" w:rsidR="00A109C3" w:rsidRPr="00A109C3" w:rsidRDefault="00A109C3" w:rsidP="00A109C3">
            <w:pP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Yatırım</w:t>
            </w:r>
            <w:proofErr w:type="spellEnd"/>
          </w:p>
        </w:tc>
        <w:tc>
          <w:tcPr>
            <w:tcW w:w="1259" w:type="dxa"/>
            <w:tcBorders>
              <w:top w:val="nil"/>
              <w:left w:val="single" w:sz="4" w:space="0" w:color="auto"/>
              <w:bottom w:val="nil"/>
              <w:right w:val="nil"/>
            </w:tcBorders>
            <w:shd w:val="clear" w:color="000000" w:fill="FFFFFF"/>
            <w:noWrap/>
            <w:vAlign w:val="bottom"/>
            <w:hideMark/>
          </w:tcPr>
          <w:p w14:paraId="56787472"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-4.1</w:t>
            </w:r>
          </w:p>
        </w:tc>
        <w:tc>
          <w:tcPr>
            <w:tcW w:w="961" w:type="dxa"/>
            <w:tcBorders>
              <w:top w:val="nil"/>
              <w:left w:val="nil"/>
              <w:bottom w:val="nil"/>
              <w:right w:val="single" w:sz="4" w:space="0" w:color="auto"/>
            </w:tcBorders>
            <w:shd w:val="clear" w:color="000000" w:fill="FFFFFF"/>
            <w:noWrap/>
            <w:vAlign w:val="bottom"/>
            <w:hideMark/>
          </w:tcPr>
          <w:p w14:paraId="66182ED3"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-1.1</w:t>
            </w:r>
          </w:p>
        </w:tc>
        <w:tc>
          <w:tcPr>
            <w:tcW w:w="1259" w:type="dxa"/>
            <w:tcBorders>
              <w:top w:val="nil"/>
              <w:left w:val="nil"/>
              <w:bottom w:val="nil"/>
              <w:right w:val="nil"/>
            </w:tcBorders>
            <w:shd w:val="clear" w:color="000000" w:fill="FFFFFF"/>
            <w:noWrap/>
            <w:vAlign w:val="bottom"/>
            <w:hideMark/>
          </w:tcPr>
          <w:p w14:paraId="48C946B1"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-0.7</w:t>
            </w:r>
          </w:p>
        </w:tc>
        <w:tc>
          <w:tcPr>
            <w:tcW w:w="961" w:type="dxa"/>
            <w:tcBorders>
              <w:top w:val="nil"/>
              <w:left w:val="nil"/>
              <w:bottom w:val="nil"/>
              <w:right w:val="nil"/>
            </w:tcBorders>
            <w:shd w:val="clear" w:color="000000" w:fill="FFFFFF"/>
            <w:noWrap/>
            <w:vAlign w:val="bottom"/>
            <w:hideMark/>
          </w:tcPr>
          <w:p w14:paraId="6CA9DFAC"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-0.2</w:t>
            </w:r>
          </w:p>
        </w:tc>
      </w:tr>
      <w:tr w:rsidR="00A109C3" w:rsidRPr="00A109C3" w14:paraId="1CCF425E" w14:textId="77777777" w:rsidTr="00A109C3">
        <w:trPr>
          <w:trHeight w:val="282"/>
        </w:trPr>
        <w:tc>
          <w:tcPr>
            <w:tcW w:w="1480" w:type="dxa"/>
            <w:tcBorders>
              <w:top w:val="nil"/>
              <w:left w:val="nil"/>
              <w:bottom w:val="nil"/>
              <w:right w:val="nil"/>
            </w:tcBorders>
            <w:shd w:val="clear" w:color="000000" w:fill="FFFFFF"/>
            <w:noWrap/>
            <w:vAlign w:val="bottom"/>
            <w:hideMark/>
          </w:tcPr>
          <w:p w14:paraId="5190C58E" w14:textId="77777777" w:rsidR="00A109C3" w:rsidRPr="00A109C3" w:rsidRDefault="00A109C3" w:rsidP="00A109C3">
            <w:pPr>
              <w:rPr>
                <w:rFonts w:ascii="Calibri" w:hAnsi="Calibri" w:cs="Calibri"/>
                <w:b/>
                <w:bCs/>
                <w:color w:val="000000"/>
                <w:sz w:val="20"/>
                <w:szCs w:val="20"/>
                <w:lang w:val="en-GB" w:eastAsia="en-GB"/>
              </w:rPr>
            </w:pPr>
            <w:r w:rsidRPr="00A109C3">
              <w:rPr>
                <w:rFonts w:ascii="Calibri" w:hAnsi="Calibri" w:cs="Calibri"/>
                <w:b/>
                <w:bCs/>
                <w:color w:val="000000"/>
                <w:sz w:val="20"/>
                <w:szCs w:val="20"/>
                <w:lang w:val="en-GB" w:eastAsia="en-GB"/>
              </w:rPr>
              <w:t xml:space="preserve">Stok </w:t>
            </w:r>
            <w:proofErr w:type="spellStart"/>
            <w:r w:rsidRPr="00A109C3">
              <w:rPr>
                <w:rFonts w:ascii="Calibri" w:hAnsi="Calibri" w:cs="Calibri"/>
                <w:b/>
                <w:bCs/>
                <w:color w:val="000000"/>
                <w:sz w:val="20"/>
                <w:szCs w:val="20"/>
                <w:lang w:val="en-GB" w:eastAsia="en-GB"/>
              </w:rPr>
              <w:t>Değişimi</w:t>
            </w:r>
            <w:proofErr w:type="spellEnd"/>
          </w:p>
        </w:tc>
        <w:tc>
          <w:tcPr>
            <w:tcW w:w="1259" w:type="dxa"/>
            <w:tcBorders>
              <w:top w:val="nil"/>
              <w:left w:val="single" w:sz="4" w:space="0" w:color="auto"/>
              <w:bottom w:val="nil"/>
              <w:right w:val="nil"/>
            </w:tcBorders>
            <w:shd w:val="clear" w:color="000000" w:fill="FFFFFF"/>
            <w:noWrap/>
            <w:vAlign w:val="bottom"/>
            <w:hideMark/>
          </w:tcPr>
          <w:p w14:paraId="39F7B1C0"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6E6AF26E"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-0.5</w:t>
            </w:r>
          </w:p>
        </w:tc>
        <w:tc>
          <w:tcPr>
            <w:tcW w:w="1259" w:type="dxa"/>
            <w:tcBorders>
              <w:top w:val="nil"/>
              <w:left w:val="nil"/>
              <w:bottom w:val="nil"/>
              <w:right w:val="nil"/>
            </w:tcBorders>
            <w:shd w:val="clear" w:color="000000" w:fill="FFFFFF"/>
            <w:noWrap/>
            <w:vAlign w:val="bottom"/>
            <w:hideMark/>
          </w:tcPr>
          <w:p w14:paraId="17E36471"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 </w:t>
            </w:r>
          </w:p>
        </w:tc>
        <w:tc>
          <w:tcPr>
            <w:tcW w:w="961" w:type="dxa"/>
            <w:tcBorders>
              <w:top w:val="nil"/>
              <w:left w:val="nil"/>
              <w:bottom w:val="nil"/>
              <w:right w:val="nil"/>
            </w:tcBorders>
            <w:shd w:val="clear" w:color="000000" w:fill="FFFFFF"/>
            <w:noWrap/>
            <w:vAlign w:val="bottom"/>
            <w:hideMark/>
          </w:tcPr>
          <w:p w14:paraId="09910DE8"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-0.3</w:t>
            </w:r>
          </w:p>
        </w:tc>
      </w:tr>
      <w:tr w:rsidR="00A109C3" w:rsidRPr="00A109C3" w14:paraId="3C82CF7D" w14:textId="77777777" w:rsidTr="00A109C3">
        <w:trPr>
          <w:trHeight w:val="282"/>
        </w:trPr>
        <w:tc>
          <w:tcPr>
            <w:tcW w:w="1480" w:type="dxa"/>
            <w:tcBorders>
              <w:top w:val="nil"/>
              <w:left w:val="nil"/>
              <w:bottom w:val="nil"/>
              <w:right w:val="nil"/>
            </w:tcBorders>
            <w:shd w:val="clear" w:color="000000" w:fill="FFFFFF"/>
            <w:noWrap/>
            <w:vAlign w:val="bottom"/>
            <w:hideMark/>
          </w:tcPr>
          <w:p w14:paraId="5631D5C1" w14:textId="77777777" w:rsidR="00A109C3" w:rsidRPr="00A109C3" w:rsidRDefault="00A109C3" w:rsidP="00A109C3">
            <w:pP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İhracat</w:t>
            </w:r>
            <w:proofErr w:type="spellEnd"/>
          </w:p>
        </w:tc>
        <w:tc>
          <w:tcPr>
            <w:tcW w:w="1259" w:type="dxa"/>
            <w:tcBorders>
              <w:top w:val="nil"/>
              <w:left w:val="single" w:sz="4" w:space="0" w:color="auto"/>
              <w:bottom w:val="nil"/>
              <w:right w:val="nil"/>
            </w:tcBorders>
            <w:shd w:val="clear" w:color="000000" w:fill="FFFFFF"/>
            <w:noWrap/>
            <w:vAlign w:val="bottom"/>
            <w:hideMark/>
          </w:tcPr>
          <w:p w14:paraId="50E24380"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1.0</w:t>
            </w:r>
          </w:p>
        </w:tc>
        <w:tc>
          <w:tcPr>
            <w:tcW w:w="961" w:type="dxa"/>
            <w:tcBorders>
              <w:top w:val="nil"/>
              <w:left w:val="nil"/>
              <w:bottom w:val="nil"/>
              <w:right w:val="single" w:sz="4" w:space="0" w:color="auto"/>
            </w:tcBorders>
            <w:shd w:val="clear" w:color="000000" w:fill="FFFFFF"/>
            <w:noWrap/>
            <w:vAlign w:val="bottom"/>
            <w:hideMark/>
          </w:tcPr>
          <w:p w14:paraId="13445F0B"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0.3</w:t>
            </w:r>
          </w:p>
        </w:tc>
        <w:tc>
          <w:tcPr>
            <w:tcW w:w="1259" w:type="dxa"/>
            <w:tcBorders>
              <w:top w:val="nil"/>
              <w:left w:val="nil"/>
              <w:bottom w:val="nil"/>
              <w:right w:val="nil"/>
            </w:tcBorders>
            <w:shd w:val="clear" w:color="000000" w:fill="FFFFFF"/>
            <w:noWrap/>
            <w:vAlign w:val="bottom"/>
            <w:hideMark/>
          </w:tcPr>
          <w:p w14:paraId="40FEDECB"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-4.7</w:t>
            </w:r>
          </w:p>
        </w:tc>
        <w:tc>
          <w:tcPr>
            <w:tcW w:w="961" w:type="dxa"/>
            <w:tcBorders>
              <w:top w:val="nil"/>
              <w:left w:val="nil"/>
              <w:bottom w:val="nil"/>
              <w:right w:val="nil"/>
            </w:tcBorders>
            <w:shd w:val="clear" w:color="000000" w:fill="FFFFFF"/>
            <w:noWrap/>
            <w:vAlign w:val="bottom"/>
            <w:hideMark/>
          </w:tcPr>
          <w:p w14:paraId="0CB5FBA0"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-1.3</w:t>
            </w:r>
          </w:p>
        </w:tc>
      </w:tr>
      <w:tr w:rsidR="00A109C3" w:rsidRPr="00A109C3" w14:paraId="37E2D696" w14:textId="77777777" w:rsidTr="00A109C3">
        <w:trPr>
          <w:trHeight w:val="282"/>
        </w:trPr>
        <w:tc>
          <w:tcPr>
            <w:tcW w:w="1480" w:type="dxa"/>
            <w:tcBorders>
              <w:top w:val="nil"/>
              <w:left w:val="nil"/>
              <w:bottom w:val="nil"/>
              <w:right w:val="nil"/>
            </w:tcBorders>
            <w:shd w:val="clear" w:color="000000" w:fill="FFFFFF"/>
            <w:noWrap/>
            <w:vAlign w:val="bottom"/>
            <w:hideMark/>
          </w:tcPr>
          <w:p w14:paraId="015EC841" w14:textId="77777777" w:rsidR="00A109C3" w:rsidRPr="00A109C3" w:rsidRDefault="00A109C3" w:rsidP="00A109C3">
            <w:pPr>
              <w:rPr>
                <w:rFonts w:ascii="Calibri" w:hAnsi="Calibri" w:cs="Calibri"/>
                <w:b/>
                <w:bCs/>
                <w:color w:val="000000"/>
                <w:sz w:val="20"/>
                <w:szCs w:val="20"/>
                <w:lang w:val="en-GB" w:eastAsia="en-GB"/>
              </w:rPr>
            </w:pPr>
            <w:proofErr w:type="spellStart"/>
            <w:r w:rsidRPr="00A109C3">
              <w:rPr>
                <w:rFonts w:ascii="Calibri" w:hAnsi="Calibri" w:cs="Calibri"/>
                <w:b/>
                <w:bCs/>
                <w:color w:val="000000"/>
                <w:sz w:val="20"/>
                <w:szCs w:val="20"/>
                <w:lang w:val="en-GB" w:eastAsia="en-GB"/>
              </w:rPr>
              <w:t>İthalat</w:t>
            </w:r>
            <w:proofErr w:type="spellEnd"/>
          </w:p>
        </w:tc>
        <w:tc>
          <w:tcPr>
            <w:tcW w:w="1259" w:type="dxa"/>
            <w:tcBorders>
              <w:top w:val="nil"/>
              <w:left w:val="single" w:sz="4" w:space="0" w:color="auto"/>
              <w:bottom w:val="nil"/>
              <w:right w:val="nil"/>
            </w:tcBorders>
            <w:shd w:val="clear" w:color="000000" w:fill="FFFFFF"/>
            <w:noWrap/>
            <w:vAlign w:val="bottom"/>
            <w:hideMark/>
          </w:tcPr>
          <w:p w14:paraId="2C3510EC"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-5.9</w:t>
            </w:r>
          </w:p>
        </w:tc>
        <w:tc>
          <w:tcPr>
            <w:tcW w:w="961" w:type="dxa"/>
            <w:tcBorders>
              <w:top w:val="nil"/>
              <w:left w:val="nil"/>
              <w:bottom w:val="nil"/>
              <w:right w:val="single" w:sz="4" w:space="0" w:color="auto"/>
            </w:tcBorders>
            <w:shd w:val="clear" w:color="000000" w:fill="FFFFFF"/>
            <w:noWrap/>
            <w:vAlign w:val="bottom"/>
            <w:hideMark/>
          </w:tcPr>
          <w:p w14:paraId="0AD70721"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1.5</w:t>
            </w:r>
          </w:p>
        </w:tc>
        <w:tc>
          <w:tcPr>
            <w:tcW w:w="1259" w:type="dxa"/>
            <w:tcBorders>
              <w:top w:val="nil"/>
              <w:left w:val="nil"/>
              <w:bottom w:val="nil"/>
              <w:right w:val="nil"/>
            </w:tcBorders>
            <w:shd w:val="clear" w:color="000000" w:fill="FFFFFF"/>
            <w:noWrap/>
            <w:vAlign w:val="bottom"/>
            <w:hideMark/>
          </w:tcPr>
          <w:p w14:paraId="76393059"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-5.5</w:t>
            </w:r>
          </w:p>
        </w:tc>
        <w:tc>
          <w:tcPr>
            <w:tcW w:w="961" w:type="dxa"/>
            <w:tcBorders>
              <w:top w:val="nil"/>
              <w:left w:val="nil"/>
              <w:bottom w:val="nil"/>
              <w:right w:val="nil"/>
            </w:tcBorders>
            <w:shd w:val="clear" w:color="000000" w:fill="FFFFFF"/>
            <w:noWrap/>
            <w:vAlign w:val="bottom"/>
            <w:hideMark/>
          </w:tcPr>
          <w:p w14:paraId="0B00C71A"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1.9</w:t>
            </w:r>
          </w:p>
        </w:tc>
      </w:tr>
      <w:tr w:rsidR="00A109C3" w:rsidRPr="00A109C3" w14:paraId="5F596ECD" w14:textId="77777777" w:rsidTr="00A109C3">
        <w:trPr>
          <w:trHeight w:val="315"/>
        </w:trPr>
        <w:tc>
          <w:tcPr>
            <w:tcW w:w="1480" w:type="dxa"/>
            <w:tcBorders>
              <w:top w:val="nil"/>
              <w:left w:val="nil"/>
              <w:bottom w:val="double" w:sz="6" w:space="0" w:color="auto"/>
              <w:right w:val="nil"/>
            </w:tcBorders>
            <w:shd w:val="clear" w:color="000000" w:fill="FFFFFF"/>
            <w:noWrap/>
            <w:vAlign w:val="bottom"/>
            <w:hideMark/>
          </w:tcPr>
          <w:p w14:paraId="144EFD6E" w14:textId="77777777" w:rsidR="00A109C3" w:rsidRPr="00A109C3" w:rsidRDefault="00A109C3" w:rsidP="00A109C3">
            <w:pPr>
              <w:rPr>
                <w:rFonts w:ascii="Calibri" w:hAnsi="Calibri" w:cs="Calibri"/>
                <w:b/>
                <w:bCs/>
                <w:color w:val="000000"/>
                <w:sz w:val="20"/>
                <w:szCs w:val="20"/>
                <w:lang w:val="en-GB" w:eastAsia="en-GB"/>
              </w:rPr>
            </w:pPr>
            <w:r w:rsidRPr="00A109C3">
              <w:rPr>
                <w:rFonts w:ascii="Calibri" w:hAnsi="Calibri" w:cs="Calibri"/>
                <w:b/>
                <w:bCs/>
                <w:color w:val="000000"/>
                <w:sz w:val="20"/>
                <w:szCs w:val="20"/>
                <w:lang w:val="en-GB"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355D1CA2"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-2.4</w:t>
            </w:r>
          </w:p>
        </w:tc>
        <w:tc>
          <w:tcPr>
            <w:tcW w:w="961" w:type="dxa"/>
            <w:tcBorders>
              <w:top w:val="nil"/>
              <w:left w:val="nil"/>
              <w:bottom w:val="double" w:sz="6" w:space="0" w:color="auto"/>
              <w:right w:val="single" w:sz="4" w:space="0" w:color="auto"/>
            </w:tcBorders>
            <w:shd w:val="clear" w:color="000000" w:fill="FFFFFF"/>
            <w:noWrap/>
            <w:vAlign w:val="bottom"/>
            <w:hideMark/>
          </w:tcPr>
          <w:p w14:paraId="50204B1E"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 </w:t>
            </w:r>
          </w:p>
        </w:tc>
        <w:tc>
          <w:tcPr>
            <w:tcW w:w="1259" w:type="dxa"/>
            <w:tcBorders>
              <w:top w:val="nil"/>
              <w:left w:val="nil"/>
              <w:bottom w:val="double" w:sz="6" w:space="0" w:color="auto"/>
              <w:right w:val="nil"/>
            </w:tcBorders>
            <w:shd w:val="clear" w:color="000000" w:fill="FFFFFF"/>
            <w:noWrap/>
            <w:vAlign w:val="bottom"/>
            <w:hideMark/>
          </w:tcPr>
          <w:p w14:paraId="01EE96B1"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1.3</w:t>
            </w:r>
          </w:p>
        </w:tc>
        <w:tc>
          <w:tcPr>
            <w:tcW w:w="961" w:type="dxa"/>
            <w:tcBorders>
              <w:top w:val="nil"/>
              <w:left w:val="nil"/>
              <w:bottom w:val="double" w:sz="6" w:space="0" w:color="auto"/>
              <w:right w:val="nil"/>
            </w:tcBorders>
            <w:shd w:val="clear" w:color="000000" w:fill="FFFFFF"/>
            <w:noWrap/>
            <w:vAlign w:val="bottom"/>
            <w:hideMark/>
          </w:tcPr>
          <w:p w14:paraId="3917C125" w14:textId="77777777" w:rsidR="00A109C3" w:rsidRPr="00A109C3" w:rsidRDefault="00A109C3" w:rsidP="00A109C3">
            <w:pPr>
              <w:jc w:val="center"/>
              <w:rPr>
                <w:rFonts w:ascii="Calibri" w:hAnsi="Calibri" w:cs="Calibri"/>
                <w:color w:val="000000"/>
                <w:sz w:val="20"/>
                <w:szCs w:val="20"/>
                <w:lang w:val="en-GB" w:eastAsia="en-GB"/>
              </w:rPr>
            </w:pPr>
            <w:r w:rsidRPr="00A109C3">
              <w:rPr>
                <w:rFonts w:ascii="Calibri" w:hAnsi="Calibri" w:cs="Calibri"/>
                <w:color w:val="000000"/>
                <w:sz w:val="20"/>
                <w:szCs w:val="20"/>
                <w:lang w:val="en-GB" w:eastAsia="en-GB"/>
              </w:rPr>
              <w:t> </w:t>
            </w:r>
          </w:p>
        </w:tc>
      </w:tr>
    </w:tbl>
    <w:p w14:paraId="04FC8E76" w14:textId="77777777" w:rsidR="00F46A54" w:rsidRPr="0050008F" w:rsidRDefault="003D44CE" w:rsidP="00F46A54">
      <w:pPr>
        <w:keepNext/>
        <w:rPr>
          <w:rFonts w:ascii="Palatino Linotype" w:hAnsi="Palatino Linotype" w:cstheme="minorHAnsi"/>
          <w:sz w:val="18"/>
          <w:szCs w:val="18"/>
        </w:rPr>
      </w:pPr>
      <w:r w:rsidRPr="0050008F">
        <w:rPr>
          <w:rFonts w:ascii="Palatino Linotype" w:hAnsi="Palatino Linotype" w:cstheme="minorHAnsi"/>
          <w:sz w:val="18"/>
          <w:szCs w:val="18"/>
        </w:rPr>
        <w:t>Ka</w:t>
      </w:r>
      <w:r w:rsidR="00062A8A">
        <w:rPr>
          <w:rFonts w:ascii="Palatino Linotype" w:hAnsi="Palatino Linotype" w:cstheme="minorHAnsi"/>
          <w:sz w:val="18"/>
          <w:szCs w:val="18"/>
        </w:rPr>
        <w:t>ynak: TÜİK, Betam</w:t>
      </w:r>
    </w:p>
    <w:p w14:paraId="67F1EC21" w14:textId="77777777" w:rsidR="006C3EE6" w:rsidRPr="0050008F"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146E4AE8" w:rsidR="006C3EE6" w:rsidRPr="0050008F"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r w:rsidRPr="00270A75">
        <w:rPr>
          <w:rFonts w:ascii="Palatino Linotype" w:hAnsi="Palatino Linotype" w:cstheme="minorHAnsi"/>
          <w:b/>
          <w:sz w:val="22"/>
          <w:szCs w:val="22"/>
        </w:rPr>
        <w:t>Yatırımlar</w:t>
      </w:r>
      <w:r w:rsidR="00D44562">
        <w:rPr>
          <w:rFonts w:ascii="Palatino Linotype" w:hAnsi="Palatino Linotype" w:cstheme="minorHAnsi"/>
          <w:b/>
          <w:sz w:val="22"/>
          <w:szCs w:val="22"/>
        </w:rPr>
        <w:t xml:space="preserve"> düşmeye devam </w:t>
      </w:r>
      <w:r w:rsidRPr="00270A75">
        <w:rPr>
          <w:rFonts w:ascii="Palatino Linotype" w:hAnsi="Palatino Linotype" w:cstheme="minorHAnsi"/>
          <w:b/>
          <w:sz w:val="22"/>
          <w:szCs w:val="22"/>
        </w:rPr>
        <w:t>ediyor</w:t>
      </w:r>
    </w:p>
    <w:p w14:paraId="61FC15CA" w14:textId="4AFF774C" w:rsidR="00D45167" w:rsidRPr="00062A8A" w:rsidRDefault="00480684" w:rsidP="00480684">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Yıllık bazda 2018</w:t>
      </w:r>
      <w:r w:rsidR="0032176F">
        <w:rPr>
          <w:rFonts w:ascii="Palatino Linotype" w:hAnsi="Palatino Linotype" w:cstheme="minorHAnsi"/>
          <w:sz w:val="22"/>
          <w:szCs w:val="22"/>
        </w:rPr>
        <w:t xml:space="preserve"> yılı</w:t>
      </w:r>
      <w:r>
        <w:rPr>
          <w:rFonts w:ascii="Palatino Linotype" w:hAnsi="Palatino Linotype" w:cstheme="minorHAnsi"/>
          <w:sz w:val="22"/>
          <w:szCs w:val="22"/>
        </w:rPr>
        <w:t xml:space="preserve"> üçüncü çeyrekten beri devam eden büyümeye olan negatif katkı 2019 birinci çeyrekte de devam etmektedir. 2018 yılı dördüncü çeyrekte yüzde 12,9 puan azalan yatırımlar 2019 yılı birinci çeyrekte</w:t>
      </w:r>
      <w:r w:rsidR="00302EDD">
        <w:rPr>
          <w:rFonts w:ascii="Palatino Linotype" w:hAnsi="Palatino Linotype" w:cstheme="minorHAnsi"/>
          <w:sz w:val="22"/>
          <w:szCs w:val="22"/>
        </w:rPr>
        <w:t xml:space="preserve"> ise yüzde </w:t>
      </w:r>
      <w:r>
        <w:rPr>
          <w:rFonts w:ascii="Palatino Linotype" w:hAnsi="Palatino Linotype" w:cstheme="minorHAnsi"/>
          <w:sz w:val="22"/>
          <w:szCs w:val="22"/>
        </w:rPr>
        <w:t>1</w:t>
      </w:r>
      <w:r w:rsidR="00302EDD">
        <w:rPr>
          <w:rFonts w:ascii="Palatino Linotype" w:hAnsi="Palatino Linotype" w:cstheme="minorHAnsi"/>
          <w:sz w:val="22"/>
          <w:szCs w:val="22"/>
        </w:rPr>
        <w:t>3 küçülmüştür</w:t>
      </w:r>
      <w:r>
        <w:rPr>
          <w:rFonts w:ascii="Palatino Linotype" w:hAnsi="Palatino Linotype" w:cstheme="minorHAnsi"/>
          <w:sz w:val="22"/>
          <w:szCs w:val="22"/>
        </w:rPr>
        <w:t>.</w:t>
      </w:r>
      <w:r w:rsidR="00302EDD">
        <w:rPr>
          <w:rFonts w:ascii="Palatino Linotype" w:hAnsi="Palatino Linotype" w:cstheme="minorHAnsi"/>
          <w:sz w:val="22"/>
          <w:szCs w:val="22"/>
        </w:rPr>
        <w:t xml:space="preserve"> </w:t>
      </w:r>
      <w:r>
        <w:rPr>
          <w:rFonts w:ascii="Palatino Linotype" w:hAnsi="Palatino Linotype" w:cstheme="minorHAnsi"/>
          <w:sz w:val="22"/>
          <w:szCs w:val="22"/>
        </w:rPr>
        <w:t xml:space="preserve">Yıllık bazda yatırımların büyümeye olan negatif katkısı devam etmekle beraber değişmeyerek eksi 3.9 </w:t>
      </w:r>
      <w:r w:rsidR="006C122C">
        <w:rPr>
          <w:rFonts w:ascii="Palatino Linotype" w:hAnsi="Palatino Linotype" w:cstheme="minorHAnsi"/>
          <w:sz w:val="22"/>
          <w:szCs w:val="22"/>
        </w:rPr>
        <w:t xml:space="preserve">yüzde </w:t>
      </w:r>
      <w:r>
        <w:rPr>
          <w:rFonts w:ascii="Palatino Linotype" w:hAnsi="Palatino Linotype" w:cstheme="minorHAnsi"/>
          <w:sz w:val="22"/>
          <w:szCs w:val="22"/>
        </w:rPr>
        <w:t xml:space="preserve">puanda kalmıştır. </w:t>
      </w:r>
      <w:r w:rsidR="00F30329" w:rsidRPr="00FD7B4A">
        <w:rPr>
          <w:rFonts w:ascii="Palatino Linotype" w:hAnsi="Palatino Linotype" w:cstheme="minorHAnsi"/>
          <w:sz w:val="22"/>
          <w:szCs w:val="22"/>
        </w:rPr>
        <w:t>Mevsim ve takvim etkilerinden arındırılmış rakamlara baktığımızda ise</w:t>
      </w:r>
      <w:r w:rsidR="00F30329">
        <w:rPr>
          <w:rFonts w:ascii="Palatino Linotype" w:hAnsi="Palatino Linotype" w:cstheme="minorHAnsi"/>
          <w:sz w:val="22"/>
          <w:szCs w:val="22"/>
        </w:rPr>
        <w:t xml:space="preserve"> </w:t>
      </w:r>
      <w:r w:rsidR="0061410A" w:rsidRPr="0061410A">
        <w:rPr>
          <w:rFonts w:ascii="Palatino Linotype" w:hAnsi="Palatino Linotype" w:cstheme="minorHAnsi"/>
          <w:sz w:val="22"/>
          <w:szCs w:val="22"/>
        </w:rPr>
        <w:t xml:space="preserve">yatırımların </w:t>
      </w:r>
      <w:r w:rsidR="00F30329">
        <w:rPr>
          <w:rFonts w:ascii="Palatino Linotype" w:hAnsi="Palatino Linotype" w:cstheme="minorHAnsi"/>
          <w:sz w:val="22"/>
          <w:szCs w:val="22"/>
        </w:rPr>
        <w:t>2018 yılı dördüncü çeyreğe kıyasla yüzde 0,7</w:t>
      </w:r>
      <w:r w:rsidR="000F0B6B" w:rsidRPr="0061410A">
        <w:rPr>
          <w:rFonts w:ascii="Palatino Linotype" w:hAnsi="Palatino Linotype" w:cstheme="minorHAnsi"/>
          <w:sz w:val="22"/>
          <w:szCs w:val="22"/>
        </w:rPr>
        <w:t xml:space="preserve"> azaldığını</w:t>
      </w:r>
      <w:r w:rsidR="0061410A" w:rsidRPr="0061410A">
        <w:rPr>
          <w:rFonts w:ascii="Palatino Linotype" w:hAnsi="Palatino Linotype" w:cstheme="minorHAnsi"/>
          <w:sz w:val="22"/>
          <w:szCs w:val="22"/>
        </w:rPr>
        <w:t xml:space="preserve"> ve</w:t>
      </w:r>
      <w:r w:rsidR="0061410A">
        <w:rPr>
          <w:rFonts w:ascii="Palatino Linotype" w:hAnsi="Palatino Linotype" w:cstheme="minorHAnsi"/>
          <w:sz w:val="22"/>
          <w:szCs w:val="22"/>
        </w:rPr>
        <w:t xml:space="preserve"> </w:t>
      </w:r>
      <w:r w:rsidR="00F30329">
        <w:rPr>
          <w:rFonts w:ascii="Palatino Linotype" w:hAnsi="Palatino Linotype" w:cstheme="minorHAnsi"/>
          <w:sz w:val="22"/>
          <w:szCs w:val="22"/>
        </w:rPr>
        <w:t xml:space="preserve">büyümeye katkısının </w:t>
      </w:r>
      <w:r w:rsidR="007F3B7C">
        <w:rPr>
          <w:rFonts w:ascii="Palatino Linotype" w:hAnsi="Palatino Linotype" w:cstheme="minorHAnsi"/>
          <w:sz w:val="22"/>
          <w:szCs w:val="22"/>
        </w:rPr>
        <w:t xml:space="preserve">yüzde </w:t>
      </w:r>
      <w:r w:rsidR="00F30329">
        <w:rPr>
          <w:rFonts w:ascii="Palatino Linotype" w:hAnsi="Palatino Linotype" w:cstheme="minorHAnsi"/>
          <w:sz w:val="22"/>
          <w:szCs w:val="22"/>
        </w:rPr>
        <w:t xml:space="preserve">eksi 0,2 </w:t>
      </w:r>
      <w:r w:rsidR="000F0B6B" w:rsidRPr="0050008F">
        <w:rPr>
          <w:rFonts w:ascii="Palatino Linotype" w:hAnsi="Palatino Linotype" w:cstheme="minorHAnsi"/>
          <w:sz w:val="22"/>
          <w:szCs w:val="22"/>
        </w:rPr>
        <w:t xml:space="preserve">puan olduğunu görüyoruz </w:t>
      </w:r>
      <w:r>
        <w:rPr>
          <w:rFonts w:ascii="Palatino Linotype" w:hAnsi="Palatino Linotype" w:cstheme="minorHAnsi"/>
          <w:sz w:val="22"/>
          <w:szCs w:val="22"/>
        </w:rPr>
        <w:t xml:space="preserve">(Tablo 2). </w:t>
      </w:r>
      <w:r w:rsidR="0088270D" w:rsidRPr="0050008F">
        <w:rPr>
          <w:rFonts w:ascii="Palatino Linotype" w:hAnsi="Palatino Linotype" w:cstheme="minorHAnsi"/>
          <w:sz w:val="22"/>
          <w:szCs w:val="22"/>
        </w:rPr>
        <w:t xml:space="preserve">Tüketim ve yatırım verileri beraber değerlendirildiğinde, </w:t>
      </w:r>
      <w:r w:rsidR="00521326">
        <w:rPr>
          <w:rFonts w:ascii="Palatino Linotype" w:hAnsi="Palatino Linotype" w:cstheme="minorHAnsi"/>
          <w:sz w:val="22"/>
          <w:szCs w:val="22"/>
        </w:rPr>
        <w:t xml:space="preserve">yıllık bazda 2018 yılı dördüncü çeyrekte ciddi ölçüde daralan </w:t>
      </w:r>
      <w:r w:rsidR="0088270D" w:rsidRPr="0050008F">
        <w:rPr>
          <w:rFonts w:ascii="Palatino Linotype" w:hAnsi="Palatino Linotype" w:cstheme="minorHAnsi"/>
          <w:sz w:val="22"/>
          <w:szCs w:val="22"/>
        </w:rPr>
        <w:t xml:space="preserve">iç talebin </w:t>
      </w:r>
      <w:r w:rsidR="00521326">
        <w:rPr>
          <w:rFonts w:ascii="Palatino Linotype" w:hAnsi="Palatino Linotype" w:cstheme="minorHAnsi"/>
          <w:sz w:val="22"/>
          <w:szCs w:val="22"/>
        </w:rPr>
        <w:t xml:space="preserve">2019 yılı birinci çeyrekte canlanmaya başladığını </w:t>
      </w:r>
      <w:r w:rsidR="00F30329">
        <w:rPr>
          <w:rFonts w:ascii="Palatino Linotype" w:hAnsi="Palatino Linotype" w:cstheme="minorHAnsi"/>
          <w:sz w:val="22"/>
          <w:szCs w:val="22"/>
        </w:rPr>
        <w:t>görmekteyiz</w:t>
      </w:r>
      <w:r w:rsidR="0088270D" w:rsidRPr="00F87405">
        <w:rPr>
          <w:rFonts w:ascii="Palatino Linotype" w:hAnsi="Palatino Linotype" w:cstheme="minorHAnsi"/>
          <w:sz w:val="22"/>
          <w:szCs w:val="22"/>
        </w:rPr>
        <w:t>.</w:t>
      </w:r>
      <w:r w:rsidR="001A5699">
        <w:rPr>
          <w:rFonts w:ascii="Palatino Linotype" w:hAnsi="Palatino Linotype" w:cstheme="minorHAnsi"/>
          <w:sz w:val="22"/>
          <w:szCs w:val="22"/>
        </w:rPr>
        <w:t xml:space="preserve"> </w:t>
      </w:r>
    </w:p>
    <w:p w14:paraId="1EDCC445" w14:textId="77777777" w:rsidR="00062A8A" w:rsidRDefault="00062A8A" w:rsidP="00681022">
      <w:pPr>
        <w:pStyle w:val="NormalWeb"/>
        <w:spacing w:before="0" w:beforeAutospacing="0" w:after="0" w:afterAutospacing="0" w:line="360" w:lineRule="auto"/>
        <w:ind w:right="77"/>
        <w:rPr>
          <w:rFonts w:ascii="Palatino Linotype" w:hAnsi="Palatino Linotype" w:cstheme="minorHAnsi"/>
          <w:b/>
          <w:sz w:val="22"/>
          <w:szCs w:val="22"/>
        </w:rPr>
      </w:pPr>
    </w:p>
    <w:p w14:paraId="16625566" w14:textId="3FB3CD78" w:rsidR="00681AD9" w:rsidRPr="00FD7B4A"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FD7B4A">
        <w:rPr>
          <w:rFonts w:ascii="Palatino Linotype" w:hAnsi="Palatino Linotype" w:cstheme="minorHAnsi"/>
          <w:b/>
          <w:sz w:val="22"/>
          <w:szCs w:val="22"/>
        </w:rPr>
        <w:t>Stok</w:t>
      </w:r>
      <w:r w:rsidR="00D1282D">
        <w:rPr>
          <w:rFonts w:ascii="Palatino Linotype" w:hAnsi="Palatino Linotype" w:cstheme="minorHAnsi"/>
          <w:b/>
          <w:sz w:val="22"/>
          <w:szCs w:val="22"/>
        </w:rPr>
        <w:t>lar</w:t>
      </w:r>
      <w:r w:rsidR="00D44562">
        <w:rPr>
          <w:rFonts w:ascii="Palatino Linotype" w:hAnsi="Palatino Linotype" w:cstheme="minorHAnsi"/>
          <w:b/>
          <w:sz w:val="22"/>
          <w:szCs w:val="22"/>
        </w:rPr>
        <w:t xml:space="preserve"> eriyor</w:t>
      </w:r>
      <w:r w:rsidR="00494926" w:rsidRPr="00FD7B4A">
        <w:rPr>
          <w:rStyle w:val="FootnoteReference"/>
          <w:rFonts w:ascii="Palatino Linotype" w:hAnsi="Palatino Linotype" w:cstheme="minorHAnsi"/>
          <w:b/>
          <w:sz w:val="22"/>
          <w:szCs w:val="22"/>
        </w:rPr>
        <w:footnoteReference w:id="3"/>
      </w:r>
    </w:p>
    <w:p w14:paraId="5572E4B9" w14:textId="663C6CDD" w:rsidR="00777AEF" w:rsidRDefault="003D4202" w:rsidP="00F30329">
      <w:pPr>
        <w:pStyle w:val="NormalWeb"/>
        <w:spacing w:before="0" w:beforeAutospacing="0" w:after="120" w:afterAutospacing="0" w:line="360" w:lineRule="auto"/>
        <w:ind w:right="79"/>
        <w:jc w:val="both"/>
        <w:rPr>
          <w:rFonts w:ascii="Palatino Linotype" w:hAnsi="Palatino Linotype" w:cstheme="minorHAnsi"/>
          <w:sz w:val="22"/>
          <w:szCs w:val="22"/>
        </w:rPr>
      </w:pPr>
      <w:bookmarkStart w:id="4" w:name="OLE_LINK7"/>
      <w:bookmarkStart w:id="5" w:name="OLE_LINK8"/>
      <w:r>
        <w:rPr>
          <w:rFonts w:ascii="Palatino Linotype" w:hAnsi="Palatino Linotype" w:cstheme="minorHAnsi"/>
          <w:sz w:val="22"/>
          <w:szCs w:val="22"/>
        </w:rPr>
        <w:t xml:space="preserve">Yıllık bazda </w:t>
      </w:r>
      <w:r w:rsidR="006F2CD8" w:rsidRPr="00FD7B4A">
        <w:rPr>
          <w:rFonts w:ascii="Palatino Linotype" w:hAnsi="Palatino Linotype" w:cstheme="minorHAnsi"/>
          <w:sz w:val="22"/>
          <w:szCs w:val="22"/>
        </w:rPr>
        <w:t xml:space="preserve">2018 yılının </w:t>
      </w:r>
      <w:r w:rsidR="00F80F23">
        <w:rPr>
          <w:rFonts w:ascii="Palatino Linotype" w:hAnsi="Palatino Linotype" w:cstheme="minorHAnsi"/>
          <w:sz w:val="22"/>
          <w:szCs w:val="22"/>
        </w:rPr>
        <w:t>dördüncü</w:t>
      </w:r>
      <w:r w:rsidR="006F2CD8" w:rsidRPr="00FD7B4A">
        <w:rPr>
          <w:rFonts w:ascii="Palatino Linotype" w:hAnsi="Palatino Linotype" w:cstheme="minorHAnsi"/>
          <w:sz w:val="22"/>
          <w:szCs w:val="22"/>
        </w:rPr>
        <w:t xml:space="preserve"> çeyreğ</w:t>
      </w:r>
      <w:r w:rsidR="00F80F23">
        <w:rPr>
          <w:rFonts w:ascii="Palatino Linotype" w:hAnsi="Palatino Linotype" w:cstheme="minorHAnsi"/>
          <w:sz w:val="22"/>
          <w:szCs w:val="22"/>
        </w:rPr>
        <w:t>inde eksi 3,6</w:t>
      </w:r>
      <w:r w:rsidR="00F67B66" w:rsidRPr="00FD7B4A">
        <w:rPr>
          <w:rFonts w:ascii="Palatino Linotype" w:hAnsi="Palatino Linotype" w:cstheme="minorHAnsi"/>
          <w:sz w:val="22"/>
          <w:szCs w:val="22"/>
        </w:rPr>
        <w:t xml:space="preserve"> yüzde puan olan </w:t>
      </w:r>
      <w:r w:rsidR="006F2CD8" w:rsidRPr="00FD7B4A">
        <w:rPr>
          <w:rFonts w:ascii="Palatino Linotype" w:hAnsi="Palatino Linotype" w:cstheme="minorHAnsi"/>
          <w:sz w:val="22"/>
          <w:szCs w:val="22"/>
        </w:rPr>
        <w:t xml:space="preserve">stok değişimlerinin büyümeye katkısı, </w:t>
      </w:r>
      <w:r w:rsidR="00F80F23">
        <w:rPr>
          <w:rFonts w:ascii="Palatino Linotype" w:hAnsi="Palatino Linotype" w:cstheme="minorHAnsi"/>
          <w:sz w:val="22"/>
          <w:szCs w:val="22"/>
        </w:rPr>
        <w:t>2019 yılı birinci çeyrekte</w:t>
      </w:r>
      <w:r w:rsidR="006F2CD8" w:rsidRPr="00FD7B4A">
        <w:rPr>
          <w:rFonts w:ascii="Palatino Linotype" w:hAnsi="Palatino Linotype" w:cstheme="minorHAnsi"/>
          <w:sz w:val="22"/>
          <w:szCs w:val="22"/>
        </w:rPr>
        <w:t xml:space="preserve"> eksi</w:t>
      </w:r>
      <w:r w:rsidR="00ED5E21">
        <w:rPr>
          <w:rFonts w:ascii="Palatino Linotype" w:hAnsi="Palatino Linotype" w:cstheme="minorHAnsi"/>
          <w:sz w:val="22"/>
          <w:szCs w:val="22"/>
        </w:rPr>
        <w:t xml:space="preserve"> </w:t>
      </w:r>
      <w:r w:rsidR="00F80F23">
        <w:rPr>
          <w:rFonts w:ascii="Palatino Linotype" w:hAnsi="Palatino Linotype" w:cstheme="minorHAnsi"/>
          <w:sz w:val="22"/>
          <w:szCs w:val="22"/>
        </w:rPr>
        <w:t>9</w:t>
      </w:r>
      <w:r w:rsidR="006F2CD8" w:rsidRPr="00FD7B4A">
        <w:rPr>
          <w:rFonts w:ascii="Palatino Linotype" w:hAnsi="Palatino Linotype" w:cstheme="minorHAnsi"/>
          <w:sz w:val="22"/>
          <w:szCs w:val="22"/>
        </w:rPr>
        <w:t xml:space="preserve"> yüzde puan olarak gerçekleşti</w:t>
      </w:r>
      <w:r w:rsidR="00492020" w:rsidRPr="00FD7B4A">
        <w:rPr>
          <w:rFonts w:ascii="Palatino Linotype" w:hAnsi="Palatino Linotype" w:cstheme="minorHAnsi"/>
          <w:sz w:val="22"/>
          <w:szCs w:val="22"/>
        </w:rPr>
        <w:t xml:space="preserve"> </w:t>
      </w:r>
      <w:bookmarkEnd w:id="4"/>
      <w:bookmarkEnd w:id="5"/>
      <w:r w:rsidR="00681022" w:rsidRPr="00FD7B4A">
        <w:rPr>
          <w:rFonts w:ascii="Palatino Linotype" w:hAnsi="Palatino Linotype" w:cstheme="minorHAnsi"/>
          <w:sz w:val="22"/>
          <w:szCs w:val="22"/>
        </w:rPr>
        <w:t xml:space="preserve">(Tablo 1). </w:t>
      </w:r>
      <w:r w:rsidR="006D02FD" w:rsidRPr="00FD7B4A">
        <w:rPr>
          <w:rFonts w:ascii="Palatino Linotype" w:hAnsi="Palatino Linotype" w:cstheme="minorHAnsi"/>
          <w:sz w:val="22"/>
          <w:szCs w:val="22"/>
        </w:rPr>
        <w:t xml:space="preserve">Çeyreklik büyümeye bakıldığında </w:t>
      </w:r>
      <w:r w:rsidR="00B95E66" w:rsidRPr="00FD7B4A">
        <w:rPr>
          <w:rFonts w:ascii="Palatino Linotype" w:hAnsi="Palatino Linotype" w:cstheme="minorHAnsi"/>
          <w:sz w:val="22"/>
          <w:szCs w:val="22"/>
        </w:rPr>
        <w:t>da</w:t>
      </w:r>
      <w:r w:rsidR="006D02FD" w:rsidRPr="00FD7B4A">
        <w:rPr>
          <w:rFonts w:ascii="Palatino Linotype" w:hAnsi="Palatino Linotype" w:cstheme="minorHAnsi"/>
          <w:sz w:val="22"/>
          <w:szCs w:val="22"/>
        </w:rPr>
        <w:t xml:space="preserve"> m</w:t>
      </w:r>
      <w:r w:rsidR="00681022" w:rsidRPr="00FD7B4A">
        <w:rPr>
          <w:rFonts w:ascii="Palatino Linotype" w:hAnsi="Palatino Linotype" w:cstheme="minorHAnsi"/>
          <w:sz w:val="22"/>
          <w:szCs w:val="22"/>
        </w:rPr>
        <w:t xml:space="preserve">evsim ve takvim etkilerinden arındırılmış stok değişiminin </w:t>
      </w:r>
      <w:r w:rsidR="00ED5E21">
        <w:rPr>
          <w:rFonts w:ascii="Palatino Linotype" w:hAnsi="Palatino Linotype" w:cstheme="minorHAnsi"/>
          <w:sz w:val="22"/>
          <w:szCs w:val="22"/>
        </w:rPr>
        <w:t>büyümeye eksi 0,</w:t>
      </w:r>
      <w:r w:rsidR="00F80F23">
        <w:rPr>
          <w:rFonts w:ascii="Palatino Linotype" w:hAnsi="Palatino Linotype" w:cstheme="minorHAnsi"/>
          <w:sz w:val="22"/>
          <w:szCs w:val="22"/>
        </w:rPr>
        <w:t>3</w:t>
      </w:r>
      <w:r w:rsidR="00D1282D">
        <w:rPr>
          <w:rFonts w:ascii="Palatino Linotype" w:hAnsi="Palatino Linotype" w:cstheme="minorHAnsi"/>
          <w:sz w:val="22"/>
          <w:szCs w:val="22"/>
        </w:rPr>
        <w:t xml:space="preserve"> yüzde puanla negatif yönde katkıda bulunduğu</w:t>
      </w:r>
      <w:r w:rsidR="00ED5E21">
        <w:rPr>
          <w:rFonts w:ascii="Palatino Linotype" w:hAnsi="Palatino Linotype" w:cstheme="minorHAnsi"/>
          <w:sz w:val="22"/>
          <w:szCs w:val="22"/>
        </w:rPr>
        <w:t xml:space="preserve"> görülmektedir</w:t>
      </w:r>
      <w:r w:rsidR="00242C10">
        <w:rPr>
          <w:rFonts w:ascii="Palatino Linotype" w:hAnsi="Palatino Linotype" w:cstheme="minorHAnsi"/>
          <w:sz w:val="22"/>
          <w:szCs w:val="22"/>
        </w:rPr>
        <w:t xml:space="preserve"> (Tablo </w:t>
      </w:r>
      <w:r w:rsidR="00681022" w:rsidRPr="00FD7B4A">
        <w:rPr>
          <w:rFonts w:ascii="Palatino Linotype" w:hAnsi="Palatino Linotype" w:cstheme="minorHAnsi"/>
          <w:sz w:val="22"/>
          <w:szCs w:val="22"/>
        </w:rPr>
        <w:t>2).</w:t>
      </w:r>
    </w:p>
    <w:p w14:paraId="33BD6FAA" w14:textId="77777777" w:rsidR="009204AA" w:rsidRDefault="009204AA" w:rsidP="00F30329">
      <w:pPr>
        <w:pStyle w:val="NormalWeb"/>
        <w:spacing w:before="0" w:beforeAutospacing="0" w:after="120" w:afterAutospacing="0" w:line="360" w:lineRule="auto"/>
        <w:ind w:right="79"/>
        <w:jc w:val="both"/>
        <w:rPr>
          <w:rFonts w:ascii="Palatino Linotype" w:hAnsi="Palatino Linotype" w:cstheme="minorHAnsi"/>
          <w:sz w:val="22"/>
          <w:szCs w:val="22"/>
        </w:rPr>
      </w:pPr>
    </w:p>
    <w:p w14:paraId="05719A2A" w14:textId="77777777" w:rsidR="009204AA" w:rsidRDefault="009204AA" w:rsidP="00F30329">
      <w:pPr>
        <w:pStyle w:val="NormalWeb"/>
        <w:spacing w:before="0" w:beforeAutospacing="0" w:after="120" w:afterAutospacing="0" w:line="360" w:lineRule="auto"/>
        <w:ind w:right="79"/>
        <w:jc w:val="both"/>
        <w:rPr>
          <w:rFonts w:ascii="Palatino Linotype" w:hAnsi="Palatino Linotype" w:cstheme="minorHAnsi"/>
          <w:sz w:val="22"/>
          <w:szCs w:val="22"/>
        </w:rPr>
      </w:pPr>
    </w:p>
    <w:p w14:paraId="7233E2B8" w14:textId="77777777" w:rsidR="00F46A54" w:rsidRDefault="003061DC" w:rsidP="00F30329">
      <w:pPr>
        <w:pStyle w:val="NormalWeb"/>
        <w:spacing w:before="0" w:beforeAutospacing="0" w:after="120" w:afterAutospacing="0" w:line="360" w:lineRule="auto"/>
        <w:ind w:right="79"/>
        <w:rPr>
          <w:rFonts w:ascii="Palatino Linotype" w:hAnsi="Palatino Linotype" w:cstheme="minorHAnsi"/>
          <w:b/>
          <w:sz w:val="22"/>
          <w:szCs w:val="22"/>
        </w:rPr>
      </w:pPr>
      <w:r w:rsidRPr="0050008F">
        <w:rPr>
          <w:rFonts w:ascii="Palatino Linotype" w:hAnsi="Palatino Linotype" w:cstheme="minorHAnsi"/>
          <w:b/>
          <w:sz w:val="22"/>
          <w:szCs w:val="22"/>
        </w:rPr>
        <w:t xml:space="preserve">Net dış ticaretin </w:t>
      </w:r>
      <w:r w:rsidR="00B76782" w:rsidRPr="0050008F">
        <w:rPr>
          <w:rFonts w:ascii="Palatino Linotype" w:hAnsi="Palatino Linotype" w:cstheme="minorHAnsi"/>
          <w:b/>
          <w:sz w:val="22"/>
          <w:szCs w:val="22"/>
        </w:rPr>
        <w:t>pozitif</w:t>
      </w:r>
      <w:r w:rsidR="00B76782">
        <w:rPr>
          <w:rFonts w:ascii="Palatino Linotype" w:hAnsi="Palatino Linotype" w:cstheme="minorHAnsi"/>
          <w:b/>
          <w:sz w:val="22"/>
          <w:szCs w:val="22"/>
        </w:rPr>
        <w:t xml:space="preserve"> </w:t>
      </w:r>
      <w:r w:rsidR="00F67B66">
        <w:rPr>
          <w:rFonts w:ascii="Palatino Linotype" w:hAnsi="Palatino Linotype" w:cstheme="minorHAnsi"/>
          <w:b/>
          <w:sz w:val="22"/>
          <w:szCs w:val="22"/>
        </w:rPr>
        <w:t xml:space="preserve">katkısı </w:t>
      </w:r>
      <w:r w:rsidR="00D1282D">
        <w:rPr>
          <w:rFonts w:ascii="Palatino Linotype" w:hAnsi="Palatino Linotype" w:cstheme="minorHAnsi"/>
          <w:b/>
          <w:sz w:val="22"/>
          <w:szCs w:val="22"/>
        </w:rPr>
        <w:t>ivme kaybediyor</w:t>
      </w:r>
    </w:p>
    <w:p w14:paraId="4B8DA627" w14:textId="7642634B" w:rsidR="00091F3E" w:rsidRPr="00062A8A" w:rsidRDefault="00A34DB9" w:rsidP="00062A8A">
      <w:pPr>
        <w:pStyle w:val="NormalWeb"/>
        <w:spacing w:before="0" w:beforeAutospacing="0" w:after="0" w:afterAutospacing="0" w:line="360" w:lineRule="auto"/>
        <w:ind w:right="77"/>
        <w:jc w:val="both"/>
        <w:rPr>
          <w:rFonts w:ascii="Palatino Linotype" w:hAnsi="Palatino Linotype" w:cstheme="minorHAnsi"/>
          <w:sz w:val="22"/>
          <w:szCs w:val="22"/>
        </w:rPr>
      </w:pPr>
      <w:r w:rsidRPr="0050008F">
        <w:rPr>
          <w:rFonts w:ascii="Palatino Linotype" w:hAnsi="Palatino Linotype" w:cstheme="minorHAnsi"/>
          <w:sz w:val="22"/>
          <w:szCs w:val="22"/>
        </w:rPr>
        <w:t xml:space="preserve">2018 yılının </w:t>
      </w:r>
      <w:r w:rsidR="00F80F23">
        <w:rPr>
          <w:rFonts w:ascii="Palatino Linotype" w:hAnsi="Palatino Linotype" w:cstheme="minorHAnsi"/>
          <w:sz w:val="22"/>
          <w:szCs w:val="22"/>
        </w:rPr>
        <w:t>dördüncü</w:t>
      </w:r>
      <w:r w:rsidRPr="0050008F">
        <w:rPr>
          <w:rFonts w:ascii="Palatino Linotype" w:hAnsi="Palatino Linotype" w:cstheme="minorHAnsi"/>
          <w:sz w:val="22"/>
          <w:szCs w:val="22"/>
        </w:rPr>
        <w:t xml:space="preserve"> çeyreğinde </w:t>
      </w:r>
      <w:r w:rsidR="006813D8">
        <w:rPr>
          <w:rFonts w:ascii="Palatino Linotype" w:hAnsi="Palatino Linotype" w:cstheme="minorHAnsi"/>
          <w:sz w:val="22"/>
          <w:szCs w:val="22"/>
        </w:rPr>
        <w:t>yıllık</w:t>
      </w:r>
      <w:r w:rsidR="00097794">
        <w:rPr>
          <w:rFonts w:ascii="Palatino Linotype" w:hAnsi="Palatino Linotype" w:cstheme="minorHAnsi"/>
          <w:sz w:val="22"/>
          <w:szCs w:val="22"/>
        </w:rPr>
        <w:t xml:space="preserve"> bazda</w:t>
      </w:r>
      <w:r w:rsidR="006813D8">
        <w:rPr>
          <w:rFonts w:ascii="Palatino Linotype" w:hAnsi="Palatino Linotype" w:cstheme="minorHAnsi"/>
          <w:sz w:val="22"/>
          <w:szCs w:val="22"/>
        </w:rPr>
        <w:t xml:space="preserve"> </w:t>
      </w:r>
      <w:r w:rsidRPr="0050008F">
        <w:rPr>
          <w:rFonts w:ascii="Palatino Linotype" w:hAnsi="Palatino Linotype" w:cstheme="minorHAnsi"/>
          <w:sz w:val="22"/>
          <w:szCs w:val="22"/>
        </w:rPr>
        <w:t>ihracat</w:t>
      </w:r>
      <w:r w:rsidR="00990E34">
        <w:rPr>
          <w:rFonts w:ascii="Palatino Linotype" w:hAnsi="Palatino Linotype" w:cstheme="minorHAnsi"/>
          <w:sz w:val="22"/>
          <w:szCs w:val="22"/>
        </w:rPr>
        <w:t>taki artışın</w:t>
      </w:r>
      <w:r w:rsidRPr="0050008F">
        <w:rPr>
          <w:rFonts w:ascii="Palatino Linotype" w:hAnsi="Palatino Linotype" w:cstheme="minorHAnsi"/>
          <w:sz w:val="22"/>
          <w:szCs w:val="22"/>
        </w:rPr>
        <w:t xml:space="preserve"> yüzde </w:t>
      </w:r>
      <w:r w:rsidR="00F80F23">
        <w:rPr>
          <w:rFonts w:ascii="Palatino Linotype" w:hAnsi="Palatino Linotype" w:cstheme="minorHAnsi"/>
          <w:sz w:val="22"/>
          <w:szCs w:val="22"/>
        </w:rPr>
        <w:t>10</w:t>
      </w:r>
      <w:r w:rsidR="00F9530C">
        <w:rPr>
          <w:rFonts w:ascii="Palatino Linotype" w:hAnsi="Palatino Linotype" w:cstheme="minorHAnsi"/>
          <w:sz w:val="22"/>
          <w:szCs w:val="22"/>
        </w:rPr>
        <w:t>,6</w:t>
      </w:r>
      <w:r w:rsidR="005033DB">
        <w:rPr>
          <w:rFonts w:ascii="Palatino Linotype" w:hAnsi="Palatino Linotype" w:cstheme="minorHAnsi"/>
          <w:sz w:val="22"/>
          <w:szCs w:val="22"/>
        </w:rPr>
        <w:t xml:space="preserve"> puan</w:t>
      </w:r>
      <w:r w:rsidR="00F9530C">
        <w:rPr>
          <w:rFonts w:ascii="Palatino Linotype" w:hAnsi="Palatino Linotype" w:cstheme="minorHAnsi"/>
          <w:sz w:val="22"/>
          <w:szCs w:val="22"/>
        </w:rPr>
        <w:t>, ithalat</w:t>
      </w:r>
      <w:r w:rsidR="005033DB">
        <w:rPr>
          <w:rFonts w:ascii="Palatino Linotype" w:hAnsi="Palatino Linotype" w:cstheme="minorHAnsi"/>
          <w:sz w:val="22"/>
          <w:szCs w:val="22"/>
        </w:rPr>
        <w:t xml:space="preserve">taki </w:t>
      </w:r>
      <w:r w:rsidR="00D4418E">
        <w:rPr>
          <w:rFonts w:ascii="Palatino Linotype" w:hAnsi="Palatino Linotype" w:cstheme="minorHAnsi"/>
          <w:sz w:val="22"/>
          <w:szCs w:val="22"/>
        </w:rPr>
        <w:t xml:space="preserve">azalışların </w:t>
      </w:r>
      <w:r w:rsidR="00D4418E" w:rsidRPr="0050008F">
        <w:rPr>
          <w:rFonts w:ascii="Palatino Linotype" w:hAnsi="Palatino Linotype" w:cstheme="minorHAnsi"/>
          <w:sz w:val="22"/>
          <w:szCs w:val="22"/>
        </w:rPr>
        <w:t>ise</w:t>
      </w:r>
      <w:r w:rsidR="005033DB">
        <w:rPr>
          <w:rFonts w:ascii="Palatino Linotype" w:hAnsi="Palatino Linotype" w:cstheme="minorHAnsi"/>
          <w:sz w:val="22"/>
          <w:szCs w:val="22"/>
        </w:rPr>
        <w:t xml:space="preserve"> devam ederek</w:t>
      </w:r>
      <w:r w:rsidR="0075142F">
        <w:rPr>
          <w:rFonts w:ascii="Palatino Linotype" w:hAnsi="Palatino Linotype" w:cstheme="minorHAnsi"/>
          <w:sz w:val="22"/>
          <w:szCs w:val="22"/>
        </w:rPr>
        <w:t xml:space="preserve"> </w:t>
      </w:r>
      <w:r w:rsidR="005033DB">
        <w:rPr>
          <w:rFonts w:ascii="Palatino Linotype" w:hAnsi="Palatino Linotype" w:cstheme="minorHAnsi"/>
          <w:sz w:val="22"/>
          <w:szCs w:val="22"/>
        </w:rPr>
        <w:t>yüzde 25</w:t>
      </w:r>
      <w:r w:rsidR="002A16BA">
        <w:rPr>
          <w:rFonts w:ascii="Palatino Linotype" w:hAnsi="Palatino Linotype" w:cstheme="minorHAnsi"/>
          <w:sz w:val="22"/>
          <w:szCs w:val="22"/>
        </w:rPr>
        <w:t xml:space="preserve"> civarın</w:t>
      </w:r>
      <w:r w:rsidR="00F9530C">
        <w:rPr>
          <w:rFonts w:ascii="Palatino Linotype" w:hAnsi="Palatino Linotype" w:cstheme="minorHAnsi"/>
          <w:sz w:val="22"/>
          <w:szCs w:val="22"/>
        </w:rPr>
        <w:t>d</w:t>
      </w:r>
      <w:r w:rsidR="002A16BA">
        <w:rPr>
          <w:rFonts w:ascii="Palatino Linotype" w:hAnsi="Palatino Linotype" w:cstheme="minorHAnsi"/>
          <w:sz w:val="22"/>
          <w:szCs w:val="22"/>
        </w:rPr>
        <w:t xml:space="preserve">a </w:t>
      </w:r>
      <w:r w:rsidR="00302EDD">
        <w:rPr>
          <w:rFonts w:ascii="Palatino Linotype" w:hAnsi="Palatino Linotype" w:cstheme="minorHAnsi"/>
          <w:sz w:val="22"/>
          <w:szCs w:val="22"/>
        </w:rPr>
        <w:t xml:space="preserve">gerçekleştiğini </w:t>
      </w:r>
      <w:r w:rsidR="00F67B66">
        <w:rPr>
          <w:rFonts w:ascii="Palatino Linotype" w:hAnsi="Palatino Linotype" w:cstheme="minorHAnsi"/>
          <w:sz w:val="22"/>
          <w:szCs w:val="22"/>
        </w:rPr>
        <w:t>gözlemlemiştik</w:t>
      </w:r>
      <w:r w:rsidRPr="0050008F">
        <w:rPr>
          <w:rFonts w:ascii="Palatino Linotype" w:hAnsi="Palatino Linotype" w:cstheme="minorHAnsi"/>
          <w:sz w:val="22"/>
          <w:szCs w:val="22"/>
        </w:rPr>
        <w:t xml:space="preserve">. </w:t>
      </w:r>
      <w:r w:rsidR="00F67B66">
        <w:rPr>
          <w:rFonts w:ascii="Palatino Linotype" w:hAnsi="Palatino Linotype" w:cstheme="minorHAnsi"/>
          <w:sz w:val="22"/>
          <w:szCs w:val="22"/>
        </w:rPr>
        <w:t xml:space="preserve">Dış ticaretteki </w:t>
      </w:r>
      <w:r w:rsidR="00D4418E">
        <w:rPr>
          <w:rFonts w:ascii="Palatino Linotype" w:hAnsi="Palatino Linotype" w:cstheme="minorHAnsi"/>
          <w:sz w:val="22"/>
          <w:szCs w:val="22"/>
        </w:rPr>
        <w:t>açığın</w:t>
      </w:r>
      <w:r w:rsidR="00893320">
        <w:rPr>
          <w:rFonts w:ascii="Palatino Linotype" w:hAnsi="Palatino Linotype" w:cstheme="minorHAnsi"/>
          <w:sz w:val="22"/>
          <w:szCs w:val="22"/>
        </w:rPr>
        <w:t xml:space="preserve"> art</w:t>
      </w:r>
      <w:r w:rsidR="00D4418E">
        <w:rPr>
          <w:rFonts w:ascii="Palatino Linotype" w:hAnsi="Palatino Linotype" w:cstheme="minorHAnsi"/>
          <w:sz w:val="22"/>
          <w:szCs w:val="22"/>
        </w:rPr>
        <w:t>maya</w:t>
      </w:r>
      <w:r w:rsidR="002A16BA">
        <w:rPr>
          <w:rFonts w:ascii="Palatino Linotype" w:hAnsi="Palatino Linotype" w:cstheme="minorHAnsi"/>
          <w:sz w:val="22"/>
          <w:szCs w:val="22"/>
        </w:rPr>
        <w:t xml:space="preserve"> </w:t>
      </w:r>
      <w:r w:rsidR="00F9530C">
        <w:rPr>
          <w:rFonts w:ascii="Palatino Linotype" w:hAnsi="Palatino Linotype" w:cstheme="minorHAnsi"/>
          <w:sz w:val="22"/>
          <w:szCs w:val="22"/>
        </w:rPr>
        <w:t>devam ettiğini söyleyebiliriz</w:t>
      </w:r>
      <w:r w:rsidR="00A90B4F">
        <w:rPr>
          <w:rFonts w:ascii="Palatino Linotype" w:hAnsi="Palatino Linotype" w:cstheme="minorHAnsi"/>
          <w:sz w:val="22"/>
          <w:szCs w:val="22"/>
        </w:rPr>
        <w:t>.</w:t>
      </w:r>
      <w:r w:rsidR="00BA5FF0">
        <w:rPr>
          <w:rFonts w:ascii="Palatino Linotype" w:hAnsi="Palatino Linotype" w:cstheme="minorHAnsi"/>
          <w:sz w:val="22"/>
          <w:szCs w:val="22"/>
        </w:rPr>
        <w:t xml:space="preserve"> Öte </w:t>
      </w:r>
      <w:bookmarkStart w:id="6" w:name="OLE_LINK9"/>
      <w:bookmarkStart w:id="7" w:name="OLE_LINK10"/>
      <w:r w:rsidR="00D4418E">
        <w:rPr>
          <w:rFonts w:ascii="Palatino Linotype" w:hAnsi="Palatino Linotype" w:cstheme="minorHAnsi"/>
          <w:sz w:val="22"/>
          <w:szCs w:val="22"/>
        </w:rPr>
        <w:t xml:space="preserve">yanda </w:t>
      </w:r>
      <w:r w:rsidR="00D4418E" w:rsidRPr="0050008F">
        <w:rPr>
          <w:rFonts w:ascii="Palatino Linotype" w:hAnsi="Palatino Linotype" w:cstheme="minorHAnsi"/>
          <w:sz w:val="22"/>
          <w:szCs w:val="22"/>
        </w:rPr>
        <w:t>yıllık</w:t>
      </w:r>
      <w:r w:rsidR="00BD6EC8">
        <w:rPr>
          <w:rFonts w:ascii="Palatino Linotype" w:hAnsi="Palatino Linotype" w:cstheme="minorHAnsi"/>
          <w:sz w:val="22"/>
          <w:szCs w:val="22"/>
        </w:rPr>
        <w:t xml:space="preserve"> bazda </w:t>
      </w:r>
      <w:r w:rsidR="005D00FB" w:rsidRPr="0050008F">
        <w:rPr>
          <w:rFonts w:ascii="Palatino Linotype" w:hAnsi="Palatino Linotype" w:cstheme="minorHAnsi"/>
          <w:sz w:val="22"/>
          <w:szCs w:val="22"/>
        </w:rPr>
        <w:t xml:space="preserve">2018 yılının </w:t>
      </w:r>
      <w:r w:rsidR="00893320">
        <w:rPr>
          <w:rFonts w:ascii="Palatino Linotype" w:hAnsi="Palatino Linotype" w:cstheme="minorHAnsi"/>
          <w:sz w:val="22"/>
          <w:szCs w:val="22"/>
        </w:rPr>
        <w:t>dördüncü</w:t>
      </w:r>
      <w:r w:rsidR="007B5A28">
        <w:rPr>
          <w:rFonts w:ascii="Palatino Linotype" w:hAnsi="Palatino Linotype" w:cstheme="minorHAnsi"/>
          <w:sz w:val="22"/>
          <w:szCs w:val="22"/>
        </w:rPr>
        <w:t xml:space="preserve"> çeyreğinde</w:t>
      </w:r>
      <w:r w:rsidR="002A16BA">
        <w:rPr>
          <w:rFonts w:ascii="Palatino Linotype" w:hAnsi="Palatino Linotype" w:cstheme="minorHAnsi"/>
          <w:sz w:val="22"/>
          <w:szCs w:val="22"/>
        </w:rPr>
        <w:t xml:space="preserve"> </w:t>
      </w:r>
      <w:r w:rsidR="006813D8">
        <w:rPr>
          <w:rFonts w:ascii="Palatino Linotype" w:hAnsi="Palatino Linotype" w:cstheme="minorHAnsi"/>
          <w:sz w:val="22"/>
          <w:szCs w:val="22"/>
        </w:rPr>
        <w:t>net ihracatın</w:t>
      </w:r>
      <w:r w:rsidR="00F9530C">
        <w:rPr>
          <w:rFonts w:ascii="Palatino Linotype" w:hAnsi="Palatino Linotype" w:cstheme="minorHAnsi"/>
          <w:sz w:val="22"/>
          <w:szCs w:val="22"/>
        </w:rPr>
        <w:t xml:space="preserve"> büyümeye</w:t>
      </w:r>
      <w:r w:rsidR="00893320">
        <w:rPr>
          <w:rFonts w:ascii="Palatino Linotype" w:hAnsi="Palatino Linotype" w:cstheme="minorHAnsi"/>
          <w:sz w:val="22"/>
          <w:szCs w:val="22"/>
        </w:rPr>
        <w:t xml:space="preserve"> 9</w:t>
      </w:r>
      <w:r w:rsidR="006813D8">
        <w:rPr>
          <w:rFonts w:ascii="Palatino Linotype" w:hAnsi="Palatino Linotype" w:cstheme="minorHAnsi"/>
          <w:sz w:val="22"/>
          <w:szCs w:val="22"/>
        </w:rPr>
        <w:t>,</w:t>
      </w:r>
      <w:r w:rsidR="00893320">
        <w:rPr>
          <w:rFonts w:ascii="Palatino Linotype" w:hAnsi="Palatino Linotype" w:cstheme="minorHAnsi"/>
          <w:sz w:val="22"/>
          <w:szCs w:val="22"/>
        </w:rPr>
        <w:t>7</w:t>
      </w:r>
      <w:r w:rsidR="006813D8">
        <w:rPr>
          <w:rFonts w:ascii="Palatino Linotype" w:hAnsi="Palatino Linotype" w:cstheme="minorHAnsi"/>
          <w:sz w:val="22"/>
          <w:szCs w:val="22"/>
        </w:rPr>
        <w:t xml:space="preserve"> yüzde puanlık</w:t>
      </w:r>
      <w:r w:rsidR="002A16BA">
        <w:rPr>
          <w:rFonts w:ascii="Palatino Linotype" w:hAnsi="Palatino Linotype" w:cstheme="minorHAnsi"/>
          <w:sz w:val="22"/>
          <w:szCs w:val="22"/>
        </w:rPr>
        <w:t xml:space="preserve"> katkısı</w:t>
      </w:r>
      <w:r w:rsidR="006813D8">
        <w:rPr>
          <w:rFonts w:ascii="Palatino Linotype" w:hAnsi="Palatino Linotype" w:cstheme="minorHAnsi"/>
          <w:sz w:val="22"/>
          <w:szCs w:val="22"/>
        </w:rPr>
        <w:t>nın</w:t>
      </w:r>
      <w:bookmarkEnd w:id="6"/>
      <w:bookmarkEnd w:id="7"/>
      <w:r w:rsidR="00893320">
        <w:rPr>
          <w:rFonts w:ascii="Palatino Linotype" w:hAnsi="Palatino Linotype" w:cstheme="minorHAnsi"/>
          <w:sz w:val="22"/>
          <w:szCs w:val="22"/>
        </w:rPr>
        <w:t xml:space="preserve"> 2019 yılı birinci çeyrekte</w:t>
      </w:r>
      <w:r w:rsidR="006813D8">
        <w:rPr>
          <w:rFonts w:ascii="Palatino Linotype" w:hAnsi="Palatino Linotype" w:cstheme="minorHAnsi"/>
          <w:sz w:val="22"/>
          <w:szCs w:val="22"/>
        </w:rPr>
        <w:t xml:space="preserve"> </w:t>
      </w:r>
      <w:r w:rsidR="00893320">
        <w:rPr>
          <w:rFonts w:ascii="Palatino Linotype" w:hAnsi="Palatino Linotype" w:cstheme="minorHAnsi"/>
          <w:sz w:val="22"/>
          <w:szCs w:val="22"/>
        </w:rPr>
        <w:t>12,2</w:t>
      </w:r>
      <w:r w:rsidR="007B5A28">
        <w:rPr>
          <w:rFonts w:ascii="Palatino Linotype" w:hAnsi="Palatino Linotype" w:cstheme="minorHAnsi"/>
          <w:sz w:val="22"/>
          <w:szCs w:val="22"/>
        </w:rPr>
        <w:t xml:space="preserve"> yüzde puana </w:t>
      </w:r>
      <w:r w:rsidR="00F9530C">
        <w:rPr>
          <w:rFonts w:ascii="Palatino Linotype" w:hAnsi="Palatino Linotype" w:cstheme="minorHAnsi"/>
          <w:sz w:val="22"/>
          <w:szCs w:val="22"/>
        </w:rPr>
        <w:t xml:space="preserve">kadar </w:t>
      </w:r>
      <w:r w:rsidR="007B5A28">
        <w:rPr>
          <w:rFonts w:ascii="Palatino Linotype" w:hAnsi="Palatino Linotype" w:cstheme="minorHAnsi"/>
          <w:sz w:val="22"/>
          <w:szCs w:val="22"/>
        </w:rPr>
        <w:t>çıktığını görüyoruz</w:t>
      </w:r>
      <w:r w:rsidR="006813D8">
        <w:rPr>
          <w:rFonts w:ascii="Palatino Linotype" w:hAnsi="Palatino Linotype" w:cstheme="minorHAnsi"/>
          <w:sz w:val="22"/>
          <w:szCs w:val="22"/>
        </w:rPr>
        <w:t xml:space="preserve"> </w:t>
      </w:r>
      <w:r w:rsidR="006813D8" w:rsidRPr="0050008F">
        <w:rPr>
          <w:rFonts w:ascii="Palatino Linotype" w:hAnsi="Palatino Linotype" w:cstheme="minorHAnsi"/>
          <w:sz w:val="22"/>
          <w:szCs w:val="22"/>
        </w:rPr>
        <w:t>(Tablo 1)</w:t>
      </w:r>
      <w:r w:rsidR="007B5A28">
        <w:rPr>
          <w:rFonts w:ascii="Palatino Linotype" w:hAnsi="Palatino Linotype" w:cstheme="minorHAnsi"/>
          <w:sz w:val="22"/>
          <w:szCs w:val="22"/>
        </w:rPr>
        <w:t>.</w:t>
      </w:r>
      <w:r w:rsidR="00EE150B" w:rsidRPr="0050008F">
        <w:rPr>
          <w:rFonts w:ascii="Palatino Linotype" w:hAnsi="Palatino Linotype" w:cstheme="minorHAnsi"/>
          <w:sz w:val="22"/>
          <w:szCs w:val="22"/>
        </w:rPr>
        <w:t xml:space="preserve"> </w:t>
      </w:r>
      <w:r w:rsidR="00C82B14" w:rsidRPr="0050008F">
        <w:rPr>
          <w:rFonts w:ascii="Palatino Linotype" w:hAnsi="Palatino Linotype" w:cstheme="minorHAnsi"/>
          <w:sz w:val="22"/>
          <w:szCs w:val="22"/>
        </w:rPr>
        <w:t>M</w:t>
      </w:r>
      <w:r w:rsidR="00EE150B" w:rsidRPr="0050008F">
        <w:rPr>
          <w:rFonts w:ascii="Palatino Linotype" w:hAnsi="Palatino Linotype" w:cstheme="minorHAnsi"/>
          <w:sz w:val="22"/>
          <w:szCs w:val="22"/>
        </w:rPr>
        <w:t xml:space="preserve">evsim ve takvim etkilerinden arındırılmış </w:t>
      </w:r>
      <w:r w:rsidR="00F5130C" w:rsidRPr="0050008F">
        <w:rPr>
          <w:rFonts w:ascii="Palatino Linotype" w:hAnsi="Palatino Linotype" w:cstheme="minorHAnsi"/>
          <w:sz w:val="22"/>
          <w:szCs w:val="22"/>
        </w:rPr>
        <w:t>çeyrekten çeyreğe değişim</w:t>
      </w:r>
      <w:r w:rsidR="00C82B14" w:rsidRPr="0050008F">
        <w:rPr>
          <w:rFonts w:ascii="Palatino Linotype" w:hAnsi="Palatino Linotype" w:cstheme="minorHAnsi"/>
          <w:sz w:val="22"/>
          <w:szCs w:val="22"/>
        </w:rPr>
        <w:t>ler</w:t>
      </w:r>
      <w:r w:rsidRPr="0050008F">
        <w:rPr>
          <w:rFonts w:ascii="Palatino Linotype" w:hAnsi="Palatino Linotype" w:cstheme="minorHAnsi"/>
          <w:sz w:val="22"/>
          <w:szCs w:val="22"/>
        </w:rPr>
        <w:t>e bakıldığında</w:t>
      </w:r>
      <w:r w:rsidR="003061DC" w:rsidRPr="0050008F">
        <w:rPr>
          <w:rFonts w:ascii="Palatino Linotype" w:hAnsi="Palatino Linotype" w:cstheme="minorHAnsi"/>
          <w:sz w:val="22"/>
          <w:szCs w:val="22"/>
        </w:rPr>
        <w:t xml:space="preserve"> </w:t>
      </w:r>
      <w:r w:rsidR="006813D8">
        <w:rPr>
          <w:rFonts w:ascii="Palatino Linotype" w:hAnsi="Palatino Linotype" w:cstheme="minorHAnsi"/>
          <w:sz w:val="22"/>
          <w:szCs w:val="22"/>
        </w:rPr>
        <w:t>net ihracatın</w:t>
      </w:r>
      <w:r w:rsidR="006D02FD" w:rsidRPr="0050008F">
        <w:rPr>
          <w:rFonts w:ascii="Palatino Linotype" w:hAnsi="Palatino Linotype" w:cstheme="minorHAnsi"/>
          <w:sz w:val="22"/>
          <w:szCs w:val="22"/>
        </w:rPr>
        <w:t xml:space="preserve"> büyümeye katkısının </w:t>
      </w:r>
      <w:r w:rsidRPr="0050008F">
        <w:rPr>
          <w:rFonts w:ascii="Palatino Linotype" w:hAnsi="Palatino Linotype" w:cstheme="minorHAnsi"/>
          <w:sz w:val="22"/>
          <w:szCs w:val="22"/>
        </w:rPr>
        <w:t xml:space="preserve">pozitif yönde </w:t>
      </w:r>
      <w:r w:rsidR="001777A4">
        <w:rPr>
          <w:rFonts w:ascii="Palatino Linotype" w:hAnsi="Palatino Linotype" w:cstheme="minorHAnsi"/>
          <w:sz w:val="22"/>
          <w:szCs w:val="22"/>
        </w:rPr>
        <w:t xml:space="preserve">devam ettiğini </w:t>
      </w:r>
      <w:r w:rsidR="006813D8">
        <w:rPr>
          <w:rFonts w:ascii="Palatino Linotype" w:hAnsi="Palatino Linotype" w:cstheme="minorHAnsi"/>
          <w:sz w:val="22"/>
          <w:szCs w:val="22"/>
        </w:rPr>
        <w:t>ancak</w:t>
      </w:r>
      <w:r w:rsidR="00893320">
        <w:rPr>
          <w:rFonts w:ascii="Palatino Linotype" w:hAnsi="Palatino Linotype" w:cstheme="minorHAnsi"/>
          <w:sz w:val="22"/>
          <w:szCs w:val="22"/>
        </w:rPr>
        <w:t xml:space="preserve"> giderek</w:t>
      </w:r>
      <w:r w:rsidR="001777A4">
        <w:rPr>
          <w:rFonts w:ascii="Palatino Linotype" w:hAnsi="Palatino Linotype" w:cstheme="minorHAnsi"/>
          <w:sz w:val="22"/>
          <w:szCs w:val="22"/>
        </w:rPr>
        <w:t xml:space="preserve"> ivme kaybettiğini</w:t>
      </w:r>
      <w:r w:rsidR="007B5A28">
        <w:rPr>
          <w:rFonts w:ascii="Palatino Linotype" w:hAnsi="Palatino Linotype" w:cstheme="minorHAnsi"/>
          <w:sz w:val="22"/>
          <w:szCs w:val="22"/>
        </w:rPr>
        <w:t xml:space="preserve"> gözlemliyoruz</w:t>
      </w:r>
      <w:r w:rsidRPr="0050008F">
        <w:rPr>
          <w:rFonts w:ascii="Palatino Linotype" w:hAnsi="Palatino Linotype" w:cstheme="minorHAnsi"/>
          <w:sz w:val="22"/>
          <w:szCs w:val="22"/>
        </w:rPr>
        <w:t>.</w:t>
      </w:r>
      <w:r w:rsidR="0087023B" w:rsidRPr="0050008F">
        <w:rPr>
          <w:rFonts w:ascii="Palatino Linotype" w:hAnsi="Palatino Linotype" w:cstheme="minorHAnsi"/>
          <w:sz w:val="22"/>
          <w:szCs w:val="22"/>
        </w:rPr>
        <w:t xml:space="preserve"> </w:t>
      </w:r>
    </w:p>
    <w:p w14:paraId="142C0302" w14:textId="77777777" w:rsidR="00062A8A" w:rsidRDefault="00062A8A" w:rsidP="008F1741">
      <w:pPr>
        <w:pStyle w:val="NormalWeb"/>
        <w:spacing w:before="0" w:beforeAutospacing="0" w:after="0" w:afterAutospacing="0" w:line="360" w:lineRule="auto"/>
        <w:ind w:right="77"/>
        <w:rPr>
          <w:rFonts w:ascii="Palatino Linotype" w:hAnsi="Palatino Linotype" w:cstheme="minorHAnsi"/>
          <w:b/>
          <w:bCs/>
          <w:sz w:val="22"/>
          <w:szCs w:val="22"/>
        </w:rPr>
      </w:pPr>
    </w:p>
    <w:p w14:paraId="777C1939" w14:textId="31465A1C" w:rsidR="006C3EE6" w:rsidRPr="0050008F"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1E495B">
        <w:rPr>
          <w:rFonts w:ascii="Palatino Linotype" w:hAnsi="Palatino Linotype" w:cstheme="minorHAnsi"/>
          <w:b/>
          <w:bCs/>
          <w:sz w:val="22"/>
          <w:szCs w:val="22"/>
        </w:rPr>
        <w:t>Kamu harcamaları</w:t>
      </w:r>
      <w:r w:rsidR="00D4418E">
        <w:rPr>
          <w:rFonts w:ascii="Palatino Linotype" w:hAnsi="Palatino Linotype" w:cstheme="minorHAnsi"/>
          <w:b/>
          <w:bCs/>
          <w:sz w:val="22"/>
          <w:szCs w:val="22"/>
        </w:rPr>
        <w:t>na fren</w:t>
      </w:r>
    </w:p>
    <w:p w14:paraId="6EE09411" w14:textId="6CAAE5CF" w:rsidR="00BD6EC8" w:rsidRDefault="00302EDD" w:rsidP="00BD6EC8">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Yıllık bazda </w:t>
      </w:r>
      <w:r w:rsidR="00424382">
        <w:rPr>
          <w:rFonts w:ascii="Palatino Linotype" w:hAnsi="Palatino Linotype" w:cstheme="minorHAnsi"/>
          <w:sz w:val="22"/>
          <w:szCs w:val="22"/>
        </w:rPr>
        <w:t>2017</w:t>
      </w:r>
      <w:r w:rsidR="00321D78" w:rsidRPr="0050008F">
        <w:rPr>
          <w:rFonts w:ascii="Palatino Linotype" w:hAnsi="Palatino Linotype" w:cstheme="minorHAnsi"/>
          <w:sz w:val="22"/>
          <w:szCs w:val="22"/>
        </w:rPr>
        <w:t xml:space="preserve"> </w:t>
      </w:r>
      <w:r w:rsidR="00424382">
        <w:rPr>
          <w:rFonts w:ascii="Palatino Linotype" w:hAnsi="Palatino Linotype" w:cstheme="minorHAnsi"/>
          <w:sz w:val="22"/>
          <w:szCs w:val="22"/>
        </w:rPr>
        <w:t>yılının üçüncü</w:t>
      </w:r>
      <w:r w:rsidR="00B76782">
        <w:rPr>
          <w:rFonts w:ascii="Palatino Linotype" w:hAnsi="Palatino Linotype" w:cstheme="minorHAnsi"/>
          <w:sz w:val="22"/>
          <w:szCs w:val="22"/>
        </w:rPr>
        <w:t xml:space="preserve"> çeyreğinden itibaren</w:t>
      </w:r>
      <w:r w:rsidR="009B16AD" w:rsidRPr="0050008F">
        <w:rPr>
          <w:rFonts w:ascii="Palatino Linotype" w:hAnsi="Palatino Linotype" w:cstheme="minorHAnsi"/>
          <w:sz w:val="22"/>
          <w:szCs w:val="22"/>
        </w:rPr>
        <w:t xml:space="preserve"> </w:t>
      </w:r>
      <w:r w:rsidR="00424382">
        <w:rPr>
          <w:rFonts w:ascii="Palatino Linotype" w:hAnsi="Palatino Linotype" w:cstheme="minorHAnsi"/>
          <w:sz w:val="22"/>
          <w:szCs w:val="22"/>
        </w:rPr>
        <w:t>kamu</w:t>
      </w:r>
      <w:r w:rsidR="00B76782">
        <w:rPr>
          <w:rFonts w:ascii="Palatino Linotype" w:hAnsi="Palatino Linotype" w:cstheme="minorHAnsi"/>
          <w:sz w:val="22"/>
          <w:szCs w:val="22"/>
        </w:rPr>
        <w:t xml:space="preserve"> tüketim</w:t>
      </w:r>
      <w:r w:rsidR="00424382">
        <w:rPr>
          <w:rFonts w:ascii="Palatino Linotype" w:hAnsi="Palatino Linotype" w:cstheme="minorHAnsi"/>
          <w:sz w:val="22"/>
          <w:szCs w:val="22"/>
        </w:rPr>
        <w:t xml:space="preserve">inde meydana gelen artışların </w:t>
      </w:r>
      <w:r w:rsidR="00BB3448">
        <w:rPr>
          <w:rFonts w:ascii="Palatino Linotype" w:hAnsi="Palatino Linotype" w:cstheme="minorHAnsi"/>
          <w:sz w:val="22"/>
          <w:szCs w:val="22"/>
        </w:rPr>
        <w:t xml:space="preserve">2018 </w:t>
      </w:r>
      <w:r w:rsidR="00D4418E">
        <w:rPr>
          <w:rFonts w:ascii="Palatino Linotype" w:hAnsi="Palatino Linotype" w:cstheme="minorHAnsi"/>
          <w:sz w:val="22"/>
          <w:szCs w:val="22"/>
        </w:rPr>
        <w:t>yılının ikinci</w:t>
      </w:r>
      <w:r w:rsidR="009400E0">
        <w:rPr>
          <w:rFonts w:ascii="Palatino Linotype" w:hAnsi="Palatino Linotype" w:cstheme="minorHAnsi"/>
          <w:sz w:val="22"/>
          <w:szCs w:val="22"/>
        </w:rPr>
        <w:t xml:space="preserve"> ve üçüncü</w:t>
      </w:r>
      <w:r w:rsidR="00BB3448">
        <w:rPr>
          <w:rFonts w:ascii="Palatino Linotype" w:hAnsi="Palatino Linotype" w:cstheme="minorHAnsi"/>
          <w:sz w:val="22"/>
          <w:szCs w:val="22"/>
        </w:rPr>
        <w:t xml:space="preserve"> çeyreğind</w:t>
      </w:r>
      <w:bookmarkStart w:id="8" w:name="_GoBack"/>
      <w:bookmarkEnd w:id="8"/>
      <w:r w:rsidR="00BB3448">
        <w:rPr>
          <w:rFonts w:ascii="Palatino Linotype" w:hAnsi="Palatino Linotype" w:cstheme="minorHAnsi"/>
          <w:sz w:val="22"/>
          <w:szCs w:val="22"/>
        </w:rPr>
        <w:t>e de devam etti</w:t>
      </w:r>
      <w:r w:rsidR="00424382">
        <w:rPr>
          <w:rFonts w:ascii="Palatino Linotype" w:hAnsi="Palatino Linotype" w:cstheme="minorHAnsi"/>
          <w:sz w:val="22"/>
          <w:szCs w:val="22"/>
        </w:rPr>
        <w:t>ği tespit edilmiştir.</w:t>
      </w:r>
      <w:r w:rsidR="00D67F66">
        <w:rPr>
          <w:rFonts w:ascii="Palatino Linotype" w:hAnsi="Palatino Linotype" w:cstheme="minorHAnsi"/>
          <w:sz w:val="22"/>
          <w:szCs w:val="22"/>
        </w:rPr>
        <w:t xml:space="preserve"> </w:t>
      </w:r>
      <w:r w:rsidR="00D67F66" w:rsidRPr="00B01508">
        <w:rPr>
          <w:rFonts w:ascii="Palatino Linotype" w:hAnsi="Palatino Linotype" w:cstheme="minorHAnsi"/>
          <w:sz w:val="22"/>
          <w:szCs w:val="22"/>
        </w:rPr>
        <w:t>D</w:t>
      </w:r>
      <w:r w:rsidR="00443C08" w:rsidRPr="00B01508">
        <w:rPr>
          <w:rFonts w:ascii="Palatino Linotype" w:hAnsi="Palatino Linotype" w:cstheme="minorHAnsi"/>
          <w:sz w:val="22"/>
          <w:szCs w:val="22"/>
        </w:rPr>
        <w:t xml:space="preserve">ördüncü çeyrekte ise </w:t>
      </w:r>
      <w:r w:rsidR="00BD6EC8">
        <w:rPr>
          <w:rFonts w:ascii="Palatino Linotype" w:hAnsi="Palatino Linotype" w:cstheme="minorHAnsi"/>
          <w:sz w:val="22"/>
          <w:szCs w:val="22"/>
        </w:rPr>
        <w:t>kamu tüketimi</w:t>
      </w:r>
      <w:r w:rsidR="00424382">
        <w:rPr>
          <w:rFonts w:ascii="Palatino Linotype" w:hAnsi="Palatino Linotype" w:cstheme="minorHAnsi"/>
          <w:sz w:val="22"/>
          <w:szCs w:val="22"/>
        </w:rPr>
        <w:t xml:space="preserve"> azalarak</w:t>
      </w:r>
      <w:r w:rsidR="00443C08" w:rsidRPr="00B01508">
        <w:rPr>
          <w:rFonts w:ascii="Palatino Linotype" w:hAnsi="Palatino Linotype" w:cstheme="minorHAnsi"/>
          <w:sz w:val="22"/>
          <w:szCs w:val="22"/>
        </w:rPr>
        <w:t xml:space="preserve"> </w:t>
      </w:r>
      <w:r w:rsidR="00B01508" w:rsidRPr="00B01508">
        <w:rPr>
          <w:rFonts w:ascii="Palatino Linotype" w:hAnsi="Palatino Linotype" w:cstheme="minorHAnsi"/>
          <w:sz w:val="22"/>
          <w:szCs w:val="22"/>
        </w:rPr>
        <w:t xml:space="preserve">yıllık bazda </w:t>
      </w:r>
      <w:r w:rsidR="00443C08" w:rsidRPr="00B01508">
        <w:rPr>
          <w:rFonts w:ascii="Palatino Linotype" w:hAnsi="Palatino Linotype" w:cstheme="minorHAnsi"/>
          <w:sz w:val="22"/>
          <w:szCs w:val="22"/>
        </w:rPr>
        <w:t xml:space="preserve">yüzde 0,5 artmıştır. </w:t>
      </w:r>
      <w:r w:rsidR="00424382">
        <w:rPr>
          <w:rFonts w:ascii="Palatino Linotype" w:hAnsi="Palatino Linotype" w:cstheme="minorHAnsi"/>
          <w:sz w:val="22"/>
          <w:szCs w:val="22"/>
        </w:rPr>
        <w:t>Dolayısıyla 2017</w:t>
      </w:r>
      <w:r w:rsidR="00443C08" w:rsidRPr="00B01508">
        <w:rPr>
          <w:rFonts w:ascii="Palatino Linotype" w:hAnsi="Palatino Linotype" w:cstheme="minorHAnsi"/>
          <w:sz w:val="22"/>
          <w:szCs w:val="22"/>
        </w:rPr>
        <w:t xml:space="preserve">’nin </w:t>
      </w:r>
      <w:r w:rsidR="00424382">
        <w:rPr>
          <w:rFonts w:ascii="Palatino Linotype" w:hAnsi="Palatino Linotype" w:cstheme="minorHAnsi"/>
          <w:sz w:val="22"/>
          <w:szCs w:val="22"/>
        </w:rPr>
        <w:t>üçüncü</w:t>
      </w:r>
      <w:r w:rsidR="00BD6EC8">
        <w:rPr>
          <w:rFonts w:ascii="Palatino Linotype" w:hAnsi="Palatino Linotype" w:cstheme="minorHAnsi"/>
          <w:sz w:val="22"/>
          <w:szCs w:val="22"/>
        </w:rPr>
        <w:t xml:space="preserve"> </w:t>
      </w:r>
      <w:r w:rsidR="00424382">
        <w:rPr>
          <w:rFonts w:ascii="Palatino Linotype" w:hAnsi="Palatino Linotype" w:cstheme="minorHAnsi"/>
          <w:sz w:val="22"/>
          <w:szCs w:val="22"/>
        </w:rPr>
        <w:t xml:space="preserve">çeyreğinden bu yana devam </w:t>
      </w:r>
      <w:r w:rsidR="00212782">
        <w:rPr>
          <w:rFonts w:ascii="Palatino Linotype" w:hAnsi="Palatino Linotype" w:cstheme="minorHAnsi"/>
          <w:sz w:val="22"/>
          <w:szCs w:val="22"/>
        </w:rPr>
        <w:t xml:space="preserve">eden </w:t>
      </w:r>
      <w:r w:rsidR="00212782" w:rsidRPr="00B01508">
        <w:rPr>
          <w:rFonts w:ascii="Palatino Linotype" w:hAnsi="Palatino Linotype" w:cstheme="minorHAnsi"/>
          <w:sz w:val="22"/>
          <w:szCs w:val="22"/>
        </w:rPr>
        <w:t>kamu</w:t>
      </w:r>
      <w:r w:rsidR="00443C08" w:rsidRPr="00B01508">
        <w:rPr>
          <w:rFonts w:ascii="Palatino Linotype" w:hAnsi="Palatino Linotype" w:cstheme="minorHAnsi"/>
          <w:sz w:val="22"/>
          <w:szCs w:val="22"/>
        </w:rPr>
        <w:t xml:space="preserve"> tüketim harcamalarında yaşanan artışların, 2018’in üçüncü çeyr</w:t>
      </w:r>
      <w:r w:rsidR="00424382">
        <w:rPr>
          <w:rFonts w:ascii="Palatino Linotype" w:hAnsi="Palatino Linotype" w:cstheme="minorHAnsi"/>
          <w:sz w:val="22"/>
          <w:szCs w:val="22"/>
        </w:rPr>
        <w:t>eğinde yarı yarıya azaldığını</w:t>
      </w:r>
      <w:r w:rsidR="00443C08" w:rsidRPr="00B01508">
        <w:rPr>
          <w:rFonts w:ascii="Palatino Linotype" w:hAnsi="Palatino Linotype" w:cstheme="minorHAnsi"/>
          <w:sz w:val="22"/>
          <w:szCs w:val="22"/>
        </w:rPr>
        <w:t>, dördüncü çeyreğinde ise neredeyse 0’a yaklaştığını söyleyebiliriz (Tablo 1).</w:t>
      </w:r>
      <w:r w:rsidR="00935D6E" w:rsidRPr="00B01508">
        <w:rPr>
          <w:rFonts w:ascii="Palatino Linotype" w:hAnsi="Palatino Linotype" w:cstheme="minorHAnsi"/>
          <w:sz w:val="22"/>
          <w:szCs w:val="22"/>
        </w:rPr>
        <w:t xml:space="preserve"> </w:t>
      </w:r>
      <w:r w:rsidR="001C7370">
        <w:rPr>
          <w:rFonts w:ascii="Palatino Linotype" w:hAnsi="Palatino Linotype" w:cstheme="minorHAnsi"/>
          <w:sz w:val="22"/>
          <w:szCs w:val="22"/>
        </w:rPr>
        <w:t xml:space="preserve">2019 yılı birinci çeyrekte ise kamu tüketimindeki durağanlaşma yerini artışa bırakarak yüzde 7,2 puan seviyelerine gelmiştir. </w:t>
      </w:r>
      <w:r w:rsidR="00D24254" w:rsidRPr="00B01508">
        <w:rPr>
          <w:rFonts w:ascii="Palatino Linotype" w:hAnsi="Palatino Linotype" w:cstheme="minorHAnsi"/>
          <w:sz w:val="22"/>
          <w:szCs w:val="22"/>
        </w:rPr>
        <w:t>Mevsim ve takvim etkilerinden arındırılmış çeyreklik büyüme rakamlarına bakt</w:t>
      </w:r>
      <w:r w:rsidR="00935D6E" w:rsidRPr="00B01508">
        <w:rPr>
          <w:rFonts w:ascii="Palatino Linotype" w:hAnsi="Palatino Linotype" w:cstheme="minorHAnsi"/>
          <w:sz w:val="22"/>
          <w:szCs w:val="22"/>
        </w:rPr>
        <w:t xml:space="preserve">ığımızda ise kamu </w:t>
      </w:r>
      <w:r w:rsidR="00212782" w:rsidRPr="00B01508">
        <w:rPr>
          <w:rFonts w:ascii="Palatino Linotype" w:hAnsi="Palatino Linotype" w:cstheme="minorHAnsi"/>
          <w:sz w:val="22"/>
          <w:szCs w:val="22"/>
        </w:rPr>
        <w:t>tüketiminin</w:t>
      </w:r>
      <w:r w:rsidR="00212782">
        <w:rPr>
          <w:rFonts w:ascii="Palatino Linotype" w:hAnsi="Palatino Linotype" w:cstheme="minorHAnsi"/>
          <w:sz w:val="22"/>
          <w:szCs w:val="22"/>
        </w:rPr>
        <w:t xml:space="preserve"> 2018</w:t>
      </w:r>
      <w:r w:rsidR="001C7370">
        <w:rPr>
          <w:rFonts w:ascii="Palatino Linotype" w:hAnsi="Palatino Linotype" w:cstheme="minorHAnsi"/>
          <w:sz w:val="22"/>
          <w:szCs w:val="22"/>
        </w:rPr>
        <w:t xml:space="preserve"> yılı dördüncü çeyrekte</w:t>
      </w:r>
      <w:r w:rsidR="00D24254" w:rsidRPr="00B01508">
        <w:rPr>
          <w:rFonts w:ascii="Palatino Linotype" w:hAnsi="Palatino Linotype" w:cstheme="minorHAnsi"/>
          <w:sz w:val="22"/>
          <w:szCs w:val="22"/>
        </w:rPr>
        <w:t xml:space="preserve"> </w:t>
      </w:r>
      <w:r w:rsidR="00935D6E" w:rsidRPr="00B01508">
        <w:rPr>
          <w:rFonts w:ascii="Palatino Linotype" w:hAnsi="Palatino Linotype" w:cstheme="minorHAnsi"/>
          <w:sz w:val="22"/>
          <w:szCs w:val="22"/>
        </w:rPr>
        <w:t xml:space="preserve">yüzde </w:t>
      </w:r>
      <w:r w:rsidR="001C7370">
        <w:rPr>
          <w:rFonts w:ascii="Palatino Linotype" w:hAnsi="Palatino Linotype" w:cstheme="minorHAnsi"/>
          <w:sz w:val="22"/>
          <w:szCs w:val="22"/>
        </w:rPr>
        <w:t>0,1</w:t>
      </w:r>
      <w:r w:rsidR="005F7787" w:rsidRPr="00B01508">
        <w:rPr>
          <w:rFonts w:ascii="Palatino Linotype" w:hAnsi="Palatino Linotype" w:cstheme="minorHAnsi"/>
          <w:sz w:val="22"/>
          <w:szCs w:val="22"/>
        </w:rPr>
        <w:t xml:space="preserve"> a</w:t>
      </w:r>
      <w:r w:rsidR="001C7370">
        <w:rPr>
          <w:rFonts w:ascii="Palatino Linotype" w:hAnsi="Palatino Linotype" w:cstheme="minorHAnsi"/>
          <w:sz w:val="22"/>
          <w:szCs w:val="22"/>
        </w:rPr>
        <w:t>zaldığını, büyümeye ise hiç katkı yapmadığını</w:t>
      </w:r>
      <w:r w:rsidR="00935D6E" w:rsidRPr="00B01508">
        <w:rPr>
          <w:rFonts w:ascii="Palatino Linotype" w:hAnsi="Palatino Linotype" w:cstheme="minorHAnsi"/>
          <w:sz w:val="22"/>
          <w:szCs w:val="22"/>
        </w:rPr>
        <w:t xml:space="preserve"> hesaplamıştık. </w:t>
      </w:r>
      <w:r w:rsidR="0094295F">
        <w:rPr>
          <w:rFonts w:ascii="Palatino Linotype" w:hAnsi="Palatino Linotype" w:cstheme="minorHAnsi"/>
          <w:sz w:val="22"/>
          <w:szCs w:val="22"/>
        </w:rPr>
        <w:t xml:space="preserve">2019 yılı birinci </w:t>
      </w:r>
      <w:r w:rsidR="00935D6E" w:rsidRPr="00B01508">
        <w:rPr>
          <w:rFonts w:ascii="Palatino Linotype" w:hAnsi="Palatino Linotype" w:cstheme="minorHAnsi"/>
          <w:sz w:val="22"/>
          <w:szCs w:val="22"/>
        </w:rPr>
        <w:t xml:space="preserve">çeyrekte kamu tüketim harcamaları </w:t>
      </w:r>
      <w:r w:rsidR="0094295F">
        <w:rPr>
          <w:rFonts w:ascii="Palatino Linotype" w:hAnsi="Palatino Linotype" w:cstheme="minorHAnsi"/>
          <w:sz w:val="22"/>
          <w:szCs w:val="22"/>
        </w:rPr>
        <w:t xml:space="preserve">2018 yılı dördüncü </w:t>
      </w:r>
      <w:r w:rsidR="00935D6E" w:rsidRPr="00B01508">
        <w:rPr>
          <w:rFonts w:ascii="Palatino Linotype" w:hAnsi="Palatino Linotype" w:cstheme="minorHAnsi"/>
          <w:sz w:val="22"/>
          <w:szCs w:val="22"/>
        </w:rPr>
        <w:t xml:space="preserve">çeyreğe </w:t>
      </w:r>
      <w:r w:rsidR="0094295F">
        <w:rPr>
          <w:rFonts w:ascii="Palatino Linotype" w:hAnsi="Palatino Linotype" w:cstheme="minorHAnsi"/>
          <w:sz w:val="22"/>
          <w:szCs w:val="22"/>
        </w:rPr>
        <w:t>göre yüzde 5,1</w:t>
      </w:r>
      <w:r w:rsidR="00935D6E" w:rsidRPr="00B01508">
        <w:rPr>
          <w:rFonts w:ascii="Palatino Linotype" w:hAnsi="Palatino Linotype" w:cstheme="minorHAnsi"/>
          <w:sz w:val="22"/>
          <w:szCs w:val="22"/>
        </w:rPr>
        <w:t xml:space="preserve"> a</w:t>
      </w:r>
      <w:r w:rsidR="0094295F">
        <w:rPr>
          <w:rFonts w:ascii="Palatino Linotype" w:hAnsi="Palatino Linotype" w:cstheme="minorHAnsi"/>
          <w:sz w:val="22"/>
          <w:szCs w:val="22"/>
        </w:rPr>
        <w:t>rtarak</w:t>
      </w:r>
      <w:r>
        <w:rPr>
          <w:rFonts w:ascii="Palatino Linotype" w:hAnsi="Palatino Linotype" w:cstheme="minorHAnsi"/>
          <w:sz w:val="22"/>
          <w:szCs w:val="22"/>
        </w:rPr>
        <w:t xml:space="preserve"> büyümeye</w:t>
      </w:r>
      <w:r w:rsidR="00935D6E" w:rsidRPr="00B01508">
        <w:rPr>
          <w:rFonts w:ascii="Palatino Linotype" w:hAnsi="Palatino Linotype" w:cstheme="minorHAnsi"/>
          <w:sz w:val="22"/>
          <w:szCs w:val="22"/>
        </w:rPr>
        <w:t xml:space="preserve"> 0,</w:t>
      </w:r>
      <w:r w:rsidR="0094295F">
        <w:rPr>
          <w:rFonts w:ascii="Palatino Linotype" w:hAnsi="Palatino Linotype" w:cstheme="minorHAnsi"/>
          <w:sz w:val="22"/>
          <w:szCs w:val="22"/>
        </w:rPr>
        <w:t>7</w:t>
      </w:r>
      <w:r>
        <w:rPr>
          <w:rFonts w:ascii="Palatino Linotype" w:hAnsi="Palatino Linotype" w:cstheme="minorHAnsi"/>
          <w:sz w:val="22"/>
          <w:szCs w:val="22"/>
        </w:rPr>
        <w:t xml:space="preserve"> yüzde</w:t>
      </w:r>
      <w:r w:rsidR="00935D6E" w:rsidRPr="00B01508">
        <w:rPr>
          <w:rFonts w:ascii="Palatino Linotype" w:hAnsi="Palatino Linotype" w:cstheme="minorHAnsi"/>
          <w:sz w:val="22"/>
          <w:szCs w:val="22"/>
        </w:rPr>
        <w:t xml:space="preserve"> puanlık bir katkı yapmıştır</w:t>
      </w:r>
      <w:r w:rsidR="00D24254" w:rsidRPr="00B01508">
        <w:rPr>
          <w:rFonts w:ascii="Palatino Linotype" w:hAnsi="Palatino Linotype" w:cstheme="minorHAnsi"/>
          <w:sz w:val="22"/>
          <w:szCs w:val="22"/>
        </w:rPr>
        <w:t xml:space="preserve"> </w:t>
      </w:r>
      <w:r w:rsidR="0087023B" w:rsidRPr="00B01508">
        <w:rPr>
          <w:rFonts w:ascii="Palatino Linotype" w:hAnsi="Palatino Linotype" w:cstheme="minorHAnsi"/>
          <w:sz w:val="22"/>
          <w:szCs w:val="22"/>
        </w:rPr>
        <w:t>(Tablo 2).</w:t>
      </w:r>
      <w:r w:rsidR="00935D6E" w:rsidRPr="00B01508">
        <w:rPr>
          <w:rFonts w:ascii="Palatino Linotype" w:hAnsi="Palatino Linotype" w:cstheme="minorHAnsi"/>
          <w:sz w:val="22"/>
          <w:szCs w:val="22"/>
        </w:rPr>
        <w:t xml:space="preserve"> </w:t>
      </w:r>
    </w:p>
    <w:p w14:paraId="389D53D3" w14:textId="77777777" w:rsidR="00BD6EC8" w:rsidRPr="00BD6EC8" w:rsidRDefault="00BD6EC8" w:rsidP="00BD6EC8">
      <w:pPr>
        <w:pStyle w:val="NormalWeb"/>
        <w:spacing w:before="0" w:beforeAutospacing="0" w:after="0" w:afterAutospacing="0" w:line="360" w:lineRule="auto"/>
        <w:ind w:right="77"/>
        <w:jc w:val="both"/>
        <w:rPr>
          <w:rFonts w:ascii="Palatino Linotype" w:hAnsi="Palatino Linotype" w:cstheme="minorHAnsi"/>
          <w:sz w:val="22"/>
          <w:szCs w:val="22"/>
        </w:rPr>
      </w:pPr>
    </w:p>
    <w:p w14:paraId="06A5A50A" w14:textId="77777777" w:rsidR="00BD6EC8" w:rsidRDefault="004F0543" w:rsidP="00BD6EC8">
      <w:pPr>
        <w:pStyle w:val="NormalWeb"/>
        <w:spacing w:before="0" w:beforeAutospacing="0" w:after="0" w:afterAutospacing="0" w:line="360" w:lineRule="auto"/>
        <w:ind w:right="77"/>
        <w:rPr>
          <w:rFonts w:ascii="Palatino Linotype" w:hAnsi="Palatino Linotype" w:cstheme="minorHAnsi"/>
          <w:b/>
          <w:bCs/>
          <w:sz w:val="22"/>
          <w:szCs w:val="22"/>
        </w:rPr>
      </w:pPr>
      <w:r w:rsidRPr="002F2D70">
        <w:rPr>
          <w:rFonts w:ascii="Palatino Linotype" w:hAnsi="Palatino Linotype" w:cstheme="minorHAnsi"/>
          <w:b/>
          <w:bCs/>
          <w:sz w:val="22"/>
          <w:szCs w:val="22"/>
        </w:rPr>
        <w:t>B</w:t>
      </w:r>
      <w:r w:rsidR="00B27C9F" w:rsidRPr="002F2D70">
        <w:rPr>
          <w:rFonts w:ascii="Palatino Linotype" w:hAnsi="Palatino Linotype" w:cstheme="minorHAnsi"/>
          <w:b/>
          <w:bCs/>
          <w:sz w:val="22"/>
          <w:szCs w:val="22"/>
        </w:rPr>
        <w:t>üyümenin geleceği</w:t>
      </w:r>
    </w:p>
    <w:p w14:paraId="1BB92CE1" w14:textId="0847BFA9" w:rsidR="008C56F9" w:rsidRPr="00BD6EC8" w:rsidRDefault="00A444F9" w:rsidP="00BD6EC8">
      <w:pPr>
        <w:pStyle w:val="NormalWeb"/>
        <w:spacing w:before="0" w:beforeAutospacing="0" w:after="0" w:afterAutospacing="0" w:line="360" w:lineRule="auto"/>
        <w:ind w:right="77"/>
        <w:rPr>
          <w:rFonts w:ascii="Palatino Linotype" w:hAnsi="Palatino Linotype" w:cstheme="minorHAnsi"/>
          <w:b/>
          <w:bCs/>
          <w:sz w:val="22"/>
          <w:szCs w:val="22"/>
        </w:rPr>
      </w:pPr>
      <w:r w:rsidRPr="008914E6">
        <w:rPr>
          <w:rFonts w:ascii="Palatino Linotype" w:hAnsi="Palatino Linotype" w:cstheme="minorHAnsi"/>
          <w:bCs/>
          <w:sz w:val="22"/>
          <w:szCs w:val="22"/>
        </w:rPr>
        <w:t xml:space="preserve">2018’in </w:t>
      </w:r>
      <w:r w:rsidR="008C56F9">
        <w:rPr>
          <w:rFonts w:ascii="Palatino Linotype" w:hAnsi="Palatino Linotype" w:cstheme="minorHAnsi"/>
          <w:bCs/>
          <w:sz w:val="22"/>
          <w:szCs w:val="22"/>
        </w:rPr>
        <w:t>üçüncü</w:t>
      </w:r>
      <w:r w:rsidRPr="008914E6">
        <w:rPr>
          <w:rFonts w:ascii="Palatino Linotype" w:hAnsi="Palatino Linotype" w:cstheme="minorHAnsi"/>
          <w:bCs/>
          <w:sz w:val="22"/>
          <w:szCs w:val="22"/>
        </w:rPr>
        <w:t xml:space="preserve"> çeyreğinden itibaren </w:t>
      </w:r>
      <w:r w:rsidR="00B4685F" w:rsidRPr="008914E6">
        <w:rPr>
          <w:rFonts w:ascii="Palatino Linotype" w:hAnsi="Palatino Linotype" w:cstheme="minorHAnsi"/>
          <w:bCs/>
          <w:sz w:val="22"/>
          <w:szCs w:val="22"/>
        </w:rPr>
        <w:t xml:space="preserve">büyümede </w:t>
      </w:r>
      <w:r w:rsidRPr="008914E6">
        <w:rPr>
          <w:rFonts w:ascii="Palatino Linotype" w:hAnsi="Palatino Linotype" w:cstheme="minorHAnsi"/>
          <w:bCs/>
          <w:sz w:val="22"/>
          <w:szCs w:val="22"/>
        </w:rPr>
        <w:t xml:space="preserve">gözlemlenen </w:t>
      </w:r>
      <w:r w:rsidR="008C56F9" w:rsidRPr="008914E6">
        <w:rPr>
          <w:rFonts w:ascii="Palatino Linotype" w:hAnsi="Palatino Linotype" w:cstheme="minorHAnsi"/>
          <w:bCs/>
          <w:sz w:val="22"/>
          <w:szCs w:val="22"/>
        </w:rPr>
        <w:t xml:space="preserve">negatif yönlü </w:t>
      </w:r>
      <w:r w:rsidR="00CF365B" w:rsidRPr="008914E6">
        <w:rPr>
          <w:rFonts w:ascii="Palatino Linotype" w:hAnsi="Palatino Linotype" w:cstheme="minorHAnsi"/>
          <w:bCs/>
          <w:sz w:val="22"/>
          <w:szCs w:val="22"/>
        </w:rPr>
        <w:t xml:space="preserve">kırılma </w:t>
      </w:r>
      <w:r w:rsidR="00490AAE">
        <w:rPr>
          <w:rFonts w:ascii="Palatino Linotype" w:hAnsi="Palatino Linotype" w:cstheme="minorHAnsi"/>
          <w:bCs/>
          <w:sz w:val="22"/>
          <w:szCs w:val="22"/>
        </w:rPr>
        <w:t>2019 yılı birinci çeyrekte son bulmuştur.</w:t>
      </w:r>
      <w:r w:rsidR="00B31FC9">
        <w:rPr>
          <w:rFonts w:ascii="Palatino Linotype" w:hAnsi="Palatino Linotype" w:cstheme="minorHAnsi"/>
          <w:bCs/>
          <w:sz w:val="22"/>
          <w:szCs w:val="22"/>
        </w:rPr>
        <w:t xml:space="preserve"> Sanayi üretim endeksinde </w:t>
      </w:r>
      <w:r w:rsidR="001D7073">
        <w:rPr>
          <w:rFonts w:ascii="Palatino Linotype" w:hAnsi="Palatino Linotype" w:cstheme="minorHAnsi"/>
          <w:bCs/>
          <w:sz w:val="22"/>
          <w:szCs w:val="22"/>
        </w:rPr>
        <w:t xml:space="preserve">ve özel tüketimde </w:t>
      </w:r>
      <w:r w:rsidR="00B31FC9">
        <w:rPr>
          <w:rFonts w:ascii="Palatino Linotype" w:hAnsi="Palatino Linotype" w:cstheme="minorHAnsi"/>
          <w:bCs/>
          <w:sz w:val="22"/>
          <w:szCs w:val="22"/>
        </w:rPr>
        <w:t xml:space="preserve">olumlu gelişmeler </w:t>
      </w:r>
      <w:r w:rsidR="001D7073">
        <w:rPr>
          <w:rFonts w:ascii="Palatino Linotype" w:hAnsi="Palatino Linotype" w:cstheme="minorHAnsi"/>
          <w:bCs/>
          <w:sz w:val="22"/>
          <w:szCs w:val="22"/>
        </w:rPr>
        <w:t xml:space="preserve">gözlenmekle birlikte faiz ve para politikaları ile uluslararası konjonktürden kaynaklı siyasi belirsizlikler büyümenin geleceği için tehdit oluşturuyor. </w:t>
      </w:r>
      <w:proofErr w:type="gramStart"/>
      <w:r w:rsidR="001D7073">
        <w:rPr>
          <w:rFonts w:ascii="Palatino Linotype" w:hAnsi="Palatino Linotype" w:cstheme="minorHAnsi"/>
          <w:bCs/>
          <w:sz w:val="22"/>
          <w:szCs w:val="22"/>
        </w:rPr>
        <w:t>Nitekim,</w:t>
      </w:r>
      <w:proofErr w:type="gramEnd"/>
      <w:r w:rsidR="001D7073">
        <w:rPr>
          <w:rFonts w:ascii="Palatino Linotype" w:hAnsi="Palatino Linotype" w:cstheme="minorHAnsi"/>
          <w:bCs/>
          <w:sz w:val="22"/>
          <w:szCs w:val="22"/>
        </w:rPr>
        <w:t xml:space="preserve"> en son yayınlanan Temmuz ayı TCMB beklenti anketinde </w:t>
      </w:r>
      <w:r w:rsidR="001D7073" w:rsidRPr="001D7073">
        <w:rPr>
          <w:rFonts w:ascii="Palatino Linotype" w:hAnsi="Palatino Linotype" w:cstheme="minorHAnsi"/>
          <w:bCs/>
          <w:sz w:val="22"/>
          <w:szCs w:val="22"/>
        </w:rPr>
        <w:t xml:space="preserve">bir </w:t>
      </w:r>
      <w:r w:rsidR="001D7073">
        <w:rPr>
          <w:rFonts w:ascii="Palatino Linotype" w:hAnsi="Palatino Linotype" w:cstheme="minorHAnsi"/>
          <w:bCs/>
          <w:sz w:val="22"/>
          <w:szCs w:val="22"/>
        </w:rPr>
        <w:t>ö</w:t>
      </w:r>
      <w:r w:rsidR="001D7073" w:rsidRPr="001D7073">
        <w:rPr>
          <w:rFonts w:ascii="Palatino Linotype" w:hAnsi="Palatino Linotype" w:cstheme="minorHAnsi"/>
          <w:bCs/>
          <w:sz w:val="22"/>
          <w:szCs w:val="22"/>
        </w:rPr>
        <w:t xml:space="preserve">nceki </w:t>
      </w:r>
      <w:r w:rsidR="001D7073">
        <w:rPr>
          <w:rFonts w:ascii="Palatino Linotype" w:hAnsi="Palatino Linotype" w:cstheme="minorHAnsi"/>
          <w:bCs/>
          <w:sz w:val="22"/>
          <w:szCs w:val="22"/>
        </w:rPr>
        <w:t>ay pozitif olan 2019 büyüme beklentisi negatife döndü (yüzde</w:t>
      </w:r>
      <w:r w:rsidR="001D7073" w:rsidRPr="001D7073">
        <w:rPr>
          <w:rFonts w:ascii="Palatino Linotype" w:hAnsi="Palatino Linotype" w:cstheme="minorHAnsi"/>
          <w:bCs/>
          <w:sz w:val="22"/>
          <w:szCs w:val="22"/>
        </w:rPr>
        <w:t xml:space="preserve"> -0,02</w:t>
      </w:r>
      <w:r w:rsidR="001D7073">
        <w:rPr>
          <w:rFonts w:ascii="Palatino Linotype" w:hAnsi="Palatino Linotype" w:cstheme="minorHAnsi"/>
          <w:bCs/>
          <w:sz w:val="22"/>
          <w:szCs w:val="22"/>
        </w:rPr>
        <w:t xml:space="preserve">). Benzer şekilde, </w:t>
      </w:r>
      <w:r w:rsidR="001D7073" w:rsidRPr="001D7073">
        <w:rPr>
          <w:rFonts w:ascii="Palatino Linotype" w:hAnsi="Palatino Linotype" w:cstheme="minorHAnsi"/>
          <w:bCs/>
          <w:sz w:val="22"/>
          <w:szCs w:val="22"/>
        </w:rPr>
        <w:t>Reuters</w:t>
      </w:r>
      <w:r w:rsidR="001D7073">
        <w:rPr>
          <w:rFonts w:ascii="Palatino Linotype" w:hAnsi="Palatino Linotype" w:cstheme="minorHAnsi"/>
          <w:bCs/>
          <w:sz w:val="22"/>
          <w:szCs w:val="22"/>
        </w:rPr>
        <w:t>’in</w:t>
      </w:r>
      <w:r w:rsidR="001D7073" w:rsidRPr="001D7073">
        <w:rPr>
          <w:rFonts w:ascii="Palatino Linotype" w:hAnsi="Palatino Linotype" w:cstheme="minorHAnsi"/>
          <w:bCs/>
          <w:sz w:val="22"/>
          <w:szCs w:val="22"/>
        </w:rPr>
        <w:t xml:space="preserve"> 41 kurumun katılımı ile </w:t>
      </w:r>
      <w:r w:rsidR="001D7073" w:rsidRPr="001D7073">
        <w:rPr>
          <w:rFonts w:ascii="Palatino Linotype" w:hAnsi="Palatino Linotype" w:cstheme="minorHAnsi"/>
          <w:bCs/>
          <w:sz w:val="22"/>
          <w:szCs w:val="22"/>
        </w:rPr>
        <w:lastRenderedPageBreak/>
        <w:t xml:space="preserve">gerçekleştirdiği ankete göre </w:t>
      </w:r>
      <w:r w:rsidR="001D7073">
        <w:rPr>
          <w:rFonts w:ascii="Palatino Linotype" w:hAnsi="Palatino Linotype" w:cstheme="minorHAnsi"/>
          <w:bCs/>
          <w:sz w:val="22"/>
          <w:szCs w:val="22"/>
        </w:rPr>
        <w:t xml:space="preserve">bir önceki ankette pozitif olan </w:t>
      </w:r>
      <w:r w:rsidR="001D7073" w:rsidRPr="001D7073">
        <w:rPr>
          <w:rFonts w:ascii="Palatino Linotype" w:hAnsi="Palatino Linotype" w:cstheme="minorHAnsi"/>
          <w:bCs/>
          <w:sz w:val="22"/>
          <w:szCs w:val="22"/>
        </w:rPr>
        <w:t xml:space="preserve">2019 yılı </w:t>
      </w:r>
      <w:r w:rsidR="001D7073">
        <w:rPr>
          <w:rFonts w:ascii="Palatino Linotype" w:hAnsi="Palatino Linotype" w:cstheme="minorHAnsi"/>
          <w:bCs/>
          <w:sz w:val="22"/>
          <w:szCs w:val="22"/>
        </w:rPr>
        <w:t>büyüme beklentisi</w:t>
      </w:r>
      <w:r w:rsidR="001D7073" w:rsidRPr="001D7073">
        <w:rPr>
          <w:rFonts w:ascii="Palatino Linotype" w:hAnsi="Palatino Linotype" w:cstheme="minorHAnsi"/>
          <w:bCs/>
          <w:sz w:val="22"/>
          <w:szCs w:val="22"/>
        </w:rPr>
        <w:t xml:space="preserve"> </w:t>
      </w:r>
      <w:r w:rsidR="001D7073">
        <w:rPr>
          <w:rFonts w:ascii="Palatino Linotype" w:hAnsi="Palatino Linotype" w:cstheme="minorHAnsi"/>
          <w:bCs/>
          <w:sz w:val="22"/>
          <w:szCs w:val="22"/>
        </w:rPr>
        <w:t xml:space="preserve">eksi yüzde </w:t>
      </w:r>
      <w:r w:rsidR="001D7073" w:rsidRPr="001D7073">
        <w:rPr>
          <w:rFonts w:ascii="Palatino Linotype" w:hAnsi="Palatino Linotype" w:cstheme="minorHAnsi"/>
          <w:bCs/>
          <w:sz w:val="22"/>
          <w:szCs w:val="22"/>
        </w:rPr>
        <w:t>1</w:t>
      </w:r>
      <w:r w:rsidR="001D7073">
        <w:rPr>
          <w:rFonts w:ascii="Palatino Linotype" w:hAnsi="Palatino Linotype" w:cstheme="minorHAnsi"/>
          <w:bCs/>
          <w:sz w:val="22"/>
          <w:szCs w:val="22"/>
        </w:rPr>
        <w:t>,</w:t>
      </w:r>
      <w:r w:rsidR="001D7073" w:rsidRPr="001D7073">
        <w:rPr>
          <w:rFonts w:ascii="Palatino Linotype" w:hAnsi="Palatino Linotype" w:cstheme="minorHAnsi"/>
          <w:bCs/>
          <w:sz w:val="22"/>
          <w:szCs w:val="22"/>
        </w:rPr>
        <w:t>5</w:t>
      </w:r>
      <w:r w:rsidR="001D7073">
        <w:rPr>
          <w:rFonts w:ascii="Palatino Linotype" w:hAnsi="Palatino Linotype" w:cstheme="minorHAnsi"/>
          <w:bCs/>
          <w:sz w:val="22"/>
          <w:szCs w:val="22"/>
        </w:rPr>
        <w:t xml:space="preserve"> olarak gerçekleşti. </w:t>
      </w:r>
      <w:r w:rsidR="00A2147D">
        <w:rPr>
          <w:rFonts w:ascii="Palatino Linotype" w:hAnsi="Palatino Linotype" w:cstheme="minorHAnsi"/>
          <w:bCs/>
          <w:sz w:val="22"/>
          <w:szCs w:val="22"/>
        </w:rPr>
        <w:t xml:space="preserve">Önümüzdeki günlerde güncelleyeceğimiz ikinci çeyrek büyüme tahmini bu tartışmalara biraz daha netlik kazandıracaktır. </w:t>
      </w:r>
    </w:p>
    <w:p w14:paraId="29FB68B7" w14:textId="77777777" w:rsidR="00062A8A" w:rsidRDefault="008C56F9" w:rsidP="00DF08BD">
      <w:pPr>
        <w:pStyle w:val="NormalWeb"/>
        <w:spacing w:before="0" w:beforeAutospacing="0" w:after="0" w:afterAutospacing="0" w:line="360" w:lineRule="auto"/>
        <w:ind w:right="77"/>
        <w:jc w:val="both"/>
        <w:rPr>
          <w:rFonts w:ascii="Palatino Linotype" w:hAnsi="Palatino Linotype" w:cstheme="minorHAnsi"/>
          <w:b/>
          <w:bCs/>
          <w:sz w:val="22"/>
          <w:szCs w:val="22"/>
        </w:rPr>
      </w:pPr>
      <w:r>
        <w:rPr>
          <w:rFonts w:ascii="Palatino Linotype" w:hAnsi="Palatino Linotype" w:cstheme="minorHAnsi"/>
          <w:bCs/>
          <w:sz w:val="22"/>
          <w:szCs w:val="22"/>
          <w:highlight w:val="yellow"/>
        </w:rPr>
        <w:t xml:space="preserve"> </w:t>
      </w:r>
      <w:r w:rsidR="003D4627">
        <w:rPr>
          <w:rFonts w:ascii="Palatino Linotype" w:hAnsi="Palatino Linotype" w:cstheme="minorHAnsi"/>
          <w:bCs/>
          <w:sz w:val="22"/>
          <w:szCs w:val="22"/>
          <w:highlight w:val="yellow"/>
        </w:rPr>
        <w:t xml:space="preserve"> </w:t>
      </w:r>
    </w:p>
    <w:p w14:paraId="2CECF811" w14:textId="77777777" w:rsidR="00DF08BD" w:rsidRDefault="00E85F3F" w:rsidP="00DF08BD">
      <w:pPr>
        <w:pStyle w:val="NormalWeb"/>
        <w:spacing w:before="0" w:beforeAutospacing="0" w:after="0" w:afterAutospacing="0" w:line="360" w:lineRule="auto"/>
        <w:ind w:right="77"/>
        <w:jc w:val="both"/>
        <w:rPr>
          <w:rFonts w:ascii="Palatino Linotype" w:hAnsi="Palatino Linotype" w:cstheme="minorHAnsi"/>
          <w:b/>
          <w:bCs/>
          <w:sz w:val="22"/>
          <w:szCs w:val="22"/>
        </w:rPr>
      </w:pPr>
      <w:r w:rsidRPr="0050008F">
        <w:rPr>
          <w:rFonts w:ascii="Palatino Linotype" w:hAnsi="Palatino Linotype" w:cstheme="minorHAnsi"/>
          <w:b/>
          <w:bCs/>
          <w:sz w:val="22"/>
          <w:szCs w:val="22"/>
        </w:rPr>
        <w:t xml:space="preserve">Şekil </w:t>
      </w:r>
      <w:r w:rsidR="00F22A71" w:rsidRPr="0050008F">
        <w:rPr>
          <w:rFonts w:ascii="Palatino Linotype" w:hAnsi="Palatino Linotype" w:cstheme="minorHAnsi"/>
          <w:b/>
          <w:bCs/>
          <w:sz w:val="22"/>
          <w:szCs w:val="22"/>
        </w:rPr>
        <w:t>2</w:t>
      </w:r>
      <w:r w:rsidRPr="0050008F">
        <w:rPr>
          <w:rFonts w:ascii="Palatino Linotype" w:hAnsi="Palatino Linotype" w:cstheme="minorHAnsi"/>
          <w:b/>
          <w:bCs/>
          <w:sz w:val="22"/>
          <w:szCs w:val="22"/>
        </w:rPr>
        <w:t>: Bir önceki çeyreğe ve geçen yılın aynı çeyreğine göre GSYH büyüme oranları</w:t>
      </w:r>
    </w:p>
    <w:p w14:paraId="19F577E0" w14:textId="77777777" w:rsidR="003A4C32" w:rsidRDefault="00BD00B2"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drawing>
          <wp:inline distT="0" distB="0" distL="0" distR="0" wp14:anchorId="7C766FF5" wp14:editId="66B1F7D9">
            <wp:extent cx="5760720" cy="3238500"/>
            <wp:effectExtent l="0" t="0" r="11430" b="0"/>
            <wp:docPr id="10" name="Chart 10">
              <a:extLst xmlns:a="http://schemas.openxmlformats.org/drawingml/2006/main">
                <a:ext uri="{FF2B5EF4-FFF2-40B4-BE49-F238E27FC236}">
                  <a16:creationId xmlns:a16="http://schemas.microsoft.com/office/drawing/2014/main" id="{72D9EBC5-21EC-487D-941E-FE52049D1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047BBA" w14:textId="77777777" w:rsidR="001A080D" w:rsidRPr="00062A8A"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Pr>
          <w:rFonts w:ascii="Palatino Linotype" w:hAnsi="Palatino Linotype" w:cstheme="minorHAnsi"/>
          <w:sz w:val="18"/>
          <w:szCs w:val="18"/>
        </w:rPr>
        <w:t>Kaynak: TÜİK, Betam</w:t>
      </w:r>
    </w:p>
    <w:sectPr w:rsidR="001A080D" w:rsidRPr="00062A8A"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BE59" w14:textId="77777777" w:rsidR="00C619E7" w:rsidRDefault="00C619E7" w:rsidP="00DA0C5D">
      <w:r>
        <w:separator/>
      </w:r>
    </w:p>
  </w:endnote>
  <w:endnote w:type="continuationSeparator" w:id="0">
    <w:p w14:paraId="4909AC93" w14:textId="77777777" w:rsidR="00C619E7" w:rsidRDefault="00C619E7"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AF3E9" w14:textId="77777777" w:rsidR="00C619E7" w:rsidRDefault="00C619E7" w:rsidP="00DA0C5D">
      <w:r>
        <w:separator/>
      </w:r>
    </w:p>
  </w:footnote>
  <w:footnote w:type="continuationSeparator" w:id="0">
    <w:p w14:paraId="3A159FC5" w14:textId="77777777" w:rsidR="00C619E7" w:rsidRDefault="00C619E7" w:rsidP="00DA0C5D">
      <w:r>
        <w:continuationSeparator/>
      </w:r>
    </w:p>
  </w:footnote>
  <w:footnote w:id="1">
    <w:p w14:paraId="6D61CC27" w14:textId="77777777"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1C19F7AD"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hamza</w:t>
      </w:r>
      <w:r w:rsidR="009B385A">
        <w:rPr>
          <w:rFonts w:ascii="Palatino Linotype" w:hAnsi="Palatino Linotype"/>
          <w:sz w:val="18"/>
          <w:szCs w:val="18"/>
        </w:rPr>
        <w:t>.</w:t>
      </w:r>
      <w:r w:rsidR="00302EDD">
        <w:rPr>
          <w:rFonts w:ascii="Palatino Linotype" w:hAnsi="Palatino Linotype"/>
          <w:sz w:val="18"/>
          <w:szCs w:val="18"/>
        </w:rPr>
        <w:t>mutluay</w:t>
      </w:r>
      <w:r w:rsidRPr="001866FC">
        <w:rPr>
          <w:rFonts w:ascii="Palatino Linotype" w:hAnsi="Palatino Linotype"/>
          <w:sz w:val="18"/>
          <w:szCs w:val="18"/>
        </w:rPr>
        <w:t>@eas.bau.edu.tr</w:t>
      </w:r>
      <w:r>
        <w:t xml:space="preserve"> </w:t>
      </w:r>
    </w:p>
  </w:footnote>
  <w:footnote w:id="3">
    <w:p w14:paraId="02E4FAD1" w14:textId="77777777" w:rsidR="00494926" w:rsidRDefault="00494926">
      <w:pPr>
        <w:pStyle w:val="FootnoteText"/>
      </w:pPr>
      <w:r>
        <w:rPr>
          <w:rStyle w:val="FootnoteReference"/>
        </w:rPr>
        <w:footnoteRef/>
      </w:r>
      <w:r>
        <w:t xml:space="preserve"> </w:t>
      </w:r>
      <w:r w:rsidRPr="00494926">
        <w:t xml:space="preserve">TÜİK yeni milli gelir serilerini hesaplarken zincirleme hacim endeksi yöntemini kullanıyor. Zincirleme yöntemde hem </w:t>
      </w:r>
      <w:proofErr w:type="spellStart"/>
      <w:r w:rsidRPr="00494926">
        <w:t>toplamsallık</w:t>
      </w:r>
      <w:proofErr w:type="spellEnd"/>
      <w:r w:rsidRPr="00494926">
        <w:t xml:space="preserve">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(bkz. Betam Araştırma Notu 17/217).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13"/>
    <w:rsid w:val="000141C7"/>
    <w:rsid w:val="00017B51"/>
    <w:rsid w:val="00036770"/>
    <w:rsid w:val="00041FB7"/>
    <w:rsid w:val="0004390D"/>
    <w:rsid w:val="00044AF3"/>
    <w:rsid w:val="0005290F"/>
    <w:rsid w:val="00052B86"/>
    <w:rsid w:val="00054943"/>
    <w:rsid w:val="00055EA1"/>
    <w:rsid w:val="00057F8E"/>
    <w:rsid w:val="00062A8A"/>
    <w:rsid w:val="000652B6"/>
    <w:rsid w:val="00070018"/>
    <w:rsid w:val="00073415"/>
    <w:rsid w:val="00080211"/>
    <w:rsid w:val="00080336"/>
    <w:rsid w:val="00085271"/>
    <w:rsid w:val="000905E5"/>
    <w:rsid w:val="00091F3E"/>
    <w:rsid w:val="00096CDA"/>
    <w:rsid w:val="00097794"/>
    <w:rsid w:val="000978C8"/>
    <w:rsid w:val="000A05ED"/>
    <w:rsid w:val="000A3019"/>
    <w:rsid w:val="000A612E"/>
    <w:rsid w:val="000B0FC1"/>
    <w:rsid w:val="000B45D6"/>
    <w:rsid w:val="000C634D"/>
    <w:rsid w:val="000D5FD3"/>
    <w:rsid w:val="000E445D"/>
    <w:rsid w:val="000F0B6B"/>
    <w:rsid w:val="000F2C7A"/>
    <w:rsid w:val="000F6529"/>
    <w:rsid w:val="0010209C"/>
    <w:rsid w:val="00111CED"/>
    <w:rsid w:val="0011613D"/>
    <w:rsid w:val="0012527F"/>
    <w:rsid w:val="00125770"/>
    <w:rsid w:val="00126200"/>
    <w:rsid w:val="00130D73"/>
    <w:rsid w:val="00132910"/>
    <w:rsid w:val="00140468"/>
    <w:rsid w:val="00143F17"/>
    <w:rsid w:val="0014542A"/>
    <w:rsid w:val="001527FA"/>
    <w:rsid w:val="001537D8"/>
    <w:rsid w:val="00160880"/>
    <w:rsid w:val="001648AB"/>
    <w:rsid w:val="001744CD"/>
    <w:rsid w:val="001777A4"/>
    <w:rsid w:val="00184174"/>
    <w:rsid w:val="001855BC"/>
    <w:rsid w:val="001866FC"/>
    <w:rsid w:val="00190944"/>
    <w:rsid w:val="00194FF2"/>
    <w:rsid w:val="001A080D"/>
    <w:rsid w:val="001A42FF"/>
    <w:rsid w:val="001A5699"/>
    <w:rsid w:val="001B3A44"/>
    <w:rsid w:val="001C2763"/>
    <w:rsid w:val="001C2C68"/>
    <w:rsid w:val="001C65BF"/>
    <w:rsid w:val="001C7370"/>
    <w:rsid w:val="001D0150"/>
    <w:rsid w:val="001D36E7"/>
    <w:rsid w:val="001D420E"/>
    <w:rsid w:val="001D5B02"/>
    <w:rsid w:val="001D6465"/>
    <w:rsid w:val="001D7073"/>
    <w:rsid w:val="001D7513"/>
    <w:rsid w:val="001E2E49"/>
    <w:rsid w:val="001E495B"/>
    <w:rsid w:val="001E514D"/>
    <w:rsid w:val="001E72E4"/>
    <w:rsid w:val="001F12E3"/>
    <w:rsid w:val="001F1554"/>
    <w:rsid w:val="001F7B1D"/>
    <w:rsid w:val="001F7BC7"/>
    <w:rsid w:val="00201E79"/>
    <w:rsid w:val="00202302"/>
    <w:rsid w:val="002106DF"/>
    <w:rsid w:val="00212579"/>
    <w:rsid w:val="00212782"/>
    <w:rsid w:val="00214914"/>
    <w:rsid w:val="00214B5E"/>
    <w:rsid w:val="0022673E"/>
    <w:rsid w:val="002343A8"/>
    <w:rsid w:val="00242C10"/>
    <w:rsid w:val="0025111C"/>
    <w:rsid w:val="002663FD"/>
    <w:rsid w:val="00270A75"/>
    <w:rsid w:val="002714F9"/>
    <w:rsid w:val="00275745"/>
    <w:rsid w:val="002804E5"/>
    <w:rsid w:val="00282242"/>
    <w:rsid w:val="002847DE"/>
    <w:rsid w:val="0028498B"/>
    <w:rsid w:val="0029215C"/>
    <w:rsid w:val="00295E9A"/>
    <w:rsid w:val="0029624E"/>
    <w:rsid w:val="002A07A9"/>
    <w:rsid w:val="002A16BA"/>
    <w:rsid w:val="002B3C10"/>
    <w:rsid w:val="002B4A1A"/>
    <w:rsid w:val="002C5C24"/>
    <w:rsid w:val="002C64BB"/>
    <w:rsid w:val="002D1797"/>
    <w:rsid w:val="002D4D2D"/>
    <w:rsid w:val="002F2245"/>
    <w:rsid w:val="002F2D70"/>
    <w:rsid w:val="00302EDD"/>
    <w:rsid w:val="003061DC"/>
    <w:rsid w:val="003172DB"/>
    <w:rsid w:val="0032176F"/>
    <w:rsid w:val="00321D78"/>
    <w:rsid w:val="0032324A"/>
    <w:rsid w:val="00324C51"/>
    <w:rsid w:val="00326195"/>
    <w:rsid w:val="00327CFB"/>
    <w:rsid w:val="00334E27"/>
    <w:rsid w:val="00344A74"/>
    <w:rsid w:val="00351F12"/>
    <w:rsid w:val="00362359"/>
    <w:rsid w:val="00375EB0"/>
    <w:rsid w:val="003777B5"/>
    <w:rsid w:val="003967B5"/>
    <w:rsid w:val="003A488B"/>
    <w:rsid w:val="003A4C32"/>
    <w:rsid w:val="003A7596"/>
    <w:rsid w:val="003B2008"/>
    <w:rsid w:val="003B2D0B"/>
    <w:rsid w:val="003C2891"/>
    <w:rsid w:val="003C65A1"/>
    <w:rsid w:val="003D4202"/>
    <w:rsid w:val="003D44CE"/>
    <w:rsid w:val="003D4627"/>
    <w:rsid w:val="003E1EED"/>
    <w:rsid w:val="003E3299"/>
    <w:rsid w:val="004017B2"/>
    <w:rsid w:val="00405BD8"/>
    <w:rsid w:val="00407C84"/>
    <w:rsid w:val="00424382"/>
    <w:rsid w:val="00431C38"/>
    <w:rsid w:val="00433A75"/>
    <w:rsid w:val="004435E3"/>
    <w:rsid w:val="00443C08"/>
    <w:rsid w:val="00447743"/>
    <w:rsid w:val="00451A8A"/>
    <w:rsid w:val="004623F2"/>
    <w:rsid w:val="00476E22"/>
    <w:rsid w:val="00477AED"/>
    <w:rsid w:val="00480684"/>
    <w:rsid w:val="00483EC5"/>
    <w:rsid w:val="0048774D"/>
    <w:rsid w:val="00490AAE"/>
    <w:rsid w:val="00492020"/>
    <w:rsid w:val="004931A5"/>
    <w:rsid w:val="00494926"/>
    <w:rsid w:val="004B130D"/>
    <w:rsid w:val="004B6E05"/>
    <w:rsid w:val="004B7166"/>
    <w:rsid w:val="004C548E"/>
    <w:rsid w:val="004E0098"/>
    <w:rsid w:val="004E5018"/>
    <w:rsid w:val="004F0543"/>
    <w:rsid w:val="004F10AB"/>
    <w:rsid w:val="0050008F"/>
    <w:rsid w:val="005020BC"/>
    <w:rsid w:val="005033DB"/>
    <w:rsid w:val="00505041"/>
    <w:rsid w:val="00506253"/>
    <w:rsid w:val="00510883"/>
    <w:rsid w:val="00521326"/>
    <w:rsid w:val="005225E0"/>
    <w:rsid w:val="00530B9F"/>
    <w:rsid w:val="0053582F"/>
    <w:rsid w:val="0053586E"/>
    <w:rsid w:val="0054145E"/>
    <w:rsid w:val="00542345"/>
    <w:rsid w:val="00544773"/>
    <w:rsid w:val="005600E7"/>
    <w:rsid w:val="00570C1B"/>
    <w:rsid w:val="00572FD8"/>
    <w:rsid w:val="005748A8"/>
    <w:rsid w:val="005824BD"/>
    <w:rsid w:val="0058588C"/>
    <w:rsid w:val="00586424"/>
    <w:rsid w:val="005A2246"/>
    <w:rsid w:val="005A617F"/>
    <w:rsid w:val="005B35F3"/>
    <w:rsid w:val="005C00FE"/>
    <w:rsid w:val="005C08B0"/>
    <w:rsid w:val="005C6245"/>
    <w:rsid w:val="005D00FB"/>
    <w:rsid w:val="005D2979"/>
    <w:rsid w:val="005D4126"/>
    <w:rsid w:val="005D72F5"/>
    <w:rsid w:val="005E2717"/>
    <w:rsid w:val="005E49F0"/>
    <w:rsid w:val="005F0C29"/>
    <w:rsid w:val="005F69B2"/>
    <w:rsid w:val="005F7787"/>
    <w:rsid w:val="00613D1F"/>
    <w:rsid w:val="0061410A"/>
    <w:rsid w:val="00625B95"/>
    <w:rsid w:val="00631D5B"/>
    <w:rsid w:val="00632221"/>
    <w:rsid w:val="00632CF6"/>
    <w:rsid w:val="0064012D"/>
    <w:rsid w:val="00643113"/>
    <w:rsid w:val="006432C9"/>
    <w:rsid w:val="006439C5"/>
    <w:rsid w:val="00643F5D"/>
    <w:rsid w:val="0064483B"/>
    <w:rsid w:val="00645147"/>
    <w:rsid w:val="00647318"/>
    <w:rsid w:val="00647792"/>
    <w:rsid w:val="00650BB3"/>
    <w:rsid w:val="006549E3"/>
    <w:rsid w:val="00655938"/>
    <w:rsid w:val="0067008D"/>
    <w:rsid w:val="006761BB"/>
    <w:rsid w:val="0067693E"/>
    <w:rsid w:val="00680E36"/>
    <w:rsid w:val="00681022"/>
    <w:rsid w:val="006813D8"/>
    <w:rsid w:val="00681AD9"/>
    <w:rsid w:val="00694B4D"/>
    <w:rsid w:val="00694F52"/>
    <w:rsid w:val="006A201E"/>
    <w:rsid w:val="006B0633"/>
    <w:rsid w:val="006C122C"/>
    <w:rsid w:val="006C3EE6"/>
    <w:rsid w:val="006C49A7"/>
    <w:rsid w:val="006D02FD"/>
    <w:rsid w:val="006D1DD6"/>
    <w:rsid w:val="006D32A0"/>
    <w:rsid w:val="006F1912"/>
    <w:rsid w:val="006F2CD8"/>
    <w:rsid w:val="006F49E7"/>
    <w:rsid w:val="006F5E82"/>
    <w:rsid w:val="006F615A"/>
    <w:rsid w:val="00707FBD"/>
    <w:rsid w:val="00711A8A"/>
    <w:rsid w:val="007135FC"/>
    <w:rsid w:val="00720250"/>
    <w:rsid w:val="00724E7C"/>
    <w:rsid w:val="00731521"/>
    <w:rsid w:val="0074205B"/>
    <w:rsid w:val="0075142F"/>
    <w:rsid w:val="00751F72"/>
    <w:rsid w:val="00761711"/>
    <w:rsid w:val="00765445"/>
    <w:rsid w:val="00773D8B"/>
    <w:rsid w:val="00776789"/>
    <w:rsid w:val="00777AEF"/>
    <w:rsid w:val="00783CD4"/>
    <w:rsid w:val="0079216E"/>
    <w:rsid w:val="00792F4E"/>
    <w:rsid w:val="00797437"/>
    <w:rsid w:val="007A0DBE"/>
    <w:rsid w:val="007A1767"/>
    <w:rsid w:val="007A5FB1"/>
    <w:rsid w:val="007B5A28"/>
    <w:rsid w:val="007B70AD"/>
    <w:rsid w:val="007C1995"/>
    <w:rsid w:val="007C462A"/>
    <w:rsid w:val="007D4953"/>
    <w:rsid w:val="007F13F2"/>
    <w:rsid w:val="007F39BB"/>
    <w:rsid w:val="007F3B7C"/>
    <w:rsid w:val="007F3C9B"/>
    <w:rsid w:val="008063E6"/>
    <w:rsid w:val="0081114C"/>
    <w:rsid w:val="00817A10"/>
    <w:rsid w:val="00830B62"/>
    <w:rsid w:val="008312F9"/>
    <w:rsid w:val="00832402"/>
    <w:rsid w:val="00841E4C"/>
    <w:rsid w:val="00844C00"/>
    <w:rsid w:val="00844C47"/>
    <w:rsid w:val="0084500C"/>
    <w:rsid w:val="00845A54"/>
    <w:rsid w:val="0084623F"/>
    <w:rsid w:val="008469D3"/>
    <w:rsid w:val="00856B55"/>
    <w:rsid w:val="0086495E"/>
    <w:rsid w:val="00865CE6"/>
    <w:rsid w:val="0087023B"/>
    <w:rsid w:val="00870A3F"/>
    <w:rsid w:val="00881E18"/>
    <w:rsid w:val="0088270D"/>
    <w:rsid w:val="00884819"/>
    <w:rsid w:val="0089048A"/>
    <w:rsid w:val="008914E6"/>
    <w:rsid w:val="00893320"/>
    <w:rsid w:val="008945AE"/>
    <w:rsid w:val="008A3BD9"/>
    <w:rsid w:val="008B29F8"/>
    <w:rsid w:val="008C51CA"/>
    <w:rsid w:val="008C56F9"/>
    <w:rsid w:val="008C70C5"/>
    <w:rsid w:val="008F1741"/>
    <w:rsid w:val="008F2BCD"/>
    <w:rsid w:val="00914D26"/>
    <w:rsid w:val="00916533"/>
    <w:rsid w:val="00917330"/>
    <w:rsid w:val="009204AA"/>
    <w:rsid w:val="009247BA"/>
    <w:rsid w:val="00924CD9"/>
    <w:rsid w:val="00927D28"/>
    <w:rsid w:val="00935D6E"/>
    <w:rsid w:val="009400E0"/>
    <w:rsid w:val="00940150"/>
    <w:rsid w:val="00940DA9"/>
    <w:rsid w:val="0094295F"/>
    <w:rsid w:val="00945950"/>
    <w:rsid w:val="00957FE5"/>
    <w:rsid w:val="00961F5B"/>
    <w:rsid w:val="00963B04"/>
    <w:rsid w:val="009663D6"/>
    <w:rsid w:val="0098310A"/>
    <w:rsid w:val="00983612"/>
    <w:rsid w:val="00990E34"/>
    <w:rsid w:val="00996151"/>
    <w:rsid w:val="00996EBD"/>
    <w:rsid w:val="00997694"/>
    <w:rsid w:val="00997713"/>
    <w:rsid w:val="00997C54"/>
    <w:rsid w:val="009A71AF"/>
    <w:rsid w:val="009B1546"/>
    <w:rsid w:val="009B16AD"/>
    <w:rsid w:val="009B2E56"/>
    <w:rsid w:val="009B385A"/>
    <w:rsid w:val="009B651F"/>
    <w:rsid w:val="009C66C3"/>
    <w:rsid w:val="009D62AC"/>
    <w:rsid w:val="009D71BF"/>
    <w:rsid w:val="009E0348"/>
    <w:rsid w:val="009E25DA"/>
    <w:rsid w:val="009E5241"/>
    <w:rsid w:val="009E68C6"/>
    <w:rsid w:val="009F2483"/>
    <w:rsid w:val="009F603E"/>
    <w:rsid w:val="00A0130D"/>
    <w:rsid w:val="00A03316"/>
    <w:rsid w:val="00A04EFA"/>
    <w:rsid w:val="00A10891"/>
    <w:rsid w:val="00A109C3"/>
    <w:rsid w:val="00A15DC3"/>
    <w:rsid w:val="00A2147D"/>
    <w:rsid w:val="00A2601A"/>
    <w:rsid w:val="00A303D5"/>
    <w:rsid w:val="00A3095F"/>
    <w:rsid w:val="00A310EA"/>
    <w:rsid w:val="00A322AA"/>
    <w:rsid w:val="00A34DB9"/>
    <w:rsid w:val="00A40E31"/>
    <w:rsid w:val="00A43A2D"/>
    <w:rsid w:val="00A444F9"/>
    <w:rsid w:val="00A46C4A"/>
    <w:rsid w:val="00A50FB7"/>
    <w:rsid w:val="00A6165E"/>
    <w:rsid w:val="00A675D3"/>
    <w:rsid w:val="00A719DB"/>
    <w:rsid w:val="00A842EA"/>
    <w:rsid w:val="00A8572B"/>
    <w:rsid w:val="00A86808"/>
    <w:rsid w:val="00A874DA"/>
    <w:rsid w:val="00A90B4F"/>
    <w:rsid w:val="00A90F77"/>
    <w:rsid w:val="00A92286"/>
    <w:rsid w:val="00A9270B"/>
    <w:rsid w:val="00AB1006"/>
    <w:rsid w:val="00AB36F7"/>
    <w:rsid w:val="00AD7ADC"/>
    <w:rsid w:val="00AE59EE"/>
    <w:rsid w:val="00B01508"/>
    <w:rsid w:val="00B02D74"/>
    <w:rsid w:val="00B17241"/>
    <w:rsid w:val="00B17B6A"/>
    <w:rsid w:val="00B24D13"/>
    <w:rsid w:val="00B27C9F"/>
    <w:rsid w:val="00B31FC9"/>
    <w:rsid w:val="00B34132"/>
    <w:rsid w:val="00B36BFA"/>
    <w:rsid w:val="00B45DFF"/>
    <w:rsid w:val="00B4685F"/>
    <w:rsid w:val="00B56D03"/>
    <w:rsid w:val="00B703DE"/>
    <w:rsid w:val="00B76782"/>
    <w:rsid w:val="00B82B92"/>
    <w:rsid w:val="00B9319A"/>
    <w:rsid w:val="00B95E66"/>
    <w:rsid w:val="00BA3C62"/>
    <w:rsid w:val="00BA5FF0"/>
    <w:rsid w:val="00BA7E44"/>
    <w:rsid w:val="00BB3448"/>
    <w:rsid w:val="00BB5725"/>
    <w:rsid w:val="00BC1EF8"/>
    <w:rsid w:val="00BD00B2"/>
    <w:rsid w:val="00BD51DF"/>
    <w:rsid w:val="00BD6621"/>
    <w:rsid w:val="00BD6EC8"/>
    <w:rsid w:val="00BE06CE"/>
    <w:rsid w:val="00BE1622"/>
    <w:rsid w:val="00BE7C49"/>
    <w:rsid w:val="00BF1EC4"/>
    <w:rsid w:val="00BF59B3"/>
    <w:rsid w:val="00C11B5A"/>
    <w:rsid w:val="00C126FC"/>
    <w:rsid w:val="00C21E02"/>
    <w:rsid w:val="00C271FA"/>
    <w:rsid w:val="00C32789"/>
    <w:rsid w:val="00C34C5C"/>
    <w:rsid w:val="00C35660"/>
    <w:rsid w:val="00C43EBE"/>
    <w:rsid w:val="00C5056E"/>
    <w:rsid w:val="00C53444"/>
    <w:rsid w:val="00C57749"/>
    <w:rsid w:val="00C60221"/>
    <w:rsid w:val="00C6130D"/>
    <w:rsid w:val="00C619E7"/>
    <w:rsid w:val="00C7220A"/>
    <w:rsid w:val="00C73CC1"/>
    <w:rsid w:val="00C754E1"/>
    <w:rsid w:val="00C82B14"/>
    <w:rsid w:val="00C850EC"/>
    <w:rsid w:val="00C86475"/>
    <w:rsid w:val="00C87C00"/>
    <w:rsid w:val="00C900F9"/>
    <w:rsid w:val="00C9036E"/>
    <w:rsid w:val="00C97FD1"/>
    <w:rsid w:val="00CA234B"/>
    <w:rsid w:val="00CB0E7B"/>
    <w:rsid w:val="00CB3462"/>
    <w:rsid w:val="00CB41BA"/>
    <w:rsid w:val="00CB767C"/>
    <w:rsid w:val="00CC3EAD"/>
    <w:rsid w:val="00CC44D3"/>
    <w:rsid w:val="00CC79C0"/>
    <w:rsid w:val="00CF365B"/>
    <w:rsid w:val="00CF5053"/>
    <w:rsid w:val="00CF7798"/>
    <w:rsid w:val="00D07713"/>
    <w:rsid w:val="00D10C44"/>
    <w:rsid w:val="00D1282D"/>
    <w:rsid w:val="00D136A7"/>
    <w:rsid w:val="00D24254"/>
    <w:rsid w:val="00D257C1"/>
    <w:rsid w:val="00D34702"/>
    <w:rsid w:val="00D4418E"/>
    <w:rsid w:val="00D44562"/>
    <w:rsid w:val="00D45167"/>
    <w:rsid w:val="00D4574F"/>
    <w:rsid w:val="00D463B7"/>
    <w:rsid w:val="00D50220"/>
    <w:rsid w:val="00D53424"/>
    <w:rsid w:val="00D54395"/>
    <w:rsid w:val="00D60AAF"/>
    <w:rsid w:val="00D63430"/>
    <w:rsid w:val="00D67F66"/>
    <w:rsid w:val="00D732A9"/>
    <w:rsid w:val="00D76361"/>
    <w:rsid w:val="00D803A1"/>
    <w:rsid w:val="00D90931"/>
    <w:rsid w:val="00D94A3B"/>
    <w:rsid w:val="00D95EA2"/>
    <w:rsid w:val="00D9649B"/>
    <w:rsid w:val="00DA0C5D"/>
    <w:rsid w:val="00DA5524"/>
    <w:rsid w:val="00DB5518"/>
    <w:rsid w:val="00DB6C1E"/>
    <w:rsid w:val="00DC0B1C"/>
    <w:rsid w:val="00DD2D75"/>
    <w:rsid w:val="00DD4D85"/>
    <w:rsid w:val="00DE57B8"/>
    <w:rsid w:val="00DF08BD"/>
    <w:rsid w:val="00DF1057"/>
    <w:rsid w:val="00DF44DE"/>
    <w:rsid w:val="00E05DE7"/>
    <w:rsid w:val="00E122C5"/>
    <w:rsid w:val="00E23E54"/>
    <w:rsid w:val="00E25A25"/>
    <w:rsid w:val="00E306CB"/>
    <w:rsid w:val="00E3778C"/>
    <w:rsid w:val="00E40CBC"/>
    <w:rsid w:val="00E41840"/>
    <w:rsid w:val="00E4681E"/>
    <w:rsid w:val="00E540BC"/>
    <w:rsid w:val="00E565C5"/>
    <w:rsid w:val="00E57043"/>
    <w:rsid w:val="00E5723B"/>
    <w:rsid w:val="00E667CB"/>
    <w:rsid w:val="00E67DCD"/>
    <w:rsid w:val="00E750CC"/>
    <w:rsid w:val="00E77CAA"/>
    <w:rsid w:val="00E82940"/>
    <w:rsid w:val="00E83A84"/>
    <w:rsid w:val="00E85F3F"/>
    <w:rsid w:val="00EA0ED2"/>
    <w:rsid w:val="00EA7527"/>
    <w:rsid w:val="00EB2C83"/>
    <w:rsid w:val="00EB476F"/>
    <w:rsid w:val="00EB52B3"/>
    <w:rsid w:val="00EC136E"/>
    <w:rsid w:val="00EC2814"/>
    <w:rsid w:val="00EC37CB"/>
    <w:rsid w:val="00ED0762"/>
    <w:rsid w:val="00ED5E21"/>
    <w:rsid w:val="00ED7C53"/>
    <w:rsid w:val="00EE0633"/>
    <w:rsid w:val="00EE150B"/>
    <w:rsid w:val="00EE4795"/>
    <w:rsid w:val="00EF09A7"/>
    <w:rsid w:val="00EF29EC"/>
    <w:rsid w:val="00F0076E"/>
    <w:rsid w:val="00F00FB7"/>
    <w:rsid w:val="00F0654E"/>
    <w:rsid w:val="00F118B1"/>
    <w:rsid w:val="00F136EE"/>
    <w:rsid w:val="00F22A71"/>
    <w:rsid w:val="00F27D86"/>
    <w:rsid w:val="00F30329"/>
    <w:rsid w:val="00F31726"/>
    <w:rsid w:val="00F41E19"/>
    <w:rsid w:val="00F441A2"/>
    <w:rsid w:val="00F44E44"/>
    <w:rsid w:val="00F46A54"/>
    <w:rsid w:val="00F50705"/>
    <w:rsid w:val="00F5130C"/>
    <w:rsid w:val="00F65C09"/>
    <w:rsid w:val="00F676BF"/>
    <w:rsid w:val="00F67B66"/>
    <w:rsid w:val="00F70EC7"/>
    <w:rsid w:val="00F80F23"/>
    <w:rsid w:val="00F87405"/>
    <w:rsid w:val="00F9160B"/>
    <w:rsid w:val="00F94113"/>
    <w:rsid w:val="00F9530C"/>
    <w:rsid w:val="00FA206C"/>
    <w:rsid w:val="00FA63BA"/>
    <w:rsid w:val="00FB3FBF"/>
    <w:rsid w:val="00FB5611"/>
    <w:rsid w:val="00FC0F20"/>
    <w:rsid w:val="00FD2267"/>
    <w:rsid w:val="00FD35CE"/>
    <w:rsid w:val="00FD7B4A"/>
    <w:rsid w:val="00FE38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mza.mutluay\Dropbox\buyume_degerlendirme\buy_deg_tablolar%20(Furk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amza.mutluay\Dropbox\buyume_degerlendirme\buy_deg_tablolar%20(Furka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Q1 '!$F$3</c:f>
              <c:strCache>
                <c:ptCount val="1"/>
                <c:pt idx="0">
                  <c:v>Katkı (%)</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F47E-4E72-975D-A8E952E3BF57}"/>
              </c:ext>
            </c:extLst>
          </c:dPt>
          <c:dPt>
            <c:idx val="4"/>
            <c:invertIfNegative val="0"/>
            <c:bubble3D val="0"/>
            <c:spPr>
              <a:solidFill>
                <a:srgbClr val="FF0000"/>
              </a:solidFill>
              <a:ln>
                <a:noFill/>
              </a:ln>
              <a:effectLst/>
            </c:spPr>
            <c:extLst>
              <c:ext xmlns:c16="http://schemas.microsoft.com/office/drawing/2014/chart" uri="{C3380CC4-5D6E-409C-BE32-E72D297353CC}">
                <c16:uniqueId val="{00000003-F47E-4E72-975D-A8E952E3BF57}"/>
              </c:ext>
            </c:extLst>
          </c:dPt>
          <c:dPt>
            <c:idx val="5"/>
            <c:invertIfNegative val="0"/>
            <c:bubble3D val="0"/>
            <c:spPr>
              <a:solidFill>
                <a:srgbClr val="FF0000"/>
              </a:solidFill>
              <a:ln>
                <a:noFill/>
              </a:ln>
              <a:effectLst/>
            </c:spPr>
            <c:extLst>
              <c:ext xmlns:c16="http://schemas.microsoft.com/office/drawing/2014/chart" uri="{C3380CC4-5D6E-409C-BE32-E72D297353CC}">
                <c16:uniqueId val="{00000005-F47E-4E72-975D-A8E952E3BF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'2017Q3'!$B$4:$B$9</c:f>
              <c:strCache>
                <c:ptCount val="6"/>
                <c:pt idx="0">
                  <c:v>Özel Tüketim</c:v>
                </c:pt>
                <c:pt idx="1">
                  <c:v>Kamu Tüketimi</c:v>
                </c:pt>
                <c:pt idx="2">
                  <c:v>Yatırım</c:v>
                </c:pt>
                <c:pt idx="3">
                  <c:v>Stok Değişimi</c:v>
                </c:pt>
                <c:pt idx="4">
                  <c:v>İhracat</c:v>
                </c:pt>
                <c:pt idx="5">
                  <c:v>İthalat</c:v>
                </c:pt>
              </c:strCache>
            </c:strRef>
          </c:cat>
          <c:val>
            <c:numRef>
              <c:f>'2019 Q1 '!$F$4:$F$9</c:f>
              <c:numCache>
                <c:formatCode>0.0</c:formatCode>
                <c:ptCount val="6"/>
                <c:pt idx="0">
                  <c:v>-2.89012402</c:v>
                </c:pt>
                <c:pt idx="1">
                  <c:v>1.0357511699999999</c:v>
                </c:pt>
                <c:pt idx="2">
                  <c:v>-3.94601523</c:v>
                </c:pt>
                <c:pt idx="3">
                  <c:v>-9.0362333600000007</c:v>
                </c:pt>
                <c:pt idx="4">
                  <c:v>2.53290675</c:v>
                </c:pt>
                <c:pt idx="5">
                  <c:v>9.6790294245999995</c:v>
                </c:pt>
              </c:numCache>
            </c:numRef>
          </c:val>
          <c:extLst>
            <c:ext xmlns:c16="http://schemas.microsoft.com/office/drawing/2014/chart" uri="{C3380CC4-5D6E-409C-BE32-E72D297353CC}">
              <c16:uniqueId val="{00000006-F47E-4E72-975D-A8E952E3BF57}"/>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a:softEdge rad="0"/>
          </a:effectLst>
        </c:spPr>
        <c:txPr>
          <a:bodyPr rot="0" spcFirstLastPara="1" vertOverflow="ellipsis" wrap="square" anchor="b"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Q1 '!$E$3</c:f>
              <c:strCache>
                <c:ptCount val="1"/>
                <c:pt idx="0">
                  <c:v>Değişim (%)</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985A-4123-B591-4F9736B7ABF4}"/>
              </c:ext>
            </c:extLst>
          </c:dPt>
          <c:dPt>
            <c:idx val="3"/>
            <c:invertIfNegative val="0"/>
            <c:bubble3D val="0"/>
            <c:spPr>
              <a:solidFill>
                <a:srgbClr val="FF0000"/>
              </a:solidFill>
              <a:ln>
                <a:noFill/>
              </a:ln>
              <a:effectLst/>
            </c:spPr>
            <c:extLst>
              <c:ext xmlns:c16="http://schemas.microsoft.com/office/drawing/2014/chart" uri="{C3380CC4-5D6E-409C-BE32-E72D297353CC}">
                <c16:uniqueId val="{00000003-985A-4123-B591-4F9736B7AB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'2017Q3'!$B$4:$B$10</c:f>
              <c:strCache>
                <c:ptCount val="6"/>
                <c:pt idx="0">
                  <c:v>Özel Tüketim</c:v>
                </c:pt>
                <c:pt idx="1">
                  <c:v>Kamu Tüketimi</c:v>
                </c:pt>
                <c:pt idx="2">
                  <c:v>Yatırım</c:v>
                </c:pt>
                <c:pt idx="3">
                  <c:v>İhracat</c:v>
                </c:pt>
                <c:pt idx="4">
                  <c:v>İthalat</c:v>
                </c:pt>
                <c:pt idx="5">
                  <c:v>GSYH</c:v>
                </c:pt>
              </c:strCache>
            </c:strRef>
          </c:cat>
          <c:val>
            <c:numRef>
              <c:f>'2019 Q1 '!$E$4:$E$10</c:f>
              <c:numCache>
                <c:formatCode>0.0</c:formatCode>
                <c:ptCount val="6"/>
                <c:pt idx="0">
                  <c:v>-4.7072969162646583</c:v>
                </c:pt>
                <c:pt idx="1">
                  <c:v>7.2163241352789509</c:v>
                </c:pt>
                <c:pt idx="2">
                  <c:v>-13.00779619134893</c:v>
                </c:pt>
                <c:pt idx="3">
                  <c:v>9.4734203830031625</c:v>
                </c:pt>
                <c:pt idx="4">
                  <c:v>-28.822047097720748</c:v>
                </c:pt>
                <c:pt idx="5">
                  <c:v>-2.6246852747727756</c:v>
                </c:pt>
              </c:numCache>
            </c:numRef>
          </c:val>
          <c:extLst>
            <c:ext xmlns:c16="http://schemas.microsoft.com/office/drawing/2014/chart" uri="{C3380CC4-5D6E-409C-BE32-E72D297353CC}">
              <c16:uniqueId val="{00000004-985A-4123-B591-4F9736B7ABF4}"/>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6137568"/>
        <c:crosses val="autoZero"/>
        <c:auto val="1"/>
        <c:lblAlgn val="ctr"/>
        <c:lblOffset val="100"/>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 Q1 '!$E$29</c:f>
              <c:strCache>
                <c:ptCount val="1"/>
                <c:pt idx="0">
                  <c:v>Yıllık değişim</c:v>
                </c:pt>
              </c:strCache>
            </c:strRef>
          </c:tx>
          <c:spPr>
            <a:solidFill>
              <a:schemeClr val="accent1"/>
            </a:solidFill>
            <a:ln>
              <a:noFill/>
            </a:ln>
            <a:effectLst/>
          </c:spPr>
          <c:invertIfNegative val="0"/>
          <c:cat>
            <c:strRef>
              <c:f>'2019 Q1 '!$A$36:$A$58</c:f>
              <c:strCache>
                <c:ptCount val="23"/>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strCache>
            </c:strRef>
          </c:cat>
          <c:val>
            <c:numRef>
              <c:f>'2019 Q1 '!$E$36:$E$58</c:f>
              <c:numCache>
                <c:formatCode>0.0</c:formatCode>
                <c:ptCount val="23"/>
                <c:pt idx="0">
                  <c:v>8.9226688185641834</c:v>
                </c:pt>
                <c:pt idx="1">
                  <c:v>6.8804097448097012</c:v>
                </c:pt>
                <c:pt idx="2">
                  <c:v>8.679514433077685</c:v>
                </c:pt>
                <c:pt idx="3">
                  <c:v>2.8975438907233864</c:v>
                </c:pt>
                <c:pt idx="4">
                  <c:v>3.6662593748295391</c:v>
                </c:pt>
                <c:pt idx="5">
                  <c:v>5.9302729224654627</c:v>
                </c:pt>
                <c:pt idx="6">
                  <c:v>3.6016444988062446</c:v>
                </c:pt>
                <c:pt idx="7">
                  <c:v>7.1600269167206632</c:v>
                </c:pt>
                <c:pt idx="8">
                  <c:v>5.7850603678571977</c:v>
                </c:pt>
                <c:pt idx="9">
                  <c:v>7.4964855651153073</c:v>
                </c:pt>
                <c:pt idx="10">
                  <c:v>4.8088368037152884</c:v>
                </c:pt>
                <c:pt idx="11">
                  <c:v>4.9296739692042513</c:v>
                </c:pt>
                <c:pt idx="12">
                  <c:v>-0.81201901704391899</c:v>
                </c:pt>
                <c:pt idx="13">
                  <c:v>4.2392839151392803</c:v>
                </c:pt>
                <c:pt idx="14">
                  <c:v>5.2650794795255695</c:v>
                </c:pt>
                <c:pt idx="15">
                  <c:v>5.3007189170621638</c:v>
                </c:pt>
                <c:pt idx="16">
                  <c:v>11.493733635725434</c:v>
                </c:pt>
                <c:pt idx="17">
                  <c:v>7.3402777621066173</c:v>
                </c:pt>
                <c:pt idx="18">
                  <c:v>7.3595983802974274</c:v>
                </c:pt>
                <c:pt idx="19">
                  <c:v>5.3470747779079453</c:v>
                </c:pt>
                <c:pt idx="20">
                  <c:v>1.8431156434429941</c:v>
                </c:pt>
                <c:pt idx="21">
                  <c:v>-2.9819431725377266</c:v>
                </c:pt>
                <c:pt idx="22">
                  <c:v>-2.6246852747727756</c:v>
                </c:pt>
              </c:numCache>
            </c:numRef>
          </c:val>
          <c:extLst>
            <c:ext xmlns:c16="http://schemas.microsoft.com/office/drawing/2014/chart" uri="{C3380CC4-5D6E-409C-BE32-E72D297353CC}">
              <c16:uniqueId val="{00000000-F338-44EC-9828-7DBEE470DD69}"/>
            </c:ext>
          </c:extLst>
        </c:ser>
        <c:dLbls>
          <c:showLegendKey val="0"/>
          <c:showVal val="0"/>
          <c:showCatName val="0"/>
          <c:showSerName val="0"/>
          <c:showPercent val="0"/>
          <c:showBubbleSize val="0"/>
        </c:dLbls>
        <c:gapWidth val="75"/>
        <c:overlap val="-25"/>
        <c:axId val="1487177488"/>
        <c:axId val="1328466992"/>
      </c:barChart>
      <c:lineChart>
        <c:grouping val="standard"/>
        <c:varyColors val="0"/>
        <c:ser>
          <c:idx val="1"/>
          <c:order val="1"/>
          <c:tx>
            <c:strRef>
              <c:f>'2019 Q1 '!$F$29</c:f>
              <c:strCache>
                <c:ptCount val="1"/>
                <c:pt idx="0">
                  <c:v>Çeyreklik değişim</c:v>
                </c:pt>
              </c:strCache>
            </c:strRef>
          </c:tx>
          <c:spPr>
            <a:ln w="25400" cap="rnd">
              <a:solidFill>
                <a:schemeClr val="tx1"/>
              </a:solidFill>
              <a:round/>
            </a:ln>
            <a:effectLst/>
          </c:spPr>
          <c:marker>
            <c:symbol val="none"/>
          </c:marker>
          <c:cat>
            <c:strRef>
              <c:f>'2019 Q1 '!$A$36:$A$58</c:f>
              <c:strCache>
                <c:ptCount val="23"/>
                <c:pt idx="0">
                  <c:v>2013Q3</c:v>
                </c:pt>
                <c:pt idx="1">
                  <c:v>2013Q4</c:v>
                </c:pt>
                <c:pt idx="2">
                  <c:v>2014Q1</c:v>
                </c:pt>
                <c:pt idx="3">
                  <c:v>2014Q2</c:v>
                </c:pt>
                <c:pt idx="4">
                  <c:v>2014Q3</c:v>
                </c:pt>
                <c:pt idx="5">
                  <c:v>2014Q4</c:v>
                </c:pt>
                <c:pt idx="6">
                  <c:v>2015Q1</c:v>
                </c:pt>
                <c:pt idx="7">
                  <c:v>2015Q2</c:v>
                </c:pt>
                <c:pt idx="8">
                  <c:v>2015Q3</c:v>
                </c:pt>
                <c:pt idx="9">
                  <c:v>2015Q4</c:v>
                </c:pt>
                <c:pt idx="10">
                  <c:v>2016Q1</c:v>
                </c:pt>
                <c:pt idx="11">
                  <c:v>2016Q2</c:v>
                </c:pt>
                <c:pt idx="12">
                  <c:v>2016Q3</c:v>
                </c:pt>
                <c:pt idx="13">
                  <c:v>2016Q4</c:v>
                </c:pt>
                <c:pt idx="14">
                  <c:v>2017Q1</c:v>
                </c:pt>
                <c:pt idx="15">
                  <c:v>2017Q2</c:v>
                </c:pt>
                <c:pt idx="16">
                  <c:v>2017Q3</c:v>
                </c:pt>
                <c:pt idx="17">
                  <c:v>2017Q4</c:v>
                </c:pt>
                <c:pt idx="18">
                  <c:v>2018Q1</c:v>
                </c:pt>
                <c:pt idx="19">
                  <c:v>2018Q2</c:v>
                </c:pt>
                <c:pt idx="20">
                  <c:v>2018Q3</c:v>
                </c:pt>
                <c:pt idx="21">
                  <c:v>2018Q4</c:v>
                </c:pt>
                <c:pt idx="22">
                  <c:v>2019Q1</c:v>
                </c:pt>
              </c:strCache>
            </c:strRef>
          </c:cat>
          <c:val>
            <c:numRef>
              <c:f>'2019 Q1 '!$F$36:$F$58</c:f>
              <c:numCache>
                <c:formatCode>0.0</c:formatCode>
                <c:ptCount val="23"/>
                <c:pt idx="0">
                  <c:v>1.3467776239150187</c:v>
                </c:pt>
                <c:pt idx="1">
                  <c:v>0.7323027398944415</c:v>
                </c:pt>
                <c:pt idx="2">
                  <c:v>2.6644199701995719</c:v>
                </c:pt>
                <c:pt idx="3">
                  <c:v>-1.5498061972216148</c:v>
                </c:pt>
                <c:pt idx="4">
                  <c:v>2.3568373716194246</c:v>
                </c:pt>
                <c:pt idx="5">
                  <c:v>1.4948925124467438</c:v>
                </c:pt>
                <c:pt idx="6">
                  <c:v>1.8589673319550526</c:v>
                </c:pt>
                <c:pt idx="7">
                  <c:v>1.4981017111983297</c:v>
                </c:pt>
                <c:pt idx="8">
                  <c:v>1.180776871342748</c:v>
                </c:pt>
                <c:pt idx="9">
                  <c:v>1.3846224922384742</c:v>
                </c:pt>
                <c:pt idx="10">
                  <c:v>0.41741058933726372</c:v>
                </c:pt>
                <c:pt idx="11">
                  <c:v>1.1508994221123725</c:v>
                </c:pt>
                <c:pt idx="12">
                  <c:v>-2.8450293562736761</c:v>
                </c:pt>
                <c:pt idx="13">
                  <c:v>5.4563420677687047</c:v>
                </c:pt>
                <c:pt idx="14">
                  <c:v>1.5379316028961254</c:v>
                </c:pt>
                <c:pt idx="15">
                  <c:v>1.8723510134380117</c:v>
                </c:pt>
                <c:pt idx="16">
                  <c:v>1.5794064670681562</c:v>
                </c:pt>
                <c:pt idx="17">
                  <c:v>2.4538247974993377</c:v>
                </c:pt>
                <c:pt idx="18">
                  <c:v>1.0302190665886224</c:v>
                </c:pt>
                <c:pt idx="19">
                  <c:v>-0.10286191644373055</c:v>
                </c:pt>
                <c:pt idx="20">
                  <c:v>-1.5151388927879372</c:v>
                </c:pt>
                <c:pt idx="21">
                  <c:v>-2.4366145639213244</c:v>
                </c:pt>
                <c:pt idx="22">
                  <c:v>1.2665352110054373</c:v>
                </c:pt>
              </c:numCache>
            </c:numRef>
          </c:val>
          <c:smooth val="0"/>
          <c:extLst>
            <c:ext xmlns:c16="http://schemas.microsoft.com/office/drawing/2014/chart" uri="{C3380CC4-5D6E-409C-BE32-E72D297353CC}">
              <c16:uniqueId val="{00000001-F338-44EC-9828-7DBEE470DD69}"/>
            </c:ext>
          </c:extLst>
        </c:ser>
        <c:dLbls>
          <c:showLegendKey val="0"/>
          <c:showVal val="0"/>
          <c:showCatName val="0"/>
          <c:showSerName val="0"/>
          <c:showPercent val="0"/>
          <c:showBubbleSize val="0"/>
        </c:dLbls>
        <c:marker val="1"/>
        <c:smooth val="0"/>
        <c:axId val="1487177488"/>
        <c:axId val="1328466992"/>
      </c:lineChart>
      <c:catAx>
        <c:axId val="148717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328466992"/>
        <c:crosses val="autoZero"/>
        <c:auto val="1"/>
        <c:lblAlgn val="ctr"/>
        <c:lblOffset val="100"/>
        <c:noMultiLvlLbl val="0"/>
      </c:catAx>
      <c:valAx>
        <c:axId val="1328466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717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7E089-4F79-4C11-B53A-4D415A16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999</Words>
  <Characters>5699</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merve.akgul</cp:lastModifiedBy>
  <cp:revision>33</cp:revision>
  <cp:lastPrinted>2017-12-14T09:18:00Z</cp:lastPrinted>
  <dcterms:created xsi:type="dcterms:W3CDTF">2019-07-24T10:38:00Z</dcterms:created>
  <dcterms:modified xsi:type="dcterms:W3CDTF">2019-07-25T11:06:00Z</dcterms:modified>
</cp:coreProperties>
</file>