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C56" w:rsidRPr="000171C1" w:rsidRDefault="0049546A" w:rsidP="00DF118E">
      <w:pPr>
        <w:spacing w:after="0"/>
        <w:contextualSpacing/>
        <w:mirrorIndents/>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1861185</wp:posOffset>
                </wp:positionH>
                <wp:positionV relativeFrom="paragraph">
                  <wp:posOffset>-572770</wp:posOffset>
                </wp:positionV>
                <wp:extent cx="3524250" cy="5588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7E5" w:rsidRPr="00196536" w:rsidRDefault="000517E5" w:rsidP="00315C56">
                            <w:pPr>
                              <w:rPr>
                                <w:rFonts w:ascii="Cambria" w:hAnsi="Cambria"/>
                                <w:b/>
                                <w:sz w:val="44"/>
                                <w:szCs w:val="44"/>
                              </w:rPr>
                            </w:pPr>
                            <w:r>
                              <w:rPr>
                                <w:rFonts w:ascii="Cambria" w:hAnsi="Cambria"/>
                                <w:b/>
                                <w:sz w:val="44"/>
                                <w:szCs w:val="44"/>
                              </w:rPr>
                              <w:t xml:space="preserve">Araştırma Notu </w:t>
                            </w:r>
                            <w:r w:rsidRPr="00F1082E">
                              <w:rPr>
                                <w:rFonts w:ascii="Cambria" w:hAnsi="Cambria"/>
                                <w:b/>
                                <w:sz w:val="44"/>
                                <w:szCs w:val="44"/>
                              </w:rPr>
                              <w:t>19/</w:t>
                            </w:r>
                            <w:r>
                              <w:rPr>
                                <w:rFonts w:ascii="Cambria" w:hAnsi="Cambria"/>
                                <w:b/>
                                <w:sz w:val="44"/>
                                <w:szCs w:val="44"/>
                              </w:rPr>
                              <w:t>243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6.55pt;margin-top:-45.1pt;width:277.5pt;height: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" filled="f" stroked="f">
                <v:textbox inset=",7.2pt,,7.2pt">
                  <w:txbxContent>
                    <w:p w:rsidR="000517E5" w:rsidRPr="00196536" w:rsidRDefault="000517E5" w:rsidP="00315C56">
                      <w:pPr>
                        <w:rPr>
                          <w:rFonts w:ascii="Cambria" w:hAnsi="Cambria"/>
                          <w:b/>
                          <w:sz w:val="44"/>
                          <w:szCs w:val="44"/>
                        </w:rPr>
                      </w:pPr>
                      <w:r>
                        <w:rPr>
                          <w:rFonts w:ascii="Cambria" w:hAnsi="Cambria"/>
                          <w:b/>
                          <w:sz w:val="44"/>
                          <w:szCs w:val="44"/>
                        </w:rPr>
                        <w:t xml:space="preserve">Araştırma Notu </w:t>
                      </w:r>
                      <w:r w:rsidRPr="00F1082E">
                        <w:rPr>
                          <w:rFonts w:ascii="Cambria" w:hAnsi="Cambria"/>
                          <w:b/>
                          <w:sz w:val="44"/>
                          <w:szCs w:val="44"/>
                        </w:rPr>
                        <w:t>19/</w:t>
                      </w:r>
                      <w:r>
                        <w:rPr>
                          <w:rFonts w:ascii="Cambria" w:hAnsi="Cambria"/>
                          <w:b/>
                          <w:sz w:val="44"/>
                          <w:szCs w:val="44"/>
                        </w:rPr>
                        <w:t>243</w:t>
                      </w:r>
                    </w:p>
                  </w:txbxContent>
                </v:textbox>
              </v:shape>
            </w:pict>
          </mc:Fallback>
        </mc:AlternateContent>
      </w:r>
      <w:r>
        <w:rPr>
          <w:noProof/>
          <w:lang w:val="en-GB" w:eastAsia="en-GB"/>
        </w:rPr>
        <mc:AlternateContent>
          <mc:Choice Requires="wps">
            <w:drawing>
              <wp:anchor distT="0" distB="0" distL="114935" distR="114935" simplePos="0" relativeHeight="251660288" behindDoc="0" locked="0" layoutInCell="1" allowOverlap="1">
                <wp:simplePos x="0" y="0"/>
                <wp:positionH relativeFrom="column">
                  <wp:posOffset>4915535</wp:posOffset>
                </wp:positionH>
                <wp:positionV relativeFrom="paragraph">
                  <wp:posOffset>114935</wp:posOffset>
                </wp:positionV>
                <wp:extent cx="1511935" cy="45466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7E5" w:rsidRPr="00DF0B5B" w:rsidRDefault="002F5CDA" w:rsidP="00315C56">
                            <w:pPr>
                              <w:pStyle w:val="Heading3"/>
                              <w:numPr>
                                <w:ilvl w:val="2"/>
                                <w:numId w:val="0"/>
                              </w:numPr>
                              <w:tabs>
                                <w:tab w:val="num" w:pos="720"/>
                              </w:tabs>
                              <w:suppressAutoHyphens/>
                              <w:ind w:left="720" w:hanging="720"/>
                              <w:jc w:val="right"/>
                              <w:rPr>
                                <w:rFonts w:ascii="Cambria" w:hAnsi="Cambria"/>
                                <w:color w:val="FFFFFF"/>
                                <w:sz w:val="24"/>
                                <w:szCs w:val="24"/>
                                <w:lang w:val="tr-TR"/>
                              </w:rPr>
                            </w:pPr>
                            <w:r>
                              <w:rPr>
                                <w:rFonts w:ascii="Cambria" w:hAnsi="Cambria"/>
                                <w:color w:val="FFFFFF"/>
                                <w:sz w:val="24"/>
                                <w:szCs w:val="24"/>
                                <w:lang w:val="tr-TR"/>
                              </w:rPr>
                              <w:t>13</w:t>
                            </w:r>
                            <w:r w:rsidR="000517E5">
                              <w:rPr>
                                <w:rFonts w:ascii="Cambria" w:hAnsi="Cambria"/>
                                <w:color w:val="FFFFFF"/>
                                <w:sz w:val="24"/>
                                <w:szCs w:val="24"/>
                                <w:lang w:val="tr-TR"/>
                              </w:rPr>
                              <w:t xml:space="preserve"> Haziran 2019</w:t>
                            </w:r>
                          </w:p>
                          <w:p w:rsidR="000517E5" w:rsidRPr="00DF0B5B" w:rsidRDefault="000517E5" w:rsidP="00315C5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87.05pt;margin-top:9.05pt;width:119.05pt;height:35.8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" stroked="f">
                <v:fill opacity="0"/>
                <v:textbox inset="0,0,0,0">
                  <w:txbxContent>
                    <w:p w:rsidR="000517E5" w:rsidRPr="00DF0B5B" w:rsidRDefault="002F5CDA" w:rsidP="00315C56">
                      <w:pPr>
                        <w:pStyle w:val="Heading3"/>
                        <w:numPr>
                          <w:ilvl w:val="2"/>
                          <w:numId w:val="0"/>
                        </w:numPr>
                        <w:tabs>
                          <w:tab w:val="num" w:pos="720"/>
                        </w:tabs>
                        <w:suppressAutoHyphens/>
                        <w:ind w:left="720" w:hanging="720"/>
                        <w:jc w:val="right"/>
                        <w:rPr>
                          <w:rFonts w:ascii="Cambria" w:hAnsi="Cambria"/>
                          <w:color w:val="FFFFFF"/>
                          <w:sz w:val="24"/>
                          <w:szCs w:val="24"/>
                          <w:lang w:val="tr-TR"/>
                        </w:rPr>
                      </w:pPr>
                      <w:r>
                        <w:rPr>
                          <w:rFonts w:ascii="Cambria" w:hAnsi="Cambria"/>
                          <w:color w:val="FFFFFF"/>
                          <w:sz w:val="24"/>
                          <w:szCs w:val="24"/>
                          <w:lang w:val="tr-TR"/>
                        </w:rPr>
                        <w:t>13</w:t>
                      </w:r>
                      <w:r w:rsidR="000517E5">
                        <w:rPr>
                          <w:rFonts w:ascii="Cambria" w:hAnsi="Cambria"/>
                          <w:color w:val="FFFFFF"/>
                          <w:sz w:val="24"/>
                          <w:szCs w:val="24"/>
                          <w:lang w:val="tr-TR"/>
                        </w:rPr>
                        <w:t xml:space="preserve"> Haziran 2019</w:t>
                      </w:r>
                    </w:p>
                    <w:p w:rsidR="000517E5" w:rsidRPr="00DF0B5B" w:rsidRDefault="000517E5" w:rsidP="00315C56"/>
                  </w:txbxContent>
                </v:textbox>
              </v:shape>
            </w:pict>
          </mc:Fallback>
        </mc:AlternateContent>
      </w:r>
      <w:r w:rsidR="00315C56" w:rsidRPr="000171C1">
        <w:rPr>
          <w:noProof/>
          <w:lang w:val="en-GB" w:eastAsia="en-GB"/>
        </w:rPr>
        <w:drawing>
          <wp:anchor distT="0" distB="0" distL="114300" distR="114300" simplePos="0" relativeHeight="251659264" behindDoc="1" locked="0" layoutInCell="1" allowOverlap="1">
            <wp:simplePos x="0" y="0"/>
            <wp:positionH relativeFrom="column">
              <wp:posOffset>-833120</wp:posOffset>
            </wp:positionH>
            <wp:positionV relativeFrom="paragraph">
              <wp:posOffset>-795020</wp:posOffset>
            </wp:positionV>
            <wp:extent cx="7391400" cy="1343025"/>
            <wp:effectExtent l="19050" t="0" r="0" b="0"/>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7" cstate="print"/>
                    <a:srcRect/>
                    <a:stretch>
                      <a:fillRect/>
                    </a:stretch>
                  </pic:blipFill>
                  <pic:spPr bwMode="auto">
                    <a:xfrm>
                      <a:off x="0" y="0"/>
                      <a:ext cx="7391400" cy="1344295"/>
                    </a:xfrm>
                    <a:prstGeom prst="rect">
                      <a:avLst/>
                    </a:prstGeom>
                    <a:noFill/>
                    <a:ln w="9525">
                      <a:noFill/>
                      <a:miter lim="800000"/>
                      <a:headEnd/>
                      <a:tailEnd/>
                    </a:ln>
                  </pic:spPr>
                </pic:pic>
              </a:graphicData>
            </a:graphic>
          </wp:anchor>
        </w:drawing>
      </w:r>
      <w:r w:rsidR="000171C1" w:rsidRPr="000171C1">
        <w:tab/>
      </w:r>
    </w:p>
    <w:p w:rsidR="00315C56" w:rsidRPr="000171C1" w:rsidRDefault="00315C56" w:rsidP="00DF118E">
      <w:pPr>
        <w:spacing w:after="0"/>
        <w:contextualSpacing/>
        <w:mirrorIndents/>
        <w:jc w:val="center"/>
      </w:pPr>
    </w:p>
    <w:p w:rsidR="00315C56" w:rsidRPr="000171C1" w:rsidRDefault="00315C56" w:rsidP="00DF118E">
      <w:pPr>
        <w:spacing w:after="0"/>
        <w:contextualSpacing/>
        <w:mirrorIndents/>
        <w:jc w:val="center"/>
        <w:rPr>
          <w:rFonts w:eastAsia="Times New Roman" w:cs="Arial"/>
          <w:b/>
        </w:rPr>
      </w:pPr>
    </w:p>
    <w:p w:rsidR="00315C56" w:rsidRDefault="00315C56" w:rsidP="00DF118E">
      <w:pPr>
        <w:spacing w:after="0"/>
        <w:contextualSpacing/>
        <w:mirrorIndents/>
        <w:jc w:val="center"/>
        <w:rPr>
          <w:rFonts w:eastAsia="Times New Roman" w:cs="Arial"/>
          <w:b/>
        </w:rPr>
      </w:pPr>
    </w:p>
    <w:p w:rsidR="00F26D63" w:rsidRPr="00F26D63" w:rsidRDefault="00F26D63" w:rsidP="00DF118E">
      <w:pPr>
        <w:spacing w:after="0"/>
        <w:contextualSpacing/>
        <w:mirrorIndents/>
        <w:jc w:val="center"/>
        <w:rPr>
          <w:rFonts w:eastAsia="Times New Roman" w:cs="Arial"/>
          <w:b/>
          <w:sz w:val="36"/>
          <w:szCs w:val="36"/>
        </w:rPr>
      </w:pPr>
      <w:r w:rsidRPr="00F26D63">
        <w:rPr>
          <w:rFonts w:eastAsia="Times New Roman" w:cs="Arial"/>
          <w:b/>
          <w:sz w:val="36"/>
          <w:szCs w:val="36"/>
        </w:rPr>
        <w:t>GIDA ENFLASYONU YOKSULU, ULAŞTIRMA ENFLASYONU ZENGİNİ VURDU</w:t>
      </w:r>
    </w:p>
    <w:p w:rsidR="00F26D63" w:rsidRPr="000171C1" w:rsidRDefault="00F26D63" w:rsidP="00DF118E">
      <w:pPr>
        <w:spacing w:after="0"/>
        <w:contextualSpacing/>
        <w:mirrorIndents/>
        <w:jc w:val="center"/>
        <w:rPr>
          <w:rFonts w:eastAsia="Times New Roman" w:cs="Arial"/>
          <w:b/>
        </w:rPr>
      </w:pPr>
    </w:p>
    <w:p w:rsidR="000A331C" w:rsidRPr="000171C1" w:rsidRDefault="00315C56" w:rsidP="000A331C">
      <w:pPr>
        <w:spacing w:after="0"/>
        <w:contextualSpacing/>
        <w:mirrorIndents/>
        <w:jc w:val="center"/>
        <w:rPr>
          <w:rFonts w:eastAsia="Times New Roman" w:cs="Arial"/>
          <w:b/>
        </w:rPr>
      </w:pPr>
      <w:r w:rsidRPr="000171C1">
        <w:rPr>
          <w:rFonts w:eastAsia="Times New Roman" w:cs="Arial"/>
          <w:b/>
        </w:rPr>
        <w:t>Seyfettin Gürsel</w:t>
      </w:r>
      <w:r w:rsidRPr="000171C1">
        <w:rPr>
          <w:rFonts w:eastAsia="Times New Roman" w:cs="Arial"/>
          <w:b/>
          <w:vertAlign w:val="superscript"/>
        </w:rPr>
        <w:footnoteReference w:customMarkFollows="1" w:id="1"/>
        <w:t>*</w:t>
      </w:r>
      <w:r w:rsidRPr="000171C1">
        <w:rPr>
          <w:rFonts w:eastAsia="Times New Roman" w:cs="Arial"/>
          <w:b/>
        </w:rPr>
        <w:t xml:space="preserve">, </w:t>
      </w:r>
      <w:r w:rsidR="000A331C" w:rsidRPr="000171C1">
        <w:rPr>
          <w:rFonts w:eastAsia="Times New Roman" w:cs="Arial"/>
          <w:b/>
        </w:rPr>
        <w:t>Furkan Kavuncu</w:t>
      </w:r>
      <w:r w:rsidR="000A331C" w:rsidRPr="000171C1">
        <w:rPr>
          <w:rFonts w:eastAsia="Times New Roman" w:cs="Arial"/>
          <w:b/>
          <w:vertAlign w:val="superscript"/>
        </w:rPr>
        <w:footnoteReference w:customMarkFollows="1" w:id="2"/>
        <w:t>**</w:t>
      </w:r>
      <w:r w:rsidR="000A331C" w:rsidRPr="000171C1">
        <w:rPr>
          <w:rFonts w:eastAsia="Times New Roman" w:cs="Arial"/>
          <w:b/>
        </w:rPr>
        <w:t xml:space="preserve"> </w:t>
      </w:r>
    </w:p>
    <w:p w:rsidR="006C2AC7" w:rsidRDefault="006C2AC7" w:rsidP="00DF118E">
      <w:pPr>
        <w:spacing w:after="0"/>
        <w:contextualSpacing/>
        <w:mirrorIndents/>
        <w:jc w:val="center"/>
        <w:rPr>
          <w:rFonts w:eastAsia="Times New Roman" w:cs="Arial"/>
          <w:b/>
          <w:sz w:val="24"/>
          <w:szCs w:val="24"/>
        </w:rPr>
      </w:pPr>
    </w:p>
    <w:p w:rsidR="00315C56" w:rsidRPr="00E477F0" w:rsidRDefault="00315C56" w:rsidP="00DF118E">
      <w:pPr>
        <w:spacing w:after="0"/>
        <w:contextualSpacing/>
        <w:mirrorIndents/>
        <w:jc w:val="center"/>
        <w:rPr>
          <w:rFonts w:eastAsia="Times New Roman" w:cs="Arial"/>
          <w:b/>
          <w:sz w:val="24"/>
          <w:szCs w:val="24"/>
        </w:rPr>
      </w:pPr>
      <w:r w:rsidRPr="00E477F0">
        <w:rPr>
          <w:rFonts w:eastAsia="Times New Roman" w:cs="Arial"/>
          <w:b/>
          <w:sz w:val="24"/>
          <w:szCs w:val="24"/>
        </w:rPr>
        <w:t>Yönetici özeti</w:t>
      </w:r>
    </w:p>
    <w:p w:rsidR="007A3BE0" w:rsidRPr="000171C1" w:rsidRDefault="007A3BE0" w:rsidP="00DF118E">
      <w:pPr>
        <w:tabs>
          <w:tab w:val="left" w:pos="1512"/>
        </w:tabs>
        <w:spacing w:after="0"/>
        <w:contextualSpacing/>
        <w:mirrorIndents/>
        <w:rPr>
          <w:rFonts w:cs="Arial"/>
        </w:rPr>
      </w:pPr>
    </w:p>
    <w:p w:rsidR="00FF3EB5" w:rsidRDefault="007A3BE0" w:rsidP="005C0E4F">
      <w:pPr>
        <w:tabs>
          <w:tab w:val="left" w:pos="1512"/>
        </w:tabs>
        <w:spacing w:after="0"/>
        <w:contextualSpacing/>
        <w:mirrorIndents/>
        <w:jc w:val="both"/>
        <w:rPr>
          <w:rFonts w:cs="Arial"/>
        </w:rPr>
      </w:pPr>
      <w:r w:rsidRPr="00086C42">
        <w:rPr>
          <w:rFonts w:cs="Arial"/>
        </w:rPr>
        <w:t xml:space="preserve">Türkiye İstatistik Kurumu (TÜİK) tarafından yapılan enflasyon sepeti </w:t>
      </w:r>
      <w:proofErr w:type="spellStart"/>
      <w:r w:rsidRPr="00086C42">
        <w:rPr>
          <w:rFonts w:cs="Arial"/>
        </w:rPr>
        <w:t>ağırlıklandırması</w:t>
      </w:r>
      <w:proofErr w:type="spellEnd"/>
      <w:r w:rsidRPr="00086C42">
        <w:rPr>
          <w:rFonts w:cs="Arial"/>
        </w:rPr>
        <w:t xml:space="preserve"> esasen temsili (ortalama) hane halkının harcamalarının bileşimini yansıtmaktadır. Dolayısıyla tüketici fiyat değişimleri de (TÜFE enflasyonu) bu temsili hane halkının maruz kaldığı enflasyondur. Oysa farklı gelir ve harcama gruplarında yer alan hanelerde tüketim sepetinin mal ve hizmet bileşimi de farklıdır. Bu nedenle enflasyon oranları da zaman içinde az ya da çok farklılaşabilir. Bu araştırma notunda, </w:t>
      </w:r>
      <w:proofErr w:type="spellStart"/>
      <w:r w:rsidRPr="00086C42">
        <w:rPr>
          <w:rFonts w:cs="Arial"/>
        </w:rPr>
        <w:t>TÜİK’in</w:t>
      </w:r>
      <w:proofErr w:type="spellEnd"/>
      <w:r w:rsidRPr="00086C42">
        <w:rPr>
          <w:rFonts w:cs="Arial"/>
        </w:rPr>
        <w:t xml:space="preserve"> Hane halkı Bütçe Anketi’nin (HBA)  tüketim harcamaları bilgileri kullanılarak, </w:t>
      </w:r>
      <w:r w:rsidR="00086C42">
        <w:rPr>
          <w:rFonts w:cs="Arial"/>
        </w:rPr>
        <w:t xml:space="preserve">Nisan </w:t>
      </w:r>
      <w:r w:rsidRPr="00086C42">
        <w:rPr>
          <w:rFonts w:cs="Arial"/>
        </w:rPr>
        <w:t>2017</w:t>
      </w:r>
      <w:r w:rsidR="00086C42">
        <w:rPr>
          <w:rFonts w:cs="Arial"/>
        </w:rPr>
        <w:t>-Nisan 2019</w:t>
      </w:r>
      <w:r w:rsidRPr="00086C42">
        <w:rPr>
          <w:rFonts w:cs="Arial"/>
        </w:rPr>
        <w:t xml:space="preserve"> dönemi için </w:t>
      </w:r>
      <w:r w:rsidR="009D7508">
        <w:rPr>
          <w:rFonts w:cs="Arial"/>
        </w:rPr>
        <w:t xml:space="preserve">tüketim harcamalarına göre sıralı </w:t>
      </w:r>
      <w:r w:rsidR="00042C10">
        <w:rPr>
          <w:rFonts w:cs="Arial"/>
        </w:rPr>
        <w:t xml:space="preserve">haneler arasında en fazla harcamayı yapan %20’lik grup ile en az harcamayı yapan %20’lik gruba özgün enflasyon oranları (kısaca zengin enflasyonu, yoksul enflasyonu) hesaplanmıştır. </w:t>
      </w:r>
      <w:r w:rsidR="00086C42">
        <w:rPr>
          <w:rFonts w:cs="Arial"/>
        </w:rPr>
        <w:t>Bu konuda yayınladığımız önceki Betam Araştırma notlarında 2003-2017 Mayıs döneminde yoksul enflasyonunun zen</w:t>
      </w:r>
      <w:r w:rsidR="00042C10">
        <w:rPr>
          <w:rFonts w:cs="Arial"/>
        </w:rPr>
        <w:t>g</w:t>
      </w:r>
      <w:r w:rsidR="00086C42">
        <w:rPr>
          <w:rFonts w:cs="Arial"/>
        </w:rPr>
        <w:t xml:space="preserve">in enflasyonuna kıyasla belirgin ölçüde daha yüksek </w:t>
      </w:r>
      <w:r w:rsidR="00FF3EB5">
        <w:rPr>
          <w:rFonts w:cs="Arial"/>
        </w:rPr>
        <w:t>gerçekleştiğini göstermiştik.</w:t>
      </w:r>
    </w:p>
    <w:p w:rsidR="00FF3EB5" w:rsidRDefault="00FF3EB5" w:rsidP="005C0E4F">
      <w:pPr>
        <w:tabs>
          <w:tab w:val="left" w:pos="1512"/>
        </w:tabs>
        <w:spacing w:after="0"/>
        <w:contextualSpacing/>
        <w:mirrorIndents/>
        <w:jc w:val="both"/>
        <w:rPr>
          <w:rFonts w:cs="Arial"/>
        </w:rPr>
      </w:pPr>
    </w:p>
    <w:p w:rsidR="00086C42" w:rsidRDefault="00FF3EB5" w:rsidP="005C0E4F">
      <w:pPr>
        <w:tabs>
          <w:tab w:val="left" w:pos="1512"/>
        </w:tabs>
        <w:spacing w:after="0"/>
        <w:contextualSpacing/>
        <w:mirrorIndents/>
        <w:jc w:val="both"/>
        <w:rPr>
          <w:rFonts w:cs="Arial"/>
        </w:rPr>
      </w:pPr>
      <w:r>
        <w:rPr>
          <w:rFonts w:cs="Arial"/>
        </w:rPr>
        <w:t>Nisan 2017-Nisan 2019 döneminde gıda fiyatlarında ortaya çıkan ve kamuoyunda etki yaratan büyük artışlara rağmen zengin ve yoksul enflasyonları arasında dikkat</w:t>
      </w:r>
      <w:r w:rsidR="00AF64C5">
        <w:rPr>
          <w:rFonts w:cs="Arial"/>
        </w:rPr>
        <w:t>e</w:t>
      </w:r>
      <w:r>
        <w:rPr>
          <w:rFonts w:cs="Arial"/>
        </w:rPr>
        <w:t xml:space="preserve"> değer bir far</w:t>
      </w:r>
      <w:r w:rsidR="00AF64C5">
        <w:rPr>
          <w:rFonts w:cs="Arial"/>
        </w:rPr>
        <w:t>k</w:t>
      </w:r>
      <w:r>
        <w:rPr>
          <w:rFonts w:cs="Arial"/>
        </w:rPr>
        <w:t xml:space="preserve"> oluşmadığı görülmektedir. Bu sonucun başlıca nedeni, gıda ve barınma harcamalarında meydana gelen yüksek artışlar yoksul enflasyonunu beklendiği gibi çok olumsuz etkilerken, başta ulaştırma fiyatlarında gerçekleşen artışlar</w:t>
      </w:r>
      <w:bookmarkStart w:id="0" w:name="_GoBack"/>
      <w:bookmarkEnd w:id="0"/>
      <w:r>
        <w:rPr>
          <w:rFonts w:cs="Arial"/>
        </w:rPr>
        <w:t xml:space="preserve"> olmak üzere lüks sayılabilecek diğer harcama kalemlerindeki artışların zengin enflasyonunda da aynı ölçüde yükselişe neden olmasıdır.  </w:t>
      </w:r>
    </w:p>
    <w:p w:rsidR="00086C42" w:rsidRDefault="00086C42" w:rsidP="005C0E4F">
      <w:pPr>
        <w:tabs>
          <w:tab w:val="left" w:pos="1512"/>
        </w:tabs>
        <w:spacing w:after="0"/>
        <w:contextualSpacing/>
        <w:mirrorIndents/>
        <w:jc w:val="both"/>
        <w:rPr>
          <w:rFonts w:cs="Arial"/>
        </w:rPr>
      </w:pPr>
    </w:p>
    <w:p w:rsidR="00845825" w:rsidRPr="00314CC0" w:rsidRDefault="00845825" w:rsidP="00DF118E">
      <w:pPr>
        <w:spacing w:after="0"/>
        <w:rPr>
          <w:rFonts w:eastAsia="Times New Roman" w:cs="Arial"/>
          <w:b/>
        </w:rPr>
      </w:pPr>
      <w:r w:rsidRPr="00314CC0">
        <w:rPr>
          <w:rFonts w:cs="Arial"/>
          <w:b/>
        </w:rPr>
        <w:t>Son iki yılda yoksul ile zengin enflasyonu arasında dikkate değer bir açılma olmadı</w:t>
      </w:r>
    </w:p>
    <w:p w:rsidR="00ED67C6" w:rsidRPr="000171C1" w:rsidRDefault="00ED67C6" w:rsidP="00DF118E">
      <w:pPr>
        <w:spacing w:after="0"/>
        <w:jc w:val="both"/>
        <w:rPr>
          <w:rFonts w:eastAsia="Times New Roman" w:cs="Arial"/>
        </w:rPr>
      </w:pPr>
    </w:p>
    <w:p w:rsidR="00ED67C6" w:rsidRPr="000171C1" w:rsidRDefault="00ED67C6" w:rsidP="00DF118E">
      <w:pPr>
        <w:spacing w:after="0"/>
        <w:jc w:val="both"/>
        <w:rPr>
          <w:rFonts w:eastAsia="Times New Roman" w:cs="Arial"/>
        </w:rPr>
      </w:pPr>
      <w:r w:rsidRPr="000171C1">
        <w:rPr>
          <w:rFonts w:eastAsia="Times New Roman" w:cs="Arial"/>
        </w:rPr>
        <w:t xml:space="preserve">Enflasyonun nispi fiyat yapısındaki değişimler ile büyük ölçüde </w:t>
      </w:r>
      <w:r w:rsidR="00525C76">
        <w:rPr>
          <w:rFonts w:eastAsia="Times New Roman" w:cs="Arial"/>
        </w:rPr>
        <w:t>harcama</w:t>
      </w:r>
      <w:r w:rsidRPr="000171C1">
        <w:rPr>
          <w:rFonts w:eastAsia="Times New Roman" w:cs="Arial"/>
        </w:rPr>
        <w:t xml:space="preserve"> düzeyleri tarafından belirlenen tüketim kalıplarının etkisiyle farklılaştığı bilinen bir olgudur. Oysa Türkiye İstatistik Kurumu (TÜİK) tüketici enflasyonunu tahmin ederken zorunlu olarak </w:t>
      </w:r>
      <w:r w:rsidR="009C5C94">
        <w:rPr>
          <w:rFonts w:eastAsia="Times New Roman" w:cs="Arial"/>
        </w:rPr>
        <w:t xml:space="preserve">harcama düzeylerine </w:t>
      </w:r>
      <w:r w:rsidR="00E4725B">
        <w:rPr>
          <w:rFonts w:eastAsia="Times New Roman" w:cs="Arial"/>
        </w:rPr>
        <w:t>göre</w:t>
      </w:r>
      <w:r w:rsidR="00E4725B" w:rsidRPr="000171C1">
        <w:rPr>
          <w:rFonts w:eastAsia="Times New Roman" w:cs="Arial"/>
        </w:rPr>
        <w:t xml:space="preserve"> dizilmiş</w:t>
      </w:r>
      <w:r w:rsidRPr="000171C1">
        <w:rPr>
          <w:rFonts w:eastAsia="Times New Roman" w:cs="Arial"/>
        </w:rPr>
        <w:t xml:space="preserve"> hanelerin orta kesiminde yer alan temsili hane halkının enflasyonunu dikkate almaktadır. TÜİK enflasyon oranlarını hesaplarken temsili hane halkının mal ve hizmet sepetini kullanmakta ve bu sepetteki ürünlerin ağırlıklarını (paylarını) kullanarak Tüketici Fiyat Endeksi’ni (TÜFE) hesaplamaktadır. Hesaplanan endeks son tahlilde temsili hane halkının enflasyonunu yansıtmaktadır. Her malın ve hizmetin fiyat artışı zaman içinde üretim maliyetlerine ve talep koşullarına bağlı olarak önemli farklılıklar göstermektedir. Değişik </w:t>
      </w:r>
      <w:r w:rsidRPr="000171C1">
        <w:rPr>
          <w:rFonts w:eastAsia="Times New Roman" w:cs="Arial"/>
        </w:rPr>
        <w:lastRenderedPageBreak/>
        <w:t xml:space="preserve">gelir ve harcama gruplarında yer alan hanelere özgü enflasyon da bu hanelerin tüketim sepetlerinin mal ve hizmet bileşimine bağlı olarak farklılaşmaktadır. </w:t>
      </w:r>
    </w:p>
    <w:p w:rsidR="006C2AC7" w:rsidRDefault="006C2AC7" w:rsidP="00DF118E">
      <w:pPr>
        <w:spacing w:after="0"/>
        <w:jc w:val="both"/>
        <w:rPr>
          <w:rFonts w:cs="Arial"/>
        </w:rPr>
      </w:pPr>
    </w:p>
    <w:p w:rsidR="00EE1FF4" w:rsidRDefault="008207CD" w:rsidP="00DF118E">
      <w:pPr>
        <w:spacing w:after="0"/>
        <w:jc w:val="both"/>
        <w:rPr>
          <w:rFonts w:cs="Arial"/>
        </w:rPr>
      </w:pPr>
      <w:r>
        <w:rPr>
          <w:rFonts w:cs="Arial"/>
        </w:rPr>
        <w:t xml:space="preserve">Betam 2003 yılından </w:t>
      </w:r>
      <w:r w:rsidR="006C2AC7">
        <w:rPr>
          <w:rFonts w:cs="Arial"/>
        </w:rPr>
        <w:t xml:space="preserve">itibaren </w:t>
      </w:r>
      <w:r w:rsidR="007F3BF7">
        <w:rPr>
          <w:rFonts w:cs="Arial"/>
        </w:rPr>
        <w:t>harcama düzeyi</w:t>
      </w:r>
      <w:r w:rsidR="006C2AC7">
        <w:rPr>
          <w:rFonts w:cs="Arial"/>
        </w:rPr>
        <w:t xml:space="preserve"> guruplarına özgün enflasyonu belli aralıklarla izlemektedir. Bu süre </w:t>
      </w:r>
      <w:r w:rsidR="002F5CDA">
        <w:rPr>
          <w:rFonts w:cs="Arial"/>
        </w:rPr>
        <w:t xml:space="preserve">zarfı </w:t>
      </w:r>
      <w:r w:rsidR="006C2AC7">
        <w:rPr>
          <w:rFonts w:cs="Arial"/>
        </w:rPr>
        <w:t xml:space="preserve">içinde </w:t>
      </w:r>
      <w:r w:rsidR="002F5CDA">
        <w:rPr>
          <w:rFonts w:cs="Arial"/>
        </w:rPr>
        <w:t>konu ile alakalı yedi not yayınlanmıştır</w:t>
      </w:r>
      <w:r w:rsidR="00ED722E">
        <w:rPr>
          <w:rFonts w:cs="Arial"/>
        </w:rPr>
        <w:t>.</w:t>
      </w:r>
      <w:r w:rsidR="00ED722E">
        <w:rPr>
          <w:rStyle w:val="FootnoteReference"/>
          <w:rFonts w:cs="Arial"/>
        </w:rPr>
        <w:footnoteReference w:id="3"/>
      </w:r>
      <w:r w:rsidR="00E25EE1">
        <w:rPr>
          <w:rFonts w:cs="Arial"/>
        </w:rPr>
        <w:t xml:space="preserve"> </w:t>
      </w:r>
      <w:r w:rsidR="006C2B1B">
        <w:rPr>
          <w:rFonts w:cs="Arial"/>
        </w:rPr>
        <w:t>Yayınladığımız son araştırma notunda 2003 yılından 2017 Mayıs</w:t>
      </w:r>
      <w:r w:rsidR="006C2B1B" w:rsidRPr="00EE1FF4">
        <w:rPr>
          <w:rFonts w:cs="Arial"/>
          <w:color w:val="FF0000"/>
        </w:rPr>
        <w:t xml:space="preserve"> </w:t>
      </w:r>
      <w:r w:rsidR="006C2B1B">
        <w:rPr>
          <w:rFonts w:cs="Arial"/>
        </w:rPr>
        <w:t xml:space="preserve">dönemine yüzde 20’lik </w:t>
      </w:r>
      <w:r w:rsidR="00EE1FF4">
        <w:rPr>
          <w:rFonts w:cs="Arial"/>
        </w:rPr>
        <w:t>harcama düzeyi</w:t>
      </w:r>
      <w:r w:rsidR="006C2B1B">
        <w:rPr>
          <w:rFonts w:cs="Arial"/>
        </w:rPr>
        <w:t xml:space="preserve"> guruplarına göre TÜFE enflasyonu Şekil 1’de gösterilmektedir. En düşük dilimde ortalama TÜFE endeksi (en yoksul enflasyonu) 2003=100 alındığında 330’a yükselirken, en yüksek gelir diliminde (en zengin enflasyonu) 308,5’e yüksel</w:t>
      </w:r>
      <w:r w:rsidR="00EE1FF4">
        <w:rPr>
          <w:rFonts w:cs="Arial"/>
        </w:rPr>
        <w:t>diği görülüyordu</w:t>
      </w:r>
      <w:r w:rsidR="006C2B1B">
        <w:rPr>
          <w:rFonts w:cs="Arial"/>
        </w:rPr>
        <w:t xml:space="preserve">. </w:t>
      </w:r>
      <w:r w:rsidR="00600F63">
        <w:rPr>
          <w:rFonts w:cs="Arial"/>
        </w:rPr>
        <w:t xml:space="preserve">Diğer ifadeyle, en düşük </w:t>
      </w:r>
      <w:r w:rsidR="00EE1FF4">
        <w:rPr>
          <w:rFonts w:cs="Arial"/>
        </w:rPr>
        <w:t xml:space="preserve">harcamaya sahip grupta </w:t>
      </w:r>
      <w:r w:rsidR="00600F63">
        <w:rPr>
          <w:rFonts w:cs="Arial"/>
        </w:rPr>
        <w:t xml:space="preserve">ortalama hanenin tüketim sepetinin </w:t>
      </w:r>
      <w:r w:rsidR="00CB44DC">
        <w:rPr>
          <w:rFonts w:cs="Arial"/>
        </w:rPr>
        <w:t xml:space="preserve">fiyatı (satın alma değeri) yüzde 230 (2,3 kat) artarken, en yüksek </w:t>
      </w:r>
      <w:r w:rsidR="00EE1FF4">
        <w:rPr>
          <w:rFonts w:cs="Arial"/>
        </w:rPr>
        <w:t>harcamaya sahip grupta</w:t>
      </w:r>
      <w:r w:rsidR="00CB44DC">
        <w:rPr>
          <w:rFonts w:cs="Arial"/>
        </w:rPr>
        <w:t xml:space="preserve"> ortalama hanenin tüketim sepetinin fiyatı yüzde 208,5 (yaklaşık 2,1 kat) artmıştır. 2003-Mayıs 2017 dönemini kapsayan 14,5 yılda tüketici enflasyonu bariz bir şekilde yoksullar için daha yüksek, zenginler için ise daha düşük olmuştur. En zengin ile en yoksul arasındaki enflasyon farkı 21,5 yüzde puandır. </w:t>
      </w:r>
    </w:p>
    <w:p w:rsidR="00EE1FF4" w:rsidRDefault="00EE1FF4" w:rsidP="00DF118E">
      <w:pPr>
        <w:spacing w:after="0"/>
        <w:jc w:val="both"/>
        <w:rPr>
          <w:rFonts w:cs="Arial"/>
        </w:rPr>
      </w:pPr>
    </w:p>
    <w:p w:rsidR="003C6EFA" w:rsidRDefault="00CB44DC" w:rsidP="00DF118E">
      <w:pPr>
        <w:spacing w:after="0"/>
        <w:jc w:val="both"/>
        <w:rPr>
          <w:rFonts w:cs="Arial"/>
        </w:rPr>
      </w:pPr>
      <w:r>
        <w:rPr>
          <w:rFonts w:cs="Arial"/>
        </w:rPr>
        <w:t xml:space="preserve">Bu farklılaşmada en büyük etken yoksulların tüketim sepetinde yüksek bir paya sahip olan gıda fiyatlarındaki </w:t>
      </w:r>
      <w:r w:rsidR="00D46E87">
        <w:rPr>
          <w:rFonts w:cs="Arial"/>
        </w:rPr>
        <w:t>(g</w:t>
      </w:r>
      <w:r w:rsidR="003C6EFA">
        <w:rPr>
          <w:rFonts w:cs="Arial"/>
        </w:rPr>
        <w:t xml:space="preserve">ıda ve alkolsüz içecekler) güçlü </w:t>
      </w:r>
      <w:r>
        <w:rPr>
          <w:rFonts w:cs="Arial"/>
        </w:rPr>
        <w:t xml:space="preserve">artışlardır. Buna yakın bir </w:t>
      </w:r>
      <w:r w:rsidR="003C6EFA">
        <w:rPr>
          <w:rFonts w:cs="Arial"/>
        </w:rPr>
        <w:t>diğer etken de konuta ilişkin harcamalar kaleminde</w:t>
      </w:r>
      <w:r w:rsidR="00D46E87">
        <w:rPr>
          <w:rFonts w:cs="Arial"/>
        </w:rPr>
        <w:t>ki  (k</w:t>
      </w:r>
      <w:r w:rsidR="003C6EFA">
        <w:rPr>
          <w:rFonts w:cs="Arial"/>
        </w:rPr>
        <w:t xml:space="preserve">onut, su, elektrik, gaz ve diğer yakıtlar) fiyat artışlarıdır. Buna karşılık zenginlerin tüketim sepetinde büyük paya sahip ulaştırma kalemindeki fiyat artışı ki büyük ölçüde enerji fiyatlarına bağlıdır, zengin enflasyonunu kamçılamış ancak </w:t>
      </w:r>
      <w:r w:rsidR="000B4300">
        <w:rPr>
          <w:rFonts w:cs="Arial"/>
        </w:rPr>
        <w:t xml:space="preserve">bu etki </w:t>
      </w:r>
      <w:r w:rsidR="003C6EFA">
        <w:rPr>
          <w:rFonts w:cs="Arial"/>
        </w:rPr>
        <w:t>gıda ve konuttan kaynaklanan yoksul enflasyon farkını telafi etmeye yetmemiştir.</w:t>
      </w:r>
    </w:p>
    <w:p w:rsidR="008F36A1" w:rsidRDefault="008F36A1" w:rsidP="00DF118E">
      <w:pPr>
        <w:spacing w:after="0"/>
        <w:jc w:val="both"/>
        <w:rPr>
          <w:rFonts w:cs="Arial"/>
        </w:rPr>
      </w:pPr>
    </w:p>
    <w:p w:rsidR="0058515D" w:rsidRDefault="008F36A1" w:rsidP="008F36A1">
      <w:pPr>
        <w:pStyle w:val="Caption"/>
        <w:rPr>
          <w:rFonts w:asciiTheme="minorHAnsi" w:hAnsiTheme="minorHAnsi" w:cs="Arial"/>
          <w:sz w:val="22"/>
          <w:szCs w:val="22"/>
        </w:rPr>
      </w:pPr>
      <w:r w:rsidRPr="00B919E6">
        <w:rPr>
          <w:rFonts w:asciiTheme="minorHAnsi" w:hAnsiTheme="minorHAnsi" w:cs="Arial"/>
          <w:sz w:val="22"/>
          <w:szCs w:val="22"/>
        </w:rPr>
        <w:t xml:space="preserve">Şekil </w:t>
      </w:r>
      <w:r w:rsidRPr="00B919E6">
        <w:rPr>
          <w:rFonts w:asciiTheme="minorHAnsi" w:hAnsiTheme="minorHAnsi" w:cs="Arial"/>
          <w:sz w:val="22"/>
          <w:szCs w:val="22"/>
        </w:rPr>
        <w:fldChar w:fldCharType="begin"/>
      </w:r>
      <w:r w:rsidRPr="00B919E6">
        <w:rPr>
          <w:rFonts w:asciiTheme="minorHAnsi" w:hAnsiTheme="minorHAnsi" w:cs="Arial"/>
          <w:sz w:val="22"/>
          <w:szCs w:val="22"/>
        </w:rPr>
        <w:instrText xml:space="preserve"> SEQ Şekil \* ARABIC </w:instrText>
      </w:r>
      <w:r w:rsidRPr="00B919E6">
        <w:rPr>
          <w:rFonts w:asciiTheme="minorHAnsi" w:hAnsiTheme="minorHAnsi" w:cs="Arial"/>
          <w:sz w:val="22"/>
          <w:szCs w:val="22"/>
        </w:rPr>
        <w:fldChar w:fldCharType="separate"/>
      </w:r>
      <w:r>
        <w:rPr>
          <w:rFonts w:asciiTheme="minorHAnsi" w:hAnsiTheme="minorHAnsi" w:cs="Arial"/>
          <w:noProof/>
          <w:sz w:val="22"/>
          <w:szCs w:val="22"/>
        </w:rPr>
        <w:t>1</w:t>
      </w:r>
      <w:r w:rsidRPr="00B919E6">
        <w:rPr>
          <w:rFonts w:asciiTheme="minorHAnsi" w:hAnsiTheme="minorHAnsi" w:cs="Arial"/>
          <w:sz w:val="22"/>
          <w:szCs w:val="22"/>
        </w:rPr>
        <w:fldChar w:fldCharType="end"/>
      </w:r>
      <w:r w:rsidR="00100BC1">
        <w:rPr>
          <w:rFonts w:asciiTheme="minorHAnsi" w:hAnsiTheme="minorHAnsi" w:cs="Arial"/>
          <w:sz w:val="22"/>
          <w:szCs w:val="22"/>
        </w:rPr>
        <w:t>:</w:t>
      </w:r>
      <w:r w:rsidRPr="00B919E6">
        <w:rPr>
          <w:rFonts w:asciiTheme="minorHAnsi" w:hAnsiTheme="minorHAnsi" w:cs="Arial"/>
          <w:sz w:val="22"/>
          <w:szCs w:val="22"/>
        </w:rPr>
        <w:t xml:space="preserve"> </w:t>
      </w:r>
      <w:r w:rsidR="0057656F" w:rsidRPr="0057656F">
        <w:rPr>
          <w:rFonts w:asciiTheme="minorHAnsi" w:hAnsiTheme="minorHAnsi" w:cs="Arial"/>
          <w:sz w:val="22"/>
          <w:szCs w:val="22"/>
        </w:rPr>
        <w:t>Harcama gruplarına göre fiyat endeksleri (2003=100)</w:t>
      </w:r>
    </w:p>
    <w:p w:rsidR="008F36A1" w:rsidRDefault="0057656F" w:rsidP="00DF118E">
      <w:pPr>
        <w:spacing w:after="0"/>
        <w:jc w:val="both"/>
        <w:rPr>
          <w:rFonts w:cs="Arial"/>
        </w:rPr>
      </w:pPr>
      <w:r w:rsidRPr="000171C1">
        <w:rPr>
          <w:rFonts w:cs="Arial"/>
          <w:noProof/>
          <w:lang w:val="en-GB" w:eastAsia="en-GB"/>
        </w:rPr>
        <w:drawing>
          <wp:inline distT="0" distB="0" distL="0" distR="0" wp14:anchorId="35515A06" wp14:editId="0CF76536">
            <wp:extent cx="5760720" cy="2903220"/>
            <wp:effectExtent l="0" t="0" r="0" b="0"/>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517E5" w:rsidRPr="000517E5" w:rsidRDefault="000517E5" w:rsidP="000517E5">
      <w:pPr>
        <w:spacing w:after="0"/>
        <w:jc w:val="both"/>
        <w:rPr>
          <w:rFonts w:cs="Arial"/>
          <w:sz w:val="18"/>
        </w:rPr>
      </w:pPr>
      <w:r w:rsidRPr="000517E5">
        <w:rPr>
          <w:rFonts w:cs="Arial"/>
          <w:sz w:val="18"/>
        </w:rPr>
        <w:t>Kaynak: TÜİK, Betam</w:t>
      </w:r>
    </w:p>
    <w:p w:rsidR="003C6EFA" w:rsidRDefault="003C6EFA" w:rsidP="00DF118E">
      <w:pPr>
        <w:spacing w:after="0"/>
        <w:jc w:val="both"/>
        <w:rPr>
          <w:rFonts w:cs="Arial"/>
        </w:rPr>
      </w:pPr>
    </w:p>
    <w:p w:rsidR="00E41796" w:rsidRDefault="00E41796" w:rsidP="00DF118E">
      <w:pPr>
        <w:spacing w:after="0"/>
        <w:jc w:val="both"/>
        <w:rPr>
          <w:rFonts w:cs="Arial"/>
          <w:b/>
        </w:rPr>
      </w:pPr>
    </w:p>
    <w:p w:rsidR="00E41796" w:rsidRDefault="00E41796" w:rsidP="00DF118E">
      <w:pPr>
        <w:spacing w:after="0"/>
        <w:jc w:val="both"/>
        <w:rPr>
          <w:rFonts w:cs="Arial"/>
          <w:b/>
        </w:rPr>
      </w:pPr>
    </w:p>
    <w:p w:rsidR="00E41796" w:rsidRDefault="00E41796" w:rsidP="00DF118E">
      <w:pPr>
        <w:spacing w:after="0"/>
        <w:jc w:val="both"/>
        <w:rPr>
          <w:rFonts w:cs="Arial"/>
          <w:b/>
        </w:rPr>
      </w:pPr>
    </w:p>
    <w:p w:rsidR="000B4300" w:rsidRDefault="003C6EFA" w:rsidP="00DF118E">
      <w:pPr>
        <w:spacing w:after="0"/>
        <w:jc w:val="both"/>
        <w:rPr>
          <w:rFonts w:cs="Arial"/>
          <w:b/>
        </w:rPr>
      </w:pPr>
      <w:r>
        <w:rPr>
          <w:rFonts w:cs="Arial"/>
          <w:b/>
        </w:rPr>
        <w:t>İlk izlenimlerin aksine son iki yılda yoksul ile zengin arasındaki enflasyon farkı açılmadı</w:t>
      </w:r>
    </w:p>
    <w:p w:rsidR="000B4300" w:rsidRDefault="000B4300" w:rsidP="00DF118E">
      <w:pPr>
        <w:spacing w:after="0"/>
        <w:jc w:val="both"/>
        <w:rPr>
          <w:rFonts w:cs="Arial"/>
          <w:b/>
        </w:rPr>
      </w:pPr>
    </w:p>
    <w:p w:rsidR="000454B6" w:rsidRDefault="000B4300" w:rsidP="00DF118E">
      <w:pPr>
        <w:spacing w:after="0"/>
        <w:jc w:val="both"/>
        <w:rPr>
          <w:rFonts w:cs="Arial"/>
        </w:rPr>
      </w:pPr>
      <w:r w:rsidRPr="000B4300">
        <w:rPr>
          <w:rFonts w:cs="Arial"/>
        </w:rPr>
        <w:t>Son iki yılda</w:t>
      </w:r>
      <w:r w:rsidR="003C6EFA" w:rsidRPr="000B4300">
        <w:rPr>
          <w:rFonts w:cs="Arial"/>
        </w:rPr>
        <w:t xml:space="preserve"> </w:t>
      </w:r>
      <w:r w:rsidR="0057656F">
        <w:rPr>
          <w:rFonts w:cs="Arial"/>
        </w:rPr>
        <w:t>(Nisan</w:t>
      </w:r>
      <w:r>
        <w:rPr>
          <w:rFonts w:cs="Arial"/>
        </w:rPr>
        <w:t xml:space="preserve"> 2017’den Nisan 2019’a) Türkiye ekonomisinde pek çok çarpıcı gelişme yaşanmıştır. Önce güçlü teşviklerle </w:t>
      </w:r>
      <w:proofErr w:type="spellStart"/>
      <w:r>
        <w:rPr>
          <w:rFonts w:cs="Arial"/>
        </w:rPr>
        <w:t>GSYH’da</w:t>
      </w:r>
      <w:proofErr w:type="spellEnd"/>
      <w:r>
        <w:rPr>
          <w:rFonts w:cs="Arial"/>
        </w:rPr>
        <w:t xml:space="preserve"> yüksek artış, ardından ciddi bir daralma gerçekleşirken, işsizlikte de önce azalış ardından büyük bir artış ortaya çıkmıştır. Bu şiddetli değişkenliği kat eden en önemli gelişme ise kuşkusuz enflasyondur. Yıllık </w:t>
      </w:r>
      <w:r w:rsidR="000454B6">
        <w:rPr>
          <w:rFonts w:cs="Arial"/>
        </w:rPr>
        <w:t xml:space="preserve">tüketici enflasyonu </w:t>
      </w:r>
      <w:r>
        <w:rPr>
          <w:rFonts w:cs="Arial"/>
        </w:rPr>
        <w:t>önce çift hanelere yükselmiş ardından 2018 yılın</w:t>
      </w:r>
      <w:r w:rsidR="000454B6">
        <w:rPr>
          <w:rFonts w:cs="Arial"/>
        </w:rPr>
        <w:t>da</w:t>
      </w:r>
      <w:r>
        <w:rPr>
          <w:rFonts w:cs="Arial"/>
        </w:rPr>
        <w:t xml:space="preserve"> yüzde</w:t>
      </w:r>
      <w:r w:rsidR="000454B6">
        <w:rPr>
          <w:rFonts w:cs="Arial"/>
        </w:rPr>
        <w:t xml:space="preserve"> 20’lere ulaşmıştır. Bu enflasyon şokunun başat aktörü de hiç kuşkusuz </w:t>
      </w:r>
      <w:r w:rsidR="002342AB">
        <w:rPr>
          <w:rFonts w:cs="Arial"/>
        </w:rPr>
        <w:t xml:space="preserve">tüketim sepetinde büyük paya sahip olan </w:t>
      </w:r>
      <w:r w:rsidR="000454B6">
        <w:rPr>
          <w:rFonts w:cs="Arial"/>
        </w:rPr>
        <w:t>gıda fiyatlarındaki baş döndürücü artış</w:t>
      </w:r>
      <w:r w:rsidR="00EE1FF4">
        <w:rPr>
          <w:rFonts w:cs="Arial"/>
        </w:rPr>
        <w:t>lar</w:t>
      </w:r>
      <w:r w:rsidR="000454B6">
        <w:rPr>
          <w:rFonts w:cs="Arial"/>
        </w:rPr>
        <w:t xml:space="preserve"> olmuştur. Nitekim </w:t>
      </w:r>
      <w:r w:rsidR="0057656F">
        <w:rPr>
          <w:rFonts w:cs="Arial"/>
        </w:rPr>
        <w:t xml:space="preserve">Nisan 2017’den Nisan 2019’a “gıda ve alkolsüz içecekler” </w:t>
      </w:r>
      <w:r w:rsidR="000454B6">
        <w:rPr>
          <w:rFonts w:cs="Arial"/>
        </w:rPr>
        <w:t>kale</w:t>
      </w:r>
      <w:r w:rsidR="0057656F">
        <w:rPr>
          <w:rFonts w:cs="Arial"/>
        </w:rPr>
        <w:t>minde fiyat artış oranı yüzde 43,5</w:t>
      </w:r>
      <w:r w:rsidR="000454B6">
        <w:rPr>
          <w:rFonts w:cs="Arial"/>
        </w:rPr>
        <w:t>’dir</w:t>
      </w:r>
      <w:r w:rsidR="001003F1">
        <w:rPr>
          <w:rFonts w:cs="Arial"/>
        </w:rPr>
        <w:t xml:space="preserve"> (Şekil 2)</w:t>
      </w:r>
      <w:r w:rsidR="000454B6">
        <w:rPr>
          <w:rFonts w:cs="Arial"/>
        </w:rPr>
        <w:t>.</w:t>
      </w:r>
    </w:p>
    <w:p w:rsidR="00AB0F3B" w:rsidRDefault="00AB0F3B" w:rsidP="00DF118E">
      <w:pPr>
        <w:spacing w:after="0"/>
        <w:jc w:val="both"/>
        <w:rPr>
          <w:rFonts w:cs="Arial"/>
        </w:rPr>
      </w:pPr>
    </w:p>
    <w:p w:rsidR="00AB0F3B" w:rsidRPr="00DD7B0B" w:rsidRDefault="00AB0F3B" w:rsidP="00DF118E">
      <w:pPr>
        <w:spacing w:after="0"/>
        <w:jc w:val="both"/>
        <w:rPr>
          <w:rFonts w:cs="Arial"/>
          <w:b/>
        </w:rPr>
      </w:pPr>
      <w:r w:rsidRPr="00DD7B0B">
        <w:rPr>
          <w:rFonts w:cs="Arial"/>
          <w:b/>
        </w:rPr>
        <w:t>Şekil 2: Tüketi</w:t>
      </w:r>
      <w:r w:rsidR="00DD7B0B" w:rsidRPr="00DD7B0B">
        <w:rPr>
          <w:rFonts w:cs="Arial"/>
          <w:b/>
        </w:rPr>
        <w:t>ci</w:t>
      </w:r>
      <w:r w:rsidRPr="00DD7B0B">
        <w:rPr>
          <w:rFonts w:cs="Arial"/>
          <w:b/>
        </w:rPr>
        <w:t xml:space="preserve"> Fiyat Endeksi </w:t>
      </w:r>
      <w:r w:rsidR="00DD7B0B" w:rsidRPr="00DD7B0B">
        <w:rPr>
          <w:rFonts w:cs="Arial"/>
          <w:b/>
        </w:rPr>
        <w:t>alt gru</w:t>
      </w:r>
      <w:r w:rsidR="00ED722E">
        <w:rPr>
          <w:rFonts w:cs="Arial"/>
          <w:b/>
        </w:rPr>
        <w:t>plarının endeks büyüme oranları (%):</w:t>
      </w:r>
      <w:r w:rsidR="00DD7B0B" w:rsidRPr="00DD7B0B">
        <w:rPr>
          <w:rFonts w:cs="Arial"/>
          <w:b/>
        </w:rPr>
        <w:t xml:space="preserve"> Nisan 2017 – Nisan 2019)</w:t>
      </w:r>
    </w:p>
    <w:p w:rsidR="000454B6" w:rsidRDefault="008C359D" w:rsidP="00DF118E">
      <w:pPr>
        <w:spacing w:after="0"/>
        <w:jc w:val="both"/>
        <w:rPr>
          <w:rFonts w:cs="Arial"/>
        </w:rPr>
      </w:pPr>
      <w:r>
        <w:rPr>
          <w:noProof/>
          <w:lang w:val="en-GB" w:eastAsia="en-GB"/>
        </w:rPr>
        <w:drawing>
          <wp:inline distT="0" distB="0" distL="0" distR="0" wp14:anchorId="473D37CC" wp14:editId="4461A81A">
            <wp:extent cx="5888355" cy="3430829"/>
            <wp:effectExtent l="0" t="0" r="0" b="0"/>
            <wp:docPr id="18" name="Chart 18">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517E5" w:rsidRPr="000517E5" w:rsidRDefault="000517E5" w:rsidP="000517E5">
      <w:pPr>
        <w:spacing w:after="0"/>
        <w:jc w:val="both"/>
        <w:rPr>
          <w:rFonts w:cs="Arial"/>
          <w:sz w:val="18"/>
        </w:rPr>
      </w:pPr>
      <w:r w:rsidRPr="000517E5">
        <w:rPr>
          <w:rFonts w:cs="Arial"/>
          <w:sz w:val="18"/>
        </w:rPr>
        <w:t>Kaynak: TÜİK, Betam</w:t>
      </w:r>
    </w:p>
    <w:p w:rsidR="00A3256E" w:rsidRDefault="00A3256E" w:rsidP="00DF118E">
      <w:pPr>
        <w:spacing w:after="0"/>
        <w:jc w:val="both"/>
        <w:rPr>
          <w:rFonts w:cs="Arial"/>
        </w:rPr>
      </w:pPr>
    </w:p>
    <w:p w:rsidR="00FA581C" w:rsidRDefault="000454B6" w:rsidP="00DF118E">
      <w:pPr>
        <w:spacing w:after="0"/>
        <w:jc w:val="both"/>
        <w:rPr>
          <w:rFonts w:cs="Arial"/>
        </w:rPr>
      </w:pPr>
      <w:r>
        <w:rPr>
          <w:rFonts w:cs="Arial"/>
        </w:rPr>
        <w:t xml:space="preserve">Gıda fiyatlarındaki artışlar gerek ekonomik çevrelerde gerek medyada gerekse </w:t>
      </w:r>
      <w:r w:rsidR="00845825">
        <w:rPr>
          <w:rFonts w:cs="Arial"/>
        </w:rPr>
        <w:t>dost</w:t>
      </w:r>
      <w:r>
        <w:rPr>
          <w:rFonts w:cs="Arial"/>
        </w:rPr>
        <w:t xml:space="preserve"> sohbetlerinde en hararetli tartışma konusu olurken, yoksul enflasyonunun da TÜİK tarafından hesaplanan ülke genelindeki TÜFE artışının (yüzde </w:t>
      </w:r>
      <w:r w:rsidR="0057656F">
        <w:rPr>
          <w:rFonts w:cs="Arial"/>
        </w:rPr>
        <w:t>32,5</w:t>
      </w:r>
      <w:r>
        <w:rPr>
          <w:rFonts w:cs="Arial"/>
        </w:rPr>
        <w:t xml:space="preserve">) bir hayli üzerinde olduğu izlenimini yaratmıştır. </w:t>
      </w:r>
      <w:r w:rsidR="00EE1FF4">
        <w:rPr>
          <w:rFonts w:cs="Arial"/>
        </w:rPr>
        <w:t>Oysa</w:t>
      </w:r>
      <w:r>
        <w:rPr>
          <w:rFonts w:cs="Arial"/>
        </w:rPr>
        <w:t xml:space="preserve"> TÜFE’nin tüm kalemleri dikkate alınarak farklı </w:t>
      </w:r>
      <w:r w:rsidR="00EE1FF4">
        <w:rPr>
          <w:rFonts w:cs="Arial"/>
        </w:rPr>
        <w:t>harcama düzeyi</w:t>
      </w:r>
      <w:r>
        <w:rPr>
          <w:rFonts w:cs="Arial"/>
        </w:rPr>
        <w:t xml:space="preserve"> guruplarına özgü son iki yılın enflasyon oranları hesaplandığında, bu izlenimin aksine en yoksul enflasyonu ile en zengin enflasyonu arasında son iki yılda dikkate değer bir açılma olmadığı görülmektedir. Aşağıda </w:t>
      </w:r>
      <w:r w:rsidR="0058515D">
        <w:rPr>
          <w:rFonts w:cs="Arial"/>
        </w:rPr>
        <w:t>açıklandığı</w:t>
      </w:r>
      <w:r>
        <w:rPr>
          <w:rFonts w:cs="Arial"/>
        </w:rPr>
        <w:t xml:space="preserve"> gibi bu beklenmeyen sonucun nedeni, başta ulaştırma (enerji) fiyatları olmak üzere, zenginin tüketim sepetinde yoksulun sepetine kıyasla daha büyük paya sahip diğer kalemlerde yüksek fiyat artışlarının yaşanmış olmasıdır.</w:t>
      </w:r>
    </w:p>
    <w:p w:rsidR="00FA581C" w:rsidRDefault="00FA581C" w:rsidP="00DF118E">
      <w:pPr>
        <w:spacing w:after="0"/>
        <w:jc w:val="both"/>
        <w:rPr>
          <w:rFonts w:cs="Arial"/>
        </w:rPr>
      </w:pPr>
    </w:p>
    <w:p w:rsidR="00FA581C" w:rsidRDefault="00314CC0" w:rsidP="00DF118E">
      <w:pPr>
        <w:spacing w:after="0"/>
        <w:jc w:val="both"/>
        <w:rPr>
          <w:rFonts w:cs="Arial"/>
          <w:b/>
        </w:rPr>
      </w:pPr>
      <w:r>
        <w:rPr>
          <w:rFonts w:cs="Arial"/>
          <w:b/>
        </w:rPr>
        <w:t>2017-2019 döneminde</w:t>
      </w:r>
      <w:r w:rsidR="00FA581C" w:rsidRPr="00FA581C">
        <w:rPr>
          <w:rFonts w:cs="Arial"/>
          <w:b/>
        </w:rPr>
        <w:t xml:space="preserve"> gelir gruplarına özgü tüketici fiyat endeksleri</w:t>
      </w:r>
    </w:p>
    <w:p w:rsidR="00FA581C" w:rsidRDefault="00FA581C" w:rsidP="00DF118E">
      <w:pPr>
        <w:spacing w:after="0"/>
        <w:jc w:val="both"/>
        <w:rPr>
          <w:rFonts w:cs="Arial"/>
          <w:b/>
        </w:rPr>
      </w:pPr>
    </w:p>
    <w:p w:rsidR="00A3256E" w:rsidRDefault="00DD7B0B" w:rsidP="00DF118E">
      <w:pPr>
        <w:spacing w:after="0"/>
        <w:jc w:val="both"/>
        <w:rPr>
          <w:rFonts w:cs="Arial"/>
        </w:rPr>
      </w:pPr>
      <w:r>
        <w:rPr>
          <w:rFonts w:cs="Arial"/>
        </w:rPr>
        <w:t>Şekil 3’t</w:t>
      </w:r>
      <w:r w:rsidR="00FA581C" w:rsidRPr="00FA581C">
        <w:rPr>
          <w:rFonts w:cs="Arial"/>
        </w:rPr>
        <w:t>e</w:t>
      </w:r>
      <w:r w:rsidR="00FA581C">
        <w:rPr>
          <w:rFonts w:cs="Arial"/>
        </w:rPr>
        <w:t xml:space="preserve"> </w:t>
      </w:r>
      <w:r w:rsidR="00FA581C" w:rsidRPr="000171C1">
        <w:rPr>
          <w:rFonts w:cs="Arial"/>
        </w:rPr>
        <w:t>2017 Mayıs ayı</w:t>
      </w:r>
      <w:r w:rsidR="00FA581C">
        <w:rPr>
          <w:rFonts w:cs="Arial"/>
        </w:rPr>
        <w:t xml:space="preserve">dan 2019 Nisan ayına </w:t>
      </w:r>
      <w:r w:rsidR="00FA581C" w:rsidRPr="000171C1">
        <w:rPr>
          <w:rFonts w:cs="Arial"/>
        </w:rPr>
        <w:t xml:space="preserve">sıralı yüzde 20’lik her bir harcama grubunun ortalama tüketim sepetindeki ana harcama kalemlerinin </w:t>
      </w:r>
      <w:r w:rsidR="0058515D">
        <w:rPr>
          <w:rFonts w:cs="Arial"/>
        </w:rPr>
        <w:t>paylarını dikkate alarak ve</w:t>
      </w:r>
      <w:r w:rsidR="00FA581C" w:rsidRPr="000171C1">
        <w:rPr>
          <w:rFonts w:cs="Arial"/>
        </w:rPr>
        <w:t xml:space="preserve"> bu kalemlerin fiyat endekslerini kullanarak hesapladığımız her gruba özgü tüketici fiyat endeksler</w:t>
      </w:r>
      <w:r w:rsidR="00AB0F3B">
        <w:rPr>
          <w:rFonts w:cs="Arial"/>
        </w:rPr>
        <w:t xml:space="preserve">i görülmektedir. </w:t>
      </w:r>
      <w:r w:rsidR="00A3256E">
        <w:rPr>
          <w:rFonts w:cs="Arial"/>
        </w:rPr>
        <w:t xml:space="preserve">Bu </w:t>
      </w:r>
      <w:r w:rsidR="00A3256E">
        <w:rPr>
          <w:rFonts w:cs="Arial"/>
        </w:rPr>
        <w:lastRenderedPageBreak/>
        <w:t xml:space="preserve">notumuzda bir öncekilerden farklı olarak endeksi 2003 yılından itibaren takip etmeyi bırakıp 2017 Nisan ayı endekslerini </w:t>
      </w:r>
      <w:proofErr w:type="gramStart"/>
      <w:r w:rsidR="00A3256E">
        <w:rPr>
          <w:rFonts w:cs="Arial"/>
        </w:rPr>
        <w:t>baz</w:t>
      </w:r>
      <w:proofErr w:type="gramEnd"/>
      <w:r w:rsidR="00A3256E">
        <w:rPr>
          <w:rFonts w:cs="Arial"/>
        </w:rPr>
        <w:t xml:space="preserve"> </w:t>
      </w:r>
      <w:r w:rsidR="001003F1">
        <w:rPr>
          <w:rFonts w:cs="Arial"/>
        </w:rPr>
        <w:t>olarak kullandık</w:t>
      </w:r>
      <w:r w:rsidR="00A3256E">
        <w:rPr>
          <w:rFonts w:cs="Arial"/>
        </w:rPr>
        <w:t xml:space="preserve">. Buna göre en düşük harcama grubunda TÜFE (en yoksul enflasyonu) 2017 Nisan ayından 2019 Nisan ayına yüzde 32,44’lük bir artış göstermektedir. Öte yandan en yüksek yüzde 20’lik harcama grubundaki artış (en zengin enflasyonu) yüzde 32,08 olarak hesaplanmıştır. </w:t>
      </w:r>
      <w:r w:rsidR="008F7D32">
        <w:rPr>
          <w:rFonts w:cs="Arial"/>
        </w:rPr>
        <w:t>Görüldüğü üzere son iki yılda en zengin ve en yoksul harca gruplarının maruz kaldığı enflasyonda ciddi bir ayrışma ol</w:t>
      </w:r>
      <w:r w:rsidR="00C20DBF">
        <w:rPr>
          <w:rFonts w:cs="Arial"/>
        </w:rPr>
        <w:t>mamıştır</w:t>
      </w:r>
      <w:r w:rsidR="008F7D32">
        <w:rPr>
          <w:rFonts w:cs="Arial"/>
        </w:rPr>
        <w:t xml:space="preserve">. </w:t>
      </w:r>
      <w:r w:rsidR="001003F1">
        <w:rPr>
          <w:rFonts w:cs="Arial"/>
        </w:rPr>
        <w:t>Buna ek olarak, son iki yılda y</w:t>
      </w:r>
      <w:r w:rsidR="008F7D32">
        <w:rPr>
          <w:rFonts w:cs="Arial"/>
        </w:rPr>
        <w:t xml:space="preserve">oksul, orta ve zengin olarak nitelendirdiğimiz orta harcama gruplarının </w:t>
      </w:r>
      <w:r w:rsidR="00C20DBF">
        <w:rPr>
          <w:rFonts w:cs="Arial"/>
        </w:rPr>
        <w:t xml:space="preserve">en zenginlerle </w:t>
      </w:r>
      <w:r w:rsidR="008F7D32">
        <w:rPr>
          <w:rFonts w:cs="Arial"/>
        </w:rPr>
        <w:t xml:space="preserve">enflasyon farkı </w:t>
      </w:r>
      <w:r w:rsidR="000A6D95">
        <w:rPr>
          <w:rFonts w:cs="Arial"/>
        </w:rPr>
        <w:t>az da olsa</w:t>
      </w:r>
      <w:r w:rsidR="008F7D32">
        <w:rPr>
          <w:rFonts w:cs="Arial"/>
        </w:rPr>
        <w:t xml:space="preserve"> kapanmıştır. </w:t>
      </w:r>
      <w:r w:rsidR="00A3256E">
        <w:rPr>
          <w:rFonts w:cs="Arial"/>
        </w:rPr>
        <w:t xml:space="preserve">Hesaplama </w:t>
      </w:r>
      <w:r w:rsidR="00672953">
        <w:rPr>
          <w:rFonts w:cs="Arial"/>
        </w:rPr>
        <w:t>yöntemimizin</w:t>
      </w:r>
      <w:r w:rsidR="00A3256E">
        <w:rPr>
          <w:rFonts w:cs="Arial"/>
        </w:rPr>
        <w:t xml:space="preserve"> ayrıntıları Kutu 1’de açıklanmıştır. </w:t>
      </w:r>
    </w:p>
    <w:p w:rsidR="00A3256E" w:rsidRDefault="00A3256E" w:rsidP="00DF118E">
      <w:pPr>
        <w:spacing w:after="0"/>
        <w:jc w:val="both"/>
        <w:rPr>
          <w:rFonts w:cs="Arial"/>
        </w:rPr>
      </w:pPr>
    </w:p>
    <w:p w:rsidR="0058515D" w:rsidRDefault="00DD7B0B" w:rsidP="0058515D">
      <w:pPr>
        <w:pStyle w:val="Caption"/>
        <w:rPr>
          <w:rFonts w:asciiTheme="minorHAnsi" w:hAnsiTheme="minorHAnsi" w:cs="Arial"/>
          <w:color w:val="FF0000"/>
          <w:sz w:val="22"/>
          <w:szCs w:val="22"/>
        </w:rPr>
      </w:pPr>
      <w:r>
        <w:rPr>
          <w:rFonts w:asciiTheme="minorHAnsi" w:hAnsiTheme="minorHAnsi" w:cs="Arial"/>
          <w:sz w:val="22"/>
          <w:szCs w:val="22"/>
        </w:rPr>
        <w:t>Şekil 3</w:t>
      </w:r>
      <w:r w:rsidR="00FA581C" w:rsidRPr="0057656F">
        <w:rPr>
          <w:rFonts w:asciiTheme="minorHAnsi" w:hAnsiTheme="minorHAnsi" w:cs="Arial"/>
          <w:sz w:val="22"/>
          <w:szCs w:val="22"/>
        </w:rPr>
        <w:t>:</w:t>
      </w:r>
      <w:r w:rsidR="0058515D">
        <w:rPr>
          <w:rFonts w:cs="Arial"/>
          <w:b w:val="0"/>
        </w:rPr>
        <w:t xml:space="preserve"> </w:t>
      </w:r>
      <w:r w:rsidR="0058515D" w:rsidRPr="000171C1">
        <w:rPr>
          <w:rFonts w:asciiTheme="minorHAnsi" w:hAnsiTheme="minorHAnsi" w:cs="Arial"/>
          <w:sz w:val="22"/>
          <w:szCs w:val="22"/>
        </w:rPr>
        <w:t xml:space="preserve">Harcama gruplarına </w:t>
      </w:r>
      <w:r w:rsidR="0058515D">
        <w:rPr>
          <w:rFonts w:asciiTheme="minorHAnsi" w:hAnsiTheme="minorHAnsi" w:cs="Arial"/>
          <w:sz w:val="22"/>
          <w:szCs w:val="22"/>
        </w:rPr>
        <w:t xml:space="preserve">özgü tüketici </w:t>
      </w:r>
      <w:r w:rsidR="0058515D" w:rsidRPr="000171C1">
        <w:rPr>
          <w:rFonts w:asciiTheme="minorHAnsi" w:hAnsiTheme="minorHAnsi" w:cs="Arial"/>
          <w:sz w:val="22"/>
          <w:szCs w:val="22"/>
        </w:rPr>
        <w:t>fiyat endeksleri</w:t>
      </w:r>
      <w:r w:rsidR="0058515D">
        <w:rPr>
          <w:rFonts w:asciiTheme="minorHAnsi" w:hAnsiTheme="minorHAnsi" w:cs="Arial"/>
          <w:sz w:val="22"/>
          <w:szCs w:val="22"/>
        </w:rPr>
        <w:t xml:space="preserve">: 2017 </w:t>
      </w:r>
      <w:r w:rsidR="0057656F">
        <w:rPr>
          <w:rFonts w:asciiTheme="minorHAnsi" w:hAnsiTheme="minorHAnsi" w:cs="Arial"/>
          <w:sz w:val="22"/>
          <w:szCs w:val="22"/>
        </w:rPr>
        <w:t>Nisan</w:t>
      </w:r>
      <w:r w:rsidR="0058515D">
        <w:rPr>
          <w:rFonts w:asciiTheme="minorHAnsi" w:hAnsiTheme="minorHAnsi" w:cs="Arial"/>
          <w:sz w:val="22"/>
          <w:szCs w:val="22"/>
        </w:rPr>
        <w:t xml:space="preserve"> – Nisan 2019</w:t>
      </w:r>
      <w:r w:rsidR="0058515D" w:rsidRPr="008F36A1">
        <w:rPr>
          <w:rFonts w:asciiTheme="minorHAnsi" w:hAnsiTheme="minorHAnsi" w:cs="Arial"/>
          <w:color w:val="FF0000"/>
          <w:sz w:val="22"/>
          <w:szCs w:val="22"/>
        </w:rPr>
        <w:t xml:space="preserve"> </w:t>
      </w:r>
    </w:p>
    <w:p w:rsidR="0058515D" w:rsidRPr="000171C1" w:rsidRDefault="000517E5" w:rsidP="0058515D">
      <w:pPr>
        <w:pStyle w:val="Caption"/>
        <w:rPr>
          <w:rFonts w:asciiTheme="minorHAnsi" w:hAnsiTheme="minorHAnsi"/>
          <w:sz w:val="22"/>
          <w:szCs w:val="22"/>
        </w:rPr>
      </w:pPr>
      <w:r>
        <w:rPr>
          <w:noProof/>
          <w:lang w:val="en-GB" w:eastAsia="en-GB"/>
        </w:rPr>
        <w:drawing>
          <wp:anchor distT="0" distB="0" distL="114300" distR="114300" simplePos="0" relativeHeight="251687936" behindDoc="0" locked="0" layoutInCell="1" allowOverlap="1">
            <wp:simplePos x="0" y="0"/>
            <wp:positionH relativeFrom="margin">
              <wp:align>right</wp:align>
            </wp:positionH>
            <wp:positionV relativeFrom="paragraph">
              <wp:posOffset>198865</wp:posOffset>
            </wp:positionV>
            <wp:extent cx="5760720" cy="3025140"/>
            <wp:effectExtent l="0" t="0" r="0" b="3810"/>
            <wp:wrapTopAndBottom/>
            <wp:docPr id="13" name="Chart 13">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58515D" w:rsidRPr="000171C1">
        <w:rPr>
          <w:rFonts w:asciiTheme="minorHAnsi" w:hAnsiTheme="minorHAnsi" w:cs="Arial"/>
          <w:sz w:val="22"/>
          <w:szCs w:val="22"/>
        </w:rPr>
        <w:t>(</w:t>
      </w:r>
      <w:r w:rsidR="0057656F">
        <w:rPr>
          <w:rFonts w:asciiTheme="minorHAnsi" w:hAnsiTheme="minorHAnsi" w:cs="Arial"/>
          <w:sz w:val="22"/>
          <w:szCs w:val="22"/>
        </w:rPr>
        <w:t>Nisan</w:t>
      </w:r>
      <w:r w:rsidR="0058515D">
        <w:rPr>
          <w:rFonts w:asciiTheme="minorHAnsi" w:hAnsiTheme="minorHAnsi" w:cs="Arial"/>
          <w:sz w:val="22"/>
          <w:szCs w:val="22"/>
        </w:rPr>
        <w:t xml:space="preserve"> 2017 </w:t>
      </w:r>
      <w:r w:rsidR="0058515D" w:rsidRPr="000171C1">
        <w:rPr>
          <w:rFonts w:asciiTheme="minorHAnsi" w:hAnsiTheme="minorHAnsi" w:cs="Arial"/>
          <w:sz w:val="22"/>
          <w:szCs w:val="22"/>
        </w:rPr>
        <w:t>=100)</w:t>
      </w:r>
    </w:p>
    <w:p w:rsidR="00CB44DC" w:rsidRPr="000517E5" w:rsidRDefault="000517E5" w:rsidP="00DF118E">
      <w:pPr>
        <w:spacing w:after="0"/>
        <w:jc w:val="both"/>
        <w:rPr>
          <w:rFonts w:cs="Arial"/>
          <w:sz w:val="18"/>
        </w:rPr>
      </w:pPr>
      <w:r w:rsidRPr="000517E5">
        <w:rPr>
          <w:rFonts w:cs="Arial"/>
          <w:sz w:val="18"/>
        </w:rPr>
        <w:t>Kaynak: TÜİK, Betam</w:t>
      </w:r>
    </w:p>
    <w:p w:rsidR="000517E5" w:rsidRDefault="000517E5" w:rsidP="00DF118E">
      <w:pPr>
        <w:spacing w:after="0"/>
        <w:rPr>
          <w:rFonts w:eastAsia="Times New Roman" w:cs="Arial"/>
          <w:b/>
        </w:rPr>
      </w:pPr>
    </w:p>
    <w:p w:rsidR="00ED67C6" w:rsidRPr="00297D6F" w:rsidRDefault="00297D6F" w:rsidP="00DF118E">
      <w:pPr>
        <w:spacing w:after="0"/>
        <w:rPr>
          <w:rFonts w:eastAsia="Times New Roman" w:cs="Arial"/>
          <w:b/>
        </w:rPr>
      </w:pPr>
      <w:r w:rsidRPr="00297D6F">
        <w:rPr>
          <w:rFonts w:eastAsia="Times New Roman" w:cs="Arial"/>
          <w:b/>
        </w:rPr>
        <w:t>Yoksul ile zengin arasında enflasyon farkı neden açılmadı?</w:t>
      </w:r>
    </w:p>
    <w:p w:rsidR="00297D6F" w:rsidRPr="000171C1" w:rsidRDefault="00297D6F" w:rsidP="00DF118E">
      <w:pPr>
        <w:spacing w:after="0"/>
        <w:rPr>
          <w:rFonts w:eastAsia="Times New Roman" w:cs="Arial"/>
        </w:rPr>
      </w:pPr>
    </w:p>
    <w:p w:rsidR="000A6D95" w:rsidRDefault="00C20DBF" w:rsidP="00DF118E">
      <w:pPr>
        <w:spacing w:after="0"/>
        <w:jc w:val="both"/>
        <w:rPr>
          <w:rFonts w:cs="Arial"/>
        </w:rPr>
      </w:pPr>
      <w:r>
        <w:rPr>
          <w:rFonts w:cs="Arial"/>
        </w:rPr>
        <w:t>2017 Nisan’dan 2019 Nisan’a e</w:t>
      </w:r>
      <w:r w:rsidR="00297D6F">
        <w:rPr>
          <w:rFonts w:cs="Arial"/>
        </w:rPr>
        <w:t xml:space="preserve">n zengin ile en yoksul </w:t>
      </w:r>
      <w:r w:rsidR="00DF118E" w:rsidRPr="000171C1">
        <w:rPr>
          <w:rFonts w:cs="Arial"/>
        </w:rPr>
        <w:t xml:space="preserve">enflasyonu arasındaki </w:t>
      </w:r>
      <w:r w:rsidR="008F7D32">
        <w:rPr>
          <w:rFonts w:cs="Arial"/>
        </w:rPr>
        <w:t>0,36</w:t>
      </w:r>
      <w:r w:rsidR="00DF118E" w:rsidRPr="000171C1">
        <w:rPr>
          <w:rFonts w:cs="Arial"/>
        </w:rPr>
        <w:t xml:space="preserve"> </w:t>
      </w:r>
      <w:r w:rsidR="00297D6F">
        <w:rPr>
          <w:rFonts w:cs="Arial"/>
        </w:rPr>
        <w:t xml:space="preserve">yüzde puanlık </w:t>
      </w:r>
      <w:r w:rsidR="00DF118E" w:rsidRPr="000171C1">
        <w:rPr>
          <w:rFonts w:cs="Arial"/>
        </w:rPr>
        <w:t>fark</w:t>
      </w:r>
      <w:r w:rsidR="00D21694">
        <w:rPr>
          <w:rFonts w:cs="Arial"/>
        </w:rPr>
        <w:t>, son tahlilde</w:t>
      </w:r>
      <w:r w:rsidR="00297D6F">
        <w:rPr>
          <w:rFonts w:cs="Arial"/>
        </w:rPr>
        <w:t xml:space="preserve"> başlıca 12 harcama kaleminde gerçekleşen </w:t>
      </w:r>
      <w:r w:rsidR="00D21694">
        <w:rPr>
          <w:rFonts w:cs="Arial"/>
        </w:rPr>
        <w:t xml:space="preserve">farklı </w:t>
      </w:r>
      <w:r w:rsidR="00297D6F">
        <w:rPr>
          <w:rFonts w:cs="Arial"/>
        </w:rPr>
        <w:t xml:space="preserve">enflasyon </w:t>
      </w:r>
      <w:r w:rsidR="00D21694">
        <w:rPr>
          <w:rFonts w:cs="Arial"/>
        </w:rPr>
        <w:t>oranları</w:t>
      </w:r>
      <w:r w:rsidR="00297D6F">
        <w:rPr>
          <w:rFonts w:cs="Arial"/>
        </w:rPr>
        <w:t xml:space="preserve"> ile bu kalemlerin tüketim sepetlerinde farklı ağırlıklara sahip olmasının toplulaştırılm</w:t>
      </w:r>
      <w:r w:rsidR="00D21694">
        <w:rPr>
          <w:rFonts w:cs="Arial"/>
        </w:rPr>
        <w:t>asının</w:t>
      </w:r>
      <w:r w:rsidR="00297D6F">
        <w:rPr>
          <w:rFonts w:cs="Arial"/>
        </w:rPr>
        <w:t xml:space="preserve"> (netleştirilm</w:t>
      </w:r>
      <w:r w:rsidR="00D21694">
        <w:rPr>
          <w:rFonts w:cs="Arial"/>
        </w:rPr>
        <w:t>esinin) bir sonucudur.</w:t>
      </w:r>
      <w:r w:rsidR="00DF118E" w:rsidRPr="000171C1">
        <w:rPr>
          <w:rFonts w:cs="Arial"/>
        </w:rPr>
        <w:t xml:space="preserve"> Yoksullar bütçelerinin büyük kısmını gıda, konut gibi zorunlu ihtiyaçlara ayırırken, en zengin yüzde 20’lik dilimde bu ihtiyaçlar bütçenin çok daha sınırlı bir kısmına karşılık gelmektedir.</w:t>
      </w:r>
      <w:r w:rsidR="000A6D95">
        <w:rPr>
          <w:rFonts w:cs="Arial"/>
        </w:rPr>
        <w:t xml:space="preserve"> (Kutu 1, Tablo 1)</w:t>
      </w:r>
      <w:r w:rsidR="00DF118E" w:rsidRPr="000171C1">
        <w:rPr>
          <w:rFonts w:cs="Arial"/>
        </w:rPr>
        <w:t xml:space="preserve"> </w:t>
      </w:r>
    </w:p>
    <w:p w:rsidR="000A6D95" w:rsidRDefault="000A6D95" w:rsidP="00DF118E">
      <w:pPr>
        <w:spacing w:after="0"/>
        <w:jc w:val="both"/>
        <w:rPr>
          <w:rFonts w:cs="Arial"/>
        </w:rPr>
      </w:pPr>
    </w:p>
    <w:p w:rsidR="008E2F1A" w:rsidRDefault="00C61818" w:rsidP="00DF118E">
      <w:pPr>
        <w:spacing w:after="0"/>
        <w:jc w:val="both"/>
        <w:rPr>
          <w:rFonts w:cs="Arial"/>
        </w:rPr>
      </w:pPr>
      <w:r>
        <w:rPr>
          <w:rFonts w:cs="Arial"/>
        </w:rPr>
        <w:t>E</w:t>
      </w:r>
      <w:r w:rsidR="00DF118E" w:rsidRPr="000171C1">
        <w:rPr>
          <w:rFonts w:cs="Arial"/>
        </w:rPr>
        <w:t>n zengin yüzde 20’lik kesim, ulaşım, giyim ve ayakkabı, eğlence ve kültür, eğitim, ev aletleri ve mobilya gibi ihtiyaçlara</w:t>
      </w:r>
      <w:r w:rsidR="00967BAB">
        <w:rPr>
          <w:rFonts w:cs="Arial"/>
        </w:rPr>
        <w:t xml:space="preserve"> yoksullara göre</w:t>
      </w:r>
      <w:r w:rsidR="00DF118E" w:rsidRPr="000171C1">
        <w:rPr>
          <w:rFonts w:cs="Arial"/>
        </w:rPr>
        <w:t xml:space="preserve"> bütçesinde daha fazla yer vermektedir. </w:t>
      </w:r>
      <w:r w:rsidR="00967BAB" w:rsidRPr="00967BAB">
        <w:rPr>
          <w:rFonts w:cs="Arial"/>
        </w:rPr>
        <w:t>20</w:t>
      </w:r>
      <w:r w:rsidR="00654D98">
        <w:rPr>
          <w:rFonts w:cs="Arial"/>
        </w:rPr>
        <w:t>17</w:t>
      </w:r>
      <w:r w:rsidR="00DF118E" w:rsidRPr="000171C1">
        <w:rPr>
          <w:rFonts w:cs="Arial"/>
        </w:rPr>
        <w:t xml:space="preserve"> yılı </w:t>
      </w:r>
      <w:proofErr w:type="spellStart"/>
      <w:r w:rsidR="00DF118E" w:rsidRPr="000171C1">
        <w:rPr>
          <w:rFonts w:cs="Arial"/>
        </w:rPr>
        <w:t>Hanehalkı</w:t>
      </w:r>
      <w:proofErr w:type="spellEnd"/>
      <w:r w:rsidR="00DF118E" w:rsidRPr="000171C1">
        <w:rPr>
          <w:rFonts w:cs="Arial"/>
        </w:rPr>
        <w:t xml:space="preserve"> Bütçe Anketi sonuçlarına göre, en yoksul kesim bütçesinin gıda kalemine ayırdığı pay yüzde </w:t>
      </w:r>
      <w:r w:rsidR="00A1102A">
        <w:rPr>
          <w:rFonts w:cs="Arial"/>
        </w:rPr>
        <w:t>31</w:t>
      </w:r>
      <w:r w:rsidR="00D21694">
        <w:rPr>
          <w:rFonts w:cs="Arial"/>
        </w:rPr>
        <w:t>,</w:t>
      </w:r>
      <w:r w:rsidR="00DF118E" w:rsidRPr="000171C1">
        <w:rPr>
          <w:rFonts w:cs="Arial"/>
        </w:rPr>
        <w:t xml:space="preserve"> konut kalemine ayırdığı pay yüzde </w:t>
      </w:r>
      <w:r w:rsidR="00A1102A">
        <w:rPr>
          <w:rFonts w:cs="Arial"/>
        </w:rPr>
        <w:t>39</w:t>
      </w:r>
      <w:r w:rsidR="00DF118E" w:rsidRPr="000171C1">
        <w:rPr>
          <w:rFonts w:cs="Arial"/>
        </w:rPr>
        <w:t xml:space="preserve"> olarak ölçülürken, aynı kalemler için en zengin kesimin bütçesinden ayırdığı pay sırasıyla yüzde </w:t>
      </w:r>
      <w:r w:rsidR="00A1102A">
        <w:rPr>
          <w:rFonts w:cs="Arial"/>
        </w:rPr>
        <w:t>13</w:t>
      </w:r>
      <w:r w:rsidR="00DF118E" w:rsidRPr="000171C1">
        <w:rPr>
          <w:rFonts w:cs="Arial"/>
        </w:rPr>
        <w:t xml:space="preserve"> ve yüzde </w:t>
      </w:r>
      <w:r w:rsidR="00A1102A">
        <w:rPr>
          <w:rFonts w:cs="Arial"/>
        </w:rPr>
        <w:t>18</w:t>
      </w:r>
      <w:r w:rsidR="00DF118E" w:rsidRPr="000171C1">
        <w:rPr>
          <w:rFonts w:cs="Arial"/>
        </w:rPr>
        <w:t xml:space="preserve"> olarak hesaplanmıştır. Bu</w:t>
      </w:r>
      <w:r w:rsidR="00D21694">
        <w:rPr>
          <w:rFonts w:cs="Arial"/>
        </w:rPr>
        <w:t xml:space="preserve">na karşılık </w:t>
      </w:r>
      <w:r>
        <w:rPr>
          <w:rFonts w:cs="Arial"/>
        </w:rPr>
        <w:t>z</w:t>
      </w:r>
      <w:r w:rsidR="000A6D95">
        <w:rPr>
          <w:rFonts w:cs="Arial"/>
        </w:rPr>
        <w:t xml:space="preserve">engin kesimin </w:t>
      </w:r>
      <w:r w:rsidR="00D21694">
        <w:rPr>
          <w:rFonts w:cs="Arial"/>
        </w:rPr>
        <w:t>ulaştırma harcamaların</w:t>
      </w:r>
      <w:r w:rsidR="000A6D95">
        <w:rPr>
          <w:rFonts w:cs="Arial"/>
        </w:rPr>
        <w:t>a bütçesinden ayırdığı pay</w:t>
      </w:r>
      <w:r w:rsidR="00DF118E" w:rsidRPr="000171C1">
        <w:rPr>
          <w:rFonts w:cs="Arial"/>
        </w:rPr>
        <w:t xml:space="preserve"> </w:t>
      </w:r>
      <w:r w:rsidR="00967BAB">
        <w:rPr>
          <w:rFonts w:cs="Arial"/>
        </w:rPr>
        <w:t xml:space="preserve">yüzde </w:t>
      </w:r>
      <w:r w:rsidR="00E32D6B">
        <w:rPr>
          <w:rFonts w:cs="Arial"/>
        </w:rPr>
        <w:t>29</w:t>
      </w:r>
      <w:r w:rsidR="000A6D95">
        <w:rPr>
          <w:rFonts w:cs="Arial"/>
        </w:rPr>
        <w:t>’dur.</w:t>
      </w:r>
      <w:r w:rsidR="00E32D6B">
        <w:rPr>
          <w:rFonts w:cs="Arial"/>
        </w:rPr>
        <w:t xml:space="preserve"> </w:t>
      </w:r>
      <w:r w:rsidR="000A6D95">
        <w:rPr>
          <w:rFonts w:cs="Arial"/>
        </w:rPr>
        <w:t>Ulaştırmanın yoksulun sepetindeki payı</w:t>
      </w:r>
      <w:r>
        <w:rPr>
          <w:rFonts w:cs="Arial"/>
        </w:rPr>
        <w:t xml:space="preserve"> ise</w:t>
      </w:r>
      <w:r w:rsidR="000A6D95">
        <w:rPr>
          <w:rFonts w:cs="Arial"/>
        </w:rPr>
        <w:t xml:space="preserve"> yüzde 5’den ibarettir. </w:t>
      </w:r>
      <w:r>
        <w:rPr>
          <w:rFonts w:cs="Arial"/>
        </w:rPr>
        <w:t>E</w:t>
      </w:r>
      <w:r w:rsidR="00E32D6B">
        <w:rPr>
          <w:rFonts w:cs="Arial"/>
        </w:rPr>
        <w:t>ğitim harcamalarının</w:t>
      </w:r>
      <w:r w:rsidR="0032573F">
        <w:rPr>
          <w:rFonts w:cs="Arial"/>
        </w:rPr>
        <w:t xml:space="preserve"> pay</w:t>
      </w:r>
      <w:r>
        <w:rPr>
          <w:rFonts w:cs="Arial"/>
        </w:rPr>
        <w:t>larındaki farklılık da oldukça ça</w:t>
      </w:r>
      <w:r w:rsidR="00C20DBF">
        <w:rPr>
          <w:rFonts w:cs="Arial"/>
        </w:rPr>
        <w:t>rpıcıdır. En fazla tüketim harcaması yapan yüzd</w:t>
      </w:r>
      <w:r>
        <w:rPr>
          <w:rFonts w:cs="Arial"/>
        </w:rPr>
        <w:t xml:space="preserve">e 20’lik kesimde eğitimin payı yüzde 4 iken en </w:t>
      </w:r>
      <w:r w:rsidR="00C20DBF">
        <w:rPr>
          <w:rFonts w:cs="Arial"/>
        </w:rPr>
        <w:t>az tüketen kesimde bu pay</w:t>
      </w:r>
      <w:r>
        <w:rPr>
          <w:rFonts w:cs="Arial"/>
        </w:rPr>
        <w:t xml:space="preserve"> yüzde 0’dır. Diğer ifadeyle yoksulların çocukları</w:t>
      </w:r>
      <w:r w:rsidR="008E2F1A">
        <w:rPr>
          <w:rFonts w:cs="Arial"/>
        </w:rPr>
        <w:t xml:space="preserve"> eğitimlerini tamamen kamu okullarında görmekte ve kamu </w:t>
      </w:r>
      <w:r w:rsidR="008E2F1A">
        <w:rPr>
          <w:rFonts w:cs="Arial"/>
        </w:rPr>
        <w:lastRenderedPageBreak/>
        <w:t xml:space="preserve">eğitim destekleriyle idare etmektedirler. Mobilya, ev aletleri ve ev bakım hizmetleri kaleminde de dikkate değer bir pay farkı görülmektedir: Zenginler bu tür harcamalara bütçelerinden yüzde 7 pay ayırırken yoksulların payı yüzde 4 ile sınırlıdır. </w:t>
      </w:r>
    </w:p>
    <w:p w:rsidR="008E2F1A" w:rsidRDefault="008E2F1A" w:rsidP="00DF118E">
      <w:pPr>
        <w:spacing w:after="0"/>
        <w:jc w:val="both"/>
        <w:rPr>
          <w:rFonts w:cs="Arial"/>
        </w:rPr>
      </w:pPr>
    </w:p>
    <w:p w:rsidR="008A6A4C" w:rsidRDefault="008E2F1A" w:rsidP="00DF118E">
      <w:pPr>
        <w:spacing w:after="0"/>
        <w:jc w:val="both"/>
        <w:rPr>
          <w:rFonts w:cs="Arial"/>
        </w:rPr>
      </w:pPr>
      <w:r>
        <w:rPr>
          <w:rFonts w:cs="Arial"/>
        </w:rPr>
        <w:t xml:space="preserve">Görüldüğü gibi yoksul ve zenginin tüketim sepetlerinde bazı harcama kalemlerinde büyük pay farkları mevcuttur. </w:t>
      </w:r>
      <w:r w:rsidR="00A1102A" w:rsidRPr="00EF057E">
        <w:rPr>
          <w:rFonts w:cs="Arial"/>
        </w:rPr>
        <w:t xml:space="preserve">Bu </w:t>
      </w:r>
      <w:r w:rsidR="00DF118E" w:rsidRPr="00EF057E">
        <w:rPr>
          <w:rFonts w:cs="Arial"/>
        </w:rPr>
        <w:t>nedenle gıda ve konut enflasyonu ne kadar yüksekse, yoksul kesim fiyat artışlarından o ölçüde fazla etkilenmekte</w:t>
      </w:r>
      <w:r w:rsidR="00AC738D" w:rsidRPr="00EF057E">
        <w:rPr>
          <w:rFonts w:cs="Arial"/>
        </w:rPr>
        <w:t xml:space="preserve"> buna karışıklık </w:t>
      </w:r>
      <w:r>
        <w:rPr>
          <w:rFonts w:cs="Arial"/>
        </w:rPr>
        <w:t xml:space="preserve">başta </w:t>
      </w:r>
      <w:r w:rsidR="00AC738D" w:rsidRPr="00EF057E">
        <w:rPr>
          <w:rFonts w:cs="Arial"/>
        </w:rPr>
        <w:t xml:space="preserve">ulaştırma </w:t>
      </w:r>
      <w:r w:rsidR="00DF5850">
        <w:rPr>
          <w:rFonts w:cs="Arial"/>
        </w:rPr>
        <w:t>olmak üzere, eğitim ile mobilya, ev aletleri ve ev baktım hizmetleri fiyatlarındaki artışlar z</w:t>
      </w:r>
      <w:r w:rsidR="00E32D6B" w:rsidRPr="00EF057E">
        <w:rPr>
          <w:rFonts w:cs="Arial"/>
        </w:rPr>
        <w:t>engin</w:t>
      </w:r>
      <w:r w:rsidR="00DF5850">
        <w:rPr>
          <w:rFonts w:cs="Arial"/>
        </w:rPr>
        <w:t xml:space="preserve"> enflasyonunu </w:t>
      </w:r>
      <w:r w:rsidR="00AC738D" w:rsidRPr="00EF057E">
        <w:rPr>
          <w:rFonts w:cs="Arial"/>
        </w:rPr>
        <w:t>yoksulunkine kıyasla daha fazla etkilemektedir</w:t>
      </w:r>
      <w:r w:rsidR="00DF118E" w:rsidRPr="00EF057E">
        <w:rPr>
          <w:rFonts w:cs="Arial"/>
        </w:rPr>
        <w:t>.</w:t>
      </w:r>
    </w:p>
    <w:p w:rsidR="001D3440" w:rsidRDefault="001D3440" w:rsidP="00DF118E">
      <w:pPr>
        <w:spacing w:after="0"/>
        <w:jc w:val="both"/>
        <w:rPr>
          <w:rFonts w:cs="Arial"/>
        </w:rPr>
      </w:pPr>
    </w:p>
    <w:p w:rsidR="001D3440" w:rsidRDefault="001D3440" w:rsidP="001D3440">
      <w:pPr>
        <w:spacing w:after="0"/>
        <w:jc w:val="both"/>
        <w:rPr>
          <w:rFonts w:cs="Arial"/>
        </w:rPr>
      </w:pPr>
      <w:r w:rsidRPr="000171C1">
        <w:rPr>
          <w:rFonts w:cs="Arial"/>
        </w:rPr>
        <w:t xml:space="preserve">En zengin ve en yoksul yüzde 20’lik kesim arasındaki büyük enflasyon farkının nedenini anlayabilmek için TÜİK tarafından belirlenen 12 temel mal ve hizmet harcamalarına göz atmak gerekmektedir. Alt gruplara ait fiyat endeksleri ile bu mal ve hizmetlerin farklı tüketici sepetleri içindeki ağırlıkları kullanılarak ortaya çıkan </w:t>
      </w:r>
      <w:r>
        <w:rPr>
          <w:rFonts w:cs="Arial"/>
        </w:rPr>
        <w:t>0,36 yüzde</w:t>
      </w:r>
      <w:r w:rsidRPr="000171C1">
        <w:rPr>
          <w:rFonts w:cs="Arial"/>
        </w:rPr>
        <w:t xml:space="preserve"> puanlık enflasyon farkı bileşenlerine ayrıştırılabilir.</w:t>
      </w:r>
      <w:r>
        <w:rPr>
          <w:rFonts w:cs="Arial"/>
        </w:rPr>
        <w:t xml:space="preserve"> </w:t>
      </w:r>
      <w:r>
        <w:t xml:space="preserve">Şekil 4 </w:t>
      </w:r>
      <w:r w:rsidRPr="000171C1">
        <w:rPr>
          <w:rFonts w:cs="Arial"/>
        </w:rPr>
        <w:t>ve</w:t>
      </w:r>
      <w:r w:rsidR="002F5CDA">
        <w:t xml:space="preserve"> Ek tablo 1</w:t>
      </w:r>
      <w:r w:rsidRPr="000171C1">
        <w:rPr>
          <w:rFonts w:cs="Arial"/>
        </w:rPr>
        <w:t xml:space="preserve">’de </w:t>
      </w:r>
      <w:r>
        <w:rPr>
          <w:rFonts w:cs="Arial"/>
        </w:rPr>
        <w:t>2017 Nisan</w:t>
      </w:r>
      <w:r w:rsidRPr="000171C1">
        <w:rPr>
          <w:rFonts w:cs="Arial"/>
        </w:rPr>
        <w:t xml:space="preserve"> fiyatları </w:t>
      </w:r>
      <w:r>
        <w:rPr>
          <w:rFonts w:cs="Arial"/>
        </w:rPr>
        <w:t>dikkate</w:t>
      </w:r>
      <w:r w:rsidRPr="000171C1">
        <w:rPr>
          <w:rFonts w:cs="Arial"/>
        </w:rPr>
        <w:t xml:space="preserve"> alınıp en zengin ve en yoksul arasındaki enflasyon farkı ayrıştırılarak alt kalemlerin enflasyon farkına olan katkıları gösterilmektedir</w:t>
      </w:r>
      <w:r w:rsidRPr="000171C1">
        <w:rPr>
          <w:rStyle w:val="FootnoteReference"/>
          <w:rFonts w:cs="Arial"/>
        </w:rPr>
        <w:footnoteReference w:id="4"/>
      </w:r>
      <w:r w:rsidRPr="000171C1">
        <w:rPr>
          <w:rFonts w:cs="Arial"/>
        </w:rPr>
        <w:t xml:space="preserve">. </w:t>
      </w:r>
    </w:p>
    <w:p w:rsidR="008A6A4C" w:rsidRDefault="008A6A4C" w:rsidP="00DF118E">
      <w:pPr>
        <w:spacing w:after="0"/>
        <w:jc w:val="both"/>
        <w:rPr>
          <w:rFonts w:cs="Arial"/>
          <w:b/>
        </w:rPr>
      </w:pPr>
    </w:p>
    <w:p w:rsidR="00901F21" w:rsidRPr="00901F21" w:rsidRDefault="008A6A4C" w:rsidP="00DF118E">
      <w:pPr>
        <w:spacing w:after="0"/>
        <w:jc w:val="both"/>
        <w:rPr>
          <w:rFonts w:cs="Arial"/>
          <w:b/>
        </w:rPr>
      </w:pPr>
      <w:r>
        <w:rPr>
          <w:noProof/>
          <w:lang w:val="en-GB" w:eastAsia="en-GB"/>
        </w:rPr>
        <w:drawing>
          <wp:anchor distT="0" distB="0" distL="114300" distR="114300" simplePos="0" relativeHeight="251686912" behindDoc="0" locked="0" layoutInCell="1" allowOverlap="1" wp14:anchorId="3A30A1D6" wp14:editId="584B715D">
            <wp:simplePos x="0" y="0"/>
            <wp:positionH relativeFrom="margin">
              <wp:align>center</wp:align>
            </wp:positionH>
            <wp:positionV relativeFrom="paragraph">
              <wp:posOffset>233045</wp:posOffset>
            </wp:positionV>
            <wp:extent cx="5038725" cy="4507865"/>
            <wp:effectExtent l="0" t="0" r="0" b="6985"/>
            <wp:wrapTopAndBottom/>
            <wp:docPr id="5" name="Chart 5">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Pr>
          <w:rFonts w:cs="Arial"/>
          <w:b/>
        </w:rPr>
        <w:t>Şekil 4</w:t>
      </w:r>
      <w:r w:rsidR="00901F21" w:rsidRPr="00901F21">
        <w:rPr>
          <w:rFonts w:cs="Arial"/>
          <w:b/>
        </w:rPr>
        <w:t>: Harcama kalemleri itibariyle en zengin ve en yoksul enflasyonuna katkılar</w:t>
      </w:r>
    </w:p>
    <w:p w:rsidR="008A6A4C" w:rsidRDefault="008A6A4C" w:rsidP="00DF118E">
      <w:pPr>
        <w:spacing w:after="0"/>
        <w:jc w:val="both"/>
        <w:rPr>
          <w:rFonts w:cs="Arial"/>
          <w:sz w:val="18"/>
          <w:szCs w:val="18"/>
        </w:rPr>
      </w:pPr>
      <w:r>
        <w:rPr>
          <w:rFonts w:cs="Arial"/>
          <w:sz w:val="18"/>
          <w:szCs w:val="18"/>
        </w:rPr>
        <w:t>Kaynak: TÜİK, Betam</w:t>
      </w:r>
    </w:p>
    <w:p w:rsidR="00DF118E" w:rsidRPr="000171C1" w:rsidRDefault="008A6A4C" w:rsidP="00DF118E">
      <w:pPr>
        <w:spacing w:after="0"/>
        <w:jc w:val="both"/>
        <w:rPr>
          <w:rFonts w:cs="Arial"/>
        </w:rPr>
      </w:pPr>
      <w:r>
        <w:rPr>
          <w:rFonts w:cs="Arial"/>
          <w:sz w:val="18"/>
          <w:szCs w:val="18"/>
        </w:rPr>
        <w:t>*</w:t>
      </w:r>
      <w:r w:rsidRPr="00226F4B">
        <w:rPr>
          <w:rFonts w:cs="Arial"/>
          <w:sz w:val="18"/>
          <w:szCs w:val="18"/>
        </w:rPr>
        <w:t>Kırmızı bantlar en yoksul kesimin aleyhine çalışan harcama gruplarının, mavi bantlar ise en zengin kesimin aleyhine çalışan harcama gruplarının enflasyon farkına katkılarını göstermektedir.</w:t>
      </w:r>
    </w:p>
    <w:p w:rsidR="008F0439" w:rsidRDefault="008F0439" w:rsidP="000B1EF7">
      <w:pPr>
        <w:jc w:val="both"/>
        <w:rPr>
          <w:rFonts w:cs="Arial"/>
        </w:rPr>
      </w:pPr>
      <w:r>
        <w:rPr>
          <w:rFonts w:cs="Arial"/>
        </w:rPr>
        <w:lastRenderedPageBreak/>
        <w:t xml:space="preserve">Nisan 2017-Nisan 2019 döneminde </w:t>
      </w:r>
      <w:r w:rsidR="00043CF0">
        <w:rPr>
          <w:rFonts w:cs="Arial"/>
        </w:rPr>
        <w:t>en yoksulun bütçesinde yüzde 39</w:t>
      </w:r>
      <w:r w:rsidR="000B1EF7" w:rsidRPr="000171C1">
        <w:rPr>
          <w:rFonts w:cs="Arial"/>
        </w:rPr>
        <w:t>, en ze</w:t>
      </w:r>
      <w:r w:rsidR="00055B1E">
        <w:rPr>
          <w:rFonts w:cs="Arial"/>
        </w:rPr>
        <w:t>nginin bütçesinde ise yüzde 18</w:t>
      </w:r>
      <w:r w:rsidR="00E03650">
        <w:rPr>
          <w:rFonts w:cs="Arial"/>
        </w:rPr>
        <w:t>’li</w:t>
      </w:r>
      <w:r w:rsidR="000B1EF7" w:rsidRPr="000171C1">
        <w:rPr>
          <w:rFonts w:cs="Arial"/>
        </w:rPr>
        <w:t xml:space="preserve">k paya sahip konut, su ve enerji fiyat artışı yoksul enflasyonuna </w:t>
      </w:r>
      <w:r w:rsidR="00E03650">
        <w:rPr>
          <w:rFonts w:cs="Arial"/>
        </w:rPr>
        <w:t>49,9</w:t>
      </w:r>
      <w:r w:rsidR="000B1EF7" w:rsidRPr="000171C1">
        <w:rPr>
          <w:rFonts w:cs="Arial"/>
        </w:rPr>
        <w:t xml:space="preserve"> puanlık katkı yapa</w:t>
      </w:r>
      <w:r w:rsidR="00E03650">
        <w:rPr>
          <w:rFonts w:cs="Arial"/>
        </w:rPr>
        <w:t>rken, zenginin enflasyonuna 24,4</w:t>
      </w:r>
      <w:r w:rsidR="000B1EF7" w:rsidRPr="000171C1">
        <w:rPr>
          <w:color w:val="000000"/>
        </w:rPr>
        <w:t xml:space="preserve"> </w:t>
      </w:r>
      <w:r w:rsidR="000B1EF7" w:rsidRPr="000171C1">
        <w:rPr>
          <w:rFonts w:cs="Arial"/>
        </w:rPr>
        <w:t>puanlık katkı yapmıştır. Ar</w:t>
      </w:r>
      <w:r w:rsidR="00E03650">
        <w:rPr>
          <w:rFonts w:cs="Arial"/>
        </w:rPr>
        <w:t>adaki fark yoksulun aleyhine 25,5</w:t>
      </w:r>
      <w:r w:rsidR="000B1EF7" w:rsidRPr="000171C1">
        <w:rPr>
          <w:rFonts w:cs="Arial"/>
        </w:rPr>
        <w:t xml:space="preserve"> puandır. İkinci sırada olan gıda ve alkolsüz içecekler en y</w:t>
      </w:r>
      <w:r w:rsidR="00E03650">
        <w:rPr>
          <w:rFonts w:cs="Arial"/>
        </w:rPr>
        <w:t>oksul kesimin enflasyonuna 45,9</w:t>
      </w:r>
      <w:r w:rsidR="000B1EF7" w:rsidRPr="000171C1">
        <w:rPr>
          <w:rFonts w:cs="Arial"/>
        </w:rPr>
        <w:t xml:space="preserve"> puanlık katkı yaparken, en zengini</w:t>
      </w:r>
      <w:r w:rsidR="00E03650">
        <w:rPr>
          <w:rFonts w:cs="Arial"/>
        </w:rPr>
        <w:t>n enflasyonuna olan katkısı 21,4</w:t>
      </w:r>
      <w:r w:rsidR="000B1EF7" w:rsidRPr="000171C1">
        <w:rPr>
          <w:rFonts w:cs="Arial"/>
        </w:rPr>
        <w:t xml:space="preserve"> puanla sınırlıdır. Gıda kalemi</w:t>
      </w:r>
      <w:r w:rsidR="00E03650">
        <w:rPr>
          <w:rFonts w:cs="Arial"/>
        </w:rPr>
        <w:t>ndeki enflasyon farkı yoksulun 24,4</w:t>
      </w:r>
      <w:r w:rsidR="000B1EF7" w:rsidRPr="000171C1">
        <w:rPr>
          <w:rFonts w:cs="Arial"/>
        </w:rPr>
        <w:t xml:space="preserve"> puan aleyhine olmuştur.</w:t>
      </w:r>
      <w:r w:rsidR="00E03650" w:rsidRPr="000171C1">
        <w:rPr>
          <w:rStyle w:val="FootnoteReference"/>
          <w:rFonts w:cs="Arial"/>
        </w:rPr>
        <w:footnoteReference w:id="5"/>
      </w:r>
      <w:r w:rsidR="000B1EF7" w:rsidRPr="000171C1">
        <w:rPr>
          <w:rFonts w:cs="Arial"/>
        </w:rPr>
        <w:t xml:space="preserve"> </w:t>
      </w:r>
      <w:r w:rsidR="00753489">
        <w:rPr>
          <w:rFonts w:cs="Arial"/>
        </w:rPr>
        <w:t xml:space="preserve">Yoksul enflasyonunu, sınırlı ölçüde de olsa, mizahi </w:t>
      </w:r>
      <w:r w:rsidR="002B6074">
        <w:rPr>
          <w:rFonts w:cs="Arial"/>
        </w:rPr>
        <w:t>bir şekilde artıran, son kalem “a</w:t>
      </w:r>
      <w:r w:rsidR="00753489">
        <w:rPr>
          <w:rFonts w:cs="Arial"/>
        </w:rPr>
        <w:t>lkollü içecekler ve tütün</w:t>
      </w:r>
      <w:r w:rsidR="002B6074">
        <w:rPr>
          <w:rFonts w:cs="Arial"/>
        </w:rPr>
        <w:t>”</w:t>
      </w:r>
      <w:r w:rsidR="00753489">
        <w:rPr>
          <w:rFonts w:cs="Arial"/>
        </w:rPr>
        <w:t xml:space="preserve"> harcamalarıdır. Yoksulun bütçesinde bu kalem yüzde 5’lik paya sahipken zenginin bütçesinde bu yap yüzde 3’tür. Yoksul aleyhine 3 puanlık fark söz konusudur. </w:t>
      </w:r>
      <w:r w:rsidR="00753489" w:rsidRPr="000171C1">
        <w:rPr>
          <w:rFonts w:cs="Arial"/>
        </w:rPr>
        <w:t>Bu sonuç yoksulların alkol ve tütüne daha fazla harcama</w:t>
      </w:r>
      <w:r w:rsidR="00753489">
        <w:rPr>
          <w:rFonts w:cs="Arial"/>
        </w:rPr>
        <w:t xml:space="preserve"> yaptıkları anlamına gelmemekte</w:t>
      </w:r>
      <w:r w:rsidR="00753489" w:rsidRPr="000171C1">
        <w:rPr>
          <w:rFonts w:cs="Arial"/>
        </w:rPr>
        <w:t xml:space="preserve"> </w:t>
      </w:r>
      <w:r w:rsidR="00753489">
        <w:rPr>
          <w:rFonts w:cs="Arial"/>
        </w:rPr>
        <w:t>ama</w:t>
      </w:r>
      <w:r w:rsidR="00753489" w:rsidRPr="000171C1">
        <w:rPr>
          <w:rFonts w:cs="Arial"/>
        </w:rPr>
        <w:t xml:space="preserve"> alkol ve tütün fiyat artışlarının başlıca kaynağı olan vergi artışlarının göreli olarak yoksulu daha çok etkilediği ortaya çıkmaktadır.</w:t>
      </w:r>
    </w:p>
    <w:p w:rsidR="005D0484" w:rsidRDefault="000B1EF7" w:rsidP="000B1EF7">
      <w:pPr>
        <w:jc w:val="both"/>
        <w:rPr>
          <w:rFonts w:cs="Arial"/>
        </w:rPr>
      </w:pPr>
      <w:r w:rsidRPr="000171C1">
        <w:rPr>
          <w:rFonts w:cs="Arial"/>
        </w:rPr>
        <w:t>Öte yandan en zengin yüz</w:t>
      </w:r>
      <w:r w:rsidR="00E03650">
        <w:rPr>
          <w:rFonts w:cs="Arial"/>
        </w:rPr>
        <w:t>de kesimin bütçesinde yüzde 29</w:t>
      </w:r>
      <w:r w:rsidRPr="000171C1">
        <w:rPr>
          <w:rFonts w:cs="Arial"/>
        </w:rPr>
        <w:t>, en yoksul kesimin</w:t>
      </w:r>
      <w:r w:rsidR="00E03650">
        <w:rPr>
          <w:rFonts w:cs="Arial"/>
        </w:rPr>
        <w:t xml:space="preserve"> bütçesinin ise sadece yüzde 5</w:t>
      </w:r>
      <w:r w:rsidRPr="000171C1">
        <w:rPr>
          <w:rFonts w:cs="Arial"/>
        </w:rPr>
        <w:t xml:space="preserve">'lik bir bölümünü </w:t>
      </w:r>
      <w:r w:rsidR="00E03650">
        <w:rPr>
          <w:rFonts w:cs="Arial"/>
        </w:rPr>
        <w:t>oluşturan ulaştırma kalemi, 30</w:t>
      </w:r>
      <w:r w:rsidRPr="000171C1">
        <w:rPr>
          <w:rFonts w:cs="Arial"/>
        </w:rPr>
        <w:t xml:space="preserve"> puanla zenginin aleyhinde </w:t>
      </w:r>
      <w:r w:rsidR="00F84DE5">
        <w:rPr>
          <w:rFonts w:cs="Arial"/>
        </w:rPr>
        <w:t xml:space="preserve">büyük </w:t>
      </w:r>
      <w:r w:rsidRPr="000171C1">
        <w:rPr>
          <w:rFonts w:cs="Arial"/>
        </w:rPr>
        <w:t xml:space="preserve">bir fark yaratarak yoksul ve zengin arasındaki enflasyon farkını </w:t>
      </w:r>
      <w:r w:rsidR="00F84DE5">
        <w:rPr>
          <w:rFonts w:cs="Arial"/>
        </w:rPr>
        <w:t>önemli ölçüde azaltmıştır</w:t>
      </w:r>
      <w:r w:rsidRPr="000171C1">
        <w:rPr>
          <w:rFonts w:cs="Arial"/>
        </w:rPr>
        <w:t xml:space="preserve">. </w:t>
      </w:r>
      <w:r w:rsidR="008F0439">
        <w:rPr>
          <w:rFonts w:cs="Arial"/>
        </w:rPr>
        <w:t>Zengin enflasyonunu yoksul enflasyonuna kıyasla arttıran diğer başlıca kalemler sırasıyla Diğer mal ve hizmetler, Lokanta ve oteller. Eğitim</w:t>
      </w:r>
      <w:r w:rsidR="00753489">
        <w:rPr>
          <w:rFonts w:cs="Arial"/>
        </w:rPr>
        <w:t>,</w:t>
      </w:r>
      <w:r w:rsidR="002B6074">
        <w:rPr>
          <w:rFonts w:cs="Arial"/>
        </w:rPr>
        <w:t xml:space="preserve"> m</w:t>
      </w:r>
      <w:r w:rsidR="008F0439">
        <w:rPr>
          <w:rFonts w:cs="Arial"/>
        </w:rPr>
        <w:t xml:space="preserve">obilya, ev aletleri ve ev baktım hizmetleri </w:t>
      </w:r>
      <w:r w:rsidR="002B6074">
        <w:rPr>
          <w:rFonts w:cs="Arial"/>
        </w:rPr>
        <w:t>ile g</w:t>
      </w:r>
      <w:r w:rsidR="00753489">
        <w:rPr>
          <w:rFonts w:cs="Arial"/>
        </w:rPr>
        <w:t xml:space="preserve">iyim ve ayakkabı </w:t>
      </w:r>
      <w:r w:rsidR="008F0439">
        <w:rPr>
          <w:rFonts w:cs="Arial"/>
        </w:rPr>
        <w:t xml:space="preserve">olmuştur. </w:t>
      </w:r>
      <w:r w:rsidR="00753489">
        <w:rPr>
          <w:rFonts w:cs="Arial"/>
        </w:rPr>
        <w:t>Bu harcama kalemlerinin zengin enflasyonuna katkısı yaklaşık 22 puandır.</w:t>
      </w:r>
    </w:p>
    <w:p w:rsidR="00753489" w:rsidRDefault="005D0484" w:rsidP="000B1EF7">
      <w:pPr>
        <w:jc w:val="both"/>
        <w:rPr>
          <w:rFonts w:cs="Arial"/>
        </w:rPr>
      </w:pPr>
      <w:r>
        <w:rPr>
          <w:rFonts w:cs="Arial"/>
          <w:b/>
        </w:rPr>
        <w:t xml:space="preserve">Zengin ve yoksul enflasyonu farkına </w:t>
      </w:r>
      <w:r w:rsidR="002B6074">
        <w:rPr>
          <w:rFonts w:cs="Arial"/>
          <w:b/>
        </w:rPr>
        <w:t>ilişkin</w:t>
      </w:r>
      <w:r>
        <w:rPr>
          <w:rFonts w:cs="Arial"/>
          <w:b/>
        </w:rPr>
        <w:t xml:space="preserve"> uyarı</w:t>
      </w:r>
      <w:r w:rsidR="00753489">
        <w:rPr>
          <w:rFonts w:cs="Arial"/>
        </w:rPr>
        <w:t xml:space="preserve"> </w:t>
      </w:r>
    </w:p>
    <w:p w:rsidR="009B623A" w:rsidRDefault="009B623A" w:rsidP="000B1EF7">
      <w:pPr>
        <w:jc w:val="both"/>
        <w:rPr>
          <w:rFonts w:cs="Arial"/>
        </w:rPr>
      </w:pPr>
      <w:r>
        <w:rPr>
          <w:rFonts w:cs="Arial"/>
        </w:rPr>
        <w:t xml:space="preserve">Sonuç olarak son iki yılda gıda ve barınma harcamalarında ortaya çıkan çok yüksek artışlar yoksulun enflasyonunu olumsuz etkilerken, uluslararası petrol fiyatlarındaki yükseliş </w:t>
      </w:r>
      <w:r w:rsidR="00496477">
        <w:rPr>
          <w:rFonts w:cs="Arial"/>
        </w:rPr>
        <w:t>ile</w:t>
      </w:r>
      <w:r>
        <w:rPr>
          <w:rFonts w:cs="Arial"/>
        </w:rPr>
        <w:t xml:space="preserve"> Türk Lirasının maruz kaldığı büyük değer kaybı sonucu ulaştırma harcamalarındaki yüksek artış zengin enflasyonunu olumsuz etkilemiştir. Nispeten lüks mal ve hizmetler türündeki diğer harcamalardaki artışlar</w:t>
      </w:r>
      <w:r w:rsidR="00496477">
        <w:rPr>
          <w:rFonts w:cs="Arial"/>
        </w:rPr>
        <w:t xml:space="preserve"> </w:t>
      </w:r>
      <w:r>
        <w:rPr>
          <w:rFonts w:cs="Arial"/>
        </w:rPr>
        <w:t xml:space="preserve">da eklenince en yüksek gelirli yüzde 20’lik kesimin enflasyonu ile en düşük gelirli yüzde 20’lik kesimin enflasyonları arasında 2017 öncesi dönemin aksine belirgin bir fark oluşmamıştır. </w:t>
      </w:r>
    </w:p>
    <w:p w:rsidR="009B623A" w:rsidRDefault="009B623A" w:rsidP="000B1EF7">
      <w:pPr>
        <w:jc w:val="both"/>
        <w:rPr>
          <w:rFonts w:cs="Arial"/>
        </w:rPr>
      </w:pPr>
      <w:r>
        <w:rPr>
          <w:rFonts w:cs="Arial"/>
        </w:rPr>
        <w:t xml:space="preserve">Bu bulgu </w:t>
      </w:r>
      <w:r w:rsidR="005D0484">
        <w:rPr>
          <w:rFonts w:cs="Arial"/>
        </w:rPr>
        <w:t xml:space="preserve">yüksek enflasyonun </w:t>
      </w:r>
      <w:r>
        <w:rPr>
          <w:rFonts w:cs="Arial"/>
        </w:rPr>
        <w:t>dar gelirlilerin mutfağında ve barınağında “yangın” çık</w:t>
      </w:r>
      <w:r w:rsidR="005D0484">
        <w:rPr>
          <w:rFonts w:cs="Arial"/>
        </w:rPr>
        <w:t xml:space="preserve">armadığı </w:t>
      </w:r>
      <w:r>
        <w:rPr>
          <w:rFonts w:cs="Arial"/>
        </w:rPr>
        <w:t xml:space="preserve">ya da </w:t>
      </w:r>
      <w:r w:rsidR="005D0484">
        <w:rPr>
          <w:rFonts w:cs="Arial"/>
        </w:rPr>
        <w:t xml:space="preserve">çıksa bile zenginin de bir o kadar enflasyon yangınına maruz kaldığı anlamına gelmemektedir. 2018 yılında gerçekleşen yüksek tüketici enflasyonu reel ücretleri düşürürken, azalan milli gelir </w:t>
      </w:r>
      <w:r w:rsidR="00496477">
        <w:rPr>
          <w:rFonts w:cs="Arial"/>
        </w:rPr>
        <w:t xml:space="preserve">ve </w:t>
      </w:r>
      <w:r w:rsidR="005D0484">
        <w:rPr>
          <w:rFonts w:cs="Arial"/>
        </w:rPr>
        <w:t xml:space="preserve">artan işsizlik ortamında düşük gelirli kesimde kullanılabilir </w:t>
      </w:r>
      <w:r w:rsidR="00496477">
        <w:rPr>
          <w:rFonts w:cs="Arial"/>
        </w:rPr>
        <w:t xml:space="preserve">reel </w:t>
      </w:r>
      <w:r w:rsidR="005D0484">
        <w:rPr>
          <w:rFonts w:cs="Arial"/>
        </w:rPr>
        <w:t>gelir</w:t>
      </w:r>
      <w:r w:rsidR="00496477">
        <w:rPr>
          <w:rFonts w:cs="Arial"/>
        </w:rPr>
        <w:t>ler</w:t>
      </w:r>
      <w:r w:rsidR="005D0484">
        <w:rPr>
          <w:rFonts w:cs="Arial"/>
        </w:rPr>
        <w:t xml:space="preserve"> erozyona uğramıştır. Diğer ifadeyle yoksulluğun 2018 yılında artmış ol</w:t>
      </w:r>
      <w:r w:rsidR="00496477">
        <w:rPr>
          <w:rFonts w:cs="Arial"/>
        </w:rPr>
        <w:t>ması</w:t>
      </w:r>
      <w:r w:rsidR="005D0484">
        <w:rPr>
          <w:rFonts w:cs="Arial"/>
        </w:rPr>
        <w:t xml:space="preserve"> yüksek olasılıktır.  Bu </w:t>
      </w:r>
      <w:r w:rsidR="00496477">
        <w:rPr>
          <w:rFonts w:cs="Arial"/>
        </w:rPr>
        <w:t xml:space="preserve">muhtemel </w:t>
      </w:r>
      <w:r w:rsidR="005D0484">
        <w:rPr>
          <w:rFonts w:cs="Arial"/>
        </w:rPr>
        <w:t>etki</w:t>
      </w:r>
      <w:r w:rsidR="00496477">
        <w:rPr>
          <w:rFonts w:cs="Arial"/>
        </w:rPr>
        <w:t xml:space="preserve">nin boyutlarını </w:t>
      </w:r>
      <w:r w:rsidR="005D0484">
        <w:rPr>
          <w:rFonts w:cs="Arial"/>
        </w:rPr>
        <w:t>Eylül ayında</w:t>
      </w:r>
      <w:r w:rsidR="006C384B" w:rsidRPr="006C384B">
        <w:rPr>
          <w:rFonts w:cs="Arial"/>
        </w:rPr>
        <w:t xml:space="preserve"> </w:t>
      </w:r>
      <w:r w:rsidR="006C384B">
        <w:rPr>
          <w:rFonts w:cs="Arial"/>
        </w:rPr>
        <w:t>TÜİK</w:t>
      </w:r>
      <w:r w:rsidR="005D0484">
        <w:rPr>
          <w:rFonts w:cs="Arial"/>
        </w:rPr>
        <w:t xml:space="preserve"> </w:t>
      </w:r>
      <w:r w:rsidR="006C384B">
        <w:rPr>
          <w:rFonts w:cs="Arial"/>
        </w:rPr>
        <w:t>2018 yılının Gelir ve Y</w:t>
      </w:r>
      <w:r w:rsidR="005D0484">
        <w:rPr>
          <w:rFonts w:cs="Arial"/>
        </w:rPr>
        <w:t xml:space="preserve">aşam Koşulları 2018 anketinin sonuçlarını yayınladığında öğreneceğiz.  </w:t>
      </w:r>
    </w:p>
    <w:p w:rsidR="00E7617F" w:rsidRPr="00A22F91" w:rsidRDefault="00E7617F">
      <w:pPr>
        <w:rPr>
          <w:sz w:val="18"/>
          <w:szCs w:val="18"/>
        </w:rPr>
      </w:pPr>
    </w:p>
    <w:p w:rsidR="00654D98" w:rsidRDefault="00654D98" w:rsidP="00654D98">
      <w:pPr>
        <w:jc w:val="both"/>
        <w:rPr>
          <w:rStyle w:val="texhtml"/>
          <w:bCs/>
          <w:i/>
          <w:color w:val="222222"/>
          <w:sz w:val="28"/>
          <w:szCs w:val="25"/>
          <w:shd w:val="clear" w:color="auto" w:fill="FFFFFF"/>
          <w:vertAlign w:val="subscript"/>
        </w:rPr>
      </w:pPr>
    </w:p>
    <w:p w:rsidR="008A6A4C" w:rsidRDefault="008A6A4C" w:rsidP="007574C3">
      <w:pPr>
        <w:tabs>
          <w:tab w:val="left" w:pos="1405"/>
        </w:tabs>
        <w:rPr>
          <w:sz w:val="18"/>
          <w:szCs w:val="18"/>
        </w:rPr>
      </w:pPr>
    </w:p>
    <w:p w:rsidR="000517E5" w:rsidRPr="00140326" w:rsidRDefault="000517E5" w:rsidP="000517E5">
      <w:pPr>
        <w:jc w:val="both"/>
        <w:rPr>
          <w:rFonts w:ascii="Calibri" w:eastAsia="Times New Roman" w:hAnsi="Calibri" w:cs="Calibri"/>
          <w:b/>
          <w:i/>
          <w:color w:val="000000"/>
          <w:sz w:val="20"/>
          <w:szCs w:val="20"/>
          <w:lang w:eastAsia="en-GB"/>
        </w:rPr>
      </w:pPr>
      <w:r w:rsidRPr="000517E5">
        <w:rPr>
          <w:rFonts w:cs="Arial"/>
          <w:b/>
          <w:i/>
          <w:noProof/>
          <w:color w:val="000000" w:themeColor="text1"/>
          <w:sz w:val="24"/>
          <w:lang w:val="en-GB" w:eastAsia="en-GB"/>
        </w:rPr>
        <w:lastRenderedPageBreak/>
        <mc:AlternateContent>
          <mc:Choice Requires="wps">
            <w:drawing>
              <wp:anchor distT="45720" distB="45720" distL="114300" distR="114300" simplePos="0" relativeHeight="251689984" behindDoc="0" locked="0" layoutInCell="1" allowOverlap="1" wp14:anchorId="7714E8AD" wp14:editId="782F1ABF">
                <wp:simplePos x="0" y="0"/>
                <wp:positionH relativeFrom="margin">
                  <wp:posOffset>-411480</wp:posOffset>
                </wp:positionH>
                <wp:positionV relativeFrom="paragraph">
                  <wp:posOffset>313690</wp:posOffset>
                </wp:positionV>
                <wp:extent cx="6615430" cy="7661910"/>
                <wp:effectExtent l="0" t="0" r="13970" b="15240"/>
                <wp:wrapThrough wrapText="bothSides">
                  <wp:wrapPolygon edited="0">
                    <wp:start x="0" y="0"/>
                    <wp:lineTo x="0" y="21589"/>
                    <wp:lineTo x="21583" y="21589"/>
                    <wp:lineTo x="21583"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7661910"/>
                        </a:xfrm>
                        <a:prstGeom prst="rect">
                          <a:avLst/>
                        </a:prstGeom>
                        <a:solidFill>
                          <a:srgbClr val="FFFFFF"/>
                        </a:solidFill>
                        <a:ln w="9525">
                          <a:solidFill>
                            <a:srgbClr val="000000"/>
                          </a:solidFill>
                          <a:miter lim="800000"/>
                          <a:headEnd/>
                          <a:tailEnd/>
                        </a:ln>
                      </wps:spPr>
                      <wps:txbx>
                        <w:txbxContent>
                          <w:p w:rsidR="000517E5" w:rsidRPr="00667CBB" w:rsidRDefault="000517E5" w:rsidP="000517E5">
                            <w:pPr>
                              <w:jc w:val="both"/>
                              <w:rPr>
                                <w:rFonts w:cs="Arial"/>
                                <w:noProof/>
                                <w:color w:val="000000" w:themeColor="text1"/>
                              </w:rPr>
                            </w:pPr>
                            <w:r w:rsidRPr="00667CBB">
                              <w:rPr>
                                <w:rFonts w:cs="Arial"/>
                                <w:noProof/>
                                <w:color w:val="000000" w:themeColor="text1"/>
                              </w:rPr>
                              <w:t>Farklı harca</w:t>
                            </w:r>
                            <w:r>
                              <w:rPr>
                                <w:rFonts w:cs="Arial"/>
                                <w:noProof/>
                                <w:color w:val="000000" w:themeColor="text1"/>
                              </w:rPr>
                              <w:t>ma</w:t>
                            </w:r>
                            <w:r w:rsidRPr="00667CBB">
                              <w:rPr>
                                <w:rFonts w:cs="Arial"/>
                                <w:noProof/>
                                <w:color w:val="000000" w:themeColor="text1"/>
                              </w:rPr>
                              <w:t xml:space="preserve"> grupları için fiyat endeksi oluşturulurken TÜİK’in sınıflandırmaları ve verileri kullanılmıştır. TÜİK, tüketim harcamalarının alt kalemlerine ait fiyat endekslerini </w:t>
                            </w:r>
                            <w:r w:rsidRPr="004C1901">
                              <w:rPr>
                                <w:rFonts w:cs="Arial"/>
                                <w:noProof/>
                                <w:color w:val="000000" w:themeColor="text1"/>
                              </w:rPr>
                              <w:t>2003</w:t>
                            </w:r>
                            <w:r>
                              <w:rPr>
                                <w:rFonts w:cs="Arial"/>
                                <w:noProof/>
                                <w:color w:val="000000" w:themeColor="text1"/>
                              </w:rPr>
                              <w:t xml:space="preserve"> </w:t>
                            </w:r>
                            <w:r w:rsidRPr="00667CBB">
                              <w:rPr>
                                <w:rFonts w:cs="Arial"/>
                                <w:noProof/>
                                <w:color w:val="000000" w:themeColor="text1"/>
                              </w:rPr>
                              <w:t>yılını baz alarak (</w:t>
                            </w:r>
                            <w:r w:rsidRPr="009744D1">
                              <w:rPr>
                                <w:rFonts w:cs="Arial"/>
                                <w:noProof/>
                                <w:color w:val="000000" w:themeColor="text1"/>
                              </w:rPr>
                              <w:t>2003</w:t>
                            </w:r>
                            <w:r w:rsidRPr="00667CBB">
                              <w:rPr>
                                <w:rFonts w:cs="Arial"/>
                                <w:noProof/>
                                <w:color w:val="000000" w:themeColor="text1"/>
                              </w:rPr>
                              <w:t xml:space="preserve">=100) her ay yayınlamaktadır. Öte yandan Tüketim Harcamaları İstatistikleri’nde, hanelerin harcamalarına göre sıralı %20’lik gruplara göre tüketim sepetlerindeki 12 ana harcama grubunun ağırlıkları da yıllık olarak TÜİK tarafından paylaşılmaktadır. </w:t>
                            </w:r>
                            <w:r>
                              <w:rPr>
                                <w:rFonts w:cs="Arial"/>
                                <w:noProof/>
                                <w:color w:val="000000" w:themeColor="text1"/>
                              </w:rPr>
                              <w:t xml:space="preserve">Her sene harcamalarına göre sıralı %20’lik beş grubun kendi içindeki toplam tüketim harcaması tespit edilmekte ve 12 alt tüketim kaleminin her birinin bu toplamdaki payı hesaplanmaktadır. Bu sayede yüzde 20’lik grupların tüm yılı kapsayan tüketim harcamalarının alt kalem paylarına ulaşılabilmektedir. </w:t>
                            </w:r>
                            <w:r w:rsidRPr="00667CBB">
                              <w:rPr>
                                <w:rFonts w:cs="Arial"/>
                                <w:noProof/>
                                <w:color w:val="000000" w:themeColor="text1"/>
                              </w:rPr>
                              <w:t xml:space="preserve">2018 yılına ait ağırlıklar henüz açıklanmadığı için ağırlıklandırmalarımızın tümü 2017 yılının verileriyle yapılmıştır. Sepetlerin bileşenleri zaman içerisinde çok fazla değişmediğinden son 16 ay için 2017 ağırlıklarını kullanmamızın sonuçlarımızda </w:t>
                            </w:r>
                            <w:r w:rsidRPr="004C1901">
                              <w:rPr>
                                <w:rFonts w:cs="Arial"/>
                                <w:noProof/>
                                <w:color w:val="000000" w:themeColor="text1"/>
                              </w:rPr>
                              <w:t>çok sınırlı bir</w:t>
                            </w:r>
                            <w:r w:rsidRPr="00667CBB">
                              <w:rPr>
                                <w:rFonts w:cs="Arial"/>
                                <w:noProof/>
                                <w:color w:val="000000" w:themeColor="text1"/>
                              </w:rPr>
                              <w:t xml:space="preserve"> sapma yaratabileceğini hatırlatalım. </w:t>
                            </w:r>
                          </w:p>
                          <w:p w:rsidR="000517E5" w:rsidRDefault="000517E5" w:rsidP="000517E5">
                            <w:pPr>
                              <w:jc w:val="both"/>
                              <w:rPr>
                                <w:rFonts w:cs="Arial"/>
                                <w:noProof/>
                                <w:color w:val="000000" w:themeColor="text1"/>
                              </w:rPr>
                            </w:pPr>
                          </w:p>
                          <w:p w:rsidR="000517E5" w:rsidRPr="00654D98" w:rsidRDefault="000517E5" w:rsidP="000517E5">
                            <w:pPr>
                              <w:jc w:val="both"/>
                              <w:rPr>
                                <w:rFonts w:cs="Arial"/>
                                <w:noProof/>
                                <w:color w:val="000000" w:themeColor="text1"/>
                              </w:rPr>
                            </w:pPr>
                            <w:r w:rsidRPr="00667CBB">
                              <w:rPr>
                                <w:rFonts w:cs="Arial"/>
                                <w:noProof/>
                                <w:color w:val="000000" w:themeColor="text1"/>
                              </w:rPr>
                              <w:t>Harcamalara gör</w:t>
                            </w:r>
                            <w:r>
                              <w:rPr>
                                <w:rFonts w:cs="Arial"/>
                                <w:noProof/>
                                <w:color w:val="000000" w:themeColor="text1"/>
                              </w:rPr>
                              <w:t xml:space="preserve">e sıralı yüzde </w:t>
                            </w:r>
                            <w:r w:rsidRPr="00667CBB">
                              <w:rPr>
                                <w:rFonts w:cs="Arial"/>
                                <w:noProof/>
                                <w:color w:val="000000" w:themeColor="text1"/>
                              </w:rPr>
                              <w:t>20’lik beş grubun her biri için hem Nisan 2017 hem de Nisan 2019 dönemine ait tüketim sepetlerinin genel fiyat endeksi hesaplanmıştır. Hesaplamadaki ağırlıklandırılma aşağıdaki formülde gösterilmektedir.</w:t>
                            </w:r>
                          </w:p>
                          <w:p w:rsidR="000517E5" w:rsidRPr="00654D98" w:rsidRDefault="000517E5" w:rsidP="000517E5">
                            <w:pPr>
                              <w:jc w:val="both"/>
                              <w:rPr>
                                <w:rFonts w:cs="Arial"/>
                                <w:noProof/>
                                <w:color w:val="000000" w:themeColor="text1"/>
                                <w:sz w:val="24"/>
                                <w:vertAlign w:val="subscript"/>
                              </w:rPr>
                            </w:pPr>
                            <w:r w:rsidRPr="00C06980">
                              <w:rPr>
                                <w:rFonts w:cs="Arial"/>
                                <w:noProof/>
                                <w:color w:val="000000" w:themeColor="text1"/>
                                <w:sz w:val="24"/>
                              </w:rPr>
                              <w:t>E</w:t>
                            </w:r>
                            <w:r w:rsidRPr="00C06980">
                              <w:rPr>
                                <w:rFonts w:cs="Arial"/>
                                <w:i/>
                                <w:noProof/>
                                <w:color w:val="000000" w:themeColor="text1"/>
                                <w:sz w:val="24"/>
                                <w:vertAlign w:val="subscript"/>
                              </w:rPr>
                              <w:t>t,n</w:t>
                            </w:r>
                            <w:r w:rsidRPr="00C06980">
                              <w:rPr>
                                <w:rFonts w:cs="Arial"/>
                                <w:noProof/>
                                <w:color w:val="000000" w:themeColor="text1"/>
                                <w:sz w:val="24"/>
                                <w:vertAlign w:val="subscript"/>
                              </w:rPr>
                              <w:t xml:space="preserve">   </w:t>
                            </w:r>
                            <w:r w:rsidRPr="00C06980">
                              <w:rPr>
                                <w:rFonts w:cs="Arial"/>
                                <w:noProof/>
                                <w:color w:val="000000" w:themeColor="text1"/>
                                <w:sz w:val="24"/>
                              </w:rPr>
                              <w:t xml:space="preserve">= </w:t>
                            </w:r>
                            <w:r w:rsidRPr="00C06980">
                              <w:rPr>
                                <w:rFonts w:cs="Arial"/>
                                <w:noProof/>
                                <w:color w:val="000000" w:themeColor="text1"/>
                                <w:position w:val="-28"/>
                                <w:sz w:val="24"/>
                              </w:rPr>
                              <w:object w:dxaOrig="469" w:dyaOrig="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45pt;height:34.35pt">
                                  <v:imagedata r:id="rId12" o:title=""/>
                                </v:shape>
                                <o:OLEObject Type="Embed" ProgID="Equation.3" ShapeID="_x0000_i1026" DrawAspect="Content" ObjectID="_1621938648" r:id="rId13"/>
                              </w:object>
                            </w:r>
                            <w:r w:rsidRPr="00C06980">
                              <w:rPr>
                                <w:rFonts w:cs="Arial"/>
                                <w:noProof/>
                                <w:color w:val="000000" w:themeColor="text1"/>
                                <w:sz w:val="24"/>
                              </w:rPr>
                              <w:t>E</w:t>
                            </w:r>
                            <w:r w:rsidRPr="00C06980">
                              <w:rPr>
                                <w:rFonts w:cs="Arial"/>
                                <w:i/>
                                <w:noProof/>
                                <w:color w:val="000000" w:themeColor="text1"/>
                                <w:sz w:val="24"/>
                                <w:vertAlign w:val="subscript"/>
                              </w:rPr>
                              <w:t xml:space="preserve">i,t </w:t>
                            </w:r>
                            <w:r w:rsidRPr="00C06980">
                              <w:rPr>
                                <w:rFonts w:cs="Arial"/>
                                <w:noProof/>
                                <w:color w:val="000000" w:themeColor="text1"/>
                                <w:sz w:val="24"/>
                                <w:vertAlign w:val="subscript"/>
                              </w:rPr>
                              <w:t xml:space="preserve">  </w:t>
                            </w:r>
                            <w:r w:rsidRPr="00C06980">
                              <w:rPr>
                                <w:rFonts w:cs="Arial"/>
                                <w:noProof/>
                                <w:color w:val="000000" w:themeColor="text1"/>
                                <w:sz w:val="24"/>
                              </w:rPr>
                              <w:t xml:space="preserve">x  </w:t>
                            </w:r>
                            <w:r w:rsidRPr="00C06980">
                              <w:rPr>
                                <w:rFonts w:ascii="Calibri" w:hAnsi="Calibri" w:cs="Arial"/>
                                <w:noProof/>
                                <w:color w:val="000000" w:themeColor="text1"/>
                                <w:sz w:val="24"/>
                              </w:rPr>
                              <w:t>α</w:t>
                            </w:r>
                            <w:r w:rsidRPr="00C06980">
                              <w:rPr>
                                <w:rFonts w:cs="Arial"/>
                                <w:i/>
                                <w:noProof/>
                                <w:color w:val="000000" w:themeColor="text1"/>
                                <w:sz w:val="24"/>
                                <w:vertAlign w:val="subscript"/>
                              </w:rPr>
                              <w:t>i,n</w:t>
                            </w:r>
                          </w:p>
                          <w:p w:rsidR="000517E5" w:rsidRPr="00667CBB" w:rsidRDefault="000517E5" w:rsidP="000517E5">
                            <w:pPr>
                              <w:jc w:val="both"/>
                              <w:rPr>
                                <w:rFonts w:cs="Arial"/>
                                <w:noProof/>
                                <w:color w:val="000000" w:themeColor="text1"/>
                              </w:rPr>
                            </w:pPr>
                            <w:r w:rsidRPr="00C06980">
                              <w:rPr>
                                <w:rFonts w:cs="Arial"/>
                                <w:noProof/>
                                <w:color w:val="000000" w:themeColor="text1"/>
                                <w:sz w:val="24"/>
                              </w:rPr>
                              <w:t>E</w:t>
                            </w:r>
                            <w:r w:rsidRPr="00C06980">
                              <w:rPr>
                                <w:rFonts w:cs="Arial"/>
                                <w:i/>
                                <w:noProof/>
                                <w:color w:val="000000" w:themeColor="text1"/>
                                <w:sz w:val="24"/>
                                <w:vertAlign w:val="subscript"/>
                              </w:rPr>
                              <w:t>i,t</w:t>
                            </w:r>
                            <w:r w:rsidRPr="00667CBB">
                              <w:rPr>
                                <w:rFonts w:cs="Arial"/>
                                <w:i/>
                                <w:noProof/>
                                <w:color w:val="000000" w:themeColor="text1"/>
                                <w:vertAlign w:val="subscript"/>
                              </w:rPr>
                              <w:t xml:space="preserve"> </w:t>
                            </w:r>
                            <w:r w:rsidRPr="00667CBB">
                              <w:rPr>
                                <w:rFonts w:cs="Arial"/>
                                <w:noProof/>
                                <w:color w:val="000000" w:themeColor="text1"/>
                                <w:vertAlign w:val="subscript"/>
                              </w:rPr>
                              <w:t xml:space="preserve"> </w:t>
                            </w:r>
                            <w:r w:rsidRPr="00667CBB">
                              <w:rPr>
                                <w:rFonts w:cs="Arial"/>
                                <w:noProof/>
                                <w:color w:val="000000" w:themeColor="text1"/>
                              </w:rPr>
                              <w:t>: t dönemindeki i alt tüketim kaleminin fiyat endeksi. Örneğin</w:t>
                            </w:r>
                            <w:r w:rsidRPr="00C06980">
                              <w:rPr>
                                <w:rFonts w:cs="Arial"/>
                                <w:noProof/>
                                <w:color w:val="000000" w:themeColor="text1"/>
                                <w:sz w:val="24"/>
                              </w:rPr>
                              <w:t xml:space="preserve"> E</w:t>
                            </w:r>
                            <w:r>
                              <w:rPr>
                                <w:rFonts w:cs="Arial"/>
                                <w:i/>
                                <w:noProof/>
                                <w:color w:val="000000" w:themeColor="text1"/>
                                <w:sz w:val="24"/>
                                <w:vertAlign w:val="subscript"/>
                              </w:rPr>
                              <w:t>1,Nisan 17</w:t>
                            </w:r>
                            <w:r w:rsidRPr="00667CBB">
                              <w:rPr>
                                <w:rFonts w:cs="Arial"/>
                                <w:noProof/>
                                <w:color w:val="000000" w:themeColor="text1"/>
                              </w:rPr>
                              <w:t>, Nisan 2017 döneminde gıda ve alkolsüz içeceklerin fiyat endeksi</w:t>
                            </w:r>
                          </w:p>
                          <w:p w:rsidR="000517E5" w:rsidRPr="00214052" w:rsidRDefault="000517E5" w:rsidP="000517E5">
                            <w:pPr>
                              <w:jc w:val="both"/>
                              <w:rPr>
                                <w:rFonts w:cs="Arial"/>
                                <w:noProof/>
                                <w:color w:val="FF0000"/>
                              </w:rPr>
                            </w:pPr>
                            <w:r w:rsidRPr="00C06980">
                              <w:rPr>
                                <w:rFonts w:ascii="Calibri" w:hAnsi="Calibri" w:cs="Arial"/>
                                <w:noProof/>
                                <w:color w:val="000000" w:themeColor="text1"/>
                                <w:sz w:val="24"/>
                              </w:rPr>
                              <w:t>α</w:t>
                            </w:r>
                            <w:r w:rsidRPr="00C06980">
                              <w:rPr>
                                <w:rFonts w:cs="Arial"/>
                                <w:i/>
                                <w:noProof/>
                                <w:color w:val="000000" w:themeColor="text1"/>
                                <w:sz w:val="24"/>
                                <w:vertAlign w:val="subscript"/>
                              </w:rPr>
                              <w:t>i,n</w:t>
                            </w:r>
                            <w:r w:rsidRPr="00667CBB">
                              <w:rPr>
                                <w:rFonts w:cs="Arial"/>
                                <w:noProof/>
                                <w:color w:val="000000" w:themeColor="text1"/>
                              </w:rPr>
                              <w:t xml:space="preserve"> : 2017 yılına ait n harcama grubunun  tüketim harcamasında i alt grubunun payı. Örneğin </w:t>
                            </w:r>
                            <w:r w:rsidRPr="00C06980">
                              <w:rPr>
                                <w:rFonts w:ascii="Calibri" w:hAnsi="Calibri" w:cs="Arial"/>
                                <w:noProof/>
                                <w:color w:val="000000" w:themeColor="text1"/>
                                <w:sz w:val="24"/>
                              </w:rPr>
                              <w:t>α</w:t>
                            </w:r>
                            <w:r w:rsidRPr="00C06980">
                              <w:rPr>
                                <w:rFonts w:cs="Arial"/>
                                <w:i/>
                                <w:noProof/>
                                <w:color w:val="000000" w:themeColor="text1"/>
                                <w:sz w:val="24"/>
                                <w:vertAlign w:val="subscript"/>
                              </w:rPr>
                              <w:t xml:space="preserve">1,en yoksul </w:t>
                            </w:r>
                            <w:r w:rsidRPr="00667CBB">
                              <w:rPr>
                                <w:rFonts w:cs="Arial"/>
                                <w:noProof/>
                                <w:color w:val="000000" w:themeColor="text1"/>
                              </w:rPr>
                              <w:t xml:space="preserve">, gıda ve alkolsüz içeceklerin </w:t>
                            </w:r>
                            <w:r>
                              <w:rPr>
                                <w:rFonts w:cs="Arial"/>
                                <w:noProof/>
                                <w:color w:val="000000" w:themeColor="text1"/>
                              </w:rPr>
                              <w:t>“</w:t>
                            </w:r>
                            <w:r w:rsidRPr="00D07CC1">
                              <w:rPr>
                                <w:rFonts w:cs="Arial"/>
                                <w:noProof/>
                                <w:color w:val="000000" w:themeColor="text1"/>
                              </w:rPr>
                              <w:t>en yoksul hanelerin” tüketimindeki payı</w:t>
                            </w:r>
                            <w:r>
                              <w:rPr>
                                <w:rFonts w:cs="Arial"/>
                                <w:noProof/>
                                <w:color w:val="000000" w:themeColor="text1"/>
                              </w:rPr>
                              <w:t>.</w:t>
                            </w:r>
                            <w:r w:rsidRPr="00667CBB">
                              <w:rPr>
                                <w:rFonts w:cs="Arial"/>
                                <w:noProof/>
                                <w:color w:val="000000" w:themeColor="text1"/>
                              </w:rPr>
                              <w:t xml:space="preserve"> </w:t>
                            </w:r>
                            <w:r w:rsidRPr="005311B2">
                              <w:rPr>
                                <w:rFonts w:cs="Arial"/>
                                <w:noProof/>
                                <w:color w:val="000000" w:themeColor="text1"/>
                              </w:rPr>
                              <w:t xml:space="preserve">“En yoksul hane” ifadesinin basitleştirme amacıyla kullanıldığını, gerçekte en düşük yüzde 20’lik harcama grubunun yıllık </w:t>
                            </w:r>
                            <w:r w:rsidRPr="004C1901">
                              <w:rPr>
                                <w:rFonts w:cs="Arial"/>
                                <w:noProof/>
                                <w:color w:val="000000" w:themeColor="text1"/>
                              </w:rPr>
                              <w:t>toplam</w:t>
                            </w:r>
                            <w:r>
                              <w:rPr>
                                <w:rFonts w:cs="Arial"/>
                                <w:noProof/>
                                <w:color w:val="000000" w:themeColor="text1"/>
                              </w:rPr>
                              <w:t xml:space="preserve"> </w:t>
                            </w:r>
                            <w:r w:rsidRPr="005311B2">
                              <w:rPr>
                                <w:rFonts w:cs="Arial"/>
                                <w:noProof/>
                                <w:color w:val="000000" w:themeColor="text1"/>
                              </w:rPr>
                              <w:t xml:space="preserve">tüketimindeki “gıda ve alkolsüz içeceklerin” payı olduğunu </w:t>
                            </w:r>
                            <w:r>
                              <w:rPr>
                                <w:rFonts w:cs="Arial"/>
                                <w:noProof/>
                                <w:color w:val="000000" w:themeColor="text1"/>
                              </w:rPr>
                              <w:t>tekrar hatırlatmamızda fayda var</w:t>
                            </w:r>
                            <w:r w:rsidRPr="005311B2">
                              <w:rPr>
                                <w:rFonts w:cs="Arial"/>
                                <w:noProof/>
                                <w:color w:val="000000" w:themeColor="text1"/>
                              </w:rPr>
                              <w:t xml:space="preserve">. Keza “en zengin hane” ifadesi de en yüksek yüzde 20’lik harcama grubunun </w:t>
                            </w:r>
                            <w:r w:rsidRPr="004C1901">
                              <w:rPr>
                                <w:rFonts w:cs="Arial"/>
                                <w:noProof/>
                                <w:color w:val="000000" w:themeColor="text1"/>
                              </w:rPr>
                              <w:t>toplam</w:t>
                            </w:r>
                            <w:r>
                              <w:rPr>
                                <w:rFonts w:cs="Arial"/>
                                <w:noProof/>
                                <w:color w:val="000000" w:themeColor="text1"/>
                              </w:rPr>
                              <w:t xml:space="preserve"> </w:t>
                            </w:r>
                            <w:r w:rsidRPr="005311B2">
                              <w:rPr>
                                <w:rFonts w:cs="Arial"/>
                                <w:noProof/>
                                <w:color w:val="000000" w:themeColor="text1"/>
                              </w:rPr>
                              <w:t>tüketimindeki payları temsil etmektedir.</w:t>
                            </w:r>
                            <w:r>
                              <w:rPr>
                                <w:rFonts w:cs="Arial"/>
                                <w:noProof/>
                                <w:color w:val="000000" w:themeColor="text1"/>
                              </w:rPr>
                              <w:t xml:space="preserve"> </w:t>
                            </w:r>
                          </w:p>
                          <w:p w:rsidR="000517E5" w:rsidRPr="004F31C0" w:rsidRDefault="000517E5" w:rsidP="000517E5">
                            <w:pPr>
                              <w:jc w:val="both"/>
                            </w:pPr>
                            <w:r w:rsidRPr="00C06980">
                              <w:rPr>
                                <w:rFonts w:cs="Arial"/>
                                <w:noProof/>
                                <w:color w:val="000000" w:themeColor="text1"/>
                                <w:sz w:val="24"/>
                              </w:rPr>
                              <w:t>E</w:t>
                            </w:r>
                            <w:r w:rsidRPr="00C06980">
                              <w:rPr>
                                <w:rFonts w:cs="Arial"/>
                                <w:i/>
                                <w:noProof/>
                                <w:color w:val="000000" w:themeColor="text1"/>
                                <w:sz w:val="24"/>
                                <w:vertAlign w:val="subscript"/>
                              </w:rPr>
                              <w:t>t,</w:t>
                            </w:r>
                            <w:proofErr w:type="gramStart"/>
                            <w:r w:rsidRPr="00C06980">
                              <w:rPr>
                                <w:rFonts w:cs="Arial"/>
                                <w:i/>
                                <w:noProof/>
                                <w:color w:val="000000" w:themeColor="text1"/>
                                <w:sz w:val="24"/>
                                <w:vertAlign w:val="subscript"/>
                              </w:rPr>
                              <w:t>n</w:t>
                            </w:r>
                            <w:r w:rsidRPr="00C06980">
                              <w:rPr>
                                <w:sz w:val="20"/>
                              </w:rPr>
                              <w:t xml:space="preserve"> </w:t>
                            </w:r>
                            <w:r w:rsidRPr="00667CBB">
                              <w:t>: n</w:t>
                            </w:r>
                            <w:proofErr w:type="gramEnd"/>
                            <w:r w:rsidRPr="00667CBB">
                              <w:t xml:space="preserve"> harcama grubunun t döneminde maruz kaldığı genel tüketim fiyat endeksi. Örneğin</w:t>
                            </w:r>
                            <w:r w:rsidRPr="00C06980">
                              <w:rPr>
                                <w:sz w:val="24"/>
                              </w:rPr>
                              <w:t xml:space="preserve"> </w:t>
                            </w:r>
                            <w:r w:rsidRPr="00C06980">
                              <w:rPr>
                                <w:rFonts w:cs="Arial"/>
                                <w:noProof/>
                                <w:color w:val="000000" w:themeColor="text1"/>
                                <w:sz w:val="24"/>
                              </w:rPr>
                              <w:t>E</w:t>
                            </w:r>
                            <w:r>
                              <w:rPr>
                                <w:rFonts w:cs="Arial"/>
                                <w:i/>
                                <w:noProof/>
                                <w:color w:val="000000" w:themeColor="text1"/>
                                <w:sz w:val="24"/>
                                <w:vertAlign w:val="subscript"/>
                              </w:rPr>
                              <w:t>Nisan 17,en yoksul</w:t>
                            </w:r>
                            <w:r>
                              <w:t xml:space="preserve">, </w:t>
                            </w:r>
                            <w:r w:rsidRPr="00D07CC1">
                              <w:t>en yoksul hanelerin</w:t>
                            </w:r>
                            <w:r w:rsidRPr="00667CBB">
                              <w:t xml:space="preserve"> Nisan 2017 dönemindeki tüketim sepetinin fiyat endeksi</w:t>
                            </w:r>
                          </w:p>
                          <w:p w:rsidR="000517E5" w:rsidRDefault="000517E5" w:rsidP="000517E5">
                            <w:pPr>
                              <w:jc w:val="both"/>
                              <w:rPr>
                                <w:rStyle w:val="texhtml"/>
                                <w:bCs/>
                                <w:color w:val="222222"/>
                                <w:shd w:val="clear" w:color="auto" w:fill="FFFFFF"/>
                              </w:rPr>
                            </w:pPr>
                          </w:p>
                          <w:p w:rsidR="000517E5" w:rsidRPr="004F31C0" w:rsidRDefault="000517E5" w:rsidP="000517E5">
                            <w:pPr>
                              <w:jc w:val="both"/>
                              <w:rPr>
                                <w:rStyle w:val="texhtml"/>
                                <w:bCs/>
                                <w:color w:val="FF0000"/>
                                <w:shd w:val="clear" w:color="auto" w:fill="FFFFFF"/>
                              </w:rPr>
                            </w:pPr>
                            <w:r w:rsidRPr="004F31C0">
                              <w:rPr>
                                <w:rStyle w:val="texhtml"/>
                                <w:bCs/>
                                <w:color w:val="222222"/>
                                <w:shd w:val="clear" w:color="auto" w:fill="FFFFFF"/>
                              </w:rPr>
                              <w:t xml:space="preserve">Aşağıda Tablo 1’de TÜİK tarafından açıklanan alt grup endeksleri 2017 Nisan ve </w:t>
                            </w:r>
                            <w:r w:rsidRPr="006A7E8C">
                              <w:rPr>
                                <w:rStyle w:val="texhtml"/>
                                <w:bCs/>
                                <w:color w:val="000000" w:themeColor="text1"/>
                                <w:shd w:val="clear" w:color="auto" w:fill="FFFFFF"/>
                              </w:rPr>
                              <w:t xml:space="preserve">2019 Nisan </w:t>
                            </w:r>
                            <w:r w:rsidRPr="004F31C0">
                              <w:rPr>
                                <w:rStyle w:val="texhtml"/>
                                <w:bCs/>
                                <w:color w:val="222222"/>
                                <w:shd w:val="clear" w:color="auto" w:fill="FFFFFF"/>
                              </w:rPr>
                              <w:t xml:space="preserve">ayları için ayrı ayrı verilmiştir. Bunun yanında bu alt grupların en yoksul ve en zengin hanelerin 2017 yılına ait tüketim sepetlerindeki payları da tabloya eklenmiştir. İki farklı grubun 2017 Nisan ve </w:t>
                            </w:r>
                            <w:r w:rsidRPr="006A7E8C">
                              <w:rPr>
                                <w:rStyle w:val="texhtml"/>
                                <w:bCs/>
                                <w:color w:val="000000" w:themeColor="text1"/>
                                <w:shd w:val="clear" w:color="auto" w:fill="FFFFFF"/>
                              </w:rPr>
                              <w:t>2019 Nisan</w:t>
                            </w:r>
                            <w:r w:rsidRPr="002328B8">
                              <w:rPr>
                                <w:rStyle w:val="texhtml"/>
                                <w:bCs/>
                                <w:color w:val="FF0000"/>
                                <w:shd w:val="clear" w:color="auto" w:fill="FFFFFF"/>
                              </w:rPr>
                              <w:t xml:space="preserve"> </w:t>
                            </w:r>
                            <w:r w:rsidRPr="004F31C0">
                              <w:rPr>
                                <w:rStyle w:val="texhtml"/>
                                <w:bCs/>
                                <w:color w:val="222222"/>
                                <w:shd w:val="clear" w:color="auto" w:fill="FFFFFF"/>
                              </w:rPr>
                              <w:t xml:space="preserve">aylarındaki fiyat endeksleri 2017 paylarıyla </w:t>
                            </w:r>
                            <w:proofErr w:type="spellStart"/>
                            <w:r w:rsidRPr="004F31C0">
                              <w:rPr>
                                <w:rStyle w:val="texhtml"/>
                                <w:bCs/>
                                <w:color w:val="222222"/>
                                <w:shd w:val="clear" w:color="auto" w:fill="FFFFFF"/>
                              </w:rPr>
                              <w:t>ağırlıklandırılarak</w:t>
                            </w:r>
                            <w:proofErr w:type="spellEnd"/>
                            <w:r w:rsidRPr="004F31C0">
                              <w:rPr>
                                <w:rStyle w:val="texhtml"/>
                                <w:bCs/>
                                <w:color w:val="222222"/>
                                <w:shd w:val="clear" w:color="auto" w:fill="FFFFFF"/>
                              </w:rPr>
                              <w:t xml:space="preserve"> hesaplanmıştır. Tablo 2’de ise TÜİK tarafından tanımlanan 12 al</w:t>
                            </w:r>
                            <w:r>
                              <w:rPr>
                                <w:rStyle w:val="texhtml"/>
                                <w:bCs/>
                                <w:color w:val="222222"/>
                                <w:shd w:val="clear" w:color="auto" w:fill="FFFFFF"/>
                              </w:rPr>
                              <w:t>t</w:t>
                            </w:r>
                            <w:r w:rsidRPr="004F31C0">
                              <w:rPr>
                                <w:rStyle w:val="texhtml"/>
                                <w:bCs/>
                                <w:color w:val="222222"/>
                                <w:shd w:val="clear" w:color="auto" w:fill="FFFFFF"/>
                              </w:rPr>
                              <w:t xml:space="preserve"> harcama kalemi listelenmiştir. </w:t>
                            </w:r>
                          </w:p>
                          <w:p w:rsidR="000517E5" w:rsidRDefault="000517E5" w:rsidP="000517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4E8AD" id="Text Box 2" o:spid="_x0000_s1028" type="#_x0000_t202" style="position:absolute;left:0;text-align:left;margin-left:-32.4pt;margin-top:24.7pt;width:520.9pt;height:603.3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">
                <v:textbox>
                  <w:txbxContent>
                    <w:p w:rsidR="000517E5" w:rsidRPr="00667CBB" w:rsidRDefault="000517E5" w:rsidP="000517E5">
                      <w:pPr>
                        <w:jc w:val="both"/>
                        <w:rPr>
                          <w:rFonts w:cs="Arial"/>
                          <w:noProof/>
                          <w:color w:val="000000" w:themeColor="text1"/>
                        </w:rPr>
                      </w:pPr>
                      <w:r w:rsidRPr="00667CBB">
                        <w:rPr>
                          <w:rFonts w:cs="Arial"/>
                          <w:noProof/>
                          <w:color w:val="000000" w:themeColor="text1"/>
                        </w:rPr>
                        <w:t>Farklı harca</w:t>
                      </w:r>
                      <w:r>
                        <w:rPr>
                          <w:rFonts w:cs="Arial"/>
                          <w:noProof/>
                          <w:color w:val="000000" w:themeColor="text1"/>
                        </w:rPr>
                        <w:t>ma</w:t>
                      </w:r>
                      <w:r w:rsidRPr="00667CBB">
                        <w:rPr>
                          <w:rFonts w:cs="Arial"/>
                          <w:noProof/>
                          <w:color w:val="000000" w:themeColor="text1"/>
                        </w:rPr>
                        <w:t xml:space="preserve"> grupları için fiyat endeksi oluşturulurken TÜİK’in sınıflandırmaları ve verileri kullanılmıştır. TÜİK, tüketim harcamalarının alt kalemlerine ait fiyat endekslerini </w:t>
                      </w:r>
                      <w:r w:rsidRPr="004C1901">
                        <w:rPr>
                          <w:rFonts w:cs="Arial"/>
                          <w:noProof/>
                          <w:color w:val="000000" w:themeColor="text1"/>
                        </w:rPr>
                        <w:t>2003</w:t>
                      </w:r>
                      <w:r>
                        <w:rPr>
                          <w:rFonts w:cs="Arial"/>
                          <w:noProof/>
                          <w:color w:val="000000" w:themeColor="text1"/>
                        </w:rPr>
                        <w:t xml:space="preserve"> </w:t>
                      </w:r>
                      <w:r w:rsidRPr="00667CBB">
                        <w:rPr>
                          <w:rFonts w:cs="Arial"/>
                          <w:noProof/>
                          <w:color w:val="000000" w:themeColor="text1"/>
                        </w:rPr>
                        <w:t>yılını baz alarak (</w:t>
                      </w:r>
                      <w:r w:rsidRPr="009744D1">
                        <w:rPr>
                          <w:rFonts w:cs="Arial"/>
                          <w:noProof/>
                          <w:color w:val="000000" w:themeColor="text1"/>
                        </w:rPr>
                        <w:t>2003</w:t>
                      </w:r>
                      <w:r w:rsidRPr="00667CBB">
                        <w:rPr>
                          <w:rFonts w:cs="Arial"/>
                          <w:noProof/>
                          <w:color w:val="000000" w:themeColor="text1"/>
                        </w:rPr>
                        <w:t xml:space="preserve">=100) her ay yayınlamaktadır. Öte yandan Tüketim Harcamaları İstatistikleri’nde, hanelerin harcamalarına göre sıralı %20’lik gruplara göre tüketim sepetlerindeki 12 ana harcama grubunun ağırlıkları da yıllık olarak TÜİK tarafından paylaşılmaktadır. </w:t>
                      </w:r>
                      <w:r>
                        <w:rPr>
                          <w:rFonts w:cs="Arial"/>
                          <w:noProof/>
                          <w:color w:val="000000" w:themeColor="text1"/>
                        </w:rPr>
                        <w:t xml:space="preserve">Her sene harcamalarına göre sıralı %20’lik beş grubun kendi içindeki toplam tüketim harcaması tespit edilmekte ve 12 alt tüketim kaleminin her birinin bu toplamdaki payı hesaplanmaktadır. Bu sayede yüzde 20’lik grupların tüm yılı kapsayan tüketim harcamalarının alt kalem paylarına ulaşılabilmektedir. </w:t>
                      </w:r>
                      <w:r w:rsidRPr="00667CBB">
                        <w:rPr>
                          <w:rFonts w:cs="Arial"/>
                          <w:noProof/>
                          <w:color w:val="000000" w:themeColor="text1"/>
                        </w:rPr>
                        <w:t xml:space="preserve">2018 yılına ait ağırlıklar henüz açıklanmadığı için ağırlıklandırmalarımızın tümü 2017 yılının verileriyle yapılmıştır. Sepetlerin bileşenleri zaman içerisinde çok fazla değişmediğinden son 16 ay için 2017 ağırlıklarını kullanmamızın sonuçlarımızda </w:t>
                      </w:r>
                      <w:r w:rsidRPr="004C1901">
                        <w:rPr>
                          <w:rFonts w:cs="Arial"/>
                          <w:noProof/>
                          <w:color w:val="000000" w:themeColor="text1"/>
                        </w:rPr>
                        <w:t>çok sınırlı bir</w:t>
                      </w:r>
                      <w:r w:rsidRPr="00667CBB">
                        <w:rPr>
                          <w:rFonts w:cs="Arial"/>
                          <w:noProof/>
                          <w:color w:val="000000" w:themeColor="text1"/>
                        </w:rPr>
                        <w:t xml:space="preserve"> sapma yaratabileceğini hatırlatalım. </w:t>
                      </w:r>
                    </w:p>
                    <w:p w:rsidR="000517E5" w:rsidRDefault="000517E5" w:rsidP="000517E5">
                      <w:pPr>
                        <w:jc w:val="both"/>
                        <w:rPr>
                          <w:rFonts w:cs="Arial"/>
                          <w:noProof/>
                          <w:color w:val="000000" w:themeColor="text1"/>
                        </w:rPr>
                      </w:pPr>
                    </w:p>
                    <w:p w:rsidR="000517E5" w:rsidRPr="00654D98" w:rsidRDefault="000517E5" w:rsidP="000517E5">
                      <w:pPr>
                        <w:jc w:val="both"/>
                        <w:rPr>
                          <w:rFonts w:cs="Arial"/>
                          <w:noProof/>
                          <w:color w:val="000000" w:themeColor="text1"/>
                        </w:rPr>
                      </w:pPr>
                      <w:r w:rsidRPr="00667CBB">
                        <w:rPr>
                          <w:rFonts w:cs="Arial"/>
                          <w:noProof/>
                          <w:color w:val="000000" w:themeColor="text1"/>
                        </w:rPr>
                        <w:t>Harcamalara gör</w:t>
                      </w:r>
                      <w:r>
                        <w:rPr>
                          <w:rFonts w:cs="Arial"/>
                          <w:noProof/>
                          <w:color w:val="000000" w:themeColor="text1"/>
                        </w:rPr>
                        <w:t xml:space="preserve">e sıralı yüzde </w:t>
                      </w:r>
                      <w:r w:rsidRPr="00667CBB">
                        <w:rPr>
                          <w:rFonts w:cs="Arial"/>
                          <w:noProof/>
                          <w:color w:val="000000" w:themeColor="text1"/>
                        </w:rPr>
                        <w:t>20’lik beş grubun her biri için hem Nisan 2017 hem de Nisan 2019 dönemine ait tüketim sepetlerinin genel fiyat endeksi hesaplanmıştır. Hesaplamadaki ağırlıklandırılma aşağıdaki formülde gösterilmektedir.</w:t>
                      </w:r>
                    </w:p>
                    <w:p w:rsidR="000517E5" w:rsidRPr="00654D98" w:rsidRDefault="000517E5" w:rsidP="000517E5">
                      <w:pPr>
                        <w:jc w:val="both"/>
                        <w:rPr>
                          <w:rFonts w:cs="Arial"/>
                          <w:noProof/>
                          <w:color w:val="000000" w:themeColor="text1"/>
                          <w:sz w:val="24"/>
                          <w:vertAlign w:val="subscript"/>
                        </w:rPr>
                      </w:pPr>
                      <w:r w:rsidRPr="00C06980">
                        <w:rPr>
                          <w:rFonts w:cs="Arial"/>
                          <w:noProof/>
                          <w:color w:val="000000" w:themeColor="text1"/>
                          <w:sz w:val="24"/>
                        </w:rPr>
                        <w:t>E</w:t>
                      </w:r>
                      <w:r w:rsidRPr="00C06980">
                        <w:rPr>
                          <w:rFonts w:cs="Arial"/>
                          <w:i/>
                          <w:noProof/>
                          <w:color w:val="000000" w:themeColor="text1"/>
                          <w:sz w:val="24"/>
                          <w:vertAlign w:val="subscript"/>
                        </w:rPr>
                        <w:t>t,n</w:t>
                      </w:r>
                      <w:r w:rsidRPr="00C06980">
                        <w:rPr>
                          <w:rFonts w:cs="Arial"/>
                          <w:noProof/>
                          <w:color w:val="000000" w:themeColor="text1"/>
                          <w:sz w:val="24"/>
                          <w:vertAlign w:val="subscript"/>
                        </w:rPr>
                        <w:t xml:space="preserve">   </w:t>
                      </w:r>
                      <w:r w:rsidRPr="00C06980">
                        <w:rPr>
                          <w:rFonts w:cs="Arial"/>
                          <w:noProof/>
                          <w:color w:val="000000" w:themeColor="text1"/>
                          <w:sz w:val="24"/>
                        </w:rPr>
                        <w:t xml:space="preserve">= </w:t>
                      </w:r>
                      <w:r w:rsidRPr="00C06980">
                        <w:rPr>
                          <w:rFonts w:cs="Arial"/>
                          <w:noProof/>
                          <w:color w:val="000000" w:themeColor="text1"/>
                          <w:position w:val="-28"/>
                          <w:sz w:val="24"/>
                        </w:rPr>
                        <w:object w:dxaOrig="465" w:dyaOrig="690">
                          <v:shape id="_x0000_i1027" type="#_x0000_t75" style="width:23.45pt;height:34.35pt">
                            <v:imagedata r:id="rId14" o:title=""/>
                          </v:shape>
                          <o:OLEObject Type="Embed" ProgID="Equation.3" ShapeID="_x0000_i1027" DrawAspect="Content" ObjectID="_1621861808" r:id="rId15"/>
                        </w:object>
                      </w:r>
                      <w:r w:rsidRPr="00C06980">
                        <w:rPr>
                          <w:rFonts w:cs="Arial"/>
                          <w:noProof/>
                          <w:color w:val="000000" w:themeColor="text1"/>
                          <w:sz w:val="24"/>
                        </w:rPr>
                        <w:t>E</w:t>
                      </w:r>
                      <w:r w:rsidRPr="00C06980">
                        <w:rPr>
                          <w:rFonts w:cs="Arial"/>
                          <w:i/>
                          <w:noProof/>
                          <w:color w:val="000000" w:themeColor="text1"/>
                          <w:sz w:val="24"/>
                          <w:vertAlign w:val="subscript"/>
                        </w:rPr>
                        <w:t xml:space="preserve">i,t </w:t>
                      </w:r>
                      <w:r w:rsidRPr="00C06980">
                        <w:rPr>
                          <w:rFonts w:cs="Arial"/>
                          <w:noProof/>
                          <w:color w:val="000000" w:themeColor="text1"/>
                          <w:sz w:val="24"/>
                          <w:vertAlign w:val="subscript"/>
                        </w:rPr>
                        <w:t xml:space="preserve">  </w:t>
                      </w:r>
                      <w:r w:rsidRPr="00C06980">
                        <w:rPr>
                          <w:rFonts w:cs="Arial"/>
                          <w:noProof/>
                          <w:color w:val="000000" w:themeColor="text1"/>
                          <w:sz w:val="24"/>
                        </w:rPr>
                        <w:t xml:space="preserve">x  </w:t>
                      </w:r>
                      <w:r w:rsidRPr="00C06980">
                        <w:rPr>
                          <w:rFonts w:ascii="Calibri" w:hAnsi="Calibri" w:cs="Arial"/>
                          <w:noProof/>
                          <w:color w:val="000000" w:themeColor="text1"/>
                          <w:sz w:val="24"/>
                        </w:rPr>
                        <w:t>α</w:t>
                      </w:r>
                      <w:r w:rsidRPr="00C06980">
                        <w:rPr>
                          <w:rFonts w:cs="Arial"/>
                          <w:i/>
                          <w:noProof/>
                          <w:color w:val="000000" w:themeColor="text1"/>
                          <w:sz w:val="24"/>
                          <w:vertAlign w:val="subscript"/>
                        </w:rPr>
                        <w:t>i,n</w:t>
                      </w:r>
                    </w:p>
                    <w:p w:rsidR="000517E5" w:rsidRPr="00667CBB" w:rsidRDefault="000517E5" w:rsidP="000517E5">
                      <w:pPr>
                        <w:jc w:val="both"/>
                        <w:rPr>
                          <w:rFonts w:cs="Arial"/>
                          <w:noProof/>
                          <w:color w:val="000000" w:themeColor="text1"/>
                        </w:rPr>
                      </w:pPr>
                      <w:r w:rsidRPr="00C06980">
                        <w:rPr>
                          <w:rFonts w:cs="Arial"/>
                          <w:noProof/>
                          <w:color w:val="000000" w:themeColor="text1"/>
                          <w:sz w:val="24"/>
                        </w:rPr>
                        <w:t>E</w:t>
                      </w:r>
                      <w:r w:rsidRPr="00C06980">
                        <w:rPr>
                          <w:rFonts w:cs="Arial"/>
                          <w:i/>
                          <w:noProof/>
                          <w:color w:val="000000" w:themeColor="text1"/>
                          <w:sz w:val="24"/>
                          <w:vertAlign w:val="subscript"/>
                        </w:rPr>
                        <w:t>i,t</w:t>
                      </w:r>
                      <w:r w:rsidRPr="00667CBB">
                        <w:rPr>
                          <w:rFonts w:cs="Arial"/>
                          <w:i/>
                          <w:noProof/>
                          <w:color w:val="000000" w:themeColor="text1"/>
                          <w:vertAlign w:val="subscript"/>
                        </w:rPr>
                        <w:t xml:space="preserve"> </w:t>
                      </w:r>
                      <w:r w:rsidRPr="00667CBB">
                        <w:rPr>
                          <w:rFonts w:cs="Arial"/>
                          <w:noProof/>
                          <w:color w:val="000000" w:themeColor="text1"/>
                          <w:vertAlign w:val="subscript"/>
                        </w:rPr>
                        <w:t xml:space="preserve"> </w:t>
                      </w:r>
                      <w:r w:rsidRPr="00667CBB">
                        <w:rPr>
                          <w:rFonts w:cs="Arial"/>
                          <w:noProof/>
                          <w:color w:val="000000" w:themeColor="text1"/>
                        </w:rPr>
                        <w:t>: t dönemindeki i alt tüketim kaleminin fiyat endeksi. Örneğin</w:t>
                      </w:r>
                      <w:r w:rsidRPr="00C06980">
                        <w:rPr>
                          <w:rFonts w:cs="Arial"/>
                          <w:noProof/>
                          <w:color w:val="000000" w:themeColor="text1"/>
                          <w:sz w:val="24"/>
                        </w:rPr>
                        <w:t xml:space="preserve"> E</w:t>
                      </w:r>
                      <w:r>
                        <w:rPr>
                          <w:rFonts w:cs="Arial"/>
                          <w:i/>
                          <w:noProof/>
                          <w:color w:val="000000" w:themeColor="text1"/>
                          <w:sz w:val="24"/>
                          <w:vertAlign w:val="subscript"/>
                        </w:rPr>
                        <w:t>1,Nisan 17</w:t>
                      </w:r>
                      <w:r w:rsidRPr="00667CBB">
                        <w:rPr>
                          <w:rFonts w:cs="Arial"/>
                          <w:noProof/>
                          <w:color w:val="000000" w:themeColor="text1"/>
                        </w:rPr>
                        <w:t>, Nisan 2017 döneminde gıda ve alkolsüz içeceklerin fiyat endeksi</w:t>
                      </w:r>
                    </w:p>
                    <w:p w:rsidR="000517E5" w:rsidRPr="00214052" w:rsidRDefault="000517E5" w:rsidP="000517E5">
                      <w:pPr>
                        <w:jc w:val="both"/>
                        <w:rPr>
                          <w:rFonts w:cs="Arial"/>
                          <w:noProof/>
                          <w:color w:val="FF0000"/>
                        </w:rPr>
                      </w:pPr>
                      <w:r w:rsidRPr="00C06980">
                        <w:rPr>
                          <w:rFonts w:ascii="Calibri" w:hAnsi="Calibri" w:cs="Arial"/>
                          <w:noProof/>
                          <w:color w:val="000000" w:themeColor="text1"/>
                          <w:sz w:val="24"/>
                        </w:rPr>
                        <w:t>α</w:t>
                      </w:r>
                      <w:r w:rsidRPr="00C06980">
                        <w:rPr>
                          <w:rFonts w:cs="Arial"/>
                          <w:i/>
                          <w:noProof/>
                          <w:color w:val="000000" w:themeColor="text1"/>
                          <w:sz w:val="24"/>
                          <w:vertAlign w:val="subscript"/>
                        </w:rPr>
                        <w:t>i,n</w:t>
                      </w:r>
                      <w:r w:rsidRPr="00667CBB">
                        <w:rPr>
                          <w:rFonts w:cs="Arial"/>
                          <w:noProof/>
                          <w:color w:val="000000" w:themeColor="text1"/>
                        </w:rPr>
                        <w:t xml:space="preserve"> : 2017 yılına ait n harcama grubunun  tüketim harcamasında i alt grubunun payı. Örneğin </w:t>
                      </w:r>
                      <w:r w:rsidRPr="00C06980">
                        <w:rPr>
                          <w:rFonts w:ascii="Calibri" w:hAnsi="Calibri" w:cs="Arial"/>
                          <w:noProof/>
                          <w:color w:val="000000" w:themeColor="text1"/>
                          <w:sz w:val="24"/>
                        </w:rPr>
                        <w:t>α</w:t>
                      </w:r>
                      <w:r w:rsidRPr="00C06980">
                        <w:rPr>
                          <w:rFonts w:cs="Arial"/>
                          <w:i/>
                          <w:noProof/>
                          <w:color w:val="000000" w:themeColor="text1"/>
                          <w:sz w:val="24"/>
                          <w:vertAlign w:val="subscript"/>
                        </w:rPr>
                        <w:t xml:space="preserve">1,en yoksul </w:t>
                      </w:r>
                      <w:r w:rsidRPr="00667CBB">
                        <w:rPr>
                          <w:rFonts w:cs="Arial"/>
                          <w:noProof/>
                          <w:color w:val="000000" w:themeColor="text1"/>
                        </w:rPr>
                        <w:t xml:space="preserve">, gıda ve alkolsüz içeceklerin </w:t>
                      </w:r>
                      <w:r>
                        <w:rPr>
                          <w:rFonts w:cs="Arial"/>
                          <w:noProof/>
                          <w:color w:val="000000" w:themeColor="text1"/>
                        </w:rPr>
                        <w:t>“</w:t>
                      </w:r>
                      <w:r w:rsidRPr="00D07CC1">
                        <w:rPr>
                          <w:rFonts w:cs="Arial"/>
                          <w:noProof/>
                          <w:color w:val="000000" w:themeColor="text1"/>
                        </w:rPr>
                        <w:t>en yoksul hanelerin” tüketimindeki payı</w:t>
                      </w:r>
                      <w:r>
                        <w:rPr>
                          <w:rFonts w:cs="Arial"/>
                          <w:noProof/>
                          <w:color w:val="000000" w:themeColor="text1"/>
                        </w:rPr>
                        <w:t>.</w:t>
                      </w:r>
                      <w:r w:rsidRPr="00667CBB">
                        <w:rPr>
                          <w:rFonts w:cs="Arial"/>
                          <w:noProof/>
                          <w:color w:val="000000" w:themeColor="text1"/>
                        </w:rPr>
                        <w:t xml:space="preserve"> </w:t>
                      </w:r>
                      <w:r w:rsidRPr="005311B2">
                        <w:rPr>
                          <w:rFonts w:cs="Arial"/>
                          <w:noProof/>
                          <w:color w:val="000000" w:themeColor="text1"/>
                        </w:rPr>
                        <w:t xml:space="preserve">“En yoksul hane” ifadesinin basitleştirme amacıyla kullanıldığını, gerçekte en düşük yüzde 20’lik harcama grubunun yıllık </w:t>
                      </w:r>
                      <w:r w:rsidRPr="004C1901">
                        <w:rPr>
                          <w:rFonts w:cs="Arial"/>
                          <w:noProof/>
                          <w:color w:val="000000" w:themeColor="text1"/>
                        </w:rPr>
                        <w:t>toplam</w:t>
                      </w:r>
                      <w:r>
                        <w:rPr>
                          <w:rFonts w:cs="Arial"/>
                          <w:noProof/>
                          <w:color w:val="000000" w:themeColor="text1"/>
                        </w:rPr>
                        <w:t xml:space="preserve"> </w:t>
                      </w:r>
                      <w:r w:rsidRPr="005311B2">
                        <w:rPr>
                          <w:rFonts w:cs="Arial"/>
                          <w:noProof/>
                          <w:color w:val="000000" w:themeColor="text1"/>
                        </w:rPr>
                        <w:t xml:space="preserve">tüketimindeki “gıda ve alkolsüz içeceklerin” payı olduğunu </w:t>
                      </w:r>
                      <w:r>
                        <w:rPr>
                          <w:rFonts w:cs="Arial"/>
                          <w:noProof/>
                          <w:color w:val="000000" w:themeColor="text1"/>
                        </w:rPr>
                        <w:t>tekrar hatırlatmamızda fayda var</w:t>
                      </w:r>
                      <w:r w:rsidRPr="005311B2">
                        <w:rPr>
                          <w:rFonts w:cs="Arial"/>
                          <w:noProof/>
                          <w:color w:val="000000" w:themeColor="text1"/>
                        </w:rPr>
                        <w:t xml:space="preserve">. Keza “en zengin hane” ifadesi de en yüksek yüzde 20’lik harcama grubunun </w:t>
                      </w:r>
                      <w:r w:rsidRPr="004C1901">
                        <w:rPr>
                          <w:rFonts w:cs="Arial"/>
                          <w:noProof/>
                          <w:color w:val="000000" w:themeColor="text1"/>
                        </w:rPr>
                        <w:t>toplam</w:t>
                      </w:r>
                      <w:r>
                        <w:rPr>
                          <w:rFonts w:cs="Arial"/>
                          <w:noProof/>
                          <w:color w:val="000000" w:themeColor="text1"/>
                        </w:rPr>
                        <w:t xml:space="preserve"> </w:t>
                      </w:r>
                      <w:r w:rsidRPr="005311B2">
                        <w:rPr>
                          <w:rFonts w:cs="Arial"/>
                          <w:noProof/>
                          <w:color w:val="000000" w:themeColor="text1"/>
                        </w:rPr>
                        <w:t>tüketimindeki payları temsil etmektedir.</w:t>
                      </w:r>
                      <w:r>
                        <w:rPr>
                          <w:rFonts w:cs="Arial"/>
                          <w:noProof/>
                          <w:color w:val="000000" w:themeColor="text1"/>
                        </w:rPr>
                        <w:t xml:space="preserve"> </w:t>
                      </w:r>
                    </w:p>
                    <w:p w:rsidR="000517E5" w:rsidRPr="004F31C0" w:rsidRDefault="000517E5" w:rsidP="000517E5">
                      <w:pPr>
                        <w:jc w:val="both"/>
                      </w:pPr>
                      <w:r w:rsidRPr="00C06980">
                        <w:rPr>
                          <w:rFonts w:cs="Arial"/>
                          <w:noProof/>
                          <w:color w:val="000000" w:themeColor="text1"/>
                          <w:sz w:val="24"/>
                        </w:rPr>
                        <w:t>E</w:t>
                      </w:r>
                      <w:r w:rsidRPr="00C06980">
                        <w:rPr>
                          <w:rFonts w:cs="Arial"/>
                          <w:i/>
                          <w:noProof/>
                          <w:color w:val="000000" w:themeColor="text1"/>
                          <w:sz w:val="24"/>
                          <w:vertAlign w:val="subscript"/>
                        </w:rPr>
                        <w:t>t,</w:t>
                      </w:r>
                      <w:proofErr w:type="gramStart"/>
                      <w:r w:rsidRPr="00C06980">
                        <w:rPr>
                          <w:rFonts w:cs="Arial"/>
                          <w:i/>
                          <w:noProof/>
                          <w:color w:val="000000" w:themeColor="text1"/>
                          <w:sz w:val="24"/>
                          <w:vertAlign w:val="subscript"/>
                        </w:rPr>
                        <w:t>n</w:t>
                      </w:r>
                      <w:r w:rsidRPr="00C06980">
                        <w:rPr>
                          <w:sz w:val="20"/>
                        </w:rPr>
                        <w:t xml:space="preserve"> </w:t>
                      </w:r>
                      <w:r w:rsidRPr="00667CBB">
                        <w:t>: n</w:t>
                      </w:r>
                      <w:proofErr w:type="gramEnd"/>
                      <w:r w:rsidRPr="00667CBB">
                        <w:t xml:space="preserve"> harcama grubunun t döneminde maruz kaldığı genel tüketim fiyat endeksi. Örneğin</w:t>
                      </w:r>
                      <w:r w:rsidRPr="00C06980">
                        <w:rPr>
                          <w:sz w:val="24"/>
                        </w:rPr>
                        <w:t xml:space="preserve"> </w:t>
                      </w:r>
                      <w:r w:rsidRPr="00C06980">
                        <w:rPr>
                          <w:rFonts w:cs="Arial"/>
                          <w:noProof/>
                          <w:color w:val="000000" w:themeColor="text1"/>
                          <w:sz w:val="24"/>
                        </w:rPr>
                        <w:t>E</w:t>
                      </w:r>
                      <w:r>
                        <w:rPr>
                          <w:rFonts w:cs="Arial"/>
                          <w:i/>
                          <w:noProof/>
                          <w:color w:val="000000" w:themeColor="text1"/>
                          <w:sz w:val="24"/>
                          <w:vertAlign w:val="subscript"/>
                        </w:rPr>
                        <w:t>Nisan 17,en yoksul</w:t>
                      </w:r>
                      <w:r>
                        <w:t xml:space="preserve">, </w:t>
                      </w:r>
                      <w:r w:rsidRPr="00D07CC1">
                        <w:t>en yoksul hanelerin</w:t>
                      </w:r>
                      <w:r w:rsidRPr="00667CBB">
                        <w:t xml:space="preserve"> Nisan 2017 dönemindeki tüketim sepetinin fiyat endeksi</w:t>
                      </w:r>
                    </w:p>
                    <w:p w:rsidR="000517E5" w:rsidRDefault="000517E5" w:rsidP="000517E5">
                      <w:pPr>
                        <w:jc w:val="both"/>
                        <w:rPr>
                          <w:rStyle w:val="texhtml"/>
                          <w:bCs/>
                          <w:color w:val="222222"/>
                          <w:shd w:val="clear" w:color="auto" w:fill="FFFFFF"/>
                        </w:rPr>
                      </w:pPr>
                    </w:p>
                    <w:p w:rsidR="000517E5" w:rsidRPr="004F31C0" w:rsidRDefault="000517E5" w:rsidP="000517E5">
                      <w:pPr>
                        <w:jc w:val="both"/>
                        <w:rPr>
                          <w:rStyle w:val="texhtml"/>
                          <w:bCs/>
                          <w:color w:val="FF0000"/>
                          <w:shd w:val="clear" w:color="auto" w:fill="FFFFFF"/>
                        </w:rPr>
                      </w:pPr>
                      <w:r w:rsidRPr="004F31C0">
                        <w:rPr>
                          <w:rStyle w:val="texhtml"/>
                          <w:bCs/>
                          <w:color w:val="222222"/>
                          <w:shd w:val="clear" w:color="auto" w:fill="FFFFFF"/>
                        </w:rPr>
                        <w:t xml:space="preserve">Aşağıda Tablo 1’de TÜİK tarafından açıklanan alt grup endeksleri 2017 Nisan ve </w:t>
                      </w:r>
                      <w:r w:rsidRPr="006A7E8C">
                        <w:rPr>
                          <w:rStyle w:val="texhtml"/>
                          <w:bCs/>
                          <w:color w:val="000000" w:themeColor="text1"/>
                          <w:shd w:val="clear" w:color="auto" w:fill="FFFFFF"/>
                        </w:rPr>
                        <w:t xml:space="preserve">2019 Nisan </w:t>
                      </w:r>
                      <w:r w:rsidRPr="004F31C0">
                        <w:rPr>
                          <w:rStyle w:val="texhtml"/>
                          <w:bCs/>
                          <w:color w:val="222222"/>
                          <w:shd w:val="clear" w:color="auto" w:fill="FFFFFF"/>
                        </w:rPr>
                        <w:t xml:space="preserve">ayları için ayrı ayrı verilmiştir. Bunun yanında bu alt grupların en yoksul ve en zengin hanelerin 2017 yılına ait tüketim sepetlerindeki payları da tabloya eklenmiştir. İki farklı grubun 2017 Nisan ve </w:t>
                      </w:r>
                      <w:r w:rsidRPr="006A7E8C">
                        <w:rPr>
                          <w:rStyle w:val="texhtml"/>
                          <w:bCs/>
                          <w:color w:val="000000" w:themeColor="text1"/>
                          <w:shd w:val="clear" w:color="auto" w:fill="FFFFFF"/>
                        </w:rPr>
                        <w:t>2019 Nisan</w:t>
                      </w:r>
                      <w:r w:rsidRPr="002328B8">
                        <w:rPr>
                          <w:rStyle w:val="texhtml"/>
                          <w:bCs/>
                          <w:color w:val="FF0000"/>
                          <w:shd w:val="clear" w:color="auto" w:fill="FFFFFF"/>
                        </w:rPr>
                        <w:t xml:space="preserve"> </w:t>
                      </w:r>
                      <w:r w:rsidRPr="004F31C0">
                        <w:rPr>
                          <w:rStyle w:val="texhtml"/>
                          <w:bCs/>
                          <w:color w:val="222222"/>
                          <w:shd w:val="clear" w:color="auto" w:fill="FFFFFF"/>
                        </w:rPr>
                        <w:t xml:space="preserve">aylarındaki fiyat endeksleri 2017 paylarıyla </w:t>
                      </w:r>
                      <w:proofErr w:type="spellStart"/>
                      <w:r w:rsidRPr="004F31C0">
                        <w:rPr>
                          <w:rStyle w:val="texhtml"/>
                          <w:bCs/>
                          <w:color w:val="222222"/>
                          <w:shd w:val="clear" w:color="auto" w:fill="FFFFFF"/>
                        </w:rPr>
                        <w:t>ağırlıklandırılarak</w:t>
                      </w:r>
                      <w:proofErr w:type="spellEnd"/>
                      <w:r w:rsidRPr="004F31C0">
                        <w:rPr>
                          <w:rStyle w:val="texhtml"/>
                          <w:bCs/>
                          <w:color w:val="222222"/>
                          <w:shd w:val="clear" w:color="auto" w:fill="FFFFFF"/>
                        </w:rPr>
                        <w:t xml:space="preserve"> hesaplanmıştır. Tablo 2’de ise TÜİK tarafından tanımlanan 12 al</w:t>
                      </w:r>
                      <w:r>
                        <w:rPr>
                          <w:rStyle w:val="texhtml"/>
                          <w:bCs/>
                          <w:color w:val="222222"/>
                          <w:shd w:val="clear" w:color="auto" w:fill="FFFFFF"/>
                        </w:rPr>
                        <w:t>t</w:t>
                      </w:r>
                      <w:r w:rsidRPr="004F31C0">
                        <w:rPr>
                          <w:rStyle w:val="texhtml"/>
                          <w:bCs/>
                          <w:color w:val="222222"/>
                          <w:shd w:val="clear" w:color="auto" w:fill="FFFFFF"/>
                        </w:rPr>
                        <w:t xml:space="preserve"> harcama kalemi listelenmiştir. </w:t>
                      </w:r>
                    </w:p>
                    <w:p w:rsidR="000517E5" w:rsidRDefault="000517E5" w:rsidP="000517E5"/>
                  </w:txbxContent>
                </v:textbox>
                <w10:wrap type="through" anchorx="margin"/>
              </v:shape>
            </w:pict>
          </mc:Fallback>
        </mc:AlternateContent>
      </w:r>
      <w:r w:rsidRPr="000517E5">
        <w:rPr>
          <w:rFonts w:ascii="Calibri" w:eastAsia="Times New Roman" w:hAnsi="Calibri" w:cs="Calibri"/>
          <w:b/>
          <w:i/>
          <w:color w:val="000000"/>
          <w:szCs w:val="20"/>
          <w:lang w:eastAsia="en-GB"/>
        </w:rPr>
        <w:t>Kutu 1: Harcama gruplarına göre fiyat endeksi hesaplama yöntemi</w:t>
      </w:r>
      <w:r w:rsidRPr="00140326">
        <w:rPr>
          <w:rFonts w:cs="Arial"/>
          <w:b/>
          <w:i/>
          <w:noProof/>
          <w:color w:val="000000" w:themeColor="text1"/>
          <w:lang w:eastAsia="en-GB"/>
        </w:rPr>
        <w:t xml:space="preserve"> </w:t>
      </w:r>
    </w:p>
    <w:p w:rsidR="000517E5" w:rsidRDefault="000517E5" w:rsidP="007574C3">
      <w:pPr>
        <w:tabs>
          <w:tab w:val="left" w:pos="1405"/>
        </w:tabs>
        <w:rPr>
          <w:sz w:val="18"/>
          <w:szCs w:val="18"/>
        </w:rPr>
      </w:pPr>
    </w:p>
    <w:p w:rsidR="00C26450" w:rsidRDefault="00C26450" w:rsidP="007574C3">
      <w:pPr>
        <w:tabs>
          <w:tab w:val="left" w:pos="1405"/>
        </w:tabs>
        <w:rPr>
          <w:sz w:val="18"/>
          <w:szCs w:val="18"/>
        </w:rPr>
      </w:pPr>
    </w:p>
    <w:p w:rsidR="00C26450" w:rsidRDefault="00C26450" w:rsidP="007574C3">
      <w:pPr>
        <w:tabs>
          <w:tab w:val="left" w:pos="1405"/>
        </w:tabs>
        <w:rPr>
          <w:sz w:val="18"/>
          <w:szCs w:val="18"/>
        </w:rPr>
      </w:pPr>
    </w:p>
    <w:p w:rsidR="000517E5" w:rsidRPr="004F31C0" w:rsidRDefault="000517E5" w:rsidP="000517E5">
      <w:pPr>
        <w:jc w:val="both"/>
        <w:rPr>
          <w:b/>
        </w:rPr>
      </w:pPr>
      <w:r w:rsidRPr="004F31C0">
        <w:rPr>
          <w:b/>
        </w:rPr>
        <w:lastRenderedPageBreak/>
        <w:t>Tablo 1</w:t>
      </w:r>
      <w:r>
        <w:rPr>
          <w:b/>
        </w:rPr>
        <w:t>: En yoksul ve en zengin enflasyonu</w:t>
      </w:r>
      <w:r w:rsidR="00C26450">
        <w:rPr>
          <w:b/>
        </w:rPr>
        <w:t xml:space="preserve"> hesaplamaları</w:t>
      </w:r>
    </w:p>
    <w:tbl>
      <w:tblPr>
        <w:tblpPr w:leftFromText="180" w:rightFromText="180" w:vertAnchor="page" w:horzAnchor="margin" w:tblpXSpec="center" w:tblpY="1938"/>
        <w:tblW w:w="11196" w:type="dxa"/>
        <w:tblLook w:val="04A0" w:firstRow="1" w:lastRow="0" w:firstColumn="1" w:lastColumn="0" w:noHBand="0" w:noVBand="1"/>
      </w:tblPr>
      <w:tblGrid>
        <w:gridCol w:w="2460"/>
        <w:gridCol w:w="672"/>
        <w:gridCol w:w="672"/>
        <w:gridCol w:w="672"/>
        <w:gridCol w:w="672"/>
        <w:gridCol w:w="672"/>
        <w:gridCol w:w="672"/>
        <w:gridCol w:w="672"/>
        <w:gridCol w:w="672"/>
        <w:gridCol w:w="672"/>
        <w:gridCol w:w="672"/>
        <w:gridCol w:w="672"/>
        <w:gridCol w:w="672"/>
        <w:gridCol w:w="672"/>
      </w:tblGrid>
      <w:tr w:rsidR="00C26450" w:rsidRPr="007574C3" w:rsidTr="00C26450">
        <w:trPr>
          <w:trHeight w:val="221"/>
        </w:trPr>
        <w:tc>
          <w:tcPr>
            <w:tcW w:w="2460" w:type="dxa"/>
            <w:tcBorders>
              <w:top w:val="nil"/>
              <w:left w:val="nil"/>
              <w:bottom w:val="single" w:sz="8" w:space="0" w:color="auto"/>
              <w:right w:val="nil"/>
            </w:tcBorders>
            <w:shd w:val="clear" w:color="auto" w:fill="auto"/>
            <w:noWrap/>
            <w:vAlign w:val="bottom"/>
            <w:hideMark/>
          </w:tcPr>
          <w:p w:rsidR="00C26450" w:rsidRPr="007574C3" w:rsidRDefault="00C26450" w:rsidP="00C26450">
            <w:pPr>
              <w:spacing w:after="0" w:line="240" w:lineRule="auto"/>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 </w:t>
            </w:r>
          </w:p>
        </w:tc>
        <w:tc>
          <w:tcPr>
            <w:tcW w:w="672" w:type="dxa"/>
            <w:tcBorders>
              <w:top w:val="nil"/>
              <w:left w:val="nil"/>
              <w:bottom w:val="single" w:sz="8" w:space="0" w:color="auto"/>
              <w:right w:val="nil"/>
            </w:tcBorders>
            <w:shd w:val="clear" w:color="auto" w:fill="auto"/>
            <w:vAlign w:val="center"/>
            <w:hideMark/>
          </w:tcPr>
          <w:p w:rsidR="00C26450" w:rsidRPr="007574C3" w:rsidRDefault="00C26450" w:rsidP="00C26450">
            <w:pPr>
              <w:spacing w:after="0" w:line="240" w:lineRule="auto"/>
              <w:jc w:val="center"/>
              <w:rPr>
                <w:rFonts w:ascii="Arial" w:eastAsia="Times New Roman" w:hAnsi="Arial" w:cs="Arial"/>
                <w:b/>
                <w:bCs/>
                <w:color w:val="000000"/>
                <w:sz w:val="20"/>
                <w:szCs w:val="20"/>
                <w:lang w:eastAsia="en-GB"/>
              </w:rPr>
            </w:pPr>
            <w:r w:rsidRPr="007574C3">
              <w:rPr>
                <w:rFonts w:ascii="Arial" w:eastAsia="Times New Roman" w:hAnsi="Arial" w:cs="Arial"/>
                <w:b/>
                <w:bCs/>
                <w:color w:val="000000"/>
                <w:sz w:val="20"/>
                <w:szCs w:val="20"/>
                <w:lang w:eastAsia="en-GB"/>
              </w:rPr>
              <w:t>1</w:t>
            </w:r>
          </w:p>
        </w:tc>
        <w:tc>
          <w:tcPr>
            <w:tcW w:w="672" w:type="dxa"/>
            <w:tcBorders>
              <w:top w:val="nil"/>
              <w:left w:val="nil"/>
              <w:bottom w:val="single" w:sz="8" w:space="0" w:color="auto"/>
              <w:right w:val="nil"/>
            </w:tcBorders>
            <w:shd w:val="clear" w:color="auto" w:fill="auto"/>
            <w:vAlign w:val="center"/>
            <w:hideMark/>
          </w:tcPr>
          <w:p w:rsidR="00C26450" w:rsidRPr="007574C3" w:rsidRDefault="00C26450" w:rsidP="00C26450">
            <w:pPr>
              <w:spacing w:after="0" w:line="240" w:lineRule="auto"/>
              <w:jc w:val="center"/>
              <w:rPr>
                <w:rFonts w:ascii="Arial" w:eastAsia="Times New Roman" w:hAnsi="Arial" w:cs="Arial"/>
                <w:b/>
                <w:bCs/>
                <w:color w:val="000000"/>
                <w:sz w:val="20"/>
                <w:szCs w:val="20"/>
                <w:lang w:eastAsia="en-GB"/>
              </w:rPr>
            </w:pPr>
            <w:r w:rsidRPr="007574C3">
              <w:rPr>
                <w:rFonts w:ascii="Arial" w:eastAsia="Times New Roman" w:hAnsi="Arial" w:cs="Arial"/>
                <w:b/>
                <w:bCs/>
                <w:color w:val="000000"/>
                <w:sz w:val="20"/>
                <w:szCs w:val="20"/>
                <w:lang w:eastAsia="en-GB"/>
              </w:rPr>
              <w:t>2</w:t>
            </w:r>
          </w:p>
        </w:tc>
        <w:tc>
          <w:tcPr>
            <w:tcW w:w="672" w:type="dxa"/>
            <w:tcBorders>
              <w:top w:val="nil"/>
              <w:left w:val="nil"/>
              <w:bottom w:val="single" w:sz="8" w:space="0" w:color="auto"/>
              <w:right w:val="nil"/>
            </w:tcBorders>
            <w:shd w:val="clear" w:color="auto" w:fill="auto"/>
            <w:vAlign w:val="center"/>
            <w:hideMark/>
          </w:tcPr>
          <w:p w:rsidR="00C26450" w:rsidRPr="007574C3" w:rsidRDefault="00C26450" w:rsidP="00C26450">
            <w:pPr>
              <w:spacing w:after="0" w:line="240" w:lineRule="auto"/>
              <w:jc w:val="center"/>
              <w:rPr>
                <w:rFonts w:ascii="Arial" w:eastAsia="Times New Roman" w:hAnsi="Arial" w:cs="Arial"/>
                <w:b/>
                <w:bCs/>
                <w:color w:val="000000"/>
                <w:sz w:val="20"/>
                <w:szCs w:val="20"/>
                <w:lang w:eastAsia="en-GB"/>
              </w:rPr>
            </w:pPr>
            <w:r w:rsidRPr="007574C3">
              <w:rPr>
                <w:rFonts w:ascii="Arial" w:eastAsia="Times New Roman" w:hAnsi="Arial" w:cs="Arial"/>
                <w:b/>
                <w:bCs/>
                <w:color w:val="000000"/>
                <w:sz w:val="20"/>
                <w:szCs w:val="20"/>
                <w:lang w:eastAsia="en-GB"/>
              </w:rPr>
              <w:t>3</w:t>
            </w:r>
          </w:p>
        </w:tc>
        <w:tc>
          <w:tcPr>
            <w:tcW w:w="672" w:type="dxa"/>
            <w:tcBorders>
              <w:top w:val="nil"/>
              <w:left w:val="nil"/>
              <w:bottom w:val="single" w:sz="8" w:space="0" w:color="auto"/>
              <w:right w:val="nil"/>
            </w:tcBorders>
            <w:shd w:val="clear" w:color="auto" w:fill="auto"/>
            <w:vAlign w:val="center"/>
            <w:hideMark/>
          </w:tcPr>
          <w:p w:rsidR="00C26450" w:rsidRPr="007574C3" w:rsidRDefault="00C26450" w:rsidP="00C26450">
            <w:pPr>
              <w:spacing w:after="0" w:line="240" w:lineRule="auto"/>
              <w:jc w:val="center"/>
              <w:rPr>
                <w:rFonts w:ascii="Arial" w:eastAsia="Times New Roman" w:hAnsi="Arial" w:cs="Arial"/>
                <w:b/>
                <w:bCs/>
                <w:color w:val="000000"/>
                <w:sz w:val="20"/>
                <w:szCs w:val="20"/>
                <w:lang w:eastAsia="en-GB"/>
              </w:rPr>
            </w:pPr>
            <w:r w:rsidRPr="007574C3">
              <w:rPr>
                <w:rFonts w:ascii="Arial" w:eastAsia="Times New Roman" w:hAnsi="Arial" w:cs="Arial"/>
                <w:b/>
                <w:bCs/>
                <w:color w:val="000000"/>
                <w:sz w:val="20"/>
                <w:szCs w:val="20"/>
                <w:lang w:eastAsia="en-GB"/>
              </w:rPr>
              <w:t>4</w:t>
            </w:r>
          </w:p>
        </w:tc>
        <w:tc>
          <w:tcPr>
            <w:tcW w:w="672" w:type="dxa"/>
            <w:tcBorders>
              <w:top w:val="nil"/>
              <w:left w:val="nil"/>
              <w:bottom w:val="single" w:sz="8" w:space="0" w:color="auto"/>
              <w:right w:val="nil"/>
            </w:tcBorders>
            <w:shd w:val="clear" w:color="auto" w:fill="auto"/>
            <w:vAlign w:val="center"/>
            <w:hideMark/>
          </w:tcPr>
          <w:p w:rsidR="00C26450" w:rsidRPr="007574C3" w:rsidRDefault="00C26450" w:rsidP="00C26450">
            <w:pPr>
              <w:spacing w:after="0" w:line="240" w:lineRule="auto"/>
              <w:jc w:val="center"/>
              <w:rPr>
                <w:rFonts w:ascii="Arial" w:eastAsia="Times New Roman" w:hAnsi="Arial" w:cs="Arial"/>
                <w:b/>
                <w:bCs/>
                <w:color w:val="000000"/>
                <w:sz w:val="20"/>
                <w:szCs w:val="20"/>
                <w:lang w:eastAsia="en-GB"/>
              </w:rPr>
            </w:pPr>
            <w:r w:rsidRPr="007574C3">
              <w:rPr>
                <w:rFonts w:ascii="Arial" w:eastAsia="Times New Roman" w:hAnsi="Arial" w:cs="Arial"/>
                <w:b/>
                <w:bCs/>
                <w:color w:val="000000"/>
                <w:sz w:val="20"/>
                <w:szCs w:val="20"/>
                <w:lang w:eastAsia="en-GB"/>
              </w:rPr>
              <w:t>5</w:t>
            </w:r>
          </w:p>
        </w:tc>
        <w:tc>
          <w:tcPr>
            <w:tcW w:w="672" w:type="dxa"/>
            <w:tcBorders>
              <w:top w:val="nil"/>
              <w:left w:val="nil"/>
              <w:bottom w:val="single" w:sz="8" w:space="0" w:color="auto"/>
              <w:right w:val="nil"/>
            </w:tcBorders>
            <w:shd w:val="clear" w:color="auto" w:fill="auto"/>
            <w:vAlign w:val="center"/>
            <w:hideMark/>
          </w:tcPr>
          <w:p w:rsidR="00C26450" w:rsidRPr="007574C3" w:rsidRDefault="00C26450" w:rsidP="00C26450">
            <w:pPr>
              <w:spacing w:after="0" w:line="240" w:lineRule="auto"/>
              <w:jc w:val="center"/>
              <w:rPr>
                <w:rFonts w:ascii="Arial" w:eastAsia="Times New Roman" w:hAnsi="Arial" w:cs="Arial"/>
                <w:b/>
                <w:bCs/>
                <w:color w:val="000000"/>
                <w:sz w:val="20"/>
                <w:szCs w:val="20"/>
                <w:lang w:eastAsia="en-GB"/>
              </w:rPr>
            </w:pPr>
            <w:r w:rsidRPr="007574C3">
              <w:rPr>
                <w:rFonts w:ascii="Arial" w:eastAsia="Times New Roman" w:hAnsi="Arial" w:cs="Arial"/>
                <w:b/>
                <w:bCs/>
                <w:color w:val="000000"/>
                <w:sz w:val="20"/>
                <w:szCs w:val="20"/>
                <w:lang w:eastAsia="en-GB"/>
              </w:rPr>
              <w:t>6</w:t>
            </w:r>
          </w:p>
        </w:tc>
        <w:tc>
          <w:tcPr>
            <w:tcW w:w="672" w:type="dxa"/>
            <w:tcBorders>
              <w:top w:val="nil"/>
              <w:left w:val="nil"/>
              <w:bottom w:val="single" w:sz="8" w:space="0" w:color="auto"/>
              <w:right w:val="nil"/>
            </w:tcBorders>
            <w:shd w:val="clear" w:color="auto" w:fill="auto"/>
            <w:vAlign w:val="center"/>
            <w:hideMark/>
          </w:tcPr>
          <w:p w:rsidR="00C26450" w:rsidRPr="007574C3" w:rsidRDefault="00C26450" w:rsidP="00C26450">
            <w:pPr>
              <w:spacing w:after="0" w:line="240" w:lineRule="auto"/>
              <w:jc w:val="center"/>
              <w:rPr>
                <w:rFonts w:ascii="Arial" w:eastAsia="Times New Roman" w:hAnsi="Arial" w:cs="Arial"/>
                <w:b/>
                <w:bCs/>
                <w:color w:val="000000"/>
                <w:sz w:val="20"/>
                <w:szCs w:val="20"/>
                <w:lang w:eastAsia="en-GB"/>
              </w:rPr>
            </w:pPr>
            <w:r w:rsidRPr="007574C3">
              <w:rPr>
                <w:rFonts w:ascii="Arial" w:eastAsia="Times New Roman" w:hAnsi="Arial" w:cs="Arial"/>
                <w:b/>
                <w:bCs/>
                <w:color w:val="000000"/>
                <w:sz w:val="20"/>
                <w:szCs w:val="20"/>
                <w:lang w:eastAsia="en-GB"/>
              </w:rPr>
              <w:t>7</w:t>
            </w:r>
          </w:p>
        </w:tc>
        <w:tc>
          <w:tcPr>
            <w:tcW w:w="672" w:type="dxa"/>
            <w:tcBorders>
              <w:top w:val="nil"/>
              <w:left w:val="nil"/>
              <w:bottom w:val="single" w:sz="8" w:space="0" w:color="auto"/>
              <w:right w:val="nil"/>
            </w:tcBorders>
            <w:shd w:val="clear" w:color="auto" w:fill="auto"/>
            <w:vAlign w:val="center"/>
            <w:hideMark/>
          </w:tcPr>
          <w:p w:rsidR="00C26450" w:rsidRPr="007574C3" w:rsidRDefault="00C26450" w:rsidP="00C26450">
            <w:pPr>
              <w:spacing w:after="0" w:line="240" w:lineRule="auto"/>
              <w:jc w:val="center"/>
              <w:rPr>
                <w:rFonts w:ascii="Arial" w:eastAsia="Times New Roman" w:hAnsi="Arial" w:cs="Arial"/>
                <w:b/>
                <w:bCs/>
                <w:color w:val="000000"/>
                <w:sz w:val="20"/>
                <w:szCs w:val="20"/>
                <w:lang w:eastAsia="en-GB"/>
              </w:rPr>
            </w:pPr>
            <w:r w:rsidRPr="007574C3">
              <w:rPr>
                <w:rFonts w:ascii="Arial" w:eastAsia="Times New Roman" w:hAnsi="Arial" w:cs="Arial"/>
                <w:b/>
                <w:bCs/>
                <w:color w:val="000000"/>
                <w:sz w:val="20"/>
                <w:szCs w:val="20"/>
                <w:lang w:eastAsia="en-GB"/>
              </w:rPr>
              <w:t>8</w:t>
            </w:r>
          </w:p>
        </w:tc>
        <w:tc>
          <w:tcPr>
            <w:tcW w:w="672" w:type="dxa"/>
            <w:tcBorders>
              <w:top w:val="nil"/>
              <w:left w:val="nil"/>
              <w:bottom w:val="single" w:sz="8" w:space="0" w:color="auto"/>
              <w:right w:val="nil"/>
            </w:tcBorders>
            <w:shd w:val="clear" w:color="auto" w:fill="auto"/>
            <w:vAlign w:val="center"/>
            <w:hideMark/>
          </w:tcPr>
          <w:p w:rsidR="00C26450" w:rsidRPr="007574C3" w:rsidRDefault="00C26450" w:rsidP="00C26450">
            <w:pPr>
              <w:spacing w:after="0" w:line="240" w:lineRule="auto"/>
              <w:jc w:val="center"/>
              <w:rPr>
                <w:rFonts w:ascii="Arial" w:eastAsia="Times New Roman" w:hAnsi="Arial" w:cs="Arial"/>
                <w:b/>
                <w:bCs/>
                <w:color w:val="000000"/>
                <w:sz w:val="20"/>
                <w:szCs w:val="20"/>
                <w:lang w:eastAsia="en-GB"/>
              </w:rPr>
            </w:pPr>
            <w:r w:rsidRPr="007574C3">
              <w:rPr>
                <w:rFonts w:ascii="Arial" w:eastAsia="Times New Roman" w:hAnsi="Arial" w:cs="Arial"/>
                <w:b/>
                <w:bCs/>
                <w:color w:val="000000"/>
                <w:sz w:val="20"/>
                <w:szCs w:val="20"/>
                <w:lang w:eastAsia="en-GB"/>
              </w:rPr>
              <w:t>9</w:t>
            </w:r>
          </w:p>
        </w:tc>
        <w:tc>
          <w:tcPr>
            <w:tcW w:w="672" w:type="dxa"/>
            <w:tcBorders>
              <w:top w:val="nil"/>
              <w:left w:val="nil"/>
              <w:bottom w:val="single" w:sz="8" w:space="0" w:color="auto"/>
              <w:right w:val="nil"/>
            </w:tcBorders>
            <w:shd w:val="clear" w:color="auto" w:fill="auto"/>
            <w:vAlign w:val="center"/>
            <w:hideMark/>
          </w:tcPr>
          <w:p w:rsidR="00C26450" w:rsidRPr="007574C3" w:rsidRDefault="00C26450" w:rsidP="00C26450">
            <w:pPr>
              <w:spacing w:after="0" w:line="240" w:lineRule="auto"/>
              <w:jc w:val="center"/>
              <w:rPr>
                <w:rFonts w:ascii="Arial" w:eastAsia="Times New Roman" w:hAnsi="Arial" w:cs="Arial"/>
                <w:b/>
                <w:bCs/>
                <w:color w:val="000000"/>
                <w:sz w:val="20"/>
                <w:szCs w:val="20"/>
                <w:lang w:eastAsia="en-GB"/>
              </w:rPr>
            </w:pPr>
            <w:r w:rsidRPr="007574C3">
              <w:rPr>
                <w:rFonts w:ascii="Arial" w:eastAsia="Times New Roman" w:hAnsi="Arial" w:cs="Arial"/>
                <w:b/>
                <w:bCs/>
                <w:color w:val="000000"/>
                <w:sz w:val="20"/>
                <w:szCs w:val="20"/>
                <w:lang w:eastAsia="en-GB"/>
              </w:rPr>
              <w:t>10</w:t>
            </w:r>
          </w:p>
        </w:tc>
        <w:tc>
          <w:tcPr>
            <w:tcW w:w="672" w:type="dxa"/>
            <w:tcBorders>
              <w:top w:val="nil"/>
              <w:left w:val="nil"/>
              <w:bottom w:val="single" w:sz="8" w:space="0" w:color="auto"/>
              <w:right w:val="nil"/>
            </w:tcBorders>
            <w:shd w:val="clear" w:color="auto" w:fill="auto"/>
            <w:vAlign w:val="center"/>
            <w:hideMark/>
          </w:tcPr>
          <w:p w:rsidR="00C26450" w:rsidRPr="007574C3" w:rsidRDefault="00C26450" w:rsidP="00C26450">
            <w:pPr>
              <w:spacing w:after="0" w:line="240" w:lineRule="auto"/>
              <w:jc w:val="center"/>
              <w:rPr>
                <w:rFonts w:ascii="Arial" w:eastAsia="Times New Roman" w:hAnsi="Arial" w:cs="Arial"/>
                <w:b/>
                <w:bCs/>
                <w:color w:val="000000"/>
                <w:sz w:val="20"/>
                <w:szCs w:val="20"/>
                <w:lang w:eastAsia="en-GB"/>
              </w:rPr>
            </w:pPr>
            <w:r w:rsidRPr="007574C3">
              <w:rPr>
                <w:rFonts w:ascii="Arial" w:eastAsia="Times New Roman" w:hAnsi="Arial" w:cs="Arial"/>
                <w:b/>
                <w:bCs/>
                <w:color w:val="000000"/>
                <w:sz w:val="20"/>
                <w:szCs w:val="20"/>
                <w:lang w:eastAsia="en-GB"/>
              </w:rPr>
              <w:t>11</w:t>
            </w:r>
          </w:p>
        </w:tc>
        <w:tc>
          <w:tcPr>
            <w:tcW w:w="672" w:type="dxa"/>
            <w:tcBorders>
              <w:top w:val="nil"/>
              <w:left w:val="nil"/>
              <w:bottom w:val="single" w:sz="8" w:space="0" w:color="auto"/>
              <w:right w:val="nil"/>
            </w:tcBorders>
            <w:shd w:val="clear" w:color="auto" w:fill="auto"/>
            <w:vAlign w:val="center"/>
            <w:hideMark/>
          </w:tcPr>
          <w:p w:rsidR="00C26450" w:rsidRPr="007574C3" w:rsidRDefault="00C26450" w:rsidP="00C26450">
            <w:pPr>
              <w:spacing w:after="0" w:line="240" w:lineRule="auto"/>
              <w:jc w:val="center"/>
              <w:rPr>
                <w:rFonts w:ascii="Arial" w:eastAsia="Times New Roman" w:hAnsi="Arial" w:cs="Arial"/>
                <w:b/>
                <w:bCs/>
                <w:color w:val="000000"/>
                <w:sz w:val="20"/>
                <w:szCs w:val="20"/>
                <w:lang w:eastAsia="en-GB"/>
              </w:rPr>
            </w:pPr>
            <w:r w:rsidRPr="007574C3">
              <w:rPr>
                <w:rFonts w:ascii="Arial" w:eastAsia="Times New Roman" w:hAnsi="Arial" w:cs="Arial"/>
                <w:b/>
                <w:bCs/>
                <w:color w:val="000000"/>
                <w:sz w:val="20"/>
                <w:szCs w:val="20"/>
                <w:lang w:eastAsia="en-GB"/>
              </w:rPr>
              <w:t>12</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Arial" w:eastAsia="Times New Roman" w:hAnsi="Arial" w:cs="Arial"/>
                <w:b/>
                <w:bCs/>
                <w:color w:val="000000"/>
                <w:sz w:val="20"/>
                <w:szCs w:val="20"/>
                <w:lang w:eastAsia="en-GB"/>
              </w:rPr>
            </w:pPr>
          </w:p>
        </w:tc>
      </w:tr>
      <w:tr w:rsidR="00C26450" w:rsidRPr="007574C3" w:rsidTr="00C26450">
        <w:trPr>
          <w:trHeight w:val="263"/>
        </w:trPr>
        <w:tc>
          <w:tcPr>
            <w:tcW w:w="2460"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b/>
                <w:bCs/>
                <w:color w:val="000000"/>
                <w:sz w:val="24"/>
                <w:szCs w:val="24"/>
                <w:lang w:eastAsia="en-GB"/>
              </w:rPr>
            </w:pPr>
            <w:proofErr w:type="spellStart"/>
            <w:proofErr w:type="gramStart"/>
            <w:r w:rsidRPr="007574C3">
              <w:rPr>
                <w:rFonts w:ascii="Calibri" w:eastAsia="Times New Roman" w:hAnsi="Calibri" w:cs="Calibri"/>
                <w:b/>
                <w:bCs/>
                <w:color w:val="000000"/>
                <w:sz w:val="24"/>
                <w:szCs w:val="24"/>
                <w:lang w:eastAsia="en-GB"/>
              </w:rPr>
              <w:t>E</w:t>
            </w:r>
            <w:r w:rsidRPr="007574C3">
              <w:rPr>
                <w:rFonts w:ascii="Calibri" w:eastAsia="Times New Roman" w:hAnsi="Calibri" w:cs="Calibri"/>
                <w:b/>
                <w:bCs/>
                <w:i/>
                <w:iCs/>
                <w:color w:val="000000"/>
                <w:sz w:val="24"/>
                <w:szCs w:val="24"/>
                <w:vertAlign w:val="subscript"/>
                <w:lang w:eastAsia="en-GB"/>
              </w:rPr>
              <w:t>i,Nisan</w:t>
            </w:r>
            <w:proofErr w:type="spellEnd"/>
            <w:proofErr w:type="gramEnd"/>
            <w:r w:rsidRPr="007574C3">
              <w:rPr>
                <w:rFonts w:ascii="Calibri" w:eastAsia="Times New Roman" w:hAnsi="Calibri" w:cs="Calibri"/>
                <w:b/>
                <w:bCs/>
                <w:i/>
                <w:iCs/>
                <w:color w:val="000000"/>
                <w:sz w:val="24"/>
                <w:szCs w:val="24"/>
                <w:vertAlign w:val="subscript"/>
                <w:lang w:eastAsia="en-GB"/>
              </w:rPr>
              <w:t xml:space="preserve"> 17 </w:t>
            </w:r>
            <w:r w:rsidRPr="007574C3">
              <w:rPr>
                <w:rFonts w:ascii="Calibri" w:eastAsia="Times New Roman" w:hAnsi="Calibri" w:cs="Calibri"/>
                <w:b/>
                <w:bCs/>
                <w:color w:val="000000"/>
                <w:sz w:val="24"/>
                <w:szCs w:val="24"/>
                <w:vertAlign w:val="subscript"/>
                <w:lang w:eastAsia="en-GB"/>
              </w:rPr>
              <w:t xml:space="preserve"> </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353.5</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588.7</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198.5</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339.1</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236.4</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191.1</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297.4</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133.9</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217.5</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298.6</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448.5</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375.8</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p>
        </w:tc>
      </w:tr>
      <w:tr w:rsidR="00C26450" w:rsidRPr="007574C3" w:rsidTr="00C26450">
        <w:trPr>
          <w:trHeight w:val="284"/>
        </w:trPr>
        <w:tc>
          <w:tcPr>
            <w:tcW w:w="2460"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b/>
                <w:bCs/>
                <w:color w:val="000000"/>
                <w:sz w:val="24"/>
                <w:szCs w:val="24"/>
                <w:lang w:eastAsia="en-GB"/>
              </w:rPr>
            </w:pPr>
            <w:proofErr w:type="spellStart"/>
            <w:proofErr w:type="gramStart"/>
            <w:r w:rsidRPr="007574C3">
              <w:rPr>
                <w:rFonts w:ascii="Calibri" w:eastAsia="Times New Roman" w:hAnsi="Calibri" w:cs="Calibri"/>
                <w:b/>
                <w:bCs/>
                <w:color w:val="000000"/>
                <w:sz w:val="24"/>
                <w:szCs w:val="24"/>
                <w:lang w:eastAsia="en-GB"/>
              </w:rPr>
              <w:t>E</w:t>
            </w:r>
            <w:r w:rsidRPr="007574C3">
              <w:rPr>
                <w:rFonts w:ascii="Calibri" w:eastAsia="Times New Roman" w:hAnsi="Calibri" w:cs="Calibri"/>
                <w:b/>
                <w:bCs/>
                <w:i/>
                <w:iCs/>
                <w:color w:val="000000"/>
                <w:sz w:val="24"/>
                <w:szCs w:val="24"/>
                <w:vertAlign w:val="subscript"/>
                <w:lang w:eastAsia="en-GB"/>
              </w:rPr>
              <w:t>i,Nisan</w:t>
            </w:r>
            <w:proofErr w:type="spellEnd"/>
            <w:proofErr w:type="gramEnd"/>
            <w:r w:rsidRPr="007574C3">
              <w:rPr>
                <w:rFonts w:ascii="Calibri" w:eastAsia="Times New Roman" w:hAnsi="Calibri" w:cs="Calibri"/>
                <w:b/>
                <w:bCs/>
                <w:i/>
                <w:iCs/>
                <w:color w:val="000000"/>
                <w:sz w:val="24"/>
                <w:szCs w:val="24"/>
                <w:vertAlign w:val="subscript"/>
                <w:lang w:eastAsia="en-GB"/>
              </w:rPr>
              <w:t xml:space="preserve"> 19</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507.1</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651.3</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235.5</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432.6</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352.3</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251.7</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389.7</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147.5</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280.7</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373.5</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600.0</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536.7</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p>
        </w:tc>
      </w:tr>
      <w:tr w:rsidR="00C26450" w:rsidRPr="007574C3" w:rsidTr="00C26450">
        <w:trPr>
          <w:trHeight w:val="263"/>
        </w:trPr>
        <w:tc>
          <w:tcPr>
            <w:tcW w:w="2460"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b/>
                <w:bCs/>
                <w:color w:val="000000"/>
                <w:sz w:val="24"/>
                <w:szCs w:val="24"/>
                <w:lang w:eastAsia="en-GB"/>
              </w:rPr>
            </w:pPr>
            <w:r w:rsidRPr="007574C3">
              <w:rPr>
                <w:rFonts w:ascii="Calibri" w:eastAsia="Times New Roman" w:hAnsi="Calibri" w:cs="Calibri"/>
                <w:b/>
                <w:bCs/>
                <w:color w:val="000000"/>
                <w:sz w:val="24"/>
                <w:szCs w:val="24"/>
                <w:lang w:eastAsia="en-GB"/>
              </w:rPr>
              <w:t>α</w:t>
            </w:r>
            <w:proofErr w:type="spellStart"/>
            <w:r w:rsidRPr="007574C3">
              <w:rPr>
                <w:rFonts w:ascii="Calibri" w:eastAsia="Times New Roman" w:hAnsi="Calibri" w:cs="Calibri"/>
                <w:b/>
                <w:bCs/>
                <w:i/>
                <w:iCs/>
                <w:color w:val="000000"/>
                <w:sz w:val="24"/>
                <w:szCs w:val="24"/>
                <w:vertAlign w:val="subscript"/>
                <w:lang w:eastAsia="en-GB"/>
              </w:rPr>
              <w:t>i,en</w:t>
            </w:r>
            <w:proofErr w:type="spellEnd"/>
            <w:r w:rsidRPr="007574C3">
              <w:rPr>
                <w:rFonts w:ascii="Calibri" w:eastAsia="Times New Roman" w:hAnsi="Calibri" w:cs="Calibri"/>
                <w:b/>
                <w:bCs/>
                <w:i/>
                <w:iCs/>
                <w:color w:val="000000"/>
                <w:sz w:val="24"/>
                <w:szCs w:val="24"/>
                <w:vertAlign w:val="subscript"/>
                <w:lang w:eastAsia="en-GB"/>
              </w:rPr>
              <w:t xml:space="preserve"> yoksul</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31%</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5%</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3%</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39%</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4%</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2%</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5%</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3%</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1%</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0%</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4%</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2%</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p>
        </w:tc>
      </w:tr>
      <w:tr w:rsidR="00C26450" w:rsidRPr="007574C3" w:rsidTr="00C26450">
        <w:trPr>
          <w:trHeight w:val="326"/>
        </w:trPr>
        <w:tc>
          <w:tcPr>
            <w:tcW w:w="2460" w:type="dxa"/>
            <w:tcBorders>
              <w:top w:val="nil"/>
              <w:left w:val="nil"/>
              <w:bottom w:val="single" w:sz="8" w:space="0" w:color="auto"/>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b/>
                <w:bCs/>
                <w:color w:val="000000"/>
                <w:sz w:val="24"/>
                <w:szCs w:val="24"/>
                <w:lang w:eastAsia="en-GB"/>
              </w:rPr>
            </w:pPr>
            <w:r w:rsidRPr="007574C3">
              <w:rPr>
                <w:rFonts w:ascii="Calibri" w:eastAsia="Times New Roman" w:hAnsi="Calibri" w:cs="Calibri"/>
                <w:b/>
                <w:bCs/>
                <w:color w:val="000000"/>
                <w:sz w:val="24"/>
                <w:szCs w:val="24"/>
                <w:lang w:eastAsia="en-GB"/>
              </w:rPr>
              <w:t>α</w:t>
            </w:r>
            <w:proofErr w:type="spellStart"/>
            <w:r w:rsidRPr="007574C3">
              <w:rPr>
                <w:rFonts w:ascii="Calibri" w:eastAsia="Times New Roman" w:hAnsi="Calibri" w:cs="Calibri"/>
                <w:b/>
                <w:bCs/>
                <w:i/>
                <w:iCs/>
                <w:color w:val="000000"/>
                <w:sz w:val="24"/>
                <w:szCs w:val="24"/>
                <w:vertAlign w:val="subscript"/>
                <w:lang w:eastAsia="en-GB"/>
              </w:rPr>
              <w:t>i,en</w:t>
            </w:r>
            <w:proofErr w:type="spellEnd"/>
            <w:r w:rsidRPr="007574C3">
              <w:rPr>
                <w:rFonts w:ascii="Calibri" w:eastAsia="Times New Roman" w:hAnsi="Calibri" w:cs="Calibri"/>
                <w:b/>
                <w:bCs/>
                <w:i/>
                <w:iCs/>
                <w:color w:val="000000"/>
                <w:sz w:val="24"/>
                <w:szCs w:val="24"/>
                <w:vertAlign w:val="subscript"/>
                <w:lang w:eastAsia="en-GB"/>
              </w:rPr>
              <w:t xml:space="preserve"> zengin</w:t>
            </w:r>
          </w:p>
        </w:tc>
        <w:tc>
          <w:tcPr>
            <w:tcW w:w="672" w:type="dxa"/>
            <w:tcBorders>
              <w:top w:val="nil"/>
              <w:left w:val="nil"/>
              <w:bottom w:val="single" w:sz="8" w:space="0" w:color="auto"/>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13%</w:t>
            </w:r>
          </w:p>
        </w:tc>
        <w:tc>
          <w:tcPr>
            <w:tcW w:w="672" w:type="dxa"/>
            <w:tcBorders>
              <w:top w:val="nil"/>
              <w:left w:val="nil"/>
              <w:bottom w:val="single" w:sz="8" w:space="0" w:color="auto"/>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3%</w:t>
            </w:r>
          </w:p>
        </w:tc>
        <w:tc>
          <w:tcPr>
            <w:tcW w:w="672" w:type="dxa"/>
            <w:tcBorders>
              <w:top w:val="nil"/>
              <w:left w:val="nil"/>
              <w:bottom w:val="single" w:sz="8" w:space="0" w:color="auto"/>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5%</w:t>
            </w:r>
          </w:p>
        </w:tc>
        <w:tc>
          <w:tcPr>
            <w:tcW w:w="672" w:type="dxa"/>
            <w:tcBorders>
              <w:top w:val="nil"/>
              <w:left w:val="nil"/>
              <w:bottom w:val="single" w:sz="8" w:space="0" w:color="auto"/>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18%</w:t>
            </w:r>
          </w:p>
        </w:tc>
        <w:tc>
          <w:tcPr>
            <w:tcW w:w="672" w:type="dxa"/>
            <w:tcBorders>
              <w:top w:val="nil"/>
              <w:left w:val="nil"/>
              <w:bottom w:val="single" w:sz="8" w:space="0" w:color="auto"/>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7%</w:t>
            </w:r>
          </w:p>
        </w:tc>
        <w:tc>
          <w:tcPr>
            <w:tcW w:w="672" w:type="dxa"/>
            <w:tcBorders>
              <w:top w:val="nil"/>
              <w:left w:val="nil"/>
              <w:bottom w:val="single" w:sz="8" w:space="0" w:color="auto"/>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2%</w:t>
            </w:r>
          </w:p>
        </w:tc>
        <w:tc>
          <w:tcPr>
            <w:tcW w:w="672" w:type="dxa"/>
            <w:tcBorders>
              <w:top w:val="nil"/>
              <w:left w:val="nil"/>
              <w:bottom w:val="single" w:sz="8" w:space="0" w:color="auto"/>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29%</w:t>
            </w:r>
          </w:p>
        </w:tc>
        <w:tc>
          <w:tcPr>
            <w:tcW w:w="672" w:type="dxa"/>
            <w:tcBorders>
              <w:top w:val="nil"/>
              <w:left w:val="nil"/>
              <w:bottom w:val="single" w:sz="8" w:space="0" w:color="auto"/>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3%</w:t>
            </w:r>
          </w:p>
        </w:tc>
        <w:tc>
          <w:tcPr>
            <w:tcW w:w="672" w:type="dxa"/>
            <w:tcBorders>
              <w:top w:val="nil"/>
              <w:left w:val="nil"/>
              <w:bottom w:val="single" w:sz="8" w:space="0" w:color="auto"/>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3%</w:t>
            </w:r>
          </w:p>
        </w:tc>
        <w:tc>
          <w:tcPr>
            <w:tcW w:w="672" w:type="dxa"/>
            <w:tcBorders>
              <w:top w:val="nil"/>
              <w:left w:val="nil"/>
              <w:bottom w:val="single" w:sz="8" w:space="0" w:color="auto"/>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4%</w:t>
            </w:r>
          </w:p>
        </w:tc>
        <w:tc>
          <w:tcPr>
            <w:tcW w:w="672" w:type="dxa"/>
            <w:tcBorders>
              <w:top w:val="nil"/>
              <w:left w:val="nil"/>
              <w:bottom w:val="single" w:sz="8" w:space="0" w:color="auto"/>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6%</w:t>
            </w:r>
          </w:p>
        </w:tc>
        <w:tc>
          <w:tcPr>
            <w:tcW w:w="672" w:type="dxa"/>
            <w:tcBorders>
              <w:top w:val="nil"/>
              <w:left w:val="nil"/>
              <w:bottom w:val="single" w:sz="8" w:space="0" w:color="auto"/>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6%</w:t>
            </w:r>
          </w:p>
        </w:tc>
        <w:tc>
          <w:tcPr>
            <w:tcW w:w="672" w:type="dxa"/>
            <w:tcBorders>
              <w:top w:val="nil"/>
              <w:left w:val="nil"/>
              <w:bottom w:val="single" w:sz="8" w:space="0" w:color="auto"/>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b/>
                <w:bCs/>
                <w:color w:val="000000"/>
                <w:sz w:val="24"/>
                <w:szCs w:val="24"/>
                <w:lang w:eastAsia="en-GB"/>
              </w:rPr>
            </w:pPr>
            <w:proofErr w:type="spellStart"/>
            <w:proofErr w:type="gramStart"/>
            <w:r w:rsidRPr="007574C3">
              <w:rPr>
                <w:rFonts w:ascii="Calibri" w:eastAsia="Times New Roman" w:hAnsi="Calibri" w:cs="Calibri"/>
                <w:b/>
                <w:bCs/>
                <w:color w:val="000000"/>
                <w:sz w:val="24"/>
                <w:szCs w:val="24"/>
                <w:lang w:eastAsia="en-GB"/>
              </w:rPr>
              <w:t>E</w:t>
            </w:r>
            <w:r w:rsidRPr="007574C3">
              <w:rPr>
                <w:rFonts w:ascii="Calibri" w:eastAsia="Times New Roman" w:hAnsi="Calibri" w:cs="Calibri"/>
                <w:b/>
                <w:bCs/>
                <w:i/>
                <w:iCs/>
                <w:color w:val="000000"/>
                <w:sz w:val="24"/>
                <w:szCs w:val="24"/>
                <w:vertAlign w:val="subscript"/>
                <w:lang w:eastAsia="en-GB"/>
              </w:rPr>
              <w:t>t,n</w:t>
            </w:r>
            <w:proofErr w:type="spellEnd"/>
            <w:proofErr w:type="gramEnd"/>
          </w:p>
        </w:tc>
      </w:tr>
      <w:tr w:rsidR="00C26450" w:rsidRPr="007574C3" w:rsidTr="00C26450">
        <w:trPr>
          <w:trHeight w:val="263"/>
        </w:trPr>
        <w:tc>
          <w:tcPr>
            <w:tcW w:w="2460"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b/>
                <w:bCs/>
                <w:color w:val="000000"/>
                <w:sz w:val="24"/>
                <w:szCs w:val="24"/>
                <w:lang w:eastAsia="en-GB"/>
              </w:rPr>
            </w:pPr>
            <w:proofErr w:type="spellStart"/>
            <w:proofErr w:type="gramStart"/>
            <w:r w:rsidRPr="007574C3">
              <w:rPr>
                <w:rFonts w:ascii="Calibri" w:eastAsia="Times New Roman" w:hAnsi="Calibri" w:cs="Calibri"/>
                <w:b/>
                <w:bCs/>
                <w:color w:val="000000"/>
                <w:sz w:val="24"/>
                <w:szCs w:val="24"/>
                <w:lang w:eastAsia="en-GB"/>
              </w:rPr>
              <w:t>E</w:t>
            </w:r>
            <w:r w:rsidRPr="007574C3">
              <w:rPr>
                <w:rFonts w:ascii="Calibri" w:eastAsia="Times New Roman" w:hAnsi="Calibri" w:cs="Calibri"/>
                <w:b/>
                <w:bCs/>
                <w:i/>
                <w:iCs/>
                <w:color w:val="000000"/>
                <w:sz w:val="24"/>
                <w:szCs w:val="24"/>
                <w:vertAlign w:val="subscript"/>
                <w:lang w:eastAsia="en-GB"/>
              </w:rPr>
              <w:t>i,Nisan</w:t>
            </w:r>
            <w:proofErr w:type="spellEnd"/>
            <w:proofErr w:type="gramEnd"/>
            <w:r w:rsidRPr="007574C3">
              <w:rPr>
                <w:rFonts w:ascii="Calibri" w:eastAsia="Times New Roman" w:hAnsi="Calibri" w:cs="Calibri"/>
                <w:b/>
                <w:bCs/>
                <w:i/>
                <w:iCs/>
                <w:color w:val="000000"/>
                <w:sz w:val="24"/>
                <w:szCs w:val="24"/>
                <w:vertAlign w:val="subscript"/>
                <w:lang w:eastAsia="en-GB"/>
              </w:rPr>
              <w:t xml:space="preserve"> 17 </w:t>
            </w:r>
            <w:r w:rsidRPr="007574C3">
              <w:rPr>
                <w:rFonts w:ascii="Calibri" w:eastAsia="Times New Roman" w:hAnsi="Calibri" w:cs="Calibri"/>
                <w:b/>
                <w:bCs/>
                <w:color w:val="000000"/>
                <w:sz w:val="24"/>
                <w:szCs w:val="24"/>
                <w:vertAlign w:val="subscript"/>
                <w:lang w:eastAsia="en-GB"/>
              </w:rPr>
              <w:t xml:space="preserve">  </w:t>
            </w:r>
            <w:r w:rsidRPr="007574C3">
              <w:rPr>
                <w:rFonts w:ascii="Calibri" w:eastAsia="Times New Roman" w:hAnsi="Calibri" w:cs="Calibri"/>
                <w:b/>
                <w:bCs/>
                <w:color w:val="000000"/>
                <w:sz w:val="24"/>
                <w:szCs w:val="24"/>
                <w:lang w:eastAsia="en-GB"/>
              </w:rPr>
              <w:t>x  α</w:t>
            </w:r>
            <w:proofErr w:type="spellStart"/>
            <w:r w:rsidRPr="007574C3">
              <w:rPr>
                <w:rFonts w:ascii="Calibri" w:eastAsia="Times New Roman" w:hAnsi="Calibri" w:cs="Calibri"/>
                <w:b/>
                <w:bCs/>
                <w:i/>
                <w:iCs/>
                <w:color w:val="000000"/>
                <w:sz w:val="24"/>
                <w:szCs w:val="24"/>
                <w:vertAlign w:val="subscript"/>
                <w:lang w:eastAsia="en-GB"/>
              </w:rPr>
              <w:t>i,en</w:t>
            </w:r>
            <w:proofErr w:type="spellEnd"/>
            <w:r w:rsidRPr="007574C3">
              <w:rPr>
                <w:rFonts w:ascii="Calibri" w:eastAsia="Times New Roman" w:hAnsi="Calibri" w:cs="Calibri"/>
                <w:b/>
                <w:bCs/>
                <w:i/>
                <w:iCs/>
                <w:color w:val="000000"/>
                <w:sz w:val="24"/>
                <w:szCs w:val="24"/>
                <w:vertAlign w:val="subscript"/>
                <w:lang w:eastAsia="en-GB"/>
              </w:rPr>
              <w:t xml:space="preserve"> yoksul</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108.6</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28.7</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5.9</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133.1</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10.4</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3.6</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16.3</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3.7</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2.7</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0.7</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18.0</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8.0</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339.8</w:t>
            </w:r>
          </w:p>
        </w:tc>
      </w:tr>
      <w:tr w:rsidR="00C26450" w:rsidRPr="007574C3" w:rsidTr="00C26450">
        <w:trPr>
          <w:trHeight w:val="263"/>
        </w:trPr>
        <w:tc>
          <w:tcPr>
            <w:tcW w:w="2460"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b/>
                <w:bCs/>
                <w:color w:val="000000"/>
                <w:sz w:val="24"/>
                <w:szCs w:val="24"/>
                <w:lang w:eastAsia="en-GB"/>
              </w:rPr>
            </w:pPr>
            <w:proofErr w:type="spellStart"/>
            <w:proofErr w:type="gramStart"/>
            <w:r w:rsidRPr="007574C3">
              <w:rPr>
                <w:rFonts w:ascii="Calibri" w:eastAsia="Times New Roman" w:hAnsi="Calibri" w:cs="Calibri"/>
                <w:b/>
                <w:bCs/>
                <w:color w:val="000000"/>
                <w:sz w:val="24"/>
                <w:szCs w:val="24"/>
                <w:lang w:eastAsia="en-GB"/>
              </w:rPr>
              <w:t>E</w:t>
            </w:r>
            <w:r w:rsidRPr="007574C3">
              <w:rPr>
                <w:rFonts w:ascii="Calibri" w:eastAsia="Times New Roman" w:hAnsi="Calibri" w:cs="Calibri"/>
                <w:b/>
                <w:bCs/>
                <w:i/>
                <w:iCs/>
                <w:color w:val="000000"/>
                <w:sz w:val="24"/>
                <w:szCs w:val="24"/>
                <w:vertAlign w:val="subscript"/>
                <w:lang w:eastAsia="en-GB"/>
              </w:rPr>
              <w:t>i,Nisan</w:t>
            </w:r>
            <w:proofErr w:type="spellEnd"/>
            <w:proofErr w:type="gramEnd"/>
            <w:r w:rsidRPr="007574C3">
              <w:rPr>
                <w:rFonts w:ascii="Calibri" w:eastAsia="Times New Roman" w:hAnsi="Calibri" w:cs="Calibri"/>
                <w:b/>
                <w:bCs/>
                <w:i/>
                <w:iCs/>
                <w:color w:val="000000"/>
                <w:sz w:val="24"/>
                <w:szCs w:val="24"/>
                <w:vertAlign w:val="subscript"/>
                <w:lang w:eastAsia="en-GB"/>
              </w:rPr>
              <w:t xml:space="preserve"> 19 </w:t>
            </w:r>
            <w:r w:rsidRPr="007574C3">
              <w:rPr>
                <w:rFonts w:ascii="Calibri" w:eastAsia="Times New Roman" w:hAnsi="Calibri" w:cs="Calibri"/>
                <w:b/>
                <w:bCs/>
                <w:color w:val="000000"/>
                <w:sz w:val="24"/>
                <w:szCs w:val="24"/>
                <w:vertAlign w:val="subscript"/>
                <w:lang w:eastAsia="en-GB"/>
              </w:rPr>
              <w:t xml:space="preserve">  </w:t>
            </w:r>
            <w:r w:rsidRPr="007574C3">
              <w:rPr>
                <w:rFonts w:ascii="Calibri" w:eastAsia="Times New Roman" w:hAnsi="Calibri" w:cs="Calibri"/>
                <w:b/>
                <w:bCs/>
                <w:color w:val="000000"/>
                <w:sz w:val="24"/>
                <w:szCs w:val="24"/>
                <w:lang w:eastAsia="en-GB"/>
              </w:rPr>
              <w:t>x  α</w:t>
            </w:r>
            <w:proofErr w:type="spellStart"/>
            <w:r w:rsidRPr="007574C3">
              <w:rPr>
                <w:rFonts w:ascii="Calibri" w:eastAsia="Times New Roman" w:hAnsi="Calibri" w:cs="Calibri"/>
                <w:b/>
                <w:bCs/>
                <w:i/>
                <w:iCs/>
                <w:color w:val="000000"/>
                <w:sz w:val="24"/>
                <w:szCs w:val="24"/>
                <w:vertAlign w:val="subscript"/>
                <w:lang w:eastAsia="en-GB"/>
              </w:rPr>
              <w:t>i,en</w:t>
            </w:r>
            <w:proofErr w:type="spellEnd"/>
            <w:r w:rsidRPr="007574C3">
              <w:rPr>
                <w:rFonts w:ascii="Calibri" w:eastAsia="Times New Roman" w:hAnsi="Calibri" w:cs="Calibri"/>
                <w:b/>
                <w:bCs/>
                <w:i/>
                <w:iCs/>
                <w:color w:val="000000"/>
                <w:sz w:val="24"/>
                <w:szCs w:val="24"/>
                <w:vertAlign w:val="subscript"/>
                <w:lang w:eastAsia="en-GB"/>
              </w:rPr>
              <w:t xml:space="preserve"> yoksul</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155.8</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31.8</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7.0</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169.7</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15.5</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4.8</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21.4</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4.0</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3.5</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0.9</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24.1</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11.5</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450.1</w:t>
            </w:r>
          </w:p>
        </w:tc>
      </w:tr>
      <w:tr w:rsidR="00C26450" w:rsidRPr="007574C3" w:rsidTr="00C26450">
        <w:trPr>
          <w:trHeight w:val="263"/>
        </w:trPr>
        <w:tc>
          <w:tcPr>
            <w:tcW w:w="2460"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b/>
                <w:bCs/>
                <w:color w:val="000000"/>
                <w:sz w:val="24"/>
                <w:szCs w:val="24"/>
                <w:lang w:eastAsia="en-GB"/>
              </w:rPr>
            </w:pPr>
            <w:proofErr w:type="spellStart"/>
            <w:proofErr w:type="gramStart"/>
            <w:r w:rsidRPr="007574C3">
              <w:rPr>
                <w:rFonts w:ascii="Calibri" w:eastAsia="Times New Roman" w:hAnsi="Calibri" w:cs="Calibri"/>
                <w:b/>
                <w:bCs/>
                <w:color w:val="000000"/>
                <w:sz w:val="24"/>
                <w:szCs w:val="24"/>
                <w:lang w:eastAsia="en-GB"/>
              </w:rPr>
              <w:t>E</w:t>
            </w:r>
            <w:r w:rsidRPr="007574C3">
              <w:rPr>
                <w:rFonts w:ascii="Calibri" w:eastAsia="Times New Roman" w:hAnsi="Calibri" w:cs="Calibri"/>
                <w:b/>
                <w:bCs/>
                <w:i/>
                <w:iCs/>
                <w:color w:val="000000"/>
                <w:sz w:val="24"/>
                <w:szCs w:val="24"/>
                <w:vertAlign w:val="subscript"/>
                <w:lang w:eastAsia="en-GB"/>
              </w:rPr>
              <w:t>i,Nisan</w:t>
            </w:r>
            <w:proofErr w:type="spellEnd"/>
            <w:proofErr w:type="gramEnd"/>
            <w:r w:rsidRPr="007574C3">
              <w:rPr>
                <w:rFonts w:ascii="Calibri" w:eastAsia="Times New Roman" w:hAnsi="Calibri" w:cs="Calibri"/>
                <w:b/>
                <w:bCs/>
                <w:i/>
                <w:iCs/>
                <w:color w:val="000000"/>
                <w:sz w:val="24"/>
                <w:szCs w:val="24"/>
                <w:vertAlign w:val="subscript"/>
                <w:lang w:eastAsia="en-GB"/>
              </w:rPr>
              <w:t xml:space="preserve"> 17 </w:t>
            </w:r>
            <w:r w:rsidRPr="007574C3">
              <w:rPr>
                <w:rFonts w:ascii="Calibri" w:eastAsia="Times New Roman" w:hAnsi="Calibri" w:cs="Calibri"/>
                <w:b/>
                <w:bCs/>
                <w:color w:val="000000"/>
                <w:sz w:val="24"/>
                <w:szCs w:val="24"/>
                <w:vertAlign w:val="subscript"/>
                <w:lang w:eastAsia="en-GB"/>
              </w:rPr>
              <w:t xml:space="preserve">  </w:t>
            </w:r>
            <w:r w:rsidRPr="007574C3">
              <w:rPr>
                <w:rFonts w:ascii="Calibri" w:eastAsia="Times New Roman" w:hAnsi="Calibri" w:cs="Calibri"/>
                <w:b/>
                <w:bCs/>
                <w:color w:val="000000"/>
                <w:sz w:val="24"/>
                <w:szCs w:val="24"/>
                <w:lang w:eastAsia="en-GB"/>
              </w:rPr>
              <w:t>x  α</w:t>
            </w:r>
            <w:proofErr w:type="spellStart"/>
            <w:r w:rsidRPr="007574C3">
              <w:rPr>
                <w:rFonts w:ascii="Calibri" w:eastAsia="Times New Roman" w:hAnsi="Calibri" w:cs="Calibri"/>
                <w:b/>
                <w:bCs/>
                <w:i/>
                <w:iCs/>
                <w:color w:val="000000"/>
                <w:sz w:val="24"/>
                <w:szCs w:val="24"/>
                <w:vertAlign w:val="subscript"/>
                <w:lang w:eastAsia="en-GB"/>
              </w:rPr>
              <w:t>i,en</w:t>
            </w:r>
            <w:proofErr w:type="spellEnd"/>
            <w:r w:rsidRPr="007574C3">
              <w:rPr>
                <w:rFonts w:ascii="Calibri" w:eastAsia="Times New Roman" w:hAnsi="Calibri" w:cs="Calibri"/>
                <w:b/>
                <w:bCs/>
                <w:i/>
                <w:iCs/>
                <w:color w:val="000000"/>
                <w:sz w:val="24"/>
                <w:szCs w:val="24"/>
                <w:vertAlign w:val="subscript"/>
                <w:lang w:eastAsia="en-GB"/>
              </w:rPr>
              <w:t xml:space="preserve"> zengin</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47.2</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17.9</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10.7</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60.5</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15.7</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4.1</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87.3</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4.3</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7.3</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11.2</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27.6</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21.9</w:t>
            </w:r>
          </w:p>
        </w:tc>
        <w:tc>
          <w:tcPr>
            <w:tcW w:w="672" w:type="dxa"/>
            <w:tcBorders>
              <w:top w:val="nil"/>
              <w:left w:val="nil"/>
              <w:bottom w:val="nil"/>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315.6</w:t>
            </w:r>
          </w:p>
        </w:tc>
      </w:tr>
      <w:tr w:rsidR="00C26450" w:rsidRPr="007574C3" w:rsidTr="00C26450">
        <w:trPr>
          <w:trHeight w:val="273"/>
        </w:trPr>
        <w:tc>
          <w:tcPr>
            <w:tcW w:w="2460" w:type="dxa"/>
            <w:tcBorders>
              <w:top w:val="nil"/>
              <w:left w:val="nil"/>
              <w:bottom w:val="single" w:sz="8" w:space="0" w:color="auto"/>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b/>
                <w:bCs/>
                <w:color w:val="000000"/>
                <w:sz w:val="24"/>
                <w:szCs w:val="24"/>
                <w:lang w:eastAsia="en-GB"/>
              </w:rPr>
            </w:pPr>
            <w:proofErr w:type="spellStart"/>
            <w:proofErr w:type="gramStart"/>
            <w:r w:rsidRPr="007574C3">
              <w:rPr>
                <w:rFonts w:ascii="Calibri" w:eastAsia="Times New Roman" w:hAnsi="Calibri" w:cs="Calibri"/>
                <w:b/>
                <w:bCs/>
                <w:color w:val="000000"/>
                <w:sz w:val="24"/>
                <w:szCs w:val="24"/>
                <w:lang w:eastAsia="en-GB"/>
              </w:rPr>
              <w:t>E</w:t>
            </w:r>
            <w:r w:rsidRPr="007574C3">
              <w:rPr>
                <w:rFonts w:ascii="Calibri" w:eastAsia="Times New Roman" w:hAnsi="Calibri" w:cs="Calibri"/>
                <w:b/>
                <w:bCs/>
                <w:i/>
                <w:iCs/>
                <w:color w:val="000000"/>
                <w:sz w:val="24"/>
                <w:szCs w:val="24"/>
                <w:vertAlign w:val="subscript"/>
                <w:lang w:eastAsia="en-GB"/>
              </w:rPr>
              <w:t>i,Nisan</w:t>
            </w:r>
            <w:proofErr w:type="spellEnd"/>
            <w:proofErr w:type="gramEnd"/>
            <w:r w:rsidRPr="007574C3">
              <w:rPr>
                <w:rFonts w:ascii="Calibri" w:eastAsia="Times New Roman" w:hAnsi="Calibri" w:cs="Calibri"/>
                <w:b/>
                <w:bCs/>
                <w:i/>
                <w:iCs/>
                <w:color w:val="000000"/>
                <w:sz w:val="24"/>
                <w:szCs w:val="24"/>
                <w:vertAlign w:val="subscript"/>
                <w:lang w:eastAsia="en-GB"/>
              </w:rPr>
              <w:t xml:space="preserve"> 19 </w:t>
            </w:r>
            <w:r w:rsidRPr="007574C3">
              <w:rPr>
                <w:rFonts w:ascii="Calibri" w:eastAsia="Times New Roman" w:hAnsi="Calibri" w:cs="Calibri"/>
                <w:b/>
                <w:bCs/>
                <w:color w:val="000000"/>
                <w:sz w:val="24"/>
                <w:szCs w:val="24"/>
                <w:vertAlign w:val="subscript"/>
                <w:lang w:eastAsia="en-GB"/>
              </w:rPr>
              <w:t xml:space="preserve">  </w:t>
            </w:r>
            <w:r w:rsidRPr="007574C3">
              <w:rPr>
                <w:rFonts w:ascii="Calibri" w:eastAsia="Times New Roman" w:hAnsi="Calibri" w:cs="Calibri"/>
                <w:b/>
                <w:bCs/>
                <w:color w:val="000000"/>
                <w:sz w:val="24"/>
                <w:szCs w:val="24"/>
                <w:lang w:eastAsia="en-GB"/>
              </w:rPr>
              <w:t>x  α</w:t>
            </w:r>
            <w:proofErr w:type="spellStart"/>
            <w:r w:rsidRPr="007574C3">
              <w:rPr>
                <w:rFonts w:ascii="Calibri" w:eastAsia="Times New Roman" w:hAnsi="Calibri" w:cs="Calibri"/>
                <w:b/>
                <w:bCs/>
                <w:i/>
                <w:iCs/>
                <w:color w:val="000000"/>
                <w:sz w:val="24"/>
                <w:szCs w:val="24"/>
                <w:vertAlign w:val="subscript"/>
                <w:lang w:eastAsia="en-GB"/>
              </w:rPr>
              <w:t>i,en</w:t>
            </w:r>
            <w:proofErr w:type="spellEnd"/>
            <w:r w:rsidRPr="007574C3">
              <w:rPr>
                <w:rFonts w:ascii="Calibri" w:eastAsia="Times New Roman" w:hAnsi="Calibri" w:cs="Calibri"/>
                <w:b/>
                <w:bCs/>
                <w:i/>
                <w:iCs/>
                <w:color w:val="000000"/>
                <w:sz w:val="24"/>
                <w:szCs w:val="24"/>
                <w:vertAlign w:val="subscript"/>
                <w:lang w:eastAsia="en-GB"/>
              </w:rPr>
              <w:t xml:space="preserve"> zengin</w:t>
            </w:r>
          </w:p>
        </w:tc>
        <w:tc>
          <w:tcPr>
            <w:tcW w:w="672" w:type="dxa"/>
            <w:tcBorders>
              <w:top w:val="nil"/>
              <w:left w:val="nil"/>
              <w:bottom w:val="single" w:sz="8" w:space="0" w:color="auto"/>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67.7</w:t>
            </w:r>
          </w:p>
        </w:tc>
        <w:tc>
          <w:tcPr>
            <w:tcW w:w="672" w:type="dxa"/>
            <w:tcBorders>
              <w:top w:val="nil"/>
              <w:left w:val="nil"/>
              <w:bottom w:val="single" w:sz="8" w:space="0" w:color="auto"/>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19.8</w:t>
            </w:r>
          </w:p>
        </w:tc>
        <w:tc>
          <w:tcPr>
            <w:tcW w:w="672" w:type="dxa"/>
            <w:tcBorders>
              <w:top w:val="nil"/>
              <w:left w:val="nil"/>
              <w:bottom w:val="single" w:sz="8" w:space="0" w:color="auto"/>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12.7</w:t>
            </w:r>
          </w:p>
        </w:tc>
        <w:tc>
          <w:tcPr>
            <w:tcW w:w="672" w:type="dxa"/>
            <w:tcBorders>
              <w:top w:val="nil"/>
              <w:left w:val="nil"/>
              <w:bottom w:val="single" w:sz="8" w:space="0" w:color="auto"/>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77.1</w:t>
            </w:r>
          </w:p>
        </w:tc>
        <w:tc>
          <w:tcPr>
            <w:tcW w:w="672" w:type="dxa"/>
            <w:tcBorders>
              <w:top w:val="nil"/>
              <w:left w:val="nil"/>
              <w:bottom w:val="single" w:sz="8" w:space="0" w:color="auto"/>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23.4</w:t>
            </w:r>
          </w:p>
        </w:tc>
        <w:tc>
          <w:tcPr>
            <w:tcW w:w="672" w:type="dxa"/>
            <w:tcBorders>
              <w:top w:val="nil"/>
              <w:left w:val="nil"/>
              <w:bottom w:val="single" w:sz="8" w:space="0" w:color="auto"/>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5.3</w:t>
            </w:r>
          </w:p>
        </w:tc>
        <w:tc>
          <w:tcPr>
            <w:tcW w:w="672" w:type="dxa"/>
            <w:tcBorders>
              <w:top w:val="nil"/>
              <w:left w:val="nil"/>
              <w:bottom w:val="single" w:sz="8" w:space="0" w:color="auto"/>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114.4</w:t>
            </w:r>
          </w:p>
        </w:tc>
        <w:tc>
          <w:tcPr>
            <w:tcW w:w="672" w:type="dxa"/>
            <w:tcBorders>
              <w:top w:val="nil"/>
              <w:left w:val="nil"/>
              <w:bottom w:val="single" w:sz="8" w:space="0" w:color="auto"/>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4.7</w:t>
            </w:r>
          </w:p>
        </w:tc>
        <w:tc>
          <w:tcPr>
            <w:tcW w:w="672" w:type="dxa"/>
            <w:tcBorders>
              <w:top w:val="nil"/>
              <w:left w:val="nil"/>
              <w:bottom w:val="single" w:sz="8" w:space="0" w:color="auto"/>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9.5</w:t>
            </w:r>
          </w:p>
        </w:tc>
        <w:tc>
          <w:tcPr>
            <w:tcW w:w="672" w:type="dxa"/>
            <w:tcBorders>
              <w:top w:val="nil"/>
              <w:left w:val="nil"/>
              <w:bottom w:val="single" w:sz="8" w:space="0" w:color="auto"/>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14.0</w:t>
            </w:r>
          </w:p>
        </w:tc>
        <w:tc>
          <w:tcPr>
            <w:tcW w:w="672" w:type="dxa"/>
            <w:tcBorders>
              <w:top w:val="nil"/>
              <w:left w:val="nil"/>
              <w:bottom w:val="single" w:sz="8" w:space="0" w:color="auto"/>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37.0</w:t>
            </w:r>
          </w:p>
        </w:tc>
        <w:tc>
          <w:tcPr>
            <w:tcW w:w="672" w:type="dxa"/>
            <w:tcBorders>
              <w:top w:val="nil"/>
              <w:left w:val="nil"/>
              <w:bottom w:val="single" w:sz="8" w:space="0" w:color="auto"/>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31.2</w:t>
            </w:r>
          </w:p>
        </w:tc>
        <w:tc>
          <w:tcPr>
            <w:tcW w:w="672" w:type="dxa"/>
            <w:tcBorders>
              <w:top w:val="nil"/>
              <w:left w:val="nil"/>
              <w:bottom w:val="single" w:sz="8" w:space="0" w:color="auto"/>
              <w:right w:val="nil"/>
            </w:tcBorders>
            <w:shd w:val="clear" w:color="auto" w:fill="auto"/>
            <w:noWrap/>
            <w:vAlign w:val="center"/>
            <w:hideMark/>
          </w:tcPr>
          <w:p w:rsidR="00C26450" w:rsidRPr="007574C3" w:rsidRDefault="00C26450" w:rsidP="00C26450">
            <w:pPr>
              <w:spacing w:after="0" w:line="240" w:lineRule="auto"/>
              <w:jc w:val="center"/>
              <w:rPr>
                <w:rFonts w:ascii="Calibri" w:eastAsia="Times New Roman" w:hAnsi="Calibri" w:cs="Calibri"/>
                <w:color w:val="000000"/>
                <w:sz w:val="20"/>
                <w:szCs w:val="20"/>
                <w:lang w:eastAsia="en-GB"/>
              </w:rPr>
            </w:pPr>
            <w:r w:rsidRPr="007574C3">
              <w:rPr>
                <w:rFonts w:ascii="Calibri" w:eastAsia="Times New Roman" w:hAnsi="Calibri" w:cs="Calibri"/>
                <w:color w:val="000000"/>
                <w:sz w:val="20"/>
                <w:szCs w:val="20"/>
                <w:lang w:eastAsia="en-GB"/>
              </w:rPr>
              <w:t>416.8</w:t>
            </w:r>
          </w:p>
        </w:tc>
      </w:tr>
    </w:tbl>
    <w:p w:rsidR="000517E5" w:rsidRPr="004F31C0" w:rsidRDefault="00C26450" w:rsidP="000517E5">
      <w:pPr>
        <w:jc w:val="both"/>
        <w:rPr>
          <w:i/>
          <w:sz w:val="20"/>
        </w:rPr>
      </w:pPr>
      <w:r w:rsidRPr="00140326">
        <w:rPr>
          <w:rStyle w:val="texhtml"/>
          <w:bCs/>
          <w:i/>
          <w:noProof/>
          <w:color w:val="222222"/>
          <w:sz w:val="28"/>
          <w:szCs w:val="25"/>
          <w:shd w:val="clear" w:color="auto" w:fill="FFFFFF"/>
          <w:vertAlign w:val="subscript"/>
          <w:lang w:val="en-GB" w:eastAsia="en-GB"/>
        </w:rPr>
        <mc:AlternateContent>
          <mc:Choice Requires="wps">
            <w:drawing>
              <wp:anchor distT="45720" distB="45720" distL="114300" distR="114300" simplePos="0" relativeHeight="251692032" behindDoc="0" locked="0" layoutInCell="1" allowOverlap="1" wp14:anchorId="17BAE5CE" wp14:editId="780EBC6A">
                <wp:simplePos x="0" y="0"/>
                <wp:positionH relativeFrom="margin">
                  <wp:posOffset>-427355</wp:posOffset>
                </wp:positionH>
                <wp:positionV relativeFrom="paragraph">
                  <wp:posOffset>2165985</wp:posOffset>
                </wp:positionV>
                <wp:extent cx="6599555" cy="5486400"/>
                <wp:effectExtent l="0" t="0" r="1079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55" cy="5486400"/>
                        </a:xfrm>
                        <a:prstGeom prst="rect">
                          <a:avLst/>
                        </a:prstGeom>
                        <a:solidFill>
                          <a:srgbClr val="FFFFFF"/>
                        </a:solidFill>
                        <a:ln w="9525">
                          <a:solidFill>
                            <a:srgbClr val="000000"/>
                          </a:solidFill>
                          <a:miter lim="800000"/>
                          <a:headEnd/>
                          <a:tailEnd/>
                        </a:ln>
                      </wps:spPr>
                      <wps:txbx>
                        <w:txbxContent>
                          <w:p w:rsidR="000517E5" w:rsidRPr="004F31C0" w:rsidRDefault="00C26450" w:rsidP="000517E5">
                            <w:pPr>
                              <w:jc w:val="both"/>
                            </w:pPr>
                            <w:r>
                              <w:rPr>
                                <w:b/>
                              </w:rPr>
                              <w:t>Tablo 2</w:t>
                            </w:r>
                            <w:r w:rsidR="000517E5">
                              <w:rPr>
                                <w:b/>
                              </w:rPr>
                              <w:t>: Harcama grupları</w:t>
                            </w:r>
                          </w:p>
                          <w:tbl>
                            <w:tblPr>
                              <w:tblW w:w="6321" w:type="dxa"/>
                              <w:tblLook w:val="04A0" w:firstRow="1" w:lastRow="0" w:firstColumn="1" w:lastColumn="0" w:noHBand="0" w:noVBand="1"/>
                            </w:tblPr>
                            <w:tblGrid>
                              <w:gridCol w:w="1302"/>
                              <w:gridCol w:w="5019"/>
                            </w:tblGrid>
                            <w:tr w:rsidR="000517E5" w:rsidRPr="004F31C0" w:rsidTr="00A1102A">
                              <w:trPr>
                                <w:trHeight w:val="225"/>
                              </w:trPr>
                              <w:tc>
                                <w:tcPr>
                                  <w:tcW w:w="1302" w:type="dxa"/>
                                  <w:tcBorders>
                                    <w:top w:val="nil"/>
                                    <w:left w:val="nil"/>
                                    <w:bottom w:val="single" w:sz="8" w:space="0" w:color="auto"/>
                                    <w:right w:val="nil"/>
                                  </w:tcBorders>
                                  <w:shd w:val="clear" w:color="auto" w:fill="auto"/>
                                  <w:noWrap/>
                                  <w:vAlign w:val="bottom"/>
                                  <w:hideMark/>
                                </w:tcPr>
                                <w:p w:rsidR="000517E5" w:rsidRPr="004F31C0" w:rsidRDefault="000517E5" w:rsidP="00A1102A">
                                  <w:pPr>
                                    <w:spacing w:after="0" w:line="240" w:lineRule="auto"/>
                                    <w:rPr>
                                      <w:rFonts w:ascii="Calibri" w:eastAsia="Times New Roman" w:hAnsi="Calibri" w:cs="Calibri"/>
                                      <w:color w:val="000000"/>
                                    </w:rPr>
                                  </w:pPr>
                                  <w:r w:rsidRPr="004F31C0">
                                    <w:rPr>
                                      <w:rFonts w:ascii="Calibri" w:eastAsia="Times New Roman" w:hAnsi="Calibri" w:cs="Calibri"/>
                                      <w:color w:val="000000"/>
                                    </w:rPr>
                                    <w:t> </w:t>
                                  </w:r>
                                </w:p>
                              </w:tc>
                              <w:tc>
                                <w:tcPr>
                                  <w:tcW w:w="5019" w:type="dxa"/>
                                  <w:tcBorders>
                                    <w:top w:val="nil"/>
                                    <w:left w:val="nil"/>
                                    <w:bottom w:val="single" w:sz="8" w:space="0" w:color="auto"/>
                                    <w:right w:val="nil"/>
                                  </w:tcBorders>
                                  <w:shd w:val="clear" w:color="auto" w:fill="auto"/>
                                  <w:noWrap/>
                                  <w:vAlign w:val="bottom"/>
                                  <w:hideMark/>
                                </w:tcPr>
                                <w:p w:rsidR="000517E5" w:rsidRPr="004F31C0" w:rsidRDefault="000517E5" w:rsidP="00A1102A">
                                  <w:pPr>
                                    <w:spacing w:after="0" w:line="240" w:lineRule="auto"/>
                                    <w:rPr>
                                      <w:rFonts w:ascii="Calibri" w:eastAsia="Times New Roman" w:hAnsi="Calibri" w:cs="Calibri"/>
                                      <w:b/>
                                      <w:bCs/>
                                      <w:color w:val="000000"/>
                                    </w:rPr>
                                  </w:pPr>
                                  <w:r w:rsidRPr="004F31C0">
                                    <w:rPr>
                                      <w:rFonts w:ascii="Calibri" w:eastAsia="Times New Roman" w:hAnsi="Calibri" w:cs="Calibri"/>
                                      <w:b/>
                                      <w:bCs/>
                                      <w:color w:val="000000"/>
                                    </w:rPr>
                                    <w:t>Harcama grupları</w:t>
                                  </w:r>
                                </w:p>
                              </w:tc>
                            </w:tr>
                            <w:tr w:rsidR="000517E5" w:rsidRPr="004F31C0" w:rsidTr="00A1102A">
                              <w:trPr>
                                <w:trHeight w:val="225"/>
                              </w:trPr>
                              <w:tc>
                                <w:tcPr>
                                  <w:tcW w:w="1302" w:type="dxa"/>
                                  <w:tcBorders>
                                    <w:top w:val="nil"/>
                                    <w:left w:val="nil"/>
                                    <w:bottom w:val="nil"/>
                                    <w:right w:val="nil"/>
                                  </w:tcBorders>
                                  <w:shd w:val="clear" w:color="auto" w:fill="auto"/>
                                  <w:noWrap/>
                                  <w:vAlign w:val="bottom"/>
                                  <w:hideMark/>
                                </w:tcPr>
                                <w:p w:rsidR="000517E5" w:rsidRPr="004F31C0" w:rsidRDefault="000517E5" w:rsidP="00A1102A">
                                  <w:pPr>
                                    <w:spacing w:after="0" w:line="240" w:lineRule="auto"/>
                                    <w:jc w:val="center"/>
                                    <w:rPr>
                                      <w:rFonts w:ascii="Calibri" w:eastAsia="Times New Roman" w:hAnsi="Calibri" w:cs="Calibri"/>
                                      <w:b/>
                                      <w:bCs/>
                                      <w:color w:val="000000"/>
                                    </w:rPr>
                                  </w:pPr>
                                  <w:r w:rsidRPr="004F31C0">
                                    <w:rPr>
                                      <w:rFonts w:ascii="Calibri" w:eastAsia="Times New Roman" w:hAnsi="Calibri" w:cs="Calibri"/>
                                      <w:b/>
                                      <w:bCs/>
                                      <w:color w:val="000000"/>
                                    </w:rPr>
                                    <w:t>1</w:t>
                                  </w:r>
                                </w:p>
                              </w:tc>
                              <w:tc>
                                <w:tcPr>
                                  <w:tcW w:w="5019" w:type="dxa"/>
                                  <w:tcBorders>
                                    <w:top w:val="nil"/>
                                    <w:left w:val="nil"/>
                                    <w:bottom w:val="nil"/>
                                    <w:right w:val="nil"/>
                                  </w:tcBorders>
                                  <w:shd w:val="clear" w:color="auto" w:fill="auto"/>
                                  <w:noWrap/>
                                  <w:vAlign w:val="center"/>
                                  <w:hideMark/>
                                </w:tcPr>
                                <w:p w:rsidR="000517E5" w:rsidRPr="004F31C0" w:rsidRDefault="000517E5" w:rsidP="00A1102A">
                                  <w:pPr>
                                    <w:spacing w:after="0" w:line="240" w:lineRule="auto"/>
                                    <w:rPr>
                                      <w:rFonts w:ascii="Calibri" w:eastAsia="Times New Roman" w:hAnsi="Calibri" w:cs="Calibri"/>
                                      <w:color w:val="000000"/>
                                      <w:sz w:val="20"/>
                                      <w:szCs w:val="20"/>
                                    </w:rPr>
                                  </w:pPr>
                                  <w:r w:rsidRPr="004F31C0">
                                    <w:rPr>
                                      <w:rFonts w:ascii="Calibri" w:eastAsia="Times New Roman" w:hAnsi="Calibri" w:cs="Calibri"/>
                                      <w:color w:val="000000"/>
                                      <w:sz w:val="20"/>
                                      <w:szCs w:val="20"/>
                                    </w:rPr>
                                    <w:t>Gıda ve alkolsüz içecekler</w:t>
                                  </w:r>
                                </w:p>
                              </w:tc>
                            </w:tr>
                            <w:tr w:rsidR="000517E5" w:rsidRPr="004F31C0" w:rsidTr="00A1102A">
                              <w:trPr>
                                <w:trHeight w:val="270"/>
                              </w:trPr>
                              <w:tc>
                                <w:tcPr>
                                  <w:tcW w:w="1302" w:type="dxa"/>
                                  <w:tcBorders>
                                    <w:top w:val="nil"/>
                                    <w:left w:val="nil"/>
                                    <w:bottom w:val="nil"/>
                                    <w:right w:val="nil"/>
                                  </w:tcBorders>
                                  <w:shd w:val="clear" w:color="auto" w:fill="auto"/>
                                  <w:noWrap/>
                                  <w:vAlign w:val="bottom"/>
                                  <w:hideMark/>
                                </w:tcPr>
                                <w:p w:rsidR="000517E5" w:rsidRPr="004F31C0" w:rsidRDefault="000517E5" w:rsidP="00A1102A">
                                  <w:pPr>
                                    <w:spacing w:after="0" w:line="240" w:lineRule="auto"/>
                                    <w:jc w:val="center"/>
                                    <w:rPr>
                                      <w:rFonts w:ascii="Calibri" w:eastAsia="Times New Roman" w:hAnsi="Calibri" w:cs="Calibri"/>
                                      <w:b/>
                                      <w:bCs/>
                                      <w:color w:val="000000"/>
                                    </w:rPr>
                                  </w:pPr>
                                  <w:r w:rsidRPr="004F31C0">
                                    <w:rPr>
                                      <w:rFonts w:ascii="Calibri" w:eastAsia="Times New Roman" w:hAnsi="Calibri" w:cs="Calibri"/>
                                      <w:b/>
                                      <w:bCs/>
                                      <w:color w:val="000000"/>
                                    </w:rPr>
                                    <w:t>2</w:t>
                                  </w:r>
                                </w:p>
                              </w:tc>
                              <w:tc>
                                <w:tcPr>
                                  <w:tcW w:w="5019" w:type="dxa"/>
                                  <w:tcBorders>
                                    <w:top w:val="nil"/>
                                    <w:left w:val="nil"/>
                                    <w:bottom w:val="nil"/>
                                    <w:right w:val="nil"/>
                                  </w:tcBorders>
                                  <w:shd w:val="clear" w:color="auto" w:fill="auto"/>
                                  <w:noWrap/>
                                  <w:vAlign w:val="center"/>
                                  <w:hideMark/>
                                </w:tcPr>
                                <w:p w:rsidR="000517E5" w:rsidRPr="004F31C0" w:rsidRDefault="000517E5" w:rsidP="00A1102A">
                                  <w:pPr>
                                    <w:spacing w:after="0" w:line="240" w:lineRule="auto"/>
                                    <w:rPr>
                                      <w:rFonts w:ascii="Calibri" w:eastAsia="Times New Roman" w:hAnsi="Calibri" w:cs="Calibri"/>
                                      <w:color w:val="000000"/>
                                      <w:sz w:val="20"/>
                                      <w:szCs w:val="20"/>
                                    </w:rPr>
                                  </w:pPr>
                                  <w:r w:rsidRPr="004F31C0">
                                    <w:rPr>
                                      <w:rFonts w:ascii="Calibri" w:eastAsia="Times New Roman" w:hAnsi="Calibri" w:cs="Calibri"/>
                                      <w:color w:val="000000"/>
                                      <w:sz w:val="20"/>
                                      <w:szCs w:val="20"/>
                                    </w:rPr>
                                    <w:t>Alkollü içecekler ve tütün</w:t>
                                  </w:r>
                                </w:p>
                              </w:tc>
                            </w:tr>
                            <w:tr w:rsidR="000517E5" w:rsidRPr="004F31C0" w:rsidTr="00A1102A">
                              <w:trPr>
                                <w:trHeight w:val="307"/>
                              </w:trPr>
                              <w:tc>
                                <w:tcPr>
                                  <w:tcW w:w="1302" w:type="dxa"/>
                                  <w:tcBorders>
                                    <w:top w:val="nil"/>
                                    <w:left w:val="nil"/>
                                    <w:bottom w:val="nil"/>
                                    <w:right w:val="nil"/>
                                  </w:tcBorders>
                                  <w:shd w:val="clear" w:color="auto" w:fill="auto"/>
                                  <w:noWrap/>
                                  <w:vAlign w:val="bottom"/>
                                  <w:hideMark/>
                                </w:tcPr>
                                <w:p w:rsidR="000517E5" w:rsidRPr="004F31C0" w:rsidRDefault="000517E5" w:rsidP="00A1102A">
                                  <w:pPr>
                                    <w:spacing w:after="0" w:line="240" w:lineRule="auto"/>
                                    <w:jc w:val="center"/>
                                    <w:rPr>
                                      <w:rFonts w:ascii="Calibri" w:eastAsia="Times New Roman" w:hAnsi="Calibri" w:cs="Calibri"/>
                                      <w:b/>
                                      <w:bCs/>
                                      <w:color w:val="000000"/>
                                    </w:rPr>
                                  </w:pPr>
                                  <w:r w:rsidRPr="004F31C0">
                                    <w:rPr>
                                      <w:rFonts w:ascii="Calibri" w:eastAsia="Times New Roman" w:hAnsi="Calibri" w:cs="Calibri"/>
                                      <w:b/>
                                      <w:bCs/>
                                      <w:color w:val="000000"/>
                                    </w:rPr>
                                    <w:t>3</w:t>
                                  </w:r>
                                </w:p>
                              </w:tc>
                              <w:tc>
                                <w:tcPr>
                                  <w:tcW w:w="5019" w:type="dxa"/>
                                  <w:tcBorders>
                                    <w:top w:val="nil"/>
                                    <w:left w:val="nil"/>
                                    <w:bottom w:val="nil"/>
                                    <w:right w:val="nil"/>
                                  </w:tcBorders>
                                  <w:shd w:val="clear" w:color="auto" w:fill="auto"/>
                                  <w:noWrap/>
                                  <w:vAlign w:val="center"/>
                                  <w:hideMark/>
                                </w:tcPr>
                                <w:p w:rsidR="000517E5" w:rsidRPr="004F31C0" w:rsidRDefault="000517E5" w:rsidP="00A1102A">
                                  <w:pPr>
                                    <w:spacing w:after="0" w:line="240" w:lineRule="auto"/>
                                    <w:rPr>
                                      <w:rFonts w:ascii="Calibri" w:eastAsia="Times New Roman" w:hAnsi="Calibri" w:cs="Calibri"/>
                                      <w:color w:val="000000"/>
                                      <w:sz w:val="20"/>
                                      <w:szCs w:val="20"/>
                                    </w:rPr>
                                  </w:pPr>
                                  <w:r w:rsidRPr="004F31C0">
                                    <w:rPr>
                                      <w:rFonts w:ascii="Calibri" w:eastAsia="Times New Roman" w:hAnsi="Calibri" w:cs="Calibri"/>
                                      <w:color w:val="000000"/>
                                      <w:sz w:val="20"/>
                                      <w:szCs w:val="20"/>
                                    </w:rPr>
                                    <w:t>Giyim ve ayakkabı</w:t>
                                  </w:r>
                                </w:p>
                              </w:tc>
                            </w:tr>
                            <w:tr w:rsidR="000517E5" w:rsidRPr="004F31C0" w:rsidTr="00A1102A">
                              <w:trPr>
                                <w:trHeight w:val="270"/>
                              </w:trPr>
                              <w:tc>
                                <w:tcPr>
                                  <w:tcW w:w="1302" w:type="dxa"/>
                                  <w:tcBorders>
                                    <w:top w:val="nil"/>
                                    <w:left w:val="nil"/>
                                    <w:bottom w:val="nil"/>
                                    <w:right w:val="nil"/>
                                  </w:tcBorders>
                                  <w:shd w:val="clear" w:color="auto" w:fill="auto"/>
                                  <w:noWrap/>
                                  <w:vAlign w:val="bottom"/>
                                  <w:hideMark/>
                                </w:tcPr>
                                <w:p w:rsidR="000517E5" w:rsidRPr="004F31C0" w:rsidRDefault="000517E5" w:rsidP="00A1102A">
                                  <w:pPr>
                                    <w:spacing w:after="0" w:line="240" w:lineRule="auto"/>
                                    <w:jc w:val="center"/>
                                    <w:rPr>
                                      <w:rFonts w:ascii="Calibri" w:eastAsia="Times New Roman" w:hAnsi="Calibri" w:cs="Calibri"/>
                                      <w:b/>
                                      <w:bCs/>
                                      <w:color w:val="000000"/>
                                    </w:rPr>
                                  </w:pPr>
                                  <w:r w:rsidRPr="004F31C0">
                                    <w:rPr>
                                      <w:rFonts w:ascii="Calibri" w:eastAsia="Times New Roman" w:hAnsi="Calibri" w:cs="Calibri"/>
                                      <w:b/>
                                      <w:bCs/>
                                      <w:color w:val="000000"/>
                                    </w:rPr>
                                    <w:t>4</w:t>
                                  </w:r>
                                </w:p>
                              </w:tc>
                              <w:tc>
                                <w:tcPr>
                                  <w:tcW w:w="5019" w:type="dxa"/>
                                  <w:tcBorders>
                                    <w:top w:val="nil"/>
                                    <w:left w:val="nil"/>
                                    <w:bottom w:val="nil"/>
                                    <w:right w:val="nil"/>
                                  </w:tcBorders>
                                  <w:shd w:val="clear" w:color="auto" w:fill="auto"/>
                                  <w:noWrap/>
                                  <w:vAlign w:val="center"/>
                                  <w:hideMark/>
                                </w:tcPr>
                                <w:p w:rsidR="000517E5" w:rsidRPr="004F31C0" w:rsidRDefault="000517E5" w:rsidP="00A1102A">
                                  <w:pPr>
                                    <w:spacing w:after="0" w:line="240" w:lineRule="auto"/>
                                    <w:rPr>
                                      <w:rFonts w:ascii="Calibri" w:eastAsia="Times New Roman" w:hAnsi="Calibri" w:cs="Calibri"/>
                                      <w:color w:val="000000"/>
                                      <w:sz w:val="20"/>
                                      <w:szCs w:val="20"/>
                                    </w:rPr>
                                  </w:pPr>
                                  <w:r w:rsidRPr="004F31C0">
                                    <w:rPr>
                                      <w:rFonts w:ascii="Calibri" w:eastAsia="Times New Roman" w:hAnsi="Calibri" w:cs="Calibri"/>
                                      <w:color w:val="000000"/>
                                      <w:sz w:val="20"/>
                                      <w:szCs w:val="20"/>
                                    </w:rPr>
                                    <w:t>Konut, su, elektrik, gaz ve diğer yakıtlar</w:t>
                                  </w:r>
                                </w:p>
                              </w:tc>
                            </w:tr>
                            <w:tr w:rsidR="000517E5" w:rsidRPr="004F31C0" w:rsidTr="00A1102A">
                              <w:trPr>
                                <w:trHeight w:val="349"/>
                              </w:trPr>
                              <w:tc>
                                <w:tcPr>
                                  <w:tcW w:w="1302" w:type="dxa"/>
                                  <w:tcBorders>
                                    <w:top w:val="nil"/>
                                    <w:left w:val="nil"/>
                                    <w:bottom w:val="nil"/>
                                    <w:right w:val="nil"/>
                                  </w:tcBorders>
                                  <w:shd w:val="clear" w:color="auto" w:fill="auto"/>
                                  <w:noWrap/>
                                  <w:vAlign w:val="bottom"/>
                                  <w:hideMark/>
                                </w:tcPr>
                                <w:p w:rsidR="000517E5" w:rsidRPr="004F31C0" w:rsidRDefault="000517E5" w:rsidP="00A1102A">
                                  <w:pPr>
                                    <w:spacing w:after="0" w:line="240" w:lineRule="auto"/>
                                    <w:jc w:val="center"/>
                                    <w:rPr>
                                      <w:rFonts w:ascii="Calibri" w:eastAsia="Times New Roman" w:hAnsi="Calibri" w:cs="Calibri"/>
                                      <w:b/>
                                      <w:bCs/>
                                      <w:color w:val="000000"/>
                                    </w:rPr>
                                  </w:pPr>
                                  <w:r w:rsidRPr="004F31C0">
                                    <w:rPr>
                                      <w:rFonts w:ascii="Calibri" w:eastAsia="Times New Roman" w:hAnsi="Calibri" w:cs="Calibri"/>
                                      <w:b/>
                                      <w:bCs/>
                                      <w:color w:val="000000"/>
                                    </w:rPr>
                                    <w:t>5</w:t>
                                  </w:r>
                                </w:p>
                              </w:tc>
                              <w:tc>
                                <w:tcPr>
                                  <w:tcW w:w="5019" w:type="dxa"/>
                                  <w:tcBorders>
                                    <w:top w:val="nil"/>
                                    <w:left w:val="nil"/>
                                    <w:bottom w:val="nil"/>
                                    <w:right w:val="nil"/>
                                  </w:tcBorders>
                                  <w:shd w:val="clear" w:color="auto" w:fill="auto"/>
                                  <w:noWrap/>
                                  <w:vAlign w:val="center"/>
                                  <w:hideMark/>
                                </w:tcPr>
                                <w:p w:rsidR="000517E5" w:rsidRPr="004F31C0" w:rsidRDefault="000517E5" w:rsidP="00A1102A">
                                  <w:pPr>
                                    <w:spacing w:after="0" w:line="240" w:lineRule="auto"/>
                                    <w:rPr>
                                      <w:rFonts w:ascii="Calibri" w:eastAsia="Times New Roman" w:hAnsi="Calibri" w:cs="Calibri"/>
                                      <w:color w:val="000000"/>
                                      <w:sz w:val="20"/>
                                      <w:szCs w:val="20"/>
                                    </w:rPr>
                                  </w:pPr>
                                  <w:r w:rsidRPr="004F31C0">
                                    <w:rPr>
                                      <w:rFonts w:ascii="Calibri" w:eastAsia="Times New Roman" w:hAnsi="Calibri" w:cs="Calibri"/>
                                      <w:color w:val="000000"/>
                                      <w:sz w:val="20"/>
                                      <w:szCs w:val="20"/>
                                    </w:rPr>
                                    <w:t>Mobilya, ev aletleri ve ev bakim hizmetleri</w:t>
                                  </w:r>
                                </w:p>
                              </w:tc>
                            </w:tr>
                            <w:tr w:rsidR="000517E5" w:rsidRPr="004F31C0" w:rsidTr="00A1102A">
                              <w:trPr>
                                <w:trHeight w:val="270"/>
                              </w:trPr>
                              <w:tc>
                                <w:tcPr>
                                  <w:tcW w:w="1302" w:type="dxa"/>
                                  <w:tcBorders>
                                    <w:top w:val="nil"/>
                                    <w:left w:val="nil"/>
                                    <w:bottom w:val="nil"/>
                                    <w:right w:val="nil"/>
                                  </w:tcBorders>
                                  <w:shd w:val="clear" w:color="auto" w:fill="auto"/>
                                  <w:noWrap/>
                                  <w:vAlign w:val="bottom"/>
                                  <w:hideMark/>
                                </w:tcPr>
                                <w:p w:rsidR="000517E5" w:rsidRPr="004F31C0" w:rsidRDefault="000517E5" w:rsidP="00A1102A">
                                  <w:pPr>
                                    <w:spacing w:after="0" w:line="240" w:lineRule="auto"/>
                                    <w:jc w:val="center"/>
                                    <w:rPr>
                                      <w:rFonts w:ascii="Calibri" w:eastAsia="Times New Roman" w:hAnsi="Calibri" w:cs="Calibri"/>
                                      <w:b/>
                                      <w:bCs/>
                                      <w:color w:val="000000"/>
                                    </w:rPr>
                                  </w:pPr>
                                  <w:r w:rsidRPr="004F31C0">
                                    <w:rPr>
                                      <w:rFonts w:ascii="Calibri" w:eastAsia="Times New Roman" w:hAnsi="Calibri" w:cs="Calibri"/>
                                      <w:b/>
                                      <w:bCs/>
                                      <w:color w:val="000000"/>
                                    </w:rPr>
                                    <w:t>6</w:t>
                                  </w:r>
                                </w:p>
                              </w:tc>
                              <w:tc>
                                <w:tcPr>
                                  <w:tcW w:w="5019" w:type="dxa"/>
                                  <w:tcBorders>
                                    <w:top w:val="nil"/>
                                    <w:left w:val="nil"/>
                                    <w:bottom w:val="nil"/>
                                    <w:right w:val="nil"/>
                                  </w:tcBorders>
                                  <w:shd w:val="clear" w:color="auto" w:fill="auto"/>
                                  <w:noWrap/>
                                  <w:vAlign w:val="center"/>
                                  <w:hideMark/>
                                </w:tcPr>
                                <w:p w:rsidR="000517E5" w:rsidRPr="004F31C0" w:rsidRDefault="000517E5" w:rsidP="00A1102A">
                                  <w:pPr>
                                    <w:spacing w:after="0" w:line="240" w:lineRule="auto"/>
                                    <w:rPr>
                                      <w:rFonts w:ascii="Calibri" w:eastAsia="Times New Roman" w:hAnsi="Calibri" w:cs="Calibri"/>
                                      <w:color w:val="000000"/>
                                      <w:sz w:val="20"/>
                                      <w:szCs w:val="20"/>
                                    </w:rPr>
                                  </w:pPr>
                                  <w:r w:rsidRPr="004F31C0">
                                    <w:rPr>
                                      <w:rFonts w:ascii="Calibri" w:eastAsia="Times New Roman" w:hAnsi="Calibri" w:cs="Calibri"/>
                                      <w:color w:val="000000"/>
                                      <w:sz w:val="20"/>
                                      <w:szCs w:val="20"/>
                                    </w:rPr>
                                    <w:t>Sağlık</w:t>
                                  </w:r>
                                </w:p>
                              </w:tc>
                            </w:tr>
                            <w:tr w:rsidR="000517E5" w:rsidRPr="004F31C0" w:rsidTr="00A1102A">
                              <w:trPr>
                                <w:trHeight w:val="270"/>
                              </w:trPr>
                              <w:tc>
                                <w:tcPr>
                                  <w:tcW w:w="1302" w:type="dxa"/>
                                  <w:tcBorders>
                                    <w:top w:val="nil"/>
                                    <w:left w:val="nil"/>
                                    <w:bottom w:val="nil"/>
                                    <w:right w:val="nil"/>
                                  </w:tcBorders>
                                  <w:shd w:val="clear" w:color="auto" w:fill="auto"/>
                                  <w:noWrap/>
                                  <w:vAlign w:val="bottom"/>
                                  <w:hideMark/>
                                </w:tcPr>
                                <w:p w:rsidR="000517E5" w:rsidRPr="004F31C0" w:rsidRDefault="000517E5" w:rsidP="00A1102A">
                                  <w:pPr>
                                    <w:spacing w:after="0" w:line="240" w:lineRule="auto"/>
                                    <w:jc w:val="center"/>
                                    <w:rPr>
                                      <w:rFonts w:ascii="Calibri" w:eastAsia="Times New Roman" w:hAnsi="Calibri" w:cs="Calibri"/>
                                      <w:b/>
                                      <w:bCs/>
                                      <w:color w:val="000000"/>
                                    </w:rPr>
                                  </w:pPr>
                                  <w:r w:rsidRPr="004F31C0">
                                    <w:rPr>
                                      <w:rFonts w:ascii="Calibri" w:eastAsia="Times New Roman" w:hAnsi="Calibri" w:cs="Calibri"/>
                                      <w:b/>
                                      <w:bCs/>
                                      <w:color w:val="000000"/>
                                    </w:rPr>
                                    <w:t>7</w:t>
                                  </w:r>
                                </w:p>
                              </w:tc>
                              <w:tc>
                                <w:tcPr>
                                  <w:tcW w:w="5019" w:type="dxa"/>
                                  <w:tcBorders>
                                    <w:top w:val="nil"/>
                                    <w:left w:val="nil"/>
                                    <w:bottom w:val="nil"/>
                                    <w:right w:val="nil"/>
                                  </w:tcBorders>
                                  <w:shd w:val="clear" w:color="auto" w:fill="auto"/>
                                  <w:noWrap/>
                                  <w:vAlign w:val="center"/>
                                  <w:hideMark/>
                                </w:tcPr>
                                <w:p w:rsidR="000517E5" w:rsidRPr="004F31C0" w:rsidRDefault="000517E5" w:rsidP="00A1102A">
                                  <w:pPr>
                                    <w:spacing w:after="0" w:line="240" w:lineRule="auto"/>
                                    <w:rPr>
                                      <w:rFonts w:ascii="Calibri" w:eastAsia="Times New Roman" w:hAnsi="Calibri" w:cs="Calibri"/>
                                      <w:color w:val="000000"/>
                                      <w:sz w:val="20"/>
                                      <w:szCs w:val="20"/>
                                    </w:rPr>
                                  </w:pPr>
                                  <w:r w:rsidRPr="004F31C0">
                                    <w:rPr>
                                      <w:rFonts w:ascii="Calibri" w:eastAsia="Times New Roman" w:hAnsi="Calibri" w:cs="Calibri"/>
                                      <w:color w:val="000000"/>
                                      <w:sz w:val="20"/>
                                      <w:szCs w:val="20"/>
                                    </w:rPr>
                                    <w:t>Ulaştırma</w:t>
                                  </w:r>
                                </w:p>
                              </w:tc>
                            </w:tr>
                            <w:tr w:rsidR="000517E5" w:rsidRPr="004F31C0" w:rsidTr="00A1102A">
                              <w:trPr>
                                <w:trHeight w:val="270"/>
                              </w:trPr>
                              <w:tc>
                                <w:tcPr>
                                  <w:tcW w:w="1302" w:type="dxa"/>
                                  <w:tcBorders>
                                    <w:top w:val="nil"/>
                                    <w:left w:val="nil"/>
                                    <w:bottom w:val="nil"/>
                                    <w:right w:val="nil"/>
                                  </w:tcBorders>
                                  <w:shd w:val="clear" w:color="auto" w:fill="auto"/>
                                  <w:noWrap/>
                                  <w:vAlign w:val="bottom"/>
                                  <w:hideMark/>
                                </w:tcPr>
                                <w:p w:rsidR="000517E5" w:rsidRPr="004F31C0" w:rsidRDefault="000517E5" w:rsidP="00A1102A">
                                  <w:pPr>
                                    <w:spacing w:after="0" w:line="240" w:lineRule="auto"/>
                                    <w:jc w:val="center"/>
                                    <w:rPr>
                                      <w:rFonts w:ascii="Calibri" w:eastAsia="Times New Roman" w:hAnsi="Calibri" w:cs="Calibri"/>
                                      <w:b/>
                                      <w:bCs/>
                                      <w:color w:val="000000"/>
                                    </w:rPr>
                                  </w:pPr>
                                  <w:r w:rsidRPr="004F31C0">
                                    <w:rPr>
                                      <w:rFonts w:ascii="Calibri" w:eastAsia="Times New Roman" w:hAnsi="Calibri" w:cs="Calibri"/>
                                      <w:b/>
                                      <w:bCs/>
                                      <w:color w:val="000000"/>
                                    </w:rPr>
                                    <w:t>8</w:t>
                                  </w:r>
                                </w:p>
                              </w:tc>
                              <w:tc>
                                <w:tcPr>
                                  <w:tcW w:w="5019" w:type="dxa"/>
                                  <w:tcBorders>
                                    <w:top w:val="nil"/>
                                    <w:left w:val="nil"/>
                                    <w:bottom w:val="nil"/>
                                    <w:right w:val="nil"/>
                                  </w:tcBorders>
                                  <w:shd w:val="clear" w:color="auto" w:fill="auto"/>
                                  <w:noWrap/>
                                  <w:vAlign w:val="center"/>
                                  <w:hideMark/>
                                </w:tcPr>
                                <w:p w:rsidR="000517E5" w:rsidRPr="004F31C0" w:rsidRDefault="000517E5" w:rsidP="00A1102A">
                                  <w:pPr>
                                    <w:spacing w:after="0" w:line="240" w:lineRule="auto"/>
                                    <w:rPr>
                                      <w:rFonts w:ascii="Calibri" w:eastAsia="Times New Roman" w:hAnsi="Calibri" w:cs="Calibri"/>
                                      <w:color w:val="000000"/>
                                      <w:sz w:val="20"/>
                                      <w:szCs w:val="20"/>
                                    </w:rPr>
                                  </w:pPr>
                                  <w:r w:rsidRPr="004F31C0">
                                    <w:rPr>
                                      <w:rFonts w:ascii="Calibri" w:eastAsia="Times New Roman" w:hAnsi="Calibri" w:cs="Calibri"/>
                                      <w:color w:val="000000"/>
                                      <w:sz w:val="20"/>
                                      <w:szCs w:val="20"/>
                                    </w:rPr>
                                    <w:t>Haberleşme</w:t>
                                  </w:r>
                                </w:p>
                              </w:tc>
                            </w:tr>
                            <w:tr w:rsidR="000517E5" w:rsidRPr="004F31C0" w:rsidTr="00A1102A">
                              <w:trPr>
                                <w:trHeight w:val="279"/>
                              </w:trPr>
                              <w:tc>
                                <w:tcPr>
                                  <w:tcW w:w="1302" w:type="dxa"/>
                                  <w:tcBorders>
                                    <w:top w:val="nil"/>
                                    <w:left w:val="nil"/>
                                    <w:bottom w:val="nil"/>
                                    <w:right w:val="nil"/>
                                  </w:tcBorders>
                                  <w:shd w:val="clear" w:color="auto" w:fill="auto"/>
                                  <w:noWrap/>
                                  <w:vAlign w:val="bottom"/>
                                  <w:hideMark/>
                                </w:tcPr>
                                <w:p w:rsidR="000517E5" w:rsidRPr="004F31C0" w:rsidRDefault="000517E5" w:rsidP="00A1102A">
                                  <w:pPr>
                                    <w:spacing w:after="0" w:line="240" w:lineRule="auto"/>
                                    <w:jc w:val="center"/>
                                    <w:rPr>
                                      <w:rFonts w:ascii="Calibri" w:eastAsia="Times New Roman" w:hAnsi="Calibri" w:cs="Calibri"/>
                                      <w:b/>
                                      <w:bCs/>
                                      <w:color w:val="000000"/>
                                    </w:rPr>
                                  </w:pPr>
                                  <w:r w:rsidRPr="004F31C0">
                                    <w:rPr>
                                      <w:rFonts w:ascii="Calibri" w:eastAsia="Times New Roman" w:hAnsi="Calibri" w:cs="Calibri"/>
                                      <w:b/>
                                      <w:bCs/>
                                      <w:color w:val="000000"/>
                                    </w:rPr>
                                    <w:t>9</w:t>
                                  </w:r>
                                </w:p>
                              </w:tc>
                              <w:tc>
                                <w:tcPr>
                                  <w:tcW w:w="5019" w:type="dxa"/>
                                  <w:tcBorders>
                                    <w:top w:val="nil"/>
                                    <w:left w:val="nil"/>
                                    <w:bottom w:val="nil"/>
                                    <w:right w:val="nil"/>
                                  </w:tcBorders>
                                  <w:shd w:val="clear" w:color="auto" w:fill="auto"/>
                                  <w:noWrap/>
                                  <w:vAlign w:val="center"/>
                                  <w:hideMark/>
                                </w:tcPr>
                                <w:p w:rsidR="000517E5" w:rsidRPr="004F31C0" w:rsidRDefault="000517E5" w:rsidP="00A1102A">
                                  <w:pPr>
                                    <w:spacing w:after="0" w:line="240" w:lineRule="auto"/>
                                    <w:rPr>
                                      <w:rFonts w:ascii="Calibri" w:eastAsia="Times New Roman" w:hAnsi="Calibri" w:cs="Calibri"/>
                                      <w:color w:val="000000"/>
                                      <w:sz w:val="20"/>
                                      <w:szCs w:val="20"/>
                                    </w:rPr>
                                  </w:pPr>
                                  <w:r w:rsidRPr="004F31C0">
                                    <w:rPr>
                                      <w:rFonts w:ascii="Calibri" w:eastAsia="Times New Roman" w:hAnsi="Calibri" w:cs="Calibri"/>
                                      <w:color w:val="000000"/>
                                      <w:sz w:val="20"/>
                                      <w:szCs w:val="20"/>
                                    </w:rPr>
                                    <w:t>Eğlence ve kültür</w:t>
                                  </w:r>
                                </w:p>
                              </w:tc>
                            </w:tr>
                            <w:tr w:rsidR="000517E5" w:rsidRPr="004F31C0" w:rsidTr="00A1102A">
                              <w:trPr>
                                <w:trHeight w:val="216"/>
                              </w:trPr>
                              <w:tc>
                                <w:tcPr>
                                  <w:tcW w:w="1302" w:type="dxa"/>
                                  <w:tcBorders>
                                    <w:top w:val="nil"/>
                                    <w:left w:val="nil"/>
                                    <w:bottom w:val="nil"/>
                                    <w:right w:val="nil"/>
                                  </w:tcBorders>
                                  <w:shd w:val="clear" w:color="auto" w:fill="auto"/>
                                  <w:noWrap/>
                                  <w:vAlign w:val="bottom"/>
                                  <w:hideMark/>
                                </w:tcPr>
                                <w:p w:rsidR="000517E5" w:rsidRPr="004F31C0" w:rsidRDefault="000517E5" w:rsidP="00A1102A">
                                  <w:pPr>
                                    <w:spacing w:after="0" w:line="240" w:lineRule="auto"/>
                                    <w:jc w:val="center"/>
                                    <w:rPr>
                                      <w:rFonts w:ascii="Calibri" w:eastAsia="Times New Roman" w:hAnsi="Calibri" w:cs="Calibri"/>
                                      <w:b/>
                                      <w:bCs/>
                                      <w:color w:val="000000"/>
                                    </w:rPr>
                                  </w:pPr>
                                  <w:r w:rsidRPr="004F31C0">
                                    <w:rPr>
                                      <w:rFonts w:ascii="Calibri" w:eastAsia="Times New Roman" w:hAnsi="Calibri" w:cs="Calibri"/>
                                      <w:b/>
                                      <w:bCs/>
                                      <w:color w:val="000000"/>
                                    </w:rPr>
                                    <w:t>10</w:t>
                                  </w:r>
                                </w:p>
                              </w:tc>
                              <w:tc>
                                <w:tcPr>
                                  <w:tcW w:w="5019" w:type="dxa"/>
                                  <w:tcBorders>
                                    <w:top w:val="nil"/>
                                    <w:left w:val="nil"/>
                                    <w:bottom w:val="nil"/>
                                    <w:right w:val="nil"/>
                                  </w:tcBorders>
                                  <w:shd w:val="clear" w:color="auto" w:fill="auto"/>
                                  <w:noWrap/>
                                  <w:vAlign w:val="center"/>
                                  <w:hideMark/>
                                </w:tcPr>
                                <w:p w:rsidR="000517E5" w:rsidRPr="004F31C0" w:rsidRDefault="000517E5" w:rsidP="00A1102A">
                                  <w:pPr>
                                    <w:spacing w:after="0" w:line="240" w:lineRule="auto"/>
                                    <w:rPr>
                                      <w:rFonts w:ascii="Calibri" w:eastAsia="Times New Roman" w:hAnsi="Calibri" w:cs="Calibri"/>
                                      <w:color w:val="000000"/>
                                      <w:sz w:val="20"/>
                                      <w:szCs w:val="20"/>
                                    </w:rPr>
                                  </w:pPr>
                                  <w:r w:rsidRPr="004F31C0">
                                    <w:rPr>
                                      <w:rFonts w:ascii="Calibri" w:eastAsia="Times New Roman" w:hAnsi="Calibri" w:cs="Calibri"/>
                                      <w:color w:val="000000"/>
                                      <w:sz w:val="20"/>
                                      <w:szCs w:val="20"/>
                                    </w:rPr>
                                    <w:t>Eğitim</w:t>
                                  </w:r>
                                </w:p>
                              </w:tc>
                            </w:tr>
                            <w:tr w:rsidR="000517E5" w:rsidRPr="004F31C0" w:rsidTr="00A1102A">
                              <w:trPr>
                                <w:trHeight w:val="216"/>
                              </w:trPr>
                              <w:tc>
                                <w:tcPr>
                                  <w:tcW w:w="1302" w:type="dxa"/>
                                  <w:tcBorders>
                                    <w:top w:val="nil"/>
                                    <w:left w:val="nil"/>
                                    <w:bottom w:val="nil"/>
                                    <w:right w:val="nil"/>
                                  </w:tcBorders>
                                  <w:shd w:val="clear" w:color="auto" w:fill="auto"/>
                                  <w:noWrap/>
                                  <w:vAlign w:val="bottom"/>
                                  <w:hideMark/>
                                </w:tcPr>
                                <w:p w:rsidR="000517E5" w:rsidRPr="004F31C0" w:rsidRDefault="000517E5" w:rsidP="00A1102A">
                                  <w:pPr>
                                    <w:spacing w:after="0" w:line="240" w:lineRule="auto"/>
                                    <w:jc w:val="center"/>
                                    <w:rPr>
                                      <w:rFonts w:ascii="Calibri" w:eastAsia="Times New Roman" w:hAnsi="Calibri" w:cs="Calibri"/>
                                      <w:b/>
                                      <w:bCs/>
                                      <w:color w:val="000000"/>
                                    </w:rPr>
                                  </w:pPr>
                                  <w:r w:rsidRPr="004F31C0">
                                    <w:rPr>
                                      <w:rFonts w:ascii="Calibri" w:eastAsia="Times New Roman" w:hAnsi="Calibri" w:cs="Calibri"/>
                                      <w:b/>
                                      <w:bCs/>
                                      <w:color w:val="000000"/>
                                    </w:rPr>
                                    <w:t>11</w:t>
                                  </w:r>
                                </w:p>
                              </w:tc>
                              <w:tc>
                                <w:tcPr>
                                  <w:tcW w:w="5019" w:type="dxa"/>
                                  <w:tcBorders>
                                    <w:top w:val="nil"/>
                                    <w:left w:val="nil"/>
                                    <w:bottom w:val="nil"/>
                                    <w:right w:val="nil"/>
                                  </w:tcBorders>
                                  <w:shd w:val="clear" w:color="auto" w:fill="auto"/>
                                  <w:noWrap/>
                                  <w:vAlign w:val="center"/>
                                  <w:hideMark/>
                                </w:tcPr>
                                <w:p w:rsidR="000517E5" w:rsidRPr="004F31C0" w:rsidRDefault="000517E5" w:rsidP="00A1102A">
                                  <w:pPr>
                                    <w:spacing w:after="0" w:line="240" w:lineRule="auto"/>
                                    <w:rPr>
                                      <w:rFonts w:ascii="Calibri" w:eastAsia="Times New Roman" w:hAnsi="Calibri" w:cs="Calibri"/>
                                      <w:color w:val="000000"/>
                                      <w:sz w:val="20"/>
                                      <w:szCs w:val="20"/>
                                    </w:rPr>
                                  </w:pPr>
                                  <w:r w:rsidRPr="004F31C0">
                                    <w:rPr>
                                      <w:rFonts w:ascii="Calibri" w:eastAsia="Times New Roman" w:hAnsi="Calibri" w:cs="Calibri"/>
                                      <w:color w:val="000000"/>
                                      <w:sz w:val="20"/>
                                      <w:szCs w:val="20"/>
                                    </w:rPr>
                                    <w:t>Lokanta ve oteller</w:t>
                                  </w:r>
                                </w:p>
                              </w:tc>
                            </w:tr>
                            <w:tr w:rsidR="000517E5" w:rsidRPr="004F31C0" w:rsidTr="00A1102A">
                              <w:trPr>
                                <w:trHeight w:val="225"/>
                              </w:trPr>
                              <w:tc>
                                <w:tcPr>
                                  <w:tcW w:w="1302" w:type="dxa"/>
                                  <w:tcBorders>
                                    <w:top w:val="nil"/>
                                    <w:left w:val="nil"/>
                                    <w:bottom w:val="single" w:sz="8" w:space="0" w:color="auto"/>
                                    <w:right w:val="nil"/>
                                  </w:tcBorders>
                                  <w:shd w:val="clear" w:color="auto" w:fill="auto"/>
                                  <w:noWrap/>
                                  <w:vAlign w:val="bottom"/>
                                  <w:hideMark/>
                                </w:tcPr>
                                <w:p w:rsidR="000517E5" w:rsidRPr="004F31C0" w:rsidRDefault="000517E5" w:rsidP="00A1102A">
                                  <w:pPr>
                                    <w:spacing w:after="0" w:line="240" w:lineRule="auto"/>
                                    <w:jc w:val="center"/>
                                    <w:rPr>
                                      <w:rFonts w:ascii="Calibri" w:eastAsia="Times New Roman" w:hAnsi="Calibri" w:cs="Calibri"/>
                                      <w:b/>
                                      <w:bCs/>
                                      <w:color w:val="000000"/>
                                    </w:rPr>
                                  </w:pPr>
                                  <w:r w:rsidRPr="004F31C0">
                                    <w:rPr>
                                      <w:rFonts w:ascii="Calibri" w:eastAsia="Times New Roman" w:hAnsi="Calibri" w:cs="Calibri"/>
                                      <w:b/>
                                      <w:bCs/>
                                      <w:color w:val="000000"/>
                                    </w:rPr>
                                    <w:t>12</w:t>
                                  </w:r>
                                </w:p>
                              </w:tc>
                              <w:tc>
                                <w:tcPr>
                                  <w:tcW w:w="5019" w:type="dxa"/>
                                  <w:tcBorders>
                                    <w:top w:val="nil"/>
                                    <w:left w:val="nil"/>
                                    <w:bottom w:val="single" w:sz="8" w:space="0" w:color="auto"/>
                                    <w:right w:val="nil"/>
                                  </w:tcBorders>
                                  <w:shd w:val="clear" w:color="auto" w:fill="auto"/>
                                  <w:noWrap/>
                                  <w:vAlign w:val="center"/>
                                  <w:hideMark/>
                                </w:tcPr>
                                <w:p w:rsidR="000517E5" w:rsidRPr="004F31C0" w:rsidRDefault="000517E5" w:rsidP="00A1102A">
                                  <w:pPr>
                                    <w:spacing w:after="0" w:line="240" w:lineRule="auto"/>
                                    <w:rPr>
                                      <w:rFonts w:ascii="Calibri" w:eastAsia="Times New Roman" w:hAnsi="Calibri" w:cs="Calibri"/>
                                      <w:color w:val="000000"/>
                                      <w:sz w:val="20"/>
                                      <w:szCs w:val="20"/>
                                    </w:rPr>
                                  </w:pPr>
                                  <w:r w:rsidRPr="004F31C0">
                                    <w:rPr>
                                      <w:rFonts w:ascii="Calibri" w:eastAsia="Times New Roman" w:hAnsi="Calibri" w:cs="Calibri"/>
                                      <w:color w:val="000000"/>
                                      <w:sz w:val="20"/>
                                      <w:szCs w:val="20"/>
                                    </w:rPr>
                                    <w:t>Çeşitli mal ve hizmetler</w:t>
                                  </w:r>
                                </w:p>
                              </w:tc>
                            </w:tr>
                          </w:tbl>
                          <w:p w:rsidR="000517E5" w:rsidRPr="004F31C0" w:rsidRDefault="000517E5" w:rsidP="000517E5">
                            <w:pPr>
                              <w:jc w:val="both"/>
                              <w:rPr>
                                <w:i/>
                                <w:sz w:val="20"/>
                              </w:rPr>
                            </w:pPr>
                            <w:r w:rsidRPr="004F31C0">
                              <w:rPr>
                                <w:i/>
                                <w:sz w:val="20"/>
                              </w:rPr>
                              <w:t>Kaynak: TÜİK</w:t>
                            </w:r>
                          </w:p>
                          <w:p w:rsidR="000517E5" w:rsidRDefault="000517E5" w:rsidP="000517E5">
                            <w:pPr>
                              <w:jc w:val="both"/>
                            </w:pPr>
                          </w:p>
                          <w:p w:rsidR="000517E5" w:rsidRPr="004F31C0" w:rsidRDefault="000517E5" w:rsidP="000517E5">
                            <w:pPr>
                              <w:jc w:val="both"/>
                            </w:pPr>
                            <w:r w:rsidRPr="00667CBB">
                              <w:t xml:space="preserve">Her harcama grubunun Nisan 2017 dönemindeki endeksi </w:t>
                            </w:r>
                            <w:proofErr w:type="gramStart"/>
                            <w:r w:rsidRPr="00667CBB">
                              <w:t>baz</w:t>
                            </w:r>
                            <w:proofErr w:type="gramEnd"/>
                            <w:r w:rsidRPr="00667CBB">
                              <w:t xml:space="preserve"> alınarak (Nisan 2017=100) yalnızca Nisan 2017 – </w:t>
                            </w:r>
                            <w:r w:rsidRPr="009744D1">
                              <w:rPr>
                                <w:color w:val="000000" w:themeColor="text1"/>
                              </w:rPr>
                              <w:t>Nisan 2019</w:t>
                            </w:r>
                            <w:r w:rsidRPr="002328B8">
                              <w:rPr>
                                <w:color w:val="FF0000"/>
                              </w:rPr>
                              <w:t xml:space="preserve"> </w:t>
                            </w:r>
                            <w:r w:rsidRPr="00667CBB">
                              <w:t xml:space="preserve">dönemindeki iki yıllık değişimi daha net bir şekilde görmemizi sağlayan yeni bir endeks oluşturulmuştur. </w:t>
                            </w:r>
                          </w:p>
                          <w:p w:rsidR="000517E5" w:rsidRPr="00D97E21" w:rsidRDefault="000517E5" w:rsidP="000517E5">
                            <w:pPr>
                              <w:jc w:val="both"/>
                              <w:rPr>
                                <w:rFonts w:ascii="Calibri" w:eastAsia="Times New Roman" w:hAnsi="Calibri" w:cs="Calibri"/>
                                <w:color w:val="000000"/>
                                <w:lang w:val="fr-FR" w:eastAsia="en-GB"/>
                              </w:rPr>
                            </w:pPr>
                            <w:r w:rsidRPr="004F31C0">
                              <w:rPr>
                                <w:rFonts w:ascii="Arial" w:hAnsi="Arial" w:cs="Arial"/>
                                <w:color w:val="222222"/>
                                <w:sz w:val="24"/>
                                <w:szCs w:val="21"/>
                                <w:shd w:val="clear" w:color="auto" w:fill="FFFFFF"/>
                              </w:rPr>
                              <w:t> </w:t>
                            </w:r>
                            <w:r w:rsidRPr="00C06980">
                              <w:rPr>
                                <w:rStyle w:val="texhtml"/>
                                <w:bCs/>
                                <w:color w:val="222222"/>
                                <w:sz w:val="32"/>
                                <w:szCs w:val="25"/>
                                <w:shd w:val="clear" w:color="auto" w:fill="FFFFFF"/>
                              </w:rPr>
                              <w:t>π</w:t>
                            </w:r>
                            <w:r w:rsidRPr="004F31C0">
                              <w:rPr>
                                <w:rStyle w:val="texhtml"/>
                                <w:bCs/>
                                <w:color w:val="222222"/>
                                <w:sz w:val="24"/>
                                <w:szCs w:val="25"/>
                                <w:shd w:val="clear" w:color="auto" w:fill="FFFFFF"/>
                                <w:vertAlign w:val="subscript"/>
                                <w:lang w:val="fr-FR"/>
                              </w:rPr>
                              <w:t>Nisan 2</w:t>
                            </w:r>
                            <w:r w:rsidRPr="00C06980">
                              <w:rPr>
                                <w:rStyle w:val="texhtml"/>
                                <w:bCs/>
                                <w:color w:val="222222"/>
                                <w:sz w:val="24"/>
                                <w:szCs w:val="25"/>
                                <w:shd w:val="clear" w:color="auto" w:fill="FFFFFF"/>
                                <w:vertAlign w:val="subscript"/>
                              </w:rPr>
                              <w:t>019</w:t>
                            </w:r>
                            <w:r w:rsidRPr="00C06980">
                              <w:rPr>
                                <w:rStyle w:val="texhtml"/>
                                <w:bCs/>
                                <w:i/>
                                <w:color w:val="222222"/>
                                <w:sz w:val="24"/>
                                <w:szCs w:val="25"/>
                                <w:shd w:val="clear" w:color="auto" w:fill="FFFFFF"/>
                                <w:vertAlign w:val="subscript"/>
                              </w:rPr>
                              <w:t>, en yoksul</w:t>
                            </w:r>
                            <w:r w:rsidRPr="00523A21">
                              <w:rPr>
                                <w:rFonts w:cs="Arial"/>
                                <w:noProof/>
                                <w:color w:val="000000" w:themeColor="text1"/>
                                <w:sz w:val="28"/>
                              </w:rPr>
                              <w:t xml:space="preserve"> </w:t>
                            </w:r>
                            <w:r>
                              <w:rPr>
                                <w:rFonts w:cs="Arial"/>
                                <w:noProof/>
                                <w:color w:val="000000" w:themeColor="text1"/>
                                <w:sz w:val="28"/>
                              </w:rPr>
                              <w:t>=</w:t>
                            </w:r>
                            <w:r w:rsidRPr="00C06980">
                              <w:rPr>
                                <w:rFonts w:cs="Arial"/>
                                <w:noProof/>
                                <w:color w:val="000000" w:themeColor="text1"/>
                                <w:sz w:val="24"/>
                                <w:szCs w:val="24"/>
                              </w:rPr>
                              <w:t xml:space="preserve"> E</w:t>
                            </w:r>
                            <w:r w:rsidRPr="00C06980">
                              <w:rPr>
                                <w:rFonts w:cs="Arial"/>
                                <w:i/>
                                <w:noProof/>
                                <w:color w:val="000000" w:themeColor="text1"/>
                                <w:sz w:val="24"/>
                                <w:szCs w:val="24"/>
                                <w:vertAlign w:val="subscript"/>
                              </w:rPr>
                              <w:t xml:space="preserve">Nisan 19,en yoksul </w:t>
                            </w:r>
                            <w:r w:rsidRPr="00C06980">
                              <w:rPr>
                                <w:rFonts w:cs="Arial"/>
                                <w:noProof/>
                                <w:color w:val="000000" w:themeColor="text1"/>
                                <w:sz w:val="24"/>
                                <w:szCs w:val="24"/>
                              </w:rPr>
                              <w:t>/ E</w:t>
                            </w:r>
                            <w:r w:rsidRPr="00C06980">
                              <w:rPr>
                                <w:rFonts w:cs="Arial"/>
                                <w:i/>
                                <w:noProof/>
                                <w:color w:val="000000" w:themeColor="text1"/>
                                <w:sz w:val="24"/>
                                <w:szCs w:val="24"/>
                                <w:vertAlign w:val="subscript"/>
                              </w:rPr>
                              <w:t xml:space="preserve">Nisan 17,en yoksul </w:t>
                            </w:r>
                            <w:r>
                              <w:rPr>
                                <w:rFonts w:cs="Arial"/>
                                <w:i/>
                                <w:noProof/>
                                <w:color w:val="000000" w:themeColor="text1"/>
                                <w:sz w:val="28"/>
                                <w:vertAlign w:val="subscript"/>
                              </w:rPr>
                              <w:t xml:space="preserve"> </w:t>
                            </w:r>
                            <w:r w:rsidRPr="00D97E21">
                              <w:rPr>
                                <w:rFonts w:cs="Arial"/>
                                <w:noProof/>
                                <w:color w:val="000000" w:themeColor="text1"/>
                              </w:rPr>
                              <w:t xml:space="preserve">x 100  =  </w:t>
                            </w:r>
                            <w:r w:rsidRPr="00D97E21">
                              <w:rPr>
                                <w:rFonts w:ascii="Calibri" w:eastAsia="Times New Roman" w:hAnsi="Calibri" w:cs="Calibri"/>
                                <w:color w:val="000000"/>
                                <w:lang w:val="fr-FR" w:eastAsia="en-GB"/>
                              </w:rPr>
                              <w:t>450.1 / 339.8 x 100 = 132.44</w:t>
                            </w:r>
                          </w:p>
                          <w:p w:rsidR="000517E5" w:rsidRPr="00D97E21" w:rsidRDefault="000517E5" w:rsidP="000517E5">
                            <w:pPr>
                              <w:jc w:val="both"/>
                              <w:rPr>
                                <w:rFonts w:ascii="Calibri" w:eastAsia="Times New Roman" w:hAnsi="Calibri" w:cs="Calibri"/>
                                <w:color w:val="000000"/>
                                <w:lang w:eastAsia="en-GB"/>
                              </w:rPr>
                            </w:pPr>
                            <w:r w:rsidRPr="004F31C0">
                              <w:rPr>
                                <w:rFonts w:ascii="Arial" w:hAnsi="Arial" w:cs="Arial"/>
                                <w:color w:val="222222"/>
                                <w:sz w:val="24"/>
                                <w:szCs w:val="21"/>
                                <w:shd w:val="clear" w:color="auto" w:fill="FFFFFF"/>
                                <w:lang w:val="fr-FR"/>
                              </w:rPr>
                              <w:t> </w:t>
                            </w:r>
                            <w:r w:rsidRPr="00C06980">
                              <w:rPr>
                                <w:rStyle w:val="texhtml"/>
                                <w:bCs/>
                                <w:color w:val="222222"/>
                                <w:sz w:val="32"/>
                                <w:szCs w:val="25"/>
                                <w:shd w:val="clear" w:color="auto" w:fill="FFFFFF"/>
                              </w:rPr>
                              <w:t>π</w:t>
                            </w:r>
                            <w:r w:rsidRPr="00C06980">
                              <w:rPr>
                                <w:rStyle w:val="texhtml"/>
                                <w:bCs/>
                                <w:color w:val="222222"/>
                                <w:sz w:val="24"/>
                                <w:szCs w:val="25"/>
                                <w:shd w:val="clear" w:color="auto" w:fill="FFFFFF"/>
                                <w:vertAlign w:val="subscript"/>
                              </w:rPr>
                              <w:t>Nisan 2019</w:t>
                            </w:r>
                            <w:r>
                              <w:rPr>
                                <w:rStyle w:val="texhtml"/>
                                <w:bCs/>
                                <w:i/>
                                <w:color w:val="222222"/>
                                <w:sz w:val="24"/>
                                <w:szCs w:val="25"/>
                                <w:shd w:val="clear" w:color="auto" w:fill="FFFFFF"/>
                                <w:vertAlign w:val="subscript"/>
                              </w:rPr>
                              <w:t>, en zengin</w:t>
                            </w:r>
                            <w:r w:rsidRPr="00523A21">
                              <w:rPr>
                                <w:rFonts w:cs="Arial"/>
                                <w:noProof/>
                                <w:color w:val="000000" w:themeColor="text1"/>
                                <w:sz w:val="28"/>
                              </w:rPr>
                              <w:t xml:space="preserve"> </w:t>
                            </w:r>
                            <w:r>
                              <w:rPr>
                                <w:rFonts w:cs="Arial"/>
                                <w:noProof/>
                                <w:color w:val="000000" w:themeColor="text1"/>
                                <w:sz w:val="28"/>
                              </w:rPr>
                              <w:t>=</w:t>
                            </w:r>
                            <w:r w:rsidRPr="00C06980">
                              <w:rPr>
                                <w:rFonts w:cs="Arial"/>
                                <w:noProof/>
                                <w:color w:val="000000" w:themeColor="text1"/>
                                <w:sz w:val="24"/>
                                <w:szCs w:val="24"/>
                              </w:rPr>
                              <w:t xml:space="preserve"> E</w:t>
                            </w:r>
                            <w:r w:rsidRPr="00C06980">
                              <w:rPr>
                                <w:rFonts w:cs="Arial"/>
                                <w:i/>
                                <w:noProof/>
                                <w:color w:val="000000" w:themeColor="text1"/>
                                <w:sz w:val="24"/>
                                <w:szCs w:val="24"/>
                                <w:vertAlign w:val="subscript"/>
                              </w:rPr>
                              <w:t xml:space="preserve">Nisan 19,en </w:t>
                            </w:r>
                            <w:r>
                              <w:rPr>
                                <w:rFonts w:cs="Arial"/>
                                <w:i/>
                                <w:noProof/>
                                <w:color w:val="000000" w:themeColor="text1"/>
                                <w:sz w:val="24"/>
                                <w:szCs w:val="24"/>
                                <w:vertAlign w:val="subscript"/>
                              </w:rPr>
                              <w:t>zengin</w:t>
                            </w:r>
                            <w:r w:rsidRPr="00C06980">
                              <w:rPr>
                                <w:rFonts w:cs="Arial"/>
                                <w:i/>
                                <w:noProof/>
                                <w:color w:val="000000" w:themeColor="text1"/>
                                <w:sz w:val="24"/>
                                <w:szCs w:val="24"/>
                                <w:vertAlign w:val="subscript"/>
                              </w:rPr>
                              <w:t xml:space="preserve"> </w:t>
                            </w:r>
                            <w:r w:rsidRPr="00C06980">
                              <w:rPr>
                                <w:rFonts w:cs="Arial"/>
                                <w:noProof/>
                                <w:color w:val="000000" w:themeColor="text1"/>
                                <w:sz w:val="24"/>
                                <w:szCs w:val="24"/>
                              </w:rPr>
                              <w:t>/ E</w:t>
                            </w:r>
                            <w:r w:rsidRPr="00C06980">
                              <w:rPr>
                                <w:rFonts w:cs="Arial"/>
                                <w:i/>
                                <w:noProof/>
                                <w:color w:val="000000" w:themeColor="text1"/>
                                <w:sz w:val="24"/>
                                <w:szCs w:val="24"/>
                                <w:vertAlign w:val="subscript"/>
                              </w:rPr>
                              <w:t xml:space="preserve">Nisan 17,en </w:t>
                            </w:r>
                            <w:r>
                              <w:rPr>
                                <w:rFonts w:cs="Arial"/>
                                <w:i/>
                                <w:noProof/>
                                <w:color w:val="000000" w:themeColor="text1"/>
                                <w:sz w:val="24"/>
                                <w:szCs w:val="24"/>
                                <w:vertAlign w:val="subscript"/>
                              </w:rPr>
                              <w:t>zengin</w:t>
                            </w:r>
                            <w:r w:rsidRPr="00D97E21">
                              <w:rPr>
                                <w:rFonts w:cs="Arial"/>
                                <w:i/>
                                <w:noProof/>
                                <w:color w:val="000000" w:themeColor="text1"/>
                                <w:vertAlign w:val="subscript"/>
                              </w:rPr>
                              <w:t xml:space="preserve">  </w:t>
                            </w:r>
                            <w:r w:rsidRPr="00D97E21">
                              <w:rPr>
                                <w:rFonts w:cs="Arial"/>
                                <w:noProof/>
                                <w:color w:val="000000" w:themeColor="text1"/>
                              </w:rPr>
                              <w:t xml:space="preserve">x 100  =  </w:t>
                            </w:r>
                            <w:r w:rsidRPr="00D97E21">
                              <w:rPr>
                                <w:rFonts w:ascii="Calibri" w:eastAsia="Times New Roman" w:hAnsi="Calibri" w:cs="Calibri"/>
                                <w:color w:val="000000"/>
                                <w:lang w:eastAsia="en-GB"/>
                              </w:rPr>
                              <w:t>416.8 / 315.6 x 100 = 132.08</w:t>
                            </w:r>
                          </w:p>
                          <w:p w:rsidR="000517E5" w:rsidRDefault="000517E5" w:rsidP="000517E5">
                            <w:pPr>
                              <w:jc w:val="both"/>
                              <w:rPr>
                                <w:rFonts w:ascii="Calibri" w:eastAsia="Times New Roman" w:hAnsi="Calibri" w:cs="Calibri"/>
                                <w:color w:val="000000"/>
                                <w:sz w:val="24"/>
                                <w:szCs w:val="24"/>
                                <w:lang w:eastAsia="en-GB"/>
                              </w:rPr>
                            </w:pPr>
                          </w:p>
                          <w:p w:rsidR="000517E5" w:rsidRPr="00C06980" w:rsidRDefault="000517E5" w:rsidP="000517E5">
                            <w:pPr>
                              <w:jc w:val="both"/>
                              <w:rPr>
                                <w:rFonts w:ascii="Calibri" w:eastAsia="Times New Roman" w:hAnsi="Calibri" w:cs="Calibri"/>
                                <w:color w:val="000000"/>
                                <w:sz w:val="24"/>
                                <w:szCs w:val="24"/>
                                <w:lang w:eastAsia="en-GB"/>
                              </w:rPr>
                            </w:pPr>
                          </w:p>
                          <w:p w:rsidR="000517E5" w:rsidRDefault="000517E5" w:rsidP="000517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BAE5CE" id="_x0000_t202" coordsize="21600,21600" o:spt="202" path="m,l,21600r21600,l21600,xe">
                <v:stroke joinstyle="miter"/>
                <v:path gradientshapeok="t" o:connecttype="rect"/>
              </v:shapetype>
              <v:shape id="_x0000_s1029" type="#_x0000_t202" style="position:absolute;left:0;text-align:left;margin-left:-33.65pt;margin-top:170.55pt;width:519.65pt;height:6in;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">
                <v:textbox>
                  <w:txbxContent>
                    <w:p w:rsidR="000517E5" w:rsidRPr="004F31C0" w:rsidRDefault="00C26450" w:rsidP="000517E5">
                      <w:pPr>
                        <w:jc w:val="both"/>
                      </w:pPr>
                      <w:r>
                        <w:rPr>
                          <w:b/>
                        </w:rPr>
                        <w:t>Tablo 2</w:t>
                      </w:r>
                      <w:r w:rsidR="000517E5">
                        <w:rPr>
                          <w:b/>
                        </w:rPr>
                        <w:t>: Harcama grupları</w:t>
                      </w:r>
                    </w:p>
                    <w:tbl>
                      <w:tblPr>
                        <w:tblW w:w="6321" w:type="dxa"/>
                        <w:tblLook w:val="04A0" w:firstRow="1" w:lastRow="0" w:firstColumn="1" w:lastColumn="0" w:noHBand="0" w:noVBand="1"/>
                      </w:tblPr>
                      <w:tblGrid>
                        <w:gridCol w:w="1302"/>
                        <w:gridCol w:w="5019"/>
                      </w:tblGrid>
                      <w:tr w:rsidR="000517E5" w:rsidRPr="004F31C0" w:rsidTr="00A1102A">
                        <w:trPr>
                          <w:trHeight w:val="225"/>
                        </w:trPr>
                        <w:tc>
                          <w:tcPr>
                            <w:tcW w:w="1302" w:type="dxa"/>
                            <w:tcBorders>
                              <w:top w:val="nil"/>
                              <w:left w:val="nil"/>
                              <w:bottom w:val="single" w:sz="8" w:space="0" w:color="auto"/>
                              <w:right w:val="nil"/>
                            </w:tcBorders>
                            <w:shd w:val="clear" w:color="auto" w:fill="auto"/>
                            <w:noWrap/>
                            <w:vAlign w:val="bottom"/>
                            <w:hideMark/>
                          </w:tcPr>
                          <w:p w:rsidR="000517E5" w:rsidRPr="004F31C0" w:rsidRDefault="000517E5" w:rsidP="00A1102A">
                            <w:pPr>
                              <w:spacing w:after="0" w:line="240" w:lineRule="auto"/>
                              <w:rPr>
                                <w:rFonts w:ascii="Calibri" w:eastAsia="Times New Roman" w:hAnsi="Calibri" w:cs="Calibri"/>
                                <w:color w:val="000000"/>
                              </w:rPr>
                            </w:pPr>
                            <w:r w:rsidRPr="004F31C0">
                              <w:rPr>
                                <w:rFonts w:ascii="Calibri" w:eastAsia="Times New Roman" w:hAnsi="Calibri" w:cs="Calibri"/>
                                <w:color w:val="000000"/>
                              </w:rPr>
                              <w:t> </w:t>
                            </w:r>
                          </w:p>
                        </w:tc>
                        <w:tc>
                          <w:tcPr>
                            <w:tcW w:w="5019" w:type="dxa"/>
                            <w:tcBorders>
                              <w:top w:val="nil"/>
                              <w:left w:val="nil"/>
                              <w:bottom w:val="single" w:sz="8" w:space="0" w:color="auto"/>
                              <w:right w:val="nil"/>
                            </w:tcBorders>
                            <w:shd w:val="clear" w:color="auto" w:fill="auto"/>
                            <w:noWrap/>
                            <w:vAlign w:val="bottom"/>
                            <w:hideMark/>
                          </w:tcPr>
                          <w:p w:rsidR="000517E5" w:rsidRPr="004F31C0" w:rsidRDefault="000517E5" w:rsidP="00A1102A">
                            <w:pPr>
                              <w:spacing w:after="0" w:line="240" w:lineRule="auto"/>
                              <w:rPr>
                                <w:rFonts w:ascii="Calibri" w:eastAsia="Times New Roman" w:hAnsi="Calibri" w:cs="Calibri"/>
                                <w:b/>
                                <w:bCs/>
                                <w:color w:val="000000"/>
                              </w:rPr>
                            </w:pPr>
                            <w:r w:rsidRPr="004F31C0">
                              <w:rPr>
                                <w:rFonts w:ascii="Calibri" w:eastAsia="Times New Roman" w:hAnsi="Calibri" w:cs="Calibri"/>
                                <w:b/>
                                <w:bCs/>
                                <w:color w:val="000000"/>
                              </w:rPr>
                              <w:t>Harcama grupları</w:t>
                            </w:r>
                          </w:p>
                        </w:tc>
                      </w:tr>
                      <w:tr w:rsidR="000517E5" w:rsidRPr="004F31C0" w:rsidTr="00A1102A">
                        <w:trPr>
                          <w:trHeight w:val="225"/>
                        </w:trPr>
                        <w:tc>
                          <w:tcPr>
                            <w:tcW w:w="1302" w:type="dxa"/>
                            <w:tcBorders>
                              <w:top w:val="nil"/>
                              <w:left w:val="nil"/>
                              <w:bottom w:val="nil"/>
                              <w:right w:val="nil"/>
                            </w:tcBorders>
                            <w:shd w:val="clear" w:color="auto" w:fill="auto"/>
                            <w:noWrap/>
                            <w:vAlign w:val="bottom"/>
                            <w:hideMark/>
                          </w:tcPr>
                          <w:p w:rsidR="000517E5" w:rsidRPr="004F31C0" w:rsidRDefault="000517E5" w:rsidP="00A1102A">
                            <w:pPr>
                              <w:spacing w:after="0" w:line="240" w:lineRule="auto"/>
                              <w:jc w:val="center"/>
                              <w:rPr>
                                <w:rFonts w:ascii="Calibri" w:eastAsia="Times New Roman" w:hAnsi="Calibri" w:cs="Calibri"/>
                                <w:b/>
                                <w:bCs/>
                                <w:color w:val="000000"/>
                              </w:rPr>
                            </w:pPr>
                            <w:r w:rsidRPr="004F31C0">
                              <w:rPr>
                                <w:rFonts w:ascii="Calibri" w:eastAsia="Times New Roman" w:hAnsi="Calibri" w:cs="Calibri"/>
                                <w:b/>
                                <w:bCs/>
                                <w:color w:val="000000"/>
                              </w:rPr>
                              <w:t>1</w:t>
                            </w:r>
                          </w:p>
                        </w:tc>
                        <w:tc>
                          <w:tcPr>
                            <w:tcW w:w="5019" w:type="dxa"/>
                            <w:tcBorders>
                              <w:top w:val="nil"/>
                              <w:left w:val="nil"/>
                              <w:bottom w:val="nil"/>
                              <w:right w:val="nil"/>
                            </w:tcBorders>
                            <w:shd w:val="clear" w:color="auto" w:fill="auto"/>
                            <w:noWrap/>
                            <w:vAlign w:val="center"/>
                            <w:hideMark/>
                          </w:tcPr>
                          <w:p w:rsidR="000517E5" w:rsidRPr="004F31C0" w:rsidRDefault="000517E5" w:rsidP="00A1102A">
                            <w:pPr>
                              <w:spacing w:after="0" w:line="240" w:lineRule="auto"/>
                              <w:rPr>
                                <w:rFonts w:ascii="Calibri" w:eastAsia="Times New Roman" w:hAnsi="Calibri" w:cs="Calibri"/>
                                <w:color w:val="000000"/>
                                <w:sz w:val="20"/>
                                <w:szCs w:val="20"/>
                              </w:rPr>
                            </w:pPr>
                            <w:r w:rsidRPr="004F31C0">
                              <w:rPr>
                                <w:rFonts w:ascii="Calibri" w:eastAsia="Times New Roman" w:hAnsi="Calibri" w:cs="Calibri"/>
                                <w:color w:val="000000"/>
                                <w:sz w:val="20"/>
                                <w:szCs w:val="20"/>
                              </w:rPr>
                              <w:t>Gıda ve alkolsüz içecekler</w:t>
                            </w:r>
                          </w:p>
                        </w:tc>
                      </w:tr>
                      <w:tr w:rsidR="000517E5" w:rsidRPr="004F31C0" w:rsidTr="00A1102A">
                        <w:trPr>
                          <w:trHeight w:val="270"/>
                        </w:trPr>
                        <w:tc>
                          <w:tcPr>
                            <w:tcW w:w="1302" w:type="dxa"/>
                            <w:tcBorders>
                              <w:top w:val="nil"/>
                              <w:left w:val="nil"/>
                              <w:bottom w:val="nil"/>
                              <w:right w:val="nil"/>
                            </w:tcBorders>
                            <w:shd w:val="clear" w:color="auto" w:fill="auto"/>
                            <w:noWrap/>
                            <w:vAlign w:val="bottom"/>
                            <w:hideMark/>
                          </w:tcPr>
                          <w:p w:rsidR="000517E5" w:rsidRPr="004F31C0" w:rsidRDefault="000517E5" w:rsidP="00A1102A">
                            <w:pPr>
                              <w:spacing w:after="0" w:line="240" w:lineRule="auto"/>
                              <w:jc w:val="center"/>
                              <w:rPr>
                                <w:rFonts w:ascii="Calibri" w:eastAsia="Times New Roman" w:hAnsi="Calibri" w:cs="Calibri"/>
                                <w:b/>
                                <w:bCs/>
                                <w:color w:val="000000"/>
                              </w:rPr>
                            </w:pPr>
                            <w:r w:rsidRPr="004F31C0">
                              <w:rPr>
                                <w:rFonts w:ascii="Calibri" w:eastAsia="Times New Roman" w:hAnsi="Calibri" w:cs="Calibri"/>
                                <w:b/>
                                <w:bCs/>
                                <w:color w:val="000000"/>
                              </w:rPr>
                              <w:t>2</w:t>
                            </w:r>
                          </w:p>
                        </w:tc>
                        <w:tc>
                          <w:tcPr>
                            <w:tcW w:w="5019" w:type="dxa"/>
                            <w:tcBorders>
                              <w:top w:val="nil"/>
                              <w:left w:val="nil"/>
                              <w:bottom w:val="nil"/>
                              <w:right w:val="nil"/>
                            </w:tcBorders>
                            <w:shd w:val="clear" w:color="auto" w:fill="auto"/>
                            <w:noWrap/>
                            <w:vAlign w:val="center"/>
                            <w:hideMark/>
                          </w:tcPr>
                          <w:p w:rsidR="000517E5" w:rsidRPr="004F31C0" w:rsidRDefault="000517E5" w:rsidP="00A1102A">
                            <w:pPr>
                              <w:spacing w:after="0" w:line="240" w:lineRule="auto"/>
                              <w:rPr>
                                <w:rFonts w:ascii="Calibri" w:eastAsia="Times New Roman" w:hAnsi="Calibri" w:cs="Calibri"/>
                                <w:color w:val="000000"/>
                                <w:sz w:val="20"/>
                                <w:szCs w:val="20"/>
                              </w:rPr>
                            </w:pPr>
                            <w:r w:rsidRPr="004F31C0">
                              <w:rPr>
                                <w:rFonts w:ascii="Calibri" w:eastAsia="Times New Roman" w:hAnsi="Calibri" w:cs="Calibri"/>
                                <w:color w:val="000000"/>
                                <w:sz w:val="20"/>
                                <w:szCs w:val="20"/>
                              </w:rPr>
                              <w:t>Alkollü içecekler ve tütün</w:t>
                            </w:r>
                          </w:p>
                        </w:tc>
                      </w:tr>
                      <w:tr w:rsidR="000517E5" w:rsidRPr="004F31C0" w:rsidTr="00A1102A">
                        <w:trPr>
                          <w:trHeight w:val="307"/>
                        </w:trPr>
                        <w:tc>
                          <w:tcPr>
                            <w:tcW w:w="1302" w:type="dxa"/>
                            <w:tcBorders>
                              <w:top w:val="nil"/>
                              <w:left w:val="nil"/>
                              <w:bottom w:val="nil"/>
                              <w:right w:val="nil"/>
                            </w:tcBorders>
                            <w:shd w:val="clear" w:color="auto" w:fill="auto"/>
                            <w:noWrap/>
                            <w:vAlign w:val="bottom"/>
                            <w:hideMark/>
                          </w:tcPr>
                          <w:p w:rsidR="000517E5" w:rsidRPr="004F31C0" w:rsidRDefault="000517E5" w:rsidP="00A1102A">
                            <w:pPr>
                              <w:spacing w:after="0" w:line="240" w:lineRule="auto"/>
                              <w:jc w:val="center"/>
                              <w:rPr>
                                <w:rFonts w:ascii="Calibri" w:eastAsia="Times New Roman" w:hAnsi="Calibri" w:cs="Calibri"/>
                                <w:b/>
                                <w:bCs/>
                                <w:color w:val="000000"/>
                              </w:rPr>
                            </w:pPr>
                            <w:r w:rsidRPr="004F31C0">
                              <w:rPr>
                                <w:rFonts w:ascii="Calibri" w:eastAsia="Times New Roman" w:hAnsi="Calibri" w:cs="Calibri"/>
                                <w:b/>
                                <w:bCs/>
                                <w:color w:val="000000"/>
                              </w:rPr>
                              <w:t>3</w:t>
                            </w:r>
                          </w:p>
                        </w:tc>
                        <w:tc>
                          <w:tcPr>
                            <w:tcW w:w="5019" w:type="dxa"/>
                            <w:tcBorders>
                              <w:top w:val="nil"/>
                              <w:left w:val="nil"/>
                              <w:bottom w:val="nil"/>
                              <w:right w:val="nil"/>
                            </w:tcBorders>
                            <w:shd w:val="clear" w:color="auto" w:fill="auto"/>
                            <w:noWrap/>
                            <w:vAlign w:val="center"/>
                            <w:hideMark/>
                          </w:tcPr>
                          <w:p w:rsidR="000517E5" w:rsidRPr="004F31C0" w:rsidRDefault="000517E5" w:rsidP="00A1102A">
                            <w:pPr>
                              <w:spacing w:after="0" w:line="240" w:lineRule="auto"/>
                              <w:rPr>
                                <w:rFonts w:ascii="Calibri" w:eastAsia="Times New Roman" w:hAnsi="Calibri" w:cs="Calibri"/>
                                <w:color w:val="000000"/>
                                <w:sz w:val="20"/>
                                <w:szCs w:val="20"/>
                              </w:rPr>
                            </w:pPr>
                            <w:r w:rsidRPr="004F31C0">
                              <w:rPr>
                                <w:rFonts w:ascii="Calibri" w:eastAsia="Times New Roman" w:hAnsi="Calibri" w:cs="Calibri"/>
                                <w:color w:val="000000"/>
                                <w:sz w:val="20"/>
                                <w:szCs w:val="20"/>
                              </w:rPr>
                              <w:t>Giyim ve ayakkabı</w:t>
                            </w:r>
                          </w:p>
                        </w:tc>
                      </w:tr>
                      <w:tr w:rsidR="000517E5" w:rsidRPr="004F31C0" w:rsidTr="00A1102A">
                        <w:trPr>
                          <w:trHeight w:val="270"/>
                        </w:trPr>
                        <w:tc>
                          <w:tcPr>
                            <w:tcW w:w="1302" w:type="dxa"/>
                            <w:tcBorders>
                              <w:top w:val="nil"/>
                              <w:left w:val="nil"/>
                              <w:bottom w:val="nil"/>
                              <w:right w:val="nil"/>
                            </w:tcBorders>
                            <w:shd w:val="clear" w:color="auto" w:fill="auto"/>
                            <w:noWrap/>
                            <w:vAlign w:val="bottom"/>
                            <w:hideMark/>
                          </w:tcPr>
                          <w:p w:rsidR="000517E5" w:rsidRPr="004F31C0" w:rsidRDefault="000517E5" w:rsidP="00A1102A">
                            <w:pPr>
                              <w:spacing w:after="0" w:line="240" w:lineRule="auto"/>
                              <w:jc w:val="center"/>
                              <w:rPr>
                                <w:rFonts w:ascii="Calibri" w:eastAsia="Times New Roman" w:hAnsi="Calibri" w:cs="Calibri"/>
                                <w:b/>
                                <w:bCs/>
                                <w:color w:val="000000"/>
                              </w:rPr>
                            </w:pPr>
                            <w:r w:rsidRPr="004F31C0">
                              <w:rPr>
                                <w:rFonts w:ascii="Calibri" w:eastAsia="Times New Roman" w:hAnsi="Calibri" w:cs="Calibri"/>
                                <w:b/>
                                <w:bCs/>
                                <w:color w:val="000000"/>
                              </w:rPr>
                              <w:t>4</w:t>
                            </w:r>
                          </w:p>
                        </w:tc>
                        <w:tc>
                          <w:tcPr>
                            <w:tcW w:w="5019" w:type="dxa"/>
                            <w:tcBorders>
                              <w:top w:val="nil"/>
                              <w:left w:val="nil"/>
                              <w:bottom w:val="nil"/>
                              <w:right w:val="nil"/>
                            </w:tcBorders>
                            <w:shd w:val="clear" w:color="auto" w:fill="auto"/>
                            <w:noWrap/>
                            <w:vAlign w:val="center"/>
                            <w:hideMark/>
                          </w:tcPr>
                          <w:p w:rsidR="000517E5" w:rsidRPr="004F31C0" w:rsidRDefault="000517E5" w:rsidP="00A1102A">
                            <w:pPr>
                              <w:spacing w:after="0" w:line="240" w:lineRule="auto"/>
                              <w:rPr>
                                <w:rFonts w:ascii="Calibri" w:eastAsia="Times New Roman" w:hAnsi="Calibri" w:cs="Calibri"/>
                                <w:color w:val="000000"/>
                                <w:sz w:val="20"/>
                                <w:szCs w:val="20"/>
                              </w:rPr>
                            </w:pPr>
                            <w:r w:rsidRPr="004F31C0">
                              <w:rPr>
                                <w:rFonts w:ascii="Calibri" w:eastAsia="Times New Roman" w:hAnsi="Calibri" w:cs="Calibri"/>
                                <w:color w:val="000000"/>
                                <w:sz w:val="20"/>
                                <w:szCs w:val="20"/>
                              </w:rPr>
                              <w:t>Konut, su, elektrik, gaz ve diğer yakıtlar</w:t>
                            </w:r>
                          </w:p>
                        </w:tc>
                      </w:tr>
                      <w:tr w:rsidR="000517E5" w:rsidRPr="004F31C0" w:rsidTr="00A1102A">
                        <w:trPr>
                          <w:trHeight w:val="349"/>
                        </w:trPr>
                        <w:tc>
                          <w:tcPr>
                            <w:tcW w:w="1302" w:type="dxa"/>
                            <w:tcBorders>
                              <w:top w:val="nil"/>
                              <w:left w:val="nil"/>
                              <w:bottom w:val="nil"/>
                              <w:right w:val="nil"/>
                            </w:tcBorders>
                            <w:shd w:val="clear" w:color="auto" w:fill="auto"/>
                            <w:noWrap/>
                            <w:vAlign w:val="bottom"/>
                            <w:hideMark/>
                          </w:tcPr>
                          <w:p w:rsidR="000517E5" w:rsidRPr="004F31C0" w:rsidRDefault="000517E5" w:rsidP="00A1102A">
                            <w:pPr>
                              <w:spacing w:after="0" w:line="240" w:lineRule="auto"/>
                              <w:jc w:val="center"/>
                              <w:rPr>
                                <w:rFonts w:ascii="Calibri" w:eastAsia="Times New Roman" w:hAnsi="Calibri" w:cs="Calibri"/>
                                <w:b/>
                                <w:bCs/>
                                <w:color w:val="000000"/>
                              </w:rPr>
                            </w:pPr>
                            <w:r w:rsidRPr="004F31C0">
                              <w:rPr>
                                <w:rFonts w:ascii="Calibri" w:eastAsia="Times New Roman" w:hAnsi="Calibri" w:cs="Calibri"/>
                                <w:b/>
                                <w:bCs/>
                                <w:color w:val="000000"/>
                              </w:rPr>
                              <w:t>5</w:t>
                            </w:r>
                          </w:p>
                        </w:tc>
                        <w:tc>
                          <w:tcPr>
                            <w:tcW w:w="5019" w:type="dxa"/>
                            <w:tcBorders>
                              <w:top w:val="nil"/>
                              <w:left w:val="nil"/>
                              <w:bottom w:val="nil"/>
                              <w:right w:val="nil"/>
                            </w:tcBorders>
                            <w:shd w:val="clear" w:color="auto" w:fill="auto"/>
                            <w:noWrap/>
                            <w:vAlign w:val="center"/>
                            <w:hideMark/>
                          </w:tcPr>
                          <w:p w:rsidR="000517E5" w:rsidRPr="004F31C0" w:rsidRDefault="000517E5" w:rsidP="00A1102A">
                            <w:pPr>
                              <w:spacing w:after="0" w:line="240" w:lineRule="auto"/>
                              <w:rPr>
                                <w:rFonts w:ascii="Calibri" w:eastAsia="Times New Roman" w:hAnsi="Calibri" w:cs="Calibri"/>
                                <w:color w:val="000000"/>
                                <w:sz w:val="20"/>
                                <w:szCs w:val="20"/>
                              </w:rPr>
                            </w:pPr>
                            <w:r w:rsidRPr="004F31C0">
                              <w:rPr>
                                <w:rFonts w:ascii="Calibri" w:eastAsia="Times New Roman" w:hAnsi="Calibri" w:cs="Calibri"/>
                                <w:color w:val="000000"/>
                                <w:sz w:val="20"/>
                                <w:szCs w:val="20"/>
                              </w:rPr>
                              <w:t>Mobilya, ev aletleri ve ev bakim hizmetleri</w:t>
                            </w:r>
                          </w:p>
                        </w:tc>
                      </w:tr>
                      <w:tr w:rsidR="000517E5" w:rsidRPr="004F31C0" w:rsidTr="00A1102A">
                        <w:trPr>
                          <w:trHeight w:val="270"/>
                        </w:trPr>
                        <w:tc>
                          <w:tcPr>
                            <w:tcW w:w="1302" w:type="dxa"/>
                            <w:tcBorders>
                              <w:top w:val="nil"/>
                              <w:left w:val="nil"/>
                              <w:bottom w:val="nil"/>
                              <w:right w:val="nil"/>
                            </w:tcBorders>
                            <w:shd w:val="clear" w:color="auto" w:fill="auto"/>
                            <w:noWrap/>
                            <w:vAlign w:val="bottom"/>
                            <w:hideMark/>
                          </w:tcPr>
                          <w:p w:rsidR="000517E5" w:rsidRPr="004F31C0" w:rsidRDefault="000517E5" w:rsidP="00A1102A">
                            <w:pPr>
                              <w:spacing w:after="0" w:line="240" w:lineRule="auto"/>
                              <w:jc w:val="center"/>
                              <w:rPr>
                                <w:rFonts w:ascii="Calibri" w:eastAsia="Times New Roman" w:hAnsi="Calibri" w:cs="Calibri"/>
                                <w:b/>
                                <w:bCs/>
                                <w:color w:val="000000"/>
                              </w:rPr>
                            </w:pPr>
                            <w:r w:rsidRPr="004F31C0">
                              <w:rPr>
                                <w:rFonts w:ascii="Calibri" w:eastAsia="Times New Roman" w:hAnsi="Calibri" w:cs="Calibri"/>
                                <w:b/>
                                <w:bCs/>
                                <w:color w:val="000000"/>
                              </w:rPr>
                              <w:t>6</w:t>
                            </w:r>
                          </w:p>
                        </w:tc>
                        <w:tc>
                          <w:tcPr>
                            <w:tcW w:w="5019" w:type="dxa"/>
                            <w:tcBorders>
                              <w:top w:val="nil"/>
                              <w:left w:val="nil"/>
                              <w:bottom w:val="nil"/>
                              <w:right w:val="nil"/>
                            </w:tcBorders>
                            <w:shd w:val="clear" w:color="auto" w:fill="auto"/>
                            <w:noWrap/>
                            <w:vAlign w:val="center"/>
                            <w:hideMark/>
                          </w:tcPr>
                          <w:p w:rsidR="000517E5" w:rsidRPr="004F31C0" w:rsidRDefault="000517E5" w:rsidP="00A1102A">
                            <w:pPr>
                              <w:spacing w:after="0" w:line="240" w:lineRule="auto"/>
                              <w:rPr>
                                <w:rFonts w:ascii="Calibri" w:eastAsia="Times New Roman" w:hAnsi="Calibri" w:cs="Calibri"/>
                                <w:color w:val="000000"/>
                                <w:sz w:val="20"/>
                                <w:szCs w:val="20"/>
                              </w:rPr>
                            </w:pPr>
                            <w:r w:rsidRPr="004F31C0">
                              <w:rPr>
                                <w:rFonts w:ascii="Calibri" w:eastAsia="Times New Roman" w:hAnsi="Calibri" w:cs="Calibri"/>
                                <w:color w:val="000000"/>
                                <w:sz w:val="20"/>
                                <w:szCs w:val="20"/>
                              </w:rPr>
                              <w:t>Sağlık</w:t>
                            </w:r>
                          </w:p>
                        </w:tc>
                      </w:tr>
                      <w:tr w:rsidR="000517E5" w:rsidRPr="004F31C0" w:rsidTr="00A1102A">
                        <w:trPr>
                          <w:trHeight w:val="270"/>
                        </w:trPr>
                        <w:tc>
                          <w:tcPr>
                            <w:tcW w:w="1302" w:type="dxa"/>
                            <w:tcBorders>
                              <w:top w:val="nil"/>
                              <w:left w:val="nil"/>
                              <w:bottom w:val="nil"/>
                              <w:right w:val="nil"/>
                            </w:tcBorders>
                            <w:shd w:val="clear" w:color="auto" w:fill="auto"/>
                            <w:noWrap/>
                            <w:vAlign w:val="bottom"/>
                            <w:hideMark/>
                          </w:tcPr>
                          <w:p w:rsidR="000517E5" w:rsidRPr="004F31C0" w:rsidRDefault="000517E5" w:rsidP="00A1102A">
                            <w:pPr>
                              <w:spacing w:after="0" w:line="240" w:lineRule="auto"/>
                              <w:jc w:val="center"/>
                              <w:rPr>
                                <w:rFonts w:ascii="Calibri" w:eastAsia="Times New Roman" w:hAnsi="Calibri" w:cs="Calibri"/>
                                <w:b/>
                                <w:bCs/>
                                <w:color w:val="000000"/>
                              </w:rPr>
                            </w:pPr>
                            <w:r w:rsidRPr="004F31C0">
                              <w:rPr>
                                <w:rFonts w:ascii="Calibri" w:eastAsia="Times New Roman" w:hAnsi="Calibri" w:cs="Calibri"/>
                                <w:b/>
                                <w:bCs/>
                                <w:color w:val="000000"/>
                              </w:rPr>
                              <w:t>7</w:t>
                            </w:r>
                          </w:p>
                        </w:tc>
                        <w:tc>
                          <w:tcPr>
                            <w:tcW w:w="5019" w:type="dxa"/>
                            <w:tcBorders>
                              <w:top w:val="nil"/>
                              <w:left w:val="nil"/>
                              <w:bottom w:val="nil"/>
                              <w:right w:val="nil"/>
                            </w:tcBorders>
                            <w:shd w:val="clear" w:color="auto" w:fill="auto"/>
                            <w:noWrap/>
                            <w:vAlign w:val="center"/>
                            <w:hideMark/>
                          </w:tcPr>
                          <w:p w:rsidR="000517E5" w:rsidRPr="004F31C0" w:rsidRDefault="000517E5" w:rsidP="00A1102A">
                            <w:pPr>
                              <w:spacing w:after="0" w:line="240" w:lineRule="auto"/>
                              <w:rPr>
                                <w:rFonts w:ascii="Calibri" w:eastAsia="Times New Roman" w:hAnsi="Calibri" w:cs="Calibri"/>
                                <w:color w:val="000000"/>
                                <w:sz w:val="20"/>
                                <w:szCs w:val="20"/>
                              </w:rPr>
                            </w:pPr>
                            <w:r w:rsidRPr="004F31C0">
                              <w:rPr>
                                <w:rFonts w:ascii="Calibri" w:eastAsia="Times New Roman" w:hAnsi="Calibri" w:cs="Calibri"/>
                                <w:color w:val="000000"/>
                                <w:sz w:val="20"/>
                                <w:szCs w:val="20"/>
                              </w:rPr>
                              <w:t>Ulaştırma</w:t>
                            </w:r>
                          </w:p>
                        </w:tc>
                      </w:tr>
                      <w:tr w:rsidR="000517E5" w:rsidRPr="004F31C0" w:rsidTr="00A1102A">
                        <w:trPr>
                          <w:trHeight w:val="270"/>
                        </w:trPr>
                        <w:tc>
                          <w:tcPr>
                            <w:tcW w:w="1302" w:type="dxa"/>
                            <w:tcBorders>
                              <w:top w:val="nil"/>
                              <w:left w:val="nil"/>
                              <w:bottom w:val="nil"/>
                              <w:right w:val="nil"/>
                            </w:tcBorders>
                            <w:shd w:val="clear" w:color="auto" w:fill="auto"/>
                            <w:noWrap/>
                            <w:vAlign w:val="bottom"/>
                            <w:hideMark/>
                          </w:tcPr>
                          <w:p w:rsidR="000517E5" w:rsidRPr="004F31C0" w:rsidRDefault="000517E5" w:rsidP="00A1102A">
                            <w:pPr>
                              <w:spacing w:after="0" w:line="240" w:lineRule="auto"/>
                              <w:jc w:val="center"/>
                              <w:rPr>
                                <w:rFonts w:ascii="Calibri" w:eastAsia="Times New Roman" w:hAnsi="Calibri" w:cs="Calibri"/>
                                <w:b/>
                                <w:bCs/>
                                <w:color w:val="000000"/>
                              </w:rPr>
                            </w:pPr>
                            <w:r w:rsidRPr="004F31C0">
                              <w:rPr>
                                <w:rFonts w:ascii="Calibri" w:eastAsia="Times New Roman" w:hAnsi="Calibri" w:cs="Calibri"/>
                                <w:b/>
                                <w:bCs/>
                                <w:color w:val="000000"/>
                              </w:rPr>
                              <w:t>8</w:t>
                            </w:r>
                          </w:p>
                        </w:tc>
                        <w:tc>
                          <w:tcPr>
                            <w:tcW w:w="5019" w:type="dxa"/>
                            <w:tcBorders>
                              <w:top w:val="nil"/>
                              <w:left w:val="nil"/>
                              <w:bottom w:val="nil"/>
                              <w:right w:val="nil"/>
                            </w:tcBorders>
                            <w:shd w:val="clear" w:color="auto" w:fill="auto"/>
                            <w:noWrap/>
                            <w:vAlign w:val="center"/>
                            <w:hideMark/>
                          </w:tcPr>
                          <w:p w:rsidR="000517E5" w:rsidRPr="004F31C0" w:rsidRDefault="000517E5" w:rsidP="00A1102A">
                            <w:pPr>
                              <w:spacing w:after="0" w:line="240" w:lineRule="auto"/>
                              <w:rPr>
                                <w:rFonts w:ascii="Calibri" w:eastAsia="Times New Roman" w:hAnsi="Calibri" w:cs="Calibri"/>
                                <w:color w:val="000000"/>
                                <w:sz w:val="20"/>
                                <w:szCs w:val="20"/>
                              </w:rPr>
                            </w:pPr>
                            <w:r w:rsidRPr="004F31C0">
                              <w:rPr>
                                <w:rFonts w:ascii="Calibri" w:eastAsia="Times New Roman" w:hAnsi="Calibri" w:cs="Calibri"/>
                                <w:color w:val="000000"/>
                                <w:sz w:val="20"/>
                                <w:szCs w:val="20"/>
                              </w:rPr>
                              <w:t>Haberleşme</w:t>
                            </w:r>
                          </w:p>
                        </w:tc>
                      </w:tr>
                      <w:tr w:rsidR="000517E5" w:rsidRPr="004F31C0" w:rsidTr="00A1102A">
                        <w:trPr>
                          <w:trHeight w:val="279"/>
                        </w:trPr>
                        <w:tc>
                          <w:tcPr>
                            <w:tcW w:w="1302" w:type="dxa"/>
                            <w:tcBorders>
                              <w:top w:val="nil"/>
                              <w:left w:val="nil"/>
                              <w:bottom w:val="nil"/>
                              <w:right w:val="nil"/>
                            </w:tcBorders>
                            <w:shd w:val="clear" w:color="auto" w:fill="auto"/>
                            <w:noWrap/>
                            <w:vAlign w:val="bottom"/>
                            <w:hideMark/>
                          </w:tcPr>
                          <w:p w:rsidR="000517E5" w:rsidRPr="004F31C0" w:rsidRDefault="000517E5" w:rsidP="00A1102A">
                            <w:pPr>
                              <w:spacing w:after="0" w:line="240" w:lineRule="auto"/>
                              <w:jc w:val="center"/>
                              <w:rPr>
                                <w:rFonts w:ascii="Calibri" w:eastAsia="Times New Roman" w:hAnsi="Calibri" w:cs="Calibri"/>
                                <w:b/>
                                <w:bCs/>
                                <w:color w:val="000000"/>
                              </w:rPr>
                            </w:pPr>
                            <w:r w:rsidRPr="004F31C0">
                              <w:rPr>
                                <w:rFonts w:ascii="Calibri" w:eastAsia="Times New Roman" w:hAnsi="Calibri" w:cs="Calibri"/>
                                <w:b/>
                                <w:bCs/>
                                <w:color w:val="000000"/>
                              </w:rPr>
                              <w:t>9</w:t>
                            </w:r>
                          </w:p>
                        </w:tc>
                        <w:tc>
                          <w:tcPr>
                            <w:tcW w:w="5019" w:type="dxa"/>
                            <w:tcBorders>
                              <w:top w:val="nil"/>
                              <w:left w:val="nil"/>
                              <w:bottom w:val="nil"/>
                              <w:right w:val="nil"/>
                            </w:tcBorders>
                            <w:shd w:val="clear" w:color="auto" w:fill="auto"/>
                            <w:noWrap/>
                            <w:vAlign w:val="center"/>
                            <w:hideMark/>
                          </w:tcPr>
                          <w:p w:rsidR="000517E5" w:rsidRPr="004F31C0" w:rsidRDefault="000517E5" w:rsidP="00A1102A">
                            <w:pPr>
                              <w:spacing w:after="0" w:line="240" w:lineRule="auto"/>
                              <w:rPr>
                                <w:rFonts w:ascii="Calibri" w:eastAsia="Times New Roman" w:hAnsi="Calibri" w:cs="Calibri"/>
                                <w:color w:val="000000"/>
                                <w:sz w:val="20"/>
                                <w:szCs w:val="20"/>
                              </w:rPr>
                            </w:pPr>
                            <w:r w:rsidRPr="004F31C0">
                              <w:rPr>
                                <w:rFonts w:ascii="Calibri" w:eastAsia="Times New Roman" w:hAnsi="Calibri" w:cs="Calibri"/>
                                <w:color w:val="000000"/>
                                <w:sz w:val="20"/>
                                <w:szCs w:val="20"/>
                              </w:rPr>
                              <w:t>Eğlence ve kültür</w:t>
                            </w:r>
                          </w:p>
                        </w:tc>
                      </w:tr>
                      <w:tr w:rsidR="000517E5" w:rsidRPr="004F31C0" w:rsidTr="00A1102A">
                        <w:trPr>
                          <w:trHeight w:val="216"/>
                        </w:trPr>
                        <w:tc>
                          <w:tcPr>
                            <w:tcW w:w="1302" w:type="dxa"/>
                            <w:tcBorders>
                              <w:top w:val="nil"/>
                              <w:left w:val="nil"/>
                              <w:bottom w:val="nil"/>
                              <w:right w:val="nil"/>
                            </w:tcBorders>
                            <w:shd w:val="clear" w:color="auto" w:fill="auto"/>
                            <w:noWrap/>
                            <w:vAlign w:val="bottom"/>
                            <w:hideMark/>
                          </w:tcPr>
                          <w:p w:rsidR="000517E5" w:rsidRPr="004F31C0" w:rsidRDefault="000517E5" w:rsidP="00A1102A">
                            <w:pPr>
                              <w:spacing w:after="0" w:line="240" w:lineRule="auto"/>
                              <w:jc w:val="center"/>
                              <w:rPr>
                                <w:rFonts w:ascii="Calibri" w:eastAsia="Times New Roman" w:hAnsi="Calibri" w:cs="Calibri"/>
                                <w:b/>
                                <w:bCs/>
                                <w:color w:val="000000"/>
                              </w:rPr>
                            </w:pPr>
                            <w:r w:rsidRPr="004F31C0">
                              <w:rPr>
                                <w:rFonts w:ascii="Calibri" w:eastAsia="Times New Roman" w:hAnsi="Calibri" w:cs="Calibri"/>
                                <w:b/>
                                <w:bCs/>
                                <w:color w:val="000000"/>
                              </w:rPr>
                              <w:t>10</w:t>
                            </w:r>
                          </w:p>
                        </w:tc>
                        <w:tc>
                          <w:tcPr>
                            <w:tcW w:w="5019" w:type="dxa"/>
                            <w:tcBorders>
                              <w:top w:val="nil"/>
                              <w:left w:val="nil"/>
                              <w:bottom w:val="nil"/>
                              <w:right w:val="nil"/>
                            </w:tcBorders>
                            <w:shd w:val="clear" w:color="auto" w:fill="auto"/>
                            <w:noWrap/>
                            <w:vAlign w:val="center"/>
                            <w:hideMark/>
                          </w:tcPr>
                          <w:p w:rsidR="000517E5" w:rsidRPr="004F31C0" w:rsidRDefault="000517E5" w:rsidP="00A1102A">
                            <w:pPr>
                              <w:spacing w:after="0" w:line="240" w:lineRule="auto"/>
                              <w:rPr>
                                <w:rFonts w:ascii="Calibri" w:eastAsia="Times New Roman" w:hAnsi="Calibri" w:cs="Calibri"/>
                                <w:color w:val="000000"/>
                                <w:sz w:val="20"/>
                                <w:szCs w:val="20"/>
                              </w:rPr>
                            </w:pPr>
                            <w:r w:rsidRPr="004F31C0">
                              <w:rPr>
                                <w:rFonts w:ascii="Calibri" w:eastAsia="Times New Roman" w:hAnsi="Calibri" w:cs="Calibri"/>
                                <w:color w:val="000000"/>
                                <w:sz w:val="20"/>
                                <w:szCs w:val="20"/>
                              </w:rPr>
                              <w:t>Eğitim</w:t>
                            </w:r>
                          </w:p>
                        </w:tc>
                      </w:tr>
                      <w:tr w:rsidR="000517E5" w:rsidRPr="004F31C0" w:rsidTr="00A1102A">
                        <w:trPr>
                          <w:trHeight w:val="216"/>
                        </w:trPr>
                        <w:tc>
                          <w:tcPr>
                            <w:tcW w:w="1302" w:type="dxa"/>
                            <w:tcBorders>
                              <w:top w:val="nil"/>
                              <w:left w:val="nil"/>
                              <w:bottom w:val="nil"/>
                              <w:right w:val="nil"/>
                            </w:tcBorders>
                            <w:shd w:val="clear" w:color="auto" w:fill="auto"/>
                            <w:noWrap/>
                            <w:vAlign w:val="bottom"/>
                            <w:hideMark/>
                          </w:tcPr>
                          <w:p w:rsidR="000517E5" w:rsidRPr="004F31C0" w:rsidRDefault="000517E5" w:rsidP="00A1102A">
                            <w:pPr>
                              <w:spacing w:after="0" w:line="240" w:lineRule="auto"/>
                              <w:jc w:val="center"/>
                              <w:rPr>
                                <w:rFonts w:ascii="Calibri" w:eastAsia="Times New Roman" w:hAnsi="Calibri" w:cs="Calibri"/>
                                <w:b/>
                                <w:bCs/>
                                <w:color w:val="000000"/>
                              </w:rPr>
                            </w:pPr>
                            <w:r w:rsidRPr="004F31C0">
                              <w:rPr>
                                <w:rFonts w:ascii="Calibri" w:eastAsia="Times New Roman" w:hAnsi="Calibri" w:cs="Calibri"/>
                                <w:b/>
                                <w:bCs/>
                                <w:color w:val="000000"/>
                              </w:rPr>
                              <w:t>11</w:t>
                            </w:r>
                          </w:p>
                        </w:tc>
                        <w:tc>
                          <w:tcPr>
                            <w:tcW w:w="5019" w:type="dxa"/>
                            <w:tcBorders>
                              <w:top w:val="nil"/>
                              <w:left w:val="nil"/>
                              <w:bottom w:val="nil"/>
                              <w:right w:val="nil"/>
                            </w:tcBorders>
                            <w:shd w:val="clear" w:color="auto" w:fill="auto"/>
                            <w:noWrap/>
                            <w:vAlign w:val="center"/>
                            <w:hideMark/>
                          </w:tcPr>
                          <w:p w:rsidR="000517E5" w:rsidRPr="004F31C0" w:rsidRDefault="000517E5" w:rsidP="00A1102A">
                            <w:pPr>
                              <w:spacing w:after="0" w:line="240" w:lineRule="auto"/>
                              <w:rPr>
                                <w:rFonts w:ascii="Calibri" w:eastAsia="Times New Roman" w:hAnsi="Calibri" w:cs="Calibri"/>
                                <w:color w:val="000000"/>
                                <w:sz w:val="20"/>
                                <w:szCs w:val="20"/>
                              </w:rPr>
                            </w:pPr>
                            <w:r w:rsidRPr="004F31C0">
                              <w:rPr>
                                <w:rFonts w:ascii="Calibri" w:eastAsia="Times New Roman" w:hAnsi="Calibri" w:cs="Calibri"/>
                                <w:color w:val="000000"/>
                                <w:sz w:val="20"/>
                                <w:szCs w:val="20"/>
                              </w:rPr>
                              <w:t>Lokanta ve oteller</w:t>
                            </w:r>
                          </w:p>
                        </w:tc>
                      </w:tr>
                      <w:tr w:rsidR="000517E5" w:rsidRPr="004F31C0" w:rsidTr="00A1102A">
                        <w:trPr>
                          <w:trHeight w:val="225"/>
                        </w:trPr>
                        <w:tc>
                          <w:tcPr>
                            <w:tcW w:w="1302" w:type="dxa"/>
                            <w:tcBorders>
                              <w:top w:val="nil"/>
                              <w:left w:val="nil"/>
                              <w:bottom w:val="single" w:sz="8" w:space="0" w:color="auto"/>
                              <w:right w:val="nil"/>
                            </w:tcBorders>
                            <w:shd w:val="clear" w:color="auto" w:fill="auto"/>
                            <w:noWrap/>
                            <w:vAlign w:val="bottom"/>
                            <w:hideMark/>
                          </w:tcPr>
                          <w:p w:rsidR="000517E5" w:rsidRPr="004F31C0" w:rsidRDefault="000517E5" w:rsidP="00A1102A">
                            <w:pPr>
                              <w:spacing w:after="0" w:line="240" w:lineRule="auto"/>
                              <w:jc w:val="center"/>
                              <w:rPr>
                                <w:rFonts w:ascii="Calibri" w:eastAsia="Times New Roman" w:hAnsi="Calibri" w:cs="Calibri"/>
                                <w:b/>
                                <w:bCs/>
                                <w:color w:val="000000"/>
                              </w:rPr>
                            </w:pPr>
                            <w:r w:rsidRPr="004F31C0">
                              <w:rPr>
                                <w:rFonts w:ascii="Calibri" w:eastAsia="Times New Roman" w:hAnsi="Calibri" w:cs="Calibri"/>
                                <w:b/>
                                <w:bCs/>
                                <w:color w:val="000000"/>
                              </w:rPr>
                              <w:t>12</w:t>
                            </w:r>
                          </w:p>
                        </w:tc>
                        <w:tc>
                          <w:tcPr>
                            <w:tcW w:w="5019" w:type="dxa"/>
                            <w:tcBorders>
                              <w:top w:val="nil"/>
                              <w:left w:val="nil"/>
                              <w:bottom w:val="single" w:sz="8" w:space="0" w:color="auto"/>
                              <w:right w:val="nil"/>
                            </w:tcBorders>
                            <w:shd w:val="clear" w:color="auto" w:fill="auto"/>
                            <w:noWrap/>
                            <w:vAlign w:val="center"/>
                            <w:hideMark/>
                          </w:tcPr>
                          <w:p w:rsidR="000517E5" w:rsidRPr="004F31C0" w:rsidRDefault="000517E5" w:rsidP="00A1102A">
                            <w:pPr>
                              <w:spacing w:after="0" w:line="240" w:lineRule="auto"/>
                              <w:rPr>
                                <w:rFonts w:ascii="Calibri" w:eastAsia="Times New Roman" w:hAnsi="Calibri" w:cs="Calibri"/>
                                <w:color w:val="000000"/>
                                <w:sz w:val="20"/>
                                <w:szCs w:val="20"/>
                              </w:rPr>
                            </w:pPr>
                            <w:r w:rsidRPr="004F31C0">
                              <w:rPr>
                                <w:rFonts w:ascii="Calibri" w:eastAsia="Times New Roman" w:hAnsi="Calibri" w:cs="Calibri"/>
                                <w:color w:val="000000"/>
                                <w:sz w:val="20"/>
                                <w:szCs w:val="20"/>
                              </w:rPr>
                              <w:t>Çeşitli mal ve hizmetler</w:t>
                            </w:r>
                          </w:p>
                        </w:tc>
                      </w:tr>
                    </w:tbl>
                    <w:p w:rsidR="000517E5" w:rsidRPr="004F31C0" w:rsidRDefault="000517E5" w:rsidP="000517E5">
                      <w:pPr>
                        <w:jc w:val="both"/>
                        <w:rPr>
                          <w:i/>
                          <w:sz w:val="20"/>
                        </w:rPr>
                      </w:pPr>
                      <w:r w:rsidRPr="004F31C0">
                        <w:rPr>
                          <w:i/>
                          <w:sz w:val="20"/>
                        </w:rPr>
                        <w:t>Kaynak: TÜİK</w:t>
                      </w:r>
                    </w:p>
                    <w:p w:rsidR="000517E5" w:rsidRDefault="000517E5" w:rsidP="000517E5">
                      <w:pPr>
                        <w:jc w:val="both"/>
                      </w:pPr>
                    </w:p>
                    <w:p w:rsidR="000517E5" w:rsidRPr="004F31C0" w:rsidRDefault="000517E5" w:rsidP="000517E5">
                      <w:pPr>
                        <w:jc w:val="both"/>
                      </w:pPr>
                      <w:r w:rsidRPr="00667CBB">
                        <w:t xml:space="preserve">Her harcama grubunun Nisan 2017 dönemindeki endeksi </w:t>
                      </w:r>
                      <w:proofErr w:type="gramStart"/>
                      <w:r w:rsidRPr="00667CBB">
                        <w:t>baz</w:t>
                      </w:r>
                      <w:proofErr w:type="gramEnd"/>
                      <w:r w:rsidRPr="00667CBB">
                        <w:t xml:space="preserve"> alınarak (Nisan 2017=100) yalnızca Nisan 2017 – </w:t>
                      </w:r>
                      <w:r w:rsidRPr="009744D1">
                        <w:rPr>
                          <w:color w:val="000000" w:themeColor="text1"/>
                        </w:rPr>
                        <w:t>Nisan 2019</w:t>
                      </w:r>
                      <w:r w:rsidRPr="002328B8">
                        <w:rPr>
                          <w:color w:val="FF0000"/>
                        </w:rPr>
                        <w:t xml:space="preserve"> </w:t>
                      </w:r>
                      <w:r w:rsidRPr="00667CBB">
                        <w:t xml:space="preserve">dönemindeki iki yıllık değişimi daha net bir şekilde görmemizi sağlayan yeni bir endeks oluşturulmuştur. </w:t>
                      </w:r>
                    </w:p>
                    <w:p w:rsidR="000517E5" w:rsidRPr="00D97E21" w:rsidRDefault="000517E5" w:rsidP="000517E5">
                      <w:pPr>
                        <w:jc w:val="both"/>
                        <w:rPr>
                          <w:rFonts w:ascii="Calibri" w:eastAsia="Times New Roman" w:hAnsi="Calibri" w:cs="Calibri"/>
                          <w:color w:val="000000"/>
                          <w:lang w:val="fr-FR" w:eastAsia="en-GB"/>
                        </w:rPr>
                      </w:pPr>
                      <w:r w:rsidRPr="004F31C0">
                        <w:rPr>
                          <w:rFonts w:ascii="Arial" w:hAnsi="Arial" w:cs="Arial"/>
                          <w:color w:val="222222"/>
                          <w:sz w:val="24"/>
                          <w:szCs w:val="21"/>
                          <w:shd w:val="clear" w:color="auto" w:fill="FFFFFF"/>
                        </w:rPr>
                        <w:t> </w:t>
                      </w:r>
                      <w:r w:rsidRPr="00C06980">
                        <w:rPr>
                          <w:rStyle w:val="texhtml"/>
                          <w:bCs/>
                          <w:color w:val="222222"/>
                          <w:sz w:val="32"/>
                          <w:szCs w:val="25"/>
                          <w:shd w:val="clear" w:color="auto" w:fill="FFFFFF"/>
                        </w:rPr>
                        <w:t>π</w:t>
                      </w:r>
                      <w:r w:rsidRPr="004F31C0">
                        <w:rPr>
                          <w:rStyle w:val="texhtml"/>
                          <w:bCs/>
                          <w:color w:val="222222"/>
                          <w:sz w:val="24"/>
                          <w:szCs w:val="25"/>
                          <w:shd w:val="clear" w:color="auto" w:fill="FFFFFF"/>
                          <w:vertAlign w:val="subscript"/>
                          <w:lang w:val="fr-FR"/>
                        </w:rPr>
                        <w:t>Nisan 2</w:t>
                      </w:r>
                      <w:r w:rsidRPr="00C06980">
                        <w:rPr>
                          <w:rStyle w:val="texhtml"/>
                          <w:bCs/>
                          <w:color w:val="222222"/>
                          <w:sz w:val="24"/>
                          <w:szCs w:val="25"/>
                          <w:shd w:val="clear" w:color="auto" w:fill="FFFFFF"/>
                          <w:vertAlign w:val="subscript"/>
                        </w:rPr>
                        <w:t>019</w:t>
                      </w:r>
                      <w:r w:rsidRPr="00C06980">
                        <w:rPr>
                          <w:rStyle w:val="texhtml"/>
                          <w:bCs/>
                          <w:i/>
                          <w:color w:val="222222"/>
                          <w:sz w:val="24"/>
                          <w:szCs w:val="25"/>
                          <w:shd w:val="clear" w:color="auto" w:fill="FFFFFF"/>
                          <w:vertAlign w:val="subscript"/>
                        </w:rPr>
                        <w:t>, en yoksul</w:t>
                      </w:r>
                      <w:r w:rsidRPr="00523A21">
                        <w:rPr>
                          <w:rFonts w:cs="Arial"/>
                          <w:noProof/>
                          <w:color w:val="000000" w:themeColor="text1"/>
                          <w:sz w:val="28"/>
                        </w:rPr>
                        <w:t xml:space="preserve"> </w:t>
                      </w:r>
                      <w:r>
                        <w:rPr>
                          <w:rFonts w:cs="Arial"/>
                          <w:noProof/>
                          <w:color w:val="000000" w:themeColor="text1"/>
                          <w:sz w:val="28"/>
                        </w:rPr>
                        <w:t>=</w:t>
                      </w:r>
                      <w:r w:rsidRPr="00C06980">
                        <w:rPr>
                          <w:rFonts w:cs="Arial"/>
                          <w:noProof/>
                          <w:color w:val="000000" w:themeColor="text1"/>
                          <w:sz w:val="24"/>
                          <w:szCs w:val="24"/>
                        </w:rPr>
                        <w:t xml:space="preserve"> E</w:t>
                      </w:r>
                      <w:r w:rsidRPr="00C06980">
                        <w:rPr>
                          <w:rFonts w:cs="Arial"/>
                          <w:i/>
                          <w:noProof/>
                          <w:color w:val="000000" w:themeColor="text1"/>
                          <w:sz w:val="24"/>
                          <w:szCs w:val="24"/>
                          <w:vertAlign w:val="subscript"/>
                        </w:rPr>
                        <w:t xml:space="preserve">Nisan 19,en yoksul </w:t>
                      </w:r>
                      <w:r w:rsidRPr="00C06980">
                        <w:rPr>
                          <w:rFonts w:cs="Arial"/>
                          <w:noProof/>
                          <w:color w:val="000000" w:themeColor="text1"/>
                          <w:sz w:val="24"/>
                          <w:szCs w:val="24"/>
                        </w:rPr>
                        <w:t>/ E</w:t>
                      </w:r>
                      <w:r w:rsidRPr="00C06980">
                        <w:rPr>
                          <w:rFonts w:cs="Arial"/>
                          <w:i/>
                          <w:noProof/>
                          <w:color w:val="000000" w:themeColor="text1"/>
                          <w:sz w:val="24"/>
                          <w:szCs w:val="24"/>
                          <w:vertAlign w:val="subscript"/>
                        </w:rPr>
                        <w:t xml:space="preserve">Nisan 17,en yoksul </w:t>
                      </w:r>
                      <w:r>
                        <w:rPr>
                          <w:rFonts w:cs="Arial"/>
                          <w:i/>
                          <w:noProof/>
                          <w:color w:val="000000" w:themeColor="text1"/>
                          <w:sz w:val="28"/>
                          <w:vertAlign w:val="subscript"/>
                        </w:rPr>
                        <w:t xml:space="preserve"> </w:t>
                      </w:r>
                      <w:r w:rsidRPr="00D97E21">
                        <w:rPr>
                          <w:rFonts w:cs="Arial"/>
                          <w:noProof/>
                          <w:color w:val="000000" w:themeColor="text1"/>
                        </w:rPr>
                        <w:t xml:space="preserve">x 100  =  </w:t>
                      </w:r>
                      <w:r w:rsidRPr="00D97E21">
                        <w:rPr>
                          <w:rFonts w:ascii="Calibri" w:eastAsia="Times New Roman" w:hAnsi="Calibri" w:cs="Calibri"/>
                          <w:color w:val="000000"/>
                          <w:lang w:val="fr-FR" w:eastAsia="en-GB"/>
                        </w:rPr>
                        <w:t>450.1 / 339.8 x 100 = 132.44</w:t>
                      </w:r>
                    </w:p>
                    <w:p w:rsidR="000517E5" w:rsidRPr="00D97E21" w:rsidRDefault="000517E5" w:rsidP="000517E5">
                      <w:pPr>
                        <w:jc w:val="both"/>
                        <w:rPr>
                          <w:rFonts w:ascii="Calibri" w:eastAsia="Times New Roman" w:hAnsi="Calibri" w:cs="Calibri"/>
                          <w:color w:val="000000"/>
                          <w:lang w:eastAsia="en-GB"/>
                        </w:rPr>
                      </w:pPr>
                      <w:r w:rsidRPr="004F31C0">
                        <w:rPr>
                          <w:rFonts w:ascii="Arial" w:hAnsi="Arial" w:cs="Arial"/>
                          <w:color w:val="222222"/>
                          <w:sz w:val="24"/>
                          <w:szCs w:val="21"/>
                          <w:shd w:val="clear" w:color="auto" w:fill="FFFFFF"/>
                          <w:lang w:val="fr-FR"/>
                        </w:rPr>
                        <w:t> </w:t>
                      </w:r>
                      <w:r w:rsidRPr="00C06980">
                        <w:rPr>
                          <w:rStyle w:val="texhtml"/>
                          <w:bCs/>
                          <w:color w:val="222222"/>
                          <w:sz w:val="32"/>
                          <w:szCs w:val="25"/>
                          <w:shd w:val="clear" w:color="auto" w:fill="FFFFFF"/>
                        </w:rPr>
                        <w:t>π</w:t>
                      </w:r>
                      <w:r w:rsidRPr="00C06980">
                        <w:rPr>
                          <w:rStyle w:val="texhtml"/>
                          <w:bCs/>
                          <w:color w:val="222222"/>
                          <w:sz w:val="24"/>
                          <w:szCs w:val="25"/>
                          <w:shd w:val="clear" w:color="auto" w:fill="FFFFFF"/>
                          <w:vertAlign w:val="subscript"/>
                        </w:rPr>
                        <w:t>Nisan 2019</w:t>
                      </w:r>
                      <w:r>
                        <w:rPr>
                          <w:rStyle w:val="texhtml"/>
                          <w:bCs/>
                          <w:i/>
                          <w:color w:val="222222"/>
                          <w:sz w:val="24"/>
                          <w:szCs w:val="25"/>
                          <w:shd w:val="clear" w:color="auto" w:fill="FFFFFF"/>
                          <w:vertAlign w:val="subscript"/>
                        </w:rPr>
                        <w:t>, en zengin</w:t>
                      </w:r>
                      <w:r w:rsidRPr="00523A21">
                        <w:rPr>
                          <w:rFonts w:cs="Arial"/>
                          <w:noProof/>
                          <w:color w:val="000000" w:themeColor="text1"/>
                          <w:sz w:val="28"/>
                        </w:rPr>
                        <w:t xml:space="preserve"> </w:t>
                      </w:r>
                      <w:r>
                        <w:rPr>
                          <w:rFonts w:cs="Arial"/>
                          <w:noProof/>
                          <w:color w:val="000000" w:themeColor="text1"/>
                          <w:sz w:val="28"/>
                        </w:rPr>
                        <w:t>=</w:t>
                      </w:r>
                      <w:r w:rsidRPr="00C06980">
                        <w:rPr>
                          <w:rFonts w:cs="Arial"/>
                          <w:noProof/>
                          <w:color w:val="000000" w:themeColor="text1"/>
                          <w:sz w:val="24"/>
                          <w:szCs w:val="24"/>
                        </w:rPr>
                        <w:t xml:space="preserve"> E</w:t>
                      </w:r>
                      <w:r w:rsidRPr="00C06980">
                        <w:rPr>
                          <w:rFonts w:cs="Arial"/>
                          <w:i/>
                          <w:noProof/>
                          <w:color w:val="000000" w:themeColor="text1"/>
                          <w:sz w:val="24"/>
                          <w:szCs w:val="24"/>
                          <w:vertAlign w:val="subscript"/>
                        </w:rPr>
                        <w:t xml:space="preserve">Nisan 19,en </w:t>
                      </w:r>
                      <w:r>
                        <w:rPr>
                          <w:rFonts w:cs="Arial"/>
                          <w:i/>
                          <w:noProof/>
                          <w:color w:val="000000" w:themeColor="text1"/>
                          <w:sz w:val="24"/>
                          <w:szCs w:val="24"/>
                          <w:vertAlign w:val="subscript"/>
                        </w:rPr>
                        <w:t>zengin</w:t>
                      </w:r>
                      <w:r w:rsidRPr="00C06980">
                        <w:rPr>
                          <w:rFonts w:cs="Arial"/>
                          <w:i/>
                          <w:noProof/>
                          <w:color w:val="000000" w:themeColor="text1"/>
                          <w:sz w:val="24"/>
                          <w:szCs w:val="24"/>
                          <w:vertAlign w:val="subscript"/>
                        </w:rPr>
                        <w:t xml:space="preserve"> </w:t>
                      </w:r>
                      <w:r w:rsidRPr="00C06980">
                        <w:rPr>
                          <w:rFonts w:cs="Arial"/>
                          <w:noProof/>
                          <w:color w:val="000000" w:themeColor="text1"/>
                          <w:sz w:val="24"/>
                          <w:szCs w:val="24"/>
                        </w:rPr>
                        <w:t>/ E</w:t>
                      </w:r>
                      <w:r w:rsidRPr="00C06980">
                        <w:rPr>
                          <w:rFonts w:cs="Arial"/>
                          <w:i/>
                          <w:noProof/>
                          <w:color w:val="000000" w:themeColor="text1"/>
                          <w:sz w:val="24"/>
                          <w:szCs w:val="24"/>
                          <w:vertAlign w:val="subscript"/>
                        </w:rPr>
                        <w:t xml:space="preserve">Nisan 17,en </w:t>
                      </w:r>
                      <w:r>
                        <w:rPr>
                          <w:rFonts w:cs="Arial"/>
                          <w:i/>
                          <w:noProof/>
                          <w:color w:val="000000" w:themeColor="text1"/>
                          <w:sz w:val="24"/>
                          <w:szCs w:val="24"/>
                          <w:vertAlign w:val="subscript"/>
                        </w:rPr>
                        <w:t>zengin</w:t>
                      </w:r>
                      <w:r w:rsidRPr="00D97E21">
                        <w:rPr>
                          <w:rFonts w:cs="Arial"/>
                          <w:i/>
                          <w:noProof/>
                          <w:color w:val="000000" w:themeColor="text1"/>
                          <w:vertAlign w:val="subscript"/>
                        </w:rPr>
                        <w:t xml:space="preserve">  </w:t>
                      </w:r>
                      <w:r w:rsidRPr="00D97E21">
                        <w:rPr>
                          <w:rFonts w:cs="Arial"/>
                          <w:noProof/>
                          <w:color w:val="000000" w:themeColor="text1"/>
                        </w:rPr>
                        <w:t xml:space="preserve">x 100  =  </w:t>
                      </w:r>
                      <w:r w:rsidRPr="00D97E21">
                        <w:rPr>
                          <w:rFonts w:ascii="Calibri" w:eastAsia="Times New Roman" w:hAnsi="Calibri" w:cs="Calibri"/>
                          <w:color w:val="000000"/>
                          <w:lang w:eastAsia="en-GB"/>
                        </w:rPr>
                        <w:t>416.8 / 315.6 x 100 = 132.08</w:t>
                      </w:r>
                    </w:p>
                    <w:p w:rsidR="000517E5" w:rsidRDefault="000517E5" w:rsidP="000517E5">
                      <w:pPr>
                        <w:jc w:val="both"/>
                        <w:rPr>
                          <w:rFonts w:ascii="Calibri" w:eastAsia="Times New Roman" w:hAnsi="Calibri" w:cs="Calibri"/>
                          <w:color w:val="000000"/>
                          <w:sz w:val="24"/>
                          <w:szCs w:val="24"/>
                          <w:lang w:eastAsia="en-GB"/>
                        </w:rPr>
                      </w:pPr>
                    </w:p>
                    <w:p w:rsidR="000517E5" w:rsidRPr="00C06980" w:rsidRDefault="000517E5" w:rsidP="000517E5">
                      <w:pPr>
                        <w:jc w:val="both"/>
                        <w:rPr>
                          <w:rFonts w:ascii="Calibri" w:eastAsia="Times New Roman" w:hAnsi="Calibri" w:cs="Calibri"/>
                          <w:color w:val="000000"/>
                          <w:sz w:val="24"/>
                          <w:szCs w:val="24"/>
                          <w:lang w:eastAsia="en-GB"/>
                        </w:rPr>
                      </w:pPr>
                    </w:p>
                    <w:p w:rsidR="000517E5" w:rsidRDefault="000517E5" w:rsidP="000517E5"/>
                  </w:txbxContent>
                </v:textbox>
                <w10:wrap type="square" anchorx="margin"/>
              </v:shape>
            </w:pict>
          </mc:Fallback>
        </mc:AlternateContent>
      </w:r>
      <w:r w:rsidR="000517E5" w:rsidRPr="004F31C0">
        <w:rPr>
          <w:i/>
          <w:sz w:val="20"/>
        </w:rPr>
        <w:t>Kaynak: TÜİK, Betam hesaplamaları</w:t>
      </w:r>
    </w:p>
    <w:p w:rsidR="00C26450" w:rsidRDefault="00C26450" w:rsidP="007574C3">
      <w:pPr>
        <w:tabs>
          <w:tab w:val="left" w:pos="1405"/>
        </w:tabs>
        <w:rPr>
          <w:sz w:val="18"/>
          <w:szCs w:val="18"/>
        </w:rPr>
      </w:pPr>
    </w:p>
    <w:p w:rsidR="00C26450" w:rsidRDefault="00C26450" w:rsidP="00C26450">
      <w:pPr>
        <w:tabs>
          <w:tab w:val="left" w:pos="1405"/>
        </w:tabs>
        <w:rPr>
          <w:b/>
          <w:szCs w:val="18"/>
        </w:rPr>
      </w:pPr>
    </w:p>
    <w:p w:rsidR="00C26450" w:rsidRDefault="00C26450" w:rsidP="00C26450">
      <w:pPr>
        <w:tabs>
          <w:tab w:val="left" w:pos="1405"/>
        </w:tabs>
        <w:rPr>
          <w:b/>
          <w:szCs w:val="18"/>
        </w:rPr>
      </w:pPr>
    </w:p>
    <w:p w:rsidR="00C26450" w:rsidRDefault="00C26450" w:rsidP="00C26450">
      <w:pPr>
        <w:tabs>
          <w:tab w:val="left" w:pos="1405"/>
        </w:tabs>
        <w:rPr>
          <w:b/>
          <w:szCs w:val="18"/>
        </w:rPr>
      </w:pPr>
    </w:p>
    <w:p w:rsidR="00C26450" w:rsidRPr="008A6A4C" w:rsidRDefault="00C26450" w:rsidP="00C26450">
      <w:pPr>
        <w:tabs>
          <w:tab w:val="left" w:pos="1405"/>
        </w:tabs>
        <w:rPr>
          <w:b/>
          <w:szCs w:val="18"/>
        </w:rPr>
      </w:pPr>
      <w:r>
        <w:rPr>
          <w:b/>
          <w:szCs w:val="18"/>
        </w:rPr>
        <w:t>Ek Tablo 1: Zengin ve yoksul enflasyon farkının a</w:t>
      </w:r>
      <w:r w:rsidRPr="008A6A4C">
        <w:rPr>
          <w:b/>
          <w:szCs w:val="18"/>
        </w:rPr>
        <w:t>yrıştırılması</w:t>
      </w:r>
    </w:p>
    <w:tbl>
      <w:tblPr>
        <w:tblW w:w="8524" w:type="dxa"/>
        <w:tblLook w:val="04A0" w:firstRow="1" w:lastRow="0" w:firstColumn="1" w:lastColumn="0" w:noHBand="0" w:noVBand="1"/>
      </w:tblPr>
      <w:tblGrid>
        <w:gridCol w:w="5100"/>
        <w:gridCol w:w="1418"/>
        <w:gridCol w:w="1418"/>
        <w:gridCol w:w="960"/>
      </w:tblGrid>
      <w:tr w:rsidR="00C26450" w:rsidRPr="000517E5" w:rsidTr="00337C90">
        <w:trPr>
          <w:trHeight w:val="20"/>
        </w:trPr>
        <w:tc>
          <w:tcPr>
            <w:tcW w:w="5100" w:type="dxa"/>
            <w:tcBorders>
              <w:top w:val="nil"/>
              <w:left w:val="nil"/>
              <w:bottom w:val="nil"/>
              <w:right w:val="nil"/>
            </w:tcBorders>
            <w:shd w:val="clear" w:color="auto" w:fill="auto"/>
            <w:noWrap/>
            <w:vAlign w:val="bottom"/>
            <w:hideMark/>
          </w:tcPr>
          <w:p w:rsidR="00C26450" w:rsidRPr="000517E5" w:rsidRDefault="00C26450" w:rsidP="00337C90">
            <w:pPr>
              <w:spacing w:after="0" w:line="240" w:lineRule="auto"/>
              <w:rPr>
                <w:rFonts w:eastAsia="Times New Roman" w:cstheme="minorHAnsi"/>
                <w:sz w:val="24"/>
                <w:szCs w:val="24"/>
                <w:lang w:eastAsia="en-GB"/>
              </w:rPr>
            </w:pPr>
          </w:p>
        </w:tc>
        <w:tc>
          <w:tcPr>
            <w:tcW w:w="1232" w:type="dxa"/>
            <w:tcBorders>
              <w:top w:val="nil"/>
              <w:left w:val="nil"/>
              <w:bottom w:val="nil"/>
              <w:right w:val="nil"/>
            </w:tcBorders>
            <w:shd w:val="clear" w:color="auto" w:fill="auto"/>
            <w:vAlign w:val="bottom"/>
            <w:hideMark/>
          </w:tcPr>
          <w:p w:rsidR="00C26450" w:rsidRPr="000517E5" w:rsidRDefault="00C26450" w:rsidP="00337C90">
            <w:pPr>
              <w:spacing w:after="0" w:line="240" w:lineRule="auto"/>
              <w:jc w:val="center"/>
              <w:rPr>
                <w:rFonts w:eastAsia="Times New Roman" w:cstheme="minorHAnsi"/>
                <w:color w:val="000000"/>
                <w:lang w:eastAsia="en-GB"/>
              </w:rPr>
            </w:pPr>
            <w:r w:rsidRPr="000517E5">
              <w:rPr>
                <w:rFonts w:eastAsia="Times New Roman" w:cstheme="minorHAnsi"/>
                <w:color w:val="000000"/>
                <w:lang w:eastAsia="en-GB"/>
              </w:rPr>
              <w:t>En yoksul enflasyonuna katkısı</w:t>
            </w:r>
          </w:p>
        </w:tc>
        <w:tc>
          <w:tcPr>
            <w:tcW w:w="1232" w:type="dxa"/>
            <w:tcBorders>
              <w:top w:val="nil"/>
              <w:left w:val="nil"/>
              <w:bottom w:val="nil"/>
              <w:right w:val="nil"/>
            </w:tcBorders>
            <w:shd w:val="clear" w:color="auto" w:fill="auto"/>
            <w:vAlign w:val="bottom"/>
            <w:hideMark/>
          </w:tcPr>
          <w:p w:rsidR="00C26450" w:rsidRPr="000517E5" w:rsidRDefault="00C26450" w:rsidP="00337C90">
            <w:pPr>
              <w:spacing w:after="0" w:line="240" w:lineRule="auto"/>
              <w:jc w:val="center"/>
              <w:rPr>
                <w:rFonts w:eastAsia="Times New Roman" w:cstheme="minorHAnsi"/>
                <w:color w:val="000000"/>
                <w:lang w:eastAsia="en-GB"/>
              </w:rPr>
            </w:pPr>
            <w:r w:rsidRPr="000517E5">
              <w:rPr>
                <w:rFonts w:eastAsia="Times New Roman" w:cstheme="minorHAnsi"/>
                <w:color w:val="000000"/>
                <w:lang w:eastAsia="en-GB"/>
              </w:rPr>
              <w:t>En zengin enflasyonuna katkısı</w:t>
            </w:r>
          </w:p>
        </w:tc>
        <w:tc>
          <w:tcPr>
            <w:tcW w:w="960" w:type="dxa"/>
            <w:tcBorders>
              <w:top w:val="nil"/>
              <w:left w:val="nil"/>
              <w:bottom w:val="nil"/>
              <w:right w:val="nil"/>
            </w:tcBorders>
            <w:shd w:val="clear" w:color="auto" w:fill="auto"/>
            <w:noWrap/>
            <w:vAlign w:val="bottom"/>
            <w:hideMark/>
          </w:tcPr>
          <w:p w:rsidR="00C26450" w:rsidRPr="000517E5" w:rsidRDefault="00C26450" w:rsidP="00337C90">
            <w:pPr>
              <w:spacing w:after="0" w:line="240" w:lineRule="auto"/>
              <w:jc w:val="center"/>
              <w:rPr>
                <w:rFonts w:eastAsia="Times New Roman" w:cstheme="minorHAnsi"/>
                <w:b/>
                <w:bCs/>
                <w:color w:val="000000"/>
                <w:lang w:eastAsia="en-GB"/>
              </w:rPr>
            </w:pPr>
            <w:r w:rsidRPr="000517E5">
              <w:rPr>
                <w:rFonts w:eastAsia="Times New Roman" w:cstheme="minorHAnsi"/>
                <w:b/>
                <w:bCs/>
                <w:color w:val="000000"/>
                <w:lang w:eastAsia="en-GB"/>
              </w:rPr>
              <w:t>FARK</w:t>
            </w:r>
          </w:p>
        </w:tc>
      </w:tr>
      <w:tr w:rsidR="00C26450" w:rsidRPr="000517E5" w:rsidTr="00337C90">
        <w:trPr>
          <w:trHeight w:val="20"/>
        </w:trPr>
        <w:tc>
          <w:tcPr>
            <w:tcW w:w="5100" w:type="dxa"/>
            <w:tcBorders>
              <w:top w:val="single" w:sz="4" w:space="0" w:color="auto"/>
              <w:left w:val="nil"/>
              <w:bottom w:val="nil"/>
              <w:right w:val="nil"/>
            </w:tcBorders>
            <w:shd w:val="clear" w:color="auto" w:fill="auto"/>
            <w:noWrap/>
            <w:vAlign w:val="center"/>
            <w:hideMark/>
          </w:tcPr>
          <w:p w:rsidR="00C26450" w:rsidRPr="000517E5" w:rsidRDefault="00C26450" w:rsidP="00337C90">
            <w:pPr>
              <w:spacing w:after="0" w:line="240" w:lineRule="auto"/>
              <w:rPr>
                <w:rFonts w:eastAsia="Times New Roman" w:cstheme="minorHAnsi"/>
                <w:color w:val="000000"/>
                <w:szCs w:val="20"/>
                <w:lang w:eastAsia="en-GB"/>
              </w:rPr>
            </w:pPr>
            <w:r w:rsidRPr="000517E5">
              <w:rPr>
                <w:rFonts w:eastAsia="Times New Roman" w:cstheme="minorHAnsi"/>
                <w:color w:val="000000"/>
                <w:szCs w:val="20"/>
                <w:lang w:eastAsia="en-GB"/>
              </w:rPr>
              <w:t>(1) Ulaştırma</w:t>
            </w:r>
          </w:p>
        </w:tc>
        <w:tc>
          <w:tcPr>
            <w:tcW w:w="1232" w:type="dxa"/>
            <w:tcBorders>
              <w:top w:val="single" w:sz="4" w:space="0" w:color="auto"/>
              <w:left w:val="nil"/>
              <w:bottom w:val="nil"/>
              <w:right w:val="nil"/>
            </w:tcBorders>
            <w:shd w:val="clear" w:color="auto" w:fill="auto"/>
            <w:noWrap/>
            <w:vAlign w:val="bottom"/>
            <w:hideMark/>
          </w:tcPr>
          <w:p w:rsidR="00C26450" w:rsidRPr="000517E5" w:rsidRDefault="00C26450" w:rsidP="00337C90">
            <w:pPr>
              <w:spacing w:after="0" w:line="240" w:lineRule="auto"/>
              <w:jc w:val="center"/>
              <w:rPr>
                <w:rFonts w:eastAsia="Times New Roman" w:cstheme="minorHAnsi"/>
                <w:color w:val="000000"/>
                <w:lang w:eastAsia="en-GB"/>
              </w:rPr>
            </w:pPr>
            <w:r w:rsidRPr="000517E5">
              <w:rPr>
                <w:rFonts w:eastAsia="Times New Roman" w:cstheme="minorHAnsi"/>
                <w:color w:val="000000"/>
                <w:lang w:eastAsia="en-GB"/>
              </w:rPr>
              <w:t>6,29</w:t>
            </w:r>
          </w:p>
        </w:tc>
        <w:tc>
          <w:tcPr>
            <w:tcW w:w="1232" w:type="dxa"/>
            <w:tcBorders>
              <w:top w:val="single" w:sz="4" w:space="0" w:color="auto"/>
              <w:left w:val="nil"/>
              <w:bottom w:val="nil"/>
              <w:right w:val="nil"/>
            </w:tcBorders>
            <w:shd w:val="clear" w:color="auto" w:fill="auto"/>
            <w:noWrap/>
            <w:vAlign w:val="bottom"/>
            <w:hideMark/>
          </w:tcPr>
          <w:p w:rsidR="00C26450" w:rsidRPr="000517E5" w:rsidRDefault="00C26450" w:rsidP="00337C90">
            <w:pPr>
              <w:spacing w:after="0" w:line="240" w:lineRule="auto"/>
              <w:jc w:val="center"/>
              <w:rPr>
                <w:rFonts w:eastAsia="Times New Roman" w:cstheme="minorHAnsi"/>
                <w:color w:val="000000"/>
                <w:lang w:eastAsia="en-GB"/>
              </w:rPr>
            </w:pPr>
            <w:r w:rsidRPr="000517E5">
              <w:rPr>
                <w:rFonts w:eastAsia="Times New Roman" w:cstheme="minorHAnsi"/>
                <w:color w:val="000000"/>
                <w:lang w:eastAsia="en-GB"/>
              </w:rPr>
              <w:t>36,25</w:t>
            </w:r>
          </w:p>
        </w:tc>
        <w:tc>
          <w:tcPr>
            <w:tcW w:w="960" w:type="dxa"/>
            <w:tcBorders>
              <w:top w:val="single" w:sz="4" w:space="0" w:color="auto"/>
              <w:left w:val="nil"/>
              <w:bottom w:val="nil"/>
              <w:right w:val="nil"/>
            </w:tcBorders>
            <w:shd w:val="clear" w:color="auto" w:fill="auto"/>
            <w:noWrap/>
            <w:vAlign w:val="bottom"/>
            <w:hideMark/>
          </w:tcPr>
          <w:p w:rsidR="00C26450" w:rsidRPr="000517E5" w:rsidRDefault="00C26450" w:rsidP="00337C90">
            <w:pPr>
              <w:spacing w:after="0" w:line="240" w:lineRule="auto"/>
              <w:jc w:val="center"/>
              <w:rPr>
                <w:rFonts w:eastAsia="Times New Roman" w:cstheme="minorHAnsi"/>
                <w:lang w:eastAsia="en-GB"/>
              </w:rPr>
            </w:pPr>
            <w:r w:rsidRPr="000517E5">
              <w:rPr>
                <w:rFonts w:eastAsia="Times New Roman" w:cstheme="minorHAnsi"/>
                <w:lang w:eastAsia="en-GB"/>
              </w:rPr>
              <w:t>-29,97</w:t>
            </w:r>
          </w:p>
        </w:tc>
      </w:tr>
      <w:tr w:rsidR="00C26450" w:rsidRPr="000517E5" w:rsidTr="00337C90">
        <w:trPr>
          <w:trHeight w:val="20"/>
        </w:trPr>
        <w:tc>
          <w:tcPr>
            <w:tcW w:w="5100" w:type="dxa"/>
            <w:tcBorders>
              <w:top w:val="nil"/>
              <w:left w:val="nil"/>
              <w:bottom w:val="nil"/>
              <w:right w:val="nil"/>
            </w:tcBorders>
            <w:shd w:val="clear" w:color="auto" w:fill="auto"/>
            <w:noWrap/>
            <w:vAlign w:val="center"/>
            <w:hideMark/>
          </w:tcPr>
          <w:p w:rsidR="00C26450" w:rsidRPr="000517E5" w:rsidRDefault="00C26450" w:rsidP="00337C90">
            <w:pPr>
              <w:spacing w:after="0" w:line="240" w:lineRule="auto"/>
              <w:rPr>
                <w:rFonts w:eastAsia="Times New Roman" w:cstheme="minorHAnsi"/>
                <w:color w:val="000000"/>
                <w:szCs w:val="20"/>
                <w:lang w:eastAsia="en-GB"/>
              </w:rPr>
            </w:pPr>
            <w:r w:rsidRPr="000517E5">
              <w:rPr>
                <w:rFonts w:eastAsia="Times New Roman" w:cstheme="minorHAnsi"/>
                <w:color w:val="000000"/>
                <w:szCs w:val="20"/>
                <w:lang w:eastAsia="en-GB"/>
              </w:rPr>
              <w:t>(2) Çeşitli mal ve hizmetler</w:t>
            </w:r>
          </w:p>
        </w:tc>
        <w:tc>
          <w:tcPr>
            <w:tcW w:w="1232" w:type="dxa"/>
            <w:tcBorders>
              <w:top w:val="nil"/>
              <w:left w:val="nil"/>
              <w:bottom w:val="nil"/>
              <w:right w:val="nil"/>
            </w:tcBorders>
            <w:shd w:val="clear" w:color="auto" w:fill="auto"/>
            <w:noWrap/>
            <w:vAlign w:val="bottom"/>
            <w:hideMark/>
          </w:tcPr>
          <w:p w:rsidR="00C26450" w:rsidRPr="000517E5" w:rsidRDefault="00C26450" w:rsidP="00337C90">
            <w:pPr>
              <w:spacing w:after="0" w:line="240" w:lineRule="auto"/>
              <w:jc w:val="center"/>
              <w:rPr>
                <w:rFonts w:eastAsia="Times New Roman" w:cstheme="minorHAnsi"/>
                <w:color w:val="000000"/>
                <w:lang w:eastAsia="en-GB"/>
              </w:rPr>
            </w:pPr>
            <w:r w:rsidRPr="000517E5">
              <w:rPr>
                <w:rFonts w:eastAsia="Times New Roman" w:cstheme="minorHAnsi"/>
                <w:color w:val="000000"/>
                <w:lang w:eastAsia="en-GB"/>
              </w:rPr>
              <w:t>3,38</w:t>
            </w:r>
          </w:p>
        </w:tc>
        <w:tc>
          <w:tcPr>
            <w:tcW w:w="1232" w:type="dxa"/>
            <w:tcBorders>
              <w:top w:val="nil"/>
              <w:left w:val="nil"/>
              <w:bottom w:val="nil"/>
              <w:right w:val="nil"/>
            </w:tcBorders>
            <w:shd w:val="clear" w:color="auto" w:fill="auto"/>
            <w:noWrap/>
            <w:vAlign w:val="bottom"/>
            <w:hideMark/>
          </w:tcPr>
          <w:p w:rsidR="00C26450" w:rsidRPr="000517E5" w:rsidRDefault="00C26450" w:rsidP="00337C90">
            <w:pPr>
              <w:spacing w:after="0" w:line="240" w:lineRule="auto"/>
              <w:jc w:val="center"/>
              <w:rPr>
                <w:rFonts w:eastAsia="Times New Roman" w:cstheme="minorHAnsi"/>
                <w:color w:val="000000"/>
                <w:lang w:eastAsia="en-GB"/>
              </w:rPr>
            </w:pPr>
            <w:r w:rsidRPr="000517E5">
              <w:rPr>
                <w:rFonts w:eastAsia="Times New Roman" w:cstheme="minorHAnsi"/>
                <w:color w:val="000000"/>
                <w:lang w:eastAsia="en-GB"/>
              </w:rPr>
              <w:t>9,90</w:t>
            </w:r>
          </w:p>
        </w:tc>
        <w:tc>
          <w:tcPr>
            <w:tcW w:w="960" w:type="dxa"/>
            <w:tcBorders>
              <w:top w:val="nil"/>
              <w:left w:val="nil"/>
              <w:bottom w:val="nil"/>
              <w:right w:val="nil"/>
            </w:tcBorders>
            <w:shd w:val="clear" w:color="auto" w:fill="auto"/>
            <w:noWrap/>
            <w:vAlign w:val="bottom"/>
            <w:hideMark/>
          </w:tcPr>
          <w:p w:rsidR="00C26450" w:rsidRPr="000517E5" w:rsidRDefault="00C26450" w:rsidP="00337C90">
            <w:pPr>
              <w:spacing w:after="0" w:line="240" w:lineRule="auto"/>
              <w:jc w:val="center"/>
              <w:rPr>
                <w:rFonts w:eastAsia="Times New Roman" w:cstheme="minorHAnsi"/>
                <w:lang w:eastAsia="en-GB"/>
              </w:rPr>
            </w:pPr>
            <w:r w:rsidRPr="000517E5">
              <w:rPr>
                <w:rFonts w:eastAsia="Times New Roman" w:cstheme="minorHAnsi"/>
                <w:lang w:eastAsia="en-GB"/>
              </w:rPr>
              <w:t>-6,52</w:t>
            </w:r>
          </w:p>
        </w:tc>
      </w:tr>
      <w:tr w:rsidR="00C26450" w:rsidRPr="000517E5" w:rsidTr="00337C90">
        <w:trPr>
          <w:trHeight w:val="20"/>
        </w:trPr>
        <w:tc>
          <w:tcPr>
            <w:tcW w:w="5100" w:type="dxa"/>
            <w:tcBorders>
              <w:top w:val="nil"/>
              <w:left w:val="nil"/>
              <w:bottom w:val="nil"/>
              <w:right w:val="nil"/>
            </w:tcBorders>
            <w:shd w:val="clear" w:color="auto" w:fill="auto"/>
            <w:noWrap/>
            <w:vAlign w:val="center"/>
            <w:hideMark/>
          </w:tcPr>
          <w:p w:rsidR="00C26450" w:rsidRPr="000517E5" w:rsidRDefault="00C26450" w:rsidP="00337C90">
            <w:pPr>
              <w:spacing w:after="0" w:line="240" w:lineRule="auto"/>
              <w:rPr>
                <w:rFonts w:eastAsia="Times New Roman" w:cstheme="minorHAnsi"/>
                <w:color w:val="000000"/>
                <w:szCs w:val="20"/>
                <w:lang w:eastAsia="en-GB"/>
              </w:rPr>
            </w:pPr>
            <w:r w:rsidRPr="000517E5">
              <w:rPr>
                <w:rFonts w:eastAsia="Times New Roman" w:cstheme="minorHAnsi"/>
                <w:color w:val="000000"/>
                <w:szCs w:val="20"/>
                <w:lang w:eastAsia="en-GB"/>
              </w:rPr>
              <w:t>(3) Lokanta ve oteller</w:t>
            </w:r>
          </w:p>
        </w:tc>
        <w:tc>
          <w:tcPr>
            <w:tcW w:w="1232" w:type="dxa"/>
            <w:tcBorders>
              <w:top w:val="nil"/>
              <w:left w:val="nil"/>
              <w:bottom w:val="nil"/>
              <w:right w:val="nil"/>
            </w:tcBorders>
            <w:shd w:val="clear" w:color="auto" w:fill="auto"/>
            <w:noWrap/>
            <w:vAlign w:val="bottom"/>
            <w:hideMark/>
          </w:tcPr>
          <w:p w:rsidR="00C26450" w:rsidRPr="000517E5" w:rsidRDefault="00C26450" w:rsidP="00337C90">
            <w:pPr>
              <w:spacing w:after="0" w:line="240" w:lineRule="auto"/>
              <w:jc w:val="center"/>
              <w:rPr>
                <w:rFonts w:eastAsia="Times New Roman" w:cstheme="minorHAnsi"/>
                <w:color w:val="000000"/>
                <w:lang w:eastAsia="en-GB"/>
              </w:rPr>
            </w:pPr>
            <w:r w:rsidRPr="000517E5">
              <w:rPr>
                <w:rFonts w:eastAsia="Times New Roman" w:cstheme="minorHAnsi"/>
                <w:color w:val="000000"/>
                <w:lang w:eastAsia="en-GB"/>
              </w:rPr>
              <w:t>7,10</w:t>
            </w:r>
          </w:p>
        </w:tc>
        <w:tc>
          <w:tcPr>
            <w:tcW w:w="1232" w:type="dxa"/>
            <w:tcBorders>
              <w:top w:val="nil"/>
              <w:left w:val="nil"/>
              <w:bottom w:val="nil"/>
              <w:right w:val="nil"/>
            </w:tcBorders>
            <w:shd w:val="clear" w:color="auto" w:fill="auto"/>
            <w:noWrap/>
            <w:vAlign w:val="bottom"/>
            <w:hideMark/>
          </w:tcPr>
          <w:p w:rsidR="00C26450" w:rsidRPr="000517E5" w:rsidRDefault="00C26450" w:rsidP="00337C90">
            <w:pPr>
              <w:spacing w:after="0" w:line="240" w:lineRule="auto"/>
              <w:jc w:val="center"/>
              <w:rPr>
                <w:rFonts w:eastAsia="Times New Roman" w:cstheme="minorHAnsi"/>
                <w:color w:val="000000"/>
                <w:lang w:eastAsia="en-GB"/>
              </w:rPr>
            </w:pPr>
            <w:r w:rsidRPr="000517E5">
              <w:rPr>
                <w:rFonts w:eastAsia="Times New Roman" w:cstheme="minorHAnsi"/>
                <w:color w:val="000000"/>
                <w:lang w:eastAsia="en-GB"/>
              </w:rPr>
              <w:t>11,71</w:t>
            </w:r>
          </w:p>
        </w:tc>
        <w:tc>
          <w:tcPr>
            <w:tcW w:w="960" w:type="dxa"/>
            <w:tcBorders>
              <w:top w:val="nil"/>
              <w:left w:val="nil"/>
              <w:bottom w:val="nil"/>
              <w:right w:val="nil"/>
            </w:tcBorders>
            <w:shd w:val="clear" w:color="auto" w:fill="auto"/>
            <w:noWrap/>
            <w:vAlign w:val="bottom"/>
            <w:hideMark/>
          </w:tcPr>
          <w:p w:rsidR="00C26450" w:rsidRPr="000517E5" w:rsidRDefault="00C26450" w:rsidP="00337C90">
            <w:pPr>
              <w:spacing w:after="0" w:line="240" w:lineRule="auto"/>
              <w:jc w:val="center"/>
              <w:rPr>
                <w:rFonts w:eastAsia="Times New Roman" w:cstheme="minorHAnsi"/>
                <w:lang w:eastAsia="en-GB"/>
              </w:rPr>
            </w:pPr>
            <w:r w:rsidRPr="000517E5">
              <w:rPr>
                <w:rFonts w:eastAsia="Times New Roman" w:cstheme="minorHAnsi"/>
                <w:lang w:eastAsia="en-GB"/>
              </w:rPr>
              <w:t>-4,61</w:t>
            </w:r>
          </w:p>
        </w:tc>
      </w:tr>
      <w:tr w:rsidR="00C26450" w:rsidRPr="000517E5" w:rsidTr="00337C90">
        <w:trPr>
          <w:trHeight w:val="20"/>
        </w:trPr>
        <w:tc>
          <w:tcPr>
            <w:tcW w:w="5100" w:type="dxa"/>
            <w:tcBorders>
              <w:top w:val="nil"/>
              <w:left w:val="nil"/>
              <w:bottom w:val="nil"/>
              <w:right w:val="nil"/>
            </w:tcBorders>
            <w:shd w:val="clear" w:color="auto" w:fill="auto"/>
            <w:noWrap/>
            <w:vAlign w:val="center"/>
            <w:hideMark/>
          </w:tcPr>
          <w:p w:rsidR="00C26450" w:rsidRPr="000517E5" w:rsidRDefault="00C26450" w:rsidP="00337C90">
            <w:pPr>
              <w:spacing w:after="0" w:line="240" w:lineRule="auto"/>
              <w:rPr>
                <w:rFonts w:eastAsia="Times New Roman" w:cstheme="minorHAnsi"/>
                <w:color w:val="000000"/>
                <w:szCs w:val="20"/>
                <w:lang w:eastAsia="en-GB"/>
              </w:rPr>
            </w:pPr>
            <w:r w:rsidRPr="000517E5">
              <w:rPr>
                <w:rFonts w:eastAsia="Times New Roman" w:cstheme="minorHAnsi"/>
                <w:color w:val="000000"/>
                <w:szCs w:val="20"/>
                <w:lang w:eastAsia="en-GB"/>
              </w:rPr>
              <w:t>(4) Eğitim</w:t>
            </w:r>
          </w:p>
        </w:tc>
        <w:tc>
          <w:tcPr>
            <w:tcW w:w="1232" w:type="dxa"/>
            <w:tcBorders>
              <w:top w:val="nil"/>
              <w:left w:val="nil"/>
              <w:bottom w:val="nil"/>
              <w:right w:val="nil"/>
            </w:tcBorders>
            <w:shd w:val="clear" w:color="auto" w:fill="auto"/>
            <w:noWrap/>
            <w:vAlign w:val="bottom"/>
            <w:hideMark/>
          </w:tcPr>
          <w:p w:rsidR="00C26450" w:rsidRPr="000517E5" w:rsidRDefault="00C26450" w:rsidP="00337C90">
            <w:pPr>
              <w:spacing w:after="0" w:line="240" w:lineRule="auto"/>
              <w:jc w:val="center"/>
              <w:rPr>
                <w:rFonts w:eastAsia="Times New Roman" w:cstheme="minorHAnsi"/>
                <w:color w:val="000000"/>
                <w:lang w:eastAsia="en-GB"/>
              </w:rPr>
            </w:pPr>
            <w:r w:rsidRPr="000517E5">
              <w:rPr>
                <w:rFonts w:eastAsia="Times New Roman" w:cstheme="minorHAnsi"/>
                <w:color w:val="000000"/>
                <w:lang w:eastAsia="en-GB"/>
              </w:rPr>
              <w:t>0,26</w:t>
            </w:r>
          </w:p>
        </w:tc>
        <w:tc>
          <w:tcPr>
            <w:tcW w:w="1232" w:type="dxa"/>
            <w:tcBorders>
              <w:top w:val="nil"/>
              <w:left w:val="nil"/>
              <w:bottom w:val="nil"/>
              <w:right w:val="nil"/>
            </w:tcBorders>
            <w:shd w:val="clear" w:color="auto" w:fill="auto"/>
            <w:noWrap/>
            <w:vAlign w:val="bottom"/>
            <w:hideMark/>
          </w:tcPr>
          <w:p w:rsidR="00C26450" w:rsidRPr="000517E5" w:rsidRDefault="00C26450" w:rsidP="00337C90">
            <w:pPr>
              <w:spacing w:after="0" w:line="240" w:lineRule="auto"/>
              <w:jc w:val="center"/>
              <w:rPr>
                <w:rFonts w:eastAsia="Times New Roman" w:cstheme="minorHAnsi"/>
                <w:color w:val="000000"/>
                <w:lang w:eastAsia="en-GB"/>
              </w:rPr>
            </w:pPr>
            <w:r w:rsidRPr="000517E5">
              <w:rPr>
                <w:rFonts w:eastAsia="Times New Roman" w:cstheme="minorHAnsi"/>
                <w:color w:val="000000"/>
                <w:lang w:eastAsia="en-GB"/>
              </w:rPr>
              <w:t>4,44</w:t>
            </w:r>
          </w:p>
        </w:tc>
        <w:tc>
          <w:tcPr>
            <w:tcW w:w="960" w:type="dxa"/>
            <w:tcBorders>
              <w:top w:val="nil"/>
              <w:left w:val="nil"/>
              <w:bottom w:val="nil"/>
              <w:right w:val="nil"/>
            </w:tcBorders>
            <w:shd w:val="clear" w:color="auto" w:fill="auto"/>
            <w:noWrap/>
            <w:vAlign w:val="bottom"/>
            <w:hideMark/>
          </w:tcPr>
          <w:p w:rsidR="00C26450" w:rsidRPr="000517E5" w:rsidRDefault="00C26450" w:rsidP="00337C90">
            <w:pPr>
              <w:spacing w:after="0" w:line="240" w:lineRule="auto"/>
              <w:jc w:val="center"/>
              <w:rPr>
                <w:rFonts w:eastAsia="Times New Roman" w:cstheme="minorHAnsi"/>
                <w:lang w:eastAsia="en-GB"/>
              </w:rPr>
            </w:pPr>
            <w:r w:rsidRPr="000517E5">
              <w:rPr>
                <w:rFonts w:eastAsia="Times New Roman" w:cstheme="minorHAnsi"/>
                <w:lang w:eastAsia="en-GB"/>
              </w:rPr>
              <w:t>-4,17</w:t>
            </w:r>
          </w:p>
        </w:tc>
      </w:tr>
      <w:tr w:rsidR="00C26450" w:rsidRPr="000517E5" w:rsidTr="00337C90">
        <w:trPr>
          <w:trHeight w:val="20"/>
        </w:trPr>
        <w:tc>
          <w:tcPr>
            <w:tcW w:w="5100" w:type="dxa"/>
            <w:tcBorders>
              <w:top w:val="nil"/>
              <w:left w:val="nil"/>
              <w:bottom w:val="nil"/>
              <w:right w:val="nil"/>
            </w:tcBorders>
            <w:shd w:val="clear" w:color="auto" w:fill="auto"/>
            <w:noWrap/>
            <w:vAlign w:val="center"/>
            <w:hideMark/>
          </w:tcPr>
          <w:p w:rsidR="00C26450" w:rsidRPr="000517E5" w:rsidRDefault="00C26450" w:rsidP="00337C90">
            <w:pPr>
              <w:spacing w:after="0" w:line="240" w:lineRule="auto"/>
              <w:rPr>
                <w:rFonts w:eastAsia="Times New Roman" w:cstheme="minorHAnsi"/>
                <w:color w:val="000000"/>
                <w:szCs w:val="20"/>
                <w:lang w:eastAsia="en-GB"/>
              </w:rPr>
            </w:pPr>
            <w:r w:rsidRPr="000517E5">
              <w:rPr>
                <w:rFonts w:eastAsia="Times New Roman" w:cstheme="minorHAnsi"/>
                <w:color w:val="000000"/>
                <w:szCs w:val="20"/>
                <w:lang w:eastAsia="en-GB"/>
              </w:rPr>
              <w:t>(5) Mobilya, ev aletleri ve ev bakim hizmetleri</w:t>
            </w:r>
          </w:p>
        </w:tc>
        <w:tc>
          <w:tcPr>
            <w:tcW w:w="1232" w:type="dxa"/>
            <w:tcBorders>
              <w:top w:val="nil"/>
              <w:left w:val="nil"/>
              <w:bottom w:val="nil"/>
              <w:right w:val="nil"/>
            </w:tcBorders>
            <w:shd w:val="clear" w:color="auto" w:fill="auto"/>
            <w:noWrap/>
            <w:vAlign w:val="bottom"/>
            <w:hideMark/>
          </w:tcPr>
          <w:p w:rsidR="00C26450" w:rsidRPr="000517E5" w:rsidRDefault="00C26450" w:rsidP="00337C90">
            <w:pPr>
              <w:spacing w:after="0" w:line="240" w:lineRule="auto"/>
              <w:jc w:val="center"/>
              <w:rPr>
                <w:rFonts w:eastAsia="Times New Roman" w:cstheme="minorHAnsi"/>
                <w:color w:val="000000"/>
                <w:lang w:eastAsia="en-GB"/>
              </w:rPr>
            </w:pPr>
            <w:r w:rsidRPr="000517E5">
              <w:rPr>
                <w:rFonts w:eastAsia="Times New Roman" w:cstheme="minorHAnsi"/>
                <w:color w:val="000000"/>
                <w:lang w:eastAsia="en-GB"/>
              </w:rPr>
              <w:t>4,57</w:t>
            </w:r>
          </w:p>
        </w:tc>
        <w:tc>
          <w:tcPr>
            <w:tcW w:w="1232" w:type="dxa"/>
            <w:tcBorders>
              <w:top w:val="nil"/>
              <w:left w:val="nil"/>
              <w:bottom w:val="nil"/>
              <w:right w:val="nil"/>
            </w:tcBorders>
            <w:shd w:val="clear" w:color="auto" w:fill="auto"/>
            <w:noWrap/>
            <w:vAlign w:val="bottom"/>
            <w:hideMark/>
          </w:tcPr>
          <w:p w:rsidR="00C26450" w:rsidRPr="000517E5" w:rsidRDefault="00C26450" w:rsidP="00337C90">
            <w:pPr>
              <w:spacing w:after="0" w:line="240" w:lineRule="auto"/>
              <w:jc w:val="center"/>
              <w:rPr>
                <w:rFonts w:eastAsia="Times New Roman" w:cstheme="minorHAnsi"/>
                <w:color w:val="000000"/>
                <w:lang w:eastAsia="en-GB"/>
              </w:rPr>
            </w:pPr>
            <w:r w:rsidRPr="000517E5">
              <w:rPr>
                <w:rFonts w:eastAsia="Times New Roman" w:cstheme="minorHAnsi"/>
                <w:color w:val="000000"/>
                <w:lang w:eastAsia="en-GB"/>
              </w:rPr>
              <w:t>7,41</w:t>
            </w:r>
          </w:p>
        </w:tc>
        <w:tc>
          <w:tcPr>
            <w:tcW w:w="960" w:type="dxa"/>
            <w:tcBorders>
              <w:top w:val="nil"/>
              <w:left w:val="nil"/>
              <w:bottom w:val="nil"/>
              <w:right w:val="nil"/>
            </w:tcBorders>
            <w:shd w:val="clear" w:color="auto" w:fill="auto"/>
            <w:noWrap/>
            <w:vAlign w:val="bottom"/>
            <w:hideMark/>
          </w:tcPr>
          <w:p w:rsidR="00C26450" w:rsidRPr="000517E5" w:rsidRDefault="00C26450" w:rsidP="00337C90">
            <w:pPr>
              <w:spacing w:after="0" w:line="240" w:lineRule="auto"/>
              <w:jc w:val="center"/>
              <w:rPr>
                <w:rFonts w:eastAsia="Times New Roman" w:cstheme="minorHAnsi"/>
                <w:lang w:eastAsia="en-GB"/>
              </w:rPr>
            </w:pPr>
            <w:r w:rsidRPr="000517E5">
              <w:rPr>
                <w:rFonts w:eastAsia="Times New Roman" w:cstheme="minorHAnsi"/>
                <w:lang w:eastAsia="en-GB"/>
              </w:rPr>
              <w:t>-2,84</w:t>
            </w:r>
          </w:p>
        </w:tc>
      </w:tr>
      <w:tr w:rsidR="00C26450" w:rsidRPr="000517E5" w:rsidTr="00337C90">
        <w:trPr>
          <w:trHeight w:val="20"/>
        </w:trPr>
        <w:tc>
          <w:tcPr>
            <w:tcW w:w="5100" w:type="dxa"/>
            <w:tcBorders>
              <w:top w:val="nil"/>
              <w:left w:val="nil"/>
              <w:bottom w:val="nil"/>
              <w:right w:val="nil"/>
            </w:tcBorders>
            <w:shd w:val="clear" w:color="auto" w:fill="auto"/>
            <w:noWrap/>
            <w:vAlign w:val="center"/>
            <w:hideMark/>
          </w:tcPr>
          <w:p w:rsidR="00C26450" w:rsidRPr="000517E5" w:rsidRDefault="00C26450" w:rsidP="00337C90">
            <w:pPr>
              <w:spacing w:after="0" w:line="240" w:lineRule="auto"/>
              <w:rPr>
                <w:rFonts w:eastAsia="Times New Roman" w:cstheme="minorHAnsi"/>
                <w:color w:val="000000"/>
                <w:szCs w:val="20"/>
                <w:lang w:eastAsia="en-GB"/>
              </w:rPr>
            </w:pPr>
            <w:r w:rsidRPr="000517E5">
              <w:rPr>
                <w:rFonts w:eastAsia="Times New Roman" w:cstheme="minorHAnsi"/>
                <w:color w:val="000000"/>
                <w:szCs w:val="20"/>
                <w:lang w:eastAsia="en-GB"/>
              </w:rPr>
              <w:t>(6) Eğlence ve kültür</w:t>
            </w:r>
          </w:p>
        </w:tc>
        <w:tc>
          <w:tcPr>
            <w:tcW w:w="1232" w:type="dxa"/>
            <w:tcBorders>
              <w:top w:val="nil"/>
              <w:left w:val="nil"/>
              <w:bottom w:val="nil"/>
              <w:right w:val="nil"/>
            </w:tcBorders>
            <w:shd w:val="clear" w:color="auto" w:fill="auto"/>
            <w:noWrap/>
            <w:vAlign w:val="bottom"/>
            <w:hideMark/>
          </w:tcPr>
          <w:p w:rsidR="00C26450" w:rsidRPr="000517E5" w:rsidRDefault="00C26450" w:rsidP="00337C90">
            <w:pPr>
              <w:spacing w:after="0" w:line="240" w:lineRule="auto"/>
              <w:jc w:val="center"/>
              <w:rPr>
                <w:rFonts w:eastAsia="Times New Roman" w:cstheme="minorHAnsi"/>
                <w:color w:val="000000"/>
                <w:lang w:eastAsia="en-GB"/>
              </w:rPr>
            </w:pPr>
            <w:r w:rsidRPr="000517E5">
              <w:rPr>
                <w:rFonts w:eastAsia="Times New Roman" w:cstheme="minorHAnsi"/>
                <w:color w:val="000000"/>
                <w:lang w:eastAsia="en-GB"/>
              </w:rPr>
              <w:t>1,02</w:t>
            </w:r>
          </w:p>
        </w:tc>
        <w:tc>
          <w:tcPr>
            <w:tcW w:w="1232" w:type="dxa"/>
            <w:tcBorders>
              <w:top w:val="nil"/>
              <w:left w:val="nil"/>
              <w:bottom w:val="nil"/>
              <w:right w:val="nil"/>
            </w:tcBorders>
            <w:shd w:val="clear" w:color="auto" w:fill="auto"/>
            <w:noWrap/>
            <w:vAlign w:val="bottom"/>
            <w:hideMark/>
          </w:tcPr>
          <w:p w:rsidR="00C26450" w:rsidRPr="000517E5" w:rsidRDefault="00C26450" w:rsidP="00337C90">
            <w:pPr>
              <w:spacing w:after="0" w:line="240" w:lineRule="auto"/>
              <w:jc w:val="center"/>
              <w:rPr>
                <w:rFonts w:eastAsia="Times New Roman" w:cstheme="minorHAnsi"/>
                <w:color w:val="000000"/>
                <w:lang w:eastAsia="en-GB"/>
              </w:rPr>
            </w:pPr>
            <w:r w:rsidRPr="000517E5">
              <w:rPr>
                <w:rFonts w:eastAsia="Times New Roman" w:cstheme="minorHAnsi"/>
                <w:color w:val="000000"/>
                <w:lang w:eastAsia="en-GB"/>
              </w:rPr>
              <w:t>3,00</w:t>
            </w:r>
          </w:p>
        </w:tc>
        <w:tc>
          <w:tcPr>
            <w:tcW w:w="960" w:type="dxa"/>
            <w:tcBorders>
              <w:top w:val="nil"/>
              <w:left w:val="nil"/>
              <w:bottom w:val="nil"/>
              <w:right w:val="nil"/>
            </w:tcBorders>
            <w:shd w:val="clear" w:color="auto" w:fill="auto"/>
            <w:noWrap/>
            <w:vAlign w:val="bottom"/>
            <w:hideMark/>
          </w:tcPr>
          <w:p w:rsidR="00C26450" w:rsidRPr="000517E5" w:rsidRDefault="00C26450" w:rsidP="00337C90">
            <w:pPr>
              <w:spacing w:after="0" w:line="240" w:lineRule="auto"/>
              <w:jc w:val="center"/>
              <w:rPr>
                <w:rFonts w:eastAsia="Times New Roman" w:cstheme="minorHAnsi"/>
                <w:lang w:eastAsia="en-GB"/>
              </w:rPr>
            </w:pPr>
            <w:r w:rsidRPr="000517E5">
              <w:rPr>
                <w:rFonts w:eastAsia="Times New Roman" w:cstheme="minorHAnsi"/>
                <w:lang w:eastAsia="en-GB"/>
              </w:rPr>
              <w:t>-1,97</w:t>
            </w:r>
          </w:p>
        </w:tc>
      </w:tr>
      <w:tr w:rsidR="00C26450" w:rsidRPr="000517E5" w:rsidTr="00337C90">
        <w:trPr>
          <w:trHeight w:val="20"/>
        </w:trPr>
        <w:tc>
          <w:tcPr>
            <w:tcW w:w="5100" w:type="dxa"/>
            <w:tcBorders>
              <w:top w:val="nil"/>
              <w:left w:val="nil"/>
              <w:bottom w:val="nil"/>
              <w:right w:val="nil"/>
            </w:tcBorders>
            <w:shd w:val="clear" w:color="auto" w:fill="auto"/>
            <w:noWrap/>
            <w:vAlign w:val="center"/>
            <w:hideMark/>
          </w:tcPr>
          <w:p w:rsidR="00C26450" w:rsidRPr="000517E5" w:rsidRDefault="00C26450" w:rsidP="00337C90">
            <w:pPr>
              <w:spacing w:after="0" w:line="240" w:lineRule="auto"/>
              <w:rPr>
                <w:rFonts w:eastAsia="Times New Roman" w:cstheme="minorHAnsi"/>
                <w:color w:val="000000"/>
                <w:szCs w:val="20"/>
                <w:lang w:eastAsia="en-GB"/>
              </w:rPr>
            </w:pPr>
            <w:r w:rsidRPr="000517E5">
              <w:rPr>
                <w:rFonts w:eastAsia="Times New Roman" w:cstheme="minorHAnsi"/>
                <w:color w:val="000000"/>
                <w:szCs w:val="20"/>
                <w:lang w:eastAsia="en-GB"/>
              </w:rPr>
              <w:t>(7) Giyim ve ayakkabı</w:t>
            </w:r>
          </w:p>
        </w:tc>
        <w:tc>
          <w:tcPr>
            <w:tcW w:w="1232" w:type="dxa"/>
            <w:tcBorders>
              <w:top w:val="nil"/>
              <w:left w:val="nil"/>
              <w:bottom w:val="nil"/>
              <w:right w:val="nil"/>
            </w:tcBorders>
            <w:shd w:val="clear" w:color="auto" w:fill="auto"/>
            <w:noWrap/>
            <w:vAlign w:val="bottom"/>
            <w:hideMark/>
          </w:tcPr>
          <w:p w:rsidR="00C26450" w:rsidRPr="000517E5" w:rsidRDefault="00C26450" w:rsidP="00337C90">
            <w:pPr>
              <w:spacing w:after="0" w:line="240" w:lineRule="auto"/>
              <w:jc w:val="center"/>
              <w:rPr>
                <w:rFonts w:eastAsia="Times New Roman" w:cstheme="minorHAnsi"/>
                <w:color w:val="000000"/>
                <w:lang w:eastAsia="en-GB"/>
              </w:rPr>
            </w:pPr>
            <w:r w:rsidRPr="000517E5">
              <w:rPr>
                <w:rFonts w:eastAsia="Times New Roman" w:cstheme="minorHAnsi"/>
                <w:color w:val="000000"/>
                <w:lang w:eastAsia="en-GB"/>
              </w:rPr>
              <w:t>2,07</w:t>
            </w:r>
          </w:p>
        </w:tc>
        <w:tc>
          <w:tcPr>
            <w:tcW w:w="1232" w:type="dxa"/>
            <w:tcBorders>
              <w:top w:val="nil"/>
              <w:left w:val="nil"/>
              <w:bottom w:val="nil"/>
              <w:right w:val="nil"/>
            </w:tcBorders>
            <w:shd w:val="clear" w:color="auto" w:fill="auto"/>
            <w:noWrap/>
            <w:vAlign w:val="bottom"/>
            <w:hideMark/>
          </w:tcPr>
          <w:p w:rsidR="00C26450" w:rsidRPr="000517E5" w:rsidRDefault="00C26450" w:rsidP="00337C90">
            <w:pPr>
              <w:spacing w:after="0" w:line="240" w:lineRule="auto"/>
              <w:jc w:val="center"/>
              <w:rPr>
                <w:rFonts w:eastAsia="Times New Roman" w:cstheme="minorHAnsi"/>
                <w:color w:val="000000"/>
                <w:lang w:eastAsia="en-GB"/>
              </w:rPr>
            </w:pPr>
            <w:r w:rsidRPr="000517E5">
              <w:rPr>
                <w:rFonts w:eastAsia="Times New Roman" w:cstheme="minorHAnsi"/>
                <w:color w:val="000000"/>
                <w:lang w:eastAsia="en-GB"/>
              </w:rPr>
              <w:t>4,02</w:t>
            </w:r>
          </w:p>
        </w:tc>
        <w:tc>
          <w:tcPr>
            <w:tcW w:w="960" w:type="dxa"/>
            <w:tcBorders>
              <w:top w:val="nil"/>
              <w:left w:val="nil"/>
              <w:bottom w:val="nil"/>
              <w:right w:val="nil"/>
            </w:tcBorders>
            <w:shd w:val="clear" w:color="auto" w:fill="auto"/>
            <w:noWrap/>
            <w:vAlign w:val="bottom"/>
            <w:hideMark/>
          </w:tcPr>
          <w:p w:rsidR="00C26450" w:rsidRPr="000517E5" w:rsidRDefault="00C26450" w:rsidP="00337C90">
            <w:pPr>
              <w:spacing w:after="0" w:line="240" w:lineRule="auto"/>
              <w:jc w:val="center"/>
              <w:rPr>
                <w:rFonts w:eastAsia="Times New Roman" w:cstheme="minorHAnsi"/>
                <w:lang w:eastAsia="en-GB"/>
              </w:rPr>
            </w:pPr>
            <w:r w:rsidRPr="000517E5">
              <w:rPr>
                <w:rFonts w:eastAsia="Times New Roman" w:cstheme="minorHAnsi"/>
                <w:lang w:eastAsia="en-GB"/>
              </w:rPr>
              <w:t>-1,95</w:t>
            </w:r>
          </w:p>
        </w:tc>
      </w:tr>
      <w:tr w:rsidR="00C26450" w:rsidRPr="000517E5" w:rsidTr="00337C90">
        <w:trPr>
          <w:trHeight w:val="20"/>
        </w:trPr>
        <w:tc>
          <w:tcPr>
            <w:tcW w:w="5100" w:type="dxa"/>
            <w:tcBorders>
              <w:top w:val="nil"/>
              <w:left w:val="nil"/>
              <w:bottom w:val="nil"/>
              <w:right w:val="nil"/>
            </w:tcBorders>
            <w:shd w:val="clear" w:color="auto" w:fill="auto"/>
            <w:noWrap/>
            <w:vAlign w:val="center"/>
            <w:hideMark/>
          </w:tcPr>
          <w:p w:rsidR="00C26450" w:rsidRPr="000517E5" w:rsidRDefault="00C26450" w:rsidP="00337C90">
            <w:pPr>
              <w:spacing w:after="0" w:line="240" w:lineRule="auto"/>
              <w:rPr>
                <w:rFonts w:eastAsia="Times New Roman" w:cstheme="minorHAnsi"/>
                <w:color w:val="000000"/>
                <w:szCs w:val="20"/>
                <w:lang w:eastAsia="en-GB"/>
              </w:rPr>
            </w:pPr>
            <w:r w:rsidRPr="000517E5">
              <w:rPr>
                <w:rFonts w:eastAsia="Times New Roman" w:cstheme="minorHAnsi"/>
                <w:color w:val="000000"/>
                <w:szCs w:val="20"/>
                <w:lang w:eastAsia="en-GB"/>
              </w:rPr>
              <w:t>(8) Haberleşme</w:t>
            </w:r>
          </w:p>
        </w:tc>
        <w:tc>
          <w:tcPr>
            <w:tcW w:w="1232" w:type="dxa"/>
            <w:tcBorders>
              <w:top w:val="nil"/>
              <w:left w:val="nil"/>
              <w:bottom w:val="nil"/>
              <w:right w:val="nil"/>
            </w:tcBorders>
            <w:shd w:val="clear" w:color="auto" w:fill="auto"/>
            <w:noWrap/>
            <w:vAlign w:val="bottom"/>
            <w:hideMark/>
          </w:tcPr>
          <w:p w:rsidR="00C26450" w:rsidRPr="000517E5" w:rsidRDefault="00C26450" w:rsidP="00337C90">
            <w:pPr>
              <w:spacing w:after="0" w:line="240" w:lineRule="auto"/>
              <w:jc w:val="center"/>
              <w:rPr>
                <w:rFonts w:eastAsia="Times New Roman" w:cstheme="minorHAnsi"/>
                <w:color w:val="000000"/>
                <w:lang w:eastAsia="en-GB"/>
              </w:rPr>
            </w:pPr>
            <w:r w:rsidRPr="000517E5">
              <w:rPr>
                <w:rFonts w:eastAsia="Times New Roman" w:cstheme="minorHAnsi"/>
                <w:color w:val="000000"/>
                <w:lang w:eastAsia="en-GB"/>
              </w:rPr>
              <w:t>1,18</w:t>
            </w:r>
          </w:p>
        </w:tc>
        <w:tc>
          <w:tcPr>
            <w:tcW w:w="1232" w:type="dxa"/>
            <w:tcBorders>
              <w:top w:val="nil"/>
              <w:left w:val="nil"/>
              <w:bottom w:val="nil"/>
              <w:right w:val="nil"/>
            </w:tcBorders>
            <w:shd w:val="clear" w:color="auto" w:fill="auto"/>
            <w:noWrap/>
            <w:vAlign w:val="bottom"/>
            <w:hideMark/>
          </w:tcPr>
          <w:p w:rsidR="00C26450" w:rsidRPr="000517E5" w:rsidRDefault="00C26450" w:rsidP="00337C90">
            <w:pPr>
              <w:spacing w:after="0" w:line="240" w:lineRule="auto"/>
              <w:jc w:val="center"/>
              <w:rPr>
                <w:rFonts w:eastAsia="Times New Roman" w:cstheme="minorHAnsi"/>
                <w:color w:val="000000"/>
                <w:lang w:eastAsia="en-GB"/>
              </w:rPr>
            </w:pPr>
            <w:r w:rsidRPr="000517E5">
              <w:rPr>
                <w:rFonts w:eastAsia="Times New Roman" w:cstheme="minorHAnsi"/>
                <w:color w:val="000000"/>
                <w:lang w:eastAsia="en-GB"/>
              </w:rPr>
              <w:t>1,49</w:t>
            </w:r>
          </w:p>
        </w:tc>
        <w:tc>
          <w:tcPr>
            <w:tcW w:w="960" w:type="dxa"/>
            <w:tcBorders>
              <w:top w:val="nil"/>
              <w:left w:val="nil"/>
              <w:bottom w:val="nil"/>
              <w:right w:val="nil"/>
            </w:tcBorders>
            <w:shd w:val="clear" w:color="auto" w:fill="auto"/>
            <w:noWrap/>
            <w:vAlign w:val="bottom"/>
            <w:hideMark/>
          </w:tcPr>
          <w:p w:rsidR="00C26450" w:rsidRPr="000517E5" w:rsidRDefault="00C26450" w:rsidP="00337C90">
            <w:pPr>
              <w:spacing w:after="0" w:line="240" w:lineRule="auto"/>
              <w:jc w:val="center"/>
              <w:rPr>
                <w:rFonts w:eastAsia="Times New Roman" w:cstheme="minorHAnsi"/>
                <w:lang w:eastAsia="en-GB"/>
              </w:rPr>
            </w:pPr>
            <w:r w:rsidRPr="000517E5">
              <w:rPr>
                <w:rFonts w:eastAsia="Times New Roman" w:cstheme="minorHAnsi"/>
                <w:lang w:eastAsia="en-GB"/>
              </w:rPr>
              <w:t>-0,30</w:t>
            </w:r>
          </w:p>
        </w:tc>
      </w:tr>
      <w:tr w:rsidR="00C26450" w:rsidRPr="000517E5" w:rsidTr="00337C90">
        <w:trPr>
          <w:trHeight w:val="20"/>
        </w:trPr>
        <w:tc>
          <w:tcPr>
            <w:tcW w:w="5100" w:type="dxa"/>
            <w:tcBorders>
              <w:top w:val="nil"/>
              <w:left w:val="nil"/>
              <w:bottom w:val="nil"/>
              <w:right w:val="nil"/>
            </w:tcBorders>
            <w:shd w:val="clear" w:color="auto" w:fill="auto"/>
            <w:noWrap/>
            <w:vAlign w:val="center"/>
            <w:hideMark/>
          </w:tcPr>
          <w:p w:rsidR="00C26450" w:rsidRPr="000517E5" w:rsidRDefault="00C26450" w:rsidP="00337C90">
            <w:pPr>
              <w:spacing w:after="0" w:line="240" w:lineRule="auto"/>
              <w:rPr>
                <w:rFonts w:eastAsia="Times New Roman" w:cstheme="minorHAnsi"/>
                <w:color w:val="000000"/>
                <w:szCs w:val="20"/>
                <w:lang w:eastAsia="en-GB"/>
              </w:rPr>
            </w:pPr>
            <w:r w:rsidRPr="000517E5">
              <w:rPr>
                <w:rFonts w:eastAsia="Times New Roman" w:cstheme="minorHAnsi"/>
                <w:color w:val="000000"/>
                <w:szCs w:val="20"/>
                <w:lang w:eastAsia="en-GB"/>
              </w:rPr>
              <w:t>(9) Sağlık</w:t>
            </w:r>
          </w:p>
        </w:tc>
        <w:tc>
          <w:tcPr>
            <w:tcW w:w="1232" w:type="dxa"/>
            <w:tcBorders>
              <w:top w:val="nil"/>
              <w:left w:val="nil"/>
              <w:bottom w:val="nil"/>
              <w:right w:val="nil"/>
            </w:tcBorders>
            <w:shd w:val="clear" w:color="auto" w:fill="auto"/>
            <w:noWrap/>
            <w:vAlign w:val="bottom"/>
            <w:hideMark/>
          </w:tcPr>
          <w:p w:rsidR="00C26450" w:rsidRPr="000517E5" w:rsidRDefault="00C26450" w:rsidP="00337C90">
            <w:pPr>
              <w:spacing w:after="0" w:line="240" w:lineRule="auto"/>
              <w:jc w:val="center"/>
              <w:rPr>
                <w:rFonts w:eastAsia="Times New Roman" w:cstheme="minorHAnsi"/>
                <w:color w:val="000000"/>
                <w:lang w:eastAsia="en-GB"/>
              </w:rPr>
            </w:pPr>
            <w:r w:rsidRPr="000517E5">
              <w:rPr>
                <w:rFonts w:eastAsia="Times New Roman" w:cstheme="minorHAnsi"/>
                <w:color w:val="000000"/>
                <w:lang w:eastAsia="en-GB"/>
              </w:rPr>
              <w:t>1,40</w:t>
            </w:r>
          </w:p>
        </w:tc>
        <w:tc>
          <w:tcPr>
            <w:tcW w:w="1232" w:type="dxa"/>
            <w:tcBorders>
              <w:top w:val="nil"/>
              <w:left w:val="nil"/>
              <w:bottom w:val="nil"/>
              <w:right w:val="nil"/>
            </w:tcBorders>
            <w:shd w:val="clear" w:color="auto" w:fill="auto"/>
            <w:noWrap/>
            <w:vAlign w:val="bottom"/>
            <w:hideMark/>
          </w:tcPr>
          <w:p w:rsidR="00C26450" w:rsidRPr="000517E5" w:rsidRDefault="00C26450" w:rsidP="00337C90">
            <w:pPr>
              <w:spacing w:after="0" w:line="240" w:lineRule="auto"/>
              <w:jc w:val="center"/>
              <w:rPr>
                <w:rFonts w:eastAsia="Times New Roman" w:cstheme="minorHAnsi"/>
                <w:color w:val="000000"/>
                <w:lang w:eastAsia="en-GB"/>
              </w:rPr>
            </w:pPr>
            <w:r w:rsidRPr="000517E5">
              <w:rPr>
                <w:rFonts w:eastAsia="Times New Roman" w:cstheme="minorHAnsi"/>
                <w:color w:val="000000"/>
                <w:lang w:eastAsia="en-GB"/>
              </w:rPr>
              <w:t>1,69</w:t>
            </w:r>
          </w:p>
        </w:tc>
        <w:tc>
          <w:tcPr>
            <w:tcW w:w="960" w:type="dxa"/>
            <w:tcBorders>
              <w:top w:val="nil"/>
              <w:left w:val="nil"/>
              <w:bottom w:val="nil"/>
              <w:right w:val="nil"/>
            </w:tcBorders>
            <w:shd w:val="clear" w:color="auto" w:fill="auto"/>
            <w:noWrap/>
            <w:vAlign w:val="bottom"/>
            <w:hideMark/>
          </w:tcPr>
          <w:p w:rsidR="00C26450" w:rsidRPr="000517E5" w:rsidRDefault="00C26450" w:rsidP="00337C90">
            <w:pPr>
              <w:spacing w:after="0" w:line="240" w:lineRule="auto"/>
              <w:jc w:val="center"/>
              <w:rPr>
                <w:rFonts w:eastAsia="Times New Roman" w:cstheme="minorHAnsi"/>
                <w:lang w:eastAsia="en-GB"/>
              </w:rPr>
            </w:pPr>
            <w:r w:rsidRPr="000517E5">
              <w:rPr>
                <w:rFonts w:eastAsia="Times New Roman" w:cstheme="minorHAnsi"/>
                <w:lang w:eastAsia="en-GB"/>
              </w:rPr>
              <w:t>-0,29</w:t>
            </w:r>
          </w:p>
        </w:tc>
      </w:tr>
      <w:tr w:rsidR="00C26450" w:rsidRPr="000517E5" w:rsidTr="00337C90">
        <w:trPr>
          <w:trHeight w:val="20"/>
        </w:trPr>
        <w:tc>
          <w:tcPr>
            <w:tcW w:w="5100" w:type="dxa"/>
            <w:tcBorders>
              <w:top w:val="nil"/>
              <w:left w:val="nil"/>
              <w:bottom w:val="nil"/>
              <w:right w:val="nil"/>
            </w:tcBorders>
            <w:shd w:val="clear" w:color="auto" w:fill="auto"/>
            <w:noWrap/>
            <w:vAlign w:val="center"/>
            <w:hideMark/>
          </w:tcPr>
          <w:p w:rsidR="00C26450" w:rsidRPr="000517E5" w:rsidRDefault="00C26450" w:rsidP="00337C90">
            <w:pPr>
              <w:spacing w:after="0" w:line="240" w:lineRule="auto"/>
              <w:rPr>
                <w:rFonts w:eastAsia="Times New Roman" w:cstheme="minorHAnsi"/>
                <w:color w:val="000000"/>
                <w:szCs w:val="20"/>
                <w:lang w:eastAsia="en-GB"/>
              </w:rPr>
            </w:pPr>
            <w:r w:rsidRPr="000517E5">
              <w:rPr>
                <w:rFonts w:eastAsia="Times New Roman" w:cstheme="minorHAnsi"/>
                <w:color w:val="000000"/>
                <w:szCs w:val="20"/>
                <w:lang w:eastAsia="en-GB"/>
              </w:rPr>
              <w:t>(10) Alkollü içecekler ve tütün</w:t>
            </w:r>
          </w:p>
        </w:tc>
        <w:tc>
          <w:tcPr>
            <w:tcW w:w="1232" w:type="dxa"/>
            <w:tcBorders>
              <w:top w:val="nil"/>
              <w:left w:val="nil"/>
              <w:bottom w:val="nil"/>
              <w:right w:val="nil"/>
            </w:tcBorders>
            <w:shd w:val="clear" w:color="auto" w:fill="auto"/>
            <w:noWrap/>
            <w:vAlign w:val="bottom"/>
            <w:hideMark/>
          </w:tcPr>
          <w:p w:rsidR="00C26450" w:rsidRPr="000517E5" w:rsidRDefault="00C26450" w:rsidP="00337C90">
            <w:pPr>
              <w:spacing w:after="0" w:line="240" w:lineRule="auto"/>
              <w:jc w:val="center"/>
              <w:rPr>
                <w:rFonts w:eastAsia="Times New Roman" w:cstheme="minorHAnsi"/>
                <w:color w:val="000000"/>
                <w:lang w:eastAsia="en-GB"/>
              </w:rPr>
            </w:pPr>
            <w:r w:rsidRPr="000517E5">
              <w:rPr>
                <w:rFonts w:eastAsia="Times New Roman" w:cstheme="minorHAnsi"/>
                <w:color w:val="000000"/>
                <w:lang w:eastAsia="en-GB"/>
              </w:rPr>
              <w:t>9,35</w:t>
            </w:r>
          </w:p>
        </w:tc>
        <w:tc>
          <w:tcPr>
            <w:tcW w:w="1232" w:type="dxa"/>
            <w:tcBorders>
              <w:top w:val="nil"/>
              <w:left w:val="nil"/>
              <w:bottom w:val="nil"/>
              <w:right w:val="nil"/>
            </w:tcBorders>
            <w:shd w:val="clear" w:color="auto" w:fill="auto"/>
            <w:noWrap/>
            <w:vAlign w:val="bottom"/>
            <w:hideMark/>
          </w:tcPr>
          <w:p w:rsidR="00C26450" w:rsidRPr="000517E5" w:rsidRDefault="00C26450" w:rsidP="00337C90">
            <w:pPr>
              <w:spacing w:after="0" w:line="240" w:lineRule="auto"/>
              <w:jc w:val="center"/>
              <w:rPr>
                <w:rFonts w:eastAsia="Times New Roman" w:cstheme="minorHAnsi"/>
                <w:color w:val="000000"/>
                <w:lang w:eastAsia="en-GB"/>
              </w:rPr>
            </w:pPr>
            <w:r w:rsidRPr="000517E5">
              <w:rPr>
                <w:rFonts w:eastAsia="Times New Roman" w:cstheme="minorHAnsi"/>
                <w:color w:val="000000"/>
                <w:lang w:eastAsia="en-GB"/>
              </w:rPr>
              <w:t>6,27</w:t>
            </w:r>
          </w:p>
        </w:tc>
        <w:tc>
          <w:tcPr>
            <w:tcW w:w="960" w:type="dxa"/>
            <w:tcBorders>
              <w:top w:val="nil"/>
              <w:left w:val="nil"/>
              <w:bottom w:val="nil"/>
              <w:right w:val="nil"/>
            </w:tcBorders>
            <w:shd w:val="clear" w:color="auto" w:fill="auto"/>
            <w:noWrap/>
            <w:vAlign w:val="bottom"/>
            <w:hideMark/>
          </w:tcPr>
          <w:p w:rsidR="00C26450" w:rsidRPr="000517E5" w:rsidRDefault="00C26450" w:rsidP="00337C90">
            <w:pPr>
              <w:spacing w:after="0" w:line="240" w:lineRule="auto"/>
              <w:jc w:val="center"/>
              <w:rPr>
                <w:rFonts w:eastAsia="Times New Roman" w:cstheme="minorHAnsi"/>
                <w:color w:val="000000"/>
                <w:lang w:eastAsia="en-GB"/>
              </w:rPr>
            </w:pPr>
            <w:r w:rsidRPr="000517E5">
              <w:rPr>
                <w:rFonts w:eastAsia="Times New Roman" w:cstheme="minorHAnsi"/>
                <w:color w:val="000000"/>
                <w:lang w:eastAsia="en-GB"/>
              </w:rPr>
              <w:t>3,08</w:t>
            </w:r>
          </w:p>
        </w:tc>
      </w:tr>
      <w:tr w:rsidR="00C26450" w:rsidRPr="000517E5" w:rsidTr="00337C90">
        <w:trPr>
          <w:trHeight w:val="20"/>
        </w:trPr>
        <w:tc>
          <w:tcPr>
            <w:tcW w:w="5100" w:type="dxa"/>
            <w:tcBorders>
              <w:top w:val="nil"/>
              <w:left w:val="nil"/>
              <w:bottom w:val="nil"/>
              <w:right w:val="nil"/>
            </w:tcBorders>
            <w:shd w:val="clear" w:color="auto" w:fill="auto"/>
            <w:noWrap/>
            <w:vAlign w:val="center"/>
            <w:hideMark/>
          </w:tcPr>
          <w:p w:rsidR="00C26450" w:rsidRPr="000517E5" w:rsidRDefault="00C26450" w:rsidP="00337C90">
            <w:pPr>
              <w:spacing w:after="0" w:line="240" w:lineRule="auto"/>
              <w:rPr>
                <w:rFonts w:eastAsia="Times New Roman" w:cstheme="minorHAnsi"/>
                <w:color w:val="000000"/>
                <w:szCs w:val="20"/>
                <w:lang w:eastAsia="en-GB"/>
              </w:rPr>
            </w:pPr>
            <w:r w:rsidRPr="000517E5">
              <w:rPr>
                <w:rFonts w:eastAsia="Times New Roman" w:cstheme="minorHAnsi"/>
                <w:color w:val="000000"/>
                <w:szCs w:val="20"/>
                <w:lang w:eastAsia="en-GB"/>
              </w:rPr>
              <w:t>(11) Gıda ve alkolsüz içecekler</w:t>
            </w:r>
          </w:p>
        </w:tc>
        <w:tc>
          <w:tcPr>
            <w:tcW w:w="1232" w:type="dxa"/>
            <w:tcBorders>
              <w:top w:val="nil"/>
              <w:left w:val="nil"/>
              <w:bottom w:val="nil"/>
              <w:right w:val="nil"/>
            </w:tcBorders>
            <w:shd w:val="clear" w:color="auto" w:fill="auto"/>
            <w:noWrap/>
            <w:vAlign w:val="bottom"/>
            <w:hideMark/>
          </w:tcPr>
          <w:p w:rsidR="00C26450" w:rsidRPr="000517E5" w:rsidRDefault="00C26450" w:rsidP="00337C90">
            <w:pPr>
              <w:spacing w:after="0" w:line="240" w:lineRule="auto"/>
              <w:jc w:val="center"/>
              <w:rPr>
                <w:rFonts w:eastAsia="Times New Roman" w:cstheme="minorHAnsi"/>
                <w:color w:val="000000"/>
                <w:lang w:eastAsia="en-GB"/>
              </w:rPr>
            </w:pPr>
            <w:r w:rsidRPr="000517E5">
              <w:rPr>
                <w:rFonts w:eastAsia="Times New Roman" w:cstheme="minorHAnsi"/>
                <w:color w:val="000000"/>
                <w:lang w:eastAsia="en-GB"/>
              </w:rPr>
              <w:t>45,86</w:t>
            </w:r>
          </w:p>
        </w:tc>
        <w:tc>
          <w:tcPr>
            <w:tcW w:w="1232" w:type="dxa"/>
            <w:tcBorders>
              <w:top w:val="nil"/>
              <w:left w:val="nil"/>
              <w:bottom w:val="nil"/>
              <w:right w:val="nil"/>
            </w:tcBorders>
            <w:shd w:val="clear" w:color="auto" w:fill="auto"/>
            <w:noWrap/>
            <w:vAlign w:val="bottom"/>
            <w:hideMark/>
          </w:tcPr>
          <w:p w:rsidR="00C26450" w:rsidRPr="000517E5" w:rsidRDefault="00C26450" w:rsidP="00337C90">
            <w:pPr>
              <w:spacing w:after="0" w:line="240" w:lineRule="auto"/>
              <w:jc w:val="center"/>
              <w:rPr>
                <w:rFonts w:eastAsia="Times New Roman" w:cstheme="minorHAnsi"/>
                <w:color w:val="000000"/>
                <w:lang w:eastAsia="en-GB"/>
              </w:rPr>
            </w:pPr>
            <w:r w:rsidRPr="000517E5">
              <w:rPr>
                <w:rFonts w:eastAsia="Times New Roman" w:cstheme="minorHAnsi"/>
                <w:color w:val="000000"/>
                <w:lang w:eastAsia="en-GB"/>
              </w:rPr>
              <w:t>21,45</w:t>
            </w:r>
          </w:p>
        </w:tc>
        <w:tc>
          <w:tcPr>
            <w:tcW w:w="960" w:type="dxa"/>
            <w:tcBorders>
              <w:top w:val="nil"/>
              <w:left w:val="nil"/>
              <w:bottom w:val="nil"/>
              <w:right w:val="nil"/>
            </w:tcBorders>
            <w:shd w:val="clear" w:color="auto" w:fill="auto"/>
            <w:noWrap/>
            <w:vAlign w:val="bottom"/>
            <w:hideMark/>
          </w:tcPr>
          <w:p w:rsidR="00C26450" w:rsidRPr="000517E5" w:rsidRDefault="00C26450" w:rsidP="00337C90">
            <w:pPr>
              <w:spacing w:after="0" w:line="240" w:lineRule="auto"/>
              <w:jc w:val="center"/>
              <w:rPr>
                <w:rFonts w:eastAsia="Times New Roman" w:cstheme="minorHAnsi"/>
                <w:color w:val="000000"/>
                <w:lang w:eastAsia="en-GB"/>
              </w:rPr>
            </w:pPr>
            <w:r w:rsidRPr="000517E5">
              <w:rPr>
                <w:rFonts w:eastAsia="Times New Roman" w:cstheme="minorHAnsi"/>
                <w:color w:val="000000"/>
                <w:lang w:eastAsia="en-GB"/>
              </w:rPr>
              <w:t>24,41</w:t>
            </w:r>
          </w:p>
        </w:tc>
      </w:tr>
      <w:tr w:rsidR="00C26450" w:rsidRPr="000517E5" w:rsidTr="00337C90">
        <w:trPr>
          <w:trHeight w:val="20"/>
        </w:trPr>
        <w:tc>
          <w:tcPr>
            <w:tcW w:w="5100" w:type="dxa"/>
            <w:tcBorders>
              <w:top w:val="nil"/>
              <w:left w:val="nil"/>
              <w:bottom w:val="single" w:sz="4" w:space="0" w:color="auto"/>
              <w:right w:val="nil"/>
            </w:tcBorders>
            <w:shd w:val="clear" w:color="auto" w:fill="auto"/>
            <w:noWrap/>
            <w:vAlign w:val="center"/>
            <w:hideMark/>
          </w:tcPr>
          <w:p w:rsidR="00C26450" w:rsidRPr="000517E5" w:rsidRDefault="00C26450" w:rsidP="00337C90">
            <w:pPr>
              <w:spacing w:after="0" w:line="240" w:lineRule="auto"/>
              <w:rPr>
                <w:rFonts w:eastAsia="Times New Roman" w:cstheme="minorHAnsi"/>
                <w:color w:val="000000"/>
                <w:szCs w:val="20"/>
                <w:lang w:eastAsia="en-GB"/>
              </w:rPr>
            </w:pPr>
            <w:r w:rsidRPr="000517E5">
              <w:rPr>
                <w:rFonts w:eastAsia="Times New Roman" w:cstheme="minorHAnsi"/>
                <w:color w:val="000000"/>
                <w:szCs w:val="20"/>
                <w:lang w:eastAsia="en-GB"/>
              </w:rPr>
              <w:t>(12) Konut, su, elektrik, gaz ve diğer yakıtlar</w:t>
            </w:r>
          </w:p>
        </w:tc>
        <w:tc>
          <w:tcPr>
            <w:tcW w:w="1232" w:type="dxa"/>
            <w:tcBorders>
              <w:top w:val="nil"/>
              <w:left w:val="nil"/>
              <w:bottom w:val="single" w:sz="4" w:space="0" w:color="auto"/>
              <w:right w:val="nil"/>
            </w:tcBorders>
            <w:shd w:val="clear" w:color="auto" w:fill="auto"/>
            <w:noWrap/>
            <w:vAlign w:val="bottom"/>
            <w:hideMark/>
          </w:tcPr>
          <w:p w:rsidR="00C26450" w:rsidRPr="000517E5" w:rsidRDefault="00C26450" w:rsidP="00337C90">
            <w:pPr>
              <w:spacing w:after="0" w:line="240" w:lineRule="auto"/>
              <w:jc w:val="center"/>
              <w:rPr>
                <w:rFonts w:eastAsia="Times New Roman" w:cstheme="minorHAnsi"/>
                <w:color w:val="000000"/>
                <w:lang w:eastAsia="en-GB"/>
              </w:rPr>
            </w:pPr>
            <w:r w:rsidRPr="000517E5">
              <w:rPr>
                <w:rFonts w:eastAsia="Times New Roman" w:cstheme="minorHAnsi"/>
                <w:color w:val="000000"/>
                <w:lang w:eastAsia="en-GB"/>
              </w:rPr>
              <w:t>49,95</w:t>
            </w:r>
          </w:p>
        </w:tc>
        <w:tc>
          <w:tcPr>
            <w:tcW w:w="1232" w:type="dxa"/>
            <w:tcBorders>
              <w:top w:val="nil"/>
              <w:left w:val="nil"/>
              <w:bottom w:val="single" w:sz="4" w:space="0" w:color="auto"/>
              <w:right w:val="nil"/>
            </w:tcBorders>
            <w:shd w:val="clear" w:color="auto" w:fill="auto"/>
            <w:noWrap/>
            <w:vAlign w:val="bottom"/>
            <w:hideMark/>
          </w:tcPr>
          <w:p w:rsidR="00C26450" w:rsidRPr="000517E5" w:rsidRDefault="00C26450" w:rsidP="00337C90">
            <w:pPr>
              <w:spacing w:after="0" w:line="240" w:lineRule="auto"/>
              <w:jc w:val="center"/>
              <w:rPr>
                <w:rFonts w:eastAsia="Times New Roman" w:cstheme="minorHAnsi"/>
                <w:color w:val="000000"/>
                <w:lang w:eastAsia="en-GB"/>
              </w:rPr>
            </w:pPr>
            <w:r w:rsidRPr="000517E5">
              <w:rPr>
                <w:rFonts w:eastAsia="Times New Roman" w:cstheme="minorHAnsi"/>
                <w:color w:val="000000"/>
                <w:lang w:eastAsia="en-GB"/>
              </w:rPr>
              <w:t>24,44</w:t>
            </w:r>
          </w:p>
        </w:tc>
        <w:tc>
          <w:tcPr>
            <w:tcW w:w="960" w:type="dxa"/>
            <w:tcBorders>
              <w:top w:val="nil"/>
              <w:left w:val="nil"/>
              <w:bottom w:val="single" w:sz="4" w:space="0" w:color="auto"/>
              <w:right w:val="nil"/>
            </w:tcBorders>
            <w:shd w:val="clear" w:color="auto" w:fill="auto"/>
            <w:noWrap/>
            <w:vAlign w:val="bottom"/>
            <w:hideMark/>
          </w:tcPr>
          <w:p w:rsidR="00C26450" w:rsidRPr="000517E5" w:rsidRDefault="00C26450" w:rsidP="00337C90">
            <w:pPr>
              <w:spacing w:after="0" w:line="240" w:lineRule="auto"/>
              <w:jc w:val="center"/>
              <w:rPr>
                <w:rFonts w:eastAsia="Times New Roman" w:cstheme="minorHAnsi"/>
                <w:color w:val="000000"/>
                <w:lang w:eastAsia="en-GB"/>
              </w:rPr>
            </w:pPr>
            <w:r w:rsidRPr="000517E5">
              <w:rPr>
                <w:rFonts w:eastAsia="Times New Roman" w:cstheme="minorHAnsi"/>
                <w:color w:val="000000"/>
                <w:lang w:eastAsia="en-GB"/>
              </w:rPr>
              <w:t>25,51</w:t>
            </w:r>
          </w:p>
        </w:tc>
      </w:tr>
      <w:tr w:rsidR="00C26450" w:rsidRPr="000517E5" w:rsidTr="00337C90">
        <w:trPr>
          <w:trHeight w:val="20"/>
        </w:trPr>
        <w:tc>
          <w:tcPr>
            <w:tcW w:w="5100" w:type="dxa"/>
            <w:tcBorders>
              <w:top w:val="nil"/>
              <w:left w:val="nil"/>
              <w:bottom w:val="nil"/>
              <w:right w:val="nil"/>
            </w:tcBorders>
            <w:shd w:val="clear" w:color="auto" w:fill="auto"/>
            <w:noWrap/>
            <w:vAlign w:val="bottom"/>
            <w:hideMark/>
          </w:tcPr>
          <w:p w:rsidR="00C26450" w:rsidRPr="000517E5" w:rsidRDefault="00C26450" w:rsidP="00337C90">
            <w:pPr>
              <w:spacing w:after="0" w:line="240" w:lineRule="auto"/>
              <w:rPr>
                <w:rFonts w:eastAsia="Times New Roman" w:cstheme="minorHAnsi"/>
                <w:b/>
                <w:bCs/>
                <w:color w:val="000000"/>
                <w:lang w:eastAsia="en-GB"/>
              </w:rPr>
            </w:pPr>
            <w:r w:rsidRPr="000517E5">
              <w:rPr>
                <w:rFonts w:eastAsia="Times New Roman" w:cstheme="minorHAnsi"/>
                <w:b/>
                <w:bCs/>
                <w:color w:val="000000"/>
                <w:lang w:eastAsia="en-GB"/>
              </w:rPr>
              <w:t>TOPLAM</w:t>
            </w:r>
          </w:p>
        </w:tc>
        <w:tc>
          <w:tcPr>
            <w:tcW w:w="1232" w:type="dxa"/>
            <w:tcBorders>
              <w:top w:val="nil"/>
              <w:left w:val="nil"/>
              <w:bottom w:val="nil"/>
              <w:right w:val="nil"/>
            </w:tcBorders>
            <w:shd w:val="clear" w:color="auto" w:fill="auto"/>
            <w:noWrap/>
            <w:vAlign w:val="bottom"/>
            <w:hideMark/>
          </w:tcPr>
          <w:p w:rsidR="00C26450" w:rsidRPr="000517E5" w:rsidRDefault="00C26450" w:rsidP="00337C90">
            <w:pPr>
              <w:spacing w:after="0" w:line="240" w:lineRule="auto"/>
              <w:jc w:val="center"/>
              <w:rPr>
                <w:rFonts w:eastAsia="Times New Roman" w:cstheme="minorHAnsi"/>
                <w:b/>
                <w:bCs/>
                <w:color w:val="000000"/>
                <w:lang w:eastAsia="en-GB"/>
              </w:rPr>
            </w:pPr>
            <w:r w:rsidRPr="000517E5">
              <w:rPr>
                <w:rFonts w:eastAsia="Times New Roman" w:cstheme="minorHAnsi"/>
                <w:b/>
                <w:bCs/>
                <w:color w:val="000000"/>
                <w:lang w:eastAsia="en-GB"/>
              </w:rPr>
              <w:t>132,44</w:t>
            </w:r>
          </w:p>
        </w:tc>
        <w:tc>
          <w:tcPr>
            <w:tcW w:w="1232" w:type="dxa"/>
            <w:tcBorders>
              <w:top w:val="nil"/>
              <w:left w:val="nil"/>
              <w:bottom w:val="nil"/>
              <w:right w:val="nil"/>
            </w:tcBorders>
            <w:shd w:val="clear" w:color="auto" w:fill="auto"/>
            <w:noWrap/>
            <w:vAlign w:val="bottom"/>
            <w:hideMark/>
          </w:tcPr>
          <w:p w:rsidR="00C26450" w:rsidRPr="000517E5" w:rsidRDefault="00C26450" w:rsidP="00337C90">
            <w:pPr>
              <w:spacing w:after="0" w:line="240" w:lineRule="auto"/>
              <w:jc w:val="center"/>
              <w:rPr>
                <w:rFonts w:eastAsia="Times New Roman" w:cstheme="minorHAnsi"/>
                <w:b/>
                <w:bCs/>
                <w:color w:val="000000"/>
                <w:lang w:eastAsia="en-GB"/>
              </w:rPr>
            </w:pPr>
            <w:r w:rsidRPr="000517E5">
              <w:rPr>
                <w:rFonts w:eastAsia="Times New Roman" w:cstheme="minorHAnsi"/>
                <w:b/>
                <w:bCs/>
                <w:color w:val="000000"/>
                <w:lang w:eastAsia="en-GB"/>
              </w:rPr>
              <w:t>132,08</w:t>
            </w:r>
          </w:p>
        </w:tc>
        <w:tc>
          <w:tcPr>
            <w:tcW w:w="960" w:type="dxa"/>
            <w:tcBorders>
              <w:top w:val="nil"/>
              <w:left w:val="nil"/>
              <w:bottom w:val="nil"/>
              <w:right w:val="nil"/>
            </w:tcBorders>
            <w:shd w:val="clear" w:color="auto" w:fill="auto"/>
            <w:noWrap/>
            <w:vAlign w:val="bottom"/>
            <w:hideMark/>
          </w:tcPr>
          <w:p w:rsidR="00C26450" w:rsidRPr="000517E5" w:rsidRDefault="00C26450" w:rsidP="00337C90">
            <w:pPr>
              <w:spacing w:after="0" w:line="240" w:lineRule="auto"/>
              <w:jc w:val="center"/>
              <w:rPr>
                <w:rFonts w:eastAsia="Times New Roman" w:cstheme="minorHAnsi"/>
                <w:b/>
                <w:bCs/>
                <w:color w:val="000000"/>
                <w:lang w:eastAsia="en-GB"/>
              </w:rPr>
            </w:pPr>
            <w:r w:rsidRPr="000517E5">
              <w:rPr>
                <w:rFonts w:eastAsia="Times New Roman" w:cstheme="minorHAnsi"/>
                <w:b/>
                <w:bCs/>
                <w:color w:val="000000"/>
                <w:lang w:eastAsia="en-GB"/>
              </w:rPr>
              <w:t>0,36</w:t>
            </w:r>
          </w:p>
        </w:tc>
      </w:tr>
    </w:tbl>
    <w:p w:rsidR="00C26450" w:rsidRPr="00C26450" w:rsidRDefault="00C26450" w:rsidP="00C26450">
      <w:pPr>
        <w:rPr>
          <w:sz w:val="18"/>
          <w:szCs w:val="18"/>
        </w:rPr>
      </w:pPr>
    </w:p>
    <w:p w:rsidR="00C26450" w:rsidRPr="00C26450" w:rsidRDefault="00C26450" w:rsidP="00C26450">
      <w:pPr>
        <w:rPr>
          <w:sz w:val="18"/>
          <w:szCs w:val="18"/>
        </w:rPr>
      </w:pPr>
    </w:p>
    <w:p w:rsidR="00C26450" w:rsidRPr="00C26450" w:rsidRDefault="00C26450" w:rsidP="00C26450">
      <w:pPr>
        <w:rPr>
          <w:sz w:val="18"/>
          <w:szCs w:val="18"/>
        </w:rPr>
      </w:pPr>
    </w:p>
    <w:p w:rsidR="00C26450" w:rsidRPr="00C26450" w:rsidRDefault="00C26450" w:rsidP="00C26450">
      <w:pPr>
        <w:rPr>
          <w:sz w:val="18"/>
          <w:szCs w:val="18"/>
        </w:rPr>
      </w:pPr>
    </w:p>
    <w:p w:rsidR="00C26450" w:rsidRPr="00C26450" w:rsidRDefault="00C26450" w:rsidP="00C26450">
      <w:pPr>
        <w:rPr>
          <w:sz w:val="18"/>
          <w:szCs w:val="18"/>
        </w:rPr>
      </w:pPr>
    </w:p>
    <w:p w:rsidR="00C26450" w:rsidRPr="00C26450" w:rsidRDefault="00C26450" w:rsidP="00C26450">
      <w:pPr>
        <w:rPr>
          <w:sz w:val="18"/>
          <w:szCs w:val="18"/>
        </w:rPr>
      </w:pPr>
    </w:p>
    <w:p w:rsidR="00C26450" w:rsidRPr="00C26450" w:rsidRDefault="00C26450" w:rsidP="00C26450">
      <w:pPr>
        <w:rPr>
          <w:sz w:val="18"/>
          <w:szCs w:val="18"/>
        </w:rPr>
      </w:pPr>
    </w:p>
    <w:p w:rsidR="00C26450" w:rsidRPr="00C26450" w:rsidRDefault="00C26450" w:rsidP="00C26450">
      <w:pPr>
        <w:rPr>
          <w:sz w:val="18"/>
          <w:szCs w:val="18"/>
        </w:rPr>
      </w:pPr>
    </w:p>
    <w:p w:rsidR="00C26450" w:rsidRPr="00C26450" w:rsidRDefault="00C26450" w:rsidP="00C26450">
      <w:pPr>
        <w:rPr>
          <w:sz w:val="18"/>
          <w:szCs w:val="18"/>
        </w:rPr>
      </w:pPr>
    </w:p>
    <w:p w:rsidR="00C26450" w:rsidRPr="00C26450" w:rsidRDefault="00C26450" w:rsidP="00C26450">
      <w:pPr>
        <w:rPr>
          <w:sz w:val="18"/>
          <w:szCs w:val="18"/>
        </w:rPr>
      </w:pPr>
    </w:p>
    <w:p w:rsidR="00C26450" w:rsidRPr="00C26450" w:rsidRDefault="00C26450" w:rsidP="00C26450">
      <w:pPr>
        <w:rPr>
          <w:sz w:val="18"/>
          <w:szCs w:val="18"/>
        </w:rPr>
      </w:pPr>
    </w:p>
    <w:p w:rsidR="00C26450" w:rsidRPr="00C26450" w:rsidRDefault="00C26450" w:rsidP="00C26450">
      <w:pPr>
        <w:rPr>
          <w:sz w:val="18"/>
          <w:szCs w:val="18"/>
        </w:rPr>
      </w:pPr>
    </w:p>
    <w:p w:rsidR="00C26450" w:rsidRPr="00C26450" w:rsidRDefault="00C26450" w:rsidP="00C26450">
      <w:pPr>
        <w:rPr>
          <w:sz w:val="18"/>
          <w:szCs w:val="18"/>
        </w:rPr>
      </w:pPr>
    </w:p>
    <w:p w:rsidR="00C26450" w:rsidRPr="00C26450" w:rsidRDefault="00C26450" w:rsidP="00C26450">
      <w:pPr>
        <w:rPr>
          <w:sz w:val="18"/>
          <w:szCs w:val="18"/>
        </w:rPr>
      </w:pPr>
    </w:p>
    <w:p w:rsidR="00C26450" w:rsidRPr="00C26450" w:rsidRDefault="00C26450" w:rsidP="00C26450">
      <w:pPr>
        <w:rPr>
          <w:sz w:val="18"/>
          <w:szCs w:val="18"/>
        </w:rPr>
      </w:pPr>
    </w:p>
    <w:p w:rsidR="00C26450" w:rsidRPr="00C26450" w:rsidRDefault="00C26450" w:rsidP="00C26450">
      <w:pPr>
        <w:rPr>
          <w:sz w:val="18"/>
          <w:szCs w:val="18"/>
        </w:rPr>
      </w:pPr>
    </w:p>
    <w:p w:rsidR="00C26450" w:rsidRPr="00C26450" w:rsidRDefault="00C26450" w:rsidP="00C26450">
      <w:pPr>
        <w:rPr>
          <w:sz w:val="18"/>
          <w:szCs w:val="18"/>
        </w:rPr>
      </w:pPr>
    </w:p>
    <w:p w:rsidR="000517E5" w:rsidRPr="00C26450" w:rsidRDefault="000517E5" w:rsidP="00C26450">
      <w:pPr>
        <w:rPr>
          <w:sz w:val="18"/>
          <w:szCs w:val="18"/>
        </w:rPr>
      </w:pPr>
    </w:p>
    <w:sectPr w:rsidR="000517E5" w:rsidRPr="00C26450" w:rsidSect="009B66C1">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D1A" w:rsidRDefault="00EC7D1A" w:rsidP="00315C56">
      <w:pPr>
        <w:spacing w:after="0" w:line="240" w:lineRule="auto"/>
      </w:pPr>
      <w:r>
        <w:separator/>
      </w:r>
    </w:p>
  </w:endnote>
  <w:endnote w:type="continuationSeparator" w:id="0">
    <w:p w:rsidR="00EC7D1A" w:rsidRDefault="00EC7D1A" w:rsidP="00315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7E5" w:rsidRPr="00B604DA" w:rsidRDefault="000517E5" w:rsidP="00D969A1">
    <w:pPr>
      <w:pStyle w:val="Footer"/>
      <w:jc w:val="center"/>
      <w:rPr>
        <w:rFonts w:ascii="Arial" w:hAnsi="Arial" w:cs="Arial"/>
        <w:b/>
        <w:i/>
        <w:sz w:val="20"/>
        <w:szCs w:val="20"/>
      </w:rPr>
    </w:pPr>
    <w:r w:rsidRPr="00B604DA">
      <w:rPr>
        <w:rFonts w:ascii="Arial" w:hAnsi="Arial" w:cs="Arial"/>
        <w:b/>
        <w:i/>
        <w:sz w:val="20"/>
        <w:szCs w:val="20"/>
      </w:rPr>
      <w:t>www.betam.bahcesehir.edu.tr</w:t>
    </w:r>
  </w:p>
  <w:p w:rsidR="000517E5" w:rsidRDefault="00051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D1A" w:rsidRDefault="00EC7D1A" w:rsidP="00315C56">
      <w:pPr>
        <w:spacing w:after="0" w:line="240" w:lineRule="auto"/>
      </w:pPr>
      <w:r>
        <w:separator/>
      </w:r>
    </w:p>
  </w:footnote>
  <w:footnote w:type="continuationSeparator" w:id="0">
    <w:p w:rsidR="00EC7D1A" w:rsidRDefault="00EC7D1A" w:rsidP="00315C56">
      <w:pPr>
        <w:spacing w:after="0" w:line="240" w:lineRule="auto"/>
      </w:pPr>
      <w:r>
        <w:continuationSeparator/>
      </w:r>
    </w:p>
  </w:footnote>
  <w:footnote w:id="1">
    <w:p w:rsidR="000517E5" w:rsidRPr="00922E45" w:rsidRDefault="000517E5" w:rsidP="00315C56">
      <w:pPr>
        <w:pStyle w:val="FootnoteText"/>
        <w:rPr>
          <w:rFonts w:asciiTheme="minorHAnsi" w:hAnsiTheme="minorHAnsi" w:cs="Arial"/>
          <w:sz w:val="18"/>
          <w:szCs w:val="18"/>
        </w:rPr>
      </w:pPr>
      <w:r w:rsidRPr="00922E45">
        <w:rPr>
          <w:rStyle w:val="FootnoteReference"/>
          <w:rFonts w:asciiTheme="minorHAnsi" w:hAnsiTheme="minorHAnsi" w:cs="Arial"/>
          <w:b/>
          <w:sz w:val="18"/>
          <w:szCs w:val="18"/>
        </w:rPr>
        <w:t>*</w:t>
      </w:r>
      <w:r w:rsidRPr="00922E45">
        <w:rPr>
          <w:rFonts w:asciiTheme="minorHAnsi" w:hAnsiTheme="minorHAnsi" w:cs="Arial"/>
          <w:sz w:val="18"/>
          <w:szCs w:val="18"/>
        </w:rPr>
        <w:t xml:space="preserve">Prof. Dr. Seyfettin Gürsel, </w:t>
      </w:r>
      <w:r w:rsidRPr="00922E45">
        <w:rPr>
          <w:rFonts w:asciiTheme="minorHAnsi" w:hAnsiTheme="minorHAnsi" w:cs="Arial"/>
          <w:b/>
          <w:sz w:val="18"/>
          <w:szCs w:val="18"/>
        </w:rPr>
        <w:t>Betam</w:t>
      </w:r>
      <w:r w:rsidRPr="00922E45">
        <w:rPr>
          <w:rFonts w:asciiTheme="minorHAnsi" w:hAnsiTheme="minorHAnsi" w:cs="Arial"/>
          <w:sz w:val="18"/>
          <w:szCs w:val="18"/>
        </w:rPr>
        <w:t xml:space="preserve">, Direktör, </w:t>
      </w:r>
      <w:hyperlink r:id="rId1" w:history="1">
        <w:r w:rsidRPr="000A331C">
          <w:rPr>
            <w:rStyle w:val="Hyperlink"/>
            <w:rFonts w:asciiTheme="minorHAnsi" w:hAnsiTheme="minorHAnsi" w:cs="Arial"/>
            <w:color w:val="auto"/>
            <w:sz w:val="18"/>
            <w:szCs w:val="18"/>
            <w:u w:val="none"/>
          </w:rPr>
          <w:t>seyfettin.gursel@eas.bau.edu.tr</w:t>
        </w:r>
      </w:hyperlink>
    </w:p>
  </w:footnote>
  <w:footnote w:id="2">
    <w:p w:rsidR="000517E5" w:rsidRPr="00613511" w:rsidRDefault="000517E5" w:rsidP="000A331C">
      <w:pPr>
        <w:pStyle w:val="FootnoteText"/>
        <w:rPr>
          <w:sz w:val="18"/>
        </w:rPr>
      </w:pPr>
      <w:r w:rsidRPr="00613511">
        <w:rPr>
          <w:rStyle w:val="FootnoteReference"/>
          <w:sz w:val="18"/>
        </w:rPr>
        <w:t>**</w:t>
      </w:r>
      <w:r w:rsidRPr="00613511">
        <w:rPr>
          <w:sz w:val="18"/>
        </w:rPr>
        <w:t xml:space="preserve"> </w:t>
      </w:r>
      <w:r>
        <w:rPr>
          <w:rFonts w:asciiTheme="minorHAnsi" w:hAnsiTheme="minorHAnsi" w:cs="Arial"/>
          <w:sz w:val="18"/>
          <w:szCs w:val="18"/>
        </w:rPr>
        <w:t>Furkan Kavuncu</w:t>
      </w:r>
      <w:r w:rsidRPr="00613511">
        <w:rPr>
          <w:rFonts w:asciiTheme="minorHAnsi" w:hAnsiTheme="minorHAnsi" w:cs="Arial"/>
          <w:sz w:val="18"/>
          <w:szCs w:val="18"/>
        </w:rPr>
        <w:t xml:space="preserve">, </w:t>
      </w:r>
      <w:r w:rsidRPr="00613511">
        <w:rPr>
          <w:rFonts w:asciiTheme="minorHAnsi" w:hAnsiTheme="minorHAnsi" w:cs="Arial"/>
          <w:b/>
          <w:sz w:val="18"/>
          <w:szCs w:val="18"/>
        </w:rPr>
        <w:t>Betam</w:t>
      </w:r>
      <w:r>
        <w:rPr>
          <w:rFonts w:asciiTheme="minorHAnsi" w:hAnsiTheme="minorHAnsi" w:cs="Arial"/>
          <w:sz w:val="18"/>
          <w:szCs w:val="18"/>
        </w:rPr>
        <w:t>, Araştırma Görevlisi</w:t>
      </w:r>
      <w:r w:rsidRPr="00613511">
        <w:rPr>
          <w:rFonts w:asciiTheme="minorHAnsi" w:hAnsiTheme="minorHAnsi" w:cs="Arial"/>
          <w:sz w:val="18"/>
          <w:szCs w:val="18"/>
        </w:rPr>
        <w:t xml:space="preserve">, </w:t>
      </w:r>
      <w:r>
        <w:rPr>
          <w:rFonts w:asciiTheme="minorHAnsi" w:hAnsiTheme="minorHAnsi" w:cs="Arial"/>
          <w:sz w:val="18"/>
          <w:szCs w:val="18"/>
        </w:rPr>
        <w:t>furkan.kavuncu@eas.bau.edu.tr</w:t>
      </w:r>
    </w:p>
  </w:footnote>
  <w:footnote w:id="3">
    <w:p w:rsidR="000517E5" w:rsidRDefault="000517E5" w:rsidP="00E41796">
      <w:pPr>
        <w:pStyle w:val="FootnoteText"/>
      </w:pPr>
      <w:r>
        <w:rPr>
          <w:rStyle w:val="FootnoteReference"/>
        </w:rPr>
        <w:footnoteRef/>
      </w:r>
      <w:r>
        <w:t xml:space="preserve"> </w:t>
      </w:r>
      <w:r w:rsidRPr="00E41796">
        <w:rPr>
          <w:rFonts w:asciiTheme="minorHAnsi" w:hAnsiTheme="minorHAnsi" w:cstheme="minorHAnsi"/>
          <w:sz w:val="18"/>
        </w:rPr>
        <w:t>Yoksul ile Zengin Arasındaki Enflasyon Farkı Devam Ediyor (2017), Yoksul ile Zengin Arasındaki Enflasyon Farkı 8 Yılda 20 Puanı Geçti (2016), Yoksul ile Zengin Arasındaki Enflasyon Farkı Rekor Seviyede (2015), Yoksul ile Zengin Arasındaki Enflasyon Farkı Artıyor (2014), Yoksulun Enflasyonu Zenginin Enflasyonundan Yüksek (2012), Enflasyon Yoksulu Vuruyor (2010), Her Harcama Düzeyi İçin Farklı Enflasyon (2008).</w:t>
      </w:r>
    </w:p>
  </w:footnote>
  <w:footnote w:id="4">
    <w:p w:rsidR="000517E5" w:rsidRPr="005F0556" w:rsidRDefault="000517E5" w:rsidP="001D3440">
      <w:pPr>
        <w:pStyle w:val="FootnoteText"/>
        <w:rPr>
          <w:rFonts w:ascii="Arial" w:hAnsi="Arial" w:cs="Arial"/>
          <w:sz w:val="18"/>
          <w:szCs w:val="18"/>
        </w:rPr>
      </w:pPr>
      <w:r w:rsidRPr="005F0556">
        <w:rPr>
          <w:rStyle w:val="FootnoteReference"/>
          <w:rFonts w:ascii="Arial" w:hAnsi="Arial" w:cs="Arial"/>
          <w:sz w:val="18"/>
          <w:szCs w:val="18"/>
        </w:rPr>
        <w:footnoteRef/>
      </w:r>
      <w:r w:rsidRPr="005F0556">
        <w:rPr>
          <w:rFonts w:asciiTheme="minorHAnsi" w:hAnsiTheme="minorHAnsi" w:cs="Arial"/>
          <w:sz w:val="18"/>
          <w:szCs w:val="18"/>
        </w:rPr>
        <w:t>Ayrıştırma ile i</w:t>
      </w:r>
      <w:r>
        <w:rPr>
          <w:rFonts w:asciiTheme="minorHAnsi" w:hAnsiTheme="minorHAnsi" w:cs="Arial"/>
          <w:sz w:val="18"/>
          <w:szCs w:val="18"/>
        </w:rPr>
        <w:t xml:space="preserve">lgili ayrıntılar için </w:t>
      </w:r>
      <w:proofErr w:type="spellStart"/>
      <w:r>
        <w:rPr>
          <w:rFonts w:asciiTheme="minorHAnsi" w:hAnsiTheme="minorHAnsi" w:cs="Arial"/>
          <w:sz w:val="18"/>
          <w:szCs w:val="18"/>
        </w:rPr>
        <w:t>bkz</w:t>
      </w:r>
      <w:proofErr w:type="spellEnd"/>
      <w:r>
        <w:rPr>
          <w:rFonts w:asciiTheme="minorHAnsi" w:hAnsiTheme="minorHAnsi" w:cs="Arial"/>
          <w:sz w:val="18"/>
          <w:szCs w:val="18"/>
        </w:rPr>
        <w:t xml:space="preserve"> Kutu 1</w:t>
      </w:r>
    </w:p>
  </w:footnote>
  <w:footnote w:id="5">
    <w:p w:rsidR="000517E5" w:rsidRDefault="000517E5" w:rsidP="002B6074">
      <w:pPr>
        <w:pStyle w:val="FootnoteText"/>
        <w:jc w:val="both"/>
      </w:pPr>
      <w:r w:rsidRPr="005F0556">
        <w:rPr>
          <w:rStyle w:val="FootnoteReference"/>
          <w:rFonts w:asciiTheme="minorHAnsi" w:hAnsiTheme="minorHAnsi" w:cs="Arial"/>
          <w:sz w:val="18"/>
          <w:szCs w:val="18"/>
        </w:rPr>
        <w:footnoteRef/>
      </w:r>
      <w:r w:rsidRPr="005F0556">
        <w:rPr>
          <w:rFonts w:asciiTheme="minorHAnsi" w:hAnsiTheme="minorHAnsi" w:cs="Arial"/>
          <w:sz w:val="18"/>
          <w:szCs w:val="18"/>
        </w:rPr>
        <w:t>Zengin ile yoksulun aynı gıda ürünlerini tüketmediğinden gıda enflasyonlarının da farklı olması beklenir. Bu ek enflasyon farkının büyük olasılıkla yoksulun aleyhine çalıştığı söylenebilir. Nitekim 2007 yılında ortaya çıkan küresel gıda fiyat şoku esas olarak temel ürünlerin fiyatlarını etkilemiştir. Yoksulun sepetinde zengine kıyasla daha fazla temel gıda ürünü bulunması doğaldır. Öte yandan giderek daha çok organik ürün tüketen zenginlerin de organik ürün fiyatlarından etkilenmesi beklenir. Ancak bu fiyatların temel gıda fiyatlarına kıyasla daha mı çok yoksa daha mı az arttığını veri olmaması nedeniyle bilmiyoruz</w:t>
      </w:r>
      <w:r>
        <w:rPr>
          <w:rFonts w:ascii="Arial" w:hAnsi="Arial" w:cs="Arial"/>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56"/>
    <w:rsid w:val="0001027F"/>
    <w:rsid w:val="000171C1"/>
    <w:rsid w:val="00026533"/>
    <w:rsid w:val="0002671E"/>
    <w:rsid w:val="00042C10"/>
    <w:rsid w:val="00043CF0"/>
    <w:rsid w:val="000454B6"/>
    <w:rsid w:val="000517E5"/>
    <w:rsid w:val="00055B1E"/>
    <w:rsid w:val="00065CA8"/>
    <w:rsid w:val="00086C42"/>
    <w:rsid w:val="000A331C"/>
    <w:rsid w:val="000A6D95"/>
    <w:rsid w:val="000B1CF9"/>
    <w:rsid w:val="000B1EF7"/>
    <w:rsid w:val="000B2A8C"/>
    <w:rsid w:val="000B4300"/>
    <w:rsid w:val="000B50D3"/>
    <w:rsid w:val="001003F1"/>
    <w:rsid w:val="00100BC1"/>
    <w:rsid w:val="00125EB4"/>
    <w:rsid w:val="0013066B"/>
    <w:rsid w:val="00155F75"/>
    <w:rsid w:val="001747E0"/>
    <w:rsid w:val="00177419"/>
    <w:rsid w:val="001A4015"/>
    <w:rsid w:val="001C359D"/>
    <w:rsid w:val="001C6BD3"/>
    <w:rsid w:val="001D3440"/>
    <w:rsid w:val="00201519"/>
    <w:rsid w:val="00206ACD"/>
    <w:rsid w:val="00226F4B"/>
    <w:rsid w:val="0023056B"/>
    <w:rsid w:val="002342AB"/>
    <w:rsid w:val="0024289D"/>
    <w:rsid w:val="00253E60"/>
    <w:rsid w:val="002809F5"/>
    <w:rsid w:val="00297D6F"/>
    <w:rsid w:val="002A0B20"/>
    <w:rsid w:val="002A2730"/>
    <w:rsid w:val="002A2E9F"/>
    <w:rsid w:val="002B024C"/>
    <w:rsid w:val="002B6074"/>
    <w:rsid w:val="002C6AB6"/>
    <w:rsid w:val="002E3926"/>
    <w:rsid w:val="002F5CDA"/>
    <w:rsid w:val="002F774A"/>
    <w:rsid w:val="002F7AC3"/>
    <w:rsid w:val="0030531F"/>
    <w:rsid w:val="00314CC0"/>
    <w:rsid w:val="00315C56"/>
    <w:rsid w:val="0032196C"/>
    <w:rsid w:val="0032573F"/>
    <w:rsid w:val="003357BE"/>
    <w:rsid w:val="00335B30"/>
    <w:rsid w:val="00360454"/>
    <w:rsid w:val="003A5677"/>
    <w:rsid w:val="003A5A7C"/>
    <w:rsid w:val="003B380F"/>
    <w:rsid w:val="003C6EFA"/>
    <w:rsid w:val="0044301B"/>
    <w:rsid w:val="00450761"/>
    <w:rsid w:val="00486D6C"/>
    <w:rsid w:val="0049546A"/>
    <w:rsid w:val="00496477"/>
    <w:rsid w:val="004A75D5"/>
    <w:rsid w:val="004F4D15"/>
    <w:rsid w:val="005066DB"/>
    <w:rsid w:val="00525C76"/>
    <w:rsid w:val="00560982"/>
    <w:rsid w:val="0057656F"/>
    <w:rsid w:val="005813B9"/>
    <w:rsid w:val="005835CF"/>
    <w:rsid w:val="0058515D"/>
    <w:rsid w:val="005876BC"/>
    <w:rsid w:val="005C0E4F"/>
    <w:rsid w:val="005C3E12"/>
    <w:rsid w:val="005D0484"/>
    <w:rsid w:val="00600F63"/>
    <w:rsid w:val="00631AD7"/>
    <w:rsid w:val="0063421F"/>
    <w:rsid w:val="00645B6A"/>
    <w:rsid w:val="00654D98"/>
    <w:rsid w:val="0066262A"/>
    <w:rsid w:val="006709AB"/>
    <w:rsid w:val="00672953"/>
    <w:rsid w:val="006C2AC7"/>
    <w:rsid w:val="006C2B1B"/>
    <w:rsid w:val="006C384B"/>
    <w:rsid w:val="006E11FB"/>
    <w:rsid w:val="00735A82"/>
    <w:rsid w:val="00753489"/>
    <w:rsid w:val="007574C3"/>
    <w:rsid w:val="007A3BE0"/>
    <w:rsid w:val="007B06E1"/>
    <w:rsid w:val="007C6D85"/>
    <w:rsid w:val="007F3BF7"/>
    <w:rsid w:val="007F5E82"/>
    <w:rsid w:val="0080414A"/>
    <w:rsid w:val="00805A5E"/>
    <w:rsid w:val="008207CD"/>
    <w:rsid w:val="00830746"/>
    <w:rsid w:val="0084559B"/>
    <w:rsid w:val="00845825"/>
    <w:rsid w:val="00860826"/>
    <w:rsid w:val="008825C9"/>
    <w:rsid w:val="008A15B4"/>
    <w:rsid w:val="008A6A4C"/>
    <w:rsid w:val="008C359D"/>
    <w:rsid w:val="008D057A"/>
    <w:rsid w:val="008D6A31"/>
    <w:rsid w:val="008E2F1A"/>
    <w:rsid w:val="008F0439"/>
    <w:rsid w:val="008F1406"/>
    <w:rsid w:val="008F36A1"/>
    <w:rsid w:val="008F7D32"/>
    <w:rsid w:val="00901F21"/>
    <w:rsid w:val="009254B2"/>
    <w:rsid w:val="00926902"/>
    <w:rsid w:val="009356BC"/>
    <w:rsid w:val="00967BAB"/>
    <w:rsid w:val="00987F08"/>
    <w:rsid w:val="00993CBA"/>
    <w:rsid w:val="009B623A"/>
    <w:rsid w:val="009B66C1"/>
    <w:rsid w:val="009C5C94"/>
    <w:rsid w:val="009D7508"/>
    <w:rsid w:val="009D7A30"/>
    <w:rsid w:val="009E51EE"/>
    <w:rsid w:val="009E7078"/>
    <w:rsid w:val="00A1102A"/>
    <w:rsid w:val="00A13CCE"/>
    <w:rsid w:val="00A145CF"/>
    <w:rsid w:val="00A22F91"/>
    <w:rsid w:val="00A24ACA"/>
    <w:rsid w:val="00A3256E"/>
    <w:rsid w:val="00A75886"/>
    <w:rsid w:val="00AB0F3B"/>
    <w:rsid w:val="00AC13AA"/>
    <w:rsid w:val="00AC6B26"/>
    <w:rsid w:val="00AC738D"/>
    <w:rsid w:val="00AF64C5"/>
    <w:rsid w:val="00B314A4"/>
    <w:rsid w:val="00B919E6"/>
    <w:rsid w:val="00B92CF1"/>
    <w:rsid w:val="00BE3A58"/>
    <w:rsid w:val="00BF452F"/>
    <w:rsid w:val="00C20DBF"/>
    <w:rsid w:val="00C26450"/>
    <w:rsid w:val="00C3329A"/>
    <w:rsid w:val="00C40567"/>
    <w:rsid w:val="00C57629"/>
    <w:rsid w:val="00C61818"/>
    <w:rsid w:val="00C7201C"/>
    <w:rsid w:val="00CA1B20"/>
    <w:rsid w:val="00CA40A0"/>
    <w:rsid w:val="00CA5E8A"/>
    <w:rsid w:val="00CB44DC"/>
    <w:rsid w:val="00CB5B38"/>
    <w:rsid w:val="00CE25C7"/>
    <w:rsid w:val="00CF031A"/>
    <w:rsid w:val="00D03BB1"/>
    <w:rsid w:val="00D1397D"/>
    <w:rsid w:val="00D21694"/>
    <w:rsid w:val="00D22B57"/>
    <w:rsid w:val="00D46E87"/>
    <w:rsid w:val="00D57216"/>
    <w:rsid w:val="00D66C1E"/>
    <w:rsid w:val="00D76C0F"/>
    <w:rsid w:val="00D969A1"/>
    <w:rsid w:val="00DB007E"/>
    <w:rsid w:val="00DD7B0B"/>
    <w:rsid w:val="00DF118E"/>
    <w:rsid w:val="00DF5850"/>
    <w:rsid w:val="00E03650"/>
    <w:rsid w:val="00E16057"/>
    <w:rsid w:val="00E22186"/>
    <w:rsid w:val="00E25EE1"/>
    <w:rsid w:val="00E32D6B"/>
    <w:rsid w:val="00E41796"/>
    <w:rsid w:val="00E4725B"/>
    <w:rsid w:val="00E477F0"/>
    <w:rsid w:val="00E51D56"/>
    <w:rsid w:val="00E67E15"/>
    <w:rsid w:val="00E75A1B"/>
    <w:rsid w:val="00E7617F"/>
    <w:rsid w:val="00EA298D"/>
    <w:rsid w:val="00EA32F1"/>
    <w:rsid w:val="00EB6F42"/>
    <w:rsid w:val="00EC6309"/>
    <w:rsid w:val="00EC7D1A"/>
    <w:rsid w:val="00ED67C6"/>
    <w:rsid w:val="00ED722E"/>
    <w:rsid w:val="00EE1FF4"/>
    <w:rsid w:val="00EF057E"/>
    <w:rsid w:val="00EF76AD"/>
    <w:rsid w:val="00F1082E"/>
    <w:rsid w:val="00F26D63"/>
    <w:rsid w:val="00F65EB0"/>
    <w:rsid w:val="00F74E4E"/>
    <w:rsid w:val="00F84316"/>
    <w:rsid w:val="00F84DE5"/>
    <w:rsid w:val="00F963A1"/>
    <w:rsid w:val="00FA581C"/>
    <w:rsid w:val="00FB6AE3"/>
    <w:rsid w:val="00FC5428"/>
    <w:rsid w:val="00FC5904"/>
    <w:rsid w:val="00FD3A2D"/>
    <w:rsid w:val="00FF3E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B5733"/>
  <w15:docId w15:val="{5E9D5665-6F4D-4EC4-AB07-7BB0303B4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80F"/>
  </w:style>
  <w:style w:type="paragraph" w:styleId="Heading3">
    <w:name w:val="heading 3"/>
    <w:basedOn w:val="Normal"/>
    <w:next w:val="Normal"/>
    <w:link w:val="Heading3Char"/>
    <w:qFormat/>
    <w:rsid w:val="00315C56"/>
    <w:pPr>
      <w:keepNext/>
      <w:spacing w:before="240" w:after="60" w:line="240" w:lineRule="auto"/>
      <w:outlineLvl w:val="2"/>
    </w:pPr>
    <w:rPr>
      <w:rFonts w:ascii="Arial" w:eastAsia="Times New Roman"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15C56"/>
    <w:rPr>
      <w:rFonts w:ascii="Arial" w:eastAsia="Times New Roman" w:hAnsi="Arial" w:cs="Arial"/>
      <w:b/>
      <w:bCs/>
      <w:sz w:val="26"/>
      <w:szCs w:val="26"/>
      <w:lang w:val="en-GB" w:eastAsia="en-GB"/>
    </w:rPr>
  </w:style>
  <w:style w:type="paragraph" w:styleId="FootnoteText">
    <w:name w:val="footnote text"/>
    <w:basedOn w:val="Normal"/>
    <w:link w:val="FootnoteTextChar"/>
    <w:semiHidden/>
    <w:rsid w:val="00315C5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15C56"/>
    <w:rPr>
      <w:rFonts w:ascii="Times New Roman" w:eastAsia="Times New Roman" w:hAnsi="Times New Roman" w:cs="Times New Roman"/>
      <w:sz w:val="20"/>
      <w:szCs w:val="20"/>
      <w:lang w:eastAsia="tr-TR"/>
    </w:rPr>
  </w:style>
  <w:style w:type="character" w:styleId="FootnoteReference">
    <w:name w:val="footnote reference"/>
    <w:semiHidden/>
    <w:rsid w:val="00315C56"/>
    <w:rPr>
      <w:vertAlign w:val="superscript"/>
    </w:rPr>
  </w:style>
  <w:style w:type="paragraph" w:styleId="BalloonText">
    <w:name w:val="Balloon Text"/>
    <w:basedOn w:val="Normal"/>
    <w:link w:val="BalloonTextChar"/>
    <w:uiPriority w:val="99"/>
    <w:semiHidden/>
    <w:unhideWhenUsed/>
    <w:rsid w:val="002A2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730"/>
    <w:rPr>
      <w:rFonts w:ascii="Tahoma" w:hAnsi="Tahoma" w:cs="Tahoma"/>
      <w:sz w:val="16"/>
      <w:szCs w:val="16"/>
    </w:rPr>
  </w:style>
  <w:style w:type="paragraph" w:styleId="Caption">
    <w:name w:val="caption"/>
    <w:basedOn w:val="Normal"/>
    <w:next w:val="Normal"/>
    <w:qFormat/>
    <w:rsid w:val="002A2730"/>
    <w:pPr>
      <w:spacing w:after="0" w:line="240" w:lineRule="auto"/>
    </w:pPr>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969A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969A1"/>
  </w:style>
  <w:style w:type="paragraph" w:styleId="Footer">
    <w:name w:val="footer"/>
    <w:basedOn w:val="Normal"/>
    <w:link w:val="FooterChar"/>
    <w:unhideWhenUsed/>
    <w:rsid w:val="00D969A1"/>
    <w:pPr>
      <w:tabs>
        <w:tab w:val="center" w:pos="4536"/>
        <w:tab w:val="right" w:pos="9072"/>
      </w:tabs>
      <w:spacing w:after="0" w:line="240" w:lineRule="auto"/>
    </w:pPr>
  </w:style>
  <w:style w:type="character" w:customStyle="1" w:styleId="FooterChar">
    <w:name w:val="Footer Char"/>
    <w:basedOn w:val="DefaultParagraphFont"/>
    <w:link w:val="Footer"/>
    <w:rsid w:val="00D969A1"/>
  </w:style>
  <w:style w:type="character" w:styleId="Hyperlink">
    <w:name w:val="Hyperlink"/>
    <w:basedOn w:val="DefaultParagraphFont"/>
    <w:uiPriority w:val="99"/>
    <w:unhideWhenUsed/>
    <w:rsid w:val="000A331C"/>
    <w:rPr>
      <w:color w:val="0000FF" w:themeColor="hyperlink"/>
      <w:u w:val="single"/>
    </w:rPr>
  </w:style>
  <w:style w:type="table" w:styleId="LightShading">
    <w:name w:val="Light Shading"/>
    <w:basedOn w:val="TableNormal"/>
    <w:uiPriority w:val="60"/>
    <w:rsid w:val="000A331C"/>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76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html">
    <w:name w:val="texhtml"/>
    <w:basedOn w:val="DefaultParagraphFont"/>
    <w:rsid w:val="00654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4819">
      <w:bodyDiv w:val="1"/>
      <w:marLeft w:val="0"/>
      <w:marRight w:val="0"/>
      <w:marTop w:val="0"/>
      <w:marBottom w:val="0"/>
      <w:divBdr>
        <w:top w:val="none" w:sz="0" w:space="0" w:color="auto"/>
        <w:left w:val="none" w:sz="0" w:space="0" w:color="auto"/>
        <w:bottom w:val="none" w:sz="0" w:space="0" w:color="auto"/>
        <w:right w:val="none" w:sz="0" w:space="0" w:color="auto"/>
      </w:divBdr>
    </w:div>
    <w:div w:id="234777419">
      <w:bodyDiv w:val="1"/>
      <w:marLeft w:val="0"/>
      <w:marRight w:val="0"/>
      <w:marTop w:val="0"/>
      <w:marBottom w:val="0"/>
      <w:divBdr>
        <w:top w:val="none" w:sz="0" w:space="0" w:color="auto"/>
        <w:left w:val="none" w:sz="0" w:space="0" w:color="auto"/>
        <w:bottom w:val="none" w:sz="0" w:space="0" w:color="auto"/>
        <w:right w:val="none" w:sz="0" w:space="0" w:color="auto"/>
      </w:divBdr>
    </w:div>
    <w:div w:id="59698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image" Target="media/image20.wmf"/></Relationships>
</file>

<file path=word/_rels/footnotes.xml.rels><?xml version="1.0" encoding="UTF-8" standalone="yes"?>
<Relationships xmlns="http://schemas.openxmlformats.org/package/2006/relationships"><Relationship Id="rId1" Type="http://schemas.openxmlformats.org/officeDocument/2006/relationships/hyperlink" Target="mailto:seyfettin.gursel@eas.bau.edu.t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duygu.guner\Desktop\enflasyon%20notu\Furkan%20AN%20Harcama%20Gruplar&#305;na%20G&#246;re%20Enflasyon%20_%20Nisan.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furkan.kavuncu\Dropbox\Yoksul%20Enflasyon\Enflasyon_AN_May&#305;s19\furkanAN_Mayis19.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furkan.kavuncu\Dropbox\Yoksul%20Enflasyon\Enflasyon_AN_May&#305;s19\furkanAN_Mayis19.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furkan.kavuncu\Dropbox\Yoksul%20Enflasyon\Enflasyon_AN_May&#305;s19\furkanAN_Mayis19.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362638880666235E-2"/>
          <c:y val="6.3147136019762254E-2"/>
          <c:w val="0.89156718568072812"/>
          <c:h val="0.82908476146364052"/>
        </c:manualLayout>
      </c:layout>
      <c:barChart>
        <c:barDir val="col"/>
        <c:grouping val="clustered"/>
        <c:varyColors val="0"/>
        <c:ser>
          <c:idx val="0"/>
          <c:order val="0"/>
          <c:spPr>
            <a:solidFill>
              <a:schemeClr val="accent6">
                <a:lumMod val="40000"/>
                <a:lumOff val="60000"/>
              </a:schemeClr>
            </a:solidFill>
            <a:ln>
              <a:noFill/>
            </a:ln>
          </c:spPr>
          <c:invertIfNegative val="0"/>
          <c:dPt>
            <c:idx val="0"/>
            <c:invertIfNegative val="0"/>
            <c:bubble3D val="0"/>
            <c:spPr>
              <a:solidFill>
                <a:schemeClr val="accent6">
                  <a:lumMod val="20000"/>
                  <a:lumOff val="80000"/>
                </a:schemeClr>
              </a:solidFill>
              <a:ln>
                <a:noFill/>
              </a:ln>
            </c:spPr>
            <c:extLst>
              <c:ext xmlns:c16="http://schemas.microsoft.com/office/drawing/2014/chart" uri="{C3380CC4-5D6E-409C-BE32-E72D297353CC}">
                <c16:uniqueId val="{00000003-FC2D-4F49-B3C0-9E6D976DC698}"/>
              </c:ext>
            </c:extLst>
          </c:dPt>
          <c:dPt>
            <c:idx val="2"/>
            <c:invertIfNegative val="0"/>
            <c:bubble3D val="0"/>
            <c:spPr>
              <a:solidFill>
                <a:schemeClr val="accent6">
                  <a:lumMod val="60000"/>
                  <a:lumOff val="40000"/>
                </a:schemeClr>
              </a:solidFill>
              <a:ln>
                <a:noFill/>
              </a:ln>
            </c:spPr>
            <c:extLst>
              <c:ext xmlns:c16="http://schemas.microsoft.com/office/drawing/2014/chart" uri="{C3380CC4-5D6E-409C-BE32-E72D297353CC}">
                <c16:uniqueId val="{00000001-FC2D-4F49-B3C0-9E6D976DC698}"/>
              </c:ext>
            </c:extLst>
          </c:dPt>
          <c:dPt>
            <c:idx val="3"/>
            <c:invertIfNegative val="0"/>
            <c:bubble3D val="0"/>
            <c:spPr>
              <a:solidFill>
                <a:schemeClr val="accent6">
                  <a:lumMod val="75000"/>
                </a:schemeClr>
              </a:solidFill>
              <a:ln>
                <a:noFill/>
              </a:ln>
            </c:spPr>
            <c:extLst>
              <c:ext xmlns:c16="http://schemas.microsoft.com/office/drawing/2014/chart" uri="{C3380CC4-5D6E-409C-BE32-E72D297353CC}">
                <c16:uniqueId val="{00000002-FC2D-4F49-B3C0-9E6D976DC698}"/>
              </c:ext>
            </c:extLst>
          </c:dPt>
          <c:dPt>
            <c:idx val="4"/>
            <c:invertIfNegative val="0"/>
            <c:bubble3D val="0"/>
            <c:spPr>
              <a:solidFill>
                <a:schemeClr val="accent6">
                  <a:lumMod val="50000"/>
                </a:schemeClr>
              </a:solidFill>
              <a:ln>
                <a:noFill/>
              </a:ln>
            </c:spPr>
            <c:extLst>
              <c:ext xmlns:c16="http://schemas.microsoft.com/office/drawing/2014/chart" uri="{C3380CC4-5D6E-409C-BE32-E72D297353CC}">
                <c16:uniqueId val="{00000004-FC2D-4F49-B3C0-9E6D976DC698}"/>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fark!$R$102:$V$102</c:f>
              <c:strCache>
                <c:ptCount val="5"/>
                <c:pt idx="0">
                  <c:v>En zengin</c:v>
                </c:pt>
                <c:pt idx="1">
                  <c:v>Zengin</c:v>
                </c:pt>
                <c:pt idx="2">
                  <c:v>Orta</c:v>
                </c:pt>
                <c:pt idx="3">
                  <c:v>Yoksul</c:v>
                </c:pt>
                <c:pt idx="4">
                  <c:v>En yoksul</c:v>
                </c:pt>
              </c:strCache>
            </c:strRef>
          </c:cat>
          <c:val>
            <c:numRef>
              <c:f>fark!$N$168:$R$168</c:f>
              <c:numCache>
                <c:formatCode>0.0</c:formatCode>
                <c:ptCount val="5"/>
                <c:pt idx="0">
                  <c:v>308.54142916215204</c:v>
                </c:pt>
                <c:pt idx="1">
                  <c:v>319.38297995623435</c:v>
                </c:pt>
                <c:pt idx="2">
                  <c:v>323.80733387496872</c:v>
                </c:pt>
                <c:pt idx="3">
                  <c:v>327.62639608986234</c:v>
                </c:pt>
                <c:pt idx="4">
                  <c:v>329.99168144359487</c:v>
                </c:pt>
              </c:numCache>
            </c:numRef>
          </c:val>
          <c:extLst>
            <c:ext xmlns:c16="http://schemas.microsoft.com/office/drawing/2014/chart" uri="{C3380CC4-5D6E-409C-BE32-E72D297353CC}">
              <c16:uniqueId val="{00000000-5417-4313-92DA-401E31968EDF}"/>
            </c:ext>
          </c:extLst>
        </c:ser>
        <c:dLbls>
          <c:showLegendKey val="0"/>
          <c:showVal val="0"/>
          <c:showCatName val="0"/>
          <c:showSerName val="0"/>
          <c:showPercent val="0"/>
          <c:showBubbleSize val="0"/>
        </c:dLbls>
        <c:gapWidth val="150"/>
        <c:axId val="199016912"/>
        <c:axId val="259027424"/>
      </c:barChart>
      <c:catAx>
        <c:axId val="199016912"/>
        <c:scaling>
          <c:orientation val="minMax"/>
        </c:scaling>
        <c:delete val="0"/>
        <c:axPos val="b"/>
        <c:numFmt formatCode="General" sourceLinked="0"/>
        <c:majorTickMark val="out"/>
        <c:minorTickMark val="none"/>
        <c:tickLblPos val="nextTo"/>
        <c:spPr>
          <a:ln>
            <a:solidFill>
              <a:schemeClr val="tx1">
                <a:lumMod val="50000"/>
                <a:lumOff val="50000"/>
              </a:schemeClr>
            </a:solidFill>
          </a:ln>
        </c:spPr>
        <c:txPr>
          <a:bodyPr/>
          <a:lstStyle/>
          <a:p>
            <a:pPr>
              <a:defRPr b="1"/>
            </a:pPr>
            <a:endParaRPr lang="en-US"/>
          </a:p>
        </c:txPr>
        <c:crossAx val="259027424"/>
        <c:crosses val="autoZero"/>
        <c:auto val="1"/>
        <c:lblAlgn val="ctr"/>
        <c:lblOffset val="100"/>
        <c:noMultiLvlLbl val="0"/>
      </c:catAx>
      <c:valAx>
        <c:axId val="259027424"/>
        <c:scaling>
          <c:orientation val="minMax"/>
        </c:scaling>
        <c:delete val="0"/>
        <c:axPos val="l"/>
        <c:numFmt formatCode="0.0" sourceLinked="1"/>
        <c:majorTickMark val="in"/>
        <c:minorTickMark val="none"/>
        <c:tickLblPos val="nextTo"/>
        <c:spPr>
          <a:ln>
            <a:solidFill>
              <a:schemeClr val="tx1">
                <a:lumMod val="50000"/>
                <a:lumOff val="50000"/>
              </a:schemeClr>
            </a:solidFill>
          </a:ln>
        </c:spPr>
        <c:crossAx val="199016912"/>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tüfe!$W$209</c:f>
              <c:strCache>
                <c:ptCount val="1"/>
                <c:pt idx="0">
                  <c:v>Nisan 17 - Nisan 19</c:v>
                </c:pt>
              </c:strCache>
            </c:strRef>
          </c:tx>
          <c:spPr>
            <a:solidFill>
              <a:schemeClr val="accent1">
                <a:lumMod val="60000"/>
                <a:lumOff val="40000"/>
              </a:schemeClr>
            </a:solidFill>
            <a:ln>
              <a:noFill/>
            </a:ln>
            <a:effectLst/>
          </c:spPr>
          <c:invertIfNegative val="0"/>
          <c:dPt>
            <c:idx val="0"/>
            <c:invertIfNegative val="0"/>
            <c:bubble3D val="0"/>
            <c:spPr>
              <a:solidFill>
                <a:schemeClr val="accent1">
                  <a:lumMod val="50000"/>
                </a:schemeClr>
              </a:solidFill>
              <a:ln>
                <a:noFill/>
              </a:ln>
              <a:effectLst/>
            </c:spPr>
            <c:extLst>
              <c:ext xmlns:c16="http://schemas.microsoft.com/office/drawing/2014/chart" uri="{C3380CC4-5D6E-409C-BE32-E72D297353CC}">
                <c16:uniqueId val="{00000001-5615-4F56-ADEF-4DCDECD7AB78}"/>
              </c:ext>
            </c:extLst>
          </c:dPt>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615-4F56-ADEF-4DCDECD7AB78}"/>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tüfe!$X$208:$AJ$208</c:f>
              <c:strCache>
                <c:ptCount val="13"/>
                <c:pt idx="0">
                  <c:v>TÜFE (Genel)</c:v>
                </c:pt>
                <c:pt idx="1">
                  <c:v>Gıda ve alkolsüz içecekler</c:v>
                </c:pt>
                <c:pt idx="2">
                  <c:v>Alkollü içecekler ve tütün</c:v>
                </c:pt>
                <c:pt idx="3">
                  <c:v>Giyim ve ayakkabı</c:v>
                </c:pt>
                <c:pt idx="4">
                  <c:v>Konut, su, elektrik, gaz ve diğer yakıtlar</c:v>
                </c:pt>
                <c:pt idx="5">
                  <c:v>Mobilya, ev aletleri ve ev bakim hizmetleri</c:v>
                </c:pt>
                <c:pt idx="6">
                  <c:v>Sağlık</c:v>
                </c:pt>
                <c:pt idx="7">
                  <c:v>Ulaştırma</c:v>
                </c:pt>
                <c:pt idx="8">
                  <c:v>Haberleşme</c:v>
                </c:pt>
                <c:pt idx="9">
                  <c:v>Eğlence ve kültür</c:v>
                </c:pt>
                <c:pt idx="10">
                  <c:v>Eğitim</c:v>
                </c:pt>
                <c:pt idx="11">
                  <c:v>Lokanta ve oteller</c:v>
                </c:pt>
                <c:pt idx="12">
                  <c:v>Çeşitli mal ve hizmetler</c:v>
                </c:pt>
              </c:strCache>
            </c:strRef>
          </c:cat>
          <c:val>
            <c:numRef>
              <c:f>tüfe!$X$209:$AJ$209</c:f>
              <c:numCache>
                <c:formatCode>#,#00</c:formatCode>
                <c:ptCount val="13"/>
                <c:pt idx="0">
                  <c:v>32.467742457070784</c:v>
                </c:pt>
                <c:pt idx="1">
                  <c:v>43.469035561716687</c:v>
                </c:pt>
                <c:pt idx="2">
                  <c:v>10.644695489679771</c:v>
                </c:pt>
                <c:pt idx="3">
                  <c:v>18.644494834971027</c:v>
                </c:pt>
                <c:pt idx="4">
                  <c:v>27.567902326815897</c:v>
                </c:pt>
                <c:pt idx="5">
                  <c:v>49.024998942515126</c:v>
                </c:pt>
                <c:pt idx="6">
                  <c:v>31.683582714240877</c:v>
                </c:pt>
                <c:pt idx="7">
                  <c:v>31.062312943471099</c:v>
                </c:pt>
                <c:pt idx="8">
                  <c:v>10.134428678117994</c:v>
                </c:pt>
                <c:pt idx="9">
                  <c:v>29.087146470452979</c:v>
                </c:pt>
                <c:pt idx="10">
                  <c:v>25.067809664132877</c:v>
                </c:pt>
                <c:pt idx="11">
                  <c:v>33.786706504046904</c:v>
                </c:pt>
                <c:pt idx="12">
                  <c:v>42.795944975121728</c:v>
                </c:pt>
              </c:numCache>
            </c:numRef>
          </c:val>
          <c:extLst>
            <c:ext xmlns:c16="http://schemas.microsoft.com/office/drawing/2014/chart" uri="{C3380CC4-5D6E-409C-BE32-E72D297353CC}">
              <c16:uniqueId val="{00000002-5615-4F56-ADEF-4DCDECD7AB78}"/>
            </c:ext>
          </c:extLst>
        </c:ser>
        <c:dLbls>
          <c:dLblPos val="outEnd"/>
          <c:showLegendKey val="0"/>
          <c:showVal val="1"/>
          <c:showCatName val="0"/>
          <c:showSerName val="0"/>
          <c:showPercent val="0"/>
          <c:showBubbleSize val="0"/>
        </c:dLbls>
        <c:gapWidth val="219"/>
        <c:overlap val="-27"/>
        <c:axId val="255461008"/>
        <c:axId val="255461568"/>
      </c:barChart>
      <c:catAx>
        <c:axId val="255461008"/>
        <c:scaling>
          <c:orientation val="minMax"/>
        </c:scaling>
        <c:delete val="0"/>
        <c:axPos val="b"/>
        <c:numFmt formatCode="General" sourceLinked="1"/>
        <c:majorTickMark val="none"/>
        <c:minorTickMark val="none"/>
        <c:tickLblPos val="nextTo"/>
        <c:spPr>
          <a:noFill/>
          <a:ln w="9525" cap="flat" cmpd="sng" algn="ctr">
            <a:solidFill>
              <a:schemeClr val="tx1">
                <a:lumMod val="50000"/>
                <a:lumOff val="50000"/>
              </a:schemeClr>
            </a:solidFill>
            <a:round/>
          </a:ln>
          <a:effectLst/>
        </c:spPr>
        <c:txPr>
          <a:bodyPr rot="0" spcFirstLastPara="1" vertOverflow="ellipsis" wrap="square" anchor="ctr" anchorCtr="1"/>
          <a:lstStyle/>
          <a:p>
            <a:pPr>
              <a:defRPr sz="640" b="1" i="0" u="none" strike="noStrike" kern="1200" baseline="0">
                <a:solidFill>
                  <a:sysClr val="windowText" lastClr="000000"/>
                </a:solidFill>
                <a:latin typeface="+mn-lt"/>
                <a:ea typeface="+mn-ea"/>
                <a:cs typeface="+mn-cs"/>
              </a:defRPr>
            </a:pPr>
            <a:endParaRPr lang="en-US"/>
          </a:p>
        </c:txPr>
        <c:crossAx val="255461568"/>
        <c:crosses val="autoZero"/>
        <c:auto val="1"/>
        <c:lblAlgn val="ctr"/>
        <c:lblOffset val="100"/>
        <c:noMultiLvlLbl val="0"/>
      </c:catAx>
      <c:valAx>
        <c:axId val="255461568"/>
        <c:scaling>
          <c:orientation val="minMax"/>
        </c:scaling>
        <c:delete val="0"/>
        <c:axPos val="l"/>
        <c:numFmt formatCode="#,##0.0" sourceLinked="0"/>
        <c:majorTickMark val="in"/>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2554610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4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C00000"/>
            </a:solidFill>
            <a:ln>
              <a:noFill/>
            </a:ln>
            <a:effectLst/>
          </c:spPr>
          <c:invertIfNegative val="0"/>
          <c:dPt>
            <c:idx val="0"/>
            <c:invertIfNegative val="0"/>
            <c:bubble3D val="0"/>
            <c:spPr>
              <a:solidFill>
                <a:schemeClr val="accent6">
                  <a:lumMod val="20000"/>
                  <a:lumOff val="80000"/>
                </a:schemeClr>
              </a:solidFill>
              <a:ln>
                <a:noFill/>
              </a:ln>
              <a:effectLst/>
            </c:spPr>
            <c:extLst>
              <c:ext xmlns:c16="http://schemas.microsoft.com/office/drawing/2014/chart" uri="{C3380CC4-5D6E-409C-BE32-E72D297353CC}">
                <c16:uniqueId val="{00000000-4D8A-4C24-8862-486037E0D484}"/>
              </c:ext>
            </c:extLst>
          </c:dPt>
          <c:dPt>
            <c:idx val="1"/>
            <c:invertIfNegative val="0"/>
            <c:bubble3D val="0"/>
            <c:spPr>
              <a:solidFill>
                <a:schemeClr val="accent6">
                  <a:lumMod val="40000"/>
                  <a:lumOff val="60000"/>
                </a:schemeClr>
              </a:solidFill>
              <a:ln>
                <a:noFill/>
              </a:ln>
              <a:effectLst/>
            </c:spPr>
            <c:extLst>
              <c:ext xmlns:c16="http://schemas.microsoft.com/office/drawing/2014/chart" uri="{C3380CC4-5D6E-409C-BE32-E72D297353CC}">
                <c16:uniqueId val="{00000001-4D8A-4C24-8862-486037E0D484}"/>
              </c:ext>
            </c:extLst>
          </c:dPt>
          <c:dPt>
            <c:idx val="2"/>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2-4D8A-4C24-8862-486037E0D484}"/>
              </c:ext>
            </c:extLst>
          </c:dPt>
          <c:dPt>
            <c:idx val="3"/>
            <c:invertIfNegative val="0"/>
            <c:bubble3D val="0"/>
            <c:spPr>
              <a:solidFill>
                <a:schemeClr val="accent6">
                  <a:lumMod val="75000"/>
                </a:schemeClr>
              </a:solidFill>
              <a:ln>
                <a:noFill/>
              </a:ln>
              <a:effectLst/>
            </c:spPr>
            <c:extLst>
              <c:ext xmlns:c16="http://schemas.microsoft.com/office/drawing/2014/chart" uri="{C3380CC4-5D6E-409C-BE32-E72D297353CC}">
                <c16:uniqueId val="{00000003-4D8A-4C24-8862-486037E0D484}"/>
              </c:ext>
            </c:extLst>
          </c:dPt>
          <c:dPt>
            <c:idx val="4"/>
            <c:invertIfNegative val="0"/>
            <c:bubble3D val="0"/>
            <c:spPr>
              <a:solidFill>
                <a:schemeClr val="accent6">
                  <a:lumMod val="50000"/>
                </a:schemeClr>
              </a:solidFill>
              <a:ln>
                <a:noFill/>
              </a:ln>
              <a:effectLst/>
            </c:spPr>
            <c:extLst>
              <c:ext xmlns:c16="http://schemas.microsoft.com/office/drawing/2014/chart" uri="{C3380CC4-5D6E-409C-BE32-E72D297353CC}">
                <c16:uniqueId val="{00000004-4D8A-4C24-8862-486037E0D484}"/>
              </c:ext>
            </c:extLst>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(yoksul_zengin_fark!$C$57,yoksul_zengin_fark!$C$53,yoksul_zengin_fark!$C$49,yoksul_zengin_fark!$C$45,yoksul_zengin_fark!$C$41)</c:f>
              <c:strCache>
                <c:ptCount val="5"/>
                <c:pt idx="0">
                  <c:v>En zengin</c:v>
                </c:pt>
                <c:pt idx="1">
                  <c:v>Zengin</c:v>
                </c:pt>
                <c:pt idx="2">
                  <c:v>Orta</c:v>
                </c:pt>
                <c:pt idx="3">
                  <c:v>Yoksul</c:v>
                </c:pt>
                <c:pt idx="4">
                  <c:v>En yoksul</c:v>
                </c:pt>
              </c:strCache>
            </c:strRef>
          </c:cat>
          <c:val>
            <c:numRef>
              <c:f>(yoksul_zengin_fark!$E$60,yoksul_zengin_fark!$E$56,yoksul_zengin_fark!$E$52,yoksul_zengin_fark!$E$48,yoksul_zengin_fark!$E$44)</c:f>
              <c:numCache>
                <c:formatCode>0.00</c:formatCode>
                <c:ptCount val="5"/>
                <c:pt idx="0">
                  <c:v>132.08171479811836</c:v>
                </c:pt>
                <c:pt idx="1">
                  <c:v>131.92093580160878</c:v>
                </c:pt>
                <c:pt idx="2">
                  <c:v>131.91055468757767</c:v>
                </c:pt>
                <c:pt idx="3">
                  <c:v>131.75012094525837</c:v>
                </c:pt>
                <c:pt idx="4">
                  <c:v>132.4435189977203</c:v>
                </c:pt>
              </c:numCache>
            </c:numRef>
          </c:val>
          <c:extLst>
            <c:ext xmlns:c16="http://schemas.microsoft.com/office/drawing/2014/chart" uri="{C3380CC4-5D6E-409C-BE32-E72D297353CC}">
              <c16:uniqueId val="{00000000-25C7-49B6-9FEF-2892628D0BA6}"/>
            </c:ext>
          </c:extLst>
        </c:ser>
        <c:dLbls>
          <c:dLblPos val="outEnd"/>
          <c:showLegendKey val="0"/>
          <c:showVal val="1"/>
          <c:showCatName val="0"/>
          <c:showSerName val="0"/>
          <c:showPercent val="0"/>
          <c:showBubbleSize val="0"/>
        </c:dLbls>
        <c:gapWidth val="150"/>
        <c:overlap val="-27"/>
        <c:axId val="199507856"/>
        <c:axId val="199508416"/>
      </c:barChart>
      <c:catAx>
        <c:axId val="199507856"/>
        <c:scaling>
          <c:orientation val="minMax"/>
        </c:scaling>
        <c:delete val="0"/>
        <c:axPos val="b"/>
        <c:numFmt formatCode="General" sourceLinked="1"/>
        <c:majorTickMark val="out"/>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crossAx val="199508416"/>
        <c:crosses val="autoZero"/>
        <c:auto val="1"/>
        <c:lblAlgn val="ctr"/>
        <c:lblOffset val="100"/>
        <c:noMultiLvlLbl val="0"/>
      </c:catAx>
      <c:valAx>
        <c:axId val="199508416"/>
        <c:scaling>
          <c:orientation val="minMax"/>
          <c:max val="134"/>
          <c:min val="130"/>
        </c:scaling>
        <c:delete val="0"/>
        <c:axPos val="l"/>
        <c:numFmt formatCode="#,##0.00" sourceLinked="0"/>
        <c:majorTickMark val="in"/>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en-US"/>
          </a:p>
        </c:txPr>
        <c:crossAx val="1995078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2"/>
          <c:order val="0"/>
          <c:tx>
            <c:strRef>
              <c:f>yoksul_zengin_fark!$Z$3</c:f>
              <c:strCache>
                <c:ptCount val="1"/>
                <c:pt idx="0">
                  <c:v>FARK</c:v>
                </c:pt>
              </c:strCache>
            </c:strRef>
          </c:tx>
          <c:spPr>
            <a:solidFill>
              <a:schemeClr val="accent1">
                <a:lumMod val="75000"/>
              </a:schemeClr>
            </a:solidFill>
            <a:ln>
              <a:noFill/>
            </a:ln>
            <a:effectLst/>
          </c:spPr>
          <c:invertIfNegative val="0"/>
          <c:dPt>
            <c:idx val="9"/>
            <c:invertIfNegative val="0"/>
            <c:bubble3D val="0"/>
            <c:spPr>
              <a:solidFill>
                <a:srgbClr val="C00000"/>
              </a:solidFill>
              <a:ln>
                <a:noFill/>
              </a:ln>
              <a:effectLst/>
            </c:spPr>
            <c:extLst>
              <c:ext xmlns:c16="http://schemas.microsoft.com/office/drawing/2014/chart" uri="{C3380CC4-5D6E-409C-BE32-E72D297353CC}">
                <c16:uniqueId val="{00000001-5258-499F-8AB3-80F001D0A297}"/>
              </c:ext>
            </c:extLst>
          </c:dPt>
          <c:dPt>
            <c:idx val="10"/>
            <c:invertIfNegative val="0"/>
            <c:bubble3D val="0"/>
            <c:spPr>
              <a:solidFill>
                <a:srgbClr val="C00000"/>
              </a:solidFill>
              <a:ln>
                <a:noFill/>
              </a:ln>
              <a:effectLst/>
            </c:spPr>
            <c:extLst>
              <c:ext xmlns:c16="http://schemas.microsoft.com/office/drawing/2014/chart" uri="{C3380CC4-5D6E-409C-BE32-E72D297353CC}">
                <c16:uniqueId val="{00000003-5258-499F-8AB3-80F001D0A297}"/>
              </c:ext>
            </c:extLst>
          </c:dPt>
          <c:dPt>
            <c:idx val="11"/>
            <c:invertIfNegative val="0"/>
            <c:bubble3D val="0"/>
            <c:spPr>
              <a:solidFill>
                <a:srgbClr val="C00000"/>
              </a:solidFill>
              <a:ln>
                <a:noFill/>
              </a:ln>
              <a:effectLst/>
            </c:spPr>
            <c:extLst>
              <c:ext xmlns:c16="http://schemas.microsoft.com/office/drawing/2014/chart" uri="{C3380CC4-5D6E-409C-BE32-E72D297353CC}">
                <c16:uniqueId val="{00000005-5258-499F-8AB3-80F001D0A297}"/>
              </c:ext>
            </c:extLst>
          </c:dPt>
          <c:dLbls>
            <c:dLbl>
              <c:idx val="0"/>
              <c:layout>
                <c:manualLayout>
                  <c:x val="-0.50092042362108047"/>
                  <c:y val="0"/>
                </c:manualLayout>
              </c:layout>
              <c:dLblPos val="outEnd"/>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258-499F-8AB3-80F001D0A297}"/>
                </c:ext>
              </c:extLst>
            </c:dLbl>
            <c:dLbl>
              <c:idx val="10"/>
              <c:layout>
                <c:manualLayout>
                  <c:x val="-0.48645242596093258"/>
                  <c:y val="7.677543186180422E-3"/>
                </c:manualLayout>
              </c:layout>
              <c:dLblPos val="outEnd"/>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258-499F-8AB3-80F001D0A297}"/>
                </c:ext>
              </c:extLst>
            </c:dLbl>
            <c:dLbl>
              <c:idx val="11"/>
              <c:layout>
                <c:manualLayout>
                  <c:x val="-0.49600982197667282"/>
                  <c:y val="5.1183621241202813E-3"/>
                </c:manualLayout>
              </c:layout>
              <c:dLblPos val="outEnd"/>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258-499F-8AB3-80F001D0A29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0"/>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yoksul_zengin_fark!$W$56:$W$67</c:f>
              <c:strCache>
                <c:ptCount val="12"/>
                <c:pt idx="0">
                  <c:v>Ulaştırma</c:v>
                </c:pt>
                <c:pt idx="1">
                  <c:v>Çeşitli mal ve hizmetler</c:v>
                </c:pt>
                <c:pt idx="2">
                  <c:v>Lokanta ve oteller</c:v>
                </c:pt>
                <c:pt idx="3">
                  <c:v>Eğitim</c:v>
                </c:pt>
                <c:pt idx="4">
                  <c:v>Mobilya, ev aletleri ve ev bakim hizmetleri</c:v>
                </c:pt>
                <c:pt idx="5">
                  <c:v>Eğlence ve kültür</c:v>
                </c:pt>
                <c:pt idx="6">
                  <c:v>Giyim ve ayakkabı</c:v>
                </c:pt>
                <c:pt idx="7">
                  <c:v>Haberleşme</c:v>
                </c:pt>
                <c:pt idx="8">
                  <c:v>Sağlık</c:v>
                </c:pt>
                <c:pt idx="9">
                  <c:v>Alkollü içecekler ve tütün</c:v>
                </c:pt>
                <c:pt idx="10">
                  <c:v>Gıda ve alkolsüz içecekler</c:v>
                </c:pt>
                <c:pt idx="11">
                  <c:v>Konut, su, elektrik, gaz ve diğer yakıtlar</c:v>
                </c:pt>
              </c:strCache>
            </c:strRef>
          </c:cat>
          <c:val>
            <c:numRef>
              <c:f>yoksul_zengin_fark!$Z$56:$Z$67</c:f>
              <c:numCache>
                <c:formatCode>0.00</c:formatCode>
                <c:ptCount val="12"/>
                <c:pt idx="0">
                  <c:v>-29.96519536773291</c:v>
                </c:pt>
                <c:pt idx="1">
                  <c:v>-6.5185567880269879</c:v>
                </c:pt>
                <c:pt idx="2">
                  <c:v>-4.6149658781589222</c:v>
                </c:pt>
                <c:pt idx="3">
                  <c:v>-4.1747436646622589</c:v>
                </c:pt>
                <c:pt idx="4">
                  <c:v>-2.8413138271864655</c:v>
                </c:pt>
                <c:pt idx="5">
                  <c:v>-1.9735008723902894</c:v>
                </c:pt>
                <c:pt idx="6">
                  <c:v>-1.9500559101870754</c:v>
                </c:pt>
                <c:pt idx="7">
                  <c:v>-0.30139621896819646</c:v>
                </c:pt>
                <c:pt idx="8">
                  <c:v>-0.2910974252524634</c:v>
                </c:pt>
                <c:pt idx="9">
                  <c:v>3.078653411845707</c:v>
                </c:pt>
                <c:pt idx="10">
                  <c:v>24.40507411907878</c:v>
                </c:pt>
                <c:pt idx="11">
                  <c:v>25.508902621243006</c:v>
                </c:pt>
              </c:numCache>
            </c:numRef>
          </c:val>
          <c:extLst>
            <c:ext xmlns:c16="http://schemas.microsoft.com/office/drawing/2014/chart" uri="{C3380CC4-5D6E-409C-BE32-E72D297353CC}">
              <c16:uniqueId val="{00000007-5258-499F-8AB3-80F001D0A297}"/>
            </c:ext>
          </c:extLst>
        </c:ser>
        <c:dLbls>
          <c:showLegendKey val="0"/>
          <c:showVal val="1"/>
          <c:showCatName val="0"/>
          <c:showSerName val="0"/>
          <c:showPercent val="0"/>
          <c:showBubbleSize val="0"/>
        </c:dLbls>
        <c:gapWidth val="94"/>
        <c:axId val="199510656"/>
        <c:axId val="198672064"/>
      </c:barChart>
      <c:catAx>
        <c:axId val="199510656"/>
        <c:scaling>
          <c:orientation val="minMax"/>
        </c:scaling>
        <c:delete val="1"/>
        <c:axPos val="l"/>
        <c:numFmt formatCode="General" sourceLinked="1"/>
        <c:majorTickMark val="none"/>
        <c:minorTickMark val="none"/>
        <c:tickLblPos val="nextTo"/>
        <c:crossAx val="198672064"/>
        <c:crosses val="autoZero"/>
        <c:auto val="1"/>
        <c:lblAlgn val="ctr"/>
        <c:lblOffset val="100"/>
        <c:noMultiLvlLbl val="0"/>
      </c:catAx>
      <c:valAx>
        <c:axId val="198672064"/>
        <c:scaling>
          <c:orientation val="minMax"/>
          <c:max val="35"/>
          <c:min val="-35"/>
        </c:scaling>
        <c:delete val="0"/>
        <c:axPos val="b"/>
        <c:majorGridlines>
          <c:spPr>
            <a:ln w="9525" cap="flat" cmpd="sng" algn="ctr">
              <a:solidFill>
                <a:schemeClr val="accent1">
                  <a:lumMod val="20000"/>
                  <a:lumOff val="80000"/>
                </a:schemeClr>
              </a:solidFill>
              <a:round/>
            </a:ln>
            <a:effectLst/>
          </c:spPr>
        </c:majorGridlines>
        <c:numFmt formatCode="0" sourceLinked="0"/>
        <c:majorTickMark val="none"/>
        <c:minorTickMark val="none"/>
        <c:tickLblPos val="nextTo"/>
        <c:spPr>
          <a:noFill/>
          <a:ln>
            <a:solidFill>
              <a:schemeClr val="tx1">
                <a:lumMod val="65000"/>
                <a:lumOff val="35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995106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F5A2C-5330-4CC0-8BE8-9C363FE76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9</Pages>
  <Words>2208</Words>
  <Characters>12586</Characters>
  <Application>Microsoft Office Word</Application>
  <DocSecurity>0</DocSecurity>
  <Lines>104</Lines>
  <Paragraphs>29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duygu.guner</dc:creator>
  <cp:keywords/>
  <dc:description/>
  <cp:lastModifiedBy>Furkan KAVUNCU</cp:lastModifiedBy>
  <cp:revision>6</cp:revision>
  <dcterms:created xsi:type="dcterms:W3CDTF">2019-06-12T08:19:00Z</dcterms:created>
  <dcterms:modified xsi:type="dcterms:W3CDTF">2019-06-13T10:44:00Z</dcterms:modified>
</cp:coreProperties>
</file>