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6551" w14:textId="115D66A3" w:rsidR="00CF452C" w:rsidRPr="00357869" w:rsidRDefault="00CE410A" w:rsidP="00170159">
      <w:pPr>
        <w:jc w:val="both"/>
        <w:rPr>
          <w:rFonts w:ascii="Calibri" w:hAnsi="Calibri" w:cs="Calibri"/>
          <w:lang w:val="en-US"/>
        </w:rPr>
      </w:pPr>
      <w:r w:rsidRPr="00357869">
        <w:rPr>
          <w:rFonts w:ascii="Calibri" w:hAnsi="Calibri" w:cs="Calibri"/>
          <w:noProof/>
          <w:color w:val="FF0000"/>
          <w:lang w:eastAsia="en-GB"/>
        </w:rPr>
        <mc:AlternateContent>
          <mc:Choice Requires="wps">
            <w:drawing>
              <wp:anchor distT="0" distB="0" distL="114935" distR="114935" simplePos="0" relativeHeight="251663360" behindDoc="0" locked="0" layoutInCell="1" allowOverlap="1" wp14:anchorId="473733B6" wp14:editId="7E1B8013">
                <wp:simplePos x="0" y="0"/>
                <wp:positionH relativeFrom="column">
                  <wp:posOffset>5158105</wp:posOffset>
                </wp:positionH>
                <wp:positionV relativeFrom="page">
                  <wp:posOffset>1143000</wp:posOffset>
                </wp:positionV>
                <wp:extent cx="1478280" cy="2990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6713A" w14:textId="79A58407" w:rsidR="00961FB7" w:rsidRPr="009E523F" w:rsidRDefault="00961FB7" w:rsidP="00CE410A">
                            <w:pPr>
                              <w:pStyle w:val="Heading3"/>
                              <w:ind w:firstLine="720"/>
                              <w:jc w:val="center"/>
                              <w:rPr>
                                <w:b/>
                              </w:rPr>
                            </w:pPr>
                            <w:r>
                              <w:rPr>
                                <w:b/>
                                <w:color w:val="FFFFFF"/>
                                <w:sz w:val="22"/>
                                <w:szCs w:val="22"/>
                              </w:rPr>
                              <w:t>22 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733B6" id="_x0000_t202" coordsize="21600,21600" o:spt="202" path="m,l,21600r21600,l21600,xe">
                <v:stroke joinstyle="miter"/>
                <v:path gradientshapeok="t" o:connecttype="rect"/>
              </v:shapetype>
              <v:shape id="Text Box 2" o:spid="_x0000_s1026" type="#_x0000_t202" style="position:absolute;left:0;text-align:left;margin-left:406.15pt;margin-top:90pt;width:116.4pt;height:23.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" stroked="f">
                <v:fill opacity="0"/>
                <v:textbox inset="0,0,0,0">
                  <w:txbxContent>
                    <w:p w14:paraId="5E76713A" w14:textId="79A58407" w:rsidR="00961FB7" w:rsidRPr="009E523F" w:rsidRDefault="00961FB7" w:rsidP="00CE410A">
                      <w:pPr>
                        <w:pStyle w:val="Heading3"/>
                        <w:ind w:firstLine="720"/>
                        <w:jc w:val="center"/>
                        <w:rPr>
                          <w:b/>
                        </w:rPr>
                      </w:pPr>
                      <w:r>
                        <w:rPr>
                          <w:b/>
                          <w:color w:val="FFFFFF"/>
                          <w:sz w:val="22"/>
                          <w:szCs w:val="22"/>
                        </w:rPr>
                        <w:t>22 February 2019</w:t>
                      </w:r>
                    </w:p>
                  </w:txbxContent>
                </v:textbox>
                <w10:wrap anchory="page"/>
              </v:shape>
            </w:pict>
          </mc:Fallback>
        </mc:AlternateContent>
      </w:r>
      <w:r w:rsidR="00BB0A0A" w:rsidRPr="00357869">
        <w:rPr>
          <w:rFonts w:ascii="Calibri" w:hAnsi="Calibri" w:cs="Calibri"/>
          <w:noProof/>
          <w:color w:val="FF0000"/>
          <w:lang w:eastAsia="en-GB"/>
        </w:rPr>
        <mc:AlternateContent>
          <mc:Choice Requires="wps">
            <w:drawing>
              <wp:anchor distT="0" distB="0" distL="114935" distR="114935" simplePos="0" relativeHeight="251661312" behindDoc="0" locked="0" layoutInCell="1" allowOverlap="1" wp14:anchorId="72BA2D8F" wp14:editId="76BC15DD">
                <wp:simplePos x="0" y="0"/>
                <wp:positionH relativeFrom="column">
                  <wp:posOffset>1500505</wp:posOffset>
                </wp:positionH>
                <wp:positionV relativeFrom="page">
                  <wp:posOffset>371475</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B2504" w14:textId="637451A6" w:rsidR="00961FB7" w:rsidRPr="002865A7" w:rsidRDefault="00961FB7" w:rsidP="00BB0A0A">
                            <w:pPr>
                              <w:pStyle w:val="Heading1"/>
                              <w:rPr>
                                <w:rFonts w:ascii="Times New Roman" w:hAnsi="Times New Roman"/>
                                <w:sz w:val="52"/>
                                <w:szCs w:val="52"/>
                              </w:rPr>
                            </w:pPr>
                            <w:proofErr w:type="spellStart"/>
                            <w:r>
                              <w:rPr>
                                <w:rFonts w:ascii="Times New Roman" w:hAnsi="Times New Roman"/>
                                <w:sz w:val="52"/>
                                <w:szCs w:val="52"/>
                              </w:rPr>
                              <w:t>Research</w:t>
                            </w:r>
                            <w:proofErr w:type="spellEnd"/>
                            <w:r>
                              <w:rPr>
                                <w:rFonts w:ascii="Times New Roman" w:hAnsi="Times New Roman"/>
                                <w:sz w:val="52"/>
                                <w:szCs w:val="52"/>
                              </w:rPr>
                              <w:t xml:space="preserve"> </w:t>
                            </w:r>
                            <w:proofErr w:type="spellStart"/>
                            <w:r>
                              <w:rPr>
                                <w:rFonts w:ascii="Times New Roman" w:hAnsi="Times New Roman"/>
                                <w:sz w:val="52"/>
                                <w:szCs w:val="52"/>
                              </w:rPr>
                              <w:t>Brief</w:t>
                            </w:r>
                            <w:proofErr w:type="spellEnd"/>
                            <w:r>
                              <w:rPr>
                                <w:rFonts w:ascii="Times New Roman" w:hAnsi="Times New Roman"/>
                                <w:sz w:val="52"/>
                                <w:szCs w:val="52"/>
                              </w:rPr>
                              <w:t xml:space="preserve"> 19/236</w:t>
                            </w:r>
                            <w:r w:rsidRPr="00C413BD">
                              <w:rPr>
                                <w:rFonts w:ascii="Times New Roman" w:hAnsi="Times New Roman"/>
                                <w:noProof/>
                                <w:sz w:val="52"/>
                                <w:szCs w:val="52"/>
                                <w:lang w:val="en-GB" w:eastAsia="en-GB"/>
                              </w:rPr>
                              <w:drawing>
                                <wp:inline distT="0" distB="0" distL="0" distR="0" wp14:anchorId="09A31D48" wp14:editId="51A6FAA5">
                                  <wp:extent cx="1476375" cy="295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6FB7F2FA" w14:textId="77777777" w:rsidR="00961FB7" w:rsidRPr="00526178" w:rsidRDefault="00961FB7" w:rsidP="00BB0A0A">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2D8F" id="Text Box 3" o:spid="_x0000_s1027" type="#_x0000_t202" style="position:absolute;left:0;text-align:left;margin-left:118.15pt;margin-top:29.25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" stroked="f">
                <v:fill opacity="0"/>
                <v:textbox inset="0,0,0,0">
                  <w:txbxContent>
                    <w:p w14:paraId="7BAB2504" w14:textId="637451A6" w:rsidR="00961FB7" w:rsidRPr="002865A7" w:rsidRDefault="00961FB7" w:rsidP="00BB0A0A">
                      <w:pPr>
                        <w:pStyle w:val="Heading1"/>
                        <w:rPr>
                          <w:rFonts w:ascii="Times New Roman" w:hAnsi="Times New Roman"/>
                          <w:sz w:val="52"/>
                          <w:szCs w:val="52"/>
                        </w:rPr>
                      </w:pPr>
                      <w:proofErr w:type="spellStart"/>
                      <w:r>
                        <w:rPr>
                          <w:rFonts w:ascii="Times New Roman" w:hAnsi="Times New Roman"/>
                          <w:sz w:val="52"/>
                          <w:szCs w:val="52"/>
                        </w:rPr>
                        <w:t>Research</w:t>
                      </w:r>
                      <w:proofErr w:type="spellEnd"/>
                      <w:r>
                        <w:rPr>
                          <w:rFonts w:ascii="Times New Roman" w:hAnsi="Times New Roman"/>
                          <w:sz w:val="52"/>
                          <w:szCs w:val="52"/>
                        </w:rPr>
                        <w:t xml:space="preserve"> </w:t>
                      </w:r>
                      <w:proofErr w:type="spellStart"/>
                      <w:r>
                        <w:rPr>
                          <w:rFonts w:ascii="Times New Roman" w:hAnsi="Times New Roman"/>
                          <w:sz w:val="52"/>
                          <w:szCs w:val="52"/>
                        </w:rPr>
                        <w:t>Brief</w:t>
                      </w:r>
                      <w:proofErr w:type="spellEnd"/>
                      <w:r>
                        <w:rPr>
                          <w:rFonts w:ascii="Times New Roman" w:hAnsi="Times New Roman"/>
                          <w:sz w:val="52"/>
                          <w:szCs w:val="52"/>
                        </w:rPr>
                        <w:t xml:space="preserve"> 19/236</w:t>
                      </w:r>
                      <w:r w:rsidRPr="00C413BD">
                        <w:rPr>
                          <w:rFonts w:ascii="Times New Roman" w:hAnsi="Times New Roman"/>
                          <w:noProof/>
                          <w:sz w:val="52"/>
                          <w:szCs w:val="52"/>
                          <w:lang w:val="en-GB" w:eastAsia="en-GB"/>
                        </w:rPr>
                        <w:drawing>
                          <wp:inline distT="0" distB="0" distL="0" distR="0" wp14:anchorId="09A31D48" wp14:editId="51A6FAA5">
                            <wp:extent cx="1476375" cy="295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6FB7F2FA" w14:textId="77777777" w:rsidR="00961FB7" w:rsidRPr="00526178" w:rsidRDefault="00961FB7" w:rsidP="00BB0A0A">
                      <w:pPr>
                        <w:pStyle w:val="Heading2"/>
                        <w:rPr>
                          <w:b w:val="0"/>
                          <w:bCs w:val="0"/>
                          <w:i w:val="0"/>
                          <w:iCs w:val="0"/>
                        </w:rPr>
                      </w:pPr>
                    </w:p>
                  </w:txbxContent>
                </v:textbox>
                <w10:wrap anchory="page"/>
              </v:shape>
            </w:pict>
          </mc:Fallback>
        </mc:AlternateContent>
      </w:r>
      <w:r w:rsidR="00CF452C" w:rsidRPr="00357869">
        <w:rPr>
          <w:rFonts w:ascii="Calibri" w:hAnsi="Calibri" w:cs="Calibri"/>
          <w:noProof/>
          <w:color w:val="FF0000"/>
          <w:lang w:eastAsia="en-GB"/>
        </w:rPr>
        <w:drawing>
          <wp:anchor distT="0" distB="0" distL="114300" distR="114300" simplePos="0" relativeHeight="251659264" behindDoc="1" locked="0" layoutInCell="1" allowOverlap="1" wp14:anchorId="328174B0" wp14:editId="2B665CE1">
            <wp:simplePos x="0" y="0"/>
            <wp:positionH relativeFrom="page">
              <wp:align>right</wp:align>
            </wp:positionH>
            <wp:positionV relativeFrom="paragraph">
              <wp:posOffset>-828233</wp:posOffset>
            </wp:positionV>
            <wp:extent cx="7553739" cy="1376984"/>
            <wp:effectExtent l="0" t="0" r="0" b="0"/>
            <wp:wrapNone/>
            <wp:docPr id="1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0" cstate="print"/>
                    <a:srcRect/>
                    <a:stretch>
                      <a:fillRect/>
                    </a:stretch>
                  </pic:blipFill>
                  <pic:spPr bwMode="auto">
                    <a:xfrm>
                      <a:off x="0" y="0"/>
                      <a:ext cx="7553739" cy="1376984"/>
                    </a:xfrm>
                    <a:prstGeom prst="rect">
                      <a:avLst/>
                    </a:prstGeom>
                    <a:noFill/>
                  </pic:spPr>
                </pic:pic>
              </a:graphicData>
            </a:graphic>
            <wp14:sizeRelH relativeFrom="margin">
              <wp14:pctWidth>0</wp14:pctWidth>
            </wp14:sizeRelH>
            <wp14:sizeRelV relativeFrom="margin">
              <wp14:pctHeight>0</wp14:pctHeight>
            </wp14:sizeRelV>
          </wp:anchor>
        </w:drawing>
      </w:r>
    </w:p>
    <w:p w14:paraId="1867B2A2" w14:textId="77777777" w:rsidR="00CF452C" w:rsidRPr="00357869" w:rsidRDefault="00CF452C" w:rsidP="00170159">
      <w:pPr>
        <w:jc w:val="both"/>
        <w:rPr>
          <w:rFonts w:ascii="Calibri" w:hAnsi="Calibri" w:cs="Calibri"/>
          <w:lang w:val="en-US"/>
        </w:rPr>
      </w:pPr>
    </w:p>
    <w:p w14:paraId="5F6D80D4" w14:textId="77777777" w:rsidR="00CE410A" w:rsidRPr="00357869" w:rsidRDefault="00CE410A" w:rsidP="00A52A4C">
      <w:pPr>
        <w:jc w:val="center"/>
        <w:rPr>
          <w:rFonts w:ascii="Calibri" w:hAnsi="Calibri" w:cs="Calibri"/>
          <w:b/>
          <w:sz w:val="32"/>
          <w:szCs w:val="32"/>
          <w:highlight w:val="yellow"/>
          <w:lang w:val="en-US"/>
        </w:rPr>
      </w:pPr>
    </w:p>
    <w:p w14:paraId="79D4E542" w14:textId="2D9B399D" w:rsidR="00B05EDA" w:rsidRPr="00357869" w:rsidRDefault="004241CE" w:rsidP="00A52A4C">
      <w:pPr>
        <w:jc w:val="center"/>
        <w:rPr>
          <w:rFonts w:ascii="Calibri" w:hAnsi="Calibri" w:cs="Calibri"/>
          <w:b/>
          <w:sz w:val="32"/>
          <w:szCs w:val="32"/>
          <w:lang w:val="en-US"/>
        </w:rPr>
      </w:pPr>
      <w:r w:rsidRPr="00357869">
        <w:rPr>
          <w:rFonts w:ascii="Calibri" w:hAnsi="Calibri" w:cs="Calibri"/>
          <w:b/>
          <w:sz w:val="32"/>
          <w:szCs w:val="32"/>
          <w:lang w:val="en-US"/>
        </w:rPr>
        <w:t>STRIKING FINDINGS REGARDING THE TURKISH LABOR MARKET:</w:t>
      </w:r>
    </w:p>
    <w:p w14:paraId="76F73800" w14:textId="36FE15CD" w:rsidR="00B05EDA" w:rsidRPr="00357869" w:rsidRDefault="004241CE" w:rsidP="00A52A4C">
      <w:pPr>
        <w:jc w:val="center"/>
        <w:rPr>
          <w:rFonts w:ascii="Calibri" w:hAnsi="Calibri" w:cs="Calibri"/>
          <w:b/>
          <w:sz w:val="32"/>
          <w:szCs w:val="32"/>
          <w:lang w:val="en-US"/>
        </w:rPr>
      </w:pPr>
      <w:r w:rsidRPr="00357869">
        <w:rPr>
          <w:rFonts w:ascii="Calibri" w:hAnsi="Calibri" w:cs="Calibri"/>
          <w:b/>
          <w:sz w:val="32"/>
          <w:szCs w:val="32"/>
          <w:lang w:val="en-US"/>
        </w:rPr>
        <w:t xml:space="preserve">PERSISTENT </w:t>
      </w:r>
      <w:r w:rsidR="00B05EDA" w:rsidRPr="00357869">
        <w:rPr>
          <w:rFonts w:ascii="Calibri" w:hAnsi="Calibri" w:cs="Calibri"/>
          <w:b/>
          <w:sz w:val="32"/>
          <w:szCs w:val="32"/>
          <w:lang w:val="en-US"/>
        </w:rPr>
        <w:t>YOUTH FEMALE UNEMPLOYMENT</w:t>
      </w:r>
    </w:p>
    <w:p w14:paraId="794E09A2" w14:textId="495BDF74" w:rsidR="00CF452C" w:rsidRPr="00357869" w:rsidRDefault="00CF452C" w:rsidP="00A52A4C">
      <w:pPr>
        <w:spacing w:before="120" w:line="276" w:lineRule="auto"/>
        <w:jc w:val="center"/>
        <w:rPr>
          <w:rFonts w:ascii="Calibri" w:hAnsi="Calibri" w:cs="Calibri"/>
          <w:b/>
          <w:bCs/>
          <w:lang w:val="en-US"/>
        </w:rPr>
      </w:pPr>
      <w:r w:rsidRPr="00357869">
        <w:rPr>
          <w:rFonts w:ascii="Calibri" w:hAnsi="Calibri" w:cs="Calibri"/>
          <w:b/>
          <w:bCs/>
          <w:lang w:val="en-US"/>
        </w:rPr>
        <w:t>Seyfettin Gürsel</w:t>
      </w:r>
      <w:r w:rsidRPr="00357869">
        <w:rPr>
          <w:rStyle w:val="FootnoteReference"/>
          <w:rFonts w:ascii="Calibri" w:hAnsi="Calibri" w:cs="Calibri"/>
          <w:b/>
          <w:bCs/>
          <w:lang w:val="en-US"/>
        </w:rPr>
        <w:footnoteReference w:customMarkFollows="1" w:id="1"/>
        <w:sym w:font="Symbol" w:char="F02A"/>
      </w:r>
      <w:r w:rsidRPr="00357869">
        <w:rPr>
          <w:rFonts w:ascii="Calibri" w:hAnsi="Calibri" w:cs="Calibri"/>
          <w:b/>
          <w:bCs/>
          <w:lang w:val="en-US"/>
        </w:rPr>
        <w:t xml:space="preserve">, </w:t>
      </w:r>
      <w:proofErr w:type="spellStart"/>
      <w:r w:rsidRPr="00357869">
        <w:rPr>
          <w:rFonts w:ascii="Calibri" w:hAnsi="Calibri" w:cs="Calibri"/>
          <w:b/>
          <w:bCs/>
          <w:lang w:val="en-US"/>
        </w:rPr>
        <w:t>Gökçe</w:t>
      </w:r>
      <w:proofErr w:type="spellEnd"/>
      <w:r w:rsidRPr="00357869">
        <w:rPr>
          <w:rFonts w:ascii="Calibri" w:hAnsi="Calibri" w:cs="Calibri"/>
          <w:b/>
          <w:bCs/>
          <w:lang w:val="en-US"/>
        </w:rPr>
        <w:t xml:space="preserve"> Uysal </w:t>
      </w:r>
      <w:proofErr w:type="spellStart"/>
      <w:r w:rsidRPr="00357869">
        <w:rPr>
          <w:rFonts w:ascii="Calibri" w:hAnsi="Calibri" w:cs="Calibri"/>
          <w:b/>
          <w:bCs/>
          <w:lang w:val="en-US"/>
        </w:rPr>
        <w:t>Kolaşın</w:t>
      </w:r>
      <w:proofErr w:type="spellEnd"/>
      <w:r w:rsidRPr="00357869">
        <w:rPr>
          <w:rStyle w:val="FootnoteReference"/>
          <w:rFonts w:ascii="Calibri" w:hAnsi="Calibri" w:cs="Calibri"/>
          <w:b/>
          <w:bCs/>
          <w:lang w:val="en-US"/>
        </w:rPr>
        <w:footnoteReference w:customMarkFollows="1" w:id="2"/>
        <w:sym w:font="Symbol" w:char="F02A"/>
      </w:r>
      <w:r w:rsidRPr="00357869">
        <w:rPr>
          <w:rStyle w:val="FootnoteReference"/>
          <w:rFonts w:ascii="Calibri" w:hAnsi="Calibri" w:cs="Calibri"/>
          <w:b/>
          <w:bCs/>
          <w:lang w:val="en-US"/>
        </w:rPr>
        <w:sym w:font="Symbol" w:char="F02A"/>
      </w:r>
      <w:r w:rsidRPr="00357869">
        <w:rPr>
          <w:rFonts w:ascii="Calibri" w:hAnsi="Calibri" w:cs="Calibri"/>
          <w:b/>
          <w:bCs/>
          <w:lang w:val="en-US"/>
        </w:rPr>
        <w:t xml:space="preserve"> </w:t>
      </w:r>
      <w:proofErr w:type="spellStart"/>
      <w:r w:rsidRPr="00357869">
        <w:rPr>
          <w:rFonts w:ascii="Calibri" w:hAnsi="Calibri" w:cs="Calibri"/>
          <w:b/>
          <w:bCs/>
          <w:lang w:val="en-US"/>
        </w:rPr>
        <w:t>ve</w:t>
      </w:r>
      <w:proofErr w:type="spellEnd"/>
      <w:r w:rsidRPr="00357869">
        <w:rPr>
          <w:rFonts w:ascii="Calibri" w:hAnsi="Calibri" w:cs="Calibri"/>
          <w:b/>
          <w:bCs/>
          <w:lang w:val="en-US"/>
        </w:rPr>
        <w:t xml:space="preserve"> Yazgı </w:t>
      </w:r>
      <w:proofErr w:type="spellStart"/>
      <w:r w:rsidRPr="00357869">
        <w:rPr>
          <w:rFonts w:ascii="Calibri" w:hAnsi="Calibri" w:cs="Calibri"/>
          <w:b/>
          <w:bCs/>
          <w:lang w:val="en-US"/>
        </w:rPr>
        <w:t>Genç</w:t>
      </w:r>
      <w:proofErr w:type="spellEnd"/>
      <w:r w:rsidRPr="00357869">
        <w:rPr>
          <w:rStyle w:val="FootnoteReference"/>
          <w:rFonts w:ascii="Calibri" w:hAnsi="Calibri" w:cs="Calibri"/>
          <w:b/>
          <w:bCs/>
          <w:lang w:val="en-US"/>
        </w:rPr>
        <w:footnoteReference w:customMarkFollows="1" w:id="3"/>
        <w:sym w:font="Symbol" w:char="F02A"/>
      </w:r>
      <w:r w:rsidRPr="00357869">
        <w:rPr>
          <w:rStyle w:val="FootnoteReference"/>
          <w:rFonts w:ascii="Calibri" w:hAnsi="Calibri" w:cs="Calibri"/>
          <w:b/>
          <w:bCs/>
          <w:lang w:val="en-US"/>
        </w:rPr>
        <w:sym w:font="Symbol" w:char="F02A"/>
      </w:r>
      <w:r w:rsidRPr="00357869">
        <w:rPr>
          <w:rStyle w:val="FootnoteReference"/>
          <w:rFonts w:ascii="Calibri" w:hAnsi="Calibri" w:cs="Calibri"/>
          <w:b/>
          <w:bCs/>
          <w:lang w:val="en-US"/>
        </w:rPr>
        <w:footnoteReference w:customMarkFollows="1" w:id="4"/>
        <w:sym w:font="Symbol" w:char="F02A"/>
      </w:r>
    </w:p>
    <w:p w14:paraId="41D49233" w14:textId="4A3F2EA8" w:rsidR="00CF452C" w:rsidRPr="00357869" w:rsidRDefault="004651E8" w:rsidP="00A52A4C">
      <w:pPr>
        <w:spacing w:line="276" w:lineRule="auto"/>
        <w:jc w:val="center"/>
        <w:rPr>
          <w:rFonts w:ascii="Calibri" w:hAnsi="Calibri" w:cs="Calibri"/>
          <w:b/>
          <w:bCs/>
          <w:lang w:val="en-US"/>
        </w:rPr>
      </w:pPr>
      <w:r w:rsidRPr="00357869">
        <w:rPr>
          <w:rFonts w:ascii="Calibri" w:hAnsi="Calibri" w:cs="Calibri"/>
          <w:b/>
          <w:bCs/>
          <w:lang w:val="en-US"/>
        </w:rPr>
        <w:t>Executive S</w:t>
      </w:r>
      <w:r w:rsidR="00B05EDA" w:rsidRPr="00357869">
        <w:rPr>
          <w:rFonts w:ascii="Calibri" w:hAnsi="Calibri" w:cs="Calibri"/>
          <w:b/>
          <w:bCs/>
          <w:lang w:val="en-US"/>
        </w:rPr>
        <w:t>ummary</w:t>
      </w:r>
    </w:p>
    <w:p w14:paraId="68102E08" w14:textId="198B753E" w:rsidR="00B23678" w:rsidRPr="00357869" w:rsidRDefault="00045467" w:rsidP="00170159">
      <w:pPr>
        <w:tabs>
          <w:tab w:val="left" w:pos="3005"/>
        </w:tabs>
        <w:jc w:val="both"/>
        <w:rPr>
          <w:rFonts w:ascii="Calibri" w:hAnsi="Calibri" w:cs="Calibri"/>
          <w:lang w:val="en-US"/>
        </w:rPr>
      </w:pPr>
      <w:r w:rsidRPr="00357869">
        <w:rPr>
          <w:rFonts w:ascii="Calibri" w:hAnsi="Calibri" w:cs="Calibri"/>
          <w:lang w:val="en-US"/>
        </w:rPr>
        <w:t>This research brief studies the gender gap in unemployment rates in the period of 2005-2017 using the data of HLS fr</w:t>
      </w:r>
      <w:r w:rsidR="002518FA" w:rsidRPr="00357869">
        <w:rPr>
          <w:rFonts w:ascii="Calibri" w:hAnsi="Calibri" w:cs="Calibri"/>
          <w:lang w:val="en-US"/>
        </w:rPr>
        <w:t xml:space="preserve">om </w:t>
      </w:r>
      <w:proofErr w:type="spellStart"/>
      <w:r w:rsidR="002518FA" w:rsidRPr="00357869">
        <w:rPr>
          <w:rFonts w:ascii="Calibri" w:hAnsi="Calibri" w:cs="Calibri"/>
          <w:lang w:val="en-US"/>
        </w:rPr>
        <w:t>Turkstat</w:t>
      </w:r>
      <w:proofErr w:type="spellEnd"/>
      <w:r w:rsidR="002518FA" w:rsidRPr="00357869">
        <w:rPr>
          <w:rFonts w:ascii="Calibri" w:hAnsi="Calibri" w:cs="Calibri"/>
          <w:lang w:val="en-US"/>
        </w:rPr>
        <w:t xml:space="preserve">. During this period, </w:t>
      </w:r>
      <w:r w:rsidRPr="00357869">
        <w:rPr>
          <w:rFonts w:ascii="Calibri" w:hAnsi="Calibri" w:cs="Calibri"/>
          <w:lang w:val="en-US"/>
        </w:rPr>
        <w:t>sizable increases in female labor force participation ratios</w:t>
      </w:r>
      <w:r w:rsidR="002518FA" w:rsidRPr="00357869">
        <w:rPr>
          <w:rFonts w:ascii="Calibri" w:hAnsi="Calibri" w:cs="Calibri"/>
          <w:lang w:val="en-US"/>
        </w:rPr>
        <w:t xml:space="preserve"> are observed in the data</w:t>
      </w:r>
      <w:r w:rsidRPr="00357869">
        <w:rPr>
          <w:rFonts w:ascii="Calibri" w:hAnsi="Calibri" w:cs="Calibri"/>
          <w:lang w:val="en-US"/>
        </w:rPr>
        <w:t xml:space="preserve">. </w:t>
      </w:r>
      <w:r w:rsidR="0039611E" w:rsidRPr="00357869">
        <w:rPr>
          <w:rFonts w:ascii="Calibri" w:hAnsi="Calibri" w:cs="Calibri"/>
          <w:lang w:val="en-US"/>
        </w:rPr>
        <w:t xml:space="preserve">Even though female labor force participation rates increase drastically at lower education levels, i.e. for women without a college degree, the gender gap in unemployment rates stay stagnant. Yet, </w:t>
      </w:r>
      <w:r w:rsidR="00290C7A" w:rsidRPr="00357869">
        <w:rPr>
          <w:rFonts w:ascii="Calibri" w:hAnsi="Calibri" w:cs="Calibri"/>
          <w:lang w:val="en-US"/>
        </w:rPr>
        <w:t>the state of affairs at the high education level is different. The gender gap in</w:t>
      </w:r>
      <w:r w:rsidR="00D0290D" w:rsidRPr="00357869">
        <w:rPr>
          <w:rFonts w:ascii="Calibri" w:hAnsi="Calibri" w:cs="Calibri"/>
          <w:lang w:val="en-US"/>
        </w:rPr>
        <w:t xml:space="preserve"> unemployment at this level widened, </w:t>
      </w:r>
      <w:r w:rsidR="00290C7A" w:rsidRPr="00357869">
        <w:rPr>
          <w:rFonts w:ascii="Calibri" w:hAnsi="Calibri" w:cs="Calibri"/>
          <w:lang w:val="en-US"/>
        </w:rPr>
        <w:t>particular</w:t>
      </w:r>
      <w:r w:rsidR="00D0290D" w:rsidRPr="00357869">
        <w:rPr>
          <w:rFonts w:ascii="Calibri" w:hAnsi="Calibri" w:cs="Calibri"/>
          <w:lang w:val="en-US"/>
        </w:rPr>
        <w:t>ly</w:t>
      </w:r>
      <w:r w:rsidR="00290C7A" w:rsidRPr="00357869">
        <w:rPr>
          <w:rFonts w:ascii="Calibri" w:hAnsi="Calibri" w:cs="Calibri"/>
          <w:lang w:val="en-US"/>
        </w:rPr>
        <w:t xml:space="preserve"> in the age group of 20-29. It goes without saying that difficulties and</w:t>
      </w:r>
      <w:r w:rsidR="00D0290D" w:rsidRPr="00357869">
        <w:rPr>
          <w:rFonts w:ascii="Calibri" w:hAnsi="Calibri" w:cs="Calibri"/>
          <w:lang w:val="en-US"/>
        </w:rPr>
        <w:t xml:space="preserve"> obstacles that young women face </w:t>
      </w:r>
      <w:r w:rsidR="00290C7A" w:rsidRPr="00357869">
        <w:rPr>
          <w:rFonts w:ascii="Calibri" w:hAnsi="Calibri" w:cs="Calibri"/>
          <w:lang w:val="en-US"/>
        </w:rPr>
        <w:t>in finding jobs</w:t>
      </w:r>
      <w:r w:rsidR="009E79D8" w:rsidRPr="00357869">
        <w:rPr>
          <w:rFonts w:ascii="Calibri" w:hAnsi="Calibri" w:cs="Calibri"/>
          <w:lang w:val="en-US"/>
        </w:rPr>
        <w:t xml:space="preserve"> </w:t>
      </w:r>
      <w:r w:rsidR="00290C7A" w:rsidRPr="00357869">
        <w:rPr>
          <w:rFonts w:ascii="Calibri" w:hAnsi="Calibri" w:cs="Calibri"/>
          <w:lang w:val="en-US"/>
        </w:rPr>
        <w:t>despite their qualifications</w:t>
      </w:r>
      <w:r w:rsidR="00D0290D" w:rsidRPr="00357869">
        <w:rPr>
          <w:rFonts w:ascii="Calibri" w:hAnsi="Calibri" w:cs="Calibri"/>
          <w:lang w:val="en-US"/>
        </w:rPr>
        <w:t xml:space="preserve"> remains an issue to be</w:t>
      </w:r>
      <w:r w:rsidR="00FD1F40" w:rsidRPr="00357869">
        <w:rPr>
          <w:rFonts w:ascii="Calibri" w:hAnsi="Calibri" w:cs="Calibri"/>
          <w:lang w:val="en-US"/>
        </w:rPr>
        <w:t xml:space="preserve"> further</w:t>
      </w:r>
      <w:r w:rsidR="00D0290D" w:rsidRPr="00357869">
        <w:rPr>
          <w:rFonts w:ascii="Calibri" w:hAnsi="Calibri" w:cs="Calibri"/>
          <w:lang w:val="en-US"/>
        </w:rPr>
        <w:t xml:space="preserve"> investigated</w:t>
      </w:r>
      <w:r w:rsidR="009E79D8" w:rsidRPr="00357869">
        <w:rPr>
          <w:rFonts w:ascii="Calibri" w:hAnsi="Calibri" w:cs="Calibri"/>
          <w:lang w:val="en-US"/>
        </w:rPr>
        <w:t>.</w:t>
      </w:r>
      <w:r w:rsidR="00290C7A" w:rsidRPr="00357869">
        <w:rPr>
          <w:rFonts w:ascii="Calibri" w:hAnsi="Calibri" w:cs="Calibri"/>
          <w:lang w:val="en-US"/>
        </w:rPr>
        <w:t xml:space="preserve">  </w:t>
      </w:r>
    </w:p>
    <w:p w14:paraId="081FA4C6" w14:textId="499F0F81" w:rsidR="001C590B" w:rsidRPr="00357869" w:rsidRDefault="009E79D8" w:rsidP="00E814A3">
      <w:pPr>
        <w:tabs>
          <w:tab w:val="left" w:pos="3005"/>
        </w:tabs>
        <w:jc w:val="both"/>
        <w:outlineLvl w:val="0"/>
        <w:rPr>
          <w:rFonts w:ascii="Calibri" w:hAnsi="Calibri" w:cs="Calibri"/>
          <w:b/>
          <w:lang w:val="en-US"/>
        </w:rPr>
      </w:pPr>
      <w:r w:rsidRPr="00357869">
        <w:rPr>
          <w:rFonts w:ascii="Calibri" w:hAnsi="Calibri" w:cs="Calibri"/>
          <w:b/>
          <w:lang w:val="en-US"/>
        </w:rPr>
        <w:t>Introduction</w:t>
      </w:r>
    </w:p>
    <w:p w14:paraId="7622A153" w14:textId="7B35AC1C" w:rsidR="009E79D8" w:rsidRPr="00357869" w:rsidRDefault="002A5771" w:rsidP="00AA2379">
      <w:pPr>
        <w:tabs>
          <w:tab w:val="left" w:pos="3005"/>
        </w:tabs>
        <w:jc w:val="both"/>
        <w:rPr>
          <w:rFonts w:ascii="Calibri" w:hAnsi="Calibri" w:cs="Calibri"/>
          <w:lang w:val="en-US"/>
        </w:rPr>
      </w:pPr>
      <w:r w:rsidRPr="00357869">
        <w:rPr>
          <w:rFonts w:ascii="Calibri" w:hAnsi="Calibri" w:cs="Calibri"/>
          <w:lang w:val="en-US"/>
        </w:rPr>
        <w:t>In this research brief, w</w:t>
      </w:r>
      <w:r w:rsidR="009E79D8" w:rsidRPr="00357869">
        <w:rPr>
          <w:rFonts w:ascii="Calibri" w:hAnsi="Calibri" w:cs="Calibri"/>
          <w:lang w:val="en-US"/>
        </w:rPr>
        <w:t>e study the gender gap in unemployment</w:t>
      </w:r>
      <w:r w:rsidRPr="00357869">
        <w:rPr>
          <w:rFonts w:ascii="Calibri" w:hAnsi="Calibri" w:cs="Calibri"/>
          <w:lang w:val="en-US"/>
        </w:rPr>
        <w:t xml:space="preserve"> rates. It is well-</w:t>
      </w:r>
      <w:r w:rsidR="009E79D8" w:rsidRPr="00357869">
        <w:rPr>
          <w:rFonts w:ascii="Calibri" w:hAnsi="Calibri" w:cs="Calibri"/>
          <w:lang w:val="en-US"/>
        </w:rPr>
        <w:t xml:space="preserve">known that </w:t>
      </w:r>
      <w:r w:rsidR="00885891" w:rsidRPr="00357869">
        <w:rPr>
          <w:rFonts w:ascii="Calibri" w:hAnsi="Calibri" w:cs="Calibri"/>
          <w:lang w:val="en-US"/>
        </w:rPr>
        <w:t>female unemployment rate remains considerably</w:t>
      </w:r>
      <w:r w:rsidR="009E79D8" w:rsidRPr="00357869">
        <w:rPr>
          <w:rFonts w:ascii="Calibri" w:hAnsi="Calibri" w:cs="Calibri"/>
          <w:lang w:val="en-US"/>
        </w:rPr>
        <w:t xml:space="preserve"> higher than the male rate in Turkey. </w:t>
      </w:r>
      <w:r w:rsidR="00E0546C" w:rsidRPr="00357869">
        <w:rPr>
          <w:rFonts w:ascii="Calibri" w:hAnsi="Calibri" w:cs="Calibri"/>
          <w:lang w:val="en-US"/>
        </w:rPr>
        <w:t>E</w:t>
      </w:r>
      <w:r w:rsidR="00B27B66" w:rsidRPr="00357869">
        <w:rPr>
          <w:rFonts w:ascii="Calibri" w:hAnsi="Calibri" w:cs="Calibri"/>
          <w:lang w:val="en-US"/>
        </w:rPr>
        <w:t>xisting</w:t>
      </w:r>
      <w:r w:rsidR="009E79D8" w:rsidRPr="00357869">
        <w:rPr>
          <w:rFonts w:ascii="Calibri" w:hAnsi="Calibri" w:cs="Calibri"/>
          <w:lang w:val="en-US"/>
        </w:rPr>
        <w:t xml:space="preserve"> studies on this issue in the Tu</w:t>
      </w:r>
      <w:r w:rsidR="00E0546C" w:rsidRPr="00357869">
        <w:rPr>
          <w:rFonts w:ascii="Calibri" w:hAnsi="Calibri" w:cs="Calibri"/>
          <w:lang w:val="en-US"/>
        </w:rPr>
        <w:t>rkish labor economic literature include</w:t>
      </w:r>
      <w:r w:rsidR="009E79D8" w:rsidRPr="00357869">
        <w:rPr>
          <w:rFonts w:ascii="Calibri" w:hAnsi="Calibri" w:cs="Calibri"/>
          <w:lang w:val="en-US"/>
        </w:rPr>
        <w:t xml:space="preserve"> </w:t>
      </w:r>
      <w:r w:rsidR="00716D9A" w:rsidRPr="00357869">
        <w:rPr>
          <w:rFonts w:ascii="Calibri" w:hAnsi="Calibri" w:cs="Calibri"/>
          <w:lang w:val="en-US"/>
        </w:rPr>
        <w:t>Gürsel and Uysal</w:t>
      </w:r>
      <w:r w:rsidR="00F2698A" w:rsidRPr="00357869">
        <w:rPr>
          <w:rFonts w:ascii="Calibri" w:hAnsi="Calibri" w:cs="Calibri"/>
          <w:lang w:val="en-US"/>
        </w:rPr>
        <w:t xml:space="preserve"> (2018) </w:t>
      </w:r>
      <w:r w:rsidR="00E0546C" w:rsidRPr="00357869">
        <w:rPr>
          <w:rFonts w:ascii="Calibri" w:hAnsi="Calibri" w:cs="Calibri"/>
          <w:lang w:val="en-US"/>
        </w:rPr>
        <w:t>where the authors scrutinize</w:t>
      </w:r>
      <w:r w:rsidR="00F2698A" w:rsidRPr="00357869">
        <w:rPr>
          <w:rFonts w:ascii="Calibri" w:hAnsi="Calibri" w:cs="Calibri"/>
          <w:lang w:val="en-US"/>
        </w:rPr>
        <w:t xml:space="preserve"> the evolution of seasonally adjusted female and male labor force as well employment according to education levels, age groups and duration of unemployment</w:t>
      </w:r>
      <w:r w:rsidR="00885891" w:rsidRPr="00357869">
        <w:rPr>
          <w:rFonts w:ascii="Calibri" w:hAnsi="Calibri" w:cs="Calibri"/>
          <w:lang w:val="en-US"/>
        </w:rPr>
        <w:t xml:space="preserve"> in their article</w:t>
      </w:r>
      <w:r w:rsidR="00885891" w:rsidRPr="00357869">
        <w:rPr>
          <w:rStyle w:val="FootnoteReference"/>
          <w:rFonts w:ascii="Calibri" w:hAnsi="Calibri" w:cs="Calibri"/>
          <w:lang w:val="en-US"/>
        </w:rPr>
        <w:footnoteReference w:id="5"/>
      </w:r>
      <w:r w:rsidR="00F2698A" w:rsidRPr="00357869">
        <w:rPr>
          <w:rFonts w:ascii="Calibri" w:hAnsi="Calibri" w:cs="Calibri"/>
          <w:lang w:val="en-US"/>
        </w:rPr>
        <w:t xml:space="preserve">. </w:t>
      </w:r>
      <w:r w:rsidR="005B7FA7" w:rsidRPr="00357869">
        <w:rPr>
          <w:rFonts w:ascii="Calibri" w:hAnsi="Calibri" w:cs="Calibri"/>
          <w:lang w:val="en-US"/>
        </w:rPr>
        <w:t xml:space="preserve">This study focuses on the </w:t>
      </w:r>
      <w:r w:rsidR="00F2698A" w:rsidRPr="00357869">
        <w:rPr>
          <w:rFonts w:ascii="Calibri" w:hAnsi="Calibri" w:cs="Calibri"/>
          <w:lang w:val="en-US"/>
        </w:rPr>
        <w:t xml:space="preserve">period of February 2014-November 2017 </w:t>
      </w:r>
      <w:r w:rsidR="005B7FA7" w:rsidRPr="00357869">
        <w:rPr>
          <w:rFonts w:ascii="Calibri" w:hAnsi="Calibri" w:cs="Calibri"/>
          <w:lang w:val="en-US"/>
        </w:rPr>
        <w:t>to demonstrate</w:t>
      </w:r>
      <w:r w:rsidR="00F2698A" w:rsidRPr="00357869">
        <w:rPr>
          <w:rFonts w:ascii="Calibri" w:hAnsi="Calibri" w:cs="Calibri"/>
          <w:lang w:val="en-US"/>
        </w:rPr>
        <w:t xml:space="preserve"> </w:t>
      </w:r>
      <w:r w:rsidR="00056E5C" w:rsidRPr="00357869">
        <w:rPr>
          <w:rFonts w:ascii="Calibri" w:hAnsi="Calibri" w:cs="Calibri"/>
          <w:lang w:val="en-US"/>
        </w:rPr>
        <w:t xml:space="preserve">a noticeable widening in </w:t>
      </w:r>
      <w:r w:rsidR="00F2698A" w:rsidRPr="00357869">
        <w:rPr>
          <w:rFonts w:ascii="Calibri" w:hAnsi="Calibri" w:cs="Calibri"/>
          <w:lang w:val="en-US"/>
        </w:rPr>
        <w:t>the</w:t>
      </w:r>
      <w:r w:rsidR="00056E5C" w:rsidRPr="00357869">
        <w:rPr>
          <w:rFonts w:ascii="Calibri" w:hAnsi="Calibri" w:cs="Calibri"/>
          <w:lang w:val="en-US"/>
        </w:rPr>
        <w:t xml:space="preserve"> already existing</w:t>
      </w:r>
      <w:r w:rsidR="00F2698A" w:rsidRPr="00357869">
        <w:rPr>
          <w:rFonts w:ascii="Calibri" w:hAnsi="Calibri" w:cs="Calibri"/>
          <w:lang w:val="en-US"/>
        </w:rPr>
        <w:t xml:space="preserve"> unemployment gender gap</w:t>
      </w:r>
      <w:r w:rsidR="00056E5C" w:rsidRPr="00357869">
        <w:rPr>
          <w:rFonts w:ascii="Calibri" w:hAnsi="Calibri" w:cs="Calibri"/>
          <w:lang w:val="en-US"/>
        </w:rPr>
        <w:t>, particular</w:t>
      </w:r>
      <w:r w:rsidR="003F0951" w:rsidRPr="00357869">
        <w:rPr>
          <w:rFonts w:ascii="Calibri" w:hAnsi="Calibri" w:cs="Calibri"/>
          <w:lang w:val="en-US"/>
        </w:rPr>
        <w:t>ly</w:t>
      </w:r>
      <w:r w:rsidR="00056E5C" w:rsidRPr="00357869">
        <w:rPr>
          <w:rFonts w:ascii="Calibri" w:hAnsi="Calibri" w:cs="Calibri"/>
          <w:lang w:val="en-US"/>
        </w:rPr>
        <w:t xml:space="preserve"> from March 2016 to November 2017.</w:t>
      </w:r>
      <w:r w:rsidR="00F2698A" w:rsidRPr="00357869">
        <w:rPr>
          <w:rFonts w:ascii="Calibri" w:hAnsi="Calibri" w:cs="Calibri"/>
          <w:lang w:val="en-US"/>
        </w:rPr>
        <w:t xml:space="preserve"> </w:t>
      </w:r>
      <w:r w:rsidR="00056E5C" w:rsidRPr="00357869">
        <w:rPr>
          <w:rFonts w:ascii="Calibri" w:hAnsi="Calibri" w:cs="Calibri"/>
          <w:lang w:val="en-US"/>
        </w:rPr>
        <w:t xml:space="preserve">Authors </w:t>
      </w:r>
      <w:r w:rsidR="00CB6A4A" w:rsidRPr="00357869">
        <w:rPr>
          <w:rFonts w:ascii="Calibri" w:hAnsi="Calibri" w:cs="Calibri"/>
          <w:lang w:val="en-US"/>
        </w:rPr>
        <w:t>underline</w:t>
      </w:r>
      <w:r w:rsidR="00056E5C" w:rsidRPr="00357869">
        <w:rPr>
          <w:rFonts w:ascii="Calibri" w:hAnsi="Calibri" w:cs="Calibri"/>
          <w:lang w:val="en-US"/>
        </w:rPr>
        <w:t xml:space="preserve"> that this widening is possibly caused by the increasing shares of educated women (</w:t>
      </w:r>
      <w:r w:rsidR="00CB6A4A" w:rsidRPr="00357869">
        <w:rPr>
          <w:rFonts w:ascii="Calibri" w:hAnsi="Calibri" w:cs="Calibri"/>
          <w:lang w:val="en-US"/>
        </w:rPr>
        <w:t>with at least a high school degree</w:t>
      </w:r>
      <w:r w:rsidR="00056E5C" w:rsidRPr="00357869">
        <w:rPr>
          <w:rFonts w:ascii="Calibri" w:hAnsi="Calibri" w:cs="Calibri"/>
          <w:lang w:val="en-US"/>
        </w:rPr>
        <w:t>) in</w:t>
      </w:r>
      <w:r w:rsidR="00CB6A4A" w:rsidRPr="00357869">
        <w:rPr>
          <w:rFonts w:ascii="Calibri" w:hAnsi="Calibri" w:cs="Calibri"/>
          <w:lang w:val="en-US"/>
        </w:rPr>
        <w:t xml:space="preserve"> the</w:t>
      </w:r>
      <w:r w:rsidR="0034483F" w:rsidRPr="00357869">
        <w:rPr>
          <w:rFonts w:ascii="Calibri" w:hAnsi="Calibri" w:cs="Calibri"/>
          <w:lang w:val="en-US"/>
        </w:rPr>
        <w:t xml:space="preserve"> female labor force. They note that</w:t>
      </w:r>
      <w:r w:rsidR="00056E5C" w:rsidRPr="00357869">
        <w:rPr>
          <w:rFonts w:ascii="Calibri" w:hAnsi="Calibri" w:cs="Calibri"/>
          <w:lang w:val="en-US"/>
        </w:rPr>
        <w:t xml:space="preserve">, in order to </w:t>
      </w:r>
      <w:r w:rsidR="00035F27" w:rsidRPr="00357869">
        <w:rPr>
          <w:rFonts w:ascii="Calibri" w:hAnsi="Calibri" w:cs="Calibri"/>
          <w:lang w:val="en-US"/>
        </w:rPr>
        <w:t xml:space="preserve">design policies to </w:t>
      </w:r>
      <w:r w:rsidR="0034483F" w:rsidRPr="00357869">
        <w:rPr>
          <w:rFonts w:ascii="Calibri" w:hAnsi="Calibri" w:cs="Calibri"/>
          <w:lang w:val="en-US"/>
        </w:rPr>
        <w:t>address</w:t>
      </w:r>
      <w:r w:rsidR="00035F27" w:rsidRPr="00357869">
        <w:rPr>
          <w:rFonts w:ascii="Calibri" w:hAnsi="Calibri" w:cs="Calibri"/>
          <w:lang w:val="en-US"/>
        </w:rPr>
        <w:t xml:space="preserve"> this problem,</w:t>
      </w:r>
      <w:r w:rsidR="00056E5C" w:rsidRPr="00357869">
        <w:rPr>
          <w:rFonts w:ascii="Calibri" w:hAnsi="Calibri" w:cs="Calibri"/>
          <w:lang w:val="en-US"/>
        </w:rPr>
        <w:t xml:space="preserve"> </w:t>
      </w:r>
      <w:r w:rsidR="00AA2379" w:rsidRPr="00357869">
        <w:rPr>
          <w:rFonts w:ascii="Calibri" w:hAnsi="Calibri" w:cs="Calibri"/>
          <w:lang w:val="en-US"/>
        </w:rPr>
        <w:t xml:space="preserve">further research is needed to </w:t>
      </w:r>
      <w:r w:rsidR="00675C07" w:rsidRPr="00357869">
        <w:rPr>
          <w:rFonts w:ascii="Calibri" w:hAnsi="Calibri" w:cs="Calibri"/>
          <w:lang w:val="en-US"/>
        </w:rPr>
        <w:t>understand</w:t>
      </w:r>
      <w:r w:rsidR="00035F27" w:rsidRPr="00357869">
        <w:rPr>
          <w:rFonts w:ascii="Calibri" w:hAnsi="Calibri" w:cs="Calibri"/>
          <w:lang w:val="en-US"/>
        </w:rPr>
        <w:t xml:space="preserve"> </w:t>
      </w:r>
      <w:r w:rsidR="00AA2379" w:rsidRPr="00357869">
        <w:rPr>
          <w:rFonts w:ascii="Calibri" w:hAnsi="Calibri" w:cs="Calibri"/>
          <w:lang w:val="en-US"/>
        </w:rPr>
        <w:t xml:space="preserve">both </w:t>
      </w:r>
      <w:r w:rsidR="00035F27" w:rsidRPr="00357869">
        <w:rPr>
          <w:rFonts w:ascii="Calibri" w:hAnsi="Calibri" w:cs="Calibri"/>
          <w:lang w:val="en-US"/>
        </w:rPr>
        <w:t xml:space="preserve">the supply </w:t>
      </w:r>
      <w:r w:rsidR="00AA2379" w:rsidRPr="00357869">
        <w:rPr>
          <w:rFonts w:ascii="Calibri" w:hAnsi="Calibri" w:cs="Calibri"/>
          <w:lang w:val="en-US"/>
        </w:rPr>
        <w:t>and the demand side of</w:t>
      </w:r>
      <w:r w:rsidR="00035F27" w:rsidRPr="00357869">
        <w:rPr>
          <w:rFonts w:ascii="Calibri" w:hAnsi="Calibri" w:cs="Calibri"/>
          <w:lang w:val="en-US"/>
        </w:rPr>
        <w:t xml:space="preserve"> the Turkish labor market.</w:t>
      </w:r>
      <w:r w:rsidR="00056E5C" w:rsidRPr="00357869">
        <w:rPr>
          <w:rFonts w:ascii="Calibri" w:hAnsi="Calibri" w:cs="Calibri"/>
          <w:lang w:val="en-US"/>
        </w:rPr>
        <w:t xml:space="preserve"> </w:t>
      </w:r>
      <w:r w:rsidR="00035F27" w:rsidRPr="00357869">
        <w:rPr>
          <w:rFonts w:ascii="Calibri" w:hAnsi="Calibri" w:cs="Calibri"/>
          <w:lang w:val="en-US"/>
        </w:rPr>
        <w:t xml:space="preserve">In another study </w:t>
      </w:r>
      <w:proofErr w:type="spellStart"/>
      <w:r w:rsidR="00035F27" w:rsidRPr="00357869">
        <w:rPr>
          <w:rFonts w:ascii="Calibri" w:hAnsi="Calibri" w:cs="Calibri"/>
          <w:lang w:val="en-US"/>
        </w:rPr>
        <w:t>Filiztekin</w:t>
      </w:r>
      <w:proofErr w:type="spellEnd"/>
      <w:r w:rsidR="00035F27" w:rsidRPr="00357869">
        <w:rPr>
          <w:rFonts w:ascii="Calibri" w:hAnsi="Calibri" w:cs="Calibri"/>
          <w:lang w:val="en-US"/>
        </w:rPr>
        <w:t xml:space="preserve"> (2018)</w:t>
      </w:r>
      <w:r w:rsidR="00980505" w:rsidRPr="00357869">
        <w:rPr>
          <w:rStyle w:val="FootnoteReference"/>
          <w:rFonts w:ascii="Calibri" w:hAnsi="Calibri" w:cs="Calibri"/>
          <w:lang w:val="en-US"/>
        </w:rPr>
        <w:footnoteReference w:id="6"/>
      </w:r>
      <w:r w:rsidR="00F2698A" w:rsidRPr="00357869">
        <w:rPr>
          <w:rFonts w:ascii="Calibri" w:hAnsi="Calibri" w:cs="Calibri"/>
          <w:lang w:val="en-US"/>
        </w:rPr>
        <w:t xml:space="preserve"> </w:t>
      </w:r>
      <w:r w:rsidR="00B574A6" w:rsidRPr="00357869">
        <w:rPr>
          <w:rFonts w:ascii="Calibri" w:hAnsi="Calibri" w:cs="Calibri"/>
          <w:lang w:val="en-US"/>
        </w:rPr>
        <w:t>draws attention to the fact that</w:t>
      </w:r>
      <w:r w:rsidR="000D3E3D" w:rsidRPr="00357869">
        <w:rPr>
          <w:rFonts w:ascii="Calibri" w:hAnsi="Calibri" w:cs="Calibri"/>
          <w:lang w:val="en-US"/>
        </w:rPr>
        <w:t>,</w:t>
      </w:r>
      <w:r w:rsidR="00B574A6" w:rsidRPr="00357869">
        <w:rPr>
          <w:rFonts w:ascii="Calibri" w:hAnsi="Calibri" w:cs="Calibri"/>
          <w:lang w:val="en-US"/>
        </w:rPr>
        <w:t xml:space="preserve"> along with the increase of the number of universities in recent year</w:t>
      </w:r>
      <w:r w:rsidR="000D3E3D" w:rsidRPr="00357869">
        <w:rPr>
          <w:rFonts w:ascii="Calibri" w:hAnsi="Calibri" w:cs="Calibri"/>
          <w:lang w:val="en-US"/>
        </w:rPr>
        <w:t>s,</w:t>
      </w:r>
      <w:r w:rsidR="00980505" w:rsidRPr="00357869">
        <w:rPr>
          <w:rFonts w:ascii="Calibri" w:hAnsi="Calibri" w:cs="Calibri"/>
          <w:lang w:val="en-US"/>
        </w:rPr>
        <w:t xml:space="preserve"> not only unemployment at high</w:t>
      </w:r>
      <w:r w:rsidR="000D3E3D" w:rsidRPr="00357869">
        <w:rPr>
          <w:rFonts w:ascii="Calibri" w:hAnsi="Calibri" w:cs="Calibri"/>
          <w:lang w:val="en-US"/>
        </w:rPr>
        <w:t>er education levels increases,</w:t>
      </w:r>
      <w:r w:rsidR="00980505" w:rsidRPr="00357869">
        <w:rPr>
          <w:rFonts w:ascii="Calibri" w:hAnsi="Calibri" w:cs="Calibri"/>
          <w:lang w:val="en-US"/>
        </w:rPr>
        <w:t xml:space="preserve"> but also the gap between high school and un</w:t>
      </w:r>
      <w:r w:rsidR="0079747F" w:rsidRPr="00357869">
        <w:rPr>
          <w:rFonts w:ascii="Calibri" w:hAnsi="Calibri" w:cs="Calibri"/>
          <w:lang w:val="en-US"/>
        </w:rPr>
        <w:t>iversity unemployment rates shrank</w:t>
      </w:r>
      <w:r w:rsidR="00980505" w:rsidRPr="00357869">
        <w:rPr>
          <w:rFonts w:ascii="Calibri" w:hAnsi="Calibri" w:cs="Calibri"/>
          <w:lang w:val="en-US"/>
        </w:rPr>
        <w:t>. In the same article</w:t>
      </w:r>
      <w:r w:rsidR="0077003E" w:rsidRPr="00357869">
        <w:rPr>
          <w:rFonts w:ascii="Calibri" w:hAnsi="Calibri" w:cs="Calibri"/>
          <w:lang w:val="en-US"/>
        </w:rPr>
        <w:t>, the author</w:t>
      </w:r>
      <w:r w:rsidR="00980505" w:rsidRPr="00357869">
        <w:rPr>
          <w:rFonts w:ascii="Calibri" w:hAnsi="Calibri" w:cs="Calibri"/>
          <w:lang w:val="en-US"/>
        </w:rPr>
        <w:t xml:space="preserve"> </w:t>
      </w:r>
      <w:r w:rsidR="0077003E" w:rsidRPr="00357869">
        <w:rPr>
          <w:rFonts w:ascii="Calibri" w:hAnsi="Calibri" w:cs="Calibri"/>
          <w:lang w:val="en-US"/>
        </w:rPr>
        <w:t>points out</w:t>
      </w:r>
      <w:r w:rsidR="00980505" w:rsidRPr="00357869">
        <w:rPr>
          <w:rFonts w:ascii="Calibri" w:hAnsi="Calibri" w:cs="Calibri"/>
          <w:lang w:val="en-US"/>
        </w:rPr>
        <w:t xml:space="preserve"> </w:t>
      </w:r>
      <w:r w:rsidR="0077003E" w:rsidRPr="00357869">
        <w:rPr>
          <w:rFonts w:ascii="Calibri" w:hAnsi="Calibri" w:cs="Calibri"/>
          <w:lang w:val="en-US"/>
        </w:rPr>
        <w:t xml:space="preserve">that, </w:t>
      </w:r>
      <w:r w:rsidR="00980505" w:rsidRPr="00357869">
        <w:rPr>
          <w:rFonts w:ascii="Calibri" w:hAnsi="Calibri" w:cs="Calibri"/>
          <w:lang w:val="en-US"/>
        </w:rPr>
        <w:t>in the age group of 25-29</w:t>
      </w:r>
      <w:r w:rsidR="0077003E" w:rsidRPr="00357869">
        <w:rPr>
          <w:rFonts w:ascii="Calibri" w:hAnsi="Calibri" w:cs="Calibri"/>
          <w:lang w:val="en-US"/>
        </w:rPr>
        <w:t>,</w:t>
      </w:r>
      <w:r w:rsidR="00980505" w:rsidRPr="00357869">
        <w:rPr>
          <w:rFonts w:ascii="Calibri" w:hAnsi="Calibri" w:cs="Calibri"/>
          <w:lang w:val="en-US"/>
        </w:rPr>
        <w:t xml:space="preserve"> the unemployment rate amo</w:t>
      </w:r>
      <w:r w:rsidR="0077003E" w:rsidRPr="00357869">
        <w:rPr>
          <w:rFonts w:ascii="Calibri" w:hAnsi="Calibri" w:cs="Calibri"/>
          <w:lang w:val="en-US"/>
        </w:rPr>
        <w:t>ng university graduates exceeds that of the</w:t>
      </w:r>
      <w:r w:rsidR="00980505" w:rsidRPr="00357869">
        <w:rPr>
          <w:rFonts w:ascii="Calibri" w:hAnsi="Calibri" w:cs="Calibri"/>
          <w:lang w:val="en-US"/>
        </w:rPr>
        <w:t xml:space="preserve"> high school graduates. </w:t>
      </w:r>
    </w:p>
    <w:p w14:paraId="4FC2C6B7" w14:textId="4585E06D" w:rsidR="00B23678" w:rsidRPr="00357869" w:rsidRDefault="00BB0A37" w:rsidP="00856220">
      <w:pPr>
        <w:tabs>
          <w:tab w:val="left" w:pos="3005"/>
        </w:tabs>
        <w:jc w:val="both"/>
        <w:rPr>
          <w:rFonts w:ascii="Calibri" w:hAnsi="Calibri" w:cs="Calibri"/>
          <w:lang w:val="en-US"/>
        </w:rPr>
      </w:pPr>
      <w:r w:rsidRPr="00357869">
        <w:rPr>
          <w:rFonts w:ascii="Calibri" w:hAnsi="Calibri" w:cs="Calibri"/>
          <w:lang w:val="en-US"/>
        </w:rPr>
        <w:t xml:space="preserve">In order to </w:t>
      </w:r>
      <w:r w:rsidR="00283ED0" w:rsidRPr="00357869">
        <w:rPr>
          <w:rFonts w:ascii="Calibri" w:hAnsi="Calibri" w:cs="Calibri"/>
          <w:lang w:val="en-US"/>
        </w:rPr>
        <w:t>dig further into</w:t>
      </w:r>
      <w:r w:rsidRPr="00357869">
        <w:rPr>
          <w:rFonts w:ascii="Calibri" w:hAnsi="Calibri" w:cs="Calibri"/>
          <w:lang w:val="en-US"/>
        </w:rPr>
        <w:t xml:space="preserve"> the findings of these studies</w:t>
      </w:r>
      <w:r w:rsidR="007C28C2" w:rsidRPr="00357869">
        <w:rPr>
          <w:rFonts w:ascii="Calibri" w:hAnsi="Calibri" w:cs="Calibri"/>
          <w:lang w:val="en-US"/>
        </w:rPr>
        <w:t>,</w:t>
      </w:r>
      <w:r w:rsidR="008B66A6" w:rsidRPr="00357869">
        <w:rPr>
          <w:rFonts w:ascii="Calibri" w:hAnsi="Calibri" w:cs="Calibri"/>
          <w:lang w:val="en-US"/>
        </w:rPr>
        <w:t xml:space="preserve"> </w:t>
      </w:r>
      <w:r w:rsidRPr="00357869">
        <w:rPr>
          <w:rFonts w:ascii="Calibri" w:hAnsi="Calibri" w:cs="Calibri"/>
          <w:lang w:val="en-US"/>
        </w:rPr>
        <w:t>in this research brief</w:t>
      </w:r>
      <w:r w:rsidR="008B66A6" w:rsidRPr="00357869">
        <w:rPr>
          <w:rFonts w:ascii="Calibri" w:hAnsi="Calibri" w:cs="Calibri"/>
          <w:lang w:val="en-US"/>
        </w:rPr>
        <w:t xml:space="preserve"> we analyze</w:t>
      </w:r>
      <w:r w:rsidRPr="00357869">
        <w:rPr>
          <w:rFonts w:ascii="Calibri" w:hAnsi="Calibri" w:cs="Calibri"/>
          <w:lang w:val="en-US"/>
        </w:rPr>
        <w:t xml:space="preserve"> </w:t>
      </w:r>
      <w:r w:rsidR="00916C36" w:rsidRPr="00357869">
        <w:rPr>
          <w:rFonts w:ascii="Calibri" w:hAnsi="Calibri" w:cs="Calibri"/>
          <w:lang w:val="en-US"/>
        </w:rPr>
        <w:t xml:space="preserve">the widening of the gender gap in </w:t>
      </w:r>
      <w:r w:rsidRPr="00357869">
        <w:rPr>
          <w:rFonts w:ascii="Calibri" w:hAnsi="Calibri" w:cs="Calibri"/>
          <w:lang w:val="en-US"/>
        </w:rPr>
        <w:t>unempl</w:t>
      </w:r>
      <w:r w:rsidR="00314977" w:rsidRPr="00357869">
        <w:rPr>
          <w:rFonts w:ascii="Calibri" w:hAnsi="Calibri" w:cs="Calibri"/>
          <w:lang w:val="en-US"/>
        </w:rPr>
        <w:t>oyment rates by</w:t>
      </w:r>
      <w:r w:rsidRPr="00357869">
        <w:rPr>
          <w:rFonts w:ascii="Calibri" w:hAnsi="Calibri" w:cs="Calibri"/>
          <w:lang w:val="en-US"/>
        </w:rPr>
        <w:t xml:space="preserve"> education levels and age groups. </w:t>
      </w:r>
      <w:r w:rsidR="00374363" w:rsidRPr="00357869">
        <w:rPr>
          <w:rFonts w:ascii="Calibri" w:hAnsi="Calibri" w:cs="Calibri"/>
          <w:lang w:val="en-US"/>
        </w:rPr>
        <w:t>We</w:t>
      </w:r>
      <w:r w:rsidRPr="00357869">
        <w:rPr>
          <w:rFonts w:ascii="Calibri" w:hAnsi="Calibri" w:cs="Calibri"/>
          <w:lang w:val="en-US"/>
        </w:rPr>
        <w:t xml:space="preserve"> use the micro data </w:t>
      </w:r>
      <w:r w:rsidR="008946DC" w:rsidRPr="00357869">
        <w:rPr>
          <w:rFonts w:ascii="Calibri" w:hAnsi="Calibri" w:cs="Calibri"/>
          <w:lang w:val="en-US"/>
        </w:rPr>
        <w:lastRenderedPageBreak/>
        <w:t>of Household Labor Force Survey (HLFS) waves</w:t>
      </w:r>
      <w:r w:rsidRPr="00357869">
        <w:rPr>
          <w:rFonts w:ascii="Calibri" w:hAnsi="Calibri" w:cs="Calibri"/>
          <w:lang w:val="en-US"/>
        </w:rPr>
        <w:t xml:space="preserve"> </w:t>
      </w:r>
      <w:r w:rsidR="00374363" w:rsidRPr="00357869">
        <w:rPr>
          <w:rFonts w:ascii="Calibri" w:hAnsi="Calibri" w:cs="Calibri"/>
          <w:lang w:val="en-US"/>
        </w:rPr>
        <w:t>of</w:t>
      </w:r>
      <w:r w:rsidRPr="00357869">
        <w:rPr>
          <w:rFonts w:ascii="Calibri" w:hAnsi="Calibri" w:cs="Calibri"/>
          <w:lang w:val="en-US"/>
        </w:rPr>
        <w:t xml:space="preserve"> </w:t>
      </w:r>
      <w:r w:rsidR="000319AE" w:rsidRPr="00357869">
        <w:rPr>
          <w:rFonts w:ascii="Calibri" w:hAnsi="Calibri" w:cs="Calibri"/>
          <w:lang w:val="en-US"/>
        </w:rPr>
        <w:t xml:space="preserve">2005 to </w:t>
      </w:r>
      <w:r w:rsidRPr="00357869">
        <w:rPr>
          <w:rFonts w:ascii="Calibri" w:hAnsi="Calibri" w:cs="Calibri"/>
          <w:lang w:val="en-US"/>
        </w:rPr>
        <w:t xml:space="preserve">2017. </w:t>
      </w:r>
      <w:r w:rsidR="00EF381D" w:rsidRPr="00357869">
        <w:rPr>
          <w:rFonts w:ascii="Calibri" w:hAnsi="Calibri" w:cs="Calibri"/>
          <w:lang w:val="en-US"/>
        </w:rPr>
        <w:t>Note that</w:t>
      </w:r>
      <w:r w:rsidR="00301228" w:rsidRPr="00357869">
        <w:rPr>
          <w:rFonts w:ascii="Calibri" w:hAnsi="Calibri" w:cs="Calibri"/>
          <w:lang w:val="en-US"/>
        </w:rPr>
        <w:t xml:space="preserve"> </w:t>
      </w:r>
      <w:proofErr w:type="spellStart"/>
      <w:r w:rsidR="00301228" w:rsidRPr="00357869">
        <w:rPr>
          <w:rFonts w:ascii="Calibri" w:hAnsi="Calibri" w:cs="Calibri"/>
          <w:lang w:val="en-US"/>
        </w:rPr>
        <w:t>TurkS</w:t>
      </w:r>
      <w:r w:rsidRPr="00357869">
        <w:rPr>
          <w:rFonts w:ascii="Calibri" w:hAnsi="Calibri" w:cs="Calibri"/>
          <w:lang w:val="en-US"/>
        </w:rPr>
        <w:t>tat</w:t>
      </w:r>
      <w:proofErr w:type="spellEnd"/>
      <w:r w:rsidRPr="00357869">
        <w:rPr>
          <w:rFonts w:ascii="Calibri" w:hAnsi="Calibri" w:cs="Calibri"/>
          <w:lang w:val="en-US"/>
        </w:rPr>
        <w:t xml:space="preserve"> </w:t>
      </w:r>
      <w:r w:rsidR="00EF381D" w:rsidRPr="00357869">
        <w:rPr>
          <w:rFonts w:ascii="Calibri" w:hAnsi="Calibri" w:cs="Calibri"/>
          <w:lang w:val="en-US"/>
        </w:rPr>
        <w:t>changed</w:t>
      </w:r>
      <w:r w:rsidRPr="00357869">
        <w:rPr>
          <w:rFonts w:ascii="Calibri" w:hAnsi="Calibri" w:cs="Calibri"/>
          <w:lang w:val="en-US"/>
        </w:rPr>
        <w:t xml:space="preserve"> in its survey methodolo</w:t>
      </w:r>
      <w:r w:rsidR="00856220" w:rsidRPr="00357869">
        <w:rPr>
          <w:rFonts w:ascii="Calibri" w:hAnsi="Calibri" w:cs="Calibri"/>
          <w:lang w:val="en-US"/>
        </w:rPr>
        <w:t xml:space="preserve">gy in 2014, </w:t>
      </w:r>
      <w:r w:rsidR="00EF381D" w:rsidRPr="00357869">
        <w:rPr>
          <w:rFonts w:ascii="Calibri" w:hAnsi="Calibri" w:cs="Calibri"/>
          <w:lang w:val="en-US"/>
        </w:rPr>
        <w:t>causing a break in the series. W</w:t>
      </w:r>
      <w:r w:rsidR="00856220" w:rsidRPr="00357869">
        <w:rPr>
          <w:rFonts w:ascii="Calibri" w:hAnsi="Calibri" w:cs="Calibri"/>
          <w:lang w:val="en-US"/>
        </w:rPr>
        <w:t>e use the new serie</w:t>
      </w:r>
      <w:r w:rsidRPr="00357869">
        <w:rPr>
          <w:rFonts w:ascii="Calibri" w:hAnsi="Calibri" w:cs="Calibri"/>
          <w:lang w:val="en-US"/>
        </w:rPr>
        <w:t>s for the period of 2014-20</w:t>
      </w:r>
      <w:r w:rsidR="00856220" w:rsidRPr="00357869">
        <w:rPr>
          <w:rFonts w:ascii="Calibri" w:hAnsi="Calibri" w:cs="Calibri"/>
          <w:lang w:val="en-US"/>
        </w:rPr>
        <w:t>17 and non-revised serie</w:t>
      </w:r>
      <w:r w:rsidRPr="00357869">
        <w:rPr>
          <w:rFonts w:ascii="Calibri" w:hAnsi="Calibri" w:cs="Calibri"/>
          <w:lang w:val="en-US"/>
        </w:rPr>
        <w:t xml:space="preserve">s for the period of 2005-2013. </w:t>
      </w:r>
      <w:r w:rsidR="005D6E4F" w:rsidRPr="00357869">
        <w:rPr>
          <w:rFonts w:ascii="Calibri" w:hAnsi="Calibri" w:cs="Calibri"/>
          <w:lang w:val="en-US"/>
        </w:rPr>
        <w:t>Due to the</w:t>
      </w:r>
      <w:r w:rsidR="00856220" w:rsidRPr="00357869">
        <w:rPr>
          <w:rFonts w:ascii="Calibri" w:hAnsi="Calibri" w:cs="Calibri"/>
          <w:lang w:val="en-US"/>
        </w:rPr>
        <w:t xml:space="preserve"> break in</w:t>
      </w:r>
      <w:r w:rsidR="005D6E4F" w:rsidRPr="00357869">
        <w:rPr>
          <w:rFonts w:ascii="Calibri" w:hAnsi="Calibri" w:cs="Calibri"/>
          <w:lang w:val="en-US"/>
        </w:rPr>
        <w:t xml:space="preserve"> 2014</w:t>
      </w:r>
      <w:r w:rsidR="00856220" w:rsidRPr="00357869">
        <w:rPr>
          <w:rFonts w:ascii="Calibri" w:hAnsi="Calibri" w:cs="Calibri"/>
          <w:lang w:val="en-US"/>
        </w:rPr>
        <w:t>,</w:t>
      </w:r>
      <w:r w:rsidR="005D6E4F" w:rsidRPr="00357869">
        <w:rPr>
          <w:rFonts w:ascii="Calibri" w:hAnsi="Calibri" w:cs="Calibri"/>
          <w:lang w:val="en-US"/>
        </w:rPr>
        <w:t xml:space="preserve"> we recommend</w:t>
      </w:r>
      <w:r w:rsidR="00856220" w:rsidRPr="00357869">
        <w:rPr>
          <w:rFonts w:ascii="Calibri" w:hAnsi="Calibri" w:cs="Calibri"/>
          <w:lang w:val="en-US"/>
        </w:rPr>
        <w:t xml:space="preserve"> focusing on the rates </w:t>
      </w:r>
      <w:r w:rsidR="005D6E4F" w:rsidRPr="00357869">
        <w:rPr>
          <w:rFonts w:ascii="Calibri" w:hAnsi="Calibri" w:cs="Calibri"/>
          <w:lang w:val="en-US"/>
        </w:rPr>
        <w:t>rather</w:t>
      </w:r>
      <w:r w:rsidR="00856220" w:rsidRPr="00357869">
        <w:rPr>
          <w:rFonts w:ascii="Calibri" w:hAnsi="Calibri" w:cs="Calibri"/>
          <w:lang w:val="en-US"/>
        </w:rPr>
        <w:t xml:space="preserve"> than the levels. </w:t>
      </w:r>
    </w:p>
    <w:p w14:paraId="3E03147A" w14:textId="17355B73" w:rsidR="00C26071" w:rsidRPr="00357869" w:rsidRDefault="00C26071" w:rsidP="00E814A3">
      <w:pPr>
        <w:tabs>
          <w:tab w:val="left" w:pos="3005"/>
        </w:tabs>
        <w:jc w:val="both"/>
        <w:outlineLvl w:val="0"/>
        <w:rPr>
          <w:rFonts w:ascii="Calibri" w:hAnsi="Calibri" w:cs="Calibri"/>
          <w:b/>
          <w:lang w:val="en-US"/>
        </w:rPr>
      </w:pPr>
      <w:r w:rsidRPr="00357869">
        <w:rPr>
          <w:rFonts w:ascii="Calibri" w:hAnsi="Calibri" w:cs="Calibri"/>
          <w:b/>
          <w:lang w:val="en-US"/>
        </w:rPr>
        <w:t>Rise of female labor force and unemployment</w:t>
      </w:r>
    </w:p>
    <w:p w14:paraId="5CE22BA9" w14:textId="4990820C" w:rsidR="001C590B" w:rsidRPr="00357869" w:rsidRDefault="00FD28E3" w:rsidP="00924F46">
      <w:pPr>
        <w:tabs>
          <w:tab w:val="left" w:pos="3005"/>
        </w:tabs>
        <w:jc w:val="both"/>
        <w:outlineLvl w:val="0"/>
        <w:rPr>
          <w:rFonts w:ascii="Calibri" w:hAnsi="Calibri" w:cs="Calibri"/>
          <w:lang w:val="en-US"/>
        </w:rPr>
      </w:pPr>
      <w:r w:rsidRPr="00357869">
        <w:rPr>
          <w:rFonts w:ascii="Calibri" w:hAnsi="Calibri" w:cs="Calibri"/>
          <w:lang w:val="en-US"/>
        </w:rPr>
        <w:t>The evolution of male and female labor force series d</w:t>
      </w:r>
      <w:r w:rsidR="00C26071" w:rsidRPr="00357869">
        <w:rPr>
          <w:rFonts w:ascii="Calibri" w:hAnsi="Calibri" w:cs="Calibri"/>
          <w:lang w:val="en-US"/>
        </w:rPr>
        <w:t>uring the last 12 years,</w:t>
      </w:r>
      <w:r w:rsidR="00E44985" w:rsidRPr="00357869">
        <w:rPr>
          <w:rFonts w:ascii="Calibri" w:hAnsi="Calibri" w:cs="Calibri"/>
          <w:lang w:val="en-US"/>
        </w:rPr>
        <w:t xml:space="preserve"> i.e.</w:t>
      </w:r>
      <w:r w:rsidR="00C26071" w:rsidRPr="00357869">
        <w:rPr>
          <w:rFonts w:ascii="Calibri" w:hAnsi="Calibri" w:cs="Calibri"/>
          <w:lang w:val="en-US"/>
        </w:rPr>
        <w:t xml:space="preserve"> from 2005 to 2017, </w:t>
      </w:r>
      <w:r w:rsidRPr="00357869">
        <w:rPr>
          <w:rFonts w:ascii="Calibri" w:hAnsi="Calibri" w:cs="Calibri"/>
          <w:lang w:val="en-US"/>
        </w:rPr>
        <w:t>clearly shows that</w:t>
      </w:r>
      <w:r w:rsidR="00C26071" w:rsidRPr="00357869">
        <w:rPr>
          <w:rFonts w:ascii="Calibri" w:hAnsi="Calibri" w:cs="Calibri"/>
          <w:lang w:val="en-US"/>
        </w:rPr>
        <w:t xml:space="preserve"> female labor force participation rates </w:t>
      </w:r>
      <w:r w:rsidRPr="00357869">
        <w:rPr>
          <w:rFonts w:ascii="Calibri" w:hAnsi="Calibri" w:cs="Calibri"/>
          <w:lang w:val="en-US"/>
        </w:rPr>
        <w:t>rose faster than those of</w:t>
      </w:r>
      <w:r w:rsidR="00C26071" w:rsidRPr="00357869">
        <w:rPr>
          <w:rFonts w:ascii="Calibri" w:hAnsi="Calibri" w:cs="Calibri"/>
          <w:lang w:val="en-US"/>
        </w:rPr>
        <w:t xml:space="preserve"> male</w:t>
      </w:r>
      <w:r w:rsidRPr="00357869">
        <w:rPr>
          <w:rFonts w:ascii="Calibri" w:hAnsi="Calibri" w:cs="Calibri"/>
          <w:lang w:val="en-US"/>
        </w:rPr>
        <w:t>s</w:t>
      </w:r>
      <w:r w:rsidR="00C26071" w:rsidRPr="00357869">
        <w:rPr>
          <w:rFonts w:ascii="Calibri" w:hAnsi="Calibri" w:cs="Calibri"/>
          <w:lang w:val="en-US"/>
        </w:rPr>
        <w:t>. While male participation rate increased from 75.0 to 78.2 percent (3.2 percentage points)</w:t>
      </w:r>
      <w:r w:rsidR="00DB4189" w:rsidRPr="00357869">
        <w:rPr>
          <w:rFonts w:ascii="Calibri" w:hAnsi="Calibri" w:cs="Calibri"/>
          <w:lang w:val="en-US"/>
        </w:rPr>
        <w:t>,</w:t>
      </w:r>
      <w:r w:rsidR="00C26071" w:rsidRPr="00357869">
        <w:rPr>
          <w:rFonts w:ascii="Calibri" w:hAnsi="Calibri" w:cs="Calibri"/>
          <w:lang w:val="en-US"/>
        </w:rPr>
        <w:t xml:space="preserve"> female participation rate increased from 25.2 to 37.7 percent (12.5 percentage points). On the other hand, female and male unemployment</w:t>
      </w:r>
      <w:r w:rsidR="0047341F" w:rsidRPr="00357869">
        <w:rPr>
          <w:rFonts w:ascii="Calibri" w:hAnsi="Calibri" w:cs="Calibri"/>
          <w:lang w:val="en-US"/>
        </w:rPr>
        <w:t xml:space="preserve"> followed similar </w:t>
      </w:r>
      <w:r w:rsidR="00924F46" w:rsidRPr="00357869">
        <w:rPr>
          <w:rFonts w:ascii="Calibri" w:hAnsi="Calibri" w:cs="Calibri"/>
          <w:lang w:val="en-US"/>
        </w:rPr>
        <w:t>trends,</w:t>
      </w:r>
      <w:r w:rsidR="0047341F" w:rsidRPr="00357869">
        <w:rPr>
          <w:rFonts w:ascii="Calibri" w:hAnsi="Calibri" w:cs="Calibri"/>
          <w:lang w:val="en-US"/>
        </w:rPr>
        <w:t xml:space="preserve"> but </w:t>
      </w:r>
      <w:r w:rsidR="00924F46" w:rsidRPr="00357869">
        <w:rPr>
          <w:rFonts w:ascii="Calibri" w:hAnsi="Calibri" w:cs="Calibri"/>
          <w:lang w:val="en-US"/>
        </w:rPr>
        <w:t xml:space="preserve">the magnitudes of both increases and decreases varied drastically, leading to a </w:t>
      </w:r>
      <w:r w:rsidR="0047341F" w:rsidRPr="00357869">
        <w:rPr>
          <w:rFonts w:ascii="Calibri" w:hAnsi="Calibri" w:cs="Calibri"/>
          <w:lang w:val="en-US"/>
        </w:rPr>
        <w:t>widening of the existent gender unemployment gap (</w:t>
      </w:r>
      <w:r w:rsidR="00171B36" w:rsidRPr="00357869">
        <w:rPr>
          <w:rFonts w:ascii="Calibri" w:hAnsi="Calibri" w:cs="Calibri"/>
          <w:lang w:val="en-US"/>
        </w:rPr>
        <w:t xml:space="preserve">Figure </w:t>
      </w:r>
      <w:r w:rsidR="0047341F" w:rsidRPr="00357869">
        <w:rPr>
          <w:rFonts w:ascii="Calibri" w:hAnsi="Calibri" w:cs="Calibri"/>
          <w:lang w:val="en-US"/>
        </w:rPr>
        <w:t>1).</w:t>
      </w:r>
    </w:p>
    <w:p w14:paraId="2FBF0DF4" w14:textId="494752F7" w:rsidR="00BA0C49" w:rsidRPr="00357869" w:rsidRDefault="00585DE6" w:rsidP="00585DE6">
      <w:pPr>
        <w:tabs>
          <w:tab w:val="left" w:pos="3005"/>
        </w:tabs>
        <w:jc w:val="both"/>
        <w:outlineLvl w:val="0"/>
        <w:rPr>
          <w:rFonts w:ascii="Calibri" w:hAnsi="Calibri" w:cs="Calibri"/>
          <w:lang w:val="en-US"/>
        </w:rPr>
      </w:pPr>
      <w:r w:rsidRPr="00357869">
        <w:rPr>
          <w:rFonts w:ascii="Calibri" w:hAnsi="Calibri" w:cs="Calibri"/>
          <w:lang w:val="en-US"/>
        </w:rPr>
        <w:t xml:space="preserve">The crisis years of 2008-2009 were marked by peak unemployment rates, but a relatively low gender gap. </w:t>
      </w:r>
      <w:r w:rsidR="008C26AF" w:rsidRPr="00357869">
        <w:rPr>
          <w:rFonts w:ascii="Calibri" w:hAnsi="Calibri" w:cs="Calibri"/>
          <w:lang w:val="en-US"/>
        </w:rPr>
        <w:t xml:space="preserve">During the strong recovery period that </w:t>
      </w:r>
      <w:r w:rsidRPr="00357869">
        <w:rPr>
          <w:rFonts w:ascii="Calibri" w:hAnsi="Calibri" w:cs="Calibri"/>
          <w:lang w:val="en-US"/>
        </w:rPr>
        <w:t xml:space="preserve">followed, </w:t>
      </w:r>
      <w:r w:rsidR="008C26AF" w:rsidRPr="00357869">
        <w:rPr>
          <w:rFonts w:ascii="Calibri" w:hAnsi="Calibri" w:cs="Calibri"/>
          <w:lang w:val="en-US"/>
        </w:rPr>
        <w:t xml:space="preserve">we witnessed </w:t>
      </w:r>
      <w:r w:rsidRPr="00357869">
        <w:rPr>
          <w:rFonts w:ascii="Calibri" w:hAnsi="Calibri" w:cs="Calibri"/>
          <w:lang w:val="en-US"/>
        </w:rPr>
        <w:t>a decrease in</w:t>
      </w:r>
      <w:r w:rsidR="00830384" w:rsidRPr="00357869">
        <w:rPr>
          <w:rFonts w:ascii="Calibri" w:hAnsi="Calibri" w:cs="Calibri"/>
          <w:lang w:val="en-US"/>
        </w:rPr>
        <w:t xml:space="preserve"> unemployment </w:t>
      </w:r>
      <w:r w:rsidRPr="00357869">
        <w:rPr>
          <w:rFonts w:ascii="Calibri" w:hAnsi="Calibri" w:cs="Calibri"/>
          <w:lang w:val="en-US"/>
        </w:rPr>
        <w:t xml:space="preserve">both for men and women, yet that for women was markedly </w:t>
      </w:r>
      <w:r w:rsidR="00830384" w:rsidRPr="00357869">
        <w:rPr>
          <w:rFonts w:ascii="Calibri" w:hAnsi="Calibri" w:cs="Calibri"/>
          <w:lang w:val="en-US"/>
        </w:rPr>
        <w:t>slower</w:t>
      </w:r>
      <w:r w:rsidRPr="00357869">
        <w:rPr>
          <w:rFonts w:ascii="Calibri" w:hAnsi="Calibri" w:cs="Calibri"/>
          <w:lang w:val="en-US"/>
        </w:rPr>
        <w:t>.</w:t>
      </w:r>
      <w:r w:rsidR="00830384" w:rsidRPr="00357869">
        <w:rPr>
          <w:rFonts w:ascii="Calibri" w:hAnsi="Calibri" w:cs="Calibri"/>
          <w:lang w:val="en-US"/>
        </w:rPr>
        <w:t xml:space="preserve"> </w:t>
      </w:r>
      <w:r w:rsidRPr="00357869">
        <w:rPr>
          <w:rFonts w:ascii="Calibri" w:hAnsi="Calibri" w:cs="Calibri"/>
          <w:lang w:val="en-US"/>
        </w:rPr>
        <w:t xml:space="preserve">After 2012, unemployment started to increase again. During this period, female unemployment increases were stronger. While </w:t>
      </w:r>
      <w:r w:rsidR="00830384" w:rsidRPr="00357869">
        <w:rPr>
          <w:rFonts w:ascii="Calibri" w:hAnsi="Calibri" w:cs="Calibri"/>
          <w:lang w:val="en-US"/>
        </w:rPr>
        <w:t>female unemployment rate reached 14.4 percent</w:t>
      </w:r>
      <w:r w:rsidRPr="00357869">
        <w:rPr>
          <w:rFonts w:ascii="Calibri" w:hAnsi="Calibri" w:cs="Calibri"/>
          <w:lang w:val="en-US"/>
        </w:rPr>
        <w:t xml:space="preserve"> in 2017</w:t>
      </w:r>
      <w:r w:rsidR="00830384" w:rsidRPr="00357869">
        <w:rPr>
          <w:rFonts w:ascii="Calibri" w:hAnsi="Calibri" w:cs="Calibri"/>
          <w:lang w:val="en-US"/>
        </w:rPr>
        <w:t xml:space="preserve">, a level close to its peak of 14.6 percent in 2009, male unemployment rate remained at 9.6 percent, a level well below the 2009 rate of 14.2 percent. As a result, the gender gap </w:t>
      </w:r>
      <w:r w:rsidRPr="00357869">
        <w:rPr>
          <w:rFonts w:ascii="Calibri" w:hAnsi="Calibri" w:cs="Calibri"/>
          <w:lang w:val="en-US"/>
        </w:rPr>
        <w:t xml:space="preserve">in unemployment </w:t>
      </w:r>
      <w:r w:rsidR="00830384" w:rsidRPr="00357869">
        <w:rPr>
          <w:rFonts w:ascii="Calibri" w:hAnsi="Calibri" w:cs="Calibri"/>
          <w:lang w:val="en-US"/>
        </w:rPr>
        <w:t>of 0.4 points in 2009, rose to 4.8 points in 2017.</w:t>
      </w:r>
      <w:r w:rsidR="007040FF" w:rsidRPr="00357869">
        <w:rPr>
          <w:rFonts w:ascii="Calibri" w:hAnsi="Calibri" w:cs="Calibri"/>
          <w:lang w:val="en-US"/>
        </w:rPr>
        <w:t xml:space="preserve"> A deeper examination of this development by </w:t>
      </w:r>
      <w:r w:rsidR="00B17000" w:rsidRPr="00357869">
        <w:rPr>
          <w:rFonts w:ascii="Calibri" w:hAnsi="Calibri" w:cs="Calibri"/>
          <w:lang w:val="en-US"/>
        </w:rPr>
        <w:t>disag</w:t>
      </w:r>
      <w:r w:rsidR="007040FF" w:rsidRPr="00357869">
        <w:rPr>
          <w:rFonts w:ascii="Calibri" w:hAnsi="Calibri" w:cs="Calibri"/>
          <w:lang w:val="en-US"/>
        </w:rPr>
        <w:t xml:space="preserve">gregation </w:t>
      </w:r>
      <w:r w:rsidR="00CE55E7" w:rsidRPr="00357869">
        <w:rPr>
          <w:rFonts w:ascii="Calibri" w:hAnsi="Calibri" w:cs="Calibri"/>
          <w:lang w:val="en-US"/>
        </w:rPr>
        <w:t>by age and education</w:t>
      </w:r>
      <w:r w:rsidR="007040FF" w:rsidRPr="00357869">
        <w:rPr>
          <w:rFonts w:ascii="Calibri" w:hAnsi="Calibri" w:cs="Calibri"/>
          <w:lang w:val="en-US"/>
        </w:rPr>
        <w:t xml:space="preserve"> might provide some clues </w:t>
      </w:r>
      <w:r w:rsidR="00137ABD" w:rsidRPr="00357869">
        <w:rPr>
          <w:rFonts w:ascii="Calibri" w:hAnsi="Calibri" w:cs="Calibri"/>
          <w:lang w:val="en-US"/>
        </w:rPr>
        <w:t>as to</w:t>
      </w:r>
      <w:r w:rsidR="007040FF" w:rsidRPr="00357869">
        <w:rPr>
          <w:rFonts w:ascii="Calibri" w:hAnsi="Calibri" w:cs="Calibri"/>
          <w:lang w:val="en-US"/>
        </w:rPr>
        <w:t xml:space="preserve"> the possible causes of the sizable </w:t>
      </w:r>
      <w:r w:rsidR="00E101B1" w:rsidRPr="00357869">
        <w:rPr>
          <w:rFonts w:ascii="Calibri" w:hAnsi="Calibri" w:cs="Calibri"/>
          <w:lang w:val="en-US"/>
        </w:rPr>
        <w:t xml:space="preserve">unemployment </w:t>
      </w:r>
      <w:r w:rsidR="007040FF" w:rsidRPr="00357869">
        <w:rPr>
          <w:rFonts w:ascii="Calibri" w:hAnsi="Calibri" w:cs="Calibri"/>
          <w:lang w:val="en-US"/>
        </w:rPr>
        <w:t xml:space="preserve">increase observed among </w:t>
      </w:r>
      <w:r w:rsidR="00E52F40" w:rsidRPr="00357869">
        <w:rPr>
          <w:rFonts w:ascii="Calibri" w:hAnsi="Calibri" w:cs="Calibri"/>
          <w:lang w:val="en-US"/>
        </w:rPr>
        <w:t>women</w:t>
      </w:r>
      <w:r w:rsidR="007040FF" w:rsidRPr="00357869">
        <w:rPr>
          <w:rFonts w:ascii="Calibri" w:hAnsi="Calibri" w:cs="Calibri"/>
          <w:lang w:val="en-US"/>
        </w:rPr>
        <w:t xml:space="preserve">.  </w:t>
      </w:r>
    </w:p>
    <w:p w14:paraId="0305B6AE" w14:textId="40CA70BF" w:rsidR="00EE427D" w:rsidRPr="00357869" w:rsidRDefault="00171B36" w:rsidP="00BA0C49">
      <w:pPr>
        <w:tabs>
          <w:tab w:val="left" w:pos="3005"/>
        </w:tabs>
        <w:jc w:val="both"/>
        <w:outlineLvl w:val="0"/>
        <w:rPr>
          <w:rFonts w:ascii="Calibri" w:hAnsi="Calibri" w:cs="Calibri"/>
          <w:b/>
          <w:lang w:val="en-US"/>
        </w:rPr>
      </w:pPr>
      <w:r w:rsidRPr="00357869">
        <w:rPr>
          <w:rFonts w:ascii="Calibri" w:hAnsi="Calibri" w:cs="Calibri"/>
          <w:b/>
          <w:lang w:val="en-US"/>
        </w:rPr>
        <w:t xml:space="preserve">Figure </w:t>
      </w:r>
      <w:r w:rsidR="00EE427D" w:rsidRPr="00357869">
        <w:rPr>
          <w:rFonts w:ascii="Calibri" w:hAnsi="Calibri" w:cs="Calibri"/>
          <w:b/>
          <w:lang w:val="en-US"/>
        </w:rPr>
        <w:t>1: Female and male unemployment and labor force participation rates (%) (15-64, 2005-2017)</w:t>
      </w:r>
    </w:p>
    <w:p w14:paraId="1CFF6620" w14:textId="16E40245" w:rsidR="0036452B" w:rsidRPr="00357869" w:rsidRDefault="0036452B" w:rsidP="0036452B">
      <w:pPr>
        <w:pStyle w:val="Caption"/>
        <w:rPr>
          <w:rFonts w:ascii="Calibri" w:hAnsi="Calibri" w:cs="Calibri"/>
          <w:b w:val="0"/>
          <w:sz w:val="18"/>
          <w:szCs w:val="22"/>
          <w:lang w:val="en-US"/>
        </w:rPr>
      </w:pPr>
      <w:r w:rsidRPr="00357869">
        <w:rPr>
          <w:rFonts w:ascii="Calibri" w:hAnsi="Calibri" w:cs="Calibri"/>
          <w:noProof/>
          <w:szCs w:val="22"/>
          <w:lang w:eastAsia="en-GB"/>
        </w:rPr>
        <w:drawing>
          <wp:inline distT="0" distB="0" distL="0" distR="0" wp14:anchorId="49C2E4D9" wp14:editId="0ED9C42B">
            <wp:extent cx="6204077" cy="36207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5937" cy="3621856"/>
                    </a:xfrm>
                    <a:prstGeom prst="rect">
                      <a:avLst/>
                    </a:prstGeom>
                    <a:noFill/>
                  </pic:spPr>
                </pic:pic>
              </a:graphicData>
            </a:graphic>
          </wp:inline>
        </w:drawing>
      </w:r>
      <w:r w:rsidR="001C0639" w:rsidRPr="00357869">
        <w:rPr>
          <w:rFonts w:ascii="Calibri" w:hAnsi="Calibri" w:cs="Calibri"/>
          <w:szCs w:val="22"/>
          <w:lang w:val="en-US"/>
        </w:rPr>
        <w:t xml:space="preserve"> </w:t>
      </w:r>
      <w:r w:rsidR="004F6FE4" w:rsidRPr="00357869">
        <w:rPr>
          <w:rFonts w:ascii="Calibri" w:hAnsi="Calibri" w:cs="Calibri"/>
          <w:b w:val="0"/>
          <w:sz w:val="18"/>
          <w:szCs w:val="22"/>
          <w:lang w:val="en-US"/>
        </w:rPr>
        <w:t>Source</w:t>
      </w:r>
      <w:r w:rsidR="003851AE" w:rsidRPr="00357869">
        <w:rPr>
          <w:rFonts w:ascii="Calibri" w:hAnsi="Calibri" w:cs="Calibri"/>
          <w:b w:val="0"/>
          <w:sz w:val="18"/>
          <w:szCs w:val="22"/>
          <w:lang w:val="en-US"/>
        </w:rPr>
        <w:t xml:space="preserve">: </w:t>
      </w:r>
      <w:proofErr w:type="spellStart"/>
      <w:r w:rsidR="003851AE" w:rsidRPr="00357869">
        <w:rPr>
          <w:rFonts w:ascii="Calibri" w:hAnsi="Calibri" w:cs="Calibri"/>
          <w:b w:val="0"/>
          <w:sz w:val="18"/>
          <w:szCs w:val="22"/>
          <w:lang w:val="en-US"/>
        </w:rPr>
        <w:t>Betam</w:t>
      </w:r>
      <w:proofErr w:type="spellEnd"/>
      <w:r w:rsidR="003851AE" w:rsidRPr="00357869">
        <w:rPr>
          <w:rFonts w:ascii="Calibri" w:hAnsi="Calibri" w:cs="Calibri"/>
          <w:b w:val="0"/>
          <w:sz w:val="18"/>
          <w:szCs w:val="22"/>
          <w:lang w:val="en-US"/>
        </w:rPr>
        <w:t>, H</w:t>
      </w:r>
      <w:r w:rsidR="004F6FE4" w:rsidRPr="00357869">
        <w:rPr>
          <w:rFonts w:ascii="Calibri" w:hAnsi="Calibri" w:cs="Calibri"/>
          <w:b w:val="0"/>
          <w:sz w:val="18"/>
          <w:szCs w:val="22"/>
          <w:lang w:val="en-US"/>
        </w:rPr>
        <w:t>LFS</w:t>
      </w:r>
      <w:r w:rsidR="003851AE" w:rsidRPr="00357869">
        <w:rPr>
          <w:rFonts w:ascii="Calibri" w:hAnsi="Calibri" w:cs="Calibri"/>
          <w:b w:val="0"/>
          <w:sz w:val="18"/>
          <w:szCs w:val="22"/>
          <w:lang w:val="en-US"/>
        </w:rPr>
        <w:t xml:space="preserve"> </w:t>
      </w:r>
      <w:proofErr w:type="spellStart"/>
      <w:r w:rsidR="003851AE" w:rsidRPr="00357869">
        <w:rPr>
          <w:rFonts w:ascii="Calibri" w:hAnsi="Calibri" w:cs="Calibri"/>
          <w:b w:val="0"/>
          <w:sz w:val="18"/>
          <w:szCs w:val="22"/>
          <w:lang w:val="en-US"/>
        </w:rPr>
        <w:t>mikro</w:t>
      </w:r>
      <w:proofErr w:type="spellEnd"/>
      <w:r w:rsidR="003851AE" w:rsidRPr="00357869">
        <w:rPr>
          <w:rFonts w:ascii="Calibri" w:hAnsi="Calibri" w:cs="Calibri"/>
          <w:b w:val="0"/>
          <w:sz w:val="18"/>
          <w:szCs w:val="22"/>
          <w:lang w:val="en-US"/>
        </w:rPr>
        <w:t xml:space="preserve"> </w:t>
      </w:r>
      <w:r w:rsidR="004F6FE4" w:rsidRPr="00357869">
        <w:rPr>
          <w:rFonts w:ascii="Calibri" w:hAnsi="Calibri" w:cs="Calibri"/>
          <w:b w:val="0"/>
          <w:sz w:val="18"/>
          <w:szCs w:val="22"/>
          <w:lang w:val="en-US"/>
        </w:rPr>
        <w:t>data</w:t>
      </w:r>
      <w:r w:rsidR="003851AE" w:rsidRPr="00357869">
        <w:rPr>
          <w:rFonts w:ascii="Calibri" w:hAnsi="Calibri" w:cs="Calibri"/>
          <w:b w:val="0"/>
          <w:sz w:val="18"/>
          <w:szCs w:val="22"/>
          <w:lang w:val="en-US"/>
        </w:rPr>
        <w:t xml:space="preserve"> 2005-2017</w:t>
      </w:r>
    </w:p>
    <w:p w14:paraId="4437C5E4" w14:textId="77777777" w:rsidR="0036452B" w:rsidRPr="00357869" w:rsidRDefault="0036452B" w:rsidP="0036452B">
      <w:pPr>
        <w:rPr>
          <w:rFonts w:ascii="Calibri" w:hAnsi="Calibri" w:cs="Calibri"/>
          <w:lang w:val="en-US"/>
        </w:rPr>
      </w:pPr>
    </w:p>
    <w:p w14:paraId="7FC67AE6" w14:textId="77777777" w:rsidR="0036452B" w:rsidRPr="00357869" w:rsidRDefault="0036452B" w:rsidP="00E814A3">
      <w:pPr>
        <w:pStyle w:val="Caption"/>
        <w:outlineLvl w:val="0"/>
        <w:rPr>
          <w:rFonts w:ascii="Calibri" w:hAnsi="Calibri" w:cs="Calibri"/>
          <w:szCs w:val="22"/>
          <w:lang w:val="en-US"/>
        </w:rPr>
      </w:pPr>
    </w:p>
    <w:p w14:paraId="330EF06C" w14:textId="56BF30F8" w:rsidR="00EB4AED" w:rsidRPr="00357869" w:rsidRDefault="0036452B" w:rsidP="00E814A3">
      <w:pPr>
        <w:pStyle w:val="Caption"/>
        <w:outlineLvl w:val="0"/>
        <w:rPr>
          <w:rFonts w:ascii="Calibri" w:hAnsi="Calibri" w:cs="Calibri"/>
          <w:szCs w:val="22"/>
          <w:lang w:val="en-US"/>
        </w:rPr>
      </w:pPr>
      <w:r w:rsidRPr="00357869">
        <w:rPr>
          <w:rFonts w:ascii="Calibri" w:hAnsi="Calibri" w:cs="Calibri"/>
          <w:szCs w:val="22"/>
          <w:lang w:val="en-US"/>
        </w:rPr>
        <w:lastRenderedPageBreak/>
        <w:t>F</w:t>
      </w:r>
      <w:r w:rsidR="004F5AD9" w:rsidRPr="00357869">
        <w:rPr>
          <w:rFonts w:ascii="Calibri" w:hAnsi="Calibri" w:cs="Calibri"/>
          <w:szCs w:val="22"/>
          <w:lang w:val="en-US"/>
        </w:rPr>
        <w:t xml:space="preserve">emale and male unemployment </w:t>
      </w:r>
      <w:r w:rsidR="00E04B9B" w:rsidRPr="00357869">
        <w:rPr>
          <w:rFonts w:ascii="Calibri" w:hAnsi="Calibri" w:cs="Calibri"/>
          <w:szCs w:val="22"/>
          <w:lang w:val="en-US"/>
        </w:rPr>
        <w:t>by</w:t>
      </w:r>
      <w:r w:rsidR="004F5AD9" w:rsidRPr="00357869">
        <w:rPr>
          <w:rFonts w:ascii="Calibri" w:hAnsi="Calibri" w:cs="Calibri"/>
          <w:szCs w:val="22"/>
          <w:lang w:val="en-US"/>
        </w:rPr>
        <w:t xml:space="preserve"> education levels</w:t>
      </w:r>
    </w:p>
    <w:p w14:paraId="37D616C9" w14:textId="7B51B5E4" w:rsidR="00E94302" w:rsidRPr="00357869" w:rsidRDefault="007014D9" w:rsidP="00961FB7">
      <w:pPr>
        <w:tabs>
          <w:tab w:val="left" w:pos="3005"/>
        </w:tabs>
        <w:jc w:val="both"/>
        <w:outlineLvl w:val="0"/>
        <w:rPr>
          <w:rFonts w:ascii="Calibri" w:hAnsi="Calibri" w:cs="Calibri"/>
          <w:lang w:val="en-US"/>
        </w:rPr>
      </w:pPr>
      <w:r w:rsidRPr="00357869">
        <w:rPr>
          <w:rFonts w:ascii="Calibri" w:hAnsi="Calibri" w:cs="Calibri"/>
          <w:lang w:val="en-US"/>
        </w:rPr>
        <w:t>U</w:t>
      </w:r>
      <w:r w:rsidR="00E94302" w:rsidRPr="00357869">
        <w:rPr>
          <w:rFonts w:ascii="Calibri" w:hAnsi="Calibri" w:cs="Calibri"/>
          <w:lang w:val="en-US"/>
        </w:rPr>
        <w:t xml:space="preserve">nemployment rates in 2017 </w:t>
      </w:r>
      <w:r w:rsidRPr="00357869">
        <w:rPr>
          <w:rFonts w:ascii="Calibri" w:hAnsi="Calibri" w:cs="Calibri"/>
          <w:lang w:val="en-US"/>
        </w:rPr>
        <w:t>by gender and</w:t>
      </w:r>
      <w:r w:rsidR="00E94302" w:rsidRPr="00357869">
        <w:rPr>
          <w:rFonts w:ascii="Calibri" w:hAnsi="Calibri" w:cs="Calibri"/>
          <w:lang w:val="en-US"/>
        </w:rPr>
        <w:t xml:space="preserve"> education (illiterates</w:t>
      </w:r>
      <w:r w:rsidR="00001EBF" w:rsidRPr="00357869">
        <w:rPr>
          <w:rFonts w:ascii="Calibri" w:hAnsi="Calibri" w:cs="Calibri"/>
          <w:lang w:val="en-US"/>
        </w:rPr>
        <w:footnoteReference w:id="7"/>
      </w:r>
      <w:r w:rsidR="00E94302" w:rsidRPr="00357869">
        <w:rPr>
          <w:rFonts w:ascii="Calibri" w:hAnsi="Calibri" w:cs="Calibri"/>
          <w:lang w:val="en-US"/>
        </w:rPr>
        <w:t xml:space="preserve">, less than high school, high school, professional high school and higher than high school)  are </w:t>
      </w:r>
      <w:r w:rsidR="00FF6964" w:rsidRPr="00357869">
        <w:rPr>
          <w:rFonts w:ascii="Calibri" w:hAnsi="Calibri" w:cs="Calibri"/>
          <w:lang w:val="en-US"/>
        </w:rPr>
        <w:t>provided</w:t>
      </w:r>
      <w:r w:rsidR="00E94302" w:rsidRPr="00357869">
        <w:rPr>
          <w:rFonts w:ascii="Calibri" w:hAnsi="Calibri" w:cs="Calibri"/>
          <w:lang w:val="en-US"/>
        </w:rPr>
        <w:t xml:space="preserve"> in Table 1.</w:t>
      </w:r>
      <w:r w:rsidR="00E94302" w:rsidRPr="00357869">
        <w:rPr>
          <w:rFonts w:ascii="Calibri" w:hAnsi="Calibri" w:cs="Calibri"/>
          <w:lang w:val="en-US"/>
        </w:rPr>
        <w:footnoteReference w:id="8"/>
      </w:r>
      <w:r w:rsidR="00E94302" w:rsidRPr="00357869">
        <w:rPr>
          <w:rFonts w:ascii="Calibri" w:hAnsi="Calibri" w:cs="Calibri"/>
          <w:lang w:val="en-US"/>
        </w:rPr>
        <w:t xml:space="preserve"> </w:t>
      </w:r>
      <w:r w:rsidR="00561EF2" w:rsidRPr="00357869">
        <w:rPr>
          <w:rFonts w:ascii="Calibri" w:hAnsi="Calibri" w:cs="Calibri"/>
          <w:lang w:val="en-US"/>
        </w:rPr>
        <w:t xml:space="preserve">Even though </w:t>
      </w:r>
      <w:r w:rsidR="005F17FD" w:rsidRPr="00357869">
        <w:rPr>
          <w:rFonts w:ascii="Calibri" w:hAnsi="Calibri" w:cs="Calibri"/>
          <w:lang w:val="en-US"/>
        </w:rPr>
        <w:t>sizable differences in unemploym</w:t>
      </w:r>
      <w:r w:rsidR="00561EF2" w:rsidRPr="00357869">
        <w:rPr>
          <w:rFonts w:ascii="Calibri" w:hAnsi="Calibri" w:cs="Calibri"/>
          <w:lang w:val="en-US"/>
        </w:rPr>
        <w:t xml:space="preserve">ent rates </w:t>
      </w:r>
      <w:r w:rsidR="00424179" w:rsidRPr="00357869">
        <w:rPr>
          <w:rFonts w:ascii="Calibri" w:hAnsi="Calibri" w:cs="Calibri"/>
          <w:lang w:val="en-US"/>
        </w:rPr>
        <w:t xml:space="preserve">across education levels </w:t>
      </w:r>
      <w:r w:rsidR="00561EF2" w:rsidRPr="00357869">
        <w:rPr>
          <w:rFonts w:ascii="Calibri" w:hAnsi="Calibri" w:cs="Calibri"/>
          <w:lang w:val="en-US"/>
        </w:rPr>
        <w:t>are observed</w:t>
      </w:r>
      <w:r w:rsidR="00F77540" w:rsidRPr="00357869">
        <w:rPr>
          <w:rFonts w:ascii="Calibri" w:hAnsi="Calibri" w:cs="Calibri"/>
          <w:lang w:val="en-US"/>
        </w:rPr>
        <w:t xml:space="preserve"> </w:t>
      </w:r>
      <w:r w:rsidR="00561EF2" w:rsidRPr="00357869">
        <w:rPr>
          <w:rFonts w:ascii="Calibri" w:hAnsi="Calibri" w:cs="Calibri"/>
          <w:lang w:val="en-US"/>
        </w:rPr>
        <w:t>for women, this is not the case for men</w:t>
      </w:r>
      <w:r w:rsidR="00F77540" w:rsidRPr="00357869">
        <w:rPr>
          <w:rFonts w:ascii="Calibri" w:hAnsi="Calibri" w:cs="Calibri"/>
          <w:lang w:val="en-US"/>
        </w:rPr>
        <w:t>. W</w:t>
      </w:r>
      <w:r w:rsidR="005F17FD" w:rsidRPr="00357869">
        <w:rPr>
          <w:rFonts w:ascii="Calibri" w:hAnsi="Calibri" w:cs="Calibri"/>
          <w:lang w:val="en-US"/>
        </w:rPr>
        <w:t>hile male unemployment rates vary between 13.7</w:t>
      </w:r>
      <w:r w:rsidR="006D3182" w:rsidRPr="00357869">
        <w:rPr>
          <w:rFonts w:ascii="Calibri" w:hAnsi="Calibri" w:cs="Calibri"/>
          <w:lang w:val="en-US"/>
        </w:rPr>
        <w:t xml:space="preserve"> </w:t>
      </w:r>
      <w:r w:rsidR="005F17FD" w:rsidRPr="00357869">
        <w:rPr>
          <w:rFonts w:ascii="Calibri" w:hAnsi="Calibri" w:cs="Calibri"/>
          <w:lang w:val="en-US"/>
        </w:rPr>
        <w:t>(illiterates</w:t>
      </w:r>
      <w:r w:rsidR="006D3182" w:rsidRPr="00357869">
        <w:rPr>
          <w:rFonts w:ascii="Calibri" w:hAnsi="Calibri" w:cs="Calibri"/>
          <w:lang w:val="en-US"/>
        </w:rPr>
        <w:t>) and 8.7 percent (higher than high school), female rates vary between 4.3 (illiterates) and 21.3 percent (hi</w:t>
      </w:r>
      <w:r w:rsidR="00F77540" w:rsidRPr="00357869">
        <w:rPr>
          <w:rFonts w:ascii="Calibri" w:hAnsi="Calibri" w:cs="Calibri"/>
          <w:lang w:val="en-US"/>
        </w:rPr>
        <w:t>gher than high school)</w:t>
      </w:r>
      <w:r w:rsidR="006D3182" w:rsidRPr="00357869">
        <w:rPr>
          <w:rFonts w:ascii="Calibri" w:hAnsi="Calibri" w:cs="Calibri"/>
          <w:lang w:val="en-US"/>
        </w:rPr>
        <w:t>.</w:t>
      </w:r>
      <w:r w:rsidR="0061741E" w:rsidRPr="00357869">
        <w:rPr>
          <w:rFonts w:ascii="Calibri" w:hAnsi="Calibri" w:cs="Calibri"/>
          <w:lang w:val="en-US"/>
        </w:rPr>
        <w:t xml:space="preserve"> The reason </w:t>
      </w:r>
      <w:r w:rsidR="00934E99" w:rsidRPr="00357869">
        <w:rPr>
          <w:rFonts w:ascii="Calibri" w:hAnsi="Calibri" w:cs="Calibri"/>
          <w:lang w:val="en-US"/>
        </w:rPr>
        <w:t>behind the low</w:t>
      </w:r>
      <w:r w:rsidR="0061741E" w:rsidRPr="00357869">
        <w:rPr>
          <w:rFonts w:ascii="Calibri" w:hAnsi="Calibri" w:cs="Calibri"/>
          <w:lang w:val="en-US"/>
        </w:rPr>
        <w:t xml:space="preserve"> unemployment a</w:t>
      </w:r>
      <w:r w:rsidR="00C550C9" w:rsidRPr="00357869">
        <w:rPr>
          <w:rFonts w:ascii="Calibri" w:hAnsi="Calibri" w:cs="Calibri"/>
          <w:lang w:val="en-US"/>
        </w:rPr>
        <w:t>mong female illiterates is the large share of</w:t>
      </w:r>
      <w:r w:rsidR="0061741E" w:rsidRPr="00357869">
        <w:rPr>
          <w:rFonts w:ascii="Calibri" w:hAnsi="Calibri" w:cs="Calibri"/>
          <w:lang w:val="en-US"/>
        </w:rPr>
        <w:t xml:space="preserve"> agricultural employme</w:t>
      </w:r>
      <w:r w:rsidR="009C010E" w:rsidRPr="00357869">
        <w:rPr>
          <w:rFonts w:ascii="Calibri" w:hAnsi="Calibri" w:cs="Calibri"/>
          <w:lang w:val="en-US"/>
        </w:rPr>
        <w:t>nt. In</w:t>
      </w:r>
      <w:r w:rsidR="00A826C1" w:rsidRPr="00357869">
        <w:rPr>
          <w:rFonts w:ascii="Calibri" w:hAnsi="Calibri" w:cs="Calibri"/>
          <w:lang w:val="en-US"/>
        </w:rPr>
        <w:t xml:space="preserve">deed, the share of agriculture </w:t>
      </w:r>
      <w:r w:rsidR="0061741E" w:rsidRPr="00357869">
        <w:rPr>
          <w:rFonts w:ascii="Calibri" w:hAnsi="Calibri" w:cs="Calibri"/>
          <w:lang w:val="en-US"/>
        </w:rPr>
        <w:t xml:space="preserve">in total female employment is 27.2 percent (Annexed table 3). This share </w:t>
      </w:r>
      <w:r w:rsidR="00ED2749" w:rsidRPr="00357869">
        <w:rPr>
          <w:rFonts w:ascii="Calibri" w:hAnsi="Calibri" w:cs="Calibri"/>
          <w:lang w:val="en-US"/>
        </w:rPr>
        <w:t>reaches</w:t>
      </w:r>
      <w:r w:rsidR="0061741E" w:rsidRPr="00357869">
        <w:rPr>
          <w:rFonts w:ascii="Calibri" w:hAnsi="Calibri" w:cs="Calibri"/>
          <w:lang w:val="en-US"/>
        </w:rPr>
        <w:t xml:space="preserve"> 69.7 among female illiterates. Put differentl</w:t>
      </w:r>
      <w:r w:rsidR="005F613E" w:rsidRPr="00357869">
        <w:rPr>
          <w:rFonts w:ascii="Calibri" w:hAnsi="Calibri" w:cs="Calibri"/>
          <w:lang w:val="en-US"/>
        </w:rPr>
        <w:t>y, 70 illiterate</w:t>
      </w:r>
      <w:r w:rsidR="0061741E" w:rsidRPr="00357869">
        <w:rPr>
          <w:rFonts w:ascii="Calibri" w:hAnsi="Calibri" w:cs="Calibri"/>
          <w:lang w:val="en-US"/>
        </w:rPr>
        <w:t xml:space="preserve"> women out of 100 are working in agriculture. As for the women having an education level less than high school, 42.9 percent </w:t>
      </w:r>
      <w:r w:rsidR="005F613E" w:rsidRPr="00357869">
        <w:rPr>
          <w:rFonts w:ascii="Calibri" w:hAnsi="Calibri" w:cs="Calibri"/>
          <w:lang w:val="en-US"/>
        </w:rPr>
        <w:t>are</w:t>
      </w:r>
      <w:r w:rsidR="00784330" w:rsidRPr="00357869">
        <w:rPr>
          <w:rFonts w:ascii="Calibri" w:hAnsi="Calibri" w:cs="Calibri"/>
          <w:lang w:val="en-US"/>
        </w:rPr>
        <w:t xml:space="preserve"> employed in agriculture. Similarly, the relatively low levels of</w:t>
      </w:r>
      <w:r w:rsidR="00F912BF" w:rsidRPr="00357869">
        <w:rPr>
          <w:rFonts w:ascii="Calibri" w:hAnsi="Calibri" w:cs="Calibri"/>
          <w:lang w:val="en-US"/>
        </w:rPr>
        <w:t xml:space="preserve"> unemployment </w:t>
      </w:r>
      <w:r w:rsidR="00147851" w:rsidRPr="00357869">
        <w:rPr>
          <w:rFonts w:ascii="Calibri" w:hAnsi="Calibri" w:cs="Calibri"/>
          <w:lang w:val="en-US"/>
        </w:rPr>
        <w:t>among women with lower levels</w:t>
      </w:r>
      <w:r w:rsidR="00F912BF" w:rsidRPr="00357869">
        <w:rPr>
          <w:rFonts w:ascii="Calibri" w:hAnsi="Calibri" w:cs="Calibri"/>
          <w:lang w:val="en-US"/>
        </w:rPr>
        <w:t xml:space="preserve"> of education can be explained by the </w:t>
      </w:r>
      <w:r w:rsidR="002D3104" w:rsidRPr="00357869">
        <w:rPr>
          <w:rFonts w:ascii="Calibri" w:hAnsi="Calibri" w:cs="Calibri"/>
          <w:lang w:val="en-US"/>
        </w:rPr>
        <w:t xml:space="preserve">high share of employment </w:t>
      </w:r>
      <w:r w:rsidR="00FB4B33" w:rsidRPr="00357869">
        <w:rPr>
          <w:rFonts w:ascii="Calibri" w:hAnsi="Calibri" w:cs="Calibri"/>
          <w:lang w:val="en-US"/>
        </w:rPr>
        <w:t>in agriculture</w:t>
      </w:r>
      <w:r w:rsidR="00F912BF" w:rsidRPr="00357869">
        <w:rPr>
          <w:rFonts w:ascii="Calibri" w:hAnsi="Calibri" w:cs="Calibri"/>
          <w:lang w:val="en-US"/>
        </w:rPr>
        <w:t>.</w:t>
      </w:r>
      <w:r w:rsidR="0061741E" w:rsidRPr="00357869">
        <w:rPr>
          <w:rFonts w:ascii="Calibri" w:hAnsi="Calibri" w:cs="Calibri"/>
          <w:lang w:val="en-US"/>
        </w:rPr>
        <w:t xml:space="preserve">    </w:t>
      </w:r>
      <w:r w:rsidR="006D3182" w:rsidRPr="00357869">
        <w:rPr>
          <w:rFonts w:ascii="Calibri" w:hAnsi="Calibri" w:cs="Calibri"/>
          <w:lang w:val="en-US"/>
        </w:rPr>
        <w:t xml:space="preserve">   </w:t>
      </w:r>
      <w:r w:rsidR="005F17FD" w:rsidRPr="00357869">
        <w:rPr>
          <w:rFonts w:ascii="Calibri" w:hAnsi="Calibri" w:cs="Calibri"/>
          <w:lang w:val="en-US"/>
        </w:rPr>
        <w:t xml:space="preserve">   </w:t>
      </w:r>
    </w:p>
    <w:p w14:paraId="6C4EB77F" w14:textId="4722C1D8" w:rsidR="00F665B9" w:rsidRPr="00357869" w:rsidRDefault="00F665B9" w:rsidP="00E814A3">
      <w:pPr>
        <w:pStyle w:val="Caption"/>
        <w:keepNext/>
        <w:outlineLvl w:val="0"/>
        <w:rPr>
          <w:rFonts w:ascii="Calibri" w:hAnsi="Calibri" w:cs="Calibri"/>
          <w:szCs w:val="22"/>
          <w:lang w:val="en-US"/>
        </w:rPr>
      </w:pPr>
      <w:r w:rsidRPr="00357869">
        <w:rPr>
          <w:rFonts w:ascii="Calibri" w:hAnsi="Calibri" w:cs="Calibri"/>
          <w:szCs w:val="22"/>
          <w:lang w:val="en-US"/>
        </w:rPr>
        <w:t>Tabl</w:t>
      </w:r>
      <w:r w:rsidR="008437A1" w:rsidRPr="00357869">
        <w:rPr>
          <w:rFonts w:ascii="Calibri" w:hAnsi="Calibri" w:cs="Calibri"/>
          <w:szCs w:val="22"/>
          <w:lang w:val="en-US"/>
        </w:rPr>
        <w:t>e</w:t>
      </w:r>
      <w:r w:rsidRPr="00357869">
        <w:rPr>
          <w:rFonts w:ascii="Calibri" w:hAnsi="Calibri" w:cs="Calibri"/>
          <w:szCs w:val="22"/>
          <w:lang w:val="en-US"/>
        </w:rPr>
        <w:t xml:space="preserve"> </w:t>
      </w:r>
      <w:r w:rsidRPr="00357869">
        <w:rPr>
          <w:rFonts w:ascii="Calibri" w:hAnsi="Calibri" w:cs="Calibri"/>
          <w:szCs w:val="22"/>
          <w:lang w:val="en-US"/>
        </w:rPr>
        <w:fldChar w:fldCharType="begin"/>
      </w:r>
      <w:r w:rsidRPr="00357869">
        <w:rPr>
          <w:rFonts w:ascii="Calibri" w:hAnsi="Calibri" w:cs="Calibri"/>
          <w:szCs w:val="22"/>
          <w:lang w:val="en-US"/>
        </w:rPr>
        <w:instrText xml:space="preserve"> SEQ Tablo \* ARABIC </w:instrText>
      </w:r>
      <w:r w:rsidRPr="00357869">
        <w:rPr>
          <w:rFonts w:ascii="Calibri" w:hAnsi="Calibri" w:cs="Calibri"/>
          <w:szCs w:val="22"/>
          <w:lang w:val="en-US"/>
        </w:rPr>
        <w:fldChar w:fldCharType="separate"/>
      </w:r>
      <w:r w:rsidR="00961FB7" w:rsidRPr="00357869">
        <w:rPr>
          <w:rFonts w:ascii="Calibri" w:hAnsi="Calibri" w:cs="Calibri"/>
          <w:szCs w:val="22"/>
          <w:lang w:val="en-US"/>
        </w:rPr>
        <w:t>1</w:t>
      </w:r>
      <w:r w:rsidRPr="00357869">
        <w:rPr>
          <w:rFonts w:ascii="Calibri" w:hAnsi="Calibri" w:cs="Calibri"/>
          <w:szCs w:val="22"/>
          <w:lang w:val="en-US"/>
        </w:rPr>
        <w:fldChar w:fldCharType="end"/>
      </w:r>
      <w:r w:rsidRPr="00357869">
        <w:rPr>
          <w:rFonts w:ascii="Calibri" w:hAnsi="Calibri" w:cs="Calibri"/>
          <w:szCs w:val="22"/>
          <w:lang w:val="en-US"/>
        </w:rPr>
        <w:t xml:space="preserve">: </w:t>
      </w:r>
      <w:r w:rsidR="008437A1" w:rsidRPr="00357869">
        <w:rPr>
          <w:rFonts w:ascii="Calibri" w:hAnsi="Calibri" w:cs="Calibri"/>
          <w:szCs w:val="22"/>
          <w:lang w:val="en-US"/>
        </w:rPr>
        <w:t xml:space="preserve">Overall unemployment and labor force participation rates </w:t>
      </w:r>
      <w:r w:rsidRPr="00357869">
        <w:rPr>
          <w:rFonts w:ascii="Calibri" w:hAnsi="Calibri" w:cs="Calibri"/>
          <w:szCs w:val="22"/>
          <w:lang w:val="en-US"/>
        </w:rPr>
        <w:t>(%) (</w:t>
      </w:r>
      <w:r w:rsidR="008437A1" w:rsidRPr="00357869">
        <w:rPr>
          <w:rFonts w:ascii="Calibri" w:hAnsi="Calibri" w:cs="Calibri"/>
          <w:szCs w:val="22"/>
          <w:lang w:val="en-US"/>
        </w:rPr>
        <w:t>Age of 15-64</w:t>
      </w:r>
      <w:r w:rsidRPr="00357869">
        <w:rPr>
          <w:rFonts w:ascii="Calibri" w:hAnsi="Calibri" w:cs="Calibri"/>
          <w:szCs w:val="22"/>
          <w:lang w:val="en-US"/>
        </w:rPr>
        <w:t>, 2017)</w:t>
      </w:r>
    </w:p>
    <w:tbl>
      <w:tblPr>
        <w:tblW w:w="10829" w:type="dxa"/>
        <w:jc w:val="center"/>
        <w:tblLayout w:type="fixed"/>
        <w:tblCellMar>
          <w:left w:w="70" w:type="dxa"/>
          <w:right w:w="70" w:type="dxa"/>
        </w:tblCellMar>
        <w:tblLook w:val="04A0" w:firstRow="1" w:lastRow="0" w:firstColumn="1" w:lastColumn="0" w:noHBand="0" w:noVBand="1"/>
      </w:tblPr>
      <w:tblGrid>
        <w:gridCol w:w="713"/>
        <w:gridCol w:w="1042"/>
        <w:gridCol w:w="1002"/>
        <w:gridCol w:w="1011"/>
        <w:gridCol w:w="999"/>
        <w:gridCol w:w="1013"/>
        <w:gridCol w:w="1004"/>
        <w:gridCol w:w="1016"/>
        <w:gridCol w:w="999"/>
        <w:gridCol w:w="1048"/>
        <w:gridCol w:w="964"/>
        <w:gridCol w:w="18"/>
      </w:tblGrid>
      <w:tr w:rsidR="00095F78" w:rsidRPr="00357869" w14:paraId="65A56D25" w14:textId="77777777" w:rsidTr="00C75A34">
        <w:trPr>
          <w:trHeight w:val="238"/>
          <w:jc w:val="center"/>
        </w:trPr>
        <w:tc>
          <w:tcPr>
            <w:tcW w:w="713" w:type="dxa"/>
            <w:tcBorders>
              <w:top w:val="nil"/>
              <w:left w:val="nil"/>
              <w:bottom w:val="nil"/>
              <w:right w:val="nil"/>
            </w:tcBorders>
            <w:shd w:val="clear" w:color="auto" w:fill="auto"/>
            <w:noWrap/>
            <w:hideMark/>
          </w:tcPr>
          <w:p w14:paraId="0499653B" w14:textId="77777777" w:rsidR="00CF679B" w:rsidRPr="00357869" w:rsidRDefault="00CF679B" w:rsidP="00CF679B">
            <w:pPr>
              <w:spacing w:after="0" w:line="240" w:lineRule="auto"/>
              <w:rPr>
                <w:rFonts w:ascii="Calibri" w:hAnsi="Calibri" w:cs="Calibri"/>
                <w:lang w:val="en-US" w:eastAsia="tr-TR"/>
              </w:rPr>
            </w:pPr>
          </w:p>
        </w:tc>
        <w:tc>
          <w:tcPr>
            <w:tcW w:w="2044"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0BCD46C7" w14:textId="5EAF3BA0" w:rsidR="00CF679B" w:rsidRPr="00357869" w:rsidRDefault="00E92729" w:rsidP="00E92729">
            <w:pPr>
              <w:spacing w:after="0" w:line="240" w:lineRule="auto"/>
              <w:rPr>
                <w:rFonts w:ascii="Calibri" w:eastAsia="Times New Roman" w:hAnsi="Calibri" w:cs="Calibri"/>
                <w:color w:val="000000"/>
                <w:sz w:val="20"/>
                <w:szCs w:val="20"/>
                <w:lang w:val="en-US" w:eastAsia="tr-TR"/>
              </w:rPr>
            </w:pPr>
            <w:r w:rsidRPr="00357869">
              <w:rPr>
                <w:rFonts w:ascii="Calibri" w:hAnsi="Calibri" w:cs="Calibri"/>
                <w:iCs/>
                <w:sz w:val="20"/>
                <w:szCs w:val="20"/>
                <w:lang w:val="en-US"/>
              </w:rPr>
              <w:t>Illiterates</w:t>
            </w:r>
          </w:p>
        </w:tc>
        <w:tc>
          <w:tcPr>
            <w:tcW w:w="2010" w:type="dxa"/>
            <w:gridSpan w:val="2"/>
            <w:tcBorders>
              <w:top w:val="single" w:sz="8" w:space="0" w:color="auto"/>
              <w:left w:val="nil"/>
              <w:bottom w:val="single" w:sz="8" w:space="0" w:color="auto"/>
              <w:right w:val="single" w:sz="8" w:space="0" w:color="000000"/>
            </w:tcBorders>
            <w:shd w:val="clear" w:color="auto" w:fill="auto"/>
            <w:noWrap/>
            <w:hideMark/>
          </w:tcPr>
          <w:p w14:paraId="5D20F890" w14:textId="7BE76F45" w:rsidR="00CF679B" w:rsidRPr="00357869" w:rsidRDefault="00E92729" w:rsidP="00E92729">
            <w:pPr>
              <w:spacing w:after="0" w:line="240" w:lineRule="auto"/>
              <w:rPr>
                <w:rFonts w:ascii="Calibri" w:eastAsia="Times New Roman" w:hAnsi="Calibri" w:cs="Calibri"/>
                <w:color w:val="000000"/>
                <w:sz w:val="20"/>
                <w:szCs w:val="20"/>
                <w:lang w:val="en-US" w:eastAsia="tr-TR"/>
              </w:rPr>
            </w:pPr>
            <w:r w:rsidRPr="00357869">
              <w:rPr>
                <w:rFonts w:ascii="Calibri" w:hAnsi="Calibri" w:cs="Calibri"/>
                <w:iCs/>
                <w:sz w:val="20"/>
                <w:szCs w:val="20"/>
                <w:lang w:val="en-US"/>
              </w:rPr>
              <w:t>Less than high school</w:t>
            </w:r>
            <w:r w:rsidRPr="00357869">
              <w:rPr>
                <w:rFonts w:ascii="Calibri" w:eastAsia="Times New Roman" w:hAnsi="Calibri" w:cs="Calibri"/>
                <w:color w:val="000000"/>
                <w:sz w:val="20"/>
                <w:szCs w:val="20"/>
                <w:lang w:val="en-US" w:eastAsia="tr-TR"/>
              </w:rPr>
              <w:t xml:space="preserve"> </w:t>
            </w:r>
          </w:p>
        </w:tc>
        <w:tc>
          <w:tcPr>
            <w:tcW w:w="2017" w:type="dxa"/>
            <w:gridSpan w:val="2"/>
            <w:tcBorders>
              <w:top w:val="single" w:sz="8" w:space="0" w:color="auto"/>
              <w:left w:val="nil"/>
              <w:bottom w:val="single" w:sz="8" w:space="0" w:color="auto"/>
              <w:right w:val="single" w:sz="8" w:space="0" w:color="000000"/>
            </w:tcBorders>
            <w:shd w:val="clear" w:color="auto" w:fill="auto"/>
            <w:noWrap/>
            <w:hideMark/>
          </w:tcPr>
          <w:p w14:paraId="54EC95F6" w14:textId="71723447" w:rsidR="00CF679B" w:rsidRPr="00357869" w:rsidRDefault="00E92729" w:rsidP="00E92729">
            <w:pPr>
              <w:spacing w:after="0" w:line="240" w:lineRule="auto"/>
              <w:jc w:val="center"/>
              <w:rPr>
                <w:rFonts w:ascii="Calibri" w:eastAsia="Times New Roman" w:hAnsi="Calibri" w:cs="Calibri"/>
                <w:color w:val="000000"/>
                <w:sz w:val="20"/>
                <w:szCs w:val="20"/>
                <w:lang w:val="en-US" w:eastAsia="tr-TR"/>
              </w:rPr>
            </w:pPr>
            <w:r w:rsidRPr="00357869">
              <w:rPr>
                <w:rFonts w:ascii="Calibri" w:hAnsi="Calibri" w:cs="Calibri"/>
                <w:iCs/>
                <w:sz w:val="20"/>
                <w:szCs w:val="20"/>
                <w:lang w:val="en-US"/>
              </w:rPr>
              <w:t>High school</w:t>
            </w:r>
            <w:r w:rsidRPr="00357869">
              <w:rPr>
                <w:rFonts w:ascii="Calibri" w:eastAsia="Times New Roman" w:hAnsi="Calibri" w:cs="Calibri"/>
                <w:color w:val="000000"/>
                <w:sz w:val="20"/>
                <w:szCs w:val="20"/>
                <w:lang w:val="en-US" w:eastAsia="tr-TR"/>
              </w:rPr>
              <w:t xml:space="preserve"> </w:t>
            </w:r>
          </w:p>
        </w:tc>
        <w:tc>
          <w:tcPr>
            <w:tcW w:w="2015" w:type="dxa"/>
            <w:gridSpan w:val="2"/>
            <w:tcBorders>
              <w:top w:val="single" w:sz="8" w:space="0" w:color="auto"/>
              <w:left w:val="nil"/>
              <w:bottom w:val="single" w:sz="8" w:space="0" w:color="auto"/>
              <w:right w:val="single" w:sz="8" w:space="0" w:color="000000"/>
            </w:tcBorders>
            <w:shd w:val="clear" w:color="auto" w:fill="auto"/>
            <w:noWrap/>
            <w:hideMark/>
          </w:tcPr>
          <w:p w14:paraId="1341DC8E" w14:textId="26FED132" w:rsidR="00CF679B" w:rsidRPr="00357869" w:rsidRDefault="00916257" w:rsidP="00E92729">
            <w:pPr>
              <w:spacing w:after="0" w:line="240" w:lineRule="auto"/>
              <w:jc w:val="center"/>
              <w:rPr>
                <w:rFonts w:ascii="Calibri" w:eastAsia="Times New Roman" w:hAnsi="Calibri" w:cs="Calibri"/>
                <w:color w:val="000000"/>
                <w:sz w:val="20"/>
                <w:szCs w:val="20"/>
                <w:lang w:val="en-US" w:eastAsia="tr-TR"/>
              </w:rPr>
            </w:pPr>
            <w:r w:rsidRPr="00357869">
              <w:rPr>
                <w:rFonts w:ascii="Calibri" w:hAnsi="Calibri" w:cs="Calibri"/>
                <w:iCs/>
                <w:sz w:val="20"/>
                <w:szCs w:val="20"/>
                <w:lang w:val="en-US"/>
              </w:rPr>
              <w:t>Vocational</w:t>
            </w:r>
            <w:r w:rsidR="00E92729" w:rsidRPr="00357869">
              <w:rPr>
                <w:rFonts w:ascii="Calibri" w:hAnsi="Calibri" w:cs="Calibri"/>
                <w:iCs/>
                <w:sz w:val="20"/>
                <w:szCs w:val="20"/>
                <w:lang w:val="en-US"/>
              </w:rPr>
              <w:t xml:space="preserve"> high school </w:t>
            </w:r>
          </w:p>
        </w:tc>
        <w:tc>
          <w:tcPr>
            <w:tcW w:w="2030" w:type="dxa"/>
            <w:gridSpan w:val="3"/>
            <w:tcBorders>
              <w:top w:val="single" w:sz="8" w:space="0" w:color="auto"/>
              <w:left w:val="nil"/>
              <w:bottom w:val="single" w:sz="8" w:space="0" w:color="auto"/>
              <w:right w:val="single" w:sz="8" w:space="0" w:color="000000"/>
            </w:tcBorders>
            <w:shd w:val="clear" w:color="auto" w:fill="auto"/>
            <w:noWrap/>
            <w:hideMark/>
          </w:tcPr>
          <w:p w14:paraId="60B6F36C" w14:textId="02DDBBDA" w:rsidR="00CF679B" w:rsidRPr="00357869" w:rsidRDefault="00916257" w:rsidP="00E92729">
            <w:pPr>
              <w:spacing w:after="0" w:line="240" w:lineRule="auto"/>
              <w:jc w:val="center"/>
              <w:rPr>
                <w:rFonts w:ascii="Calibri" w:eastAsia="Times New Roman" w:hAnsi="Calibri" w:cs="Calibri"/>
                <w:color w:val="000000"/>
                <w:sz w:val="20"/>
                <w:szCs w:val="20"/>
                <w:lang w:val="en-US" w:eastAsia="tr-TR"/>
              </w:rPr>
            </w:pPr>
            <w:r w:rsidRPr="00357869">
              <w:rPr>
                <w:rFonts w:ascii="Calibri" w:hAnsi="Calibri" w:cs="Calibri"/>
                <w:iCs/>
                <w:sz w:val="20"/>
                <w:szCs w:val="20"/>
                <w:lang w:val="en-US"/>
              </w:rPr>
              <w:t>College</w:t>
            </w:r>
          </w:p>
        </w:tc>
      </w:tr>
      <w:tr w:rsidR="00095F78" w:rsidRPr="00357869" w14:paraId="32638DE6" w14:textId="77777777" w:rsidTr="00C75A34">
        <w:trPr>
          <w:gridAfter w:val="1"/>
          <w:wAfter w:w="18" w:type="dxa"/>
          <w:trHeight w:val="238"/>
          <w:jc w:val="center"/>
        </w:trPr>
        <w:tc>
          <w:tcPr>
            <w:tcW w:w="713" w:type="dxa"/>
            <w:tcBorders>
              <w:top w:val="nil"/>
              <w:left w:val="nil"/>
              <w:bottom w:val="single" w:sz="8" w:space="0" w:color="auto"/>
              <w:right w:val="nil"/>
            </w:tcBorders>
            <w:shd w:val="clear" w:color="auto" w:fill="auto"/>
            <w:noWrap/>
            <w:hideMark/>
          </w:tcPr>
          <w:p w14:paraId="16590866" w14:textId="77777777" w:rsidR="00CF679B" w:rsidRPr="00357869" w:rsidRDefault="00CF679B" w:rsidP="00CF679B">
            <w:pPr>
              <w:spacing w:after="0" w:line="240" w:lineRule="auto"/>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w:t>
            </w:r>
          </w:p>
        </w:tc>
        <w:tc>
          <w:tcPr>
            <w:tcW w:w="1042" w:type="dxa"/>
            <w:tcBorders>
              <w:top w:val="nil"/>
              <w:left w:val="single" w:sz="8" w:space="0" w:color="auto"/>
              <w:bottom w:val="single" w:sz="8" w:space="0" w:color="auto"/>
              <w:right w:val="nil"/>
            </w:tcBorders>
            <w:shd w:val="clear" w:color="auto" w:fill="auto"/>
            <w:noWrap/>
            <w:hideMark/>
          </w:tcPr>
          <w:p w14:paraId="70A3F05E" w14:textId="6E08F5DE" w:rsidR="00CF679B" w:rsidRPr="00357869" w:rsidRDefault="00E92729"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Female</w:t>
            </w:r>
          </w:p>
        </w:tc>
        <w:tc>
          <w:tcPr>
            <w:tcW w:w="1002" w:type="dxa"/>
            <w:tcBorders>
              <w:top w:val="nil"/>
              <w:left w:val="nil"/>
              <w:bottom w:val="single" w:sz="8" w:space="0" w:color="auto"/>
              <w:right w:val="single" w:sz="8" w:space="0" w:color="auto"/>
            </w:tcBorders>
            <w:shd w:val="clear" w:color="auto" w:fill="auto"/>
            <w:noWrap/>
            <w:hideMark/>
          </w:tcPr>
          <w:p w14:paraId="5C4932A5" w14:textId="6CDA6476" w:rsidR="00CF679B" w:rsidRPr="00357869" w:rsidRDefault="008437A1"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Male</w:t>
            </w:r>
          </w:p>
        </w:tc>
        <w:tc>
          <w:tcPr>
            <w:tcW w:w="1011" w:type="dxa"/>
            <w:tcBorders>
              <w:top w:val="nil"/>
              <w:left w:val="nil"/>
              <w:bottom w:val="single" w:sz="8" w:space="0" w:color="auto"/>
              <w:right w:val="nil"/>
            </w:tcBorders>
            <w:shd w:val="clear" w:color="auto" w:fill="auto"/>
            <w:noWrap/>
            <w:hideMark/>
          </w:tcPr>
          <w:p w14:paraId="7F28BE60" w14:textId="0D2C6C32" w:rsidR="00CF679B" w:rsidRPr="00357869" w:rsidRDefault="00E92729" w:rsidP="00E92729">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xml:space="preserve">Female </w:t>
            </w:r>
          </w:p>
        </w:tc>
        <w:tc>
          <w:tcPr>
            <w:tcW w:w="999" w:type="dxa"/>
            <w:tcBorders>
              <w:top w:val="nil"/>
              <w:left w:val="nil"/>
              <w:bottom w:val="single" w:sz="8" w:space="0" w:color="auto"/>
              <w:right w:val="single" w:sz="8" w:space="0" w:color="auto"/>
            </w:tcBorders>
            <w:shd w:val="clear" w:color="auto" w:fill="auto"/>
            <w:noWrap/>
            <w:hideMark/>
          </w:tcPr>
          <w:p w14:paraId="591C724B" w14:textId="2413E6F5" w:rsidR="00CF679B" w:rsidRPr="00357869" w:rsidRDefault="008437A1" w:rsidP="008437A1">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xml:space="preserve">Male </w:t>
            </w:r>
          </w:p>
        </w:tc>
        <w:tc>
          <w:tcPr>
            <w:tcW w:w="1013" w:type="dxa"/>
            <w:tcBorders>
              <w:top w:val="nil"/>
              <w:left w:val="nil"/>
              <w:bottom w:val="single" w:sz="8" w:space="0" w:color="auto"/>
              <w:right w:val="nil"/>
            </w:tcBorders>
            <w:shd w:val="clear" w:color="auto" w:fill="auto"/>
            <w:noWrap/>
            <w:hideMark/>
          </w:tcPr>
          <w:p w14:paraId="3359862E" w14:textId="54475058" w:rsidR="00CF679B" w:rsidRPr="00357869" w:rsidRDefault="00E92729" w:rsidP="008437A1">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xml:space="preserve">Female </w:t>
            </w:r>
          </w:p>
        </w:tc>
        <w:tc>
          <w:tcPr>
            <w:tcW w:w="1004" w:type="dxa"/>
            <w:tcBorders>
              <w:top w:val="nil"/>
              <w:left w:val="nil"/>
              <w:bottom w:val="single" w:sz="8" w:space="0" w:color="auto"/>
              <w:right w:val="single" w:sz="8" w:space="0" w:color="auto"/>
            </w:tcBorders>
            <w:shd w:val="clear" w:color="auto" w:fill="auto"/>
            <w:noWrap/>
            <w:hideMark/>
          </w:tcPr>
          <w:p w14:paraId="0C7D71E0" w14:textId="4051FAEB" w:rsidR="00CF679B" w:rsidRPr="00357869" w:rsidRDefault="008437A1" w:rsidP="008437A1">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xml:space="preserve">Male </w:t>
            </w:r>
          </w:p>
        </w:tc>
        <w:tc>
          <w:tcPr>
            <w:tcW w:w="1016" w:type="dxa"/>
            <w:tcBorders>
              <w:top w:val="nil"/>
              <w:left w:val="nil"/>
              <w:bottom w:val="single" w:sz="8" w:space="0" w:color="auto"/>
              <w:right w:val="nil"/>
            </w:tcBorders>
            <w:shd w:val="clear" w:color="auto" w:fill="auto"/>
            <w:noWrap/>
            <w:hideMark/>
          </w:tcPr>
          <w:p w14:paraId="438645B6" w14:textId="4EE211A4" w:rsidR="00CF679B" w:rsidRPr="00357869" w:rsidRDefault="00E92729" w:rsidP="008437A1">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xml:space="preserve">Female </w:t>
            </w:r>
          </w:p>
        </w:tc>
        <w:tc>
          <w:tcPr>
            <w:tcW w:w="999" w:type="dxa"/>
            <w:tcBorders>
              <w:top w:val="nil"/>
              <w:left w:val="nil"/>
              <w:bottom w:val="single" w:sz="8" w:space="0" w:color="auto"/>
              <w:right w:val="single" w:sz="8" w:space="0" w:color="auto"/>
            </w:tcBorders>
            <w:shd w:val="clear" w:color="auto" w:fill="auto"/>
            <w:noWrap/>
            <w:hideMark/>
          </w:tcPr>
          <w:p w14:paraId="112D3ED2" w14:textId="2A9019D3" w:rsidR="00CF679B" w:rsidRPr="00357869" w:rsidRDefault="008437A1" w:rsidP="008437A1">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xml:space="preserve">Male </w:t>
            </w:r>
          </w:p>
        </w:tc>
        <w:tc>
          <w:tcPr>
            <w:tcW w:w="1048" w:type="dxa"/>
            <w:tcBorders>
              <w:top w:val="nil"/>
              <w:left w:val="nil"/>
              <w:bottom w:val="single" w:sz="8" w:space="0" w:color="auto"/>
              <w:right w:val="nil"/>
            </w:tcBorders>
            <w:shd w:val="clear" w:color="auto" w:fill="auto"/>
            <w:noWrap/>
            <w:hideMark/>
          </w:tcPr>
          <w:p w14:paraId="0FCFC0C1" w14:textId="51CB99F8" w:rsidR="00CF679B" w:rsidRPr="00357869" w:rsidRDefault="00E92729" w:rsidP="008437A1">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xml:space="preserve">Female </w:t>
            </w:r>
          </w:p>
        </w:tc>
        <w:tc>
          <w:tcPr>
            <w:tcW w:w="964" w:type="dxa"/>
            <w:tcBorders>
              <w:top w:val="nil"/>
              <w:left w:val="nil"/>
              <w:bottom w:val="single" w:sz="8" w:space="0" w:color="auto"/>
              <w:right w:val="single" w:sz="8" w:space="0" w:color="auto"/>
            </w:tcBorders>
            <w:shd w:val="clear" w:color="auto" w:fill="auto"/>
            <w:noWrap/>
            <w:hideMark/>
          </w:tcPr>
          <w:p w14:paraId="30226403" w14:textId="753B7ECD" w:rsidR="00CF679B" w:rsidRPr="00357869" w:rsidRDefault="008437A1" w:rsidP="008437A1">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 xml:space="preserve">Male </w:t>
            </w:r>
          </w:p>
        </w:tc>
      </w:tr>
      <w:tr w:rsidR="00095F78" w:rsidRPr="00357869" w14:paraId="59C14707" w14:textId="77777777" w:rsidTr="00E92729">
        <w:trPr>
          <w:gridAfter w:val="1"/>
          <w:wAfter w:w="18" w:type="dxa"/>
          <w:trHeight w:val="238"/>
          <w:jc w:val="center"/>
        </w:trPr>
        <w:tc>
          <w:tcPr>
            <w:tcW w:w="713" w:type="dxa"/>
            <w:tcBorders>
              <w:top w:val="nil"/>
              <w:left w:val="single" w:sz="8" w:space="0" w:color="auto"/>
              <w:bottom w:val="single" w:sz="8" w:space="0" w:color="auto"/>
              <w:right w:val="single" w:sz="8" w:space="0" w:color="auto"/>
            </w:tcBorders>
            <w:shd w:val="clear" w:color="auto" w:fill="auto"/>
            <w:noWrap/>
          </w:tcPr>
          <w:p w14:paraId="30477CFC" w14:textId="369FCE00" w:rsidR="00CF679B" w:rsidRPr="00357869" w:rsidRDefault="00E92729" w:rsidP="00E92729">
            <w:pPr>
              <w:spacing w:after="0" w:line="240" w:lineRule="auto"/>
              <w:jc w:val="both"/>
              <w:rPr>
                <w:rFonts w:ascii="Calibri" w:eastAsia="Times New Roman" w:hAnsi="Calibri" w:cs="Calibri"/>
                <w:color w:val="000000"/>
                <w:sz w:val="20"/>
                <w:szCs w:val="20"/>
                <w:lang w:val="en-US" w:eastAsia="tr-TR"/>
              </w:rPr>
            </w:pPr>
            <w:r w:rsidRPr="00357869">
              <w:rPr>
                <w:rFonts w:ascii="Calibri" w:eastAsia="Times New Roman" w:hAnsi="Calibri" w:cs="Calibri"/>
                <w:color w:val="000000"/>
                <w:sz w:val="20"/>
                <w:szCs w:val="20"/>
                <w:lang w:val="en-US" w:eastAsia="tr-TR"/>
              </w:rPr>
              <w:t>U</w:t>
            </w:r>
          </w:p>
        </w:tc>
        <w:tc>
          <w:tcPr>
            <w:tcW w:w="1042" w:type="dxa"/>
            <w:tcBorders>
              <w:top w:val="nil"/>
              <w:left w:val="nil"/>
              <w:bottom w:val="single" w:sz="8" w:space="0" w:color="auto"/>
              <w:right w:val="nil"/>
            </w:tcBorders>
            <w:shd w:val="clear" w:color="auto" w:fill="auto"/>
            <w:noWrap/>
            <w:hideMark/>
          </w:tcPr>
          <w:p w14:paraId="41928D83" w14:textId="3FB0FAE1"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4</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3</w:t>
            </w:r>
          </w:p>
        </w:tc>
        <w:tc>
          <w:tcPr>
            <w:tcW w:w="1002" w:type="dxa"/>
            <w:tcBorders>
              <w:top w:val="nil"/>
              <w:left w:val="nil"/>
              <w:bottom w:val="single" w:sz="8" w:space="0" w:color="auto"/>
              <w:right w:val="single" w:sz="8" w:space="0" w:color="auto"/>
            </w:tcBorders>
            <w:shd w:val="clear" w:color="auto" w:fill="auto"/>
            <w:noWrap/>
            <w:hideMark/>
          </w:tcPr>
          <w:p w14:paraId="2E4BBCBF" w14:textId="15B80F54"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13</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7</w:t>
            </w:r>
          </w:p>
        </w:tc>
        <w:tc>
          <w:tcPr>
            <w:tcW w:w="1011" w:type="dxa"/>
            <w:tcBorders>
              <w:top w:val="nil"/>
              <w:left w:val="nil"/>
              <w:bottom w:val="single" w:sz="8" w:space="0" w:color="auto"/>
              <w:right w:val="nil"/>
            </w:tcBorders>
            <w:shd w:val="clear" w:color="auto" w:fill="auto"/>
            <w:noWrap/>
            <w:hideMark/>
          </w:tcPr>
          <w:p w14:paraId="2A94C347" w14:textId="564508A4"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10</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6</w:t>
            </w:r>
          </w:p>
        </w:tc>
        <w:tc>
          <w:tcPr>
            <w:tcW w:w="999" w:type="dxa"/>
            <w:tcBorders>
              <w:top w:val="nil"/>
              <w:left w:val="nil"/>
              <w:bottom w:val="single" w:sz="8" w:space="0" w:color="auto"/>
              <w:right w:val="single" w:sz="8" w:space="0" w:color="auto"/>
            </w:tcBorders>
            <w:shd w:val="clear" w:color="auto" w:fill="auto"/>
            <w:noWrap/>
            <w:hideMark/>
          </w:tcPr>
          <w:p w14:paraId="2814571B" w14:textId="345A34E0"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9</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9</w:t>
            </w:r>
          </w:p>
        </w:tc>
        <w:tc>
          <w:tcPr>
            <w:tcW w:w="1013" w:type="dxa"/>
            <w:tcBorders>
              <w:top w:val="nil"/>
              <w:left w:val="nil"/>
              <w:bottom w:val="single" w:sz="8" w:space="0" w:color="auto"/>
              <w:right w:val="nil"/>
            </w:tcBorders>
            <w:shd w:val="clear" w:color="auto" w:fill="auto"/>
            <w:noWrap/>
            <w:hideMark/>
          </w:tcPr>
          <w:p w14:paraId="2F5E7842" w14:textId="5D4A2B51"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21</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3</w:t>
            </w:r>
          </w:p>
        </w:tc>
        <w:tc>
          <w:tcPr>
            <w:tcW w:w="1004" w:type="dxa"/>
            <w:tcBorders>
              <w:top w:val="nil"/>
              <w:left w:val="nil"/>
              <w:bottom w:val="single" w:sz="8" w:space="0" w:color="auto"/>
              <w:right w:val="single" w:sz="8" w:space="0" w:color="auto"/>
            </w:tcBorders>
            <w:shd w:val="clear" w:color="auto" w:fill="auto"/>
            <w:noWrap/>
            <w:hideMark/>
          </w:tcPr>
          <w:p w14:paraId="56384076" w14:textId="3FC4C217"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10</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2</w:t>
            </w:r>
          </w:p>
        </w:tc>
        <w:tc>
          <w:tcPr>
            <w:tcW w:w="1016" w:type="dxa"/>
            <w:tcBorders>
              <w:top w:val="nil"/>
              <w:left w:val="nil"/>
              <w:bottom w:val="single" w:sz="8" w:space="0" w:color="auto"/>
              <w:right w:val="nil"/>
            </w:tcBorders>
            <w:shd w:val="clear" w:color="auto" w:fill="auto"/>
            <w:noWrap/>
            <w:hideMark/>
          </w:tcPr>
          <w:p w14:paraId="470DC975" w14:textId="6CBF37A7"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20</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6</w:t>
            </w:r>
          </w:p>
        </w:tc>
        <w:tc>
          <w:tcPr>
            <w:tcW w:w="999" w:type="dxa"/>
            <w:tcBorders>
              <w:top w:val="nil"/>
              <w:left w:val="nil"/>
              <w:bottom w:val="single" w:sz="8" w:space="0" w:color="auto"/>
              <w:right w:val="single" w:sz="8" w:space="0" w:color="auto"/>
            </w:tcBorders>
            <w:shd w:val="clear" w:color="auto" w:fill="auto"/>
            <w:noWrap/>
            <w:hideMark/>
          </w:tcPr>
          <w:p w14:paraId="76F65821" w14:textId="31EAAD6B"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9</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0</w:t>
            </w:r>
          </w:p>
        </w:tc>
        <w:tc>
          <w:tcPr>
            <w:tcW w:w="1048" w:type="dxa"/>
            <w:tcBorders>
              <w:top w:val="nil"/>
              <w:left w:val="nil"/>
              <w:bottom w:val="single" w:sz="8" w:space="0" w:color="auto"/>
              <w:right w:val="nil"/>
            </w:tcBorders>
            <w:shd w:val="clear" w:color="auto" w:fill="auto"/>
            <w:noWrap/>
            <w:hideMark/>
          </w:tcPr>
          <w:p w14:paraId="639FE6E4" w14:textId="414D27E6"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18</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4</w:t>
            </w:r>
          </w:p>
        </w:tc>
        <w:tc>
          <w:tcPr>
            <w:tcW w:w="964" w:type="dxa"/>
            <w:tcBorders>
              <w:top w:val="nil"/>
              <w:left w:val="nil"/>
              <w:bottom w:val="single" w:sz="8" w:space="0" w:color="auto"/>
              <w:right w:val="single" w:sz="8" w:space="0" w:color="auto"/>
            </w:tcBorders>
            <w:shd w:val="clear" w:color="auto" w:fill="auto"/>
            <w:noWrap/>
            <w:hideMark/>
          </w:tcPr>
          <w:p w14:paraId="0869B13E" w14:textId="52BFE23F"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8</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7</w:t>
            </w:r>
          </w:p>
        </w:tc>
      </w:tr>
      <w:tr w:rsidR="00095F78" w:rsidRPr="00357869" w14:paraId="4BB8D3D5" w14:textId="77777777" w:rsidTr="00C75A34">
        <w:trPr>
          <w:gridAfter w:val="1"/>
          <w:wAfter w:w="18" w:type="dxa"/>
          <w:trHeight w:val="240"/>
          <w:jc w:val="center"/>
        </w:trPr>
        <w:tc>
          <w:tcPr>
            <w:tcW w:w="713" w:type="dxa"/>
            <w:tcBorders>
              <w:top w:val="nil"/>
              <w:left w:val="single" w:sz="8" w:space="0" w:color="auto"/>
              <w:bottom w:val="single" w:sz="8" w:space="0" w:color="auto"/>
              <w:right w:val="single" w:sz="8" w:space="0" w:color="auto"/>
            </w:tcBorders>
            <w:shd w:val="clear" w:color="auto" w:fill="auto"/>
            <w:noWrap/>
            <w:hideMark/>
          </w:tcPr>
          <w:p w14:paraId="66CEB786" w14:textId="0357708E" w:rsidR="00CF679B" w:rsidRPr="00357869" w:rsidRDefault="00E92729" w:rsidP="00E92729">
            <w:pPr>
              <w:spacing w:after="0" w:line="240" w:lineRule="auto"/>
              <w:jc w:val="both"/>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LFPR</w:t>
            </w:r>
          </w:p>
        </w:tc>
        <w:tc>
          <w:tcPr>
            <w:tcW w:w="1042" w:type="dxa"/>
            <w:tcBorders>
              <w:top w:val="nil"/>
              <w:left w:val="nil"/>
              <w:bottom w:val="single" w:sz="8" w:space="0" w:color="auto"/>
              <w:right w:val="nil"/>
            </w:tcBorders>
            <w:shd w:val="clear" w:color="auto" w:fill="auto"/>
            <w:noWrap/>
            <w:hideMark/>
          </w:tcPr>
          <w:p w14:paraId="236383AC" w14:textId="02837C74"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23</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7</w:t>
            </w:r>
          </w:p>
        </w:tc>
        <w:tc>
          <w:tcPr>
            <w:tcW w:w="1002" w:type="dxa"/>
            <w:tcBorders>
              <w:top w:val="nil"/>
              <w:left w:val="nil"/>
              <w:bottom w:val="single" w:sz="8" w:space="0" w:color="auto"/>
              <w:right w:val="single" w:sz="8" w:space="0" w:color="auto"/>
            </w:tcBorders>
            <w:shd w:val="clear" w:color="auto" w:fill="auto"/>
            <w:noWrap/>
            <w:hideMark/>
          </w:tcPr>
          <w:p w14:paraId="3BBF17DB" w14:textId="7A26D105"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48</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3</w:t>
            </w:r>
          </w:p>
        </w:tc>
        <w:tc>
          <w:tcPr>
            <w:tcW w:w="1011" w:type="dxa"/>
            <w:tcBorders>
              <w:top w:val="nil"/>
              <w:left w:val="nil"/>
              <w:bottom w:val="single" w:sz="8" w:space="0" w:color="auto"/>
              <w:right w:val="nil"/>
            </w:tcBorders>
            <w:shd w:val="clear" w:color="auto" w:fill="auto"/>
            <w:noWrap/>
            <w:hideMark/>
          </w:tcPr>
          <w:p w14:paraId="2D02F324" w14:textId="7944AF45"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30</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1</w:t>
            </w:r>
          </w:p>
        </w:tc>
        <w:tc>
          <w:tcPr>
            <w:tcW w:w="999" w:type="dxa"/>
            <w:tcBorders>
              <w:top w:val="nil"/>
              <w:left w:val="nil"/>
              <w:bottom w:val="single" w:sz="8" w:space="0" w:color="auto"/>
              <w:right w:val="single" w:sz="8" w:space="0" w:color="auto"/>
            </w:tcBorders>
            <w:shd w:val="clear" w:color="auto" w:fill="auto"/>
            <w:noWrap/>
            <w:hideMark/>
          </w:tcPr>
          <w:p w14:paraId="653689F6" w14:textId="65A7D5E1"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75</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7</w:t>
            </w:r>
          </w:p>
        </w:tc>
        <w:tc>
          <w:tcPr>
            <w:tcW w:w="1013" w:type="dxa"/>
            <w:tcBorders>
              <w:top w:val="nil"/>
              <w:left w:val="nil"/>
              <w:bottom w:val="single" w:sz="8" w:space="0" w:color="auto"/>
              <w:right w:val="nil"/>
            </w:tcBorders>
            <w:shd w:val="clear" w:color="auto" w:fill="auto"/>
            <w:noWrap/>
            <w:hideMark/>
          </w:tcPr>
          <w:p w14:paraId="7857930E" w14:textId="0B60E97F"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34</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9</w:t>
            </w:r>
          </w:p>
        </w:tc>
        <w:tc>
          <w:tcPr>
            <w:tcW w:w="1004" w:type="dxa"/>
            <w:tcBorders>
              <w:top w:val="nil"/>
              <w:left w:val="nil"/>
              <w:bottom w:val="single" w:sz="8" w:space="0" w:color="auto"/>
              <w:right w:val="single" w:sz="8" w:space="0" w:color="auto"/>
            </w:tcBorders>
            <w:shd w:val="clear" w:color="auto" w:fill="auto"/>
            <w:noWrap/>
            <w:hideMark/>
          </w:tcPr>
          <w:p w14:paraId="52B1877B" w14:textId="0029DA73"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73</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5</w:t>
            </w:r>
          </w:p>
        </w:tc>
        <w:tc>
          <w:tcPr>
            <w:tcW w:w="1016" w:type="dxa"/>
            <w:tcBorders>
              <w:top w:val="nil"/>
              <w:left w:val="nil"/>
              <w:bottom w:val="single" w:sz="8" w:space="0" w:color="auto"/>
              <w:right w:val="nil"/>
            </w:tcBorders>
            <w:shd w:val="clear" w:color="auto" w:fill="auto"/>
            <w:noWrap/>
            <w:hideMark/>
          </w:tcPr>
          <w:p w14:paraId="7FA75C36" w14:textId="1264161E"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43</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8</w:t>
            </w:r>
          </w:p>
        </w:tc>
        <w:tc>
          <w:tcPr>
            <w:tcW w:w="999" w:type="dxa"/>
            <w:tcBorders>
              <w:top w:val="nil"/>
              <w:left w:val="nil"/>
              <w:bottom w:val="single" w:sz="8" w:space="0" w:color="auto"/>
              <w:right w:val="single" w:sz="8" w:space="0" w:color="auto"/>
            </w:tcBorders>
            <w:shd w:val="clear" w:color="auto" w:fill="auto"/>
            <w:noWrap/>
            <w:hideMark/>
          </w:tcPr>
          <w:p w14:paraId="52897E59" w14:textId="3FA1C1A1"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83</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2</w:t>
            </w:r>
          </w:p>
        </w:tc>
        <w:tc>
          <w:tcPr>
            <w:tcW w:w="1048" w:type="dxa"/>
            <w:tcBorders>
              <w:top w:val="nil"/>
              <w:left w:val="nil"/>
              <w:bottom w:val="single" w:sz="8" w:space="0" w:color="auto"/>
              <w:right w:val="nil"/>
            </w:tcBorders>
            <w:shd w:val="clear" w:color="auto" w:fill="auto"/>
            <w:noWrap/>
            <w:hideMark/>
          </w:tcPr>
          <w:p w14:paraId="7FC10A8C" w14:textId="550AC439"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74</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0</w:t>
            </w:r>
          </w:p>
        </w:tc>
        <w:tc>
          <w:tcPr>
            <w:tcW w:w="964" w:type="dxa"/>
            <w:tcBorders>
              <w:top w:val="nil"/>
              <w:left w:val="nil"/>
              <w:bottom w:val="single" w:sz="8" w:space="0" w:color="auto"/>
              <w:right w:val="single" w:sz="8" w:space="0" w:color="auto"/>
            </w:tcBorders>
            <w:shd w:val="clear" w:color="auto" w:fill="auto"/>
            <w:noWrap/>
            <w:hideMark/>
          </w:tcPr>
          <w:p w14:paraId="2BBEA47B" w14:textId="1206CE9F" w:rsidR="00CF679B" w:rsidRPr="00357869" w:rsidRDefault="00CF679B" w:rsidP="00D70568">
            <w:pPr>
              <w:spacing w:after="0" w:line="240" w:lineRule="auto"/>
              <w:jc w:val="center"/>
              <w:rPr>
                <w:rFonts w:ascii="Calibri" w:eastAsia="Times New Roman" w:hAnsi="Calibri" w:cs="Calibri"/>
                <w:color w:val="000000"/>
                <w:lang w:val="en-US" w:eastAsia="tr-TR"/>
              </w:rPr>
            </w:pPr>
            <w:r w:rsidRPr="00357869">
              <w:rPr>
                <w:rFonts w:ascii="Calibri" w:eastAsia="Times New Roman" w:hAnsi="Calibri" w:cs="Calibri"/>
                <w:color w:val="000000"/>
                <w:lang w:val="en-US" w:eastAsia="tr-TR"/>
              </w:rPr>
              <w:t>89</w:t>
            </w:r>
            <w:r w:rsidR="00074733">
              <w:rPr>
                <w:rFonts w:ascii="Calibri" w:eastAsia="Times New Roman" w:hAnsi="Calibri" w:cs="Calibri"/>
                <w:color w:val="000000"/>
                <w:lang w:val="en-US" w:eastAsia="tr-TR"/>
              </w:rPr>
              <w:t>.</w:t>
            </w:r>
            <w:r w:rsidRPr="00357869">
              <w:rPr>
                <w:rFonts w:ascii="Calibri" w:eastAsia="Times New Roman" w:hAnsi="Calibri" w:cs="Calibri"/>
                <w:color w:val="000000"/>
                <w:lang w:val="en-US" w:eastAsia="tr-TR"/>
              </w:rPr>
              <w:t>6</w:t>
            </w:r>
          </w:p>
        </w:tc>
      </w:tr>
    </w:tbl>
    <w:p w14:paraId="48EFE2B2" w14:textId="7C5F89BC" w:rsidR="00CF679B" w:rsidRPr="00357869" w:rsidRDefault="008437A1" w:rsidP="000900B6">
      <w:pPr>
        <w:pStyle w:val="Caption"/>
        <w:keepNext/>
        <w:jc w:val="both"/>
        <w:rPr>
          <w:rFonts w:ascii="Calibri" w:hAnsi="Calibri" w:cs="Calibri"/>
          <w:b w:val="0"/>
          <w:sz w:val="16"/>
          <w:szCs w:val="16"/>
          <w:lang w:val="en-US"/>
        </w:rPr>
      </w:pPr>
      <w:r w:rsidRPr="00357869">
        <w:rPr>
          <w:rFonts w:ascii="Calibri" w:hAnsi="Calibri" w:cs="Calibri"/>
          <w:b w:val="0"/>
          <w:sz w:val="16"/>
          <w:szCs w:val="16"/>
          <w:lang w:val="en-US"/>
        </w:rPr>
        <w:t>Source</w:t>
      </w:r>
      <w:r w:rsidR="00CF679B" w:rsidRPr="00357869">
        <w:rPr>
          <w:rFonts w:ascii="Calibri" w:hAnsi="Calibri" w:cs="Calibri"/>
          <w:b w:val="0"/>
          <w:sz w:val="16"/>
          <w:szCs w:val="16"/>
          <w:lang w:val="en-US"/>
        </w:rPr>
        <w:t xml:space="preserve">: </w:t>
      </w:r>
      <w:proofErr w:type="spellStart"/>
      <w:r w:rsidR="00CF679B" w:rsidRPr="00357869">
        <w:rPr>
          <w:rFonts w:ascii="Calibri" w:hAnsi="Calibri" w:cs="Calibri"/>
          <w:b w:val="0"/>
          <w:sz w:val="16"/>
          <w:szCs w:val="16"/>
          <w:lang w:val="en-US"/>
        </w:rPr>
        <w:t>Betam</w:t>
      </w:r>
      <w:proofErr w:type="spellEnd"/>
      <w:r w:rsidR="00CF679B" w:rsidRPr="00357869">
        <w:rPr>
          <w:rFonts w:ascii="Calibri" w:hAnsi="Calibri" w:cs="Calibri"/>
          <w:b w:val="0"/>
          <w:sz w:val="16"/>
          <w:szCs w:val="16"/>
          <w:lang w:val="en-US"/>
        </w:rPr>
        <w:t>, HİA mi</w:t>
      </w:r>
      <w:r w:rsidRPr="00357869">
        <w:rPr>
          <w:rFonts w:ascii="Calibri" w:hAnsi="Calibri" w:cs="Calibri"/>
          <w:b w:val="0"/>
          <w:sz w:val="16"/>
          <w:szCs w:val="16"/>
          <w:lang w:val="en-US"/>
        </w:rPr>
        <w:t>cro</w:t>
      </w:r>
      <w:r w:rsidR="00CF679B" w:rsidRPr="00357869">
        <w:rPr>
          <w:rFonts w:ascii="Calibri" w:hAnsi="Calibri" w:cs="Calibri"/>
          <w:b w:val="0"/>
          <w:sz w:val="16"/>
          <w:szCs w:val="16"/>
          <w:lang w:val="en-US"/>
        </w:rPr>
        <w:t xml:space="preserve"> </w:t>
      </w:r>
      <w:r w:rsidRPr="00357869">
        <w:rPr>
          <w:rFonts w:ascii="Calibri" w:hAnsi="Calibri" w:cs="Calibri"/>
          <w:b w:val="0"/>
          <w:sz w:val="16"/>
          <w:szCs w:val="16"/>
          <w:lang w:val="en-US"/>
        </w:rPr>
        <w:t>data:</w:t>
      </w:r>
      <w:r w:rsidR="00CF679B" w:rsidRPr="00357869">
        <w:rPr>
          <w:rFonts w:ascii="Calibri" w:hAnsi="Calibri" w:cs="Calibri"/>
          <w:b w:val="0"/>
          <w:sz w:val="16"/>
          <w:szCs w:val="16"/>
          <w:lang w:val="en-US"/>
        </w:rPr>
        <w:t xml:space="preserve"> 2005-2017</w:t>
      </w:r>
    </w:p>
    <w:p w14:paraId="5B689276" w14:textId="5028CF71" w:rsidR="002C248D" w:rsidRPr="00357869" w:rsidRDefault="00274B78" w:rsidP="009E0142">
      <w:pPr>
        <w:tabs>
          <w:tab w:val="left" w:pos="3005"/>
        </w:tabs>
        <w:jc w:val="both"/>
        <w:rPr>
          <w:rFonts w:ascii="Calibri" w:hAnsi="Calibri" w:cs="Calibri"/>
          <w:lang w:val="en-US"/>
        </w:rPr>
      </w:pPr>
      <w:r w:rsidRPr="00357869">
        <w:rPr>
          <w:rFonts w:ascii="Calibri" w:hAnsi="Calibri" w:cs="Calibri"/>
          <w:lang w:val="en-US"/>
        </w:rPr>
        <w:t>A</w:t>
      </w:r>
      <w:r w:rsidR="00205509" w:rsidRPr="00357869">
        <w:rPr>
          <w:rFonts w:ascii="Calibri" w:hAnsi="Calibri" w:cs="Calibri"/>
          <w:lang w:val="en-US"/>
        </w:rPr>
        <w:t>s expec</w:t>
      </w:r>
      <w:r w:rsidRPr="00357869">
        <w:rPr>
          <w:rFonts w:ascii="Calibri" w:hAnsi="Calibri" w:cs="Calibri"/>
          <w:lang w:val="en-US"/>
        </w:rPr>
        <w:t xml:space="preserve">ted, among women with high school degrees, the share in agriculture </w:t>
      </w:r>
      <w:r w:rsidR="00205509" w:rsidRPr="00357869">
        <w:rPr>
          <w:rFonts w:ascii="Calibri" w:hAnsi="Calibri" w:cs="Calibri"/>
          <w:lang w:val="en-US"/>
        </w:rPr>
        <w:t xml:space="preserve">decreases to </w:t>
      </w:r>
      <w:r w:rsidRPr="00357869">
        <w:rPr>
          <w:rFonts w:ascii="Calibri" w:hAnsi="Calibri" w:cs="Calibri"/>
          <w:lang w:val="en-US"/>
        </w:rPr>
        <w:t xml:space="preserve">about 7-8 percent, and thus </w:t>
      </w:r>
      <w:r w:rsidR="00205509" w:rsidRPr="00357869">
        <w:rPr>
          <w:rFonts w:ascii="Calibri" w:hAnsi="Calibri" w:cs="Calibri"/>
          <w:lang w:val="en-US"/>
        </w:rPr>
        <w:t>becomes negligible (Annexed table 3). Since our focus in this research brief is the gender dynamics in the Turkish labor market</w:t>
      </w:r>
      <w:r w:rsidR="005E4E7F" w:rsidRPr="00357869">
        <w:rPr>
          <w:rFonts w:ascii="Calibri" w:hAnsi="Calibri" w:cs="Calibri"/>
          <w:lang w:val="en-US"/>
        </w:rPr>
        <w:t>,</w:t>
      </w:r>
      <w:r w:rsidR="00205509" w:rsidRPr="00357869">
        <w:rPr>
          <w:rFonts w:ascii="Calibri" w:hAnsi="Calibri" w:cs="Calibri"/>
          <w:lang w:val="en-US"/>
        </w:rPr>
        <w:t xml:space="preserve"> it would be more relevant to consider t</w:t>
      </w:r>
      <w:r w:rsidR="008D3B57" w:rsidRPr="00357869">
        <w:rPr>
          <w:rFonts w:ascii="Calibri" w:hAnsi="Calibri" w:cs="Calibri"/>
          <w:lang w:val="en-US"/>
        </w:rPr>
        <w:t>he indicators in the non-agricultural</w:t>
      </w:r>
      <w:r w:rsidR="00205509" w:rsidRPr="00357869">
        <w:rPr>
          <w:rFonts w:ascii="Calibri" w:hAnsi="Calibri" w:cs="Calibri"/>
          <w:lang w:val="en-US"/>
        </w:rPr>
        <w:t xml:space="preserve"> sector</w:t>
      </w:r>
      <w:r w:rsidR="008D3B57" w:rsidRPr="00357869">
        <w:rPr>
          <w:rFonts w:ascii="Calibri" w:hAnsi="Calibri" w:cs="Calibri"/>
          <w:lang w:val="en-US"/>
        </w:rPr>
        <w:t>s</w:t>
      </w:r>
      <w:r w:rsidR="00205509" w:rsidRPr="00357869">
        <w:rPr>
          <w:rFonts w:ascii="Calibri" w:hAnsi="Calibri" w:cs="Calibri"/>
          <w:lang w:val="en-US"/>
        </w:rPr>
        <w:t xml:space="preserve">. </w:t>
      </w:r>
      <w:r w:rsidR="00985002" w:rsidRPr="00357869">
        <w:rPr>
          <w:rFonts w:ascii="Calibri" w:hAnsi="Calibri" w:cs="Calibri"/>
          <w:lang w:val="en-US"/>
        </w:rPr>
        <w:t>In what follows</w:t>
      </w:r>
      <w:r w:rsidR="00704F5F" w:rsidRPr="00357869">
        <w:rPr>
          <w:rFonts w:ascii="Calibri" w:hAnsi="Calibri" w:cs="Calibri"/>
          <w:lang w:val="en-US"/>
        </w:rPr>
        <w:t>, “unem</w:t>
      </w:r>
      <w:r w:rsidR="005E4E7F" w:rsidRPr="00357869">
        <w:rPr>
          <w:rFonts w:ascii="Calibri" w:hAnsi="Calibri" w:cs="Calibri"/>
          <w:lang w:val="en-US"/>
        </w:rPr>
        <w:t>ployment” signifies “non-farm</w:t>
      </w:r>
      <w:r w:rsidR="00704F5F" w:rsidRPr="00357869">
        <w:rPr>
          <w:rFonts w:ascii="Calibri" w:hAnsi="Calibri" w:cs="Calibri"/>
          <w:lang w:val="en-US"/>
        </w:rPr>
        <w:t xml:space="preserve"> unemployment”</w:t>
      </w:r>
      <w:r w:rsidR="00864D83" w:rsidRPr="00357869">
        <w:rPr>
          <w:rFonts w:ascii="Calibri" w:hAnsi="Calibri" w:cs="Calibri"/>
          <w:lang w:val="en-US"/>
        </w:rPr>
        <w:t>.</w:t>
      </w:r>
      <w:r w:rsidR="00704F5F" w:rsidRPr="00357869">
        <w:rPr>
          <w:rStyle w:val="FootnoteReference"/>
          <w:rFonts w:ascii="Calibri" w:hAnsi="Calibri" w:cs="Calibri"/>
          <w:lang w:val="en-US"/>
        </w:rPr>
        <w:footnoteReference w:id="9"/>
      </w:r>
      <w:r w:rsidR="00205509" w:rsidRPr="00357869">
        <w:rPr>
          <w:rFonts w:ascii="Calibri" w:hAnsi="Calibri" w:cs="Calibri"/>
          <w:lang w:val="en-US"/>
        </w:rPr>
        <w:t xml:space="preserve">   </w:t>
      </w:r>
    </w:p>
    <w:p w14:paraId="3F3028E6" w14:textId="444955C9" w:rsidR="00C35CE3" w:rsidRPr="00357869" w:rsidRDefault="008D3B57" w:rsidP="00E814A3">
      <w:pPr>
        <w:tabs>
          <w:tab w:val="left" w:pos="3005"/>
        </w:tabs>
        <w:jc w:val="both"/>
        <w:outlineLvl w:val="0"/>
        <w:rPr>
          <w:rFonts w:ascii="Calibri" w:hAnsi="Calibri" w:cs="Calibri"/>
          <w:b/>
          <w:lang w:val="en-US"/>
        </w:rPr>
      </w:pPr>
      <w:r w:rsidRPr="00357869">
        <w:rPr>
          <w:rFonts w:ascii="Calibri" w:hAnsi="Calibri" w:cs="Calibri"/>
          <w:b/>
          <w:lang w:val="en-US"/>
        </w:rPr>
        <w:t>Non-farm</w:t>
      </w:r>
      <w:r w:rsidR="00C35CE3" w:rsidRPr="00357869">
        <w:rPr>
          <w:rFonts w:ascii="Calibri" w:hAnsi="Calibri" w:cs="Calibri"/>
          <w:b/>
          <w:lang w:val="en-US"/>
        </w:rPr>
        <w:t xml:space="preserve"> </w:t>
      </w:r>
      <w:r w:rsidR="003C6104" w:rsidRPr="00357869">
        <w:rPr>
          <w:rFonts w:ascii="Calibri" w:hAnsi="Calibri" w:cs="Calibri"/>
          <w:b/>
          <w:lang w:val="en-US"/>
        </w:rPr>
        <w:t xml:space="preserve">unemployment rates by </w:t>
      </w:r>
      <w:r w:rsidR="00C35CE3" w:rsidRPr="00357869">
        <w:rPr>
          <w:rFonts w:ascii="Calibri" w:hAnsi="Calibri" w:cs="Calibri"/>
          <w:b/>
          <w:lang w:val="en-US"/>
        </w:rPr>
        <w:t>education</w:t>
      </w:r>
      <w:r w:rsidR="001A4362" w:rsidRPr="00357869">
        <w:rPr>
          <w:rFonts w:ascii="Calibri" w:hAnsi="Calibri" w:cs="Calibri"/>
          <w:b/>
          <w:lang w:val="en-US"/>
        </w:rPr>
        <w:t>al</w:t>
      </w:r>
      <w:r w:rsidR="00C35CE3" w:rsidRPr="00357869">
        <w:rPr>
          <w:rFonts w:ascii="Calibri" w:hAnsi="Calibri" w:cs="Calibri"/>
          <w:b/>
          <w:lang w:val="en-US"/>
        </w:rPr>
        <w:t xml:space="preserve"> levels</w:t>
      </w:r>
    </w:p>
    <w:p w14:paraId="53E8D664" w14:textId="33EF4C69" w:rsidR="001A4362" w:rsidRPr="00357869" w:rsidRDefault="00B27173" w:rsidP="00E814A3">
      <w:pPr>
        <w:tabs>
          <w:tab w:val="left" w:pos="3005"/>
        </w:tabs>
        <w:jc w:val="both"/>
        <w:outlineLvl w:val="0"/>
        <w:rPr>
          <w:rFonts w:ascii="Calibri" w:hAnsi="Calibri" w:cs="Calibri"/>
          <w:lang w:val="en-US"/>
        </w:rPr>
      </w:pPr>
      <w:r w:rsidRPr="00357869">
        <w:rPr>
          <w:rFonts w:ascii="Calibri" w:hAnsi="Calibri" w:cs="Calibri"/>
          <w:lang w:val="en-US"/>
        </w:rPr>
        <w:t>The key labor market statistics, such as the unemployment and labor force participation rates by education level during</w:t>
      </w:r>
      <w:r w:rsidR="001A4362" w:rsidRPr="00357869">
        <w:rPr>
          <w:rFonts w:ascii="Calibri" w:hAnsi="Calibri" w:cs="Calibri"/>
          <w:lang w:val="en-US"/>
        </w:rPr>
        <w:t xml:space="preserve"> the period of 2005-2017</w:t>
      </w:r>
      <w:r w:rsidRPr="00357869">
        <w:rPr>
          <w:rFonts w:ascii="Calibri" w:hAnsi="Calibri" w:cs="Calibri"/>
          <w:lang w:val="en-US"/>
        </w:rPr>
        <w:t xml:space="preserve"> (Annexed table 2),</w:t>
      </w:r>
      <w:r w:rsidR="001A4362" w:rsidRPr="00357869">
        <w:rPr>
          <w:rFonts w:ascii="Calibri" w:hAnsi="Calibri" w:cs="Calibri"/>
          <w:lang w:val="en-US"/>
        </w:rPr>
        <w:t xml:space="preserve"> </w:t>
      </w:r>
      <w:r w:rsidRPr="00357869">
        <w:rPr>
          <w:rFonts w:ascii="Calibri" w:hAnsi="Calibri" w:cs="Calibri"/>
          <w:lang w:val="en-US"/>
        </w:rPr>
        <w:t xml:space="preserve">demonstrate the existence of important structural differences, particularly a large gender gap in unemployment rates. </w:t>
      </w:r>
      <w:r w:rsidR="00AC6F17" w:rsidRPr="00357869">
        <w:rPr>
          <w:rFonts w:ascii="Calibri" w:hAnsi="Calibri" w:cs="Calibri"/>
          <w:lang w:val="en-US"/>
        </w:rPr>
        <w:t xml:space="preserve">Before going through the </w:t>
      </w:r>
      <w:r w:rsidRPr="00357869">
        <w:rPr>
          <w:rFonts w:ascii="Calibri" w:hAnsi="Calibri" w:cs="Calibri"/>
          <w:lang w:val="en-US"/>
        </w:rPr>
        <w:t>discussion for different level</w:t>
      </w:r>
      <w:r w:rsidR="002A0C4B" w:rsidRPr="00357869">
        <w:rPr>
          <w:rFonts w:ascii="Calibri" w:hAnsi="Calibri" w:cs="Calibri"/>
          <w:lang w:val="en-US"/>
        </w:rPr>
        <w:t>s</w:t>
      </w:r>
      <w:r w:rsidR="00AC6F17" w:rsidRPr="00357869">
        <w:rPr>
          <w:rFonts w:ascii="Calibri" w:hAnsi="Calibri" w:cs="Calibri"/>
          <w:lang w:val="en-US"/>
        </w:rPr>
        <w:t xml:space="preserve"> of education</w:t>
      </w:r>
      <w:r w:rsidRPr="00357869">
        <w:rPr>
          <w:rFonts w:ascii="Calibri" w:hAnsi="Calibri" w:cs="Calibri"/>
          <w:lang w:val="en-US"/>
        </w:rPr>
        <w:t>, we would like to underline two findings</w:t>
      </w:r>
      <w:r w:rsidR="00AC6F17" w:rsidRPr="00357869">
        <w:rPr>
          <w:rFonts w:ascii="Calibri" w:hAnsi="Calibri" w:cs="Calibri"/>
          <w:lang w:val="en-US"/>
        </w:rPr>
        <w:t>.</w:t>
      </w:r>
      <w:r w:rsidR="00C1610D" w:rsidRPr="00357869">
        <w:rPr>
          <w:rFonts w:ascii="Calibri" w:hAnsi="Calibri" w:cs="Calibri"/>
          <w:lang w:val="en-US"/>
        </w:rPr>
        <w:t xml:space="preserve"> In all levels considered</w:t>
      </w:r>
      <w:r w:rsidR="006C6F31" w:rsidRPr="00357869">
        <w:rPr>
          <w:rFonts w:ascii="Calibri" w:hAnsi="Calibri" w:cs="Calibri"/>
          <w:lang w:val="en-US"/>
        </w:rPr>
        <w:t xml:space="preserve"> here,</w:t>
      </w:r>
      <w:r w:rsidR="00C1610D" w:rsidRPr="00357869">
        <w:rPr>
          <w:rFonts w:ascii="Calibri" w:hAnsi="Calibri" w:cs="Calibri"/>
          <w:lang w:val="en-US"/>
        </w:rPr>
        <w:t xml:space="preserve"> female unemployment rate is well </w:t>
      </w:r>
      <w:r w:rsidR="005674DA" w:rsidRPr="00357869">
        <w:rPr>
          <w:rFonts w:ascii="Calibri" w:hAnsi="Calibri" w:cs="Calibri"/>
          <w:lang w:val="en-US"/>
        </w:rPr>
        <w:t>above the male rate,</w:t>
      </w:r>
      <w:r w:rsidR="00C1610D" w:rsidRPr="00357869">
        <w:rPr>
          <w:rFonts w:ascii="Calibri" w:hAnsi="Calibri" w:cs="Calibri"/>
          <w:lang w:val="en-US"/>
        </w:rPr>
        <w:t xml:space="preserve"> except </w:t>
      </w:r>
      <w:r w:rsidR="005674DA" w:rsidRPr="00357869">
        <w:rPr>
          <w:rFonts w:ascii="Calibri" w:hAnsi="Calibri" w:cs="Calibri"/>
          <w:lang w:val="en-US"/>
        </w:rPr>
        <w:t>for</w:t>
      </w:r>
      <w:r w:rsidR="00C1610D" w:rsidRPr="00357869">
        <w:rPr>
          <w:rFonts w:ascii="Calibri" w:hAnsi="Calibri" w:cs="Calibri"/>
          <w:lang w:val="en-US"/>
        </w:rPr>
        <w:t xml:space="preserve"> illiterates. While the highest rates among females are observed at </w:t>
      </w:r>
      <w:r w:rsidR="00375C11" w:rsidRPr="00357869">
        <w:rPr>
          <w:rFonts w:ascii="Calibri" w:hAnsi="Calibri" w:cs="Calibri"/>
          <w:lang w:val="en-US"/>
        </w:rPr>
        <w:t>general</w:t>
      </w:r>
      <w:r w:rsidR="00C1610D" w:rsidRPr="00357869">
        <w:rPr>
          <w:rFonts w:ascii="Calibri" w:hAnsi="Calibri" w:cs="Calibri"/>
          <w:lang w:val="en-US"/>
        </w:rPr>
        <w:t xml:space="preserve"> and </w:t>
      </w:r>
      <w:r w:rsidR="00375C11" w:rsidRPr="00357869">
        <w:rPr>
          <w:rFonts w:ascii="Calibri" w:hAnsi="Calibri" w:cs="Calibri"/>
          <w:lang w:val="en-US"/>
        </w:rPr>
        <w:t>vocational</w:t>
      </w:r>
      <w:r w:rsidR="00C1610D" w:rsidRPr="00357869">
        <w:rPr>
          <w:rFonts w:ascii="Calibri" w:hAnsi="Calibri" w:cs="Calibri"/>
          <w:lang w:val="en-US"/>
        </w:rPr>
        <w:t xml:space="preserve"> high school levels, the highest male rate is at the level of illiterates. On the other hand, the lowest unemployment rates for females and males are observed among illiterates and higher </w:t>
      </w:r>
      <w:r w:rsidR="003E3436" w:rsidRPr="00357869">
        <w:rPr>
          <w:rFonts w:ascii="Calibri" w:hAnsi="Calibri" w:cs="Calibri"/>
          <w:lang w:val="en-US"/>
        </w:rPr>
        <w:t>than high school graduates respectively.</w:t>
      </w:r>
      <w:r w:rsidR="00C1610D" w:rsidRPr="00357869">
        <w:rPr>
          <w:rFonts w:ascii="Calibri" w:hAnsi="Calibri" w:cs="Calibri"/>
          <w:lang w:val="en-US"/>
        </w:rPr>
        <w:t xml:space="preserve"> </w:t>
      </w:r>
      <w:r w:rsidR="00AC6F17" w:rsidRPr="00357869">
        <w:rPr>
          <w:rFonts w:ascii="Calibri" w:hAnsi="Calibri" w:cs="Calibri"/>
          <w:lang w:val="en-US"/>
        </w:rPr>
        <w:t xml:space="preserve"> </w:t>
      </w:r>
      <w:r w:rsidR="001A4362" w:rsidRPr="00357869">
        <w:rPr>
          <w:rFonts w:ascii="Calibri" w:hAnsi="Calibri" w:cs="Calibri"/>
          <w:lang w:val="en-US"/>
        </w:rPr>
        <w:t xml:space="preserve"> </w:t>
      </w:r>
    </w:p>
    <w:p w14:paraId="68F5176E" w14:textId="23E3B8DB" w:rsidR="00F665B9" w:rsidRPr="00357869" w:rsidRDefault="00683924" w:rsidP="003E3436">
      <w:pPr>
        <w:pStyle w:val="Caption"/>
        <w:keepNext/>
        <w:outlineLvl w:val="0"/>
        <w:rPr>
          <w:rFonts w:ascii="Calibri" w:hAnsi="Calibri" w:cs="Calibri"/>
          <w:szCs w:val="22"/>
          <w:lang w:val="en-US"/>
        </w:rPr>
      </w:pPr>
      <w:r w:rsidRPr="00357869">
        <w:rPr>
          <w:rFonts w:ascii="Calibri" w:hAnsi="Calibri" w:cs="Calibri"/>
          <w:szCs w:val="22"/>
          <w:lang w:val="en-US"/>
        </w:rPr>
        <w:t>Table</w:t>
      </w:r>
      <w:r w:rsidR="00F665B9" w:rsidRPr="00357869">
        <w:rPr>
          <w:rFonts w:ascii="Calibri" w:hAnsi="Calibri" w:cs="Calibri"/>
          <w:szCs w:val="22"/>
          <w:lang w:val="en-US"/>
        </w:rPr>
        <w:t xml:space="preserve"> </w:t>
      </w:r>
      <w:r w:rsidR="00F665B9" w:rsidRPr="00357869">
        <w:rPr>
          <w:rFonts w:ascii="Calibri" w:hAnsi="Calibri" w:cs="Calibri"/>
          <w:szCs w:val="22"/>
          <w:lang w:val="en-US"/>
        </w:rPr>
        <w:fldChar w:fldCharType="begin"/>
      </w:r>
      <w:r w:rsidR="00F665B9" w:rsidRPr="00357869">
        <w:rPr>
          <w:rFonts w:ascii="Calibri" w:hAnsi="Calibri" w:cs="Calibri"/>
          <w:szCs w:val="22"/>
          <w:lang w:val="en-US"/>
        </w:rPr>
        <w:instrText xml:space="preserve"> SEQ Tablo \* ARABIC </w:instrText>
      </w:r>
      <w:r w:rsidR="00F665B9" w:rsidRPr="00357869">
        <w:rPr>
          <w:rFonts w:ascii="Calibri" w:hAnsi="Calibri" w:cs="Calibri"/>
          <w:szCs w:val="22"/>
          <w:lang w:val="en-US"/>
        </w:rPr>
        <w:fldChar w:fldCharType="separate"/>
      </w:r>
      <w:r w:rsidR="00961FB7" w:rsidRPr="00357869">
        <w:rPr>
          <w:rFonts w:ascii="Calibri" w:hAnsi="Calibri" w:cs="Calibri"/>
          <w:szCs w:val="22"/>
          <w:lang w:val="en-US"/>
        </w:rPr>
        <w:t>2</w:t>
      </w:r>
      <w:r w:rsidR="00F665B9" w:rsidRPr="00357869">
        <w:rPr>
          <w:rFonts w:ascii="Calibri" w:hAnsi="Calibri" w:cs="Calibri"/>
          <w:szCs w:val="22"/>
          <w:lang w:val="en-US"/>
        </w:rPr>
        <w:fldChar w:fldCharType="end"/>
      </w:r>
      <w:r w:rsidR="00F665B9" w:rsidRPr="00357869">
        <w:rPr>
          <w:rFonts w:ascii="Calibri" w:hAnsi="Calibri" w:cs="Calibri"/>
          <w:szCs w:val="22"/>
          <w:lang w:val="en-US"/>
        </w:rPr>
        <w:t xml:space="preserve">: </w:t>
      </w:r>
      <w:r w:rsidR="003E3436" w:rsidRPr="00357869">
        <w:rPr>
          <w:rFonts w:ascii="Calibri" w:hAnsi="Calibri" w:cs="Calibri"/>
          <w:szCs w:val="22"/>
          <w:lang w:val="en-US"/>
        </w:rPr>
        <w:t>Female and male unemployment rates according to educational levels (%) (15-64, 2017)</w:t>
      </w:r>
    </w:p>
    <w:tbl>
      <w:tblPr>
        <w:tblW w:w="9611" w:type="dxa"/>
        <w:tblInd w:w="10" w:type="dxa"/>
        <w:tblLook w:val="04A0" w:firstRow="1" w:lastRow="0" w:firstColumn="1" w:lastColumn="0" w:noHBand="0" w:noVBand="1"/>
      </w:tblPr>
      <w:tblGrid>
        <w:gridCol w:w="688"/>
        <w:gridCol w:w="901"/>
        <w:gridCol w:w="695"/>
        <w:gridCol w:w="1136"/>
        <w:gridCol w:w="877"/>
        <w:gridCol w:w="901"/>
        <w:gridCol w:w="695"/>
        <w:gridCol w:w="1198"/>
        <w:gridCol w:w="924"/>
        <w:gridCol w:w="901"/>
        <w:gridCol w:w="695"/>
      </w:tblGrid>
      <w:tr w:rsidR="00CA7C0B" w:rsidRPr="00357869" w14:paraId="09E1CF40" w14:textId="77777777" w:rsidTr="00CA7C0B">
        <w:trPr>
          <w:trHeight w:val="380"/>
        </w:trPr>
        <w:tc>
          <w:tcPr>
            <w:tcW w:w="0" w:type="auto"/>
            <w:tcBorders>
              <w:top w:val="nil"/>
              <w:left w:val="nil"/>
              <w:bottom w:val="nil"/>
              <w:right w:val="nil"/>
            </w:tcBorders>
            <w:shd w:val="clear" w:color="auto" w:fill="auto"/>
            <w:noWrap/>
            <w:vAlign w:val="bottom"/>
            <w:hideMark/>
          </w:tcPr>
          <w:p w14:paraId="3BB12C0E" w14:textId="77777777" w:rsidR="00CA7C0B" w:rsidRPr="00357869" w:rsidRDefault="00CA7C0B" w:rsidP="006504C9">
            <w:pPr>
              <w:spacing w:after="0" w:line="240" w:lineRule="auto"/>
              <w:jc w:val="both"/>
              <w:rPr>
                <w:rFonts w:ascii="Calibri" w:eastAsia="Times New Roman" w:hAnsi="Calibri" w:cs="Calibri"/>
                <w:lang w:val="en-US" w:eastAsia="en-GB"/>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F3F645" w14:textId="7743518A" w:rsidR="00CA7C0B" w:rsidRPr="00357869" w:rsidRDefault="00CA7C0B" w:rsidP="006504C9">
            <w:pPr>
              <w:spacing w:after="0" w:line="240" w:lineRule="auto"/>
              <w:jc w:val="both"/>
              <w:rPr>
                <w:rFonts w:ascii="Calibri" w:eastAsia="Times New Roman" w:hAnsi="Calibri" w:cs="Calibri"/>
                <w:color w:val="000000"/>
                <w:lang w:val="en-US" w:eastAsia="en-GB"/>
              </w:rPr>
            </w:pPr>
            <w:r w:rsidRPr="00357869">
              <w:rPr>
                <w:rFonts w:ascii="Calibri" w:hAnsi="Calibri" w:cs="Calibri"/>
                <w:iCs/>
                <w:sz w:val="20"/>
                <w:szCs w:val="20"/>
                <w:lang w:val="en-US"/>
              </w:rPr>
              <w:t>Illiterates</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83B7F19" w14:textId="390C1A91" w:rsidR="00CA7C0B" w:rsidRPr="00357869" w:rsidRDefault="00CA7C0B" w:rsidP="003E3436">
            <w:pPr>
              <w:spacing w:after="0" w:line="240" w:lineRule="auto"/>
              <w:jc w:val="both"/>
              <w:rPr>
                <w:rFonts w:ascii="Calibri" w:eastAsia="Times New Roman" w:hAnsi="Calibri" w:cs="Calibri"/>
                <w:color w:val="000000"/>
                <w:lang w:val="en-US" w:eastAsia="en-GB"/>
              </w:rPr>
            </w:pPr>
            <w:r w:rsidRPr="00357869">
              <w:rPr>
                <w:rFonts w:ascii="Calibri" w:hAnsi="Calibri" w:cs="Calibri"/>
                <w:iCs/>
                <w:sz w:val="20"/>
                <w:szCs w:val="20"/>
                <w:lang w:val="en-US"/>
              </w:rPr>
              <w:t>Less than high school</w:t>
            </w:r>
            <w:r w:rsidRPr="00357869">
              <w:rPr>
                <w:rFonts w:ascii="Calibri" w:eastAsia="Times New Roman" w:hAnsi="Calibri" w:cs="Calibri"/>
                <w:color w:val="000000"/>
                <w:sz w:val="20"/>
                <w:szCs w:val="20"/>
                <w:lang w:val="en-US" w:eastAsia="tr-TR"/>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87A73F" w14:textId="7171AF78" w:rsidR="00CA7C0B" w:rsidRPr="00357869" w:rsidRDefault="00CA7C0B" w:rsidP="003E3436">
            <w:pPr>
              <w:spacing w:after="0" w:line="240" w:lineRule="auto"/>
              <w:jc w:val="both"/>
              <w:rPr>
                <w:rFonts w:ascii="Calibri" w:eastAsia="Times New Roman" w:hAnsi="Calibri" w:cs="Calibri"/>
                <w:color w:val="000000"/>
                <w:lang w:val="en-US" w:eastAsia="en-GB"/>
              </w:rPr>
            </w:pPr>
            <w:r w:rsidRPr="00357869">
              <w:rPr>
                <w:rFonts w:ascii="Calibri" w:hAnsi="Calibri" w:cs="Calibri"/>
                <w:iCs/>
                <w:sz w:val="20"/>
                <w:szCs w:val="20"/>
                <w:lang w:val="en-US"/>
              </w:rPr>
              <w:t>High school</w:t>
            </w:r>
            <w:r w:rsidRPr="00357869">
              <w:rPr>
                <w:rFonts w:ascii="Calibri" w:eastAsia="Times New Roman" w:hAnsi="Calibri" w:cs="Calibri"/>
                <w:color w:val="000000"/>
                <w:sz w:val="20"/>
                <w:szCs w:val="20"/>
                <w:lang w:val="en-US" w:eastAsia="tr-TR"/>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827C21A" w14:textId="1FAFDE76" w:rsidR="00CA7C0B" w:rsidRPr="00357869" w:rsidRDefault="00CA7C0B" w:rsidP="00CA7C0B">
            <w:pPr>
              <w:spacing w:after="0" w:line="240" w:lineRule="auto"/>
              <w:rPr>
                <w:rFonts w:ascii="Calibri" w:eastAsia="Times New Roman" w:hAnsi="Calibri" w:cs="Calibri"/>
                <w:color w:val="000000"/>
                <w:lang w:val="en-US" w:eastAsia="en-GB"/>
              </w:rPr>
            </w:pPr>
            <w:r w:rsidRPr="00357869">
              <w:rPr>
                <w:rFonts w:ascii="Calibri" w:hAnsi="Calibri" w:cs="Calibri"/>
                <w:iCs/>
                <w:sz w:val="20"/>
                <w:szCs w:val="20"/>
                <w:lang w:val="en-US"/>
              </w:rPr>
              <w:t>Vocational high school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84E2B5A" w14:textId="7397C00E" w:rsidR="00CA7C0B" w:rsidRPr="00357869" w:rsidRDefault="00CA7C0B" w:rsidP="00CA7C0B">
            <w:pPr>
              <w:spacing w:after="0" w:line="240" w:lineRule="auto"/>
              <w:rPr>
                <w:rFonts w:ascii="Calibri" w:eastAsia="Times New Roman" w:hAnsi="Calibri" w:cs="Calibri"/>
                <w:color w:val="000000"/>
                <w:lang w:val="en-US" w:eastAsia="en-GB"/>
              </w:rPr>
            </w:pPr>
            <w:r w:rsidRPr="00357869">
              <w:rPr>
                <w:rFonts w:ascii="Calibri" w:hAnsi="Calibri" w:cs="Calibri"/>
                <w:iCs/>
                <w:sz w:val="20"/>
                <w:szCs w:val="20"/>
                <w:lang w:val="en-US"/>
              </w:rPr>
              <w:t>College</w:t>
            </w:r>
          </w:p>
        </w:tc>
      </w:tr>
      <w:tr w:rsidR="00E06075" w:rsidRPr="00357869" w14:paraId="2FB91829" w14:textId="77777777" w:rsidTr="00CA7C0B">
        <w:trPr>
          <w:trHeight w:val="292"/>
        </w:trPr>
        <w:tc>
          <w:tcPr>
            <w:tcW w:w="0" w:type="auto"/>
            <w:tcBorders>
              <w:top w:val="nil"/>
              <w:left w:val="nil"/>
              <w:bottom w:val="single" w:sz="4" w:space="0" w:color="auto"/>
              <w:right w:val="nil"/>
            </w:tcBorders>
            <w:shd w:val="clear" w:color="auto" w:fill="auto"/>
            <w:noWrap/>
            <w:vAlign w:val="bottom"/>
            <w:hideMark/>
          </w:tcPr>
          <w:p w14:paraId="36D87C87" w14:textId="77777777" w:rsidR="00E06075" w:rsidRPr="00357869" w:rsidRDefault="00E06075" w:rsidP="00E06075">
            <w:pPr>
              <w:spacing w:after="0" w:line="240" w:lineRule="auto"/>
              <w:jc w:val="both"/>
              <w:rPr>
                <w:rFonts w:ascii="Calibri" w:eastAsia="Times New Roman" w:hAnsi="Calibri" w:cs="Calibri"/>
                <w:color w:val="000000"/>
                <w:lang w:val="en-US" w:eastAsia="en-GB"/>
              </w:rPr>
            </w:pPr>
          </w:p>
        </w:tc>
        <w:tc>
          <w:tcPr>
            <w:tcW w:w="0" w:type="auto"/>
            <w:tcBorders>
              <w:top w:val="nil"/>
              <w:left w:val="single" w:sz="4" w:space="0" w:color="auto"/>
              <w:bottom w:val="single" w:sz="4" w:space="0" w:color="auto"/>
              <w:right w:val="nil"/>
            </w:tcBorders>
            <w:shd w:val="clear" w:color="auto" w:fill="auto"/>
            <w:noWrap/>
          </w:tcPr>
          <w:p w14:paraId="2A2E1C50" w14:textId="21177B4D"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Female</w:t>
            </w:r>
          </w:p>
        </w:tc>
        <w:tc>
          <w:tcPr>
            <w:tcW w:w="0" w:type="auto"/>
            <w:tcBorders>
              <w:top w:val="nil"/>
              <w:left w:val="nil"/>
              <w:bottom w:val="single" w:sz="4" w:space="0" w:color="auto"/>
              <w:right w:val="single" w:sz="4" w:space="0" w:color="auto"/>
            </w:tcBorders>
            <w:shd w:val="clear" w:color="auto" w:fill="auto"/>
            <w:noWrap/>
          </w:tcPr>
          <w:p w14:paraId="4600F7AA" w14:textId="1CE1ED21"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Male</w:t>
            </w:r>
          </w:p>
        </w:tc>
        <w:tc>
          <w:tcPr>
            <w:tcW w:w="0" w:type="auto"/>
            <w:tcBorders>
              <w:top w:val="nil"/>
              <w:left w:val="nil"/>
              <w:bottom w:val="single" w:sz="4" w:space="0" w:color="auto"/>
              <w:right w:val="nil"/>
            </w:tcBorders>
            <w:shd w:val="clear" w:color="auto" w:fill="auto"/>
            <w:noWrap/>
            <w:hideMark/>
          </w:tcPr>
          <w:p w14:paraId="2E29FCFD" w14:textId="5B814B7A"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 xml:space="preserve">Female </w:t>
            </w:r>
          </w:p>
        </w:tc>
        <w:tc>
          <w:tcPr>
            <w:tcW w:w="0" w:type="auto"/>
            <w:tcBorders>
              <w:top w:val="nil"/>
              <w:left w:val="nil"/>
              <w:bottom w:val="single" w:sz="4" w:space="0" w:color="auto"/>
              <w:right w:val="single" w:sz="4" w:space="0" w:color="auto"/>
            </w:tcBorders>
            <w:shd w:val="clear" w:color="auto" w:fill="auto"/>
            <w:noWrap/>
            <w:hideMark/>
          </w:tcPr>
          <w:p w14:paraId="1BDB53A6" w14:textId="5AF45E27"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 xml:space="preserve">Male </w:t>
            </w:r>
          </w:p>
        </w:tc>
        <w:tc>
          <w:tcPr>
            <w:tcW w:w="0" w:type="auto"/>
            <w:tcBorders>
              <w:top w:val="nil"/>
              <w:left w:val="nil"/>
              <w:bottom w:val="single" w:sz="4" w:space="0" w:color="auto"/>
              <w:right w:val="nil"/>
            </w:tcBorders>
            <w:shd w:val="clear" w:color="auto" w:fill="auto"/>
            <w:noWrap/>
            <w:hideMark/>
          </w:tcPr>
          <w:p w14:paraId="4824C3B2" w14:textId="301C8D25"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 xml:space="preserve">Female </w:t>
            </w:r>
          </w:p>
        </w:tc>
        <w:tc>
          <w:tcPr>
            <w:tcW w:w="0" w:type="auto"/>
            <w:tcBorders>
              <w:top w:val="nil"/>
              <w:left w:val="nil"/>
              <w:bottom w:val="single" w:sz="4" w:space="0" w:color="auto"/>
              <w:right w:val="single" w:sz="4" w:space="0" w:color="auto"/>
            </w:tcBorders>
            <w:shd w:val="clear" w:color="auto" w:fill="auto"/>
            <w:noWrap/>
            <w:hideMark/>
          </w:tcPr>
          <w:p w14:paraId="45746CF0" w14:textId="37AFD431"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 xml:space="preserve">Male </w:t>
            </w:r>
          </w:p>
        </w:tc>
        <w:tc>
          <w:tcPr>
            <w:tcW w:w="0" w:type="auto"/>
            <w:tcBorders>
              <w:top w:val="nil"/>
              <w:left w:val="nil"/>
              <w:bottom w:val="single" w:sz="4" w:space="0" w:color="auto"/>
              <w:right w:val="nil"/>
            </w:tcBorders>
            <w:shd w:val="clear" w:color="auto" w:fill="auto"/>
            <w:noWrap/>
            <w:hideMark/>
          </w:tcPr>
          <w:p w14:paraId="1E8414E5" w14:textId="26B71637"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 xml:space="preserve">Female </w:t>
            </w:r>
          </w:p>
        </w:tc>
        <w:tc>
          <w:tcPr>
            <w:tcW w:w="0" w:type="auto"/>
            <w:tcBorders>
              <w:top w:val="nil"/>
              <w:left w:val="nil"/>
              <w:bottom w:val="single" w:sz="4" w:space="0" w:color="auto"/>
              <w:right w:val="single" w:sz="4" w:space="0" w:color="auto"/>
            </w:tcBorders>
            <w:shd w:val="clear" w:color="auto" w:fill="auto"/>
            <w:noWrap/>
            <w:hideMark/>
          </w:tcPr>
          <w:p w14:paraId="4C2269A3" w14:textId="0C5B00B1"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 xml:space="preserve">Male </w:t>
            </w:r>
          </w:p>
        </w:tc>
        <w:tc>
          <w:tcPr>
            <w:tcW w:w="0" w:type="auto"/>
            <w:tcBorders>
              <w:top w:val="nil"/>
              <w:left w:val="nil"/>
              <w:bottom w:val="single" w:sz="4" w:space="0" w:color="auto"/>
              <w:right w:val="nil"/>
            </w:tcBorders>
            <w:shd w:val="clear" w:color="auto" w:fill="auto"/>
            <w:noWrap/>
            <w:hideMark/>
          </w:tcPr>
          <w:p w14:paraId="5F3B60E3" w14:textId="2D8716A3"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 xml:space="preserve">Female </w:t>
            </w:r>
          </w:p>
        </w:tc>
        <w:tc>
          <w:tcPr>
            <w:tcW w:w="0" w:type="auto"/>
            <w:tcBorders>
              <w:top w:val="nil"/>
              <w:left w:val="nil"/>
              <w:bottom w:val="single" w:sz="4" w:space="0" w:color="auto"/>
              <w:right w:val="single" w:sz="4" w:space="0" w:color="auto"/>
            </w:tcBorders>
            <w:shd w:val="clear" w:color="auto" w:fill="auto"/>
            <w:noWrap/>
            <w:hideMark/>
          </w:tcPr>
          <w:p w14:paraId="0400DA08" w14:textId="64C27822" w:rsidR="00E06075" w:rsidRPr="00357869" w:rsidRDefault="00E06075" w:rsidP="00E06075">
            <w:pPr>
              <w:spacing w:after="0" w:line="240" w:lineRule="auto"/>
              <w:jc w:val="both"/>
              <w:rPr>
                <w:rFonts w:ascii="Calibri" w:eastAsia="Times New Roman" w:hAnsi="Calibri" w:cs="Calibri"/>
                <w:color w:val="000000"/>
                <w:lang w:val="en-US" w:eastAsia="en-GB"/>
              </w:rPr>
            </w:pPr>
            <w:r w:rsidRPr="00357869">
              <w:rPr>
                <w:rFonts w:ascii="Calibri" w:hAnsi="Calibri" w:cs="Calibri"/>
                <w:lang w:val="en-US"/>
              </w:rPr>
              <w:t xml:space="preserve">Male </w:t>
            </w:r>
          </w:p>
        </w:tc>
      </w:tr>
      <w:tr w:rsidR="003E3436" w:rsidRPr="00357869" w14:paraId="19516AC8" w14:textId="77777777" w:rsidTr="00CA7C0B">
        <w:trPr>
          <w:trHeight w:val="29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099A9" w14:textId="77777777"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c>
          <w:tcPr>
            <w:tcW w:w="0" w:type="auto"/>
            <w:tcBorders>
              <w:top w:val="single" w:sz="4" w:space="0" w:color="auto"/>
              <w:left w:val="nil"/>
              <w:bottom w:val="single" w:sz="4" w:space="0" w:color="auto"/>
              <w:right w:val="nil"/>
            </w:tcBorders>
            <w:shd w:val="clear" w:color="auto" w:fill="auto"/>
            <w:noWrap/>
            <w:vAlign w:val="bottom"/>
            <w:hideMark/>
          </w:tcPr>
          <w:p w14:paraId="4573CE26" w14:textId="53CA48C8"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B8550F" w14:textId="2D47D226"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single" w:sz="4" w:space="0" w:color="auto"/>
              <w:left w:val="nil"/>
              <w:bottom w:val="single" w:sz="4" w:space="0" w:color="auto"/>
              <w:right w:val="nil"/>
            </w:tcBorders>
            <w:shd w:val="clear" w:color="auto" w:fill="auto"/>
            <w:noWrap/>
            <w:vAlign w:val="bottom"/>
            <w:hideMark/>
          </w:tcPr>
          <w:p w14:paraId="68A3DE56" w14:textId="6EA4FE24"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958ACA" w14:textId="5D965250"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single" w:sz="4" w:space="0" w:color="auto"/>
              <w:left w:val="nil"/>
              <w:bottom w:val="single" w:sz="4" w:space="0" w:color="auto"/>
              <w:right w:val="nil"/>
            </w:tcBorders>
            <w:shd w:val="clear" w:color="auto" w:fill="auto"/>
            <w:noWrap/>
            <w:vAlign w:val="bottom"/>
            <w:hideMark/>
          </w:tcPr>
          <w:p w14:paraId="10FA69C3" w14:textId="476CA55F"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B81369" w14:textId="61397800"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single" w:sz="4" w:space="0" w:color="auto"/>
              <w:left w:val="nil"/>
              <w:bottom w:val="single" w:sz="4" w:space="0" w:color="auto"/>
              <w:right w:val="nil"/>
            </w:tcBorders>
            <w:shd w:val="clear" w:color="auto" w:fill="auto"/>
            <w:noWrap/>
            <w:vAlign w:val="bottom"/>
            <w:hideMark/>
          </w:tcPr>
          <w:p w14:paraId="3DCD9E7A" w14:textId="245784AC"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458790" w14:textId="54C708ED"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single" w:sz="4" w:space="0" w:color="auto"/>
              <w:left w:val="nil"/>
              <w:bottom w:val="single" w:sz="4" w:space="0" w:color="auto"/>
              <w:right w:val="nil"/>
            </w:tcBorders>
            <w:shd w:val="clear" w:color="auto" w:fill="auto"/>
            <w:noWrap/>
            <w:vAlign w:val="bottom"/>
            <w:hideMark/>
          </w:tcPr>
          <w:p w14:paraId="4A6E5F9A" w14:textId="25FF745B"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566AF2" w14:textId="5B7AF417" w:rsidR="00F12E0F" w:rsidRPr="00357869" w:rsidRDefault="00F12E0F" w:rsidP="00F12E0F">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bl>
    <w:p w14:paraId="061C4AD5" w14:textId="3B15F487" w:rsidR="000D341F" w:rsidRPr="00357869" w:rsidRDefault="003E3436" w:rsidP="003E3436">
      <w:pPr>
        <w:pStyle w:val="Caption"/>
        <w:keepNext/>
        <w:jc w:val="both"/>
        <w:rPr>
          <w:rFonts w:ascii="Calibri" w:hAnsi="Calibri" w:cs="Calibri"/>
          <w:b w:val="0"/>
          <w:sz w:val="16"/>
          <w:szCs w:val="16"/>
          <w:lang w:val="en-US"/>
        </w:rPr>
      </w:pPr>
      <w:r w:rsidRPr="00357869">
        <w:rPr>
          <w:rFonts w:ascii="Calibri" w:hAnsi="Calibri" w:cs="Calibri"/>
          <w:b w:val="0"/>
          <w:sz w:val="16"/>
          <w:szCs w:val="16"/>
          <w:lang w:val="en-US"/>
        </w:rPr>
        <w:lastRenderedPageBreak/>
        <w:t xml:space="preserve">Source: </w:t>
      </w:r>
      <w:proofErr w:type="spellStart"/>
      <w:r w:rsidRPr="00357869">
        <w:rPr>
          <w:rFonts w:ascii="Calibri" w:hAnsi="Calibri" w:cs="Calibri"/>
          <w:b w:val="0"/>
          <w:sz w:val="16"/>
          <w:szCs w:val="16"/>
          <w:lang w:val="en-US"/>
        </w:rPr>
        <w:t>Betam</w:t>
      </w:r>
      <w:proofErr w:type="spellEnd"/>
      <w:r w:rsidRPr="00357869">
        <w:rPr>
          <w:rFonts w:ascii="Calibri" w:hAnsi="Calibri" w:cs="Calibri"/>
          <w:b w:val="0"/>
          <w:sz w:val="16"/>
          <w:szCs w:val="16"/>
          <w:lang w:val="en-US"/>
        </w:rPr>
        <w:t>, HİA micro data: 2005-2017</w:t>
      </w:r>
    </w:p>
    <w:p w14:paraId="5C1BACDD" w14:textId="1908230F" w:rsidR="00A138A2" w:rsidRPr="00357869" w:rsidRDefault="00795E29" w:rsidP="00E814A3">
      <w:pPr>
        <w:tabs>
          <w:tab w:val="left" w:pos="3005"/>
        </w:tabs>
        <w:jc w:val="both"/>
        <w:outlineLvl w:val="0"/>
        <w:rPr>
          <w:rFonts w:ascii="Calibri" w:hAnsi="Calibri" w:cs="Calibri"/>
          <w:b/>
          <w:lang w:val="en-US"/>
        </w:rPr>
      </w:pPr>
      <w:r w:rsidRPr="00357869">
        <w:rPr>
          <w:rFonts w:ascii="Calibri" w:hAnsi="Calibri" w:cs="Calibri"/>
          <w:b/>
          <w:lang w:val="en-US"/>
        </w:rPr>
        <w:t>The e</w:t>
      </w:r>
      <w:r w:rsidR="00A138A2" w:rsidRPr="00357869">
        <w:rPr>
          <w:rFonts w:ascii="Calibri" w:hAnsi="Calibri" w:cs="Calibri"/>
          <w:b/>
          <w:lang w:val="en-US"/>
        </w:rPr>
        <w:t xml:space="preserve">xceptional case of </w:t>
      </w:r>
      <w:r w:rsidR="00A0646F" w:rsidRPr="00357869">
        <w:rPr>
          <w:rFonts w:ascii="Calibri" w:hAnsi="Calibri" w:cs="Calibri"/>
          <w:b/>
          <w:lang w:val="en-US"/>
        </w:rPr>
        <w:t>illiterate</w:t>
      </w:r>
      <w:r w:rsidR="00A138A2" w:rsidRPr="00357869">
        <w:rPr>
          <w:rFonts w:ascii="Calibri" w:hAnsi="Calibri" w:cs="Calibri"/>
          <w:b/>
          <w:lang w:val="en-US"/>
        </w:rPr>
        <w:t xml:space="preserve"> workers</w:t>
      </w:r>
    </w:p>
    <w:p w14:paraId="4419ED47" w14:textId="03826838" w:rsidR="00654E54" w:rsidRPr="00357869" w:rsidRDefault="00654E54" w:rsidP="00FD436E">
      <w:pPr>
        <w:tabs>
          <w:tab w:val="left" w:pos="3005"/>
        </w:tabs>
        <w:jc w:val="both"/>
        <w:outlineLvl w:val="0"/>
        <w:rPr>
          <w:rFonts w:ascii="Calibri" w:hAnsi="Calibri" w:cs="Calibri"/>
          <w:sz w:val="24"/>
          <w:lang w:val="en-US"/>
        </w:rPr>
      </w:pPr>
      <w:r w:rsidRPr="00357869">
        <w:rPr>
          <w:rFonts w:ascii="Calibri" w:hAnsi="Calibri" w:cs="Calibri"/>
          <w:iCs/>
          <w:szCs w:val="20"/>
          <w:lang w:val="en-US"/>
        </w:rPr>
        <w:t xml:space="preserve">Illiterates constitute a </w:t>
      </w:r>
      <w:r w:rsidR="00E06075" w:rsidRPr="00357869">
        <w:rPr>
          <w:rFonts w:ascii="Calibri" w:hAnsi="Calibri" w:cs="Calibri"/>
          <w:iCs/>
          <w:szCs w:val="20"/>
          <w:lang w:val="en-US"/>
        </w:rPr>
        <w:t>very small sub-group in the Turkish labor market. As of 2017 the number of males and females are re</w:t>
      </w:r>
      <w:r w:rsidR="004600F9" w:rsidRPr="00357869">
        <w:rPr>
          <w:rFonts w:ascii="Calibri" w:hAnsi="Calibri" w:cs="Calibri"/>
          <w:iCs/>
          <w:szCs w:val="20"/>
          <w:lang w:val="en-US"/>
        </w:rPr>
        <w:t>spectively 138 and 185 thousand. Furthermore,</w:t>
      </w:r>
      <w:r w:rsidR="00E06075" w:rsidRPr="00357869">
        <w:rPr>
          <w:rFonts w:ascii="Calibri" w:hAnsi="Calibri" w:cs="Calibri"/>
          <w:iCs/>
          <w:szCs w:val="20"/>
          <w:lang w:val="en-US"/>
        </w:rPr>
        <w:t xml:space="preserve"> </w:t>
      </w:r>
      <w:r w:rsidR="004600F9" w:rsidRPr="00357869">
        <w:rPr>
          <w:rFonts w:ascii="Calibri" w:hAnsi="Calibri" w:cs="Calibri"/>
          <w:iCs/>
          <w:szCs w:val="20"/>
          <w:lang w:val="en-US"/>
        </w:rPr>
        <w:t>these numbers erode</w:t>
      </w:r>
      <w:r w:rsidR="00E06075" w:rsidRPr="00357869">
        <w:rPr>
          <w:rFonts w:ascii="Calibri" w:hAnsi="Calibri" w:cs="Calibri"/>
          <w:iCs/>
          <w:szCs w:val="20"/>
          <w:lang w:val="en-US"/>
        </w:rPr>
        <w:t xml:space="preserve"> at full speed.</w:t>
      </w:r>
      <w:r w:rsidR="00872551" w:rsidRPr="00357869">
        <w:rPr>
          <w:rFonts w:ascii="Calibri" w:hAnsi="Calibri" w:cs="Calibri"/>
          <w:iCs/>
          <w:szCs w:val="20"/>
          <w:lang w:val="en-US"/>
        </w:rPr>
        <w:t xml:space="preserve"> </w:t>
      </w:r>
      <w:r w:rsidR="00FD436E" w:rsidRPr="00357869">
        <w:rPr>
          <w:rFonts w:ascii="Calibri" w:hAnsi="Calibri" w:cs="Calibri"/>
          <w:iCs/>
          <w:szCs w:val="20"/>
          <w:lang w:val="en-US"/>
        </w:rPr>
        <w:t>Therefore, they do not constitute a topic of discussion in the general context here. However, instead of ignoring it completely, let us point out some characteristics of this sub-group. The illiterate workers belong</w:t>
      </w:r>
      <w:r w:rsidR="00872551" w:rsidRPr="00357869">
        <w:rPr>
          <w:rFonts w:ascii="Calibri" w:hAnsi="Calibri" w:cs="Calibri"/>
          <w:iCs/>
          <w:szCs w:val="20"/>
          <w:lang w:val="en-US"/>
        </w:rPr>
        <w:t xml:space="preserve"> to the oldest tranche of the population. </w:t>
      </w:r>
      <w:r w:rsidR="00FD436E" w:rsidRPr="00357869">
        <w:rPr>
          <w:rFonts w:ascii="Calibri" w:hAnsi="Calibri" w:cs="Calibri"/>
          <w:iCs/>
          <w:szCs w:val="20"/>
          <w:lang w:val="en-US"/>
        </w:rPr>
        <w:t>Men in this group</w:t>
      </w:r>
      <w:r w:rsidR="00872551" w:rsidRPr="00357869">
        <w:rPr>
          <w:rFonts w:ascii="Calibri" w:hAnsi="Calibri" w:cs="Calibri"/>
          <w:iCs/>
          <w:szCs w:val="20"/>
          <w:lang w:val="en-US"/>
        </w:rPr>
        <w:t xml:space="preserve"> are largely employed in temporary jobs</w:t>
      </w:r>
      <w:r w:rsidR="00FD436E" w:rsidRPr="00357869">
        <w:rPr>
          <w:rFonts w:ascii="Calibri" w:hAnsi="Calibri" w:cs="Calibri"/>
          <w:iCs/>
          <w:szCs w:val="20"/>
          <w:lang w:val="en-US"/>
        </w:rPr>
        <w:t>, thus face really high unemployment rates</w:t>
      </w:r>
      <w:r w:rsidR="00872551" w:rsidRPr="00357869">
        <w:rPr>
          <w:rFonts w:ascii="Calibri" w:hAnsi="Calibri" w:cs="Calibri"/>
          <w:iCs/>
          <w:szCs w:val="20"/>
          <w:lang w:val="en-US"/>
        </w:rPr>
        <w:t xml:space="preserve">. As for </w:t>
      </w:r>
      <w:r w:rsidR="005170DA" w:rsidRPr="00357869">
        <w:rPr>
          <w:rFonts w:ascii="Calibri" w:hAnsi="Calibri" w:cs="Calibri"/>
          <w:iCs/>
          <w:szCs w:val="20"/>
          <w:lang w:val="en-US"/>
        </w:rPr>
        <w:t>women</w:t>
      </w:r>
      <w:r w:rsidR="00872551" w:rsidRPr="00357869">
        <w:rPr>
          <w:rFonts w:ascii="Calibri" w:hAnsi="Calibri" w:cs="Calibri"/>
          <w:iCs/>
          <w:szCs w:val="20"/>
          <w:lang w:val="en-US"/>
        </w:rPr>
        <w:t xml:space="preserve">, </w:t>
      </w:r>
      <w:r w:rsidR="00C5608D" w:rsidRPr="00357869">
        <w:rPr>
          <w:rFonts w:ascii="Calibri" w:hAnsi="Calibri" w:cs="Calibri"/>
          <w:iCs/>
          <w:szCs w:val="20"/>
          <w:lang w:val="en-US"/>
        </w:rPr>
        <w:t xml:space="preserve">we </w:t>
      </w:r>
      <w:r w:rsidR="00FA080C" w:rsidRPr="00357869">
        <w:rPr>
          <w:rFonts w:ascii="Calibri" w:hAnsi="Calibri" w:cs="Calibri"/>
          <w:iCs/>
          <w:szCs w:val="20"/>
          <w:lang w:val="en-US"/>
        </w:rPr>
        <w:t xml:space="preserve">surprisingly </w:t>
      </w:r>
      <w:r w:rsidR="00C5608D" w:rsidRPr="00357869">
        <w:rPr>
          <w:rFonts w:ascii="Calibri" w:hAnsi="Calibri" w:cs="Calibri"/>
          <w:iCs/>
          <w:szCs w:val="20"/>
          <w:lang w:val="en-US"/>
        </w:rPr>
        <w:t>observe that 72 percent of them are wage earners and da</w:t>
      </w:r>
      <w:r w:rsidR="00FA080C" w:rsidRPr="00357869">
        <w:rPr>
          <w:rFonts w:ascii="Calibri" w:hAnsi="Calibri" w:cs="Calibri"/>
          <w:iCs/>
          <w:szCs w:val="20"/>
          <w:lang w:val="en-US"/>
        </w:rPr>
        <w:t xml:space="preserve">ily laborers. A closer look </w:t>
      </w:r>
      <w:r w:rsidR="00C5608D" w:rsidRPr="00357869">
        <w:rPr>
          <w:rFonts w:ascii="Calibri" w:hAnsi="Calibri" w:cs="Calibri"/>
          <w:iCs/>
          <w:szCs w:val="20"/>
          <w:lang w:val="en-US"/>
        </w:rPr>
        <w:t xml:space="preserve">reveals that more than half of them (55 percent) are employed in </w:t>
      </w:r>
      <w:r w:rsidR="00FA080C" w:rsidRPr="00357869">
        <w:rPr>
          <w:rFonts w:ascii="Calibri" w:hAnsi="Calibri" w:cs="Calibri"/>
          <w:iCs/>
          <w:szCs w:val="20"/>
          <w:lang w:val="en-US"/>
        </w:rPr>
        <w:t xml:space="preserve">the </w:t>
      </w:r>
      <w:r w:rsidR="00C5608D" w:rsidRPr="00357869">
        <w:rPr>
          <w:rFonts w:ascii="Calibri" w:hAnsi="Calibri" w:cs="Calibri"/>
          <w:iCs/>
          <w:szCs w:val="20"/>
          <w:lang w:val="en-US"/>
        </w:rPr>
        <w:t xml:space="preserve">“health sector” and 58 percent of these workers </w:t>
      </w:r>
      <w:r w:rsidR="00750B8E" w:rsidRPr="00357869">
        <w:rPr>
          <w:rFonts w:ascii="Calibri" w:hAnsi="Calibri" w:cs="Calibri"/>
          <w:iCs/>
          <w:szCs w:val="20"/>
          <w:lang w:val="en-US"/>
        </w:rPr>
        <w:t xml:space="preserve">list their </w:t>
      </w:r>
      <w:r w:rsidR="00576C4E" w:rsidRPr="00357869">
        <w:rPr>
          <w:rFonts w:ascii="Calibri" w:hAnsi="Calibri" w:cs="Calibri"/>
          <w:iCs/>
          <w:szCs w:val="20"/>
          <w:lang w:val="en-US"/>
        </w:rPr>
        <w:t>subsector</w:t>
      </w:r>
      <w:r w:rsidR="00750B8E" w:rsidRPr="00357869">
        <w:rPr>
          <w:rFonts w:ascii="Calibri" w:hAnsi="Calibri" w:cs="Calibri"/>
          <w:iCs/>
          <w:szCs w:val="20"/>
          <w:lang w:val="en-US"/>
        </w:rPr>
        <w:t xml:space="preserve"> </w:t>
      </w:r>
      <w:r w:rsidR="00C5608D" w:rsidRPr="00357869">
        <w:rPr>
          <w:rFonts w:ascii="Calibri" w:hAnsi="Calibri" w:cs="Calibri"/>
          <w:iCs/>
          <w:szCs w:val="20"/>
          <w:lang w:val="en-US"/>
        </w:rPr>
        <w:t>as “</w:t>
      </w:r>
      <w:r w:rsidR="005A7CB5" w:rsidRPr="00357869">
        <w:rPr>
          <w:rFonts w:ascii="Calibri" w:hAnsi="Calibri" w:cs="Calibri"/>
          <w:iCs/>
          <w:szCs w:val="20"/>
          <w:lang w:val="en-US"/>
        </w:rPr>
        <w:t xml:space="preserve">employees providing </w:t>
      </w:r>
      <w:r w:rsidR="00871586" w:rsidRPr="00357869">
        <w:rPr>
          <w:rFonts w:ascii="Calibri" w:hAnsi="Calibri" w:cs="Calibri"/>
          <w:iCs/>
          <w:szCs w:val="20"/>
          <w:lang w:val="en-US"/>
        </w:rPr>
        <w:t xml:space="preserve">personal </w:t>
      </w:r>
      <w:r w:rsidR="009A7B23" w:rsidRPr="00357869">
        <w:rPr>
          <w:rFonts w:ascii="Calibri" w:hAnsi="Calibri" w:cs="Calibri"/>
          <w:iCs/>
          <w:szCs w:val="20"/>
          <w:lang w:val="en-US"/>
        </w:rPr>
        <w:t>care</w:t>
      </w:r>
      <w:r w:rsidR="00C5608D" w:rsidRPr="00357869">
        <w:rPr>
          <w:rFonts w:ascii="Calibri" w:hAnsi="Calibri" w:cs="Calibri"/>
          <w:iCs/>
          <w:szCs w:val="20"/>
          <w:lang w:val="en-US"/>
        </w:rPr>
        <w:t xml:space="preserve"> services”.</w:t>
      </w:r>
      <w:r w:rsidR="00A26882" w:rsidRPr="00357869">
        <w:rPr>
          <w:rFonts w:ascii="Calibri" w:hAnsi="Calibri" w:cs="Calibri"/>
          <w:iCs/>
          <w:szCs w:val="20"/>
          <w:lang w:val="en-US"/>
        </w:rPr>
        <w:t xml:space="preserve"> We think that </w:t>
      </w:r>
      <w:r w:rsidR="00472241" w:rsidRPr="00357869">
        <w:rPr>
          <w:rFonts w:ascii="Calibri" w:hAnsi="Calibri" w:cs="Calibri"/>
          <w:iCs/>
          <w:szCs w:val="20"/>
          <w:lang w:val="en-US"/>
        </w:rPr>
        <w:t>these women are taking care of their disabled relatives, and are paid a social transfer by the government that amounts to the minimum wage. They also help explain why the female unemployment is the lowest among the illiterates.</w:t>
      </w:r>
      <w:r w:rsidR="00A26882" w:rsidRPr="00357869">
        <w:rPr>
          <w:rStyle w:val="FootnoteReference"/>
          <w:rFonts w:ascii="Calibri" w:hAnsi="Calibri" w:cs="Calibri"/>
          <w:iCs/>
          <w:szCs w:val="20"/>
          <w:lang w:val="en-US"/>
        </w:rPr>
        <w:footnoteReference w:id="10"/>
      </w:r>
      <w:r w:rsidR="00A26882" w:rsidRPr="00357869">
        <w:rPr>
          <w:rFonts w:ascii="Calibri" w:hAnsi="Calibri" w:cs="Calibri"/>
          <w:iCs/>
          <w:szCs w:val="20"/>
          <w:lang w:val="en-US"/>
        </w:rPr>
        <w:t xml:space="preserve"> </w:t>
      </w:r>
      <w:r w:rsidR="00C5608D" w:rsidRPr="00357869">
        <w:rPr>
          <w:rFonts w:ascii="Calibri" w:hAnsi="Calibri" w:cs="Calibri"/>
          <w:iCs/>
          <w:szCs w:val="20"/>
          <w:lang w:val="en-US"/>
        </w:rPr>
        <w:t xml:space="preserve">   </w:t>
      </w:r>
      <w:r w:rsidR="00872551" w:rsidRPr="00357869">
        <w:rPr>
          <w:rFonts w:ascii="Calibri" w:hAnsi="Calibri" w:cs="Calibri"/>
          <w:iCs/>
          <w:szCs w:val="20"/>
          <w:lang w:val="en-US"/>
        </w:rPr>
        <w:t xml:space="preserve"> </w:t>
      </w:r>
      <w:r w:rsidR="00E06075" w:rsidRPr="00357869">
        <w:rPr>
          <w:rFonts w:ascii="Calibri" w:hAnsi="Calibri" w:cs="Calibri"/>
          <w:iCs/>
          <w:szCs w:val="20"/>
          <w:lang w:val="en-US"/>
        </w:rPr>
        <w:t xml:space="preserve"> </w:t>
      </w:r>
      <w:r w:rsidRPr="00357869">
        <w:rPr>
          <w:rFonts w:ascii="Calibri" w:hAnsi="Calibri" w:cs="Calibri"/>
          <w:iCs/>
          <w:szCs w:val="20"/>
          <w:lang w:val="en-US"/>
        </w:rPr>
        <w:t xml:space="preserve"> </w:t>
      </w:r>
    </w:p>
    <w:p w14:paraId="16AEDA22" w14:textId="59865E40" w:rsidR="00F665B9" w:rsidRPr="00357869" w:rsidRDefault="004F2CE6" w:rsidP="00F665B9">
      <w:pPr>
        <w:pStyle w:val="Caption"/>
        <w:keepNext/>
        <w:jc w:val="both"/>
        <w:rPr>
          <w:rFonts w:ascii="Calibri" w:hAnsi="Calibri" w:cs="Calibri"/>
          <w:szCs w:val="22"/>
          <w:lang w:val="en-US"/>
        </w:rPr>
      </w:pPr>
      <w:r w:rsidRPr="00357869">
        <w:rPr>
          <w:rFonts w:ascii="Calibri" w:hAnsi="Calibri" w:cs="Calibri"/>
          <w:szCs w:val="22"/>
          <w:lang w:val="en-US"/>
        </w:rPr>
        <w:t>Figure</w:t>
      </w:r>
      <w:r w:rsidR="00F665B9" w:rsidRPr="00357869">
        <w:rPr>
          <w:rFonts w:ascii="Calibri" w:hAnsi="Calibri" w:cs="Calibri"/>
          <w:szCs w:val="22"/>
          <w:lang w:val="en-US"/>
        </w:rPr>
        <w:t xml:space="preserve"> </w:t>
      </w:r>
      <w:r w:rsidR="00961FB7" w:rsidRPr="00357869">
        <w:rPr>
          <w:rFonts w:ascii="Calibri" w:hAnsi="Calibri" w:cs="Calibri"/>
          <w:szCs w:val="22"/>
          <w:lang w:val="en-US"/>
        </w:rPr>
        <w:t>2</w:t>
      </w:r>
      <w:r w:rsidR="00F665B9" w:rsidRPr="00357869">
        <w:rPr>
          <w:rFonts w:ascii="Calibri" w:hAnsi="Calibri" w:cs="Calibri"/>
          <w:szCs w:val="22"/>
          <w:lang w:val="en-US"/>
        </w:rPr>
        <w:t xml:space="preserve">: </w:t>
      </w:r>
      <w:r w:rsidRPr="00357869">
        <w:rPr>
          <w:rFonts w:ascii="Calibri" w:hAnsi="Calibri" w:cs="Calibri"/>
          <w:lang w:val="en-US"/>
        </w:rPr>
        <w:t>Non-farm unemployment and labor force participation rates of illiterates (%) (15-64, 2017)</w:t>
      </w:r>
    </w:p>
    <w:p w14:paraId="6F8DAAD2" w14:textId="26A06D9E" w:rsidR="00B06C79" w:rsidRPr="00357869" w:rsidRDefault="006C2554" w:rsidP="00170159">
      <w:pPr>
        <w:tabs>
          <w:tab w:val="left" w:pos="3005"/>
        </w:tabs>
        <w:jc w:val="both"/>
        <w:rPr>
          <w:rFonts w:ascii="Calibri" w:hAnsi="Calibri" w:cs="Calibri"/>
          <w:b/>
          <w:lang w:val="en-US"/>
        </w:rPr>
      </w:pPr>
      <w:r w:rsidRPr="00357869">
        <w:rPr>
          <w:rFonts w:ascii="Calibri" w:hAnsi="Calibri" w:cs="Calibri"/>
          <w:noProof/>
          <w:lang w:eastAsia="en-GB"/>
        </w:rPr>
        <w:drawing>
          <wp:inline distT="0" distB="0" distL="0" distR="0" wp14:anchorId="739A02DD" wp14:editId="0D194C0E">
            <wp:extent cx="6048375" cy="3162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552" w:type="dxa"/>
        <w:tblLook w:val="04A0" w:firstRow="1" w:lastRow="0" w:firstColumn="1" w:lastColumn="0" w:noHBand="0" w:noVBand="1"/>
      </w:tblPr>
      <w:tblGrid>
        <w:gridCol w:w="868"/>
        <w:gridCol w:w="668"/>
        <w:gridCol w:w="668"/>
        <w:gridCol w:w="668"/>
        <w:gridCol w:w="668"/>
        <w:gridCol w:w="668"/>
        <w:gridCol w:w="668"/>
        <w:gridCol w:w="668"/>
        <w:gridCol w:w="668"/>
        <w:gridCol w:w="668"/>
        <w:gridCol w:w="668"/>
        <w:gridCol w:w="668"/>
        <w:gridCol w:w="668"/>
        <w:gridCol w:w="668"/>
      </w:tblGrid>
      <w:tr w:rsidR="005674FA" w:rsidRPr="00357869" w14:paraId="69644DD7" w14:textId="77777777" w:rsidTr="006565FE">
        <w:trPr>
          <w:trHeight w:val="265"/>
        </w:trPr>
        <w:tc>
          <w:tcPr>
            <w:tcW w:w="868" w:type="dxa"/>
            <w:tcBorders>
              <w:top w:val="single" w:sz="4" w:space="0" w:color="auto"/>
              <w:left w:val="single" w:sz="4" w:space="0" w:color="auto"/>
              <w:bottom w:val="single" w:sz="4" w:space="0" w:color="auto"/>
              <w:right w:val="nil"/>
            </w:tcBorders>
            <w:shd w:val="clear" w:color="auto" w:fill="auto"/>
            <w:noWrap/>
            <w:vAlign w:val="bottom"/>
            <w:hideMark/>
          </w:tcPr>
          <w:p w14:paraId="4249DD2F" w14:textId="3471BAE4" w:rsidR="005674FA" w:rsidRPr="00357869" w:rsidRDefault="00FA7E99" w:rsidP="00FA7E9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LFPR</w:t>
            </w:r>
            <w:r w:rsidR="005674FA" w:rsidRPr="00357869">
              <w:rPr>
                <w:rFonts w:ascii="Calibri" w:eastAsia="Times New Roman" w:hAnsi="Calibri" w:cs="Calibri"/>
                <w:color w:val="000000"/>
                <w:lang w:val="en-US" w:eastAsia="en-GB"/>
              </w:rPr>
              <w:t> </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7357C"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5D8B8E9E"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DEB228F"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509995A6"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2F0EE902"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6A0DB430"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2AC673B3"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1A5160D6"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3EFCBE2B"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01185BF4"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1E8C5B70"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099C8938"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5548EACB" w14:textId="77777777"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r>
      <w:tr w:rsidR="005674FA" w:rsidRPr="00357869" w14:paraId="4B69A752" w14:textId="77777777" w:rsidTr="006565FE">
        <w:trPr>
          <w:trHeight w:val="265"/>
        </w:trPr>
        <w:tc>
          <w:tcPr>
            <w:tcW w:w="868" w:type="dxa"/>
            <w:tcBorders>
              <w:top w:val="single" w:sz="4" w:space="0" w:color="auto"/>
              <w:left w:val="single" w:sz="4" w:space="0" w:color="auto"/>
              <w:bottom w:val="nil"/>
              <w:right w:val="nil"/>
            </w:tcBorders>
            <w:shd w:val="clear" w:color="auto" w:fill="auto"/>
            <w:noWrap/>
            <w:vAlign w:val="bottom"/>
            <w:hideMark/>
          </w:tcPr>
          <w:p w14:paraId="480B1C67" w14:textId="006FB42C" w:rsidR="005674FA" w:rsidRPr="00357869" w:rsidRDefault="00FA7E99" w:rsidP="00FA7E9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668" w:type="dxa"/>
            <w:tcBorders>
              <w:top w:val="single" w:sz="4" w:space="0" w:color="auto"/>
              <w:left w:val="single" w:sz="4" w:space="0" w:color="auto"/>
              <w:bottom w:val="nil"/>
              <w:right w:val="single" w:sz="4" w:space="0" w:color="auto"/>
            </w:tcBorders>
            <w:shd w:val="clear" w:color="auto" w:fill="auto"/>
            <w:noWrap/>
            <w:vAlign w:val="bottom"/>
            <w:hideMark/>
          </w:tcPr>
          <w:p w14:paraId="6D4D7973" w14:textId="64F2C5A6"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8" w:type="dxa"/>
            <w:tcBorders>
              <w:top w:val="single" w:sz="4" w:space="0" w:color="auto"/>
              <w:left w:val="nil"/>
              <w:bottom w:val="nil"/>
              <w:right w:val="single" w:sz="4" w:space="0" w:color="auto"/>
            </w:tcBorders>
            <w:shd w:val="clear" w:color="auto" w:fill="auto"/>
            <w:noWrap/>
            <w:vAlign w:val="bottom"/>
            <w:hideMark/>
          </w:tcPr>
          <w:p w14:paraId="50392F68" w14:textId="0AF1F64C"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68" w:type="dxa"/>
            <w:tcBorders>
              <w:top w:val="single" w:sz="4" w:space="0" w:color="auto"/>
              <w:left w:val="nil"/>
              <w:bottom w:val="nil"/>
              <w:right w:val="single" w:sz="4" w:space="0" w:color="auto"/>
            </w:tcBorders>
            <w:shd w:val="clear" w:color="auto" w:fill="auto"/>
            <w:noWrap/>
            <w:vAlign w:val="bottom"/>
            <w:hideMark/>
          </w:tcPr>
          <w:p w14:paraId="3CDC81B9" w14:textId="4BB5B472"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68" w:type="dxa"/>
            <w:tcBorders>
              <w:top w:val="single" w:sz="4" w:space="0" w:color="auto"/>
              <w:left w:val="nil"/>
              <w:bottom w:val="nil"/>
              <w:right w:val="single" w:sz="4" w:space="0" w:color="auto"/>
            </w:tcBorders>
            <w:shd w:val="clear" w:color="auto" w:fill="auto"/>
            <w:noWrap/>
            <w:vAlign w:val="bottom"/>
            <w:hideMark/>
          </w:tcPr>
          <w:p w14:paraId="726960FC" w14:textId="4CE454EB"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68" w:type="dxa"/>
            <w:tcBorders>
              <w:top w:val="single" w:sz="4" w:space="0" w:color="auto"/>
              <w:left w:val="nil"/>
              <w:bottom w:val="nil"/>
              <w:right w:val="single" w:sz="4" w:space="0" w:color="auto"/>
            </w:tcBorders>
            <w:shd w:val="clear" w:color="auto" w:fill="auto"/>
            <w:noWrap/>
            <w:vAlign w:val="bottom"/>
            <w:hideMark/>
          </w:tcPr>
          <w:p w14:paraId="4FBA8806" w14:textId="3CED782F"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68" w:type="dxa"/>
            <w:tcBorders>
              <w:top w:val="single" w:sz="4" w:space="0" w:color="auto"/>
              <w:left w:val="nil"/>
              <w:bottom w:val="nil"/>
              <w:right w:val="single" w:sz="4" w:space="0" w:color="auto"/>
            </w:tcBorders>
            <w:shd w:val="clear" w:color="auto" w:fill="auto"/>
            <w:noWrap/>
            <w:vAlign w:val="bottom"/>
            <w:hideMark/>
          </w:tcPr>
          <w:p w14:paraId="42013E59" w14:textId="1507F1C9"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68" w:type="dxa"/>
            <w:tcBorders>
              <w:top w:val="single" w:sz="4" w:space="0" w:color="auto"/>
              <w:left w:val="nil"/>
              <w:bottom w:val="nil"/>
              <w:right w:val="single" w:sz="4" w:space="0" w:color="auto"/>
            </w:tcBorders>
            <w:shd w:val="clear" w:color="auto" w:fill="auto"/>
            <w:noWrap/>
            <w:vAlign w:val="bottom"/>
            <w:hideMark/>
          </w:tcPr>
          <w:p w14:paraId="44C1B2F3" w14:textId="074AB70D"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68" w:type="dxa"/>
            <w:tcBorders>
              <w:top w:val="single" w:sz="4" w:space="0" w:color="auto"/>
              <w:left w:val="nil"/>
              <w:bottom w:val="nil"/>
              <w:right w:val="single" w:sz="4" w:space="0" w:color="auto"/>
            </w:tcBorders>
            <w:shd w:val="clear" w:color="auto" w:fill="auto"/>
            <w:noWrap/>
            <w:vAlign w:val="bottom"/>
            <w:hideMark/>
          </w:tcPr>
          <w:p w14:paraId="55FAED37" w14:textId="05A78C09"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68" w:type="dxa"/>
            <w:tcBorders>
              <w:top w:val="single" w:sz="4" w:space="0" w:color="auto"/>
              <w:left w:val="nil"/>
              <w:bottom w:val="nil"/>
              <w:right w:val="single" w:sz="4" w:space="0" w:color="auto"/>
            </w:tcBorders>
            <w:shd w:val="clear" w:color="auto" w:fill="auto"/>
            <w:noWrap/>
            <w:vAlign w:val="bottom"/>
            <w:hideMark/>
          </w:tcPr>
          <w:p w14:paraId="166B4820" w14:textId="19BB92AB"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68" w:type="dxa"/>
            <w:tcBorders>
              <w:top w:val="single" w:sz="4" w:space="0" w:color="auto"/>
              <w:left w:val="nil"/>
              <w:bottom w:val="nil"/>
              <w:right w:val="single" w:sz="4" w:space="0" w:color="auto"/>
            </w:tcBorders>
            <w:shd w:val="clear" w:color="auto" w:fill="auto"/>
            <w:noWrap/>
            <w:vAlign w:val="bottom"/>
            <w:hideMark/>
          </w:tcPr>
          <w:p w14:paraId="2CBAB1BE" w14:textId="46ECF72F"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8" w:type="dxa"/>
            <w:tcBorders>
              <w:top w:val="single" w:sz="4" w:space="0" w:color="auto"/>
              <w:left w:val="nil"/>
              <w:bottom w:val="nil"/>
              <w:right w:val="single" w:sz="4" w:space="0" w:color="auto"/>
            </w:tcBorders>
            <w:shd w:val="clear" w:color="auto" w:fill="auto"/>
            <w:noWrap/>
            <w:vAlign w:val="bottom"/>
            <w:hideMark/>
          </w:tcPr>
          <w:p w14:paraId="11418FC2" w14:textId="4F90F25A"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68" w:type="dxa"/>
            <w:tcBorders>
              <w:top w:val="single" w:sz="4" w:space="0" w:color="auto"/>
              <w:left w:val="nil"/>
              <w:bottom w:val="nil"/>
              <w:right w:val="single" w:sz="4" w:space="0" w:color="auto"/>
            </w:tcBorders>
            <w:shd w:val="clear" w:color="auto" w:fill="auto"/>
            <w:noWrap/>
            <w:vAlign w:val="bottom"/>
            <w:hideMark/>
          </w:tcPr>
          <w:p w14:paraId="1B34AEC4" w14:textId="68E5774C"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68" w:type="dxa"/>
            <w:tcBorders>
              <w:top w:val="single" w:sz="4" w:space="0" w:color="auto"/>
              <w:left w:val="nil"/>
              <w:bottom w:val="nil"/>
              <w:right w:val="single" w:sz="4" w:space="0" w:color="auto"/>
            </w:tcBorders>
            <w:shd w:val="clear" w:color="auto" w:fill="auto"/>
            <w:noWrap/>
            <w:vAlign w:val="bottom"/>
            <w:hideMark/>
          </w:tcPr>
          <w:p w14:paraId="4F214BE6" w14:textId="1D9D3BCF"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r w:rsidR="005674FA" w:rsidRPr="00357869" w14:paraId="6A919164" w14:textId="77777777" w:rsidTr="006565FE">
        <w:trPr>
          <w:trHeight w:val="265"/>
        </w:trPr>
        <w:tc>
          <w:tcPr>
            <w:tcW w:w="868" w:type="dxa"/>
            <w:tcBorders>
              <w:top w:val="nil"/>
              <w:left w:val="single" w:sz="4" w:space="0" w:color="auto"/>
              <w:bottom w:val="single" w:sz="4" w:space="0" w:color="auto"/>
              <w:right w:val="nil"/>
            </w:tcBorders>
            <w:shd w:val="clear" w:color="auto" w:fill="auto"/>
            <w:noWrap/>
            <w:vAlign w:val="bottom"/>
            <w:hideMark/>
          </w:tcPr>
          <w:p w14:paraId="2F44DCCA" w14:textId="1157B14A" w:rsidR="005674FA" w:rsidRPr="00357869" w:rsidRDefault="00FA7E99" w:rsidP="00FA7E9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7FD70FB7" w14:textId="53A54F23"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55</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668" w:type="dxa"/>
            <w:tcBorders>
              <w:top w:val="nil"/>
              <w:left w:val="nil"/>
              <w:bottom w:val="single" w:sz="4" w:space="0" w:color="auto"/>
              <w:right w:val="single" w:sz="4" w:space="0" w:color="auto"/>
            </w:tcBorders>
            <w:shd w:val="clear" w:color="auto" w:fill="auto"/>
            <w:noWrap/>
            <w:vAlign w:val="bottom"/>
            <w:hideMark/>
          </w:tcPr>
          <w:p w14:paraId="7882D39E" w14:textId="49D01358"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8" w:type="dxa"/>
            <w:tcBorders>
              <w:top w:val="nil"/>
              <w:left w:val="nil"/>
              <w:bottom w:val="single" w:sz="4" w:space="0" w:color="auto"/>
              <w:right w:val="single" w:sz="4" w:space="0" w:color="auto"/>
            </w:tcBorders>
            <w:shd w:val="clear" w:color="auto" w:fill="auto"/>
            <w:noWrap/>
            <w:vAlign w:val="bottom"/>
            <w:hideMark/>
          </w:tcPr>
          <w:p w14:paraId="4DFD4338" w14:textId="0FD30D15"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68" w:type="dxa"/>
            <w:tcBorders>
              <w:top w:val="nil"/>
              <w:left w:val="nil"/>
              <w:bottom w:val="single" w:sz="4" w:space="0" w:color="auto"/>
              <w:right w:val="single" w:sz="4" w:space="0" w:color="auto"/>
            </w:tcBorders>
            <w:shd w:val="clear" w:color="auto" w:fill="auto"/>
            <w:noWrap/>
            <w:vAlign w:val="bottom"/>
            <w:hideMark/>
          </w:tcPr>
          <w:p w14:paraId="080887B3" w14:textId="3B2B9DE9"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68" w:type="dxa"/>
            <w:tcBorders>
              <w:top w:val="nil"/>
              <w:left w:val="nil"/>
              <w:bottom w:val="single" w:sz="4" w:space="0" w:color="auto"/>
              <w:right w:val="single" w:sz="4" w:space="0" w:color="auto"/>
            </w:tcBorders>
            <w:shd w:val="clear" w:color="auto" w:fill="auto"/>
            <w:noWrap/>
            <w:vAlign w:val="bottom"/>
            <w:hideMark/>
          </w:tcPr>
          <w:p w14:paraId="4A4A9506" w14:textId="5DF25D21"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68" w:type="dxa"/>
            <w:tcBorders>
              <w:top w:val="nil"/>
              <w:left w:val="nil"/>
              <w:bottom w:val="single" w:sz="4" w:space="0" w:color="auto"/>
              <w:right w:val="single" w:sz="4" w:space="0" w:color="auto"/>
            </w:tcBorders>
            <w:shd w:val="clear" w:color="auto" w:fill="auto"/>
            <w:noWrap/>
            <w:vAlign w:val="bottom"/>
            <w:hideMark/>
          </w:tcPr>
          <w:p w14:paraId="2A43ED75" w14:textId="2E8D6314"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0AF97906" w14:textId="14F77AEF"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68" w:type="dxa"/>
            <w:tcBorders>
              <w:top w:val="nil"/>
              <w:left w:val="nil"/>
              <w:bottom w:val="single" w:sz="4" w:space="0" w:color="auto"/>
              <w:right w:val="single" w:sz="4" w:space="0" w:color="auto"/>
            </w:tcBorders>
            <w:shd w:val="clear" w:color="auto" w:fill="auto"/>
            <w:noWrap/>
            <w:vAlign w:val="bottom"/>
            <w:hideMark/>
          </w:tcPr>
          <w:p w14:paraId="1FA494A7" w14:textId="619CDA8A"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68" w:type="dxa"/>
            <w:tcBorders>
              <w:top w:val="nil"/>
              <w:left w:val="nil"/>
              <w:bottom w:val="single" w:sz="4" w:space="0" w:color="auto"/>
              <w:right w:val="single" w:sz="4" w:space="0" w:color="auto"/>
            </w:tcBorders>
            <w:shd w:val="clear" w:color="auto" w:fill="auto"/>
            <w:noWrap/>
            <w:vAlign w:val="bottom"/>
            <w:hideMark/>
          </w:tcPr>
          <w:p w14:paraId="07E78A5C" w14:textId="0ABF31E3"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668" w:type="dxa"/>
            <w:tcBorders>
              <w:top w:val="nil"/>
              <w:left w:val="nil"/>
              <w:bottom w:val="single" w:sz="4" w:space="0" w:color="auto"/>
              <w:right w:val="single" w:sz="4" w:space="0" w:color="auto"/>
            </w:tcBorders>
            <w:shd w:val="clear" w:color="auto" w:fill="auto"/>
            <w:noWrap/>
            <w:vAlign w:val="bottom"/>
            <w:hideMark/>
          </w:tcPr>
          <w:p w14:paraId="58B3AE08" w14:textId="10E89FDD"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8" w:type="dxa"/>
            <w:tcBorders>
              <w:top w:val="nil"/>
              <w:left w:val="nil"/>
              <w:bottom w:val="single" w:sz="4" w:space="0" w:color="auto"/>
              <w:right w:val="single" w:sz="4" w:space="0" w:color="auto"/>
            </w:tcBorders>
            <w:shd w:val="clear" w:color="auto" w:fill="auto"/>
            <w:noWrap/>
            <w:vAlign w:val="bottom"/>
            <w:hideMark/>
          </w:tcPr>
          <w:p w14:paraId="0028551B" w14:textId="6DFC4194"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8" w:type="dxa"/>
            <w:tcBorders>
              <w:top w:val="nil"/>
              <w:left w:val="nil"/>
              <w:bottom w:val="single" w:sz="4" w:space="0" w:color="auto"/>
              <w:right w:val="single" w:sz="4" w:space="0" w:color="auto"/>
            </w:tcBorders>
            <w:shd w:val="clear" w:color="auto" w:fill="auto"/>
            <w:noWrap/>
            <w:vAlign w:val="bottom"/>
            <w:hideMark/>
          </w:tcPr>
          <w:p w14:paraId="2655AB60" w14:textId="415DCFC3"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68" w:type="dxa"/>
            <w:tcBorders>
              <w:top w:val="nil"/>
              <w:left w:val="nil"/>
              <w:bottom w:val="single" w:sz="4" w:space="0" w:color="auto"/>
              <w:right w:val="single" w:sz="4" w:space="0" w:color="auto"/>
            </w:tcBorders>
            <w:shd w:val="clear" w:color="auto" w:fill="auto"/>
            <w:noWrap/>
            <w:vAlign w:val="bottom"/>
            <w:hideMark/>
          </w:tcPr>
          <w:p w14:paraId="3F9C4F0E" w14:textId="3B7C7988" w:rsidR="005674FA" w:rsidRPr="00357869" w:rsidRDefault="005674FA" w:rsidP="005674FA">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r>
    </w:tbl>
    <w:p w14:paraId="419D6331" w14:textId="77777777" w:rsidR="006565FE" w:rsidRPr="00357869" w:rsidRDefault="006565FE" w:rsidP="006565FE">
      <w:pPr>
        <w:pStyle w:val="Caption"/>
        <w:keepNext/>
        <w:jc w:val="both"/>
        <w:rPr>
          <w:rFonts w:ascii="Calibri" w:hAnsi="Calibri" w:cs="Calibri"/>
          <w:b w:val="0"/>
          <w:sz w:val="16"/>
          <w:szCs w:val="16"/>
          <w:lang w:val="en-US"/>
        </w:rPr>
      </w:pPr>
      <w:r w:rsidRPr="00357869">
        <w:rPr>
          <w:rFonts w:ascii="Calibri" w:hAnsi="Calibri" w:cs="Calibri"/>
          <w:b w:val="0"/>
          <w:sz w:val="16"/>
          <w:szCs w:val="16"/>
          <w:lang w:val="en-US"/>
        </w:rPr>
        <w:t xml:space="preserve">Source: </w:t>
      </w:r>
      <w:proofErr w:type="spellStart"/>
      <w:r w:rsidRPr="00357869">
        <w:rPr>
          <w:rFonts w:ascii="Calibri" w:hAnsi="Calibri" w:cs="Calibri"/>
          <w:b w:val="0"/>
          <w:sz w:val="16"/>
          <w:szCs w:val="16"/>
          <w:lang w:val="en-US"/>
        </w:rPr>
        <w:t>Betam</w:t>
      </w:r>
      <w:proofErr w:type="spellEnd"/>
      <w:r w:rsidRPr="00357869">
        <w:rPr>
          <w:rFonts w:ascii="Calibri" w:hAnsi="Calibri" w:cs="Calibri"/>
          <w:b w:val="0"/>
          <w:sz w:val="16"/>
          <w:szCs w:val="16"/>
          <w:lang w:val="en-US"/>
        </w:rPr>
        <w:t>, HİA micro data: 2005-2017</w:t>
      </w:r>
    </w:p>
    <w:p w14:paraId="55C7A9EF" w14:textId="77777777" w:rsidR="002C248D" w:rsidRPr="00357869" w:rsidRDefault="002C248D" w:rsidP="00170159">
      <w:pPr>
        <w:tabs>
          <w:tab w:val="left" w:pos="3005"/>
        </w:tabs>
        <w:jc w:val="both"/>
        <w:rPr>
          <w:rFonts w:ascii="Calibri" w:hAnsi="Calibri" w:cs="Calibri"/>
          <w:b/>
          <w:lang w:val="en-US"/>
        </w:rPr>
      </w:pPr>
    </w:p>
    <w:p w14:paraId="01128C24" w14:textId="3A9CE010" w:rsidR="006E76B6" w:rsidRPr="00357869" w:rsidRDefault="006E76B6" w:rsidP="00E814A3">
      <w:pPr>
        <w:tabs>
          <w:tab w:val="left" w:pos="3005"/>
        </w:tabs>
        <w:jc w:val="both"/>
        <w:outlineLvl w:val="0"/>
        <w:rPr>
          <w:rFonts w:ascii="Calibri" w:hAnsi="Calibri" w:cs="Calibri"/>
          <w:b/>
          <w:lang w:val="en-US"/>
        </w:rPr>
      </w:pPr>
      <w:r w:rsidRPr="00357869">
        <w:rPr>
          <w:rFonts w:ascii="Calibri" w:hAnsi="Calibri" w:cs="Calibri"/>
          <w:b/>
          <w:lang w:val="en-US"/>
        </w:rPr>
        <w:t xml:space="preserve">Gender gap </w:t>
      </w:r>
      <w:r w:rsidR="00FD6DC8" w:rsidRPr="00357869">
        <w:rPr>
          <w:rFonts w:ascii="Calibri" w:hAnsi="Calibri" w:cs="Calibri"/>
          <w:b/>
          <w:lang w:val="en-US"/>
        </w:rPr>
        <w:t>in</w:t>
      </w:r>
      <w:r w:rsidRPr="00357869">
        <w:rPr>
          <w:rFonts w:ascii="Calibri" w:hAnsi="Calibri" w:cs="Calibri"/>
          <w:b/>
          <w:lang w:val="en-US"/>
        </w:rPr>
        <w:t xml:space="preserve"> unemployment </w:t>
      </w:r>
      <w:r w:rsidR="00FD6DC8" w:rsidRPr="00357869">
        <w:rPr>
          <w:rFonts w:ascii="Calibri" w:hAnsi="Calibri" w:cs="Calibri"/>
          <w:b/>
          <w:lang w:val="en-US"/>
        </w:rPr>
        <w:t>stagnates for lower education levels</w:t>
      </w:r>
    </w:p>
    <w:p w14:paraId="73F177B1" w14:textId="6D3A3971" w:rsidR="008C757C" w:rsidRPr="00357869" w:rsidRDefault="001E56F3" w:rsidP="001E56F3">
      <w:pPr>
        <w:tabs>
          <w:tab w:val="left" w:pos="3005"/>
        </w:tabs>
        <w:jc w:val="both"/>
        <w:outlineLvl w:val="0"/>
        <w:rPr>
          <w:rFonts w:ascii="Calibri" w:hAnsi="Calibri" w:cs="Calibri"/>
          <w:lang w:val="en-US"/>
        </w:rPr>
      </w:pPr>
      <w:r w:rsidRPr="00357869">
        <w:rPr>
          <w:rFonts w:ascii="Calibri" w:hAnsi="Calibri" w:cs="Calibri"/>
          <w:lang w:val="en-US"/>
        </w:rPr>
        <w:t xml:space="preserve">Among the workers with less than a high school degree, the female and male unemployment rates are structurally different. </w:t>
      </w:r>
      <w:r w:rsidR="00316BE2" w:rsidRPr="00357869">
        <w:rPr>
          <w:rFonts w:ascii="Calibri" w:hAnsi="Calibri" w:cs="Calibri"/>
          <w:lang w:val="en-US"/>
        </w:rPr>
        <w:t xml:space="preserve">During the period under study </w:t>
      </w:r>
      <w:r w:rsidRPr="00357869">
        <w:rPr>
          <w:rFonts w:ascii="Calibri" w:hAnsi="Calibri" w:cs="Calibri"/>
          <w:lang w:val="en-US"/>
        </w:rPr>
        <w:t xml:space="preserve">the gender gap in unemployment rates </w:t>
      </w:r>
      <w:r w:rsidR="00206A18" w:rsidRPr="00357869">
        <w:rPr>
          <w:rFonts w:ascii="Calibri" w:hAnsi="Calibri" w:cs="Calibri"/>
          <w:lang w:val="en-US"/>
        </w:rPr>
        <w:t>fluctuated</w:t>
      </w:r>
      <w:r w:rsidR="00316BE2" w:rsidRPr="00357869">
        <w:rPr>
          <w:rFonts w:ascii="Calibri" w:hAnsi="Calibri" w:cs="Calibri"/>
          <w:lang w:val="en-US"/>
        </w:rPr>
        <w:t xml:space="preserve"> between 3.8 and 5.9 percentage points and the </w:t>
      </w:r>
      <w:r w:rsidR="003E15A5" w:rsidRPr="00357869">
        <w:rPr>
          <w:rFonts w:ascii="Calibri" w:hAnsi="Calibri" w:cs="Calibri"/>
          <w:lang w:val="en-US"/>
        </w:rPr>
        <w:t xml:space="preserve">gap of 4.3 percentage points at the start </w:t>
      </w:r>
      <w:r w:rsidR="00316BE2" w:rsidRPr="00357869">
        <w:rPr>
          <w:rFonts w:ascii="Calibri" w:hAnsi="Calibri" w:cs="Calibri"/>
          <w:lang w:val="en-US"/>
        </w:rPr>
        <w:t xml:space="preserve">of the period </w:t>
      </w:r>
      <w:r w:rsidR="003E15A5" w:rsidRPr="00357869">
        <w:rPr>
          <w:rFonts w:ascii="Calibri" w:hAnsi="Calibri" w:cs="Calibri"/>
          <w:lang w:val="en-US"/>
        </w:rPr>
        <w:lastRenderedPageBreak/>
        <w:t>increased to 5.1 percentage points at the end (</w:t>
      </w:r>
      <w:r w:rsidR="00171B36" w:rsidRPr="00357869">
        <w:rPr>
          <w:rFonts w:ascii="Calibri" w:hAnsi="Calibri" w:cs="Calibri"/>
          <w:lang w:val="en-US"/>
        </w:rPr>
        <w:t xml:space="preserve">Figure </w:t>
      </w:r>
      <w:r w:rsidR="003E15A5" w:rsidRPr="00357869">
        <w:rPr>
          <w:rFonts w:ascii="Calibri" w:hAnsi="Calibri" w:cs="Calibri"/>
          <w:lang w:val="en-US"/>
        </w:rPr>
        <w:t xml:space="preserve"> 3). During the crisis year of 2009</w:t>
      </w:r>
      <w:r w:rsidR="00C5494E" w:rsidRPr="00357869">
        <w:rPr>
          <w:rFonts w:ascii="Calibri" w:hAnsi="Calibri" w:cs="Calibri"/>
          <w:lang w:val="en-US"/>
        </w:rPr>
        <w:t>,</w:t>
      </w:r>
      <w:r w:rsidR="003E15A5" w:rsidRPr="00357869">
        <w:rPr>
          <w:rFonts w:ascii="Calibri" w:hAnsi="Calibri" w:cs="Calibri"/>
          <w:lang w:val="en-US"/>
        </w:rPr>
        <w:t xml:space="preserve"> the peak of unemployment rate among these unqualified workers had attained 23.4 percent for females and 18.7 for males</w:t>
      </w:r>
      <w:r w:rsidR="007E6F49" w:rsidRPr="00357869">
        <w:rPr>
          <w:rFonts w:ascii="Calibri" w:hAnsi="Calibri" w:cs="Calibri"/>
          <w:lang w:val="en-US"/>
        </w:rPr>
        <w:t xml:space="preserve">, </w:t>
      </w:r>
      <w:r w:rsidR="00C5494E" w:rsidRPr="00357869">
        <w:rPr>
          <w:rFonts w:ascii="Calibri" w:hAnsi="Calibri" w:cs="Calibri"/>
          <w:lang w:val="en-US"/>
        </w:rPr>
        <w:t xml:space="preserve">implying a gender gap of </w:t>
      </w:r>
      <w:r w:rsidR="007E6F49" w:rsidRPr="00357869">
        <w:rPr>
          <w:rFonts w:ascii="Calibri" w:hAnsi="Calibri" w:cs="Calibri"/>
          <w:lang w:val="en-US"/>
        </w:rPr>
        <w:t>4.8 percentage points</w:t>
      </w:r>
      <w:r w:rsidR="003E15A5" w:rsidRPr="00357869">
        <w:rPr>
          <w:rFonts w:ascii="Calibri" w:hAnsi="Calibri" w:cs="Calibri"/>
          <w:lang w:val="en-US"/>
        </w:rPr>
        <w:t xml:space="preserve">. </w:t>
      </w:r>
      <w:r w:rsidR="007E6F49" w:rsidRPr="00357869">
        <w:rPr>
          <w:rFonts w:ascii="Calibri" w:hAnsi="Calibri" w:cs="Calibri"/>
          <w:lang w:val="en-US"/>
        </w:rPr>
        <w:t xml:space="preserve"> </w:t>
      </w:r>
      <w:r w:rsidR="003E15A5" w:rsidRPr="00357869">
        <w:rPr>
          <w:rFonts w:ascii="Calibri" w:hAnsi="Calibri" w:cs="Calibri"/>
          <w:lang w:val="en-US"/>
        </w:rPr>
        <w:t>In the aftermath of the crisis</w:t>
      </w:r>
      <w:r w:rsidR="00C5494E" w:rsidRPr="00357869">
        <w:rPr>
          <w:rFonts w:ascii="Calibri" w:hAnsi="Calibri" w:cs="Calibri"/>
          <w:lang w:val="en-US"/>
        </w:rPr>
        <w:t xml:space="preserve"> both female and male</w:t>
      </w:r>
      <w:r w:rsidR="007E6F49" w:rsidRPr="00357869">
        <w:rPr>
          <w:rFonts w:ascii="Calibri" w:hAnsi="Calibri" w:cs="Calibri"/>
          <w:lang w:val="en-US"/>
        </w:rPr>
        <w:t xml:space="preserve"> unemployment decreased down to 16.3 and 11.7 percent </w:t>
      </w:r>
      <w:r w:rsidR="00872CA1" w:rsidRPr="00357869">
        <w:rPr>
          <w:rFonts w:ascii="Calibri" w:hAnsi="Calibri" w:cs="Calibri"/>
          <w:lang w:val="en-US"/>
        </w:rPr>
        <w:t xml:space="preserve">respectively, </w:t>
      </w:r>
      <w:r w:rsidR="007E6F49" w:rsidRPr="00357869">
        <w:rPr>
          <w:rFonts w:ascii="Calibri" w:hAnsi="Calibri" w:cs="Calibri"/>
          <w:lang w:val="en-US"/>
        </w:rPr>
        <w:t>with a gender gap of 4.6 percentage points.</w:t>
      </w:r>
      <w:r w:rsidR="003E15A5" w:rsidRPr="00357869">
        <w:rPr>
          <w:rFonts w:ascii="Calibri" w:hAnsi="Calibri" w:cs="Calibri"/>
          <w:lang w:val="en-US"/>
        </w:rPr>
        <w:t xml:space="preserve"> </w:t>
      </w:r>
      <w:r w:rsidR="007E6F49" w:rsidRPr="00357869">
        <w:rPr>
          <w:rFonts w:ascii="Calibri" w:hAnsi="Calibri" w:cs="Calibri"/>
          <w:lang w:val="en-US"/>
        </w:rPr>
        <w:t xml:space="preserve">Along with the increase of unemployment in the last five years the gender gap has been widened at some extent but </w:t>
      </w:r>
      <w:r w:rsidR="00872CA1" w:rsidRPr="00357869">
        <w:rPr>
          <w:rFonts w:ascii="Calibri" w:hAnsi="Calibri" w:cs="Calibri"/>
          <w:lang w:val="en-US"/>
        </w:rPr>
        <w:t xml:space="preserve">remains close </w:t>
      </w:r>
      <w:r w:rsidR="007E6F49" w:rsidRPr="00357869">
        <w:rPr>
          <w:rFonts w:ascii="Calibri" w:hAnsi="Calibri" w:cs="Calibri"/>
          <w:lang w:val="en-US"/>
        </w:rPr>
        <w:t xml:space="preserve">to 5.1 percentage points </w:t>
      </w:r>
      <w:r w:rsidR="008C757C" w:rsidRPr="00357869">
        <w:rPr>
          <w:rFonts w:ascii="Calibri" w:hAnsi="Calibri" w:cs="Calibri"/>
          <w:lang w:val="en-US"/>
        </w:rPr>
        <w:t>in 2017 (</w:t>
      </w:r>
      <w:r w:rsidR="00E9310C" w:rsidRPr="00357869">
        <w:rPr>
          <w:rFonts w:ascii="Calibri" w:hAnsi="Calibri" w:cs="Calibri"/>
          <w:lang w:val="en-US"/>
        </w:rPr>
        <w:t>Figure</w:t>
      </w:r>
      <w:r w:rsidR="008C757C" w:rsidRPr="00357869">
        <w:rPr>
          <w:rFonts w:ascii="Calibri" w:hAnsi="Calibri" w:cs="Calibri"/>
          <w:lang w:val="en-US"/>
        </w:rPr>
        <w:t xml:space="preserve"> 3)</w:t>
      </w:r>
      <w:r w:rsidR="007E6F49" w:rsidRPr="00357869">
        <w:rPr>
          <w:rFonts w:ascii="Calibri" w:hAnsi="Calibri" w:cs="Calibri"/>
          <w:lang w:val="en-US"/>
        </w:rPr>
        <w:t xml:space="preserve">. </w:t>
      </w:r>
    </w:p>
    <w:p w14:paraId="76122B5C" w14:textId="6A1CE49E" w:rsidR="008C757C" w:rsidRPr="00357869" w:rsidRDefault="0002188A" w:rsidP="00E814A3">
      <w:pPr>
        <w:tabs>
          <w:tab w:val="left" w:pos="3005"/>
        </w:tabs>
        <w:jc w:val="both"/>
        <w:outlineLvl w:val="0"/>
        <w:rPr>
          <w:rFonts w:ascii="Calibri" w:hAnsi="Calibri" w:cs="Calibri"/>
          <w:lang w:val="en-US"/>
        </w:rPr>
      </w:pPr>
      <w:r w:rsidRPr="00357869">
        <w:rPr>
          <w:rFonts w:ascii="Calibri" w:hAnsi="Calibri" w:cs="Calibri"/>
          <w:lang w:val="en-US"/>
        </w:rPr>
        <w:t xml:space="preserve">Given that the female and male unemployment cycles resemble each other, we conclude that the employees with the lowest skill sets in the labor market may fare similarly, both employment losses and opportunities are just as easy or as difficult, i.e. the gender differences are not stark. </w:t>
      </w:r>
      <w:r w:rsidR="006B46A2" w:rsidRPr="00357869">
        <w:rPr>
          <w:rFonts w:ascii="Calibri" w:hAnsi="Calibri" w:cs="Calibri"/>
          <w:lang w:val="en-US"/>
        </w:rPr>
        <w:t xml:space="preserve">That said, the explanation of the gender difference in unemployment as a structural inheritance of the past constitutes a different research agenda.  </w:t>
      </w:r>
      <w:r w:rsidR="008C757C" w:rsidRPr="00357869">
        <w:rPr>
          <w:rFonts w:ascii="Calibri" w:hAnsi="Calibri" w:cs="Calibri"/>
          <w:lang w:val="en-US"/>
        </w:rPr>
        <w:t xml:space="preserve"> </w:t>
      </w:r>
    </w:p>
    <w:p w14:paraId="63008EC6" w14:textId="14683550" w:rsidR="00B717A1" w:rsidRPr="00357869" w:rsidRDefault="00B717A1" w:rsidP="00170159">
      <w:pPr>
        <w:tabs>
          <w:tab w:val="left" w:pos="3005"/>
        </w:tabs>
        <w:jc w:val="both"/>
        <w:rPr>
          <w:rFonts w:ascii="Calibri" w:hAnsi="Calibri" w:cs="Calibri"/>
          <w:lang w:val="en-US"/>
        </w:rPr>
      </w:pPr>
      <w:r w:rsidRPr="00357869">
        <w:rPr>
          <w:rFonts w:ascii="Calibri" w:hAnsi="Calibri" w:cs="Calibri"/>
          <w:lang w:val="en-US"/>
        </w:rPr>
        <w:t xml:space="preserve">On the other hand, when we look at the labor force participation rates, the striking point is that </w:t>
      </w:r>
      <w:r w:rsidR="000D30B5" w:rsidRPr="00357869">
        <w:rPr>
          <w:rFonts w:ascii="Calibri" w:hAnsi="Calibri" w:cs="Calibri"/>
          <w:lang w:val="en-US"/>
        </w:rPr>
        <w:t>the</w:t>
      </w:r>
      <w:r w:rsidR="005A6765" w:rsidRPr="00357869">
        <w:rPr>
          <w:rFonts w:ascii="Calibri" w:hAnsi="Calibri" w:cs="Calibri"/>
          <w:lang w:val="en-US"/>
        </w:rPr>
        <w:t xml:space="preserve"> increase in </w:t>
      </w:r>
      <w:r w:rsidRPr="00357869">
        <w:rPr>
          <w:rFonts w:ascii="Calibri" w:hAnsi="Calibri" w:cs="Calibri"/>
          <w:lang w:val="en-US"/>
        </w:rPr>
        <w:t>female participation is much stronger</w:t>
      </w:r>
      <w:r w:rsidR="000D30B5" w:rsidRPr="00357869">
        <w:rPr>
          <w:rFonts w:ascii="Calibri" w:hAnsi="Calibri" w:cs="Calibri"/>
          <w:lang w:val="en-US"/>
        </w:rPr>
        <w:t>. While the male participation rate increased slightly from 74.7 to 75.7 percent</w:t>
      </w:r>
      <w:r w:rsidR="00975493" w:rsidRPr="00357869">
        <w:rPr>
          <w:rFonts w:ascii="Calibri" w:hAnsi="Calibri" w:cs="Calibri"/>
          <w:lang w:val="en-US"/>
        </w:rPr>
        <w:t xml:space="preserve"> during the period of 2005-2017</w:t>
      </w:r>
      <w:r w:rsidR="000D30B5" w:rsidRPr="00357869">
        <w:rPr>
          <w:rFonts w:ascii="Calibri" w:hAnsi="Calibri" w:cs="Calibri"/>
          <w:lang w:val="en-US"/>
        </w:rPr>
        <w:t xml:space="preserve">, female participation increased </w:t>
      </w:r>
      <w:r w:rsidR="00CE194F" w:rsidRPr="00357869">
        <w:rPr>
          <w:rFonts w:ascii="Calibri" w:hAnsi="Calibri" w:cs="Calibri"/>
          <w:lang w:val="en-US"/>
        </w:rPr>
        <w:t xml:space="preserve">strongly </w:t>
      </w:r>
      <w:r w:rsidR="000D30B5" w:rsidRPr="00357869">
        <w:rPr>
          <w:rFonts w:ascii="Calibri" w:hAnsi="Calibri" w:cs="Calibri"/>
          <w:lang w:val="en-US"/>
        </w:rPr>
        <w:t xml:space="preserve">by 9.3 percentage points from 20.8 to 30.1 percent. </w:t>
      </w:r>
      <w:r w:rsidR="004C3BE0" w:rsidRPr="00357869">
        <w:rPr>
          <w:rFonts w:ascii="Calibri" w:hAnsi="Calibri" w:cs="Calibri"/>
          <w:lang w:val="en-US"/>
        </w:rPr>
        <w:t>Note</w:t>
      </w:r>
      <w:r w:rsidR="000D30B5" w:rsidRPr="00357869">
        <w:rPr>
          <w:rFonts w:ascii="Calibri" w:hAnsi="Calibri" w:cs="Calibri"/>
          <w:lang w:val="en-US"/>
        </w:rPr>
        <w:t xml:space="preserve"> that this </w:t>
      </w:r>
      <w:r w:rsidR="00C220B4" w:rsidRPr="00357869">
        <w:rPr>
          <w:rFonts w:ascii="Calibri" w:hAnsi="Calibri" w:cs="Calibri"/>
          <w:lang w:val="en-US"/>
        </w:rPr>
        <w:t xml:space="preserve">increase is the highest </w:t>
      </w:r>
      <w:r w:rsidR="000D30B5" w:rsidRPr="00357869">
        <w:rPr>
          <w:rFonts w:ascii="Calibri" w:hAnsi="Calibri" w:cs="Calibri"/>
          <w:lang w:val="en-US"/>
        </w:rPr>
        <w:t>among the educational levels considered</w:t>
      </w:r>
      <w:r w:rsidR="00C220B4" w:rsidRPr="00357869">
        <w:rPr>
          <w:rFonts w:ascii="Calibri" w:hAnsi="Calibri" w:cs="Calibri"/>
          <w:lang w:val="en-US"/>
        </w:rPr>
        <w:t xml:space="preserve"> here</w:t>
      </w:r>
      <w:r w:rsidR="000D30B5" w:rsidRPr="00357869">
        <w:rPr>
          <w:rFonts w:ascii="Calibri" w:hAnsi="Calibri" w:cs="Calibri"/>
          <w:lang w:val="en-US"/>
        </w:rPr>
        <w:t xml:space="preserve">. No doubt, this </w:t>
      </w:r>
      <w:r w:rsidR="008C5810" w:rsidRPr="00357869">
        <w:rPr>
          <w:rFonts w:ascii="Calibri" w:hAnsi="Calibri" w:cs="Calibri"/>
          <w:lang w:val="en-US"/>
        </w:rPr>
        <w:t xml:space="preserve">appetite for </w:t>
      </w:r>
      <w:r w:rsidR="00031E85" w:rsidRPr="00357869">
        <w:rPr>
          <w:rFonts w:ascii="Calibri" w:hAnsi="Calibri" w:cs="Calibri"/>
          <w:lang w:val="en-US"/>
        </w:rPr>
        <w:t>labor market participation</w:t>
      </w:r>
      <w:r w:rsidR="008C5810" w:rsidRPr="00357869">
        <w:rPr>
          <w:rFonts w:ascii="Calibri" w:hAnsi="Calibri" w:cs="Calibri"/>
          <w:lang w:val="en-US"/>
        </w:rPr>
        <w:t xml:space="preserve"> observed </w:t>
      </w:r>
      <w:r w:rsidR="000D30B5" w:rsidRPr="00357869">
        <w:rPr>
          <w:rFonts w:ascii="Calibri" w:hAnsi="Calibri" w:cs="Calibri"/>
          <w:lang w:val="en-US"/>
        </w:rPr>
        <w:t xml:space="preserve">among unqualified women </w:t>
      </w:r>
      <w:r w:rsidR="008C5810" w:rsidRPr="00357869">
        <w:rPr>
          <w:rFonts w:ascii="Calibri" w:hAnsi="Calibri" w:cs="Calibri"/>
          <w:lang w:val="en-US"/>
        </w:rPr>
        <w:t xml:space="preserve">is </w:t>
      </w:r>
      <w:r w:rsidR="00644012" w:rsidRPr="00357869">
        <w:rPr>
          <w:rFonts w:ascii="Calibri" w:hAnsi="Calibri" w:cs="Calibri"/>
          <w:lang w:val="en-US"/>
        </w:rPr>
        <w:t>an exceptional phenomenon</w:t>
      </w:r>
      <w:r w:rsidR="008C5810" w:rsidRPr="00357869">
        <w:rPr>
          <w:rFonts w:ascii="Calibri" w:hAnsi="Calibri" w:cs="Calibri"/>
          <w:lang w:val="en-US"/>
        </w:rPr>
        <w:t xml:space="preserve"> that </w:t>
      </w:r>
      <w:r w:rsidR="00FB00DA" w:rsidRPr="00357869">
        <w:rPr>
          <w:rFonts w:ascii="Calibri" w:hAnsi="Calibri" w:cs="Calibri"/>
          <w:lang w:val="en-US"/>
        </w:rPr>
        <w:t>requires</w:t>
      </w:r>
      <w:r w:rsidR="008C5810" w:rsidRPr="00357869">
        <w:rPr>
          <w:rFonts w:ascii="Calibri" w:hAnsi="Calibri" w:cs="Calibri"/>
          <w:lang w:val="en-US"/>
        </w:rPr>
        <w:t xml:space="preserve"> further research. On the other hand, let us underline again that</w:t>
      </w:r>
      <w:r w:rsidR="00FE0255" w:rsidRPr="00357869">
        <w:rPr>
          <w:rFonts w:ascii="Calibri" w:hAnsi="Calibri" w:cs="Calibri"/>
          <w:lang w:val="en-US"/>
        </w:rPr>
        <w:t>,</w:t>
      </w:r>
      <w:r w:rsidR="008C5810" w:rsidRPr="00357869">
        <w:rPr>
          <w:rFonts w:ascii="Calibri" w:hAnsi="Calibri" w:cs="Calibri"/>
          <w:lang w:val="en-US"/>
        </w:rPr>
        <w:t xml:space="preserve"> despite the strong female labor force increase</w:t>
      </w:r>
      <w:r w:rsidR="00F423A8" w:rsidRPr="00357869">
        <w:rPr>
          <w:rFonts w:ascii="Calibri" w:hAnsi="Calibri" w:cs="Calibri"/>
          <w:lang w:val="en-US"/>
        </w:rPr>
        <w:t>,</w:t>
      </w:r>
      <w:r w:rsidR="008C5810" w:rsidRPr="00357869">
        <w:rPr>
          <w:rFonts w:ascii="Calibri" w:hAnsi="Calibri" w:cs="Calibri"/>
          <w:lang w:val="en-US"/>
        </w:rPr>
        <w:t xml:space="preserve"> the existing unemployment gender gap did not widen sizably. </w:t>
      </w:r>
    </w:p>
    <w:p w14:paraId="323E0291" w14:textId="60CBAEFC" w:rsidR="001C5CE0" w:rsidRPr="00357869" w:rsidRDefault="00F469A5" w:rsidP="00926756">
      <w:pPr>
        <w:rPr>
          <w:rFonts w:ascii="Calibri" w:hAnsi="Calibri" w:cs="Calibri"/>
          <w:b/>
          <w:lang w:val="en-US"/>
        </w:rPr>
      </w:pPr>
      <w:r w:rsidRPr="00357869">
        <w:rPr>
          <w:rFonts w:ascii="Calibri" w:hAnsi="Calibri" w:cs="Calibri"/>
          <w:b/>
          <w:lang w:val="en-US"/>
        </w:rPr>
        <w:t>Figure</w:t>
      </w:r>
      <w:r w:rsidR="00AD354D" w:rsidRPr="00357869">
        <w:rPr>
          <w:rFonts w:ascii="Calibri" w:hAnsi="Calibri" w:cs="Calibri"/>
          <w:b/>
          <w:lang w:val="en-US"/>
        </w:rPr>
        <w:t xml:space="preserve"> 3: Non-farm</w:t>
      </w:r>
      <w:r w:rsidR="00926756" w:rsidRPr="00357869">
        <w:rPr>
          <w:rFonts w:ascii="Calibri" w:hAnsi="Calibri" w:cs="Calibri"/>
          <w:b/>
          <w:lang w:val="en-US"/>
        </w:rPr>
        <w:t xml:space="preserve"> unemployment and labor force participation rates (%) (15-64, 2005-2017)</w:t>
      </w:r>
    </w:p>
    <w:p w14:paraId="39C472D4" w14:textId="5BD7CDD8" w:rsidR="00D407F9" w:rsidRPr="00357869" w:rsidRDefault="001E2E0B" w:rsidP="00170159">
      <w:pPr>
        <w:pStyle w:val="Caption"/>
        <w:keepNext/>
        <w:jc w:val="both"/>
        <w:rPr>
          <w:rFonts w:ascii="Calibri" w:hAnsi="Calibri" w:cs="Calibri"/>
          <w:i/>
          <w:szCs w:val="22"/>
          <w:lang w:val="en-US"/>
        </w:rPr>
      </w:pPr>
      <w:r w:rsidRPr="00357869">
        <w:rPr>
          <w:rFonts w:ascii="Calibri" w:hAnsi="Calibri" w:cs="Calibri"/>
          <w:noProof/>
          <w:lang w:eastAsia="en-GB"/>
        </w:rPr>
        <w:drawing>
          <wp:inline distT="0" distB="0" distL="0" distR="0" wp14:anchorId="0100B3EF" wp14:editId="6C8F53A8">
            <wp:extent cx="6029325" cy="2971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170" w:type="dxa"/>
        <w:tblLook w:val="04A0" w:firstRow="1" w:lastRow="0" w:firstColumn="1" w:lastColumn="0" w:noHBand="0" w:noVBand="1"/>
      </w:tblPr>
      <w:tblGrid>
        <w:gridCol w:w="868"/>
        <w:gridCol w:w="663"/>
        <w:gridCol w:w="663"/>
        <w:gridCol w:w="663"/>
        <w:gridCol w:w="663"/>
        <w:gridCol w:w="663"/>
        <w:gridCol w:w="663"/>
        <w:gridCol w:w="663"/>
        <w:gridCol w:w="663"/>
        <w:gridCol w:w="663"/>
        <w:gridCol w:w="663"/>
        <w:gridCol w:w="663"/>
        <w:gridCol w:w="663"/>
        <w:gridCol w:w="663"/>
      </w:tblGrid>
      <w:tr w:rsidR="001F61FF" w:rsidRPr="00357869" w14:paraId="7A0E68F1" w14:textId="77777777" w:rsidTr="003227B9">
        <w:trPr>
          <w:trHeight w:val="300"/>
        </w:trPr>
        <w:tc>
          <w:tcPr>
            <w:tcW w:w="798" w:type="dxa"/>
            <w:tcBorders>
              <w:top w:val="single" w:sz="4" w:space="0" w:color="auto"/>
              <w:left w:val="single" w:sz="4" w:space="0" w:color="auto"/>
              <w:bottom w:val="single" w:sz="4" w:space="0" w:color="auto"/>
              <w:right w:val="nil"/>
            </w:tcBorders>
            <w:shd w:val="clear" w:color="auto" w:fill="auto"/>
            <w:noWrap/>
            <w:vAlign w:val="bottom"/>
            <w:hideMark/>
          </w:tcPr>
          <w:p w14:paraId="2AF30E65" w14:textId="4CFD5AD9" w:rsidR="001F61FF" w:rsidRPr="00357869" w:rsidRDefault="001C5CE0" w:rsidP="001C5CE0">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LFPR</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1467"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82799D9"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6245D8EB"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C9FAD54"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4C92FF5"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5418593"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DAE1B64"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B5D8DA5"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1F0F9CE7"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50318F8"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2E1ADC5"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6D449F1"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9256132" w14:textId="777777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r>
      <w:tr w:rsidR="001F61FF" w:rsidRPr="00357869" w14:paraId="57913696" w14:textId="77777777" w:rsidTr="003227B9">
        <w:trPr>
          <w:trHeight w:val="300"/>
        </w:trPr>
        <w:tc>
          <w:tcPr>
            <w:tcW w:w="798" w:type="dxa"/>
            <w:tcBorders>
              <w:top w:val="single" w:sz="4" w:space="0" w:color="auto"/>
              <w:left w:val="single" w:sz="4" w:space="0" w:color="auto"/>
              <w:bottom w:val="nil"/>
              <w:right w:val="nil"/>
            </w:tcBorders>
            <w:shd w:val="clear" w:color="auto" w:fill="auto"/>
            <w:noWrap/>
            <w:vAlign w:val="bottom"/>
            <w:hideMark/>
          </w:tcPr>
          <w:p w14:paraId="15DCE515" w14:textId="67D8059E" w:rsidR="001F61FF" w:rsidRPr="00357869" w:rsidRDefault="001C5CE0" w:rsidP="001C5CE0">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644" w:type="dxa"/>
            <w:tcBorders>
              <w:top w:val="single" w:sz="4" w:space="0" w:color="auto"/>
              <w:left w:val="single" w:sz="4" w:space="0" w:color="auto"/>
              <w:bottom w:val="nil"/>
              <w:right w:val="single" w:sz="4" w:space="0" w:color="auto"/>
            </w:tcBorders>
            <w:shd w:val="clear" w:color="auto" w:fill="auto"/>
            <w:noWrap/>
            <w:vAlign w:val="bottom"/>
            <w:hideMark/>
          </w:tcPr>
          <w:p w14:paraId="564D1019" w14:textId="5192F419"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644" w:type="dxa"/>
            <w:tcBorders>
              <w:top w:val="single" w:sz="4" w:space="0" w:color="auto"/>
              <w:left w:val="nil"/>
              <w:bottom w:val="nil"/>
              <w:right w:val="single" w:sz="4" w:space="0" w:color="auto"/>
            </w:tcBorders>
            <w:shd w:val="clear" w:color="auto" w:fill="auto"/>
            <w:noWrap/>
            <w:vAlign w:val="bottom"/>
            <w:hideMark/>
          </w:tcPr>
          <w:p w14:paraId="656F7522" w14:textId="7C27C898"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44" w:type="dxa"/>
            <w:tcBorders>
              <w:top w:val="single" w:sz="4" w:space="0" w:color="auto"/>
              <w:left w:val="nil"/>
              <w:bottom w:val="nil"/>
              <w:right w:val="single" w:sz="4" w:space="0" w:color="auto"/>
            </w:tcBorders>
            <w:shd w:val="clear" w:color="auto" w:fill="auto"/>
            <w:noWrap/>
            <w:vAlign w:val="bottom"/>
            <w:hideMark/>
          </w:tcPr>
          <w:p w14:paraId="7FED8253" w14:textId="5839D79A"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44" w:type="dxa"/>
            <w:tcBorders>
              <w:top w:val="single" w:sz="4" w:space="0" w:color="auto"/>
              <w:left w:val="nil"/>
              <w:bottom w:val="nil"/>
              <w:right w:val="single" w:sz="4" w:space="0" w:color="auto"/>
            </w:tcBorders>
            <w:shd w:val="clear" w:color="auto" w:fill="auto"/>
            <w:noWrap/>
            <w:vAlign w:val="bottom"/>
            <w:hideMark/>
          </w:tcPr>
          <w:p w14:paraId="55AD9659" w14:textId="2F906CED"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44" w:type="dxa"/>
            <w:tcBorders>
              <w:top w:val="single" w:sz="4" w:space="0" w:color="auto"/>
              <w:left w:val="nil"/>
              <w:bottom w:val="nil"/>
              <w:right w:val="single" w:sz="4" w:space="0" w:color="auto"/>
            </w:tcBorders>
            <w:shd w:val="clear" w:color="auto" w:fill="auto"/>
            <w:noWrap/>
            <w:vAlign w:val="bottom"/>
            <w:hideMark/>
          </w:tcPr>
          <w:p w14:paraId="7F6DB942" w14:textId="312AF1FB"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44" w:type="dxa"/>
            <w:tcBorders>
              <w:top w:val="single" w:sz="4" w:space="0" w:color="auto"/>
              <w:left w:val="nil"/>
              <w:bottom w:val="nil"/>
              <w:right w:val="single" w:sz="4" w:space="0" w:color="auto"/>
            </w:tcBorders>
            <w:shd w:val="clear" w:color="auto" w:fill="auto"/>
            <w:noWrap/>
            <w:vAlign w:val="bottom"/>
            <w:hideMark/>
          </w:tcPr>
          <w:p w14:paraId="2F690C84" w14:textId="138C7B93"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25</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single" w:sz="4" w:space="0" w:color="auto"/>
              <w:left w:val="nil"/>
              <w:bottom w:val="nil"/>
              <w:right w:val="single" w:sz="4" w:space="0" w:color="auto"/>
            </w:tcBorders>
            <w:shd w:val="clear" w:color="auto" w:fill="auto"/>
            <w:noWrap/>
            <w:vAlign w:val="bottom"/>
            <w:hideMark/>
          </w:tcPr>
          <w:p w14:paraId="6C120163" w14:textId="771E64E5"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44" w:type="dxa"/>
            <w:tcBorders>
              <w:top w:val="single" w:sz="4" w:space="0" w:color="auto"/>
              <w:left w:val="nil"/>
              <w:bottom w:val="nil"/>
              <w:right w:val="single" w:sz="4" w:space="0" w:color="auto"/>
            </w:tcBorders>
            <w:shd w:val="clear" w:color="auto" w:fill="auto"/>
            <w:noWrap/>
            <w:vAlign w:val="bottom"/>
            <w:hideMark/>
          </w:tcPr>
          <w:p w14:paraId="09CC2037" w14:textId="112BA63C"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44" w:type="dxa"/>
            <w:tcBorders>
              <w:top w:val="single" w:sz="4" w:space="0" w:color="auto"/>
              <w:left w:val="nil"/>
              <w:bottom w:val="nil"/>
              <w:right w:val="single" w:sz="4" w:space="0" w:color="auto"/>
            </w:tcBorders>
            <w:shd w:val="clear" w:color="auto" w:fill="auto"/>
            <w:noWrap/>
            <w:vAlign w:val="bottom"/>
            <w:hideMark/>
          </w:tcPr>
          <w:p w14:paraId="76FC8B29" w14:textId="3C1CEF0E"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644" w:type="dxa"/>
            <w:tcBorders>
              <w:top w:val="single" w:sz="4" w:space="0" w:color="auto"/>
              <w:left w:val="nil"/>
              <w:bottom w:val="nil"/>
              <w:right w:val="single" w:sz="4" w:space="0" w:color="auto"/>
            </w:tcBorders>
            <w:shd w:val="clear" w:color="auto" w:fill="auto"/>
            <w:noWrap/>
            <w:vAlign w:val="bottom"/>
            <w:hideMark/>
          </w:tcPr>
          <w:p w14:paraId="5173920A" w14:textId="06FFCEEC"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44" w:type="dxa"/>
            <w:tcBorders>
              <w:top w:val="single" w:sz="4" w:space="0" w:color="auto"/>
              <w:left w:val="nil"/>
              <w:bottom w:val="nil"/>
              <w:right w:val="single" w:sz="4" w:space="0" w:color="auto"/>
            </w:tcBorders>
            <w:shd w:val="clear" w:color="auto" w:fill="auto"/>
            <w:noWrap/>
            <w:vAlign w:val="bottom"/>
            <w:hideMark/>
          </w:tcPr>
          <w:p w14:paraId="59B66412" w14:textId="28988475"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44" w:type="dxa"/>
            <w:tcBorders>
              <w:top w:val="single" w:sz="4" w:space="0" w:color="auto"/>
              <w:left w:val="nil"/>
              <w:bottom w:val="nil"/>
              <w:right w:val="single" w:sz="4" w:space="0" w:color="auto"/>
            </w:tcBorders>
            <w:shd w:val="clear" w:color="auto" w:fill="auto"/>
            <w:noWrap/>
            <w:vAlign w:val="bottom"/>
            <w:hideMark/>
          </w:tcPr>
          <w:p w14:paraId="4529E998" w14:textId="6987C64F"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44" w:type="dxa"/>
            <w:tcBorders>
              <w:top w:val="single" w:sz="4" w:space="0" w:color="auto"/>
              <w:left w:val="nil"/>
              <w:bottom w:val="nil"/>
              <w:right w:val="single" w:sz="4" w:space="0" w:color="auto"/>
            </w:tcBorders>
            <w:shd w:val="clear" w:color="auto" w:fill="auto"/>
            <w:noWrap/>
            <w:vAlign w:val="bottom"/>
            <w:hideMark/>
          </w:tcPr>
          <w:p w14:paraId="73F34B00" w14:textId="70A2DE8F"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r>
      <w:tr w:rsidR="001F61FF" w:rsidRPr="00357869" w14:paraId="5BF209CD" w14:textId="77777777" w:rsidTr="001F61FF">
        <w:trPr>
          <w:trHeight w:val="300"/>
        </w:trPr>
        <w:tc>
          <w:tcPr>
            <w:tcW w:w="798" w:type="dxa"/>
            <w:tcBorders>
              <w:top w:val="nil"/>
              <w:left w:val="single" w:sz="4" w:space="0" w:color="auto"/>
              <w:bottom w:val="single" w:sz="4" w:space="0" w:color="auto"/>
              <w:right w:val="nil"/>
            </w:tcBorders>
            <w:shd w:val="clear" w:color="auto" w:fill="auto"/>
            <w:noWrap/>
            <w:vAlign w:val="bottom"/>
            <w:hideMark/>
          </w:tcPr>
          <w:p w14:paraId="78E7EE6F" w14:textId="3BC22518" w:rsidR="001F61FF" w:rsidRPr="00357869" w:rsidRDefault="001C5CE0" w:rsidP="001C5CE0">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74B2FF46" w14:textId="6286AFB9"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44" w:type="dxa"/>
            <w:tcBorders>
              <w:top w:val="nil"/>
              <w:left w:val="nil"/>
              <w:bottom w:val="single" w:sz="4" w:space="0" w:color="auto"/>
              <w:right w:val="single" w:sz="4" w:space="0" w:color="auto"/>
            </w:tcBorders>
            <w:shd w:val="clear" w:color="auto" w:fill="auto"/>
            <w:noWrap/>
            <w:vAlign w:val="bottom"/>
            <w:hideMark/>
          </w:tcPr>
          <w:p w14:paraId="11F81073" w14:textId="5E701F6A"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44" w:type="dxa"/>
            <w:tcBorders>
              <w:top w:val="nil"/>
              <w:left w:val="nil"/>
              <w:bottom w:val="single" w:sz="4" w:space="0" w:color="auto"/>
              <w:right w:val="single" w:sz="4" w:space="0" w:color="auto"/>
            </w:tcBorders>
            <w:shd w:val="clear" w:color="auto" w:fill="auto"/>
            <w:noWrap/>
            <w:vAlign w:val="bottom"/>
            <w:hideMark/>
          </w:tcPr>
          <w:p w14:paraId="749BD488" w14:textId="45F36FCA"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44" w:type="dxa"/>
            <w:tcBorders>
              <w:top w:val="nil"/>
              <w:left w:val="nil"/>
              <w:bottom w:val="single" w:sz="4" w:space="0" w:color="auto"/>
              <w:right w:val="single" w:sz="4" w:space="0" w:color="auto"/>
            </w:tcBorders>
            <w:shd w:val="clear" w:color="auto" w:fill="auto"/>
            <w:noWrap/>
            <w:vAlign w:val="bottom"/>
            <w:hideMark/>
          </w:tcPr>
          <w:p w14:paraId="19354D8F" w14:textId="563828D6"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2CED2D02" w14:textId="25210ADD"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44" w:type="dxa"/>
            <w:tcBorders>
              <w:top w:val="nil"/>
              <w:left w:val="nil"/>
              <w:bottom w:val="single" w:sz="4" w:space="0" w:color="auto"/>
              <w:right w:val="single" w:sz="4" w:space="0" w:color="auto"/>
            </w:tcBorders>
            <w:shd w:val="clear" w:color="auto" w:fill="auto"/>
            <w:noWrap/>
            <w:vAlign w:val="bottom"/>
            <w:hideMark/>
          </w:tcPr>
          <w:p w14:paraId="21E47933" w14:textId="4B52988D"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550A5A57" w14:textId="09362D6B"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44" w:type="dxa"/>
            <w:tcBorders>
              <w:top w:val="nil"/>
              <w:left w:val="nil"/>
              <w:bottom w:val="single" w:sz="4" w:space="0" w:color="auto"/>
              <w:right w:val="single" w:sz="4" w:space="0" w:color="auto"/>
            </w:tcBorders>
            <w:shd w:val="clear" w:color="auto" w:fill="auto"/>
            <w:noWrap/>
            <w:vAlign w:val="bottom"/>
            <w:hideMark/>
          </w:tcPr>
          <w:p w14:paraId="09389A05" w14:textId="051B15AF"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44" w:type="dxa"/>
            <w:tcBorders>
              <w:top w:val="nil"/>
              <w:left w:val="nil"/>
              <w:bottom w:val="single" w:sz="4" w:space="0" w:color="auto"/>
              <w:right w:val="single" w:sz="4" w:space="0" w:color="auto"/>
            </w:tcBorders>
            <w:shd w:val="clear" w:color="auto" w:fill="auto"/>
            <w:noWrap/>
            <w:vAlign w:val="bottom"/>
            <w:hideMark/>
          </w:tcPr>
          <w:p w14:paraId="5B796032" w14:textId="685C7A77"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5A6C48B6" w14:textId="4380374F"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44" w:type="dxa"/>
            <w:tcBorders>
              <w:top w:val="nil"/>
              <w:left w:val="nil"/>
              <w:bottom w:val="single" w:sz="4" w:space="0" w:color="auto"/>
              <w:right w:val="single" w:sz="4" w:space="0" w:color="auto"/>
            </w:tcBorders>
            <w:shd w:val="clear" w:color="auto" w:fill="auto"/>
            <w:noWrap/>
            <w:vAlign w:val="bottom"/>
            <w:hideMark/>
          </w:tcPr>
          <w:p w14:paraId="072E5333" w14:textId="4F8DD2A6"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44" w:type="dxa"/>
            <w:tcBorders>
              <w:top w:val="nil"/>
              <w:left w:val="nil"/>
              <w:bottom w:val="single" w:sz="4" w:space="0" w:color="auto"/>
              <w:right w:val="single" w:sz="4" w:space="0" w:color="auto"/>
            </w:tcBorders>
            <w:shd w:val="clear" w:color="auto" w:fill="auto"/>
            <w:noWrap/>
            <w:vAlign w:val="bottom"/>
            <w:hideMark/>
          </w:tcPr>
          <w:p w14:paraId="173A8048" w14:textId="6925D85A"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44" w:type="dxa"/>
            <w:tcBorders>
              <w:top w:val="nil"/>
              <w:left w:val="nil"/>
              <w:bottom w:val="single" w:sz="4" w:space="0" w:color="auto"/>
              <w:right w:val="single" w:sz="4" w:space="0" w:color="auto"/>
            </w:tcBorders>
            <w:shd w:val="clear" w:color="auto" w:fill="auto"/>
            <w:noWrap/>
            <w:vAlign w:val="bottom"/>
            <w:hideMark/>
          </w:tcPr>
          <w:p w14:paraId="3A57F8D6" w14:textId="096AACF9" w:rsidR="001F61FF" w:rsidRPr="00357869" w:rsidRDefault="001F61FF" w:rsidP="001F61FF">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75</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bl>
    <w:p w14:paraId="40760AE1" w14:textId="7D73CBFF" w:rsidR="00A34119" w:rsidRPr="00357869" w:rsidRDefault="00486A04" w:rsidP="00170159">
      <w:pPr>
        <w:pStyle w:val="Caption"/>
        <w:keepNext/>
        <w:jc w:val="both"/>
        <w:rPr>
          <w:rFonts w:ascii="Calibri" w:hAnsi="Calibri" w:cs="Calibri"/>
          <w:b w:val="0"/>
          <w:i/>
          <w:sz w:val="18"/>
          <w:lang w:val="en-US"/>
        </w:rPr>
      </w:pPr>
      <w:proofErr w:type="spellStart"/>
      <w:r w:rsidRPr="00357869">
        <w:rPr>
          <w:rFonts w:ascii="Calibri" w:hAnsi="Calibri" w:cs="Calibri"/>
          <w:b w:val="0"/>
          <w:sz w:val="18"/>
          <w:lang w:val="en-US"/>
        </w:rPr>
        <w:t>Kaynak</w:t>
      </w:r>
      <w:proofErr w:type="spellEnd"/>
      <w:r w:rsidRPr="00357869">
        <w:rPr>
          <w:rFonts w:ascii="Calibri" w:hAnsi="Calibri" w:cs="Calibri"/>
          <w:b w:val="0"/>
          <w:sz w:val="18"/>
          <w:lang w:val="en-US"/>
        </w:rPr>
        <w:t xml:space="preserve">: </w:t>
      </w:r>
      <w:proofErr w:type="spellStart"/>
      <w:r w:rsidRPr="00357869">
        <w:rPr>
          <w:rFonts w:ascii="Calibri" w:hAnsi="Calibri" w:cs="Calibri"/>
          <w:b w:val="0"/>
          <w:sz w:val="18"/>
          <w:lang w:val="en-US"/>
        </w:rPr>
        <w:t>Betam</w:t>
      </w:r>
      <w:proofErr w:type="spellEnd"/>
      <w:r w:rsidRPr="00357869">
        <w:rPr>
          <w:rFonts w:ascii="Calibri" w:hAnsi="Calibri" w:cs="Calibri"/>
          <w:b w:val="0"/>
          <w:sz w:val="18"/>
          <w:lang w:val="en-US"/>
        </w:rPr>
        <w:t xml:space="preserve">, HİA </w:t>
      </w:r>
      <w:proofErr w:type="spellStart"/>
      <w:r w:rsidRPr="00357869">
        <w:rPr>
          <w:rFonts w:ascii="Calibri" w:hAnsi="Calibri" w:cs="Calibri"/>
          <w:b w:val="0"/>
          <w:sz w:val="18"/>
          <w:lang w:val="en-US"/>
        </w:rPr>
        <w:t>mikro</w:t>
      </w:r>
      <w:proofErr w:type="spellEnd"/>
      <w:r w:rsidRPr="00357869">
        <w:rPr>
          <w:rFonts w:ascii="Calibri" w:hAnsi="Calibri" w:cs="Calibri"/>
          <w:b w:val="0"/>
          <w:sz w:val="18"/>
          <w:lang w:val="en-US"/>
        </w:rPr>
        <w:t xml:space="preserve"> veri 2005-2017</w:t>
      </w:r>
    </w:p>
    <w:p w14:paraId="3BF0B24F" w14:textId="3384B449" w:rsidR="00236224" w:rsidRPr="00357869" w:rsidRDefault="00BE65A0" w:rsidP="00564B86">
      <w:pPr>
        <w:jc w:val="both"/>
        <w:rPr>
          <w:rFonts w:ascii="Calibri" w:hAnsi="Calibri" w:cs="Calibri"/>
          <w:b/>
          <w:lang w:val="en-US"/>
        </w:rPr>
      </w:pPr>
      <w:r w:rsidRPr="00357869">
        <w:rPr>
          <w:rFonts w:ascii="Calibri" w:hAnsi="Calibri" w:cs="Calibri"/>
          <w:b/>
          <w:lang w:val="en-US"/>
        </w:rPr>
        <w:t xml:space="preserve">The gender gap in unemployment rates among the general high school graduates is high </w:t>
      </w:r>
    </w:p>
    <w:p w14:paraId="610FED3E" w14:textId="4BC41C31" w:rsidR="00597188" w:rsidRPr="00357869" w:rsidRDefault="00BE65A0" w:rsidP="00511A39">
      <w:pPr>
        <w:jc w:val="both"/>
        <w:rPr>
          <w:rFonts w:ascii="Calibri" w:hAnsi="Calibri" w:cs="Calibri"/>
          <w:lang w:val="en-US"/>
        </w:rPr>
      </w:pPr>
      <w:r w:rsidRPr="00357869">
        <w:rPr>
          <w:rFonts w:ascii="Calibri" w:hAnsi="Calibri" w:cs="Calibri"/>
          <w:color w:val="000000" w:themeColor="text1"/>
          <w:lang w:val="en-US"/>
        </w:rPr>
        <w:t xml:space="preserve">The gender gap in unemployment rates among the general high school graduates </w:t>
      </w:r>
      <w:r w:rsidR="00F91980" w:rsidRPr="00357869">
        <w:rPr>
          <w:rFonts w:ascii="Calibri" w:hAnsi="Calibri" w:cs="Calibri"/>
          <w:color w:val="000000" w:themeColor="text1"/>
          <w:lang w:val="en-US"/>
        </w:rPr>
        <w:t>stays stagnant at a sizeable level. The stability it displays is strikingly</w:t>
      </w:r>
      <w:r w:rsidRPr="00357869">
        <w:rPr>
          <w:rFonts w:ascii="Calibri" w:hAnsi="Calibri" w:cs="Calibri"/>
          <w:color w:val="000000" w:themeColor="text1"/>
          <w:lang w:val="en-US"/>
        </w:rPr>
        <w:t xml:space="preserve"> similar to that of workers without a high school </w:t>
      </w:r>
      <w:r w:rsidRPr="00357869">
        <w:rPr>
          <w:rFonts w:ascii="Calibri" w:hAnsi="Calibri" w:cs="Calibri"/>
          <w:color w:val="000000" w:themeColor="text1"/>
          <w:lang w:val="en-US"/>
        </w:rPr>
        <w:lastRenderedPageBreak/>
        <w:t xml:space="preserve">degree (Figure 4). The gender gap started around 13 points in 2005, decreased to 9.2 points in 2008, but rose to 11.7 points following the crisis. It stayed stagnant until 2017. The gender gap remains at 11.9 percentage points at the end of the period. Note that the female labor force participation rates of high school graduate women decreased more slowly compared to that of women with lower skill levels. The female LFPR stood at 27.2 percent in 2005, increased by 7.7 points to reach 34.9 percent in 2017. The sources of this increase need to be analyzed further. Similarly, the male LFPR also increased sharply from 67.3 percent to 73.5 percent. Yet, we underline that the increase in the female LFPR is not the reason behind the widening of the gender gap in unemployment rates in this education category.  </w:t>
      </w:r>
    </w:p>
    <w:p w14:paraId="3B0D41A2" w14:textId="4D00E20E" w:rsidR="00597188" w:rsidRPr="00357869" w:rsidRDefault="00ED538B" w:rsidP="00597188">
      <w:pPr>
        <w:pStyle w:val="Caption"/>
        <w:keepNext/>
        <w:jc w:val="both"/>
        <w:rPr>
          <w:rFonts w:ascii="Calibri" w:hAnsi="Calibri" w:cs="Calibri"/>
          <w:szCs w:val="22"/>
          <w:lang w:val="en-US"/>
        </w:rPr>
      </w:pPr>
      <w:r w:rsidRPr="00357869">
        <w:rPr>
          <w:rFonts w:ascii="Calibri" w:hAnsi="Calibri" w:cs="Calibri"/>
          <w:szCs w:val="22"/>
          <w:lang w:val="en-US"/>
        </w:rPr>
        <w:t>Figure</w:t>
      </w:r>
      <w:r w:rsidR="00961FB7" w:rsidRPr="00357869">
        <w:rPr>
          <w:rFonts w:ascii="Calibri" w:hAnsi="Calibri" w:cs="Calibri"/>
          <w:szCs w:val="22"/>
          <w:lang w:val="en-US"/>
        </w:rPr>
        <w:t xml:space="preserve"> 4</w:t>
      </w:r>
      <w:r w:rsidR="00597188" w:rsidRPr="00357869">
        <w:rPr>
          <w:rFonts w:ascii="Calibri" w:hAnsi="Calibri" w:cs="Calibri"/>
          <w:szCs w:val="22"/>
          <w:lang w:val="en-US"/>
        </w:rPr>
        <w:t xml:space="preserve">: </w:t>
      </w:r>
      <w:r w:rsidR="00511A39" w:rsidRPr="00357869">
        <w:rPr>
          <w:rFonts w:ascii="Calibri" w:hAnsi="Calibri" w:cs="Calibri"/>
          <w:szCs w:val="22"/>
          <w:lang w:val="en-US"/>
        </w:rPr>
        <w:t xml:space="preserve">The non-farm unemployment rates and the LFPR of general high school </w:t>
      </w:r>
      <w:r w:rsidR="00357869" w:rsidRPr="00357869">
        <w:rPr>
          <w:rFonts w:ascii="Calibri" w:hAnsi="Calibri" w:cs="Calibri"/>
          <w:szCs w:val="22"/>
          <w:lang w:val="en-US"/>
        </w:rPr>
        <w:t>graduates (</w:t>
      </w:r>
      <w:r w:rsidR="00511A39" w:rsidRPr="00357869">
        <w:rPr>
          <w:rFonts w:ascii="Calibri" w:hAnsi="Calibri" w:cs="Calibri"/>
          <w:szCs w:val="22"/>
          <w:lang w:val="en-US"/>
        </w:rPr>
        <w:t>%) (Ages 15-64</w:t>
      </w:r>
      <w:r w:rsidR="00597188" w:rsidRPr="00357869">
        <w:rPr>
          <w:rFonts w:ascii="Calibri" w:hAnsi="Calibri" w:cs="Calibri"/>
          <w:szCs w:val="22"/>
          <w:lang w:val="en-US"/>
        </w:rPr>
        <w:t>, 2005-2017)</w:t>
      </w:r>
    </w:p>
    <w:p w14:paraId="1ADD5AE0" w14:textId="5C06E7EA" w:rsidR="00486A04" w:rsidRPr="00357869" w:rsidRDefault="001B19FB" w:rsidP="00755DB2">
      <w:pPr>
        <w:tabs>
          <w:tab w:val="left" w:pos="3005"/>
        </w:tabs>
        <w:jc w:val="both"/>
        <w:rPr>
          <w:rFonts w:ascii="Calibri" w:hAnsi="Calibri" w:cs="Calibri"/>
          <w:b/>
          <w:lang w:val="en-US"/>
        </w:rPr>
      </w:pPr>
      <w:r w:rsidRPr="00357869">
        <w:rPr>
          <w:rFonts w:ascii="Calibri" w:hAnsi="Calibri" w:cs="Calibri"/>
          <w:noProof/>
          <w:lang w:eastAsia="en-GB"/>
        </w:rPr>
        <w:drawing>
          <wp:inline distT="0" distB="0" distL="0" distR="0" wp14:anchorId="0FFBF5C5" wp14:editId="154B8C0B">
            <wp:extent cx="6057900" cy="29908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173" w:type="dxa"/>
        <w:tblLook w:val="04A0" w:firstRow="1" w:lastRow="0" w:firstColumn="1" w:lastColumn="0" w:noHBand="0" w:noVBand="1"/>
      </w:tblPr>
      <w:tblGrid>
        <w:gridCol w:w="929"/>
        <w:gridCol w:w="663"/>
        <w:gridCol w:w="663"/>
        <w:gridCol w:w="663"/>
        <w:gridCol w:w="663"/>
        <w:gridCol w:w="663"/>
        <w:gridCol w:w="663"/>
        <w:gridCol w:w="663"/>
        <w:gridCol w:w="663"/>
        <w:gridCol w:w="663"/>
        <w:gridCol w:w="663"/>
        <w:gridCol w:w="663"/>
        <w:gridCol w:w="663"/>
        <w:gridCol w:w="663"/>
      </w:tblGrid>
      <w:tr w:rsidR="002D5E9C" w:rsidRPr="00357869" w14:paraId="496E4E81" w14:textId="77777777" w:rsidTr="002D5E9C">
        <w:trPr>
          <w:trHeight w:val="300"/>
        </w:trPr>
        <w:tc>
          <w:tcPr>
            <w:tcW w:w="918" w:type="dxa"/>
            <w:tcBorders>
              <w:top w:val="single" w:sz="4" w:space="0" w:color="auto"/>
              <w:left w:val="single" w:sz="4" w:space="0" w:color="auto"/>
              <w:bottom w:val="single" w:sz="4" w:space="0" w:color="auto"/>
              <w:right w:val="nil"/>
            </w:tcBorders>
            <w:shd w:val="clear" w:color="auto" w:fill="auto"/>
            <w:noWrap/>
            <w:vAlign w:val="bottom"/>
            <w:hideMark/>
          </w:tcPr>
          <w:p w14:paraId="2AAD8D7A" w14:textId="0D890A1C" w:rsidR="002D5E9C" w:rsidRPr="00357869" w:rsidRDefault="00CD129F"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 xml:space="preserve">LFPR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47FA"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67EB26AC"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337810E"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35ED77E"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87DDBB6"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F628DE9"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02EB17B6"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0FF96288"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6D45C4D6"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89D36E3"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324F60BB"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A3EBD9A"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3FC845A" w14:textId="7777777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r>
      <w:tr w:rsidR="002D5E9C" w:rsidRPr="00357869" w14:paraId="1C810999" w14:textId="77777777" w:rsidTr="002D5E9C">
        <w:trPr>
          <w:trHeight w:val="300"/>
        </w:trPr>
        <w:tc>
          <w:tcPr>
            <w:tcW w:w="918" w:type="dxa"/>
            <w:tcBorders>
              <w:top w:val="nil"/>
              <w:left w:val="single" w:sz="4" w:space="0" w:color="auto"/>
              <w:bottom w:val="nil"/>
              <w:right w:val="nil"/>
            </w:tcBorders>
            <w:shd w:val="clear" w:color="auto" w:fill="auto"/>
            <w:noWrap/>
            <w:vAlign w:val="bottom"/>
            <w:hideMark/>
          </w:tcPr>
          <w:p w14:paraId="27C69497" w14:textId="6061CCD2" w:rsidR="002D5E9C" w:rsidRPr="00357869" w:rsidRDefault="00FA2BDB"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Women</w:t>
            </w:r>
          </w:p>
        </w:tc>
        <w:tc>
          <w:tcPr>
            <w:tcW w:w="635" w:type="dxa"/>
            <w:tcBorders>
              <w:top w:val="nil"/>
              <w:left w:val="single" w:sz="4" w:space="0" w:color="auto"/>
              <w:bottom w:val="nil"/>
              <w:right w:val="single" w:sz="4" w:space="0" w:color="auto"/>
            </w:tcBorders>
            <w:shd w:val="clear" w:color="auto" w:fill="auto"/>
            <w:noWrap/>
            <w:vAlign w:val="bottom"/>
            <w:hideMark/>
          </w:tcPr>
          <w:p w14:paraId="083F23A6" w14:textId="1DD907CE"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35" w:type="dxa"/>
            <w:tcBorders>
              <w:top w:val="nil"/>
              <w:left w:val="nil"/>
              <w:bottom w:val="nil"/>
              <w:right w:val="single" w:sz="4" w:space="0" w:color="auto"/>
            </w:tcBorders>
            <w:shd w:val="clear" w:color="auto" w:fill="auto"/>
            <w:noWrap/>
            <w:vAlign w:val="bottom"/>
            <w:hideMark/>
          </w:tcPr>
          <w:p w14:paraId="79475305" w14:textId="5851E7E2"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35" w:type="dxa"/>
            <w:tcBorders>
              <w:top w:val="nil"/>
              <w:left w:val="nil"/>
              <w:bottom w:val="nil"/>
              <w:right w:val="single" w:sz="4" w:space="0" w:color="auto"/>
            </w:tcBorders>
            <w:shd w:val="clear" w:color="auto" w:fill="auto"/>
            <w:noWrap/>
            <w:vAlign w:val="bottom"/>
            <w:hideMark/>
          </w:tcPr>
          <w:p w14:paraId="4048DE1A" w14:textId="14913930"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35" w:type="dxa"/>
            <w:tcBorders>
              <w:top w:val="nil"/>
              <w:left w:val="nil"/>
              <w:bottom w:val="nil"/>
              <w:right w:val="single" w:sz="4" w:space="0" w:color="auto"/>
            </w:tcBorders>
            <w:shd w:val="clear" w:color="auto" w:fill="auto"/>
            <w:noWrap/>
            <w:vAlign w:val="bottom"/>
            <w:hideMark/>
          </w:tcPr>
          <w:p w14:paraId="467D6BE1" w14:textId="4D338B73"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35" w:type="dxa"/>
            <w:tcBorders>
              <w:top w:val="nil"/>
              <w:left w:val="nil"/>
              <w:bottom w:val="nil"/>
              <w:right w:val="single" w:sz="4" w:space="0" w:color="auto"/>
            </w:tcBorders>
            <w:shd w:val="clear" w:color="auto" w:fill="auto"/>
            <w:noWrap/>
            <w:vAlign w:val="bottom"/>
            <w:hideMark/>
          </w:tcPr>
          <w:p w14:paraId="54A067CF" w14:textId="4DB73284"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35" w:type="dxa"/>
            <w:tcBorders>
              <w:top w:val="nil"/>
              <w:left w:val="nil"/>
              <w:bottom w:val="nil"/>
              <w:right w:val="single" w:sz="4" w:space="0" w:color="auto"/>
            </w:tcBorders>
            <w:shd w:val="clear" w:color="auto" w:fill="auto"/>
            <w:noWrap/>
            <w:vAlign w:val="bottom"/>
            <w:hideMark/>
          </w:tcPr>
          <w:p w14:paraId="28BB5E92" w14:textId="620AACA3"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35" w:type="dxa"/>
            <w:tcBorders>
              <w:top w:val="nil"/>
              <w:left w:val="nil"/>
              <w:bottom w:val="nil"/>
              <w:right w:val="single" w:sz="4" w:space="0" w:color="auto"/>
            </w:tcBorders>
            <w:shd w:val="clear" w:color="auto" w:fill="auto"/>
            <w:noWrap/>
            <w:vAlign w:val="bottom"/>
            <w:hideMark/>
          </w:tcPr>
          <w:p w14:paraId="3727CFDF" w14:textId="3494074E"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35" w:type="dxa"/>
            <w:tcBorders>
              <w:top w:val="nil"/>
              <w:left w:val="nil"/>
              <w:bottom w:val="nil"/>
              <w:right w:val="single" w:sz="4" w:space="0" w:color="auto"/>
            </w:tcBorders>
            <w:shd w:val="clear" w:color="auto" w:fill="auto"/>
            <w:noWrap/>
            <w:vAlign w:val="bottom"/>
            <w:hideMark/>
          </w:tcPr>
          <w:p w14:paraId="0D5E66C5" w14:textId="5E9C9686"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35" w:type="dxa"/>
            <w:tcBorders>
              <w:top w:val="nil"/>
              <w:left w:val="nil"/>
              <w:bottom w:val="nil"/>
              <w:right w:val="single" w:sz="4" w:space="0" w:color="auto"/>
            </w:tcBorders>
            <w:shd w:val="clear" w:color="auto" w:fill="auto"/>
            <w:noWrap/>
            <w:vAlign w:val="bottom"/>
            <w:hideMark/>
          </w:tcPr>
          <w:p w14:paraId="7999555A" w14:textId="27E9F2AE"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35" w:type="dxa"/>
            <w:tcBorders>
              <w:top w:val="nil"/>
              <w:left w:val="nil"/>
              <w:bottom w:val="nil"/>
              <w:right w:val="single" w:sz="4" w:space="0" w:color="auto"/>
            </w:tcBorders>
            <w:shd w:val="clear" w:color="auto" w:fill="auto"/>
            <w:noWrap/>
            <w:vAlign w:val="bottom"/>
            <w:hideMark/>
          </w:tcPr>
          <w:p w14:paraId="0A6C49F8" w14:textId="576FD0CC"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35" w:type="dxa"/>
            <w:tcBorders>
              <w:top w:val="nil"/>
              <w:left w:val="nil"/>
              <w:bottom w:val="nil"/>
              <w:right w:val="single" w:sz="4" w:space="0" w:color="auto"/>
            </w:tcBorders>
            <w:shd w:val="clear" w:color="auto" w:fill="auto"/>
            <w:noWrap/>
            <w:vAlign w:val="bottom"/>
            <w:hideMark/>
          </w:tcPr>
          <w:p w14:paraId="775E74B3" w14:textId="4F55E966"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35" w:type="dxa"/>
            <w:tcBorders>
              <w:top w:val="nil"/>
              <w:left w:val="nil"/>
              <w:bottom w:val="nil"/>
              <w:right w:val="single" w:sz="4" w:space="0" w:color="auto"/>
            </w:tcBorders>
            <w:shd w:val="clear" w:color="auto" w:fill="auto"/>
            <w:noWrap/>
            <w:vAlign w:val="bottom"/>
            <w:hideMark/>
          </w:tcPr>
          <w:p w14:paraId="7DAFED69" w14:textId="2E378186"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35" w:type="dxa"/>
            <w:tcBorders>
              <w:top w:val="nil"/>
              <w:left w:val="nil"/>
              <w:bottom w:val="nil"/>
              <w:right w:val="single" w:sz="4" w:space="0" w:color="auto"/>
            </w:tcBorders>
            <w:shd w:val="clear" w:color="auto" w:fill="auto"/>
            <w:noWrap/>
            <w:vAlign w:val="bottom"/>
            <w:hideMark/>
          </w:tcPr>
          <w:p w14:paraId="6133D50C" w14:textId="584E6C40"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r w:rsidR="002D5E9C" w:rsidRPr="00357869" w14:paraId="406B6088" w14:textId="77777777" w:rsidTr="002D5E9C">
        <w:trPr>
          <w:trHeight w:val="300"/>
        </w:trPr>
        <w:tc>
          <w:tcPr>
            <w:tcW w:w="918" w:type="dxa"/>
            <w:tcBorders>
              <w:top w:val="nil"/>
              <w:left w:val="single" w:sz="4" w:space="0" w:color="auto"/>
              <w:bottom w:val="single" w:sz="4" w:space="0" w:color="auto"/>
              <w:right w:val="nil"/>
            </w:tcBorders>
            <w:shd w:val="clear" w:color="auto" w:fill="auto"/>
            <w:noWrap/>
            <w:vAlign w:val="bottom"/>
            <w:hideMark/>
          </w:tcPr>
          <w:p w14:paraId="1D59FD10" w14:textId="51EC7678" w:rsidR="002D5E9C" w:rsidRPr="00357869" w:rsidRDefault="00FA2BDB"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Men</w:t>
            </w: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204E176C" w14:textId="19AA763B"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35" w:type="dxa"/>
            <w:tcBorders>
              <w:top w:val="nil"/>
              <w:left w:val="nil"/>
              <w:bottom w:val="single" w:sz="4" w:space="0" w:color="auto"/>
              <w:right w:val="single" w:sz="4" w:space="0" w:color="auto"/>
            </w:tcBorders>
            <w:shd w:val="clear" w:color="auto" w:fill="auto"/>
            <w:noWrap/>
            <w:vAlign w:val="bottom"/>
            <w:hideMark/>
          </w:tcPr>
          <w:p w14:paraId="6EE53E15" w14:textId="32D491E1"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35" w:type="dxa"/>
            <w:tcBorders>
              <w:top w:val="nil"/>
              <w:left w:val="nil"/>
              <w:bottom w:val="single" w:sz="4" w:space="0" w:color="auto"/>
              <w:right w:val="single" w:sz="4" w:space="0" w:color="auto"/>
            </w:tcBorders>
            <w:shd w:val="clear" w:color="auto" w:fill="auto"/>
            <w:noWrap/>
            <w:vAlign w:val="bottom"/>
            <w:hideMark/>
          </w:tcPr>
          <w:p w14:paraId="6B8BA024" w14:textId="6C107F3A"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65</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35" w:type="dxa"/>
            <w:tcBorders>
              <w:top w:val="nil"/>
              <w:left w:val="nil"/>
              <w:bottom w:val="single" w:sz="4" w:space="0" w:color="auto"/>
              <w:right w:val="single" w:sz="4" w:space="0" w:color="auto"/>
            </w:tcBorders>
            <w:shd w:val="clear" w:color="auto" w:fill="auto"/>
            <w:noWrap/>
            <w:vAlign w:val="bottom"/>
            <w:hideMark/>
          </w:tcPr>
          <w:p w14:paraId="668B704C" w14:textId="70FE1E4C"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35" w:type="dxa"/>
            <w:tcBorders>
              <w:top w:val="nil"/>
              <w:left w:val="nil"/>
              <w:bottom w:val="single" w:sz="4" w:space="0" w:color="auto"/>
              <w:right w:val="single" w:sz="4" w:space="0" w:color="auto"/>
            </w:tcBorders>
            <w:shd w:val="clear" w:color="auto" w:fill="auto"/>
            <w:noWrap/>
            <w:vAlign w:val="bottom"/>
            <w:hideMark/>
          </w:tcPr>
          <w:p w14:paraId="0E60111E" w14:textId="43FE896C"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35" w:type="dxa"/>
            <w:tcBorders>
              <w:top w:val="nil"/>
              <w:left w:val="nil"/>
              <w:bottom w:val="single" w:sz="4" w:space="0" w:color="auto"/>
              <w:right w:val="single" w:sz="4" w:space="0" w:color="auto"/>
            </w:tcBorders>
            <w:shd w:val="clear" w:color="auto" w:fill="auto"/>
            <w:noWrap/>
            <w:vAlign w:val="bottom"/>
            <w:hideMark/>
          </w:tcPr>
          <w:p w14:paraId="167D68E5" w14:textId="46473F39"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35" w:type="dxa"/>
            <w:tcBorders>
              <w:top w:val="nil"/>
              <w:left w:val="nil"/>
              <w:bottom w:val="single" w:sz="4" w:space="0" w:color="auto"/>
              <w:right w:val="single" w:sz="4" w:space="0" w:color="auto"/>
            </w:tcBorders>
            <w:shd w:val="clear" w:color="auto" w:fill="auto"/>
            <w:noWrap/>
            <w:vAlign w:val="bottom"/>
            <w:hideMark/>
          </w:tcPr>
          <w:p w14:paraId="642DC71F" w14:textId="69C4D9EA"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635" w:type="dxa"/>
            <w:tcBorders>
              <w:top w:val="nil"/>
              <w:left w:val="nil"/>
              <w:bottom w:val="single" w:sz="4" w:space="0" w:color="auto"/>
              <w:right w:val="single" w:sz="4" w:space="0" w:color="auto"/>
            </w:tcBorders>
            <w:shd w:val="clear" w:color="auto" w:fill="auto"/>
            <w:noWrap/>
            <w:vAlign w:val="bottom"/>
            <w:hideMark/>
          </w:tcPr>
          <w:p w14:paraId="4B3CD75D" w14:textId="6150BFC4"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35" w:type="dxa"/>
            <w:tcBorders>
              <w:top w:val="nil"/>
              <w:left w:val="nil"/>
              <w:bottom w:val="single" w:sz="4" w:space="0" w:color="auto"/>
              <w:right w:val="single" w:sz="4" w:space="0" w:color="auto"/>
            </w:tcBorders>
            <w:shd w:val="clear" w:color="auto" w:fill="auto"/>
            <w:noWrap/>
            <w:vAlign w:val="bottom"/>
            <w:hideMark/>
          </w:tcPr>
          <w:p w14:paraId="781EE239" w14:textId="47C7DB30"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35" w:type="dxa"/>
            <w:tcBorders>
              <w:top w:val="nil"/>
              <w:left w:val="nil"/>
              <w:bottom w:val="single" w:sz="4" w:space="0" w:color="auto"/>
              <w:right w:val="single" w:sz="4" w:space="0" w:color="auto"/>
            </w:tcBorders>
            <w:shd w:val="clear" w:color="auto" w:fill="auto"/>
            <w:noWrap/>
            <w:vAlign w:val="bottom"/>
            <w:hideMark/>
          </w:tcPr>
          <w:p w14:paraId="53D9A3EF" w14:textId="3AB7CF27"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35" w:type="dxa"/>
            <w:tcBorders>
              <w:top w:val="nil"/>
              <w:left w:val="nil"/>
              <w:bottom w:val="single" w:sz="4" w:space="0" w:color="auto"/>
              <w:right w:val="single" w:sz="4" w:space="0" w:color="auto"/>
            </w:tcBorders>
            <w:shd w:val="clear" w:color="auto" w:fill="auto"/>
            <w:noWrap/>
            <w:vAlign w:val="bottom"/>
            <w:hideMark/>
          </w:tcPr>
          <w:p w14:paraId="5F72F225" w14:textId="75379D1B"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35" w:type="dxa"/>
            <w:tcBorders>
              <w:top w:val="nil"/>
              <w:left w:val="nil"/>
              <w:bottom w:val="single" w:sz="4" w:space="0" w:color="auto"/>
              <w:right w:val="single" w:sz="4" w:space="0" w:color="auto"/>
            </w:tcBorders>
            <w:shd w:val="clear" w:color="auto" w:fill="auto"/>
            <w:noWrap/>
            <w:vAlign w:val="bottom"/>
            <w:hideMark/>
          </w:tcPr>
          <w:p w14:paraId="57C06BFA" w14:textId="2F020F39"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35" w:type="dxa"/>
            <w:tcBorders>
              <w:top w:val="nil"/>
              <w:left w:val="nil"/>
              <w:bottom w:val="single" w:sz="4" w:space="0" w:color="auto"/>
              <w:right w:val="single" w:sz="4" w:space="0" w:color="auto"/>
            </w:tcBorders>
            <w:shd w:val="clear" w:color="auto" w:fill="auto"/>
            <w:noWrap/>
            <w:vAlign w:val="bottom"/>
            <w:hideMark/>
          </w:tcPr>
          <w:p w14:paraId="0BFB3D4D" w14:textId="3AD50589" w:rsidR="002D5E9C" w:rsidRPr="00357869" w:rsidRDefault="002D5E9C" w:rsidP="002D5E9C">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r>
    </w:tbl>
    <w:p w14:paraId="764DC4A8" w14:textId="5154FAE3" w:rsidR="00731082" w:rsidRPr="00357869" w:rsidRDefault="003E5ACA" w:rsidP="00285ECD">
      <w:pPr>
        <w:jc w:val="both"/>
        <w:rPr>
          <w:rFonts w:ascii="Calibri" w:hAnsi="Calibri" w:cs="Calibri"/>
          <w:sz w:val="18"/>
          <w:szCs w:val="18"/>
          <w:lang w:val="en-US"/>
        </w:rPr>
      </w:pPr>
      <w:r w:rsidRPr="00357869">
        <w:rPr>
          <w:rFonts w:ascii="Calibri" w:hAnsi="Calibri" w:cs="Calibri"/>
          <w:sz w:val="18"/>
          <w:szCs w:val="18"/>
          <w:lang w:val="en-US"/>
        </w:rPr>
        <w:t>Source</w:t>
      </w:r>
      <w:r w:rsidR="00486A04" w:rsidRPr="00357869">
        <w:rPr>
          <w:rFonts w:ascii="Calibri" w:hAnsi="Calibri" w:cs="Calibri"/>
          <w:sz w:val="18"/>
          <w:szCs w:val="18"/>
          <w:lang w:val="en-US"/>
        </w:rPr>
        <w:t xml:space="preserve">: </w:t>
      </w:r>
      <w:proofErr w:type="spellStart"/>
      <w:r w:rsidR="00486A04" w:rsidRPr="00357869">
        <w:rPr>
          <w:rFonts w:ascii="Calibri" w:hAnsi="Calibri" w:cs="Calibri"/>
          <w:sz w:val="18"/>
          <w:szCs w:val="18"/>
          <w:lang w:val="en-US"/>
        </w:rPr>
        <w:t>Betam</w:t>
      </w:r>
      <w:proofErr w:type="spellEnd"/>
      <w:r w:rsidR="00486A04" w:rsidRPr="00357869">
        <w:rPr>
          <w:rFonts w:ascii="Calibri" w:hAnsi="Calibri" w:cs="Calibri"/>
          <w:sz w:val="18"/>
          <w:szCs w:val="18"/>
          <w:lang w:val="en-US"/>
        </w:rPr>
        <w:t xml:space="preserve">, </w:t>
      </w:r>
      <w:r w:rsidRPr="00357869">
        <w:rPr>
          <w:rFonts w:ascii="Calibri" w:hAnsi="Calibri" w:cs="Calibri"/>
          <w:sz w:val="18"/>
          <w:szCs w:val="18"/>
          <w:lang w:val="en-US"/>
        </w:rPr>
        <w:t>HLFS micro data,</w:t>
      </w:r>
      <w:r w:rsidR="00486A04" w:rsidRPr="00357869">
        <w:rPr>
          <w:rFonts w:ascii="Calibri" w:hAnsi="Calibri" w:cs="Calibri"/>
          <w:sz w:val="18"/>
          <w:szCs w:val="18"/>
          <w:lang w:val="en-US"/>
        </w:rPr>
        <w:t xml:space="preserve"> 2005-2017</w:t>
      </w:r>
    </w:p>
    <w:p w14:paraId="0418C8D2" w14:textId="19104930" w:rsidR="00DF4A31" w:rsidRPr="00357869" w:rsidRDefault="00B8221C" w:rsidP="001618A5">
      <w:pPr>
        <w:jc w:val="both"/>
        <w:rPr>
          <w:rFonts w:ascii="Calibri" w:hAnsi="Calibri" w:cs="Calibri"/>
          <w:b/>
          <w:lang w:val="en-US"/>
        </w:rPr>
      </w:pPr>
      <w:r w:rsidRPr="00357869">
        <w:rPr>
          <w:rFonts w:ascii="Calibri" w:hAnsi="Calibri" w:cs="Calibri"/>
          <w:b/>
          <w:lang w:val="en-US"/>
        </w:rPr>
        <w:t>The gender gap in unemployment rates is high among vocational high school graduates as well</w:t>
      </w:r>
    </w:p>
    <w:p w14:paraId="20D480B2" w14:textId="76D815FF" w:rsidR="00B8221C" w:rsidRPr="00357869" w:rsidRDefault="00B8221C" w:rsidP="00170159">
      <w:pPr>
        <w:tabs>
          <w:tab w:val="left" w:pos="3005"/>
        </w:tabs>
        <w:jc w:val="both"/>
        <w:rPr>
          <w:rFonts w:ascii="Calibri" w:hAnsi="Calibri" w:cs="Calibri"/>
          <w:lang w:val="en-US"/>
        </w:rPr>
      </w:pPr>
      <w:r w:rsidRPr="00357869">
        <w:rPr>
          <w:rFonts w:ascii="Calibri" w:hAnsi="Calibri" w:cs="Calibri"/>
          <w:lang w:val="en-US"/>
        </w:rPr>
        <w:t xml:space="preserve">Another surprising finding of this research brief is the </w:t>
      </w:r>
      <w:r w:rsidR="00A80049" w:rsidRPr="00357869">
        <w:rPr>
          <w:rFonts w:ascii="Calibri" w:hAnsi="Calibri" w:cs="Calibri"/>
          <w:lang w:val="en-US"/>
        </w:rPr>
        <w:t>wider</w:t>
      </w:r>
      <w:r w:rsidRPr="00357869">
        <w:rPr>
          <w:rFonts w:ascii="Calibri" w:hAnsi="Calibri" w:cs="Calibri"/>
          <w:lang w:val="en-US"/>
        </w:rPr>
        <w:t xml:space="preserve"> gender gap in unemployment rates among the vocational high school graduates compared to the general high school graduates. </w:t>
      </w:r>
      <w:r w:rsidR="00A80049" w:rsidRPr="00357869">
        <w:rPr>
          <w:rFonts w:ascii="Calibri" w:hAnsi="Calibri" w:cs="Calibri"/>
          <w:lang w:val="en-US"/>
        </w:rPr>
        <w:t>The fact that the hi</w:t>
      </w:r>
      <w:r w:rsidR="00ED538B" w:rsidRPr="00357869">
        <w:rPr>
          <w:rFonts w:ascii="Calibri" w:hAnsi="Calibri" w:cs="Calibri"/>
          <w:lang w:val="en-US"/>
        </w:rPr>
        <w:t>ghest unemployment rate</w:t>
      </w:r>
      <w:r w:rsidR="00A80049" w:rsidRPr="00357869">
        <w:rPr>
          <w:rFonts w:ascii="Calibri" w:hAnsi="Calibri" w:cs="Calibri"/>
          <w:lang w:val="en-US"/>
        </w:rPr>
        <w:t xml:space="preserve"> among the vocational high school graduates</w:t>
      </w:r>
      <w:r w:rsidR="00D45408" w:rsidRPr="00357869">
        <w:rPr>
          <w:rFonts w:ascii="Calibri" w:hAnsi="Calibri" w:cs="Calibri"/>
          <w:lang w:val="en-US"/>
        </w:rPr>
        <w:t>,</w:t>
      </w:r>
      <w:r w:rsidR="00A80049" w:rsidRPr="00357869">
        <w:rPr>
          <w:rFonts w:ascii="Calibri" w:hAnsi="Calibri" w:cs="Calibri"/>
          <w:lang w:val="en-US"/>
        </w:rPr>
        <w:t xml:space="preserve"> is one of the reasons behind this finding. Secondly, note that the gender gap in unemployment rates are again stagnant </w:t>
      </w:r>
      <w:r w:rsidR="006B4FAE" w:rsidRPr="00357869">
        <w:rPr>
          <w:rFonts w:ascii="Calibri" w:hAnsi="Calibri" w:cs="Calibri"/>
          <w:lang w:val="en-US"/>
        </w:rPr>
        <w:t xml:space="preserve">across the period under study. </w:t>
      </w:r>
      <w:r w:rsidR="00607A8F" w:rsidRPr="00357869">
        <w:rPr>
          <w:rFonts w:ascii="Calibri" w:hAnsi="Calibri" w:cs="Calibri"/>
          <w:lang w:val="en-US"/>
        </w:rPr>
        <w:t xml:space="preserve">The difference of 13.5 points in 2005 increased to 13.6 points during the crisis, and decreased only to 12.2 percent </w:t>
      </w:r>
      <w:r w:rsidR="00773EDB" w:rsidRPr="00357869">
        <w:rPr>
          <w:rFonts w:ascii="Calibri" w:hAnsi="Calibri" w:cs="Calibri"/>
          <w:lang w:val="en-US"/>
        </w:rPr>
        <w:t xml:space="preserve">in 2017 (Figure 5). </w:t>
      </w:r>
    </w:p>
    <w:p w14:paraId="506854E2" w14:textId="4DA14BAE" w:rsidR="005B5E46" w:rsidRPr="00357869" w:rsidRDefault="0071476F" w:rsidP="004870F6">
      <w:pPr>
        <w:tabs>
          <w:tab w:val="left" w:pos="3005"/>
        </w:tabs>
        <w:jc w:val="both"/>
        <w:rPr>
          <w:rFonts w:ascii="Calibri" w:hAnsi="Calibri" w:cs="Calibri"/>
          <w:lang w:val="en-US"/>
        </w:rPr>
      </w:pPr>
      <w:r w:rsidRPr="00357869">
        <w:rPr>
          <w:rFonts w:ascii="Calibri" w:hAnsi="Calibri" w:cs="Calibri"/>
          <w:lang w:val="en-US"/>
        </w:rPr>
        <w:t xml:space="preserve">On the other hand, the female LFPR of vocational high school graduate women follows a similar trend to that of high school graduates. The female LFPR increased from 37.7 at the beginning of the period to reach 43.8 percent at the end, amounting to an increase of 6.1 points. Nevertheless, </w:t>
      </w:r>
      <w:r w:rsidR="001948D5" w:rsidRPr="00357869">
        <w:rPr>
          <w:rFonts w:ascii="Calibri" w:hAnsi="Calibri" w:cs="Calibri"/>
          <w:lang w:val="en-US"/>
        </w:rPr>
        <w:t>it is clear that the female LFPR is higher among the vocational high school graduates compared to those who are general high school graduates, at around 9</w:t>
      </w:r>
      <w:r w:rsidR="002C5C1A" w:rsidRPr="00357869">
        <w:rPr>
          <w:rFonts w:ascii="Calibri" w:hAnsi="Calibri" w:cs="Calibri"/>
          <w:lang w:val="en-US"/>
        </w:rPr>
        <w:t xml:space="preserve"> percentage</w:t>
      </w:r>
      <w:r w:rsidR="001948D5" w:rsidRPr="00357869">
        <w:rPr>
          <w:rFonts w:ascii="Calibri" w:hAnsi="Calibri" w:cs="Calibri"/>
          <w:lang w:val="en-US"/>
        </w:rPr>
        <w:t xml:space="preserve"> points. </w:t>
      </w:r>
      <w:r w:rsidR="004870F6" w:rsidRPr="00357869">
        <w:rPr>
          <w:rFonts w:ascii="Calibri" w:hAnsi="Calibri" w:cs="Calibri"/>
          <w:lang w:val="en-US"/>
        </w:rPr>
        <w:t xml:space="preserve">This finding indicates that the vocational high schools may provide skills that are more compatible with the labor market relative to the general </w:t>
      </w:r>
      <w:r w:rsidR="004870F6" w:rsidRPr="00357869">
        <w:rPr>
          <w:rFonts w:ascii="Calibri" w:hAnsi="Calibri" w:cs="Calibri"/>
          <w:lang w:val="en-US"/>
        </w:rPr>
        <w:lastRenderedPageBreak/>
        <w:t xml:space="preserve">high schools. Yet the unemployment rates are not lower. As for the men, the LFPR in this education category are relatively high (above 80 percent), yet the unemployment rates are not really different than those of general high school graduates. </w:t>
      </w:r>
      <w:r w:rsidR="00304A16" w:rsidRPr="00357869">
        <w:rPr>
          <w:rFonts w:ascii="Calibri" w:hAnsi="Calibri" w:cs="Calibri"/>
          <w:lang w:val="en-US"/>
        </w:rPr>
        <w:t xml:space="preserve">The data indicates that the problem lies not in the insufficient number of vocational high schools, but in the fact that the training provided does not translate to marketable skills, particularly among women. </w:t>
      </w:r>
    </w:p>
    <w:p w14:paraId="0BFCB686" w14:textId="60D2B852" w:rsidR="00E146B8" w:rsidRPr="00357869" w:rsidRDefault="00FF4F54" w:rsidP="00E146B8">
      <w:pPr>
        <w:pStyle w:val="Caption"/>
        <w:keepNext/>
        <w:jc w:val="both"/>
        <w:rPr>
          <w:rFonts w:ascii="Calibri" w:hAnsi="Calibri" w:cs="Calibri"/>
          <w:szCs w:val="22"/>
          <w:lang w:val="en-US"/>
        </w:rPr>
      </w:pPr>
      <w:r w:rsidRPr="00357869">
        <w:rPr>
          <w:rFonts w:ascii="Calibri" w:hAnsi="Calibri" w:cs="Calibri"/>
          <w:szCs w:val="22"/>
          <w:lang w:val="en-US"/>
        </w:rPr>
        <w:t>Figure</w:t>
      </w:r>
      <w:r w:rsidR="00E146B8" w:rsidRPr="00357869">
        <w:rPr>
          <w:rFonts w:ascii="Calibri" w:hAnsi="Calibri" w:cs="Calibri"/>
          <w:szCs w:val="22"/>
          <w:lang w:val="en-US"/>
        </w:rPr>
        <w:t xml:space="preserve"> </w:t>
      </w:r>
      <w:r w:rsidR="00961FB7" w:rsidRPr="00357869">
        <w:rPr>
          <w:rFonts w:ascii="Calibri" w:hAnsi="Calibri" w:cs="Calibri"/>
          <w:szCs w:val="22"/>
          <w:lang w:val="en-US"/>
        </w:rPr>
        <w:t>5</w:t>
      </w:r>
      <w:r w:rsidR="00E146B8" w:rsidRPr="00357869">
        <w:rPr>
          <w:rFonts w:ascii="Calibri" w:hAnsi="Calibri" w:cs="Calibri"/>
          <w:szCs w:val="22"/>
          <w:lang w:val="en-US"/>
        </w:rPr>
        <w:t xml:space="preserve">:  </w:t>
      </w:r>
      <w:r w:rsidR="00643C76" w:rsidRPr="00357869">
        <w:rPr>
          <w:rFonts w:ascii="Calibri" w:hAnsi="Calibri" w:cs="Calibri"/>
          <w:szCs w:val="22"/>
          <w:lang w:val="en-US"/>
        </w:rPr>
        <w:t xml:space="preserve">The non-farm unemployment rates and LFPR among vocational high school graduates </w:t>
      </w:r>
      <w:r w:rsidR="00E146B8" w:rsidRPr="00357869">
        <w:rPr>
          <w:rFonts w:ascii="Calibri" w:hAnsi="Calibri" w:cs="Calibri"/>
          <w:szCs w:val="22"/>
          <w:lang w:val="en-US"/>
        </w:rPr>
        <w:t>(%) (</w:t>
      </w:r>
      <w:r w:rsidR="00643C76" w:rsidRPr="00357869">
        <w:rPr>
          <w:rFonts w:ascii="Calibri" w:hAnsi="Calibri" w:cs="Calibri"/>
          <w:szCs w:val="22"/>
          <w:lang w:val="en-US"/>
        </w:rPr>
        <w:t xml:space="preserve">Age </w:t>
      </w:r>
      <w:r w:rsidR="00E146B8" w:rsidRPr="00357869">
        <w:rPr>
          <w:rFonts w:ascii="Calibri" w:hAnsi="Calibri" w:cs="Calibri"/>
          <w:szCs w:val="22"/>
          <w:lang w:val="en-US"/>
        </w:rPr>
        <w:t>15-64, 2005-2017)</w:t>
      </w:r>
    </w:p>
    <w:p w14:paraId="7BC60A39" w14:textId="77788D83" w:rsidR="00486A04" w:rsidRPr="00357869" w:rsidRDefault="00780A15" w:rsidP="00170159">
      <w:pPr>
        <w:jc w:val="both"/>
        <w:rPr>
          <w:rFonts w:ascii="Calibri" w:hAnsi="Calibri" w:cs="Calibri"/>
          <w:lang w:val="en-US"/>
        </w:rPr>
      </w:pPr>
      <w:r w:rsidRPr="00357869">
        <w:rPr>
          <w:rFonts w:ascii="Calibri" w:hAnsi="Calibri" w:cs="Calibri"/>
          <w:noProof/>
          <w:lang w:eastAsia="en-GB"/>
        </w:rPr>
        <w:drawing>
          <wp:inline distT="0" distB="0" distL="0" distR="0" wp14:anchorId="66D9C968" wp14:editId="57EEAC22">
            <wp:extent cx="6134100" cy="29337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596" w:type="dxa"/>
        <w:tblLook w:val="04A0" w:firstRow="1" w:lastRow="0" w:firstColumn="1" w:lastColumn="0" w:noHBand="0" w:noVBand="1"/>
      </w:tblPr>
      <w:tblGrid>
        <w:gridCol w:w="977"/>
        <w:gridCol w:w="663"/>
        <w:gridCol w:w="663"/>
        <w:gridCol w:w="663"/>
        <w:gridCol w:w="663"/>
        <w:gridCol w:w="663"/>
        <w:gridCol w:w="663"/>
        <w:gridCol w:w="663"/>
        <w:gridCol w:w="663"/>
        <w:gridCol w:w="663"/>
        <w:gridCol w:w="663"/>
        <w:gridCol w:w="663"/>
        <w:gridCol w:w="663"/>
        <w:gridCol w:w="663"/>
      </w:tblGrid>
      <w:tr w:rsidR="006F27E5" w:rsidRPr="00357869" w14:paraId="4F0F7781" w14:textId="77777777" w:rsidTr="00A15F5C">
        <w:trPr>
          <w:trHeight w:val="300"/>
        </w:trPr>
        <w:tc>
          <w:tcPr>
            <w:tcW w:w="977" w:type="dxa"/>
            <w:tcBorders>
              <w:top w:val="single" w:sz="4" w:space="0" w:color="auto"/>
              <w:left w:val="single" w:sz="4" w:space="0" w:color="auto"/>
              <w:bottom w:val="single" w:sz="4" w:space="0" w:color="auto"/>
              <w:right w:val="nil"/>
            </w:tcBorders>
            <w:shd w:val="clear" w:color="auto" w:fill="auto"/>
            <w:noWrap/>
            <w:vAlign w:val="bottom"/>
            <w:hideMark/>
          </w:tcPr>
          <w:p w14:paraId="37F57D83" w14:textId="31C01BB9" w:rsidR="006F27E5" w:rsidRPr="00357869" w:rsidRDefault="004000A8"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LFPR</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CD704"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631A43F"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976DF07"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056D6B9"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E78667A"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C00260B"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CC05807"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9FDCAD3"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85AE907"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2AA8C5B"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3D75E98"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854B767"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50C9727" w14:textId="7777777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r>
      <w:tr w:rsidR="006F27E5" w:rsidRPr="00357869" w14:paraId="03EA9509" w14:textId="77777777" w:rsidTr="00A15F5C">
        <w:trPr>
          <w:trHeight w:val="300"/>
        </w:trPr>
        <w:tc>
          <w:tcPr>
            <w:tcW w:w="977" w:type="dxa"/>
            <w:tcBorders>
              <w:top w:val="nil"/>
              <w:left w:val="single" w:sz="4" w:space="0" w:color="auto"/>
              <w:bottom w:val="nil"/>
              <w:right w:val="nil"/>
            </w:tcBorders>
            <w:shd w:val="clear" w:color="auto" w:fill="auto"/>
            <w:noWrap/>
            <w:vAlign w:val="bottom"/>
            <w:hideMark/>
          </w:tcPr>
          <w:p w14:paraId="1F685C84" w14:textId="2DBF33BD" w:rsidR="006F27E5" w:rsidRPr="00357869" w:rsidRDefault="004000A8" w:rsidP="004000A8">
            <w:pPr>
              <w:spacing w:after="0" w:line="240" w:lineRule="auto"/>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 xml:space="preserve">Women </w:t>
            </w:r>
          </w:p>
        </w:tc>
        <w:tc>
          <w:tcPr>
            <w:tcW w:w="663" w:type="dxa"/>
            <w:tcBorders>
              <w:top w:val="nil"/>
              <w:left w:val="single" w:sz="4" w:space="0" w:color="auto"/>
              <w:bottom w:val="nil"/>
              <w:right w:val="single" w:sz="4" w:space="0" w:color="auto"/>
            </w:tcBorders>
            <w:shd w:val="clear" w:color="auto" w:fill="auto"/>
            <w:noWrap/>
            <w:vAlign w:val="bottom"/>
            <w:hideMark/>
          </w:tcPr>
          <w:p w14:paraId="01B206D4" w14:textId="28EE390D"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63" w:type="dxa"/>
            <w:tcBorders>
              <w:top w:val="nil"/>
              <w:left w:val="nil"/>
              <w:bottom w:val="nil"/>
              <w:right w:val="single" w:sz="4" w:space="0" w:color="auto"/>
            </w:tcBorders>
            <w:shd w:val="clear" w:color="auto" w:fill="auto"/>
            <w:noWrap/>
            <w:vAlign w:val="bottom"/>
            <w:hideMark/>
          </w:tcPr>
          <w:p w14:paraId="25BCA272" w14:textId="272779D2"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3" w:type="dxa"/>
            <w:tcBorders>
              <w:top w:val="nil"/>
              <w:left w:val="nil"/>
              <w:bottom w:val="nil"/>
              <w:right w:val="single" w:sz="4" w:space="0" w:color="auto"/>
            </w:tcBorders>
            <w:shd w:val="clear" w:color="auto" w:fill="auto"/>
            <w:noWrap/>
            <w:vAlign w:val="bottom"/>
            <w:hideMark/>
          </w:tcPr>
          <w:p w14:paraId="50B0C86E" w14:textId="34FE6D71"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3" w:type="dxa"/>
            <w:tcBorders>
              <w:top w:val="nil"/>
              <w:left w:val="nil"/>
              <w:bottom w:val="nil"/>
              <w:right w:val="single" w:sz="4" w:space="0" w:color="auto"/>
            </w:tcBorders>
            <w:shd w:val="clear" w:color="auto" w:fill="auto"/>
            <w:noWrap/>
            <w:vAlign w:val="bottom"/>
            <w:hideMark/>
          </w:tcPr>
          <w:p w14:paraId="29060CB6" w14:textId="235DD6FD"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3" w:type="dxa"/>
            <w:tcBorders>
              <w:top w:val="nil"/>
              <w:left w:val="nil"/>
              <w:bottom w:val="nil"/>
              <w:right w:val="single" w:sz="4" w:space="0" w:color="auto"/>
            </w:tcBorders>
            <w:shd w:val="clear" w:color="auto" w:fill="auto"/>
            <w:noWrap/>
            <w:vAlign w:val="bottom"/>
            <w:hideMark/>
          </w:tcPr>
          <w:p w14:paraId="68227968" w14:textId="383AD6D3"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63" w:type="dxa"/>
            <w:tcBorders>
              <w:top w:val="nil"/>
              <w:left w:val="nil"/>
              <w:bottom w:val="nil"/>
              <w:right w:val="single" w:sz="4" w:space="0" w:color="auto"/>
            </w:tcBorders>
            <w:shd w:val="clear" w:color="auto" w:fill="auto"/>
            <w:noWrap/>
            <w:vAlign w:val="bottom"/>
            <w:hideMark/>
          </w:tcPr>
          <w:p w14:paraId="0D987C14" w14:textId="51C36E6A"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63" w:type="dxa"/>
            <w:tcBorders>
              <w:top w:val="nil"/>
              <w:left w:val="nil"/>
              <w:bottom w:val="nil"/>
              <w:right w:val="single" w:sz="4" w:space="0" w:color="auto"/>
            </w:tcBorders>
            <w:shd w:val="clear" w:color="auto" w:fill="auto"/>
            <w:noWrap/>
            <w:vAlign w:val="bottom"/>
            <w:hideMark/>
          </w:tcPr>
          <w:p w14:paraId="2DDCB0F5" w14:textId="45648EA4"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63" w:type="dxa"/>
            <w:tcBorders>
              <w:top w:val="nil"/>
              <w:left w:val="nil"/>
              <w:bottom w:val="nil"/>
              <w:right w:val="single" w:sz="4" w:space="0" w:color="auto"/>
            </w:tcBorders>
            <w:shd w:val="clear" w:color="auto" w:fill="auto"/>
            <w:noWrap/>
            <w:vAlign w:val="bottom"/>
            <w:hideMark/>
          </w:tcPr>
          <w:p w14:paraId="067D687F" w14:textId="31CC649D"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63" w:type="dxa"/>
            <w:tcBorders>
              <w:top w:val="nil"/>
              <w:left w:val="nil"/>
              <w:bottom w:val="nil"/>
              <w:right w:val="single" w:sz="4" w:space="0" w:color="auto"/>
            </w:tcBorders>
            <w:shd w:val="clear" w:color="auto" w:fill="auto"/>
            <w:noWrap/>
            <w:vAlign w:val="bottom"/>
            <w:hideMark/>
          </w:tcPr>
          <w:p w14:paraId="141E7A2D" w14:textId="749E38F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63" w:type="dxa"/>
            <w:tcBorders>
              <w:top w:val="nil"/>
              <w:left w:val="nil"/>
              <w:bottom w:val="nil"/>
              <w:right w:val="single" w:sz="4" w:space="0" w:color="auto"/>
            </w:tcBorders>
            <w:shd w:val="clear" w:color="auto" w:fill="auto"/>
            <w:noWrap/>
            <w:vAlign w:val="bottom"/>
            <w:hideMark/>
          </w:tcPr>
          <w:p w14:paraId="7041C000" w14:textId="0D3AD5C9"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63" w:type="dxa"/>
            <w:tcBorders>
              <w:top w:val="nil"/>
              <w:left w:val="nil"/>
              <w:bottom w:val="nil"/>
              <w:right w:val="single" w:sz="4" w:space="0" w:color="auto"/>
            </w:tcBorders>
            <w:shd w:val="clear" w:color="auto" w:fill="auto"/>
            <w:noWrap/>
            <w:vAlign w:val="bottom"/>
            <w:hideMark/>
          </w:tcPr>
          <w:p w14:paraId="256FADEC" w14:textId="13BC5042"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63" w:type="dxa"/>
            <w:tcBorders>
              <w:top w:val="nil"/>
              <w:left w:val="nil"/>
              <w:bottom w:val="nil"/>
              <w:right w:val="single" w:sz="4" w:space="0" w:color="auto"/>
            </w:tcBorders>
            <w:shd w:val="clear" w:color="auto" w:fill="auto"/>
            <w:noWrap/>
            <w:vAlign w:val="bottom"/>
            <w:hideMark/>
          </w:tcPr>
          <w:p w14:paraId="486FFC31" w14:textId="04068F0A"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63" w:type="dxa"/>
            <w:tcBorders>
              <w:top w:val="nil"/>
              <w:left w:val="nil"/>
              <w:bottom w:val="nil"/>
              <w:right w:val="single" w:sz="4" w:space="0" w:color="auto"/>
            </w:tcBorders>
            <w:shd w:val="clear" w:color="auto" w:fill="auto"/>
            <w:noWrap/>
            <w:vAlign w:val="bottom"/>
            <w:hideMark/>
          </w:tcPr>
          <w:p w14:paraId="0B2ACC41" w14:textId="3BD8599B"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6F27E5" w:rsidRPr="00357869" w14:paraId="6D92387F" w14:textId="77777777" w:rsidTr="00A15F5C">
        <w:trPr>
          <w:trHeight w:val="300"/>
        </w:trPr>
        <w:tc>
          <w:tcPr>
            <w:tcW w:w="977" w:type="dxa"/>
            <w:tcBorders>
              <w:top w:val="nil"/>
              <w:left w:val="single" w:sz="4" w:space="0" w:color="auto"/>
              <w:bottom w:val="single" w:sz="4" w:space="0" w:color="auto"/>
              <w:right w:val="nil"/>
            </w:tcBorders>
            <w:shd w:val="clear" w:color="auto" w:fill="auto"/>
            <w:noWrap/>
            <w:vAlign w:val="bottom"/>
            <w:hideMark/>
          </w:tcPr>
          <w:p w14:paraId="59642F51" w14:textId="6CC145D9" w:rsidR="006F27E5" w:rsidRPr="00357869" w:rsidRDefault="004000A8"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Men</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73782757" w14:textId="6C770DFB"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63" w:type="dxa"/>
            <w:tcBorders>
              <w:top w:val="nil"/>
              <w:left w:val="nil"/>
              <w:bottom w:val="single" w:sz="4" w:space="0" w:color="auto"/>
              <w:right w:val="single" w:sz="4" w:space="0" w:color="auto"/>
            </w:tcBorders>
            <w:shd w:val="clear" w:color="auto" w:fill="auto"/>
            <w:noWrap/>
            <w:vAlign w:val="bottom"/>
            <w:hideMark/>
          </w:tcPr>
          <w:p w14:paraId="638A2A8A" w14:textId="3BEE1E9E"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663" w:type="dxa"/>
            <w:tcBorders>
              <w:top w:val="nil"/>
              <w:left w:val="nil"/>
              <w:bottom w:val="single" w:sz="4" w:space="0" w:color="auto"/>
              <w:right w:val="single" w:sz="4" w:space="0" w:color="auto"/>
            </w:tcBorders>
            <w:shd w:val="clear" w:color="auto" w:fill="auto"/>
            <w:noWrap/>
            <w:vAlign w:val="bottom"/>
            <w:hideMark/>
          </w:tcPr>
          <w:p w14:paraId="468EECBD" w14:textId="1C41D436"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63" w:type="dxa"/>
            <w:tcBorders>
              <w:top w:val="nil"/>
              <w:left w:val="nil"/>
              <w:bottom w:val="single" w:sz="4" w:space="0" w:color="auto"/>
              <w:right w:val="single" w:sz="4" w:space="0" w:color="auto"/>
            </w:tcBorders>
            <w:shd w:val="clear" w:color="auto" w:fill="auto"/>
            <w:noWrap/>
            <w:vAlign w:val="bottom"/>
            <w:hideMark/>
          </w:tcPr>
          <w:p w14:paraId="741CEB1E" w14:textId="7D247B30"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1474E3A6" w14:textId="67235AAA"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663" w:type="dxa"/>
            <w:tcBorders>
              <w:top w:val="nil"/>
              <w:left w:val="nil"/>
              <w:bottom w:val="single" w:sz="4" w:space="0" w:color="auto"/>
              <w:right w:val="single" w:sz="4" w:space="0" w:color="auto"/>
            </w:tcBorders>
            <w:shd w:val="clear" w:color="auto" w:fill="auto"/>
            <w:noWrap/>
            <w:vAlign w:val="bottom"/>
            <w:hideMark/>
          </w:tcPr>
          <w:p w14:paraId="634E139F" w14:textId="65197348"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5539D11" w14:textId="72300D01"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33BD7B01" w14:textId="37480AC5"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0724A970" w14:textId="4C8A929F"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484D986" w14:textId="3FACAA3E"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1799A720" w14:textId="0BE73490"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63" w:type="dxa"/>
            <w:tcBorders>
              <w:top w:val="nil"/>
              <w:left w:val="nil"/>
              <w:bottom w:val="single" w:sz="4" w:space="0" w:color="auto"/>
              <w:right w:val="single" w:sz="4" w:space="0" w:color="auto"/>
            </w:tcBorders>
            <w:shd w:val="clear" w:color="auto" w:fill="auto"/>
            <w:noWrap/>
            <w:vAlign w:val="bottom"/>
            <w:hideMark/>
          </w:tcPr>
          <w:p w14:paraId="7CAD2800" w14:textId="61098D97"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63" w:type="dxa"/>
            <w:tcBorders>
              <w:top w:val="nil"/>
              <w:left w:val="nil"/>
              <w:bottom w:val="single" w:sz="4" w:space="0" w:color="auto"/>
              <w:right w:val="single" w:sz="4" w:space="0" w:color="auto"/>
            </w:tcBorders>
            <w:shd w:val="clear" w:color="auto" w:fill="auto"/>
            <w:noWrap/>
            <w:vAlign w:val="bottom"/>
            <w:hideMark/>
          </w:tcPr>
          <w:p w14:paraId="19E47CBE" w14:textId="2ED8E1A5" w:rsidR="006F27E5" w:rsidRPr="00357869" w:rsidRDefault="006F27E5" w:rsidP="006F27E5">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r>
    </w:tbl>
    <w:p w14:paraId="7E0E1F52" w14:textId="5E883660" w:rsidR="00755DB2" w:rsidRPr="00357869" w:rsidRDefault="00A15F5C" w:rsidP="008F6B16">
      <w:pPr>
        <w:jc w:val="both"/>
        <w:rPr>
          <w:rFonts w:ascii="Calibri" w:hAnsi="Calibri" w:cs="Calibri"/>
          <w:sz w:val="18"/>
          <w:szCs w:val="18"/>
          <w:lang w:val="en-US"/>
        </w:r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Pr="00357869">
        <w:rPr>
          <w:rFonts w:ascii="Calibri" w:hAnsi="Calibri" w:cs="Calibri"/>
          <w:sz w:val="18"/>
          <w:szCs w:val="18"/>
          <w:lang w:val="en-US"/>
        </w:rPr>
        <w:t>, HLFS micro data, 2005-2017</w:t>
      </w:r>
    </w:p>
    <w:p w14:paraId="5576073F" w14:textId="1CE03C87" w:rsidR="00B95CEE" w:rsidRPr="00357869" w:rsidRDefault="00644012" w:rsidP="00170159">
      <w:pPr>
        <w:tabs>
          <w:tab w:val="left" w:pos="3005"/>
        </w:tabs>
        <w:jc w:val="both"/>
        <w:rPr>
          <w:rFonts w:ascii="Calibri" w:hAnsi="Calibri" w:cs="Calibri"/>
          <w:b/>
          <w:lang w:val="en-US"/>
        </w:rPr>
      </w:pPr>
      <w:r w:rsidRPr="00357869">
        <w:rPr>
          <w:rFonts w:ascii="Calibri" w:hAnsi="Calibri" w:cs="Calibri"/>
          <w:b/>
          <w:lang w:val="en-US"/>
        </w:rPr>
        <w:t>Worrying</w:t>
      </w:r>
      <w:r w:rsidR="00D62C64" w:rsidRPr="00357869">
        <w:rPr>
          <w:rFonts w:ascii="Calibri" w:hAnsi="Calibri" w:cs="Calibri"/>
          <w:b/>
          <w:lang w:val="en-US"/>
        </w:rPr>
        <w:t xml:space="preserve"> increase in the unemployment rates among the college graduates </w:t>
      </w:r>
    </w:p>
    <w:p w14:paraId="0B45470C" w14:textId="0697BFAD" w:rsidR="00D23D47" w:rsidRPr="00357869" w:rsidRDefault="00644012" w:rsidP="00751DAA">
      <w:pPr>
        <w:tabs>
          <w:tab w:val="left" w:pos="3005"/>
        </w:tabs>
        <w:jc w:val="both"/>
        <w:rPr>
          <w:rFonts w:ascii="Calibri" w:hAnsi="Calibri" w:cs="Calibri"/>
          <w:lang w:val="en-US"/>
        </w:rPr>
      </w:pPr>
      <w:r w:rsidRPr="00357869">
        <w:rPr>
          <w:rFonts w:ascii="Calibri" w:hAnsi="Calibri" w:cs="Calibri"/>
          <w:lang w:val="en-US"/>
        </w:rPr>
        <w:t xml:space="preserve">A look </w:t>
      </w:r>
      <w:r w:rsidR="00F50095" w:rsidRPr="00357869">
        <w:rPr>
          <w:rFonts w:ascii="Calibri" w:hAnsi="Calibri" w:cs="Calibri"/>
          <w:lang w:val="en-US"/>
        </w:rPr>
        <w:t xml:space="preserve">at the gender gap in unemployment rates by education level, </w:t>
      </w:r>
      <w:r w:rsidRPr="00357869">
        <w:rPr>
          <w:rFonts w:ascii="Calibri" w:hAnsi="Calibri" w:cs="Calibri"/>
          <w:lang w:val="en-US"/>
        </w:rPr>
        <w:t>reveals that the unemployment rates</w:t>
      </w:r>
      <w:r w:rsidR="00F50095" w:rsidRPr="00357869">
        <w:rPr>
          <w:rFonts w:ascii="Calibri" w:hAnsi="Calibri" w:cs="Calibri"/>
          <w:lang w:val="en-US"/>
        </w:rPr>
        <w:t xml:space="preserve"> among the college graduates follow</w:t>
      </w:r>
      <w:r w:rsidRPr="00357869">
        <w:rPr>
          <w:rFonts w:ascii="Calibri" w:hAnsi="Calibri" w:cs="Calibri"/>
          <w:lang w:val="en-US"/>
        </w:rPr>
        <w:t>ed</w:t>
      </w:r>
      <w:r w:rsidR="00F50095" w:rsidRPr="00357869">
        <w:rPr>
          <w:rFonts w:ascii="Calibri" w:hAnsi="Calibri" w:cs="Calibri"/>
          <w:lang w:val="en-US"/>
        </w:rPr>
        <w:t xml:space="preserve"> a different course (Figure 6). Contrary to other education categories, the unemployment rates among c</w:t>
      </w:r>
      <w:r w:rsidRPr="00357869">
        <w:rPr>
          <w:rFonts w:ascii="Calibri" w:hAnsi="Calibri" w:cs="Calibri"/>
          <w:lang w:val="en-US"/>
        </w:rPr>
        <w:t xml:space="preserve">ollege graduate women increased </w:t>
      </w:r>
      <w:r w:rsidR="00F50095" w:rsidRPr="00357869">
        <w:rPr>
          <w:rFonts w:ascii="Calibri" w:hAnsi="Calibri" w:cs="Calibri"/>
          <w:lang w:val="en-US"/>
        </w:rPr>
        <w:t xml:space="preserve">consistently across the period under study, i.e. 2005 to 2017, from 14.2 percent to 18.6 percent. During this period, unemployment rates among men followed a </w:t>
      </w:r>
      <w:r w:rsidR="005923EB" w:rsidRPr="00357869">
        <w:rPr>
          <w:rFonts w:ascii="Calibri" w:hAnsi="Calibri" w:cs="Calibri"/>
          <w:lang w:val="en-US"/>
        </w:rPr>
        <w:t>rather</w:t>
      </w:r>
      <w:r w:rsidR="00F50095" w:rsidRPr="00357869">
        <w:rPr>
          <w:rFonts w:ascii="Calibri" w:hAnsi="Calibri" w:cs="Calibri"/>
          <w:lang w:val="en-US"/>
        </w:rPr>
        <w:t xml:space="preserve"> flat course around 9 percent. Therefore, the gender gap in unemployment rates among the college graduates increased from 6.1 points to 9.7 points (Figure 6). </w:t>
      </w:r>
      <w:r w:rsidR="00751DAA" w:rsidRPr="00357869">
        <w:rPr>
          <w:rFonts w:ascii="Calibri" w:hAnsi="Calibri" w:cs="Calibri"/>
          <w:lang w:val="en-US"/>
        </w:rPr>
        <w:t>The reason behind the widening of the gender gap in unemployment rates is the steady increase in the unemployment rates of college graduate women.</w:t>
      </w:r>
      <w:r w:rsidR="00964F1D" w:rsidRPr="00357869">
        <w:rPr>
          <w:rStyle w:val="FootnoteReference"/>
          <w:rFonts w:ascii="Calibri" w:hAnsi="Calibri" w:cs="Calibri"/>
          <w:lang w:val="en-US"/>
        </w:rPr>
        <w:footnoteReference w:id="11"/>
      </w:r>
    </w:p>
    <w:p w14:paraId="765CA3CE" w14:textId="0D43DA0B" w:rsidR="005923EB" w:rsidRPr="00357869" w:rsidRDefault="005923EB" w:rsidP="005923EB">
      <w:pPr>
        <w:tabs>
          <w:tab w:val="left" w:pos="3005"/>
        </w:tabs>
        <w:jc w:val="both"/>
        <w:rPr>
          <w:rFonts w:ascii="Calibri" w:hAnsi="Calibri" w:cs="Calibri"/>
          <w:lang w:val="en-US"/>
        </w:rPr>
      </w:pPr>
      <w:r w:rsidRPr="00357869">
        <w:rPr>
          <w:rFonts w:ascii="Calibri" w:hAnsi="Calibri" w:cs="Calibri"/>
          <w:lang w:val="en-US"/>
        </w:rPr>
        <w:t xml:space="preserve">The labor force participation rates of this particular group increased by a mere 1.9 percentage points since the crisis. As such, it is much smaller than the increase among other groups. This limited increase may be due to an already high rate of participation. Furthermore, we would like to underline that the labor force participation rate of women with a college degree in Turkey is similar to those in Greece and Italy, the lowest rates in Europe. Yet, even though the increase in the rate remains limited, it still implies that approximately 175 thousand women with a college degree enter the labor market each </w:t>
      </w:r>
      <w:r w:rsidRPr="00357869">
        <w:rPr>
          <w:rFonts w:ascii="Calibri" w:hAnsi="Calibri" w:cs="Calibri"/>
          <w:lang w:val="en-US"/>
        </w:rPr>
        <w:lastRenderedPageBreak/>
        <w:t xml:space="preserve">year. In light of these findings, one could argue that, contrary to women with lower education levels, women with college degrees face additional barriers to employment along with the existing structural obstacles. </w:t>
      </w:r>
    </w:p>
    <w:p w14:paraId="7F109E80" w14:textId="00CE5244" w:rsidR="005923EB" w:rsidRPr="00357869" w:rsidRDefault="005923EB" w:rsidP="00170159">
      <w:pPr>
        <w:tabs>
          <w:tab w:val="left" w:pos="3005"/>
        </w:tabs>
        <w:jc w:val="both"/>
        <w:rPr>
          <w:rFonts w:ascii="Calibri" w:hAnsi="Calibri" w:cs="Calibri"/>
          <w:color w:val="000000" w:themeColor="text1"/>
          <w:lang w:val="en-US"/>
        </w:rPr>
      </w:pPr>
      <w:r w:rsidRPr="00357869">
        <w:rPr>
          <w:rFonts w:ascii="Calibri" w:hAnsi="Calibri" w:cs="Calibri"/>
          <w:color w:val="000000" w:themeColor="text1"/>
          <w:lang w:val="en-US"/>
        </w:rPr>
        <w:t xml:space="preserve">To shed light on the sources of this unfavorable widening of the gender gap in unemployment rates among the college graduates, we analyze the </w:t>
      </w:r>
      <w:r w:rsidR="00E81C29" w:rsidRPr="00357869">
        <w:rPr>
          <w:rFonts w:ascii="Calibri" w:hAnsi="Calibri" w:cs="Calibri"/>
          <w:color w:val="000000" w:themeColor="text1"/>
          <w:lang w:val="en-US"/>
        </w:rPr>
        <w:t xml:space="preserve">gender gap in different age groups within this education category. </w:t>
      </w:r>
    </w:p>
    <w:p w14:paraId="28F6A77D" w14:textId="06369E4C" w:rsidR="00755DB2" w:rsidRPr="00357869" w:rsidRDefault="00755DB2" w:rsidP="00170159">
      <w:pPr>
        <w:tabs>
          <w:tab w:val="left" w:pos="3005"/>
        </w:tabs>
        <w:jc w:val="both"/>
        <w:rPr>
          <w:rFonts w:ascii="Calibri" w:hAnsi="Calibri" w:cs="Calibri"/>
          <w:lang w:val="en-US"/>
        </w:rPr>
      </w:pPr>
    </w:p>
    <w:p w14:paraId="1350F9B4" w14:textId="52C3F28D" w:rsidR="00DF4DC3" w:rsidRPr="00357869" w:rsidRDefault="00E81C29" w:rsidP="00DF4DC3">
      <w:pPr>
        <w:pStyle w:val="Caption"/>
        <w:keepNext/>
        <w:jc w:val="both"/>
        <w:rPr>
          <w:rFonts w:ascii="Calibri" w:hAnsi="Calibri" w:cs="Calibri"/>
          <w:szCs w:val="22"/>
          <w:lang w:val="en-US"/>
        </w:rPr>
      </w:pPr>
      <w:r w:rsidRPr="00357869">
        <w:rPr>
          <w:rFonts w:ascii="Calibri" w:hAnsi="Calibri" w:cs="Calibri"/>
          <w:szCs w:val="22"/>
          <w:lang w:val="en-US"/>
        </w:rPr>
        <w:t>Figure</w:t>
      </w:r>
      <w:r w:rsidR="00961FB7" w:rsidRPr="00357869">
        <w:rPr>
          <w:rFonts w:ascii="Calibri" w:hAnsi="Calibri" w:cs="Calibri"/>
          <w:szCs w:val="22"/>
          <w:lang w:val="en-US"/>
        </w:rPr>
        <w:t xml:space="preserve"> 6</w:t>
      </w:r>
      <w:r w:rsidR="00DF4DC3" w:rsidRPr="00357869">
        <w:rPr>
          <w:rFonts w:ascii="Calibri" w:hAnsi="Calibri" w:cs="Calibri"/>
          <w:szCs w:val="22"/>
          <w:lang w:val="en-US"/>
        </w:rPr>
        <w:t xml:space="preserve">: </w:t>
      </w:r>
      <w:r w:rsidRPr="00357869">
        <w:rPr>
          <w:rFonts w:ascii="Calibri" w:hAnsi="Calibri" w:cs="Calibri"/>
          <w:szCs w:val="22"/>
          <w:lang w:val="en-US"/>
        </w:rPr>
        <w:t>Unemployment and labor force participation rates among the college graduates, by gender, (%) (Ages 15-64</w:t>
      </w:r>
      <w:r w:rsidR="00DF4DC3" w:rsidRPr="00357869">
        <w:rPr>
          <w:rFonts w:ascii="Calibri" w:hAnsi="Calibri" w:cs="Calibri"/>
          <w:szCs w:val="22"/>
          <w:lang w:val="en-US"/>
        </w:rPr>
        <w:t>, 2005-2017)</w:t>
      </w:r>
    </w:p>
    <w:p w14:paraId="535ED776" w14:textId="34350AB7" w:rsidR="00486A04" w:rsidRPr="00357869" w:rsidRDefault="00780FE9" w:rsidP="00170159">
      <w:pPr>
        <w:jc w:val="both"/>
        <w:rPr>
          <w:rFonts w:ascii="Calibri" w:hAnsi="Calibri" w:cs="Calibri"/>
          <w:lang w:val="en-US"/>
        </w:rPr>
      </w:pPr>
      <w:r w:rsidRPr="00357869">
        <w:rPr>
          <w:rFonts w:ascii="Calibri" w:hAnsi="Calibri" w:cs="Calibri"/>
          <w:noProof/>
          <w:lang w:eastAsia="en-GB"/>
        </w:rPr>
        <w:drawing>
          <wp:inline distT="0" distB="0" distL="0" distR="0" wp14:anchorId="71E8E71E" wp14:editId="4B3F9840">
            <wp:extent cx="5915025" cy="30861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9170" w:type="dxa"/>
        <w:jc w:val="center"/>
        <w:tblLook w:val="04A0" w:firstRow="1" w:lastRow="0" w:firstColumn="1" w:lastColumn="0" w:noHBand="0" w:noVBand="1"/>
      </w:tblPr>
      <w:tblGrid>
        <w:gridCol w:w="868"/>
        <w:gridCol w:w="663"/>
        <w:gridCol w:w="663"/>
        <w:gridCol w:w="663"/>
        <w:gridCol w:w="663"/>
        <w:gridCol w:w="663"/>
        <w:gridCol w:w="663"/>
        <w:gridCol w:w="663"/>
        <w:gridCol w:w="663"/>
        <w:gridCol w:w="663"/>
        <w:gridCol w:w="663"/>
        <w:gridCol w:w="663"/>
        <w:gridCol w:w="663"/>
        <w:gridCol w:w="663"/>
      </w:tblGrid>
      <w:tr w:rsidR="00FD5738" w:rsidRPr="00357869" w14:paraId="2C4100CE" w14:textId="77777777" w:rsidTr="00FD6BED">
        <w:trPr>
          <w:trHeight w:val="320"/>
          <w:jc w:val="center"/>
        </w:trPr>
        <w:tc>
          <w:tcPr>
            <w:tcW w:w="798" w:type="dxa"/>
            <w:tcBorders>
              <w:top w:val="single" w:sz="4" w:space="0" w:color="auto"/>
              <w:left w:val="single" w:sz="4" w:space="0" w:color="auto"/>
              <w:bottom w:val="single" w:sz="4" w:space="0" w:color="auto"/>
              <w:right w:val="nil"/>
            </w:tcBorders>
            <w:shd w:val="clear" w:color="auto" w:fill="auto"/>
            <w:noWrap/>
            <w:vAlign w:val="bottom"/>
            <w:hideMark/>
          </w:tcPr>
          <w:p w14:paraId="497F2BD1" w14:textId="6916BE69" w:rsidR="00FD5738" w:rsidRPr="00357869" w:rsidRDefault="00C25694" w:rsidP="00FD5738">
            <w:pPr>
              <w:spacing w:after="0" w:line="240" w:lineRule="auto"/>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LFPR</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E00C"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85FEE26"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33FEDB6"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68F4B03"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23DA182"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169D5E4"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743F4140"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9B721A5"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41929846"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FE88D66"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7853EFA"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1DCDA3C9"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75111AE0" w14:textId="777777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r>
      <w:tr w:rsidR="00FD5738" w:rsidRPr="00357869" w14:paraId="14FF2D1A" w14:textId="77777777" w:rsidTr="00FD5738">
        <w:trPr>
          <w:trHeight w:val="300"/>
          <w:jc w:val="center"/>
        </w:trPr>
        <w:tc>
          <w:tcPr>
            <w:tcW w:w="798" w:type="dxa"/>
            <w:tcBorders>
              <w:top w:val="nil"/>
              <w:left w:val="single" w:sz="4" w:space="0" w:color="auto"/>
              <w:bottom w:val="nil"/>
              <w:right w:val="nil"/>
            </w:tcBorders>
            <w:shd w:val="clear" w:color="auto" w:fill="auto"/>
            <w:noWrap/>
            <w:vAlign w:val="bottom"/>
            <w:hideMark/>
          </w:tcPr>
          <w:p w14:paraId="54C8BB5F" w14:textId="26626635" w:rsidR="00FD5738" w:rsidRPr="00357869" w:rsidRDefault="00C25694"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644" w:type="dxa"/>
            <w:tcBorders>
              <w:top w:val="nil"/>
              <w:left w:val="single" w:sz="4" w:space="0" w:color="auto"/>
              <w:bottom w:val="nil"/>
              <w:right w:val="single" w:sz="4" w:space="0" w:color="auto"/>
            </w:tcBorders>
            <w:shd w:val="clear" w:color="auto" w:fill="auto"/>
            <w:noWrap/>
            <w:vAlign w:val="bottom"/>
            <w:hideMark/>
          </w:tcPr>
          <w:p w14:paraId="33C911DD" w14:textId="11C8C0EB"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44" w:type="dxa"/>
            <w:tcBorders>
              <w:top w:val="nil"/>
              <w:left w:val="nil"/>
              <w:bottom w:val="nil"/>
              <w:right w:val="single" w:sz="4" w:space="0" w:color="auto"/>
            </w:tcBorders>
            <w:shd w:val="clear" w:color="auto" w:fill="auto"/>
            <w:noWrap/>
            <w:vAlign w:val="bottom"/>
            <w:hideMark/>
          </w:tcPr>
          <w:p w14:paraId="43BF29C5" w14:textId="073C9B2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nil"/>
              <w:right w:val="single" w:sz="4" w:space="0" w:color="auto"/>
            </w:tcBorders>
            <w:shd w:val="clear" w:color="auto" w:fill="auto"/>
            <w:noWrap/>
            <w:vAlign w:val="bottom"/>
            <w:hideMark/>
          </w:tcPr>
          <w:p w14:paraId="17B24648" w14:textId="414137DE"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44" w:type="dxa"/>
            <w:tcBorders>
              <w:top w:val="nil"/>
              <w:left w:val="nil"/>
              <w:bottom w:val="nil"/>
              <w:right w:val="single" w:sz="4" w:space="0" w:color="auto"/>
            </w:tcBorders>
            <w:shd w:val="clear" w:color="auto" w:fill="auto"/>
            <w:noWrap/>
            <w:vAlign w:val="bottom"/>
            <w:hideMark/>
          </w:tcPr>
          <w:p w14:paraId="2D3EF839" w14:textId="3CF5CFA9"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44" w:type="dxa"/>
            <w:tcBorders>
              <w:top w:val="nil"/>
              <w:left w:val="nil"/>
              <w:bottom w:val="nil"/>
              <w:right w:val="single" w:sz="4" w:space="0" w:color="auto"/>
            </w:tcBorders>
            <w:shd w:val="clear" w:color="auto" w:fill="auto"/>
            <w:noWrap/>
            <w:vAlign w:val="bottom"/>
            <w:hideMark/>
          </w:tcPr>
          <w:p w14:paraId="63C561CB" w14:textId="6C015D9F"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nil"/>
              <w:right w:val="single" w:sz="4" w:space="0" w:color="auto"/>
            </w:tcBorders>
            <w:shd w:val="clear" w:color="auto" w:fill="auto"/>
            <w:noWrap/>
            <w:vAlign w:val="bottom"/>
            <w:hideMark/>
          </w:tcPr>
          <w:p w14:paraId="2645A6B4" w14:textId="1BD138D5"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nil"/>
              <w:right w:val="single" w:sz="4" w:space="0" w:color="auto"/>
            </w:tcBorders>
            <w:shd w:val="clear" w:color="auto" w:fill="auto"/>
            <w:noWrap/>
            <w:vAlign w:val="bottom"/>
            <w:hideMark/>
          </w:tcPr>
          <w:p w14:paraId="591907D4" w14:textId="304B9788"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44" w:type="dxa"/>
            <w:tcBorders>
              <w:top w:val="nil"/>
              <w:left w:val="nil"/>
              <w:bottom w:val="nil"/>
              <w:right w:val="single" w:sz="4" w:space="0" w:color="auto"/>
            </w:tcBorders>
            <w:shd w:val="clear" w:color="auto" w:fill="auto"/>
            <w:noWrap/>
            <w:vAlign w:val="bottom"/>
            <w:hideMark/>
          </w:tcPr>
          <w:p w14:paraId="304E31F3" w14:textId="475AA516"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nil"/>
              <w:right w:val="single" w:sz="4" w:space="0" w:color="auto"/>
            </w:tcBorders>
            <w:shd w:val="clear" w:color="auto" w:fill="auto"/>
            <w:noWrap/>
            <w:vAlign w:val="bottom"/>
            <w:hideMark/>
          </w:tcPr>
          <w:p w14:paraId="42DEFA43" w14:textId="6111EBBB"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44" w:type="dxa"/>
            <w:tcBorders>
              <w:top w:val="nil"/>
              <w:left w:val="nil"/>
              <w:bottom w:val="nil"/>
              <w:right w:val="single" w:sz="4" w:space="0" w:color="auto"/>
            </w:tcBorders>
            <w:shd w:val="clear" w:color="auto" w:fill="auto"/>
            <w:noWrap/>
            <w:vAlign w:val="bottom"/>
            <w:hideMark/>
          </w:tcPr>
          <w:p w14:paraId="7F33C503" w14:textId="558D8B79"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44" w:type="dxa"/>
            <w:tcBorders>
              <w:top w:val="nil"/>
              <w:left w:val="nil"/>
              <w:bottom w:val="nil"/>
              <w:right w:val="single" w:sz="4" w:space="0" w:color="auto"/>
            </w:tcBorders>
            <w:shd w:val="clear" w:color="auto" w:fill="auto"/>
            <w:noWrap/>
            <w:vAlign w:val="bottom"/>
            <w:hideMark/>
          </w:tcPr>
          <w:p w14:paraId="0019FAC8" w14:textId="718C1D7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44" w:type="dxa"/>
            <w:tcBorders>
              <w:top w:val="nil"/>
              <w:left w:val="nil"/>
              <w:bottom w:val="nil"/>
              <w:right w:val="single" w:sz="4" w:space="0" w:color="auto"/>
            </w:tcBorders>
            <w:shd w:val="clear" w:color="auto" w:fill="auto"/>
            <w:noWrap/>
            <w:vAlign w:val="bottom"/>
            <w:hideMark/>
          </w:tcPr>
          <w:p w14:paraId="7FB67357" w14:textId="4329E7C8"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44" w:type="dxa"/>
            <w:tcBorders>
              <w:top w:val="nil"/>
              <w:left w:val="nil"/>
              <w:bottom w:val="nil"/>
              <w:right w:val="single" w:sz="4" w:space="0" w:color="auto"/>
            </w:tcBorders>
            <w:shd w:val="clear" w:color="auto" w:fill="auto"/>
            <w:noWrap/>
            <w:vAlign w:val="bottom"/>
            <w:hideMark/>
          </w:tcPr>
          <w:p w14:paraId="1573C2A7" w14:textId="56BF002A"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r>
      <w:tr w:rsidR="00FD5738" w:rsidRPr="00357869" w14:paraId="7CE84A1F" w14:textId="77777777" w:rsidTr="00FD5738">
        <w:trPr>
          <w:trHeight w:val="300"/>
          <w:jc w:val="center"/>
        </w:trPr>
        <w:tc>
          <w:tcPr>
            <w:tcW w:w="798" w:type="dxa"/>
            <w:tcBorders>
              <w:top w:val="nil"/>
              <w:left w:val="single" w:sz="4" w:space="0" w:color="auto"/>
              <w:bottom w:val="single" w:sz="4" w:space="0" w:color="auto"/>
              <w:right w:val="nil"/>
            </w:tcBorders>
            <w:shd w:val="clear" w:color="auto" w:fill="auto"/>
            <w:noWrap/>
            <w:vAlign w:val="bottom"/>
            <w:hideMark/>
          </w:tcPr>
          <w:p w14:paraId="1C720D46" w14:textId="1C012877" w:rsidR="00FD5738" w:rsidRPr="00357869" w:rsidRDefault="00C25694"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5E73ED33" w14:textId="699F090D"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644" w:type="dxa"/>
            <w:tcBorders>
              <w:top w:val="nil"/>
              <w:left w:val="nil"/>
              <w:bottom w:val="single" w:sz="4" w:space="0" w:color="auto"/>
              <w:right w:val="single" w:sz="4" w:space="0" w:color="auto"/>
            </w:tcBorders>
            <w:shd w:val="clear" w:color="auto" w:fill="auto"/>
            <w:noWrap/>
            <w:vAlign w:val="bottom"/>
            <w:hideMark/>
          </w:tcPr>
          <w:p w14:paraId="205FB544" w14:textId="330533B0"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85</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644" w:type="dxa"/>
            <w:tcBorders>
              <w:top w:val="nil"/>
              <w:left w:val="nil"/>
              <w:bottom w:val="single" w:sz="4" w:space="0" w:color="auto"/>
              <w:right w:val="single" w:sz="4" w:space="0" w:color="auto"/>
            </w:tcBorders>
            <w:shd w:val="clear" w:color="auto" w:fill="auto"/>
            <w:noWrap/>
            <w:vAlign w:val="bottom"/>
            <w:hideMark/>
          </w:tcPr>
          <w:p w14:paraId="12B9AF39" w14:textId="3D90E47C"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85</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644" w:type="dxa"/>
            <w:tcBorders>
              <w:top w:val="nil"/>
              <w:left w:val="nil"/>
              <w:bottom w:val="single" w:sz="4" w:space="0" w:color="auto"/>
              <w:right w:val="single" w:sz="4" w:space="0" w:color="auto"/>
            </w:tcBorders>
            <w:shd w:val="clear" w:color="auto" w:fill="auto"/>
            <w:noWrap/>
            <w:vAlign w:val="bottom"/>
            <w:hideMark/>
          </w:tcPr>
          <w:p w14:paraId="7883D60D" w14:textId="07AC36AE"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85</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644" w:type="dxa"/>
            <w:tcBorders>
              <w:top w:val="nil"/>
              <w:left w:val="nil"/>
              <w:bottom w:val="single" w:sz="4" w:space="0" w:color="auto"/>
              <w:right w:val="single" w:sz="4" w:space="0" w:color="auto"/>
            </w:tcBorders>
            <w:shd w:val="clear" w:color="auto" w:fill="auto"/>
            <w:noWrap/>
            <w:vAlign w:val="bottom"/>
            <w:hideMark/>
          </w:tcPr>
          <w:p w14:paraId="74B7A156" w14:textId="2DB5859C"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44" w:type="dxa"/>
            <w:tcBorders>
              <w:top w:val="nil"/>
              <w:left w:val="nil"/>
              <w:bottom w:val="single" w:sz="4" w:space="0" w:color="auto"/>
              <w:right w:val="single" w:sz="4" w:space="0" w:color="auto"/>
            </w:tcBorders>
            <w:shd w:val="clear" w:color="auto" w:fill="auto"/>
            <w:noWrap/>
            <w:vAlign w:val="bottom"/>
            <w:hideMark/>
          </w:tcPr>
          <w:p w14:paraId="43B560BF" w14:textId="799072C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204D46A5" w14:textId="76150C6B"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4F9BF7D0" w14:textId="795FAF8B"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644" w:type="dxa"/>
            <w:tcBorders>
              <w:top w:val="nil"/>
              <w:left w:val="nil"/>
              <w:bottom w:val="single" w:sz="4" w:space="0" w:color="auto"/>
              <w:right w:val="single" w:sz="4" w:space="0" w:color="auto"/>
            </w:tcBorders>
            <w:shd w:val="clear" w:color="auto" w:fill="auto"/>
            <w:noWrap/>
            <w:vAlign w:val="bottom"/>
            <w:hideMark/>
          </w:tcPr>
          <w:p w14:paraId="2D7ED888" w14:textId="7D3A2FFA"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644" w:type="dxa"/>
            <w:tcBorders>
              <w:top w:val="nil"/>
              <w:left w:val="nil"/>
              <w:bottom w:val="single" w:sz="4" w:space="0" w:color="auto"/>
              <w:right w:val="single" w:sz="4" w:space="0" w:color="auto"/>
            </w:tcBorders>
            <w:shd w:val="clear" w:color="auto" w:fill="auto"/>
            <w:noWrap/>
            <w:vAlign w:val="bottom"/>
            <w:hideMark/>
          </w:tcPr>
          <w:p w14:paraId="76459772" w14:textId="4F529DD3"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44" w:type="dxa"/>
            <w:tcBorders>
              <w:top w:val="nil"/>
              <w:left w:val="nil"/>
              <w:bottom w:val="single" w:sz="4" w:space="0" w:color="auto"/>
              <w:right w:val="single" w:sz="4" w:space="0" w:color="auto"/>
            </w:tcBorders>
            <w:shd w:val="clear" w:color="auto" w:fill="auto"/>
            <w:noWrap/>
            <w:vAlign w:val="bottom"/>
            <w:hideMark/>
          </w:tcPr>
          <w:p w14:paraId="66CFD989" w14:textId="7D7BA954"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644" w:type="dxa"/>
            <w:tcBorders>
              <w:top w:val="nil"/>
              <w:left w:val="nil"/>
              <w:bottom w:val="single" w:sz="4" w:space="0" w:color="auto"/>
              <w:right w:val="single" w:sz="4" w:space="0" w:color="auto"/>
            </w:tcBorders>
            <w:shd w:val="clear" w:color="auto" w:fill="auto"/>
            <w:noWrap/>
            <w:vAlign w:val="bottom"/>
            <w:hideMark/>
          </w:tcPr>
          <w:p w14:paraId="4ED956FA" w14:textId="290A6E37"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644" w:type="dxa"/>
            <w:tcBorders>
              <w:top w:val="nil"/>
              <w:left w:val="nil"/>
              <w:bottom w:val="single" w:sz="4" w:space="0" w:color="auto"/>
              <w:right w:val="single" w:sz="4" w:space="0" w:color="auto"/>
            </w:tcBorders>
            <w:shd w:val="clear" w:color="auto" w:fill="auto"/>
            <w:noWrap/>
            <w:vAlign w:val="bottom"/>
            <w:hideMark/>
          </w:tcPr>
          <w:p w14:paraId="02EA987B" w14:textId="0F41BE83" w:rsidR="00FD5738" w:rsidRPr="00357869" w:rsidRDefault="00FD5738" w:rsidP="00FD5738">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r>
    </w:tbl>
    <w:p w14:paraId="540EA20D" w14:textId="21398538" w:rsidR="007C1690" w:rsidRPr="00357869" w:rsidRDefault="00C25694" w:rsidP="00A70B07">
      <w:pPr>
        <w:jc w:val="both"/>
        <w:rPr>
          <w:rFonts w:ascii="Calibri" w:hAnsi="Calibri" w:cs="Calibri"/>
          <w:sz w:val="18"/>
          <w:szCs w:val="18"/>
          <w:lang w:val="en-US"/>
        </w:rPr>
      </w:pPr>
      <w:r w:rsidRPr="00357869">
        <w:rPr>
          <w:rFonts w:ascii="Calibri" w:hAnsi="Calibri" w:cs="Calibri"/>
          <w:sz w:val="18"/>
          <w:szCs w:val="18"/>
          <w:lang w:val="en-US"/>
        </w:rPr>
        <w:t>Source</w:t>
      </w:r>
      <w:r w:rsidR="00244A9A" w:rsidRPr="00357869">
        <w:rPr>
          <w:rFonts w:ascii="Calibri" w:hAnsi="Calibri" w:cs="Calibri"/>
          <w:sz w:val="18"/>
          <w:szCs w:val="18"/>
          <w:lang w:val="en-US"/>
        </w:rPr>
        <w:t xml:space="preserve">: </w:t>
      </w:r>
      <w:proofErr w:type="spellStart"/>
      <w:r w:rsidR="00244A9A" w:rsidRPr="00357869">
        <w:rPr>
          <w:rFonts w:ascii="Calibri" w:hAnsi="Calibri" w:cs="Calibri"/>
          <w:sz w:val="18"/>
          <w:szCs w:val="18"/>
          <w:lang w:val="en-US"/>
        </w:rPr>
        <w:t>Betam</w:t>
      </w:r>
      <w:proofErr w:type="spellEnd"/>
      <w:r w:rsidR="00244A9A" w:rsidRPr="00357869">
        <w:rPr>
          <w:rFonts w:ascii="Calibri" w:hAnsi="Calibri" w:cs="Calibri"/>
          <w:sz w:val="18"/>
          <w:szCs w:val="18"/>
          <w:lang w:val="en-US"/>
        </w:rPr>
        <w:t xml:space="preserve">, </w:t>
      </w:r>
      <w:r w:rsidRPr="00357869">
        <w:rPr>
          <w:rFonts w:ascii="Calibri" w:hAnsi="Calibri" w:cs="Calibri"/>
          <w:sz w:val="18"/>
          <w:szCs w:val="18"/>
          <w:lang w:val="en-US"/>
        </w:rPr>
        <w:t>HLFS micro data,</w:t>
      </w:r>
      <w:r w:rsidR="00244A9A" w:rsidRPr="00357869">
        <w:rPr>
          <w:rFonts w:ascii="Calibri" w:hAnsi="Calibri" w:cs="Calibri"/>
          <w:sz w:val="18"/>
          <w:szCs w:val="18"/>
          <w:lang w:val="en-US"/>
        </w:rPr>
        <w:t xml:space="preserve"> 2005-2017</w:t>
      </w:r>
    </w:p>
    <w:p w14:paraId="1F95D4FB" w14:textId="0E5FDBEF" w:rsidR="00AE744A" w:rsidRPr="00357869" w:rsidRDefault="00AE744A" w:rsidP="00255607">
      <w:pPr>
        <w:tabs>
          <w:tab w:val="left" w:pos="3005"/>
        </w:tabs>
        <w:jc w:val="both"/>
        <w:rPr>
          <w:rFonts w:ascii="Calibri" w:hAnsi="Calibri" w:cs="Calibri"/>
          <w:b/>
          <w:lang w:val="en-US"/>
        </w:rPr>
      </w:pPr>
      <w:r w:rsidRPr="00357869">
        <w:rPr>
          <w:rFonts w:ascii="Calibri" w:hAnsi="Calibri" w:cs="Calibri"/>
          <w:b/>
          <w:lang w:val="en-US"/>
        </w:rPr>
        <w:t>Gender gap in unemployment rates by education and by age groups</w:t>
      </w:r>
    </w:p>
    <w:p w14:paraId="60256839" w14:textId="77777777" w:rsidR="002068C0" w:rsidRPr="00357869" w:rsidRDefault="00AE744A" w:rsidP="00255607">
      <w:pPr>
        <w:tabs>
          <w:tab w:val="left" w:pos="3005"/>
        </w:tabs>
        <w:jc w:val="both"/>
        <w:rPr>
          <w:rFonts w:ascii="Calibri" w:hAnsi="Calibri" w:cs="Calibri"/>
          <w:lang w:val="en-US"/>
        </w:rPr>
      </w:pPr>
      <w:r w:rsidRPr="00357869">
        <w:rPr>
          <w:rFonts w:ascii="Calibri" w:hAnsi="Calibri" w:cs="Calibri"/>
          <w:lang w:val="en-US"/>
        </w:rPr>
        <w:t xml:space="preserve">The unemployment rates by gender and by age group are provided in Table 3, as well as the changes in 2005 to 2017. The unemployment rates are provided for 2005 and 2017, along with the gender gap, and its path for each age and education group. For example, the unemployment rates of college graduate women between the ages of 20 to 29 increased from 23.2 percent in 2005 to 29.6 percent in 2017. The unemployment rates among men with the same education level decreased from 17.8 percent to 17.5 percent. Hence, the gender gap in unemployment rates among college graduates between the ages of 20 and 29 widened by 6.7 percentage points </w:t>
      </w:r>
      <w:r w:rsidR="00D17B7C" w:rsidRPr="00357869">
        <w:rPr>
          <w:rFonts w:ascii="Calibri" w:hAnsi="Calibri" w:cs="Calibri"/>
          <w:lang w:val="en-US"/>
        </w:rPr>
        <w:t>(</w:t>
      </w:r>
      <w:r w:rsidRPr="00357869">
        <w:rPr>
          <w:rFonts w:ascii="Calibri" w:hAnsi="Calibri" w:cs="Calibri"/>
          <w:lang w:val="en-US"/>
        </w:rPr>
        <w:t>(29.6-23.2) – (17.5-17.</w:t>
      </w:r>
      <w:r w:rsidR="00A930CB" w:rsidRPr="00357869">
        <w:rPr>
          <w:rFonts w:ascii="Calibri" w:hAnsi="Calibri" w:cs="Calibri"/>
          <w:lang w:val="en-US"/>
        </w:rPr>
        <w:t>8)</w:t>
      </w:r>
      <w:r w:rsidRPr="00357869">
        <w:rPr>
          <w:rFonts w:ascii="Calibri" w:hAnsi="Calibri" w:cs="Calibri"/>
          <w:lang w:val="en-US"/>
        </w:rPr>
        <w:t xml:space="preserve"> </w:t>
      </w:r>
      <w:r w:rsidR="00A930CB" w:rsidRPr="00357869">
        <w:rPr>
          <w:rFonts w:ascii="Calibri" w:hAnsi="Calibri" w:cs="Calibri"/>
          <w:lang w:val="en-US"/>
        </w:rPr>
        <w:t>=</w:t>
      </w:r>
      <w:r w:rsidR="00C5081C" w:rsidRPr="00357869">
        <w:rPr>
          <w:rFonts w:ascii="Calibri" w:hAnsi="Calibri" w:cs="Calibri"/>
          <w:lang w:val="en-US"/>
        </w:rPr>
        <w:t xml:space="preserve"> </w:t>
      </w:r>
      <w:r w:rsidRPr="00357869">
        <w:rPr>
          <w:rFonts w:ascii="Calibri" w:hAnsi="Calibri" w:cs="Calibri"/>
          <w:lang w:val="en-US"/>
        </w:rPr>
        <w:t>6.</w:t>
      </w:r>
      <w:r w:rsidR="00A930CB" w:rsidRPr="00357869">
        <w:rPr>
          <w:rFonts w:ascii="Calibri" w:hAnsi="Calibri" w:cs="Calibri"/>
          <w:lang w:val="en-US"/>
        </w:rPr>
        <w:t>7</w:t>
      </w:r>
      <w:r w:rsidR="00D17B7C" w:rsidRPr="00357869">
        <w:rPr>
          <w:rFonts w:ascii="Calibri" w:hAnsi="Calibri" w:cs="Calibri"/>
          <w:lang w:val="en-US"/>
        </w:rPr>
        <w:t>)</w:t>
      </w:r>
      <w:r w:rsidR="00A930CB" w:rsidRPr="00357869">
        <w:rPr>
          <w:rFonts w:ascii="Calibri" w:hAnsi="Calibri" w:cs="Calibri"/>
          <w:lang w:val="en-US"/>
        </w:rPr>
        <w:t xml:space="preserve">. </w:t>
      </w:r>
    </w:p>
    <w:p w14:paraId="43BCDD2C" w14:textId="180CF38C" w:rsidR="00D17B7C" w:rsidRPr="00357869" w:rsidRDefault="002068C0" w:rsidP="00255607">
      <w:pPr>
        <w:tabs>
          <w:tab w:val="left" w:pos="3005"/>
        </w:tabs>
        <w:jc w:val="both"/>
        <w:rPr>
          <w:rFonts w:ascii="Calibri" w:hAnsi="Calibri" w:cs="Calibri"/>
          <w:lang w:val="en-US"/>
        </w:rPr>
      </w:pPr>
      <w:r w:rsidRPr="00357869">
        <w:rPr>
          <w:rFonts w:ascii="Calibri" w:hAnsi="Calibri" w:cs="Calibri"/>
          <w:lang w:val="en-US"/>
        </w:rPr>
        <w:t xml:space="preserve">In light of this data on age and education groups, we conclude that the gender gap widens particularly for the college graduates between the ages of 20 to 29. It is particularly disheartening to see that the unemployment rate among this group of women has risen to 30 percent. The gender gap in unemployment rates among the </w:t>
      </w:r>
      <w:r w:rsidR="00457F9C" w:rsidRPr="00357869">
        <w:rPr>
          <w:rFonts w:ascii="Calibri" w:hAnsi="Calibri" w:cs="Calibri"/>
          <w:lang w:val="en-US"/>
        </w:rPr>
        <w:t>30 to 44-</w:t>
      </w:r>
      <w:r w:rsidRPr="00357869">
        <w:rPr>
          <w:rFonts w:ascii="Calibri" w:hAnsi="Calibri" w:cs="Calibri"/>
          <w:lang w:val="en-US"/>
        </w:rPr>
        <w:t xml:space="preserve">year-old college graduates has also widened, yet, the level of unemployment rates is considerably lower among this group. </w:t>
      </w:r>
    </w:p>
    <w:p w14:paraId="46F29AD1" w14:textId="44E5EB5C" w:rsidR="00D57262" w:rsidRPr="00357869" w:rsidRDefault="00E91E83" w:rsidP="00A930CB">
      <w:pPr>
        <w:tabs>
          <w:tab w:val="left" w:pos="3005"/>
        </w:tabs>
        <w:jc w:val="both"/>
        <w:rPr>
          <w:rFonts w:ascii="Calibri" w:hAnsi="Calibri" w:cs="Calibri"/>
          <w:lang w:val="en-US"/>
        </w:rPr>
      </w:pPr>
      <w:r w:rsidRPr="00357869">
        <w:rPr>
          <w:rFonts w:ascii="Calibri" w:hAnsi="Calibri" w:cs="Calibri"/>
          <w:lang w:val="en-US"/>
        </w:rPr>
        <w:lastRenderedPageBreak/>
        <w:t xml:space="preserve">Other groups that observed widening gender gaps in unemployment rates are high school graduates in age groups 30-44 and 45-64, 3.5 percent and 3.4 percent respectively. </w:t>
      </w:r>
      <w:r w:rsidR="0003514D" w:rsidRPr="00357869">
        <w:rPr>
          <w:rFonts w:ascii="Calibri" w:hAnsi="Calibri" w:cs="Calibri"/>
          <w:lang w:val="en-US"/>
        </w:rPr>
        <w:t xml:space="preserve">The unemployment rates among the 30-44-year-old high school graduate women stands at 20 percent, which is surprisingly high. More generally, the gender gap in unemployment rates among the lower education groups has been widening. This issue will be discussed further below. </w:t>
      </w:r>
    </w:p>
    <w:p w14:paraId="582D9772" w14:textId="0DFAF773" w:rsidR="003F0171" w:rsidRPr="00357869" w:rsidRDefault="00F4797D" w:rsidP="00E814A3">
      <w:pPr>
        <w:pStyle w:val="Caption"/>
        <w:keepNext/>
        <w:outlineLvl w:val="0"/>
        <w:rPr>
          <w:rFonts w:ascii="Calibri" w:hAnsi="Calibri" w:cs="Calibri"/>
          <w:szCs w:val="22"/>
          <w:lang w:val="en-US"/>
        </w:rPr>
      </w:pPr>
      <w:r w:rsidRPr="00357869">
        <w:rPr>
          <w:rFonts w:ascii="Calibri" w:hAnsi="Calibri" w:cs="Calibri"/>
          <w:szCs w:val="22"/>
          <w:lang w:val="en-US"/>
        </w:rPr>
        <w:t>Table</w:t>
      </w:r>
      <w:r w:rsidR="003F0171" w:rsidRPr="00357869">
        <w:rPr>
          <w:rFonts w:ascii="Calibri" w:hAnsi="Calibri" w:cs="Calibri"/>
          <w:szCs w:val="22"/>
          <w:lang w:val="en-US"/>
        </w:rPr>
        <w:t xml:space="preserve"> 3: </w:t>
      </w:r>
      <w:r w:rsidRPr="00357869">
        <w:rPr>
          <w:rFonts w:ascii="Calibri" w:hAnsi="Calibri" w:cs="Calibri"/>
          <w:szCs w:val="22"/>
          <w:lang w:val="en-US"/>
        </w:rPr>
        <w:t xml:space="preserve">Non-agricultural unemployment rates, by gender, education and age group (%) </w:t>
      </w:r>
    </w:p>
    <w:tbl>
      <w:tblPr>
        <w:tblpPr w:leftFromText="141" w:rightFromText="141" w:vertAnchor="text" w:horzAnchor="page" w:tblpX="1450" w:tblpY="80"/>
        <w:tblW w:w="10065" w:type="dxa"/>
        <w:tblLayout w:type="fixed"/>
        <w:tblLook w:val="04A0" w:firstRow="1" w:lastRow="0" w:firstColumn="1" w:lastColumn="0" w:noHBand="0" w:noVBand="1"/>
      </w:tblPr>
      <w:tblGrid>
        <w:gridCol w:w="1638"/>
        <w:gridCol w:w="1046"/>
        <w:gridCol w:w="712"/>
        <w:gridCol w:w="1134"/>
        <w:gridCol w:w="993"/>
        <w:gridCol w:w="708"/>
        <w:gridCol w:w="1087"/>
        <w:gridCol w:w="953"/>
        <w:gridCol w:w="760"/>
        <w:gridCol w:w="1034"/>
      </w:tblGrid>
      <w:tr w:rsidR="00FD6BED" w:rsidRPr="00357869" w14:paraId="4A9717B8" w14:textId="77777777" w:rsidTr="00F4797D">
        <w:trPr>
          <w:trHeight w:val="254"/>
        </w:trPr>
        <w:tc>
          <w:tcPr>
            <w:tcW w:w="1638" w:type="dxa"/>
            <w:tcBorders>
              <w:top w:val="nil"/>
              <w:left w:val="nil"/>
              <w:bottom w:val="nil"/>
              <w:right w:val="single" w:sz="4" w:space="0" w:color="auto"/>
            </w:tcBorders>
            <w:shd w:val="clear" w:color="auto" w:fill="auto"/>
            <w:noWrap/>
            <w:vAlign w:val="bottom"/>
            <w:hideMark/>
          </w:tcPr>
          <w:p w14:paraId="4C11F772" w14:textId="77777777" w:rsidR="00FD6BED" w:rsidRPr="00357869" w:rsidRDefault="00FD6BED" w:rsidP="00FD6BED">
            <w:pPr>
              <w:spacing w:after="0" w:line="240" w:lineRule="auto"/>
              <w:rPr>
                <w:rFonts w:ascii="Calibri" w:hAnsi="Calibri" w:cs="Calibri"/>
                <w:lang w:val="en-US"/>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EB664" w14:textId="77777777" w:rsidR="00FD6BED" w:rsidRPr="00357869" w:rsidRDefault="00FD6BED" w:rsidP="00FD6BED">
            <w:pPr>
              <w:spacing w:after="0" w:line="240" w:lineRule="auto"/>
              <w:jc w:val="center"/>
              <w:rPr>
                <w:rFonts w:ascii="Calibri" w:eastAsia="Times New Roman" w:hAnsi="Calibri" w:cs="Calibri"/>
                <w:lang w:val="en-US"/>
              </w:rPr>
            </w:pPr>
            <w:r w:rsidRPr="00357869">
              <w:rPr>
                <w:rFonts w:ascii="Calibri" w:eastAsia="Times New Roman" w:hAnsi="Calibri" w:cs="Calibri"/>
                <w:color w:val="000000"/>
                <w:lang w:val="en-US"/>
              </w:rPr>
              <w:t>20-29</w:t>
            </w:r>
          </w:p>
        </w:tc>
        <w:tc>
          <w:tcPr>
            <w:tcW w:w="27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7FC56" w14:textId="77777777" w:rsidR="00FD6BED" w:rsidRPr="00357869" w:rsidRDefault="00FD6BED" w:rsidP="00FD6BED">
            <w:pPr>
              <w:spacing w:after="0" w:line="240" w:lineRule="auto"/>
              <w:jc w:val="center"/>
              <w:rPr>
                <w:rFonts w:ascii="Calibri" w:eastAsia="Times New Roman" w:hAnsi="Calibri" w:cs="Calibri"/>
                <w:lang w:val="en-US"/>
              </w:rPr>
            </w:pPr>
            <w:r w:rsidRPr="00357869">
              <w:rPr>
                <w:rFonts w:ascii="Calibri" w:eastAsia="Times New Roman" w:hAnsi="Calibri" w:cs="Calibri"/>
                <w:color w:val="000000"/>
                <w:lang w:val="en-US"/>
              </w:rPr>
              <w:t>30-44</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3932" w14:textId="77777777" w:rsidR="00FD6BED" w:rsidRPr="00357869" w:rsidRDefault="00FD6BED" w:rsidP="00FD6BED">
            <w:pPr>
              <w:spacing w:after="0" w:line="240" w:lineRule="auto"/>
              <w:jc w:val="center"/>
              <w:rPr>
                <w:rFonts w:ascii="Calibri" w:eastAsia="Times New Roman" w:hAnsi="Calibri" w:cs="Calibri"/>
                <w:lang w:val="en-US"/>
              </w:rPr>
            </w:pPr>
            <w:r w:rsidRPr="00357869">
              <w:rPr>
                <w:rFonts w:ascii="Calibri" w:eastAsia="Times New Roman" w:hAnsi="Calibri" w:cs="Calibri"/>
                <w:color w:val="000000"/>
                <w:lang w:val="en-US"/>
              </w:rPr>
              <w:t>45-64</w:t>
            </w:r>
          </w:p>
        </w:tc>
      </w:tr>
      <w:tr w:rsidR="00F4797D" w:rsidRPr="00357869" w14:paraId="317FA9B8" w14:textId="77777777" w:rsidTr="00F4797D">
        <w:trPr>
          <w:trHeight w:val="254"/>
        </w:trPr>
        <w:tc>
          <w:tcPr>
            <w:tcW w:w="1638" w:type="dxa"/>
            <w:tcBorders>
              <w:top w:val="nil"/>
              <w:left w:val="nil"/>
              <w:bottom w:val="single" w:sz="4" w:space="0" w:color="auto"/>
              <w:right w:val="single" w:sz="4" w:space="0" w:color="auto"/>
            </w:tcBorders>
            <w:shd w:val="clear" w:color="auto" w:fill="auto"/>
            <w:noWrap/>
            <w:vAlign w:val="bottom"/>
            <w:hideMark/>
          </w:tcPr>
          <w:p w14:paraId="2175BE8B" w14:textId="77777777" w:rsidR="00F4797D" w:rsidRPr="00357869" w:rsidRDefault="00F4797D" w:rsidP="00F4797D">
            <w:pPr>
              <w:spacing w:after="0" w:line="240" w:lineRule="auto"/>
              <w:rPr>
                <w:rFonts w:ascii="Calibri" w:eastAsia="Times New Roman" w:hAnsi="Calibri" w:cs="Calibri"/>
                <w:lang w:val="en-US"/>
              </w:rPr>
            </w:pPr>
          </w:p>
        </w:tc>
        <w:tc>
          <w:tcPr>
            <w:tcW w:w="1046" w:type="dxa"/>
            <w:tcBorders>
              <w:top w:val="single" w:sz="4" w:space="0" w:color="auto"/>
              <w:left w:val="single" w:sz="4" w:space="0" w:color="auto"/>
              <w:bottom w:val="single" w:sz="4" w:space="0" w:color="auto"/>
              <w:right w:val="nil"/>
            </w:tcBorders>
            <w:shd w:val="clear" w:color="auto" w:fill="auto"/>
            <w:noWrap/>
            <w:vAlign w:val="bottom"/>
            <w:hideMark/>
          </w:tcPr>
          <w:p w14:paraId="3D1BA606" w14:textId="56375363"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Women</w:t>
            </w:r>
          </w:p>
        </w:tc>
        <w:tc>
          <w:tcPr>
            <w:tcW w:w="712" w:type="dxa"/>
            <w:tcBorders>
              <w:top w:val="single" w:sz="4" w:space="0" w:color="auto"/>
              <w:left w:val="nil"/>
              <w:bottom w:val="single" w:sz="4" w:space="0" w:color="auto"/>
              <w:right w:val="nil"/>
            </w:tcBorders>
            <w:shd w:val="clear" w:color="auto" w:fill="auto"/>
            <w:noWrap/>
            <w:vAlign w:val="bottom"/>
            <w:hideMark/>
          </w:tcPr>
          <w:p w14:paraId="68BD119D" w14:textId="06CEAFCE"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Men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9A148" w14:textId="40F57CBA" w:rsidR="00F4797D" w:rsidRPr="00357869" w:rsidRDefault="00F4797D" w:rsidP="00F4797D">
            <w:pPr>
              <w:spacing w:after="0" w:line="240" w:lineRule="auto"/>
              <w:jc w:val="center"/>
              <w:rPr>
                <w:rFonts w:ascii="Calibri" w:eastAsia="Times New Roman" w:hAnsi="Calibri" w:cs="Calibri"/>
                <w:color w:val="000000"/>
                <w:vertAlign w:val="subscript"/>
                <w:lang w:val="en-US"/>
              </w:rPr>
            </w:pPr>
            <w:r w:rsidRPr="00357869">
              <w:rPr>
                <w:rFonts w:ascii="Calibri" w:eastAsia="Times New Roman" w:hAnsi="Calibri" w:cs="Calibri"/>
                <w:color w:val="000000"/>
                <w:lang w:val="en-US"/>
              </w:rPr>
              <w:t>(W</w:t>
            </w:r>
            <w:r w:rsidRPr="00357869">
              <w:rPr>
                <w:rFonts w:ascii="Calibri" w:eastAsia="Times New Roman" w:hAnsi="Calibri" w:cs="Calibri"/>
                <w:color w:val="000000"/>
                <w:vertAlign w:val="subscript"/>
                <w:lang w:val="en-US"/>
              </w:rPr>
              <w:t>17</w:t>
            </w:r>
            <w:r w:rsidRPr="00357869">
              <w:rPr>
                <w:rFonts w:ascii="Calibri" w:eastAsia="Times New Roman" w:hAnsi="Calibri" w:cs="Calibri"/>
                <w:color w:val="000000"/>
                <w:lang w:val="en-US"/>
              </w:rPr>
              <w:t>-W</w:t>
            </w:r>
            <w:r w:rsidRPr="00357869">
              <w:rPr>
                <w:rFonts w:ascii="Calibri" w:eastAsia="Times New Roman" w:hAnsi="Calibri" w:cs="Calibri"/>
                <w:color w:val="000000"/>
                <w:vertAlign w:val="subscript"/>
                <w:lang w:val="en-US"/>
              </w:rPr>
              <w:t xml:space="preserve">5) </w:t>
            </w:r>
          </w:p>
          <w:p w14:paraId="618D1A8D" w14:textId="77777777"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 xml:space="preserve">– </w:t>
            </w:r>
          </w:p>
          <w:p w14:paraId="7D40736D" w14:textId="69E461E0"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(M</w:t>
            </w:r>
            <w:r w:rsidRPr="00357869">
              <w:rPr>
                <w:rFonts w:ascii="Calibri" w:eastAsia="Times New Roman" w:hAnsi="Calibri" w:cs="Calibri"/>
                <w:color w:val="000000"/>
                <w:vertAlign w:val="subscript"/>
                <w:lang w:val="en-US"/>
              </w:rPr>
              <w:t>17</w:t>
            </w:r>
            <w:r w:rsidRPr="00357869">
              <w:rPr>
                <w:rFonts w:ascii="Calibri" w:eastAsia="Times New Roman" w:hAnsi="Calibri" w:cs="Calibri"/>
                <w:color w:val="000000"/>
                <w:lang w:val="en-US"/>
              </w:rPr>
              <w:t>-M</w:t>
            </w:r>
            <w:r w:rsidRPr="00357869">
              <w:rPr>
                <w:rFonts w:ascii="Calibri" w:eastAsia="Times New Roman" w:hAnsi="Calibri" w:cs="Calibri"/>
                <w:color w:val="000000"/>
                <w:vertAlign w:val="subscript"/>
                <w:lang w:val="en-US"/>
              </w:rPr>
              <w:t>5)</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2C99257E" w14:textId="02DDADB5"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Women</w:t>
            </w:r>
          </w:p>
        </w:tc>
        <w:tc>
          <w:tcPr>
            <w:tcW w:w="708" w:type="dxa"/>
            <w:tcBorders>
              <w:top w:val="single" w:sz="4" w:space="0" w:color="auto"/>
              <w:left w:val="nil"/>
              <w:bottom w:val="single" w:sz="4" w:space="0" w:color="auto"/>
              <w:right w:val="nil"/>
            </w:tcBorders>
            <w:shd w:val="clear" w:color="auto" w:fill="auto"/>
            <w:noWrap/>
            <w:vAlign w:val="bottom"/>
            <w:hideMark/>
          </w:tcPr>
          <w:p w14:paraId="0A402739" w14:textId="5E405E1F"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Men</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35BC1400" w14:textId="77777777" w:rsidR="00F4797D" w:rsidRPr="00357869" w:rsidRDefault="00F4797D" w:rsidP="00F4797D">
            <w:pPr>
              <w:spacing w:after="0" w:line="240" w:lineRule="auto"/>
              <w:jc w:val="center"/>
              <w:rPr>
                <w:rFonts w:ascii="Calibri" w:eastAsia="Times New Roman" w:hAnsi="Calibri" w:cs="Calibri"/>
                <w:color w:val="000000"/>
                <w:vertAlign w:val="subscript"/>
                <w:lang w:val="en-US"/>
              </w:rPr>
            </w:pPr>
            <w:r w:rsidRPr="00357869">
              <w:rPr>
                <w:rFonts w:ascii="Calibri" w:eastAsia="Times New Roman" w:hAnsi="Calibri" w:cs="Calibri"/>
                <w:color w:val="000000"/>
                <w:lang w:val="en-US"/>
              </w:rPr>
              <w:t>(W</w:t>
            </w:r>
            <w:r w:rsidRPr="00357869">
              <w:rPr>
                <w:rFonts w:ascii="Calibri" w:eastAsia="Times New Roman" w:hAnsi="Calibri" w:cs="Calibri"/>
                <w:color w:val="000000"/>
                <w:vertAlign w:val="subscript"/>
                <w:lang w:val="en-US"/>
              </w:rPr>
              <w:t>17</w:t>
            </w:r>
            <w:r w:rsidRPr="00357869">
              <w:rPr>
                <w:rFonts w:ascii="Calibri" w:eastAsia="Times New Roman" w:hAnsi="Calibri" w:cs="Calibri"/>
                <w:color w:val="000000"/>
                <w:lang w:val="en-US"/>
              </w:rPr>
              <w:t>-W</w:t>
            </w:r>
            <w:r w:rsidRPr="00357869">
              <w:rPr>
                <w:rFonts w:ascii="Calibri" w:eastAsia="Times New Roman" w:hAnsi="Calibri" w:cs="Calibri"/>
                <w:color w:val="000000"/>
                <w:vertAlign w:val="subscript"/>
                <w:lang w:val="en-US"/>
              </w:rPr>
              <w:t xml:space="preserve">5) </w:t>
            </w:r>
          </w:p>
          <w:p w14:paraId="0B58123B" w14:textId="77777777"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 xml:space="preserve">– </w:t>
            </w:r>
          </w:p>
          <w:p w14:paraId="197CB505" w14:textId="4CC006D3"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(M</w:t>
            </w:r>
            <w:r w:rsidRPr="00357869">
              <w:rPr>
                <w:rFonts w:ascii="Calibri" w:eastAsia="Times New Roman" w:hAnsi="Calibri" w:cs="Calibri"/>
                <w:color w:val="000000"/>
                <w:vertAlign w:val="subscript"/>
                <w:lang w:val="en-US"/>
              </w:rPr>
              <w:t>17</w:t>
            </w:r>
            <w:r w:rsidRPr="00357869">
              <w:rPr>
                <w:rFonts w:ascii="Calibri" w:eastAsia="Times New Roman" w:hAnsi="Calibri" w:cs="Calibri"/>
                <w:color w:val="000000"/>
                <w:lang w:val="en-US"/>
              </w:rPr>
              <w:t>-M</w:t>
            </w:r>
            <w:r w:rsidRPr="00357869">
              <w:rPr>
                <w:rFonts w:ascii="Calibri" w:eastAsia="Times New Roman" w:hAnsi="Calibri" w:cs="Calibri"/>
                <w:color w:val="000000"/>
                <w:vertAlign w:val="subscript"/>
                <w:lang w:val="en-US"/>
              </w:rPr>
              <w:t>5)</w:t>
            </w:r>
          </w:p>
        </w:tc>
        <w:tc>
          <w:tcPr>
            <w:tcW w:w="953" w:type="dxa"/>
            <w:tcBorders>
              <w:top w:val="single" w:sz="4" w:space="0" w:color="auto"/>
              <w:left w:val="single" w:sz="4" w:space="0" w:color="auto"/>
              <w:bottom w:val="single" w:sz="4" w:space="0" w:color="auto"/>
              <w:right w:val="nil"/>
            </w:tcBorders>
            <w:shd w:val="clear" w:color="auto" w:fill="auto"/>
            <w:noWrap/>
            <w:vAlign w:val="bottom"/>
            <w:hideMark/>
          </w:tcPr>
          <w:p w14:paraId="60393411" w14:textId="64AE962A"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Women</w:t>
            </w:r>
          </w:p>
        </w:tc>
        <w:tc>
          <w:tcPr>
            <w:tcW w:w="760" w:type="dxa"/>
            <w:tcBorders>
              <w:top w:val="single" w:sz="4" w:space="0" w:color="auto"/>
              <w:left w:val="nil"/>
              <w:bottom w:val="single" w:sz="4" w:space="0" w:color="auto"/>
              <w:right w:val="nil"/>
            </w:tcBorders>
            <w:shd w:val="clear" w:color="auto" w:fill="auto"/>
            <w:noWrap/>
            <w:vAlign w:val="bottom"/>
            <w:hideMark/>
          </w:tcPr>
          <w:p w14:paraId="0D8F534F" w14:textId="24AB03E0"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Men</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25F7592C" w14:textId="77777777" w:rsidR="00F4797D" w:rsidRPr="00357869" w:rsidRDefault="00F4797D" w:rsidP="00F4797D">
            <w:pPr>
              <w:spacing w:after="0" w:line="240" w:lineRule="auto"/>
              <w:jc w:val="center"/>
              <w:rPr>
                <w:rFonts w:ascii="Calibri" w:eastAsia="Times New Roman" w:hAnsi="Calibri" w:cs="Calibri"/>
                <w:color w:val="000000"/>
                <w:vertAlign w:val="subscript"/>
                <w:lang w:val="en-US"/>
              </w:rPr>
            </w:pPr>
            <w:r w:rsidRPr="00357869">
              <w:rPr>
                <w:rFonts w:ascii="Calibri" w:eastAsia="Times New Roman" w:hAnsi="Calibri" w:cs="Calibri"/>
                <w:color w:val="000000"/>
                <w:lang w:val="en-US"/>
              </w:rPr>
              <w:t>(W</w:t>
            </w:r>
            <w:r w:rsidRPr="00357869">
              <w:rPr>
                <w:rFonts w:ascii="Calibri" w:eastAsia="Times New Roman" w:hAnsi="Calibri" w:cs="Calibri"/>
                <w:color w:val="000000"/>
                <w:vertAlign w:val="subscript"/>
                <w:lang w:val="en-US"/>
              </w:rPr>
              <w:t>17</w:t>
            </w:r>
            <w:r w:rsidRPr="00357869">
              <w:rPr>
                <w:rFonts w:ascii="Calibri" w:eastAsia="Times New Roman" w:hAnsi="Calibri" w:cs="Calibri"/>
                <w:color w:val="000000"/>
                <w:lang w:val="en-US"/>
              </w:rPr>
              <w:t>-W</w:t>
            </w:r>
            <w:r w:rsidRPr="00357869">
              <w:rPr>
                <w:rFonts w:ascii="Calibri" w:eastAsia="Times New Roman" w:hAnsi="Calibri" w:cs="Calibri"/>
                <w:color w:val="000000"/>
                <w:vertAlign w:val="subscript"/>
                <w:lang w:val="en-US"/>
              </w:rPr>
              <w:t xml:space="preserve">5) </w:t>
            </w:r>
          </w:p>
          <w:p w14:paraId="1D24C22E" w14:textId="77777777"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 xml:space="preserve">– </w:t>
            </w:r>
          </w:p>
          <w:p w14:paraId="560FA6D2" w14:textId="263A2658" w:rsidR="00F4797D" w:rsidRPr="00357869" w:rsidRDefault="00F4797D" w:rsidP="00F4797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(M</w:t>
            </w:r>
            <w:r w:rsidRPr="00357869">
              <w:rPr>
                <w:rFonts w:ascii="Calibri" w:eastAsia="Times New Roman" w:hAnsi="Calibri" w:cs="Calibri"/>
                <w:color w:val="000000"/>
                <w:vertAlign w:val="subscript"/>
                <w:lang w:val="en-US"/>
              </w:rPr>
              <w:t>17</w:t>
            </w:r>
            <w:r w:rsidRPr="00357869">
              <w:rPr>
                <w:rFonts w:ascii="Calibri" w:eastAsia="Times New Roman" w:hAnsi="Calibri" w:cs="Calibri"/>
                <w:color w:val="000000"/>
                <w:lang w:val="en-US"/>
              </w:rPr>
              <w:t>-M</w:t>
            </w:r>
            <w:r w:rsidRPr="00357869">
              <w:rPr>
                <w:rFonts w:ascii="Calibri" w:eastAsia="Times New Roman" w:hAnsi="Calibri" w:cs="Calibri"/>
                <w:color w:val="000000"/>
                <w:vertAlign w:val="subscript"/>
                <w:lang w:val="en-US"/>
              </w:rPr>
              <w:t>5)</w:t>
            </w:r>
          </w:p>
        </w:tc>
      </w:tr>
      <w:tr w:rsidR="00F4797D" w:rsidRPr="00357869" w14:paraId="118803BC" w14:textId="77777777" w:rsidTr="003065B9">
        <w:trPr>
          <w:trHeight w:val="170"/>
        </w:trPr>
        <w:tc>
          <w:tcPr>
            <w:tcW w:w="1638" w:type="dxa"/>
            <w:tcBorders>
              <w:top w:val="single" w:sz="4" w:space="0" w:color="auto"/>
              <w:left w:val="single" w:sz="4" w:space="0" w:color="auto"/>
              <w:bottom w:val="nil"/>
              <w:right w:val="single" w:sz="4" w:space="0" w:color="auto"/>
            </w:tcBorders>
            <w:shd w:val="clear" w:color="auto" w:fill="auto"/>
            <w:noWrap/>
            <w:vAlign w:val="bottom"/>
            <w:hideMark/>
          </w:tcPr>
          <w:p w14:paraId="099ED31C" w14:textId="6BBD7BCC" w:rsidR="00FD6BED" w:rsidRPr="00357869" w:rsidRDefault="00F4797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COLLEGE</w:t>
            </w:r>
          </w:p>
        </w:tc>
        <w:tc>
          <w:tcPr>
            <w:tcW w:w="1046" w:type="dxa"/>
            <w:tcBorders>
              <w:top w:val="single" w:sz="4" w:space="0" w:color="auto"/>
              <w:left w:val="single" w:sz="4" w:space="0" w:color="auto"/>
              <w:bottom w:val="nil"/>
              <w:right w:val="nil"/>
            </w:tcBorders>
            <w:shd w:val="clear" w:color="auto" w:fill="auto"/>
            <w:noWrap/>
            <w:vAlign w:val="bottom"/>
            <w:hideMark/>
          </w:tcPr>
          <w:p w14:paraId="2D1595CA"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712" w:type="dxa"/>
            <w:tcBorders>
              <w:top w:val="single" w:sz="4" w:space="0" w:color="auto"/>
              <w:left w:val="nil"/>
              <w:bottom w:val="nil"/>
              <w:right w:val="nil"/>
            </w:tcBorders>
            <w:shd w:val="clear" w:color="auto" w:fill="auto"/>
            <w:noWrap/>
            <w:vAlign w:val="bottom"/>
            <w:hideMark/>
          </w:tcPr>
          <w:p w14:paraId="30203E33" w14:textId="77777777" w:rsidR="00FD6BED" w:rsidRPr="00357869" w:rsidRDefault="00FD6BED" w:rsidP="00FD6BED">
            <w:pPr>
              <w:spacing w:after="0" w:line="240" w:lineRule="auto"/>
              <w:jc w:val="center"/>
              <w:rPr>
                <w:rFonts w:ascii="Calibri" w:eastAsia="Times New Roman" w:hAnsi="Calibri" w:cs="Calibri"/>
                <w:lang w:val="en-US"/>
              </w:rPr>
            </w:pPr>
          </w:p>
        </w:tc>
        <w:tc>
          <w:tcPr>
            <w:tcW w:w="1134" w:type="dxa"/>
            <w:tcBorders>
              <w:top w:val="single" w:sz="4" w:space="0" w:color="auto"/>
              <w:left w:val="nil"/>
              <w:bottom w:val="nil"/>
              <w:right w:val="single" w:sz="4" w:space="0" w:color="auto"/>
            </w:tcBorders>
            <w:shd w:val="clear" w:color="auto" w:fill="auto"/>
            <w:noWrap/>
            <w:vAlign w:val="bottom"/>
            <w:hideMark/>
          </w:tcPr>
          <w:p w14:paraId="5FFEFFDE" w14:textId="77777777" w:rsidR="00FD6BED" w:rsidRPr="00357869" w:rsidRDefault="00FD6BED" w:rsidP="00FD6BED">
            <w:pPr>
              <w:spacing w:after="0" w:line="240" w:lineRule="auto"/>
              <w:jc w:val="center"/>
              <w:rPr>
                <w:rFonts w:ascii="Calibri" w:eastAsia="Times New Roman" w:hAnsi="Calibri" w:cs="Calibri"/>
                <w:lang w:val="en-US"/>
              </w:rPr>
            </w:pPr>
          </w:p>
        </w:tc>
        <w:tc>
          <w:tcPr>
            <w:tcW w:w="993" w:type="dxa"/>
            <w:tcBorders>
              <w:top w:val="single" w:sz="4" w:space="0" w:color="auto"/>
              <w:left w:val="single" w:sz="4" w:space="0" w:color="auto"/>
              <w:bottom w:val="nil"/>
              <w:right w:val="nil"/>
            </w:tcBorders>
            <w:shd w:val="clear" w:color="auto" w:fill="auto"/>
            <w:noWrap/>
            <w:vAlign w:val="bottom"/>
            <w:hideMark/>
          </w:tcPr>
          <w:p w14:paraId="54AAE394" w14:textId="77777777" w:rsidR="00FD6BED" w:rsidRPr="00357869" w:rsidRDefault="00FD6BED" w:rsidP="00FD6BED">
            <w:pPr>
              <w:spacing w:after="0" w:line="240" w:lineRule="auto"/>
              <w:jc w:val="center"/>
              <w:rPr>
                <w:rFonts w:ascii="Calibri" w:eastAsia="Times New Roman" w:hAnsi="Calibri" w:cs="Calibri"/>
                <w:lang w:val="en-US"/>
              </w:rPr>
            </w:pPr>
          </w:p>
        </w:tc>
        <w:tc>
          <w:tcPr>
            <w:tcW w:w="708" w:type="dxa"/>
            <w:tcBorders>
              <w:top w:val="single" w:sz="4" w:space="0" w:color="auto"/>
              <w:left w:val="nil"/>
              <w:bottom w:val="nil"/>
              <w:right w:val="nil"/>
            </w:tcBorders>
            <w:shd w:val="clear" w:color="auto" w:fill="auto"/>
            <w:noWrap/>
            <w:vAlign w:val="bottom"/>
            <w:hideMark/>
          </w:tcPr>
          <w:p w14:paraId="3AE98F3D" w14:textId="77777777" w:rsidR="00FD6BED" w:rsidRPr="00357869" w:rsidRDefault="00FD6BED" w:rsidP="00FD6BED">
            <w:pPr>
              <w:spacing w:after="0" w:line="240" w:lineRule="auto"/>
              <w:jc w:val="center"/>
              <w:rPr>
                <w:rFonts w:ascii="Calibri" w:eastAsia="Times New Roman" w:hAnsi="Calibri" w:cs="Calibri"/>
                <w:lang w:val="en-US"/>
              </w:rPr>
            </w:pPr>
          </w:p>
        </w:tc>
        <w:tc>
          <w:tcPr>
            <w:tcW w:w="1087" w:type="dxa"/>
            <w:tcBorders>
              <w:top w:val="single" w:sz="4" w:space="0" w:color="auto"/>
              <w:left w:val="nil"/>
              <w:bottom w:val="nil"/>
              <w:right w:val="single" w:sz="4" w:space="0" w:color="auto"/>
            </w:tcBorders>
            <w:shd w:val="clear" w:color="auto" w:fill="auto"/>
            <w:noWrap/>
            <w:vAlign w:val="bottom"/>
            <w:hideMark/>
          </w:tcPr>
          <w:p w14:paraId="2D28F546" w14:textId="77777777" w:rsidR="00FD6BED" w:rsidRPr="00357869" w:rsidRDefault="00FD6BED" w:rsidP="00FD6BED">
            <w:pPr>
              <w:spacing w:after="0" w:line="240" w:lineRule="auto"/>
              <w:jc w:val="center"/>
              <w:rPr>
                <w:rFonts w:ascii="Calibri" w:eastAsia="Times New Roman" w:hAnsi="Calibri" w:cs="Calibri"/>
                <w:lang w:val="en-US"/>
              </w:rPr>
            </w:pPr>
          </w:p>
        </w:tc>
        <w:tc>
          <w:tcPr>
            <w:tcW w:w="953" w:type="dxa"/>
            <w:tcBorders>
              <w:top w:val="single" w:sz="4" w:space="0" w:color="auto"/>
              <w:left w:val="single" w:sz="4" w:space="0" w:color="auto"/>
              <w:bottom w:val="nil"/>
              <w:right w:val="nil"/>
            </w:tcBorders>
            <w:shd w:val="clear" w:color="auto" w:fill="auto"/>
            <w:noWrap/>
            <w:vAlign w:val="bottom"/>
            <w:hideMark/>
          </w:tcPr>
          <w:p w14:paraId="1756374E" w14:textId="77777777" w:rsidR="00FD6BED" w:rsidRPr="00357869" w:rsidRDefault="00FD6BED" w:rsidP="00FD6BED">
            <w:pPr>
              <w:spacing w:after="0" w:line="240" w:lineRule="auto"/>
              <w:jc w:val="center"/>
              <w:rPr>
                <w:rFonts w:ascii="Calibri" w:eastAsia="Times New Roman" w:hAnsi="Calibri" w:cs="Calibri"/>
                <w:lang w:val="en-US"/>
              </w:rPr>
            </w:pPr>
          </w:p>
        </w:tc>
        <w:tc>
          <w:tcPr>
            <w:tcW w:w="760" w:type="dxa"/>
            <w:tcBorders>
              <w:top w:val="single" w:sz="4" w:space="0" w:color="auto"/>
              <w:left w:val="nil"/>
              <w:bottom w:val="nil"/>
              <w:right w:val="nil"/>
            </w:tcBorders>
            <w:shd w:val="clear" w:color="auto" w:fill="auto"/>
            <w:noWrap/>
            <w:vAlign w:val="bottom"/>
            <w:hideMark/>
          </w:tcPr>
          <w:p w14:paraId="619459A4" w14:textId="77777777" w:rsidR="00FD6BED" w:rsidRPr="00357869" w:rsidRDefault="00FD6BED" w:rsidP="00FD6BED">
            <w:pPr>
              <w:spacing w:after="0" w:line="240" w:lineRule="auto"/>
              <w:jc w:val="center"/>
              <w:rPr>
                <w:rFonts w:ascii="Calibri" w:eastAsia="Times New Roman" w:hAnsi="Calibri" w:cs="Calibri"/>
                <w:lang w:val="en-US"/>
              </w:rPr>
            </w:pPr>
          </w:p>
        </w:tc>
        <w:tc>
          <w:tcPr>
            <w:tcW w:w="1034" w:type="dxa"/>
            <w:tcBorders>
              <w:top w:val="single" w:sz="4" w:space="0" w:color="auto"/>
              <w:left w:val="nil"/>
              <w:bottom w:val="nil"/>
              <w:right w:val="single" w:sz="4" w:space="0" w:color="auto"/>
            </w:tcBorders>
            <w:shd w:val="clear" w:color="auto" w:fill="auto"/>
            <w:noWrap/>
            <w:vAlign w:val="bottom"/>
            <w:hideMark/>
          </w:tcPr>
          <w:p w14:paraId="133FCC29" w14:textId="77777777" w:rsidR="00FD6BED" w:rsidRPr="00357869" w:rsidRDefault="00FD6BED" w:rsidP="00FD6BED">
            <w:pPr>
              <w:spacing w:after="0" w:line="240" w:lineRule="auto"/>
              <w:jc w:val="center"/>
              <w:rPr>
                <w:rFonts w:ascii="Calibri" w:eastAsia="Times New Roman" w:hAnsi="Calibri" w:cs="Calibri"/>
                <w:lang w:val="en-US"/>
              </w:rPr>
            </w:pPr>
          </w:p>
        </w:tc>
      </w:tr>
      <w:tr w:rsidR="00F4797D" w:rsidRPr="00357869" w14:paraId="1321ED74" w14:textId="77777777" w:rsidTr="00F4797D">
        <w:trPr>
          <w:trHeight w:val="254"/>
        </w:trPr>
        <w:tc>
          <w:tcPr>
            <w:tcW w:w="1638" w:type="dxa"/>
            <w:tcBorders>
              <w:top w:val="nil"/>
              <w:left w:val="single" w:sz="4" w:space="0" w:color="auto"/>
              <w:bottom w:val="nil"/>
              <w:right w:val="single" w:sz="4" w:space="0" w:color="auto"/>
            </w:tcBorders>
            <w:shd w:val="clear" w:color="auto" w:fill="auto"/>
            <w:noWrap/>
            <w:vAlign w:val="bottom"/>
            <w:hideMark/>
          </w:tcPr>
          <w:p w14:paraId="2A03F7AC" w14:textId="7777777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2005</w:t>
            </w:r>
          </w:p>
        </w:tc>
        <w:tc>
          <w:tcPr>
            <w:tcW w:w="1046" w:type="dxa"/>
            <w:tcBorders>
              <w:top w:val="nil"/>
              <w:left w:val="single" w:sz="4" w:space="0" w:color="auto"/>
              <w:bottom w:val="nil"/>
              <w:right w:val="nil"/>
            </w:tcBorders>
            <w:shd w:val="clear" w:color="auto" w:fill="auto"/>
            <w:noWrap/>
            <w:vAlign w:val="bottom"/>
            <w:hideMark/>
          </w:tcPr>
          <w:p w14:paraId="75415A0C" w14:textId="7480E2F1"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23</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2</w:t>
            </w:r>
          </w:p>
        </w:tc>
        <w:tc>
          <w:tcPr>
            <w:tcW w:w="712" w:type="dxa"/>
            <w:tcBorders>
              <w:top w:val="nil"/>
              <w:left w:val="nil"/>
              <w:bottom w:val="nil"/>
              <w:right w:val="nil"/>
            </w:tcBorders>
            <w:shd w:val="clear" w:color="auto" w:fill="auto"/>
            <w:noWrap/>
            <w:vAlign w:val="bottom"/>
            <w:hideMark/>
          </w:tcPr>
          <w:p w14:paraId="67287305" w14:textId="058B6B28"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8</w:t>
            </w:r>
          </w:p>
        </w:tc>
        <w:tc>
          <w:tcPr>
            <w:tcW w:w="1134" w:type="dxa"/>
            <w:tcBorders>
              <w:top w:val="nil"/>
              <w:left w:val="nil"/>
              <w:bottom w:val="nil"/>
              <w:right w:val="single" w:sz="4" w:space="0" w:color="auto"/>
            </w:tcBorders>
            <w:shd w:val="clear" w:color="auto" w:fill="auto"/>
            <w:noWrap/>
            <w:vAlign w:val="bottom"/>
            <w:hideMark/>
          </w:tcPr>
          <w:p w14:paraId="15D17FFA"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993" w:type="dxa"/>
            <w:tcBorders>
              <w:top w:val="nil"/>
              <w:left w:val="single" w:sz="4" w:space="0" w:color="auto"/>
              <w:bottom w:val="nil"/>
              <w:right w:val="nil"/>
            </w:tcBorders>
            <w:shd w:val="clear" w:color="auto" w:fill="auto"/>
            <w:noWrap/>
            <w:vAlign w:val="bottom"/>
            <w:hideMark/>
          </w:tcPr>
          <w:p w14:paraId="212768A6" w14:textId="537AB9C1"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5</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5</w:t>
            </w:r>
          </w:p>
        </w:tc>
        <w:tc>
          <w:tcPr>
            <w:tcW w:w="708" w:type="dxa"/>
            <w:tcBorders>
              <w:top w:val="nil"/>
              <w:left w:val="nil"/>
              <w:bottom w:val="nil"/>
              <w:right w:val="nil"/>
            </w:tcBorders>
            <w:shd w:val="clear" w:color="auto" w:fill="auto"/>
            <w:noWrap/>
            <w:vAlign w:val="bottom"/>
            <w:hideMark/>
          </w:tcPr>
          <w:p w14:paraId="7FE65F13" w14:textId="590ADA22"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3</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5</w:t>
            </w:r>
          </w:p>
        </w:tc>
        <w:tc>
          <w:tcPr>
            <w:tcW w:w="1087" w:type="dxa"/>
            <w:tcBorders>
              <w:top w:val="nil"/>
              <w:left w:val="nil"/>
              <w:bottom w:val="nil"/>
              <w:right w:val="single" w:sz="4" w:space="0" w:color="auto"/>
            </w:tcBorders>
            <w:shd w:val="clear" w:color="auto" w:fill="auto"/>
            <w:noWrap/>
            <w:vAlign w:val="bottom"/>
            <w:hideMark/>
          </w:tcPr>
          <w:p w14:paraId="43DA53A3"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953" w:type="dxa"/>
            <w:tcBorders>
              <w:top w:val="nil"/>
              <w:left w:val="single" w:sz="4" w:space="0" w:color="auto"/>
              <w:bottom w:val="nil"/>
              <w:right w:val="nil"/>
            </w:tcBorders>
            <w:shd w:val="clear" w:color="auto" w:fill="auto"/>
            <w:noWrap/>
            <w:vAlign w:val="bottom"/>
            <w:hideMark/>
          </w:tcPr>
          <w:p w14:paraId="29C7783F" w14:textId="2BF6A93E"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7</w:t>
            </w:r>
          </w:p>
        </w:tc>
        <w:tc>
          <w:tcPr>
            <w:tcW w:w="760" w:type="dxa"/>
            <w:tcBorders>
              <w:top w:val="nil"/>
              <w:left w:val="nil"/>
              <w:bottom w:val="nil"/>
              <w:right w:val="nil"/>
            </w:tcBorders>
            <w:shd w:val="clear" w:color="auto" w:fill="auto"/>
            <w:noWrap/>
            <w:vAlign w:val="bottom"/>
            <w:hideMark/>
          </w:tcPr>
          <w:p w14:paraId="645CCF2B" w14:textId="7091B61A"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3</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0</w:t>
            </w:r>
          </w:p>
        </w:tc>
        <w:tc>
          <w:tcPr>
            <w:tcW w:w="1034" w:type="dxa"/>
            <w:tcBorders>
              <w:top w:val="nil"/>
              <w:left w:val="nil"/>
              <w:bottom w:val="nil"/>
              <w:right w:val="single" w:sz="4" w:space="0" w:color="auto"/>
            </w:tcBorders>
            <w:shd w:val="clear" w:color="auto" w:fill="auto"/>
            <w:noWrap/>
            <w:vAlign w:val="bottom"/>
            <w:hideMark/>
          </w:tcPr>
          <w:p w14:paraId="57848CFF" w14:textId="77777777" w:rsidR="00FD6BED" w:rsidRPr="00357869" w:rsidRDefault="00FD6BED" w:rsidP="00FD6BED">
            <w:pPr>
              <w:spacing w:after="0" w:line="240" w:lineRule="auto"/>
              <w:jc w:val="center"/>
              <w:rPr>
                <w:rFonts w:ascii="Calibri" w:eastAsia="Times New Roman" w:hAnsi="Calibri" w:cs="Calibri"/>
                <w:color w:val="000000"/>
                <w:lang w:val="en-US"/>
              </w:rPr>
            </w:pPr>
          </w:p>
        </w:tc>
      </w:tr>
      <w:tr w:rsidR="00F4797D" w:rsidRPr="00357869" w14:paraId="2A247647" w14:textId="77777777" w:rsidTr="00F4797D">
        <w:trPr>
          <w:trHeight w:val="254"/>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179F3450" w14:textId="7777777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2017</w:t>
            </w:r>
          </w:p>
        </w:tc>
        <w:tc>
          <w:tcPr>
            <w:tcW w:w="1046" w:type="dxa"/>
            <w:tcBorders>
              <w:top w:val="nil"/>
              <w:left w:val="single" w:sz="4" w:space="0" w:color="auto"/>
              <w:bottom w:val="single" w:sz="4" w:space="0" w:color="auto"/>
              <w:right w:val="nil"/>
            </w:tcBorders>
            <w:shd w:val="clear" w:color="auto" w:fill="auto"/>
            <w:noWrap/>
            <w:vAlign w:val="bottom"/>
            <w:hideMark/>
          </w:tcPr>
          <w:p w14:paraId="51A6AB3E" w14:textId="31F8A9E2"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29</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6</w:t>
            </w:r>
          </w:p>
        </w:tc>
        <w:tc>
          <w:tcPr>
            <w:tcW w:w="712" w:type="dxa"/>
            <w:tcBorders>
              <w:top w:val="nil"/>
              <w:left w:val="nil"/>
              <w:bottom w:val="single" w:sz="4" w:space="0" w:color="auto"/>
              <w:right w:val="nil"/>
            </w:tcBorders>
            <w:shd w:val="clear" w:color="auto" w:fill="auto"/>
            <w:noWrap/>
            <w:vAlign w:val="bottom"/>
            <w:hideMark/>
          </w:tcPr>
          <w:p w14:paraId="02043C9F" w14:textId="50D6CC6C"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7966418" w14:textId="06C96958"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7</w:t>
            </w:r>
          </w:p>
        </w:tc>
        <w:tc>
          <w:tcPr>
            <w:tcW w:w="993" w:type="dxa"/>
            <w:tcBorders>
              <w:top w:val="nil"/>
              <w:left w:val="single" w:sz="4" w:space="0" w:color="auto"/>
              <w:bottom w:val="single" w:sz="4" w:space="0" w:color="auto"/>
              <w:right w:val="nil"/>
            </w:tcBorders>
            <w:shd w:val="clear" w:color="auto" w:fill="auto"/>
            <w:noWrap/>
            <w:vAlign w:val="bottom"/>
            <w:hideMark/>
          </w:tcPr>
          <w:p w14:paraId="5F8ADFBC" w14:textId="27F6F990"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10</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8</w:t>
            </w:r>
          </w:p>
        </w:tc>
        <w:tc>
          <w:tcPr>
            <w:tcW w:w="708" w:type="dxa"/>
            <w:tcBorders>
              <w:top w:val="nil"/>
              <w:left w:val="nil"/>
              <w:bottom w:val="single" w:sz="4" w:space="0" w:color="auto"/>
              <w:right w:val="nil"/>
            </w:tcBorders>
            <w:shd w:val="clear" w:color="auto" w:fill="auto"/>
            <w:noWrap/>
            <w:vAlign w:val="bottom"/>
            <w:hideMark/>
          </w:tcPr>
          <w:p w14:paraId="6DB6192B" w14:textId="0EE0F54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5</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2</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hideMark/>
          </w:tcPr>
          <w:p w14:paraId="7DF079B5" w14:textId="77C3A352"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3</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5</w:t>
            </w:r>
          </w:p>
        </w:tc>
        <w:tc>
          <w:tcPr>
            <w:tcW w:w="953" w:type="dxa"/>
            <w:tcBorders>
              <w:top w:val="nil"/>
              <w:left w:val="single" w:sz="4" w:space="0" w:color="auto"/>
              <w:bottom w:val="single" w:sz="4" w:space="0" w:color="auto"/>
              <w:right w:val="nil"/>
            </w:tcBorders>
            <w:shd w:val="clear" w:color="auto" w:fill="auto"/>
            <w:noWrap/>
            <w:vAlign w:val="bottom"/>
            <w:hideMark/>
          </w:tcPr>
          <w:p w14:paraId="0D7A14F6" w14:textId="49F398F8"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5</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2</w:t>
            </w:r>
          </w:p>
        </w:tc>
        <w:tc>
          <w:tcPr>
            <w:tcW w:w="760" w:type="dxa"/>
            <w:tcBorders>
              <w:top w:val="nil"/>
              <w:left w:val="nil"/>
              <w:bottom w:val="single" w:sz="4" w:space="0" w:color="auto"/>
              <w:right w:val="nil"/>
            </w:tcBorders>
            <w:shd w:val="clear" w:color="auto" w:fill="auto"/>
            <w:noWrap/>
            <w:vAlign w:val="bottom"/>
            <w:hideMark/>
          </w:tcPr>
          <w:p w14:paraId="1F82CCC1" w14:textId="364588A5"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4</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8</w:t>
            </w:r>
          </w:p>
        </w:tc>
        <w:tc>
          <w:tcPr>
            <w:tcW w:w="1034" w:type="dxa"/>
            <w:tcBorders>
              <w:top w:val="nil"/>
              <w:left w:val="nil"/>
              <w:bottom w:val="single" w:sz="4" w:space="0" w:color="auto"/>
              <w:right w:val="single" w:sz="4" w:space="0" w:color="auto"/>
            </w:tcBorders>
            <w:shd w:val="clear" w:color="auto" w:fill="auto"/>
            <w:noWrap/>
            <w:vAlign w:val="bottom"/>
            <w:hideMark/>
          </w:tcPr>
          <w:p w14:paraId="77F5C21B" w14:textId="76E20AF8"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0</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6</w:t>
            </w:r>
          </w:p>
        </w:tc>
      </w:tr>
      <w:tr w:rsidR="00F4797D" w:rsidRPr="00357869" w14:paraId="173275FB" w14:textId="77777777" w:rsidTr="00F4797D">
        <w:trPr>
          <w:trHeight w:val="254"/>
        </w:trPr>
        <w:tc>
          <w:tcPr>
            <w:tcW w:w="1638" w:type="dxa"/>
            <w:tcBorders>
              <w:top w:val="single" w:sz="4" w:space="0" w:color="auto"/>
              <w:left w:val="single" w:sz="4" w:space="0" w:color="auto"/>
              <w:bottom w:val="nil"/>
              <w:right w:val="single" w:sz="4" w:space="0" w:color="auto"/>
            </w:tcBorders>
            <w:shd w:val="clear" w:color="auto" w:fill="auto"/>
            <w:noWrap/>
            <w:vAlign w:val="bottom"/>
            <w:hideMark/>
          </w:tcPr>
          <w:p w14:paraId="53DA4DFF" w14:textId="299F05FF"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GENE</w:t>
            </w:r>
            <w:r w:rsidR="00F4797D" w:rsidRPr="00357869">
              <w:rPr>
                <w:rFonts w:ascii="Calibri" w:eastAsia="Times New Roman" w:hAnsi="Calibri" w:cs="Calibri"/>
                <w:color w:val="000000"/>
                <w:lang w:val="en-US"/>
              </w:rPr>
              <w:t>RAL HIGH SCHOOL</w:t>
            </w:r>
          </w:p>
        </w:tc>
        <w:tc>
          <w:tcPr>
            <w:tcW w:w="1046" w:type="dxa"/>
            <w:tcBorders>
              <w:top w:val="single" w:sz="4" w:space="0" w:color="auto"/>
              <w:left w:val="single" w:sz="4" w:space="0" w:color="auto"/>
              <w:bottom w:val="nil"/>
              <w:right w:val="nil"/>
            </w:tcBorders>
            <w:shd w:val="clear" w:color="auto" w:fill="auto"/>
            <w:noWrap/>
            <w:vAlign w:val="bottom"/>
            <w:hideMark/>
          </w:tcPr>
          <w:p w14:paraId="78EEFF0F"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712" w:type="dxa"/>
            <w:tcBorders>
              <w:top w:val="single" w:sz="4" w:space="0" w:color="auto"/>
              <w:left w:val="nil"/>
              <w:bottom w:val="nil"/>
              <w:right w:val="nil"/>
            </w:tcBorders>
            <w:shd w:val="clear" w:color="auto" w:fill="auto"/>
            <w:noWrap/>
            <w:vAlign w:val="bottom"/>
            <w:hideMark/>
          </w:tcPr>
          <w:p w14:paraId="03BBD0F9" w14:textId="77777777" w:rsidR="00FD6BED" w:rsidRPr="00357869" w:rsidRDefault="00FD6BED" w:rsidP="00FD6BED">
            <w:pPr>
              <w:spacing w:after="0" w:line="240" w:lineRule="auto"/>
              <w:jc w:val="center"/>
              <w:rPr>
                <w:rFonts w:ascii="Calibri" w:eastAsia="Times New Roman" w:hAnsi="Calibri" w:cs="Calibri"/>
                <w:lang w:val="en-US"/>
              </w:rPr>
            </w:pPr>
          </w:p>
        </w:tc>
        <w:tc>
          <w:tcPr>
            <w:tcW w:w="1134" w:type="dxa"/>
            <w:tcBorders>
              <w:top w:val="single" w:sz="4" w:space="0" w:color="auto"/>
              <w:left w:val="nil"/>
              <w:bottom w:val="nil"/>
              <w:right w:val="single" w:sz="4" w:space="0" w:color="auto"/>
            </w:tcBorders>
            <w:shd w:val="clear" w:color="auto" w:fill="auto"/>
            <w:noWrap/>
            <w:vAlign w:val="bottom"/>
            <w:hideMark/>
          </w:tcPr>
          <w:p w14:paraId="574C90EF" w14:textId="77777777" w:rsidR="00FD6BED" w:rsidRPr="00357869" w:rsidRDefault="00FD6BED" w:rsidP="00FD6BED">
            <w:pPr>
              <w:spacing w:after="0" w:line="240" w:lineRule="auto"/>
              <w:jc w:val="center"/>
              <w:rPr>
                <w:rFonts w:ascii="Calibri" w:eastAsia="Times New Roman" w:hAnsi="Calibri" w:cs="Calibri"/>
                <w:lang w:val="en-US"/>
              </w:rPr>
            </w:pPr>
          </w:p>
        </w:tc>
        <w:tc>
          <w:tcPr>
            <w:tcW w:w="993" w:type="dxa"/>
            <w:tcBorders>
              <w:top w:val="single" w:sz="4" w:space="0" w:color="auto"/>
              <w:left w:val="single" w:sz="4" w:space="0" w:color="auto"/>
              <w:bottom w:val="nil"/>
              <w:right w:val="nil"/>
            </w:tcBorders>
            <w:shd w:val="clear" w:color="auto" w:fill="auto"/>
            <w:noWrap/>
            <w:vAlign w:val="bottom"/>
            <w:hideMark/>
          </w:tcPr>
          <w:p w14:paraId="2F610EAC" w14:textId="77777777" w:rsidR="00FD6BED" w:rsidRPr="00357869" w:rsidRDefault="00FD6BED" w:rsidP="00FD6BED">
            <w:pPr>
              <w:spacing w:after="0" w:line="240" w:lineRule="auto"/>
              <w:jc w:val="center"/>
              <w:rPr>
                <w:rFonts w:ascii="Calibri" w:eastAsia="Times New Roman" w:hAnsi="Calibri" w:cs="Calibri"/>
                <w:lang w:val="en-US"/>
              </w:rPr>
            </w:pPr>
          </w:p>
        </w:tc>
        <w:tc>
          <w:tcPr>
            <w:tcW w:w="708" w:type="dxa"/>
            <w:tcBorders>
              <w:top w:val="single" w:sz="4" w:space="0" w:color="auto"/>
              <w:left w:val="nil"/>
              <w:bottom w:val="nil"/>
              <w:right w:val="nil"/>
            </w:tcBorders>
            <w:shd w:val="clear" w:color="auto" w:fill="auto"/>
            <w:noWrap/>
            <w:vAlign w:val="bottom"/>
            <w:hideMark/>
          </w:tcPr>
          <w:p w14:paraId="397C9AE6" w14:textId="77777777" w:rsidR="00FD6BED" w:rsidRPr="00357869" w:rsidRDefault="00FD6BED" w:rsidP="00FD6BED">
            <w:pPr>
              <w:spacing w:after="0" w:line="240" w:lineRule="auto"/>
              <w:jc w:val="center"/>
              <w:rPr>
                <w:rFonts w:ascii="Calibri" w:eastAsia="Times New Roman" w:hAnsi="Calibri" w:cs="Calibri"/>
                <w:lang w:val="en-US"/>
              </w:rPr>
            </w:pPr>
          </w:p>
        </w:tc>
        <w:tc>
          <w:tcPr>
            <w:tcW w:w="1087" w:type="dxa"/>
            <w:tcBorders>
              <w:top w:val="single" w:sz="4" w:space="0" w:color="auto"/>
              <w:left w:val="nil"/>
              <w:bottom w:val="nil"/>
              <w:right w:val="single" w:sz="4" w:space="0" w:color="auto"/>
            </w:tcBorders>
            <w:shd w:val="clear" w:color="auto" w:fill="auto"/>
            <w:noWrap/>
            <w:vAlign w:val="bottom"/>
            <w:hideMark/>
          </w:tcPr>
          <w:p w14:paraId="7C4F4F27" w14:textId="77777777" w:rsidR="00FD6BED" w:rsidRPr="00357869" w:rsidRDefault="00FD6BED" w:rsidP="00FD6BED">
            <w:pPr>
              <w:spacing w:after="0" w:line="240" w:lineRule="auto"/>
              <w:jc w:val="center"/>
              <w:rPr>
                <w:rFonts w:ascii="Calibri" w:eastAsia="Times New Roman" w:hAnsi="Calibri" w:cs="Calibri"/>
                <w:lang w:val="en-US"/>
              </w:rPr>
            </w:pPr>
          </w:p>
        </w:tc>
        <w:tc>
          <w:tcPr>
            <w:tcW w:w="953" w:type="dxa"/>
            <w:tcBorders>
              <w:top w:val="single" w:sz="4" w:space="0" w:color="auto"/>
              <w:left w:val="single" w:sz="4" w:space="0" w:color="auto"/>
              <w:bottom w:val="nil"/>
              <w:right w:val="nil"/>
            </w:tcBorders>
            <w:shd w:val="clear" w:color="auto" w:fill="auto"/>
            <w:noWrap/>
            <w:vAlign w:val="bottom"/>
            <w:hideMark/>
          </w:tcPr>
          <w:p w14:paraId="099C9710" w14:textId="77777777" w:rsidR="00FD6BED" w:rsidRPr="00357869" w:rsidRDefault="00FD6BED" w:rsidP="00FD6BED">
            <w:pPr>
              <w:spacing w:after="0" w:line="240" w:lineRule="auto"/>
              <w:jc w:val="center"/>
              <w:rPr>
                <w:rFonts w:ascii="Calibri" w:eastAsia="Times New Roman" w:hAnsi="Calibri" w:cs="Calibri"/>
                <w:lang w:val="en-US"/>
              </w:rPr>
            </w:pPr>
          </w:p>
        </w:tc>
        <w:tc>
          <w:tcPr>
            <w:tcW w:w="760" w:type="dxa"/>
            <w:tcBorders>
              <w:top w:val="single" w:sz="4" w:space="0" w:color="auto"/>
              <w:left w:val="nil"/>
              <w:bottom w:val="nil"/>
              <w:right w:val="nil"/>
            </w:tcBorders>
            <w:shd w:val="clear" w:color="auto" w:fill="auto"/>
            <w:noWrap/>
            <w:vAlign w:val="bottom"/>
            <w:hideMark/>
          </w:tcPr>
          <w:p w14:paraId="575BF915" w14:textId="77777777" w:rsidR="00FD6BED" w:rsidRPr="00357869" w:rsidRDefault="00FD6BED" w:rsidP="00FD6BED">
            <w:pPr>
              <w:spacing w:after="0" w:line="240" w:lineRule="auto"/>
              <w:jc w:val="center"/>
              <w:rPr>
                <w:rFonts w:ascii="Calibri" w:eastAsia="Times New Roman" w:hAnsi="Calibri" w:cs="Calibri"/>
                <w:lang w:val="en-US"/>
              </w:rPr>
            </w:pPr>
          </w:p>
        </w:tc>
        <w:tc>
          <w:tcPr>
            <w:tcW w:w="1034" w:type="dxa"/>
            <w:tcBorders>
              <w:top w:val="single" w:sz="4" w:space="0" w:color="auto"/>
              <w:left w:val="nil"/>
              <w:bottom w:val="nil"/>
              <w:right w:val="single" w:sz="4" w:space="0" w:color="auto"/>
            </w:tcBorders>
            <w:shd w:val="clear" w:color="auto" w:fill="auto"/>
            <w:noWrap/>
            <w:vAlign w:val="bottom"/>
            <w:hideMark/>
          </w:tcPr>
          <w:p w14:paraId="7E6F8446" w14:textId="77777777" w:rsidR="00FD6BED" w:rsidRPr="00357869" w:rsidRDefault="00FD6BED" w:rsidP="00FD6BED">
            <w:pPr>
              <w:spacing w:after="0" w:line="240" w:lineRule="auto"/>
              <w:jc w:val="center"/>
              <w:rPr>
                <w:rFonts w:ascii="Calibri" w:eastAsia="Times New Roman" w:hAnsi="Calibri" w:cs="Calibri"/>
                <w:lang w:val="en-US"/>
              </w:rPr>
            </w:pPr>
          </w:p>
        </w:tc>
      </w:tr>
      <w:tr w:rsidR="00F4797D" w:rsidRPr="00357869" w14:paraId="31246B2C" w14:textId="77777777" w:rsidTr="00F4797D">
        <w:trPr>
          <w:trHeight w:val="254"/>
        </w:trPr>
        <w:tc>
          <w:tcPr>
            <w:tcW w:w="1638" w:type="dxa"/>
            <w:tcBorders>
              <w:top w:val="nil"/>
              <w:left w:val="single" w:sz="4" w:space="0" w:color="auto"/>
              <w:bottom w:val="nil"/>
              <w:right w:val="single" w:sz="4" w:space="0" w:color="auto"/>
            </w:tcBorders>
            <w:shd w:val="clear" w:color="auto" w:fill="auto"/>
            <w:noWrap/>
            <w:vAlign w:val="bottom"/>
            <w:hideMark/>
          </w:tcPr>
          <w:p w14:paraId="05E4DE1A" w14:textId="7777777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2005</w:t>
            </w:r>
          </w:p>
        </w:tc>
        <w:tc>
          <w:tcPr>
            <w:tcW w:w="1046" w:type="dxa"/>
            <w:tcBorders>
              <w:top w:val="nil"/>
              <w:left w:val="single" w:sz="4" w:space="0" w:color="auto"/>
              <w:bottom w:val="nil"/>
              <w:right w:val="nil"/>
            </w:tcBorders>
            <w:shd w:val="clear" w:color="auto" w:fill="auto"/>
            <w:noWrap/>
            <w:vAlign w:val="bottom"/>
            <w:hideMark/>
          </w:tcPr>
          <w:p w14:paraId="38293C99" w14:textId="1DC82D04"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29</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7</w:t>
            </w:r>
          </w:p>
        </w:tc>
        <w:tc>
          <w:tcPr>
            <w:tcW w:w="712" w:type="dxa"/>
            <w:tcBorders>
              <w:top w:val="nil"/>
              <w:left w:val="nil"/>
              <w:bottom w:val="nil"/>
              <w:right w:val="nil"/>
            </w:tcBorders>
            <w:shd w:val="clear" w:color="auto" w:fill="auto"/>
            <w:noWrap/>
            <w:vAlign w:val="bottom"/>
            <w:hideMark/>
          </w:tcPr>
          <w:p w14:paraId="2106996B" w14:textId="293DEFC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18</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0</w:t>
            </w:r>
          </w:p>
        </w:tc>
        <w:tc>
          <w:tcPr>
            <w:tcW w:w="1134" w:type="dxa"/>
            <w:tcBorders>
              <w:top w:val="nil"/>
              <w:left w:val="nil"/>
              <w:bottom w:val="nil"/>
              <w:right w:val="single" w:sz="4" w:space="0" w:color="auto"/>
            </w:tcBorders>
            <w:shd w:val="clear" w:color="auto" w:fill="auto"/>
            <w:noWrap/>
            <w:vAlign w:val="bottom"/>
            <w:hideMark/>
          </w:tcPr>
          <w:p w14:paraId="15385D90"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993" w:type="dxa"/>
            <w:tcBorders>
              <w:top w:val="nil"/>
              <w:left w:val="single" w:sz="4" w:space="0" w:color="auto"/>
              <w:bottom w:val="nil"/>
              <w:right w:val="nil"/>
            </w:tcBorders>
            <w:shd w:val="clear" w:color="auto" w:fill="auto"/>
            <w:noWrap/>
            <w:vAlign w:val="bottom"/>
            <w:hideMark/>
          </w:tcPr>
          <w:p w14:paraId="2E6A1FED" w14:textId="38E6874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14</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9</w:t>
            </w:r>
          </w:p>
        </w:tc>
        <w:tc>
          <w:tcPr>
            <w:tcW w:w="708" w:type="dxa"/>
            <w:tcBorders>
              <w:top w:val="nil"/>
              <w:left w:val="nil"/>
              <w:bottom w:val="nil"/>
              <w:right w:val="nil"/>
            </w:tcBorders>
            <w:shd w:val="clear" w:color="auto" w:fill="auto"/>
            <w:noWrap/>
            <w:vAlign w:val="bottom"/>
            <w:hideMark/>
          </w:tcPr>
          <w:p w14:paraId="38578CEE" w14:textId="05B8AE1B"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1</w:t>
            </w:r>
          </w:p>
        </w:tc>
        <w:tc>
          <w:tcPr>
            <w:tcW w:w="1087" w:type="dxa"/>
            <w:tcBorders>
              <w:top w:val="nil"/>
              <w:left w:val="nil"/>
              <w:bottom w:val="nil"/>
              <w:right w:val="single" w:sz="4" w:space="0" w:color="auto"/>
            </w:tcBorders>
            <w:shd w:val="clear" w:color="auto" w:fill="auto"/>
            <w:noWrap/>
            <w:vAlign w:val="bottom"/>
            <w:hideMark/>
          </w:tcPr>
          <w:p w14:paraId="11C66B64"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953" w:type="dxa"/>
            <w:tcBorders>
              <w:top w:val="nil"/>
              <w:left w:val="single" w:sz="4" w:space="0" w:color="auto"/>
              <w:bottom w:val="nil"/>
              <w:right w:val="nil"/>
            </w:tcBorders>
            <w:shd w:val="clear" w:color="auto" w:fill="auto"/>
            <w:noWrap/>
            <w:vAlign w:val="bottom"/>
            <w:hideMark/>
          </w:tcPr>
          <w:p w14:paraId="0412A882" w14:textId="168A7159"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3</w:t>
            </w:r>
          </w:p>
        </w:tc>
        <w:tc>
          <w:tcPr>
            <w:tcW w:w="760" w:type="dxa"/>
            <w:tcBorders>
              <w:top w:val="nil"/>
              <w:left w:val="nil"/>
              <w:bottom w:val="nil"/>
              <w:right w:val="nil"/>
            </w:tcBorders>
            <w:shd w:val="clear" w:color="auto" w:fill="auto"/>
            <w:noWrap/>
            <w:vAlign w:val="bottom"/>
            <w:hideMark/>
          </w:tcPr>
          <w:p w14:paraId="5AD73A26" w14:textId="09084A03"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5</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6</w:t>
            </w:r>
          </w:p>
        </w:tc>
        <w:tc>
          <w:tcPr>
            <w:tcW w:w="1034" w:type="dxa"/>
            <w:tcBorders>
              <w:top w:val="nil"/>
              <w:left w:val="nil"/>
              <w:bottom w:val="nil"/>
              <w:right w:val="single" w:sz="4" w:space="0" w:color="auto"/>
            </w:tcBorders>
            <w:shd w:val="clear" w:color="auto" w:fill="auto"/>
            <w:noWrap/>
            <w:vAlign w:val="bottom"/>
            <w:hideMark/>
          </w:tcPr>
          <w:p w14:paraId="0DDEA31E" w14:textId="77777777" w:rsidR="00FD6BED" w:rsidRPr="00357869" w:rsidRDefault="00FD6BED" w:rsidP="00FD6BED">
            <w:pPr>
              <w:spacing w:after="0" w:line="240" w:lineRule="auto"/>
              <w:jc w:val="center"/>
              <w:rPr>
                <w:rFonts w:ascii="Calibri" w:eastAsia="Times New Roman" w:hAnsi="Calibri" w:cs="Calibri"/>
                <w:color w:val="000000"/>
                <w:lang w:val="en-US"/>
              </w:rPr>
            </w:pPr>
          </w:p>
        </w:tc>
      </w:tr>
      <w:tr w:rsidR="00F4797D" w:rsidRPr="00357869" w14:paraId="407FCDD7" w14:textId="77777777" w:rsidTr="00F4797D">
        <w:trPr>
          <w:trHeight w:val="254"/>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5D305671" w14:textId="7777777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2017</w:t>
            </w:r>
          </w:p>
        </w:tc>
        <w:tc>
          <w:tcPr>
            <w:tcW w:w="1046" w:type="dxa"/>
            <w:tcBorders>
              <w:top w:val="nil"/>
              <w:left w:val="single" w:sz="4" w:space="0" w:color="auto"/>
              <w:bottom w:val="single" w:sz="4" w:space="0" w:color="auto"/>
              <w:right w:val="nil"/>
            </w:tcBorders>
            <w:shd w:val="clear" w:color="auto" w:fill="auto"/>
            <w:noWrap/>
            <w:vAlign w:val="bottom"/>
            <w:hideMark/>
          </w:tcPr>
          <w:p w14:paraId="227116A0" w14:textId="4E7DB6AD"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7</w:t>
            </w:r>
          </w:p>
        </w:tc>
        <w:tc>
          <w:tcPr>
            <w:tcW w:w="712" w:type="dxa"/>
            <w:tcBorders>
              <w:top w:val="nil"/>
              <w:left w:val="nil"/>
              <w:bottom w:val="single" w:sz="4" w:space="0" w:color="auto"/>
              <w:right w:val="nil"/>
            </w:tcBorders>
            <w:shd w:val="clear" w:color="auto" w:fill="auto"/>
            <w:noWrap/>
            <w:vAlign w:val="bottom"/>
            <w:hideMark/>
          </w:tcPr>
          <w:p w14:paraId="677DCF57" w14:textId="73400AC8"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15</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6</w:t>
            </w:r>
          </w:p>
        </w:tc>
        <w:tc>
          <w:tcPr>
            <w:tcW w:w="1134" w:type="dxa"/>
            <w:tcBorders>
              <w:top w:val="nil"/>
              <w:left w:val="nil"/>
              <w:bottom w:val="single" w:sz="4" w:space="0" w:color="auto"/>
              <w:right w:val="single" w:sz="4" w:space="0" w:color="auto"/>
            </w:tcBorders>
            <w:shd w:val="clear" w:color="auto" w:fill="auto"/>
            <w:noWrap/>
            <w:vAlign w:val="bottom"/>
            <w:hideMark/>
          </w:tcPr>
          <w:p w14:paraId="608826ED" w14:textId="1127AB01"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0</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4</w:t>
            </w:r>
          </w:p>
        </w:tc>
        <w:tc>
          <w:tcPr>
            <w:tcW w:w="993" w:type="dxa"/>
            <w:tcBorders>
              <w:top w:val="nil"/>
              <w:left w:val="single" w:sz="4" w:space="0" w:color="auto"/>
              <w:bottom w:val="single" w:sz="4" w:space="0" w:color="auto"/>
              <w:right w:val="nil"/>
            </w:tcBorders>
            <w:shd w:val="clear" w:color="auto" w:fill="auto"/>
            <w:noWrap/>
            <w:vAlign w:val="bottom"/>
            <w:hideMark/>
          </w:tcPr>
          <w:p w14:paraId="624A48A2" w14:textId="3040C172"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0</w:t>
            </w:r>
          </w:p>
        </w:tc>
        <w:tc>
          <w:tcPr>
            <w:tcW w:w="708" w:type="dxa"/>
            <w:tcBorders>
              <w:top w:val="nil"/>
              <w:left w:val="nil"/>
              <w:bottom w:val="single" w:sz="4" w:space="0" w:color="auto"/>
              <w:right w:val="nil"/>
            </w:tcBorders>
            <w:shd w:val="clear" w:color="auto" w:fill="auto"/>
            <w:noWrap/>
            <w:vAlign w:val="bottom"/>
            <w:hideMark/>
          </w:tcPr>
          <w:p w14:paraId="56D15654" w14:textId="1788627E"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7</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hideMark/>
          </w:tcPr>
          <w:p w14:paraId="37E9A870" w14:textId="720A8EA8"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3</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5</w:t>
            </w:r>
          </w:p>
        </w:tc>
        <w:tc>
          <w:tcPr>
            <w:tcW w:w="953" w:type="dxa"/>
            <w:tcBorders>
              <w:top w:val="nil"/>
              <w:left w:val="single" w:sz="4" w:space="0" w:color="auto"/>
              <w:bottom w:val="single" w:sz="4" w:space="0" w:color="auto"/>
              <w:right w:val="nil"/>
            </w:tcBorders>
            <w:shd w:val="clear" w:color="auto" w:fill="auto"/>
            <w:noWrap/>
            <w:vAlign w:val="bottom"/>
            <w:hideMark/>
          </w:tcPr>
          <w:p w14:paraId="19EF94F3" w14:textId="6640CEE4"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13</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4</w:t>
            </w:r>
          </w:p>
        </w:tc>
        <w:tc>
          <w:tcPr>
            <w:tcW w:w="760" w:type="dxa"/>
            <w:tcBorders>
              <w:top w:val="nil"/>
              <w:left w:val="nil"/>
              <w:bottom w:val="single" w:sz="4" w:space="0" w:color="auto"/>
              <w:right w:val="nil"/>
            </w:tcBorders>
            <w:shd w:val="clear" w:color="auto" w:fill="auto"/>
            <w:noWrap/>
            <w:vAlign w:val="bottom"/>
            <w:hideMark/>
          </w:tcPr>
          <w:p w14:paraId="1731F3F7" w14:textId="4CBB9666"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9</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3</w:t>
            </w:r>
          </w:p>
        </w:tc>
        <w:tc>
          <w:tcPr>
            <w:tcW w:w="10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68FB5B" w14:textId="4A1B101C"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3</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4</w:t>
            </w:r>
          </w:p>
        </w:tc>
      </w:tr>
      <w:tr w:rsidR="00F4797D" w:rsidRPr="00357869" w14:paraId="52BCE1B5" w14:textId="77777777" w:rsidTr="00F4797D">
        <w:trPr>
          <w:trHeight w:val="254"/>
        </w:trPr>
        <w:tc>
          <w:tcPr>
            <w:tcW w:w="1638" w:type="dxa"/>
            <w:tcBorders>
              <w:top w:val="single" w:sz="4" w:space="0" w:color="auto"/>
              <w:left w:val="single" w:sz="4" w:space="0" w:color="auto"/>
              <w:right w:val="single" w:sz="4" w:space="0" w:color="auto"/>
            </w:tcBorders>
            <w:shd w:val="clear" w:color="auto" w:fill="auto"/>
            <w:noWrap/>
            <w:vAlign w:val="bottom"/>
            <w:hideMark/>
          </w:tcPr>
          <w:p w14:paraId="02088DA5" w14:textId="2DD78C65" w:rsidR="00FD6BED" w:rsidRPr="00357869" w:rsidRDefault="00F4797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VOCATIONAL HIGH SCHOOL</w:t>
            </w:r>
          </w:p>
        </w:tc>
        <w:tc>
          <w:tcPr>
            <w:tcW w:w="1046" w:type="dxa"/>
            <w:tcBorders>
              <w:top w:val="single" w:sz="4" w:space="0" w:color="auto"/>
              <w:left w:val="single" w:sz="4" w:space="0" w:color="auto"/>
              <w:right w:val="nil"/>
            </w:tcBorders>
            <w:shd w:val="clear" w:color="auto" w:fill="auto"/>
            <w:noWrap/>
            <w:vAlign w:val="bottom"/>
            <w:hideMark/>
          </w:tcPr>
          <w:p w14:paraId="1D2EB2EF"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712" w:type="dxa"/>
            <w:tcBorders>
              <w:top w:val="single" w:sz="4" w:space="0" w:color="auto"/>
              <w:left w:val="nil"/>
              <w:right w:val="nil"/>
            </w:tcBorders>
            <w:shd w:val="clear" w:color="auto" w:fill="auto"/>
            <w:noWrap/>
            <w:vAlign w:val="bottom"/>
            <w:hideMark/>
          </w:tcPr>
          <w:p w14:paraId="239332F3" w14:textId="77777777" w:rsidR="00FD6BED" w:rsidRPr="00357869" w:rsidRDefault="00FD6BED" w:rsidP="00FD6BED">
            <w:pPr>
              <w:spacing w:after="0" w:line="240" w:lineRule="auto"/>
              <w:jc w:val="center"/>
              <w:rPr>
                <w:rFonts w:ascii="Calibri" w:eastAsia="Times New Roman" w:hAnsi="Calibri" w:cs="Calibri"/>
                <w:lang w:val="en-US"/>
              </w:rPr>
            </w:pPr>
          </w:p>
        </w:tc>
        <w:tc>
          <w:tcPr>
            <w:tcW w:w="1134" w:type="dxa"/>
            <w:tcBorders>
              <w:top w:val="single" w:sz="4" w:space="0" w:color="auto"/>
              <w:left w:val="nil"/>
              <w:right w:val="single" w:sz="4" w:space="0" w:color="auto"/>
            </w:tcBorders>
            <w:shd w:val="clear" w:color="auto" w:fill="auto"/>
            <w:noWrap/>
            <w:vAlign w:val="bottom"/>
            <w:hideMark/>
          </w:tcPr>
          <w:p w14:paraId="611660A1" w14:textId="77777777" w:rsidR="00FD6BED" w:rsidRPr="00357869" w:rsidRDefault="00FD6BED" w:rsidP="00FD6BED">
            <w:pPr>
              <w:spacing w:after="0" w:line="240" w:lineRule="auto"/>
              <w:jc w:val="center"/>
              <w:rPr>
                <w:rFonts w:ascii="Calibri" w:eastAsia="Times New Roman" w:hAnsi="Calibri" w:cs="Calibri"/>
                <w:lang w:val="en-US"/>
              </w:rPr>
            </w:pPr>
          </w:p>
        </w:tc>
        <w:tc>
          <w:tcPr>
            <w:tcW w:w="993" w:type="dxa"/>
            <w:tcBorders>
              <w:top w:val="single" w:sz="4" w:space="0" w:color="auto"/>
              <w:left w:val="single" w:sz="4" w:space="0" w:color="auto"/>
              <w:right w:val="nil"/>
            </w:tcBorders>
            <w:shd w:val="clear" w:color="auto" w:fill="auto"/>
            <w:noWrap/>
            <w:vAlign w:val="bottom"/>
            <w:hideMark/>
          </w:tcPr>
          <w:p w14:paraId="3285DDDA" w14:textId="77777777" w:rsidR="00FD6BED" w:rsidRPr="00357869" w:rsidRDefault="00FD6BED" w:rsidP="00FD6BED">
            <w:pPr>
              <w:spacing w:after="0" w:line="240" w:lineRule="auto"/>
              <w:jc w:val="center"/>
              <w:rPr>
                <w:rFonts w:ascii="Calibri" w:eastAsia="Times New Roman" w:hAnsi="Calibri" w:cs="Calibri"/>
                <w:lang w:val="en-US"/>
              </w:rPr>
            </w:pPr>
          </w:p>
        </w:tc>
        <w:tc>
          <w:tcPr>
            <w:tcW w:w="708" w:type="dxa"/>
            <w:tcBorders>
              <w:top w:val="single" w:sz="4" w:space="0" w:color="auto"/>
              <w:left w:val="nil"/>
              <w:right w:val="nil"/>
            </w:tcBorders>
            <w:shd w:val="clear" w:color="auto" w:fill="auto"/>
            <w:noWrap/>
            <w:vAlign w:val="bottom"/>
            <w:hideMark/>
          </w:tcPr>
          <w:p w14:paraId="549CB41C" w14:textId="77777777" w:rsidR="00FD6BED" w:rsidRPr="00357869" w:rsidRDefault="00FD6BED" w:rsidP="00FD6BED">
            <w:pPr>
              <w:spacing w:after="0" w:line="240" w:lineRule="auto"/>
              <w:jc w:val="center"/>
              <w:rPr>
                <w:rFonts w:ascii="Calibri" w:eastAsia="Times New Roman" w:hAnsi="Calibri" w:cs="Calibri"/>
                <w:lang w:val="en-US"/>
              </w:rPr>
            </w:pPr>
          </w:p>
        </w:tc>
        <w:tc>
          <w:tcPr>
            <w:tcW w:w="1087" w:type="dxa"/>
            <w:tcBorders>
              <w:top w:val="single" w:sz="4" w:space="0" w:color="auto"/>
              <w:left w:val="nil"/>
              <w:right w:val="single" w:sz="4" w:space="0" w:color="auto"/>
            </w:tcBorders>
            <w:shd w:val="clear" w:color="auto" w:fill="auto"/>
            <w:noWrap/>
            <w:vAlign w:val="bottom"/>
            <w:hideMark/>
          </w:tcPr>
          <w:p w14:paraId="1AB66DB1" w14:textId="77777777" w:rsidR="00FD6BED" w:rsidRPr="00357869" w:rsidRDefault="00FD6BED" w:rsidP="00FD6BED">
            <w:pPr>
              <w:spacing w:after="0" w:line="240" w:lineRule="auto"/>
              <w:jc w:val="center"/>
              <w:rPr>
                <w:rFonts w:ascii="Calibri" w:eastAsia="Times New Roman" w:hAnsi="Calibri" w:cs="Calibri"/>
                <w:lang w:val="en-US"/>
              </w:rPr>
            </w:pPr>
          </w:p>
        </w:tc>
        <w:tc>
          <w:tcPr>
            <w:tcW w:w="953" w:type="dxa"/>
            <w:tcBorders>
              <w:top w:val="single" w:sz="4" w:space="0" w:color="auto"/>
              <w:left w:val="single" w:sz="4" w:space="0" w:color="auto"/>
              <w:right w:val="nil"/>
            </w:tcBorders>
            <w:shd w:val="clear" w:color="auto" w:fill="auto"/>
            <w:noWrap/>
            <w:vAlign w:val="bottom"/>
            <w:hideMark/>
          </w:tcPr>
          <w:p w14:paraId="639AD8C5" w14:textId="77777777" w:rsidR="00FD6BED" w:rsidRPr="00357869" w:rsidRDefault="00FD6BED" w:rsidP="00FD6BED">
            <w:pPr>
              <w:spacing w:after="0" w:line="240" w:lineRule="auto"/>
              <w:jc w:val="center"/>
              <w:rPr>
                <w:rFonts w:ascii="Calibri" w:eastAsia="Times New Roman" w:hAnsi="Calibri" w:cs="Calibri"/>
                <w:lang w:val="en-US"/>
              </w:rPr>
            </w:pPr>
          </w:p>
        </w:tc>
        <w:tc>
          <w:tcPr>
            <w:tcW w:w="760" w:type="dxa"/>
            <w:tcBorders>
              <w:top w:val="single" w:sz="4" w:space="0" w:color="auto"/>
              <w:left w:val="nil"/>
              <w:right w:val="nil"/>
            </w:tcBorders>
            <w:shd w:val="clear" w:color="auto" w:fill="auto"/>
            <w:noWrap/>
            <w:vAlign w:val="bottom"/>
            <w:hideMark/>
          </w:tcPr>
          <w:p w14:paraId="467AE39E" w14:textId="77777777" w:rsidR="00FD6BED" w:rsidRPr="00357869" w:rsidRDefault="00FD6BED" w:rsidP="00FD6BED">
            <w:pPr>
              <w:spacing w:after="0" w:line="240" w:lineRule="auto"/>
              <w:jc w:val="center"/>
              <w:rPr>
                <w:rFonts w:ascii="Calibri" w:eastAsia="Times New Roman" w:hAnsi="Calibri" w:cs="Calibri"/>
                <w:lang w:val="en-US"/>
              </w:rPr>
            </w:pPr>
          </w:p>
        </w:tc>
        <w:tc>
          <w:tcPr>
            <w:tcW w:w="1034" w:type="dxa"/>
            <w:tcBorders>
              <w:top w:val="single" w:sz="4" w:space="0" w:color="auto"/>
              <w:left w:val="nil"/>
              <w:right w:val="single" w:sz="4" w:space="0" w:color="auto"/>
            </w:tcBorders>
            <w:shd w:val="clear" w:color="auto" w:fill="auto"/>
            <w:noWrap/>
            <w:vAlign w:val="bottom"/>
            <w:hideMark/>
          </w:tcPr>
          <w:p w14:paraId="737B0D5F" w14:textId="77777777" w:rsidR="00FD6BED" w:rsidRPr="00357869" w:rsidRDefault="00FD6BED" w:rsidP="00FD6BED">
            <w:pPr>
              <w:spacing w:after="0" w:line="240" w:lineRule="auto"/>
              <w:jc w:val="center"/>
              <w:rPr>
                <w:rFonts w:ascii="Calibri" w:eastAsia="Times New Roman" w:hAnsi="Calibri" w:cs="Calibri"/>
                <w:lang w:val="en-US"/>
              </w:rPr>
            </w:pPr>
          </w:p>
        </w:tc>
      </w:tr>
      <w:tr w:rsidR="00F4797D" w:rsidRPr="00357869" w14:paraId="13D2EC3E" w14:textId="77777777" w:rsidTr="00F4797D">
        <w:trPr>
          <w:trHeight w:val="254"/>
        </w:trPr>
        <w:tc>
          <w:tcPr>
            <w:tcW w:w="1638" w:type="dxa"/>
            <w:tcBorders>
              <w:left w:val="single" w:sz="4" w:space="0" w:color="auto"/>
              <w:bottom w:val="nil"/>
              <w:right w:val="single" w:sz="4" w:space="0" w:color="auto"/>
            </w:tcBorders>
            <w:shd w:val="clear" w:color="auto" w:fill="auto"/>
            <w:noWrap/>
            <w:vAlign w:val="bottom"/>
            <w:hideMark/>
          </w:tcPr>
          <w:p w14:paraId="332BC1AF" w14:textId="7777777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2005</w:t>
            </w:r>
          </w:p>
        </w:tc>
        <w:tc>
          <w:tcPr>
            <w:tcW w:w="1046" w:type="dxa"/>
            <w:tcBorders>
              <w:left w:val="single" w:sz="4" w:space="0" w:color="auto"/>
              <w:bottom w:val="nil"/>
              <w:right w:val="nil"/>
            </w:tcBorders>
            <w:shd w:val="clear" w:color="auto" w:fill="auto"/>
            <w:noWrap/>
            <w:vAlign w:val="bottom"/>
            <w:hideMark/>
          </w:tcPr>
          <w:p w14:paraId="30B223C0" w14:textId="1474B57A"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4</w:t>
            </w:r>
          </w:p>
        </w:tc>
        <w:tc>
          <w:tcPr>
            <w:tcW w:w="712" w:type="dxa"/>
            <w:tcBorders>
              <w:left w:val="nil"/>
              <w:bottom w:val="nil"/>
              <w:right w:val="nil"/>
            </w:tcBorders>
            <w:shd w:val="clear" w:color="auto" w:fill="auto"/>
            <w:noWrap/>
            <w:vAlign w:val="bottom"/>
            <w:hideMark/>
          </w:tcPr>
          <w:p w14:paraId="3D125A09" w14:textId="54CBFA71"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3</w:t>
            </w:r>
          </w:p>
        </w:tc>
        <w:tc>
          <w:tcPr>
            <w:tcW w:w="1134" w:type="dxa"/>
            <w:tcBorders>
              <w:left w:val="nil"/>
              <w:bottom w:val="nil"/>
              <w:right w:val="single" w:sz="4" w:space="0" w:color="auto"/>
            </w:tcBorders>
            <w:shd w:val="clear" w:color="auto" w:fill="auto"/>
            <w:noWrap/>
            <w:vAlign w:val="bottom"/>
            <w:hideMark/>
          </w:tcPr>
          <w:p w14:paraId="0414EA95"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993" w:type="dxa"/>
            <w:tcBorders>
              <w:left w:val="single" w:sz="4" w:space="0" w:color="auto"/>
              <w:bottom w:val="nil"/>
              <w:right w:val="nil"/>
            </w:tcBorders>
            <w:shd w:val="clear" w:color="auto" w:fill="auto"/>
            <w:noWrap/>
            <w:vAlign w:val="bottom"/>
            <w:hideMark/>
          </w:tcPr>
          <w:p w14:paraId="31780B67" w14:textId="13EDFD0B"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15</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3</w:t>
            </w:r>
          </w:p>
        </w:tc>
        <w:tc>
          <w:tcPr>
            <w:tcW w:w="708" w:type="dxa"/>
            <w:tcBorders>
              <w:left w:val="nil"/>
              <w:bottom w:val="nil"/>
              <w:right w:val="nil"/>
            </w:tcBorders>
            <w:shd w:val="clear" w:color="auto" w:fill="auto"/>
            <w:noWrap/>
            <w:vAlign w:val="bottom"/>
            <w:hideMark/>
          </w:tcPr>
          <w:p w14:paraId="655A4DE0" w14:textId="2FFBAD6E"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5</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2</w:t>
            </w:r>
          </w:p>
        </w:tc>
        <w:tc>
          <w:tcPr>
            <w:tcW w:w="1087" w:type="dxa"/>
            <w:tcBorders>
              <w:left w:val="nil"/>
              <w:bottom w:val="nil"/>
              <w:right w:val="single" w:sz="4" w:space="0" w:color="auto"/>
            </w:tcBorders>
            <w:shd w:val="clear" w:color="auto" w:fill="auto"/>
            <w:noWrap/>
            <w:vAlign w:val="bottom"/>
            <w:hideMark/>
          </w:tcPr>
          <w:p w14:paraId="546A73F3"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953" w:type="dxa"/>
            <w:tcBorders>
              <w:left w:val="single" w:sz="4" w:space="0" w:color="auto"/>
              <w:bottom w:val="nil"/>
              <w:right w:val="nil"/>
            </w:tcBorders>
            <w:shd w:val="clear" w:color="auto" w:fill="auto"/>
            <w:noWrap/>
            <w:vAlign w:val="bottom"/>
            <w:hideMark/>
          </w:tcPr>
          <w:p w14:paraId="12EF087F" w14:textId="59671273"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7</w:t>
            </w:r>
          </w:p>
        </w:tc>
        <w:tc>
          <w:tcPr>
            <w:tcW w:w="760" w:type="dxa"/>
            <w:tcBorders>
              <w:left w:val="nil"/>
              <w:bottom w:val="nil"/>
              <w:right w:val="nil"/>
            </w:tcBorders>
            <w:shd w:val="clear" w:color="auto" w:fill="auto"/>
            <w:noWrap/>
            <w:vAlign w:val="bottom"/>
            <w:hideMark/>
          </w:tcPr>
          <w:p w14:paraId="7725B418" w14:textId="28DC6EBB"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9</w:t>
            </w:r>
          </w:p>
        </w:tc>
        <w:tc>
          <w:tcPr>
            <w:tcW w:w="1034" w:type="dxa"/>
            <w:tcBorders>
              <w:left w:val="nil"/>
              <w:bottom w:val="nil"/>
              <w:right w:val="single" w:sz="4" w:space="0" w:color="auto"/>
            </w:tcBorders>
            <w:shd w:val="clear" w:color="auto" w:fill="auto"/>
            <w:noWrap/>
            <w:vAlign w:val="bottom"/>
            <w:hideMark/>
          </w:tcPr>
          <w:p w14:paraId="7C7AF341" w14:textId="77777777" w:rsidR="00FD6BED" w:rsidRPr="00357869" w:rsidRDefault="00FD6BED" w:rsidP="00FD6BED">
            <w:pPr>
              <w:spacing w:after="0" w:line="240" w:lineRule="auto"/>
              <w:jc w:val="center"/>
              <w:rPr>
                <w:rFonts w:ascii="Calibri" w:eastAsia="Times New Roman" w:hAnsi="Calibri" w:cs="Calibri"/>
                <w:color w:val="000000"/>
                <w:lang w:val="en-US"/>
              </w:rPr>
            </w:pPr>
          </w:p>
        </w:tc>
      </w:tr>
      <w:tr w:rsidR="00F4797D" w:rsidRPr="00357869" w14:paraId="20AC2D01" w14:textId="77777777" w:rsidTr="00F4797D">
        <w:trPr>
          <w:trHeight w:val="254"/>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1DBDC218" w14:textId="7777777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2017</w:t>
            </w:r>
          </w:p>
        </w:tc>
        <w:tc>
          <w:tcPr>
            <w:tcW w:w="1046" w:type="dxa"/>
            <w:tcBorders>
              <w:top w:val="nil"/>
              <w:left w:val="single" w:sz="4" w:space="0" w:color="auto"/>
              <w:bottom w:val="single" w:sz="4" w:space="0" w:color="auto"/>
              <w:right w:val="nil"/>
            </w:tcBorders>
            <w:shd w:val="clear" w:color="auto" w:fill="auto"/>
            <w:noWrap/>
            <w:vAlign w:val="bottom"/>
            <w:hideMark/>
          </w:tcPr>
          <w:p w14:paraId="13CBD5B5" w14:textId="6A9D2A2F"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25</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7</w:t>
            </w:r>
          </w:p>
        </w:tc>
        <w:tc>
          <w:tcPr>
            <w:tcW w:w="712" w:type="dxa"/>
            <w:tcBorders>
              <w:top w:val="nil"/>
              <w:left w:val="nil"/>
              <w:bottom w:val="single" w:sz="4" w:space="0" w:color="auto"/>
              <w:right w:val="nil"/>
            </w:tcBorders>
            <w:shd w:val="clear" w:color="auto" w:fill="auto"/>
            <w:noWrap/>
            <w:vAlign w:val="bottom"/>
            <w:hideMark/>
          </w:tcPr>
          <w:p w14:paraId="0DD24312" w14:textId="79C08422"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13</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5663B37F" w14:textId="536531FD"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3</w:t>
            </w:r>
          </w:p>
        </w:tc>
        <w:tc>
          <w:tcPr>
            <w:tcW w:w="993" w:type="dxa"/>
            <w:tcBorders>
              <w:top w:val="nil"/>
              <w:left w:val="single" w:sz="4" w:space="0" w:color="auto"/>
              <w:bottom w:val="single" w:sz="4" w:space="0" w:color="auto"/>
              <w:right w:val="nil"/>
            </w:tcBorders>
            <w:shd w:val="clear" w:color="auto" w:fill="auto"/>
            <w:noWrap/>
            <w:vAlign w:val="bottom"/>
            <w:hideMark/>
          </w:tcPr>
          <w:p w14:paraId="49EA048D" w14:textId="44B40158"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2</w:t>
            </w:r>
          </w:p>
        </w:tc>
        <w:tc>
          <w:tcPr>
            <w:tcW w:w="708" w:type="dxa"/>
            <w:tcBorders>
              <w:top w:val="nil"/>
              <w:left w:val="nil"/>
              <w:bottom w:val="single" w:sz="4" w:space="0" w:color="auto"/>
              <w:right w:val="nil"/>
            </w:tcBorders>
            <w:shd w:val="clear" w:color="auto" w:fill="auto"/>
            <w:noWrap/>
            <w:vAlign w:val="bottom"/>
            <w:hideMark/>
          </w:tcPr>
          <w:p w14:paraId="31BD60E7" w14:textId="65B2A8C0"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0</w:t>
            </w:r>
          </w:p>
        </w:tc>
        <w:tc>
          <w:tcPr>
            <w:tcW w:w="1087" w:type="dxa"/>
            <w:tcBorders>
              <w:top w:val="nil"/>
              <w:left w:val="nil"/>
              <w:bottom w:val="single" w:sz="4" w:space="0" w:color="auto"/>
              <w:right w:val="single" w:sz="4" w:space="0" w:color="auto"/>
            </w:tcBorders>
            <w:shd w:val="clear" w:color="auto" w:fill="auto"/>
            <w:noWrap/>
            <w:vAlign w:val="bottom"/>
            <w:hideMark/>
          </w:tcPr>
          <w:p w14:paraId="493B42ED" w14:textId="3F608F8F"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0</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0</w:t>
            </w:r>
          </w:p>
        </w:tc>
        <w:tc>
          <w:tcPr>
            <w:tcW w:w="953" w:type="dxa"/>
            <w:tcBorders>
              <w:top w:val="nil"/>
              <w:left w:val="single" w:sz="4" w:space="0" w:color="auto"/>
              <w:bottom w:val="single" w:sz="4" w:space="0" w:color="auto"/>
              <w:right w:val="nil"/>
            </w:tcBorders>
            <w:shd w:val="clear" w:color="auto" w:fill="auto"/>
            <w:noWrap/>
            <w:vAlign w:val="bottom"/>
            <w:hideMark/>
          </w:tcPr>
          <w:p w14:paraId="0183631B" w14:textId="4CC54F73"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11</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5</w:t>
            </w:r>
          </w:p>
        </w:tc>
        <w:tc>
          <w:tcPr>
            <w:tcW w:w="760" w:type="dxa"/>
            <w:tcBorders>
              <w:top w:val="nil"/>
              <w:left w:val="nil"/>
              <w:bottom w:val="single" w:sz="4" w:space="0" w:color="auto"/>
              <w:right w:val="nil"/>
            </w:tcBorders>
            <w:shd w:val="clear" w:color="auto" w:fill="auto"/>
            <w:noWrap/>
            <w:vAlign w:val="bottom"/>
            <w:hideMark/>
          </w:tcPr>
          <w:p w14:paraId="287DB097" w14:textId="4DD039B1"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8</w:t>
            </w:r>
          </w:p>
        </w:tc>
        <w:tc>
          <w:tcPr>
            <w:tcW w:w="1034" w:type="dxa"/>
            <w:tcBorders>
              <w:top w:val="nil"/>
              <w:left w:val="nil"/>
              <w:bottom w:val="single" w:sz="4" w:space="0" w:color="auto"/>
              <w:right w:val="single" w:sz="4" w:space="0" w:color="auto"/>
            </w:tcBorders>
            <w:shd w:val="clear" w:color="auto" w:fill="auto"/>
            <w:noWrap/>
            <w:vAlign w:val="bottom"/>
            <w:hideMark/>
          </w:tcPr>
          <w:p w14:paraId="78EC6A05" w14:textId="2CD2797D"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highlight w:val="lightGray"/>
                <w:lang w:val="en-US"/>
              </w:rPr>
              <w:t>3</w:t>
            </w:r>
            <w:r w:rsidR="003065B9" w:rsidRPr="00357869">
              <w:rPr>
                <w:rFonts w:ascii="Calibri" w:eastAsia="Times New Roman" w:hAnsi="Calibri" w:cs="Calibri"/>
                <w:color w:val="000000"/>
                <w:highlight w:val="lightGray"/>
                <w:lang w:val="en-US"/>
              </w:rPr>
              <w:t>.</w:t>
            </w:r>
            <w:r w:rsidRPr="00357869">
              <w:rPr>
                <w:rFonts w:ascii="Calibri" w:eastAsia="Times New Roman" w:hAnsi="Calibri" w:cs="Calibri"/>
                <w:color w:val="000000"/>
                <w:highlight w:val="lightGray"/>
                <w:lang w:val="en-US"/>
              </w:rPr>
              <w:t>0</w:t>
            </w:r>
          </w:p>
        </w:tc>
      </w:tr>
      <w:tr w:rsidR="00F4797D" w:rsidRPr="00357869" w14:paraId="6012E822" w14:textId="77777777" w:rsidTr="00F4797D">
        <w:trPr>
          <w:trHeight w:val="254"/>
        </w:trPr>
        <w:tc>
          <w:tcPr>
            <w:tcW w:w="1638" w:type="dxa"/>
            <w:tcBorders>
              <w:top w:val="single" w:sz="4" w:space="0" w:color="auto"/>
              <w:left w:val="single" w:sz="4" w:space="0" w:color="auto"/>
              <w:bottom w:val="nil"/>
              <w:right w:val="single" w:sz="4" w:space="0" w:color="auto"/>
            </w:tcBorders>
            <w:shd w:val="clear" w:color="auto" w:fill="auto"/>
            <w:noWrap/>
            <w:vAlign w:val="bottom"/>
            <w:hideMark/>
          </w:tcPr>
          <w:p w14:paraId="08473FE1" w14:textId="0C61B7E4"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L</w:t>
            </w:r>
            <w:r w:rsidR="00F4797D" w:rsidRPr="00357869">
              <w:rPr>
                <w:rFonts w:ascii="Calibri" w:eastAsia="Times New Roman" w:hAnsi="Calibri" w:cs="Calibri"/>
                <w:color w:val="000000"/>
                <w:lang w:val="en-US"/>
              </w:rPr>
              <w:t>ESS THAN HIGH SCHOOL</w:t>
            </w:r>
          </w:p>
        </w:tc>
        <w:tc>
          <w:tcPr>
            <w:tcW w:w="1046" w:type="dxa"/>
            <w:tcBorders>
              <w:top w:val="single" w:sz="4" w:space="0" w:color="auto"/>
              <w:left w:val="single" w:sz="4" w:space="0" w:color="auto"/>
              <w:bottom w:val="nil"/>
              <w:right w:val="nil"/>
            </w:tcBorders>
            <w:shd w:val="clear" w:color="auto" w:fill="auto"/>
            <w:noWrap/>
            <w:vAlign w:val="bottom"/>
            <w:hideMark/>
          </w:tcPr>
          <w:p w14:paraId="306A5D47"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712" w:type="dxa"/>
            <w:tcBorders>
              <w:top w:val="single" w:sz="4" w:space="0" w:color="auto"/>
              <w:left w:val="nil"/>
              <w:bottom w:val="nil"/>
              <w:right w:val="nil"/>
            </w:tcBorders>
            <w:shd w:val="clear" w:color="auto" w:fill="auto"/>
            <w:noWrap/>
            <w:vAlign w:val="bottom"/>
            <w:hideMark/>
          </w:tcPr>
          <w:p w14:paraId="7B892BA8" w14:textId="77777777" w:rsidR="00FD6BED" w:rsidRPr="00357869" w:rsidRDefault="00FD6BED" w:rsidP="00FD6BED">
            <w:pPr>
              <w:spacing w:after="0" w:line="240" w:lineRule="auto"/>
              <w:jc w:val="center"/>
              <w:rPr>
                <w:rFonts w:ascii="Calibri" w:eastAsia="Times New Roman" w:hAnsi="Calibri" w:cs="Calibri"/>
                <w:lang w:val="en-US"/>
              </w:rPr>
            </w:pPr>
          </w:p>
        </w:tc>
        <w:tc>
          <w:tcPr>
            <w:tcW w:w="1134" w:type="dxa"/>
            <w:tcBorders>
              <w:top w:val="single" w:sz="4" w:space="0" w:color="auto"/>
              <w:left w:val="nil"/>
              <w:bottom w:val="nil"/>
              <w:right w:val="single" w:sz="4" w:space="0" w:color="auto"/>
            </w:tcBorders>
            <w:shd w:val="clear" w:color="auto" w:fill="auto"/>
            <w:noWrap/>
            <w:vAlign w:val="bottom"/>
            <w:hideMark/>
          </w:tcPr>
          <w:p w14:paraId="585CB514" w14:textId="77777777" w:rsidR="00FD6BED" w:rsidRPr="00357869" w:rsidRDefault="00FD6BED" w:rsidP="00FD6BED">
            <w:pPr>
              <w:spacing w:after="0" w:line="240" w:lineRule="auto"/>
              <w:jc w:val="center"/>
              <w:rPr>
                <w:rFonts w:ascii="Calibri" w:eastAsia="Times New Roman" w:hAnsi="Calibri" w:cs="Calibri"/>
                <w:lang w:val="en-US"/>
              </w:rPr>
            </w:pPr>
          </w:p>
        </w:tc>
        <w:tc>
          <w:tcPr>
            <w:tcW w:w="993" w:type="dxa"/>
            <w:tcBorders>
              <w:top w:val="single" w:sz="4" w:space="0" w:color="auto"/>
              <w:left w:val="single" w:sz="4" w:space="0" w:color="auto"/>
              <w:bottom w:val="nil"/>
              <w:right w:val="nil"/>
            </w:tcBorders>
            <w:shd w:val="clear" w:color="auto" w:fill="auto"/>
            <w:noWrap/>
            <w:vAlign w:val="bottom"/>
            <w:hideMark/>
          </w:tcPr>
          <w:p w14:paraId="779BB394" w14:textId="77777777" w:rsidR="00FD6BED" w:rsidRPr="00357869" w:rsidRDefault="00FD6BED" w:rsidP="00FD6BED">
            <w:pPr>
              <w:spacing w:after="0" w:line="240" w:lineRule="auto"/>
              <w:jc w:val="center"/>
              <w:rPr>
                <w:rFonts w:ascii="Calibri" w:eastAsia="Times New Roman" w:hAnsi="Calibri" w:cs="Calibri"/>
                <w:lang w:val="en-US"/>
              </w:rPr>
            </w:pPr>
          </w:p>
        </w:tc>
        <w:tc>
          <w:tcPr>
            <w:tcW w:w="708" w:type="dxa"/>
            <w:tcBorders>
              <w:top w:val="single" w:sz="4" w:space="0" w:color="auto"/>
              <w:left w:val="nil"/>
              <w:bottom w:val="nil"/>
              <w:right w:val="nil"/>
            </w:tcBorders>
            <w:shd w:val="clear" w:color="auto" w:fill="auto"/>
            <w:noWrap/>
            <w:vAlign w:val="bottom"/>
            <w:hideMark/>
          </w:tcPr>
          <w:p w14:paraId="2B452383" w14:textId="77777777" w:rsidR="00FD6BED" w:rsidRPr="00357869" w:rsidRDefault="00FD6BED" w:rsidP="00FD6BED">
            <w:pPr>
              <w:spacing w:after="0" w:line="240" w:lineRule="auto"/>
              <w:jc w:val="center"/>
              <w:rPr>
                <w:rFonts w:ascii="Calibri" w:eastAsia="Times New Roman" w:hAnsi="Calibri" w:cs="Calibri"/>
                <w:lang w:val="en-US"/>
              </w:rPr>
            </w:pPr>
          </w:p>
        </w:tc>
        <w:tc>
          <w:tcPr>
            <w:tcW w:w="1087" w:type="dxa"/>
            <w:tcBorders>
              <w:top w:val="single" w:sz="4" w:space="0" w:color="auto"/>
              <w:left w:val="nil"/>
              <w:bottom w:val="nil"/>
              <w:right w:val="single" w:sz="4" w:space="0" w:color="auto"/>
            </w:tcBorders>
            <w:shd w:val="clear" w:color="auto" w:fill="auto"/>
            <w:noWrap/>
            <w:vAlign w:val="bottom"/>
            <w:hideMark/>
          </w:tcPr>
          <w:p w14:paraId="16701E0D" w14:textId="77777777" w:rsidR="00FD6BED" w:rsidRPr="00357869" w:rsidRDefault="00FD6BED" w:rsidP="00FD6BED">
            <w:pPr>
              <w:spacing w:after="0" w:line="240" w:lineRule="auto"/>
              <w:jc w:val="center"/>
              <w:rPr>
                <w:rFonts w:ascii="Calibri" w:eastAsia="Times New Roman" w:hAnsi="Calibri" w:cs="Calibri"/>
                <w:lang w:val="en-US"/>
              </w:rPr>
            </w:pPr>
          </w:p>
        </w:tc>
        <w:tc>
          <w:tcPr>
            <w:tcW w:w="953" w:type="dxa"/>
            <w:tcBorders>
              <w:top w:val="single" w:sz="4" w:space="0" w:color="auto"/>
              <w:left w:val="single" w:sz="4" w:space="0" w:color="auto"/>
              <w:bottom w:val="nil"/>
              <w:right w:val="nil"/>
            </w:tcBorders>
            <w:shd w:val="clear" w:color="auto" w:fill="auto"/>
            <w:noWrap/>
            <w:vAlign w:val="bottom"/>
            <w:hideMark/>
          </w:tcPr>
          <w:p w14:paraId="663D9ACF" w14:textId="77777777" w:rsidR="00FD6BED" w:rsidRPr="00357869" w:rsidRDefault="00FD6BED" w:rsidP="00FD6BED">
            <w:pPr>
              <w:spacing w:after="0" w:line="240" w:lineRule="auto"/>
              <w:jc w:val="center"/>
              <w:rPr>
                <w:rFonts w:ascii="Calibri" w:eastAsia="Times New Roman" w:hAnsi="Calibri" w:cs="Calibri"/>
                <w:lang w:val="en-US"/>
              </w:rPr>
            </w:pPr>
          </w:p>
        </w:tc>
        <w:tc>
          <w:tcPr>
            <w:tcW w:w="760" w:type="dxa"/>
            <w:tcBorders>
              <w:top w:val="single" w:sz="4" w:space="0" w:color="auto"/>
              <w:left w:val="nil"/>
              <w:bottom w:val="nil"/>
              <w:right w:val="nil"/>
            </w:tcBorders>
            <w:shd w:val="clear" w:color="auto" w:fill="auto"/>
            <w:noWrap/>
            <w:vAlign w:val="bottom"/>
            <w:hideMark/>
          </w:tcPr>
          <w:p w14:paraId="6468D8FB" w14:textId="77777777" w:rsidR="00FD6BED" w:rsidRPr="00357869" w:rsidRDefault="00FD6BED" w:rsidP="00FD6BED">
            <w:pPr>
              <w:spacing w:after="0" w:line="240" w:lineRule="auto"/>
              <w:jc w:val="center"/>
              <w:rPr>
                <w:rFonts w:ascii="Calibri" w:eastAsia="Times New Roman" w:hAnsi="Calibri" w:cs="Calibri"/>
                <w:lang w:val="en-US"/>
              </w:rPr>
            </w:pPr>
          </w:p>
        </w:tc>
        <w:tc>
          <w:tcPr>
            <w:tcW w:w="1034" w:type="dxa"/>
            <w:tcBorders>
              <w:top w:val="single" w:sz="4" w:space="0" w:color="auto"/>
              <w:left w:val="nil"/>
              <w:bottom w:val="nil"/>
              <w:right w:val="single" w:sz="4" w:space="0" w:color="auto"/>
            </w:tcBorders>
            <w:shd w:val="clear" w:color="auto" w:fill="auto"/>
            <w:noWrap/>
            <w:vAlign w:val="bottom"/>
            <w:hideMark/>
          </w:tcPr>
          <w:p w14:paraId="2558F099" w14:textId="77777777" w:rsidR="00FD6BED" w:rsidRPr="00357869" w:rsidRDefault="00FD6BED" w:rsidP="00FD6BED">
            <w:pPr>
              <w:spacing w:after="0" w:line="240" w:lineRule="auto"/>
              <w:jc w:val="center"/>
              <w:rPr>
                <w:rFonts w:ascii="Calibri" w:eastAsia="Times New Roman" w:hAnsi="Calibri" w:cs="Calibri"/>
                <w:lang w:val="en-US"/>
              </w:rPr>
            </w:pPr>
          </w:p>
        </w:tc>
      </w:tr>
      <w:tr w:rsidR="00F4797D" w:rsidRPr="00357869" w14:paraId="2BA70D3D" w14:textId="77777777" w:rsidTr="00F4797D">
        <w:trPr>
          <w:trHeight w:val="254"/>
        </w:trPr>
        <w:tc>
          <w:tcPr>
            <w:tcW w:w="1638" w:type="dxa"/>
            <w:tcBorders>
              <w:top w:val="nil"/>
              <w:left w:val="single" w:sz="4" w:space="0" w:color="auto"/>
              <w:bottom w:val="nil"/>
              <w:right w:val="single" w:sz="4" w:space="0" w:color="auto"/>
            </w:tcBorders>
            <w:shd w:val="clear" w:color="auto" w:fill="auto"/>
            <w:noWrap/>
            <w:vAlign w:val="bottom"/>
            <w:hideMark/>
          </w:tcPr>
          <w:p w14:paraId="5060564A" w14:textId="7777777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2005</w:t>
            </w:r>
          </w:p>
        </w:tc>
        <w:tc>
          <w:tcPr>
            <w:tcW w:w="1046" w:type="dxa"/>
            <w:tcBorders>
              <w:top w:val="nil"/>
              <w:left w:val="single" w:sz="4" w:space="0" w:color="auto"/>
              <w:bottom w:val="nil"/>
              <w:right w:val="nil"/>
            </w:tcBorders>
            <w:shd w:val="clear" w:color="auto" w:fill="auto"/>
            <w:noWrap/>
            <w:vAlign w:val="bottom"/>
            <w:hideMark/>
          </w:tcPr>
          <w:p w14:paraId="1ADB2AFA" w14:textId="006914C1"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21</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4</w:t>
            </w:r>
          </w:p>
        </w:tc>
        <w:tc>
          <w:tcPr>
            <w:tcW w:w="712" w:type="dxa"/>
            <w:tcBorders>
              <w:top w:val="nil"/>
              <w:left w:val="nil"/>
              <w:bottom w:val="nil"/>
              <w:right w:val="nil"/>
            </w:tcBorders>
            <w:shd w:val="clear" w:color="auto" w:fill="auto"/>
            <w:noWrap/>
            <w:vAlign w:val="bottom"/>
            <w:hideMark/>
          </w:tcPr>
          <w:p w14:paraId="650C8758" w14:textId="7A011F70"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1</w:t>
            </w:r>
          </w:p>
        </w:tc>
        <w:tc>
          <w:tcPr>
            <w:tcW w:w="1134" w:type="dxa"/>
            <w:tcBorders>
              <w:top w:val="nil"/>
              <w:left w:val="nil"/>
              <w:bottom w:val="nil"/>
              <w:right w:val="single" w:sz="4" w:space="0" w:color="auto"/>
            </w:tcBorders>
            <w:shd w:val="clear" w:color="auto" w:fill="auto"/>
            <w:noWrap/>
            <w:vAlign w:val="bottom"/>
            <w:hideMark/>
          </w:tcPr>
          <w:p w14:paraId="2CB12299"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993" w:type="dxa"/>
            <w:tcBorders>
              <w:top w:val="nil"/>
              <w:left w:val="single" w:sz="4" w:space="0" w:color="auto"/>
              <w:bottom w:val="nil"/>
              <w:right w:val="nil"/>
            </w:tcBorders>
            <w:shd w:val="clear" w:color="auto" w:fill="auto"/>
            <w:noWrap/>
            <w:vAlign w:val="bottom"/>
            <w:hideMark/>
          </w:tcPr>
          <w:p w14:paraId="22890314" w14:textId="205DFC9D"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4</w:t>
            </w:r>
          </w:p>
        </w:tc>
        <w:tc>
          <w:tcPr>
            <w:tcW w:w="708" w:type="dxa"/>
            <w:tcBorders>
              <w:top w:val="nil"/>
              <w:left w:val="nil"/>
              <w:bottom w:val="nil"/>
              <w:right w:val="nil"/>
            </w:tcBorders>
            <w:shd w:val="clear" w:color="auto" w:fill="auto"/>
            <w:noWrap/>
            <w:vAlign w:val="bottom"/>
            <w:hideMark/>
          </w:tcPr>
          <w:p w14:paraId="7D47D248" w14:textId="28E77F53"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11</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4</w:t>
            </w:r>
          </w:p>
        </w:tc>
        <w:tc>
          <w:tcPr>
            <w:tcW w:w="1087" w:type="dxa"/>
            <w:tcBorders>
              <w:top w:val="nil"/>
              <w:left w:val="nil"/>
              <w:bottom w:val="nil"/>
              <w:right w:val="single" w:sz="4" w:space="0" w:color="auto"/>
            </w:tcBorders>
            <w:shd w:val="clear" w:color="auto" w:fill="auto"/>
            <w:noWrap/>
            <w:vAlign w:val="bottom"/>
            <w:hideMark/>
          </w:tcPr>
          <w:p w14:paraId="475B00F4" w14:textId="77777777" w:rsidR="00FD6BED" w:rsidRPr="00357869" w:rsidRDefault="00FD6BED" w:rsidP="00FD6BED">
            <w:pPr>
              <w:spacing w:after="0" w:line="240" w:lineRule="auto"/>
              <w:jc w:val="center"/>
              <w:rPr>
                <w:rFonts w:ascii="Calibri" w:eastAsia="Times New Roman" w:hAnsi="Calibri" w:cs="Calibri"/>
                <w:color w:val="000000"/>
                <w:lang w:val="en-US"/>
              </w:rPr>
            </w:pPr>
          </w:p>
        </w:tc>
        <w:tc>
          <w:tcPr>
            <w:tcW w:w="953" w:type="dxa"/>
            <w:tcBorders>
              <w:top w:val="nil"/>
              <w:left w:val="single" w:sz="4" w:space="0" w:color="auto"/>
              <w:bottom w:val="nil"/>
              <w:right w:val="nil"/>
            </w:tcBorders>
            <w:shd w:val="clear" w:color="auto" w:fill="auto"/>
            <w:noWrap/>
            <w:vAlign w:val="bottom"/>
            <w:hideMark/>
          </w:tcPr>
          <w:p w14:paraId="09406098" w14:textId="78292732"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11</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1</w:t>
            </w:r>
          </w:p>
        </w:tc>
        <w:tc>
          <w:tcPr>
            <w:tcW w:w="760" w:type="dxa"/>
            <w:tcBorders>
              <w:top w:val="nil"/>
              <w:left w:val="nil"/>
              <w:bottom w:val="nil"/>
              <w:right w:val="nil"/>
            </w:tcBorders>
            <w:shd w:val="clear" w:color="auto" w:fill="auto"/>
            <w:noWrap/>
            <w:vAlign w:val="bottom"/>
            <w:hideMark/>
          </w:tcPr>
          <w:p w14:paraId="05C6536E" w14:textId="50D3DC0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11</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9</w:t>
            </w:r>
          </w:p>
        </w:tc>
        <w:tc>
          <w:tcPr>
            <w:tcW w:w="1034" w:type="dxa"/>
            <w:tcBorders>
              <w:top w:val="nil"/>
              <w:left w:val="nil"/>
              <w:bottom w:val="nil"/>
              <w:right w:val="single" w:sz="4" w:space="0" w:color="auto"/>
            </w:tcBorders>
            <w:shd w:val="clear" w:color="auto" w:fill="auto"/>
            <w:noWrap/>
            <w:vAlign w:val="bottom"/>
            <w:hideMark/>
          </w:tcPr>
          <w:p w14:paraId="247B5CE2" w14:textId="77777777" w:rsidR="00FD6BED" w:rsidRPr="00357869" w:rsidRDefault="00FD6BED" w:rsidP="00FD6BED">
            <w:pPr>
              <w:spacing w:after="0" w:line="240" w:lineRule="auto"/>
              <w:jc w:val="center"/>
              <w:rPr>
                <w:rFonts w:ascii="Calibri" w:eastAsia="Times New Roman" w:hAnsi="Calibri" w:cs="Calibri"/>
                <w:color w:val="000000"/>
                <w:lang w:val="en-US"/>
              </w:rPr>
            </w:pPr>
          </w:p>
        </w:tc>
      </w:tr>
      <w:tr w:rsidR="00F4797D" w:rsidRPr="00357869" w14:paraId="7DE51FD6" w14:textId="77777777" w:rsidTr="00F4797D">
        <w:trPr>
          <w:trHeight w:val="22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42B3AD69" w14:textId="77777777"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2017</w:t>
            </w:r>
          </w:p>
        </w:tc>
        <w:tc>
          <w:tcPr>
            <w:tcW w:w="1046" w:type="dxa"/>
            <w:tcBorders>
              <w:top w:val="nil"/>
              <w:left w:val="single" w:sz="4" w:space="0" w:color="auto"/>
              <w:bottom w:val="single" w:sz="4" w:space="0" w:color="auto"/>
              <w:right w:val="nil"/>
            </w:tcBorders>
            <w:shd w:val="clear" w:color="auto" w:fill="auto"/>
            <w:noWrap/>
            <w:vAlign w:val="bottom"/>
            <w:hideMark/>
          </w:tcPr>
          <w:p w14:paraId="02105D3B" w14:textId="04AAD8C9"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22</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6</w:t>
            </w:r>
          </w:p>
        </w:tc>
        <w:tc>
          <w:tcPr>
            <w:tcW w:w="712" w:type="dxa"/>
            <w:tcBorders>
              <w:top w:val="nil"/>
              <w:left w:val="nil"/>
              <w:bottom w:val="single" w:sz="4" w:space="0" w:color="auto"/>
              <w:right w:val="nil"/>
            </w:tcBorders>
            <w:shd w:val="clear" w:color="auto" w:fill="auto"/>
            <w:noWrap/>
            <w:vAlign w:val="bottom"/>
            <w:hideMark/>
          </w:tcPr>
          <w:p w14:paraId="48D549DE" w14:textId="4650B482"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16</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397FB4A6" w14:textId="5B96115A"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3</w:t>
            </w:r>
          </w:p>
        </w:tc>
        <w:tc>
          <w:tcPr>
            <w:tcW w:w="993" w:type="dxa"/>
            <w:tcBorders>
              <w:top w:val="nil"/>
              <w:left w:val="single" w:sz="4" w:space="0" w:color="auto"/>
              <w:bottom w:val="single" w:sz="4" w:space="0" w:color="auto"/>
              <w:right w:val="nil"/>
            </w:tcBorders>
            <w:shd w:val="clear" w:color="auto" w:fill="auto"/>
            <w:noWrap/>
            <w:vAlign w:val="bottom"/>
            <w:hideMark/>
          </w:tcPr>
          <w:p w14:paraId="73421D77" w14:textId="3FCB4573"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17</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2</w:t>
            </w:r>
          </w:p>
        </w:tc>
        <w:tc>
          <w:tcPr>
            <w:tcW w:w="708" w:type="dxa"/>
            <w:tcBorders>
              <w:top w:val="nil"/>
              <w:left w:val="nil"/>
              <w:bottom w:val="single" w:sz="4" w:space="0" w:color="auto"/>
              <w:right w:val="nil"/>
            </w:tcBorders>
            <w:shd w:val="clear" w:color="auto" w:fill="auto"/>
            <w:noWrap/>
            <w:vAlign w:val="bottom"/>
            <w:hideMark/>
          </w:tcPr>
          <w:p w14:paraId="4A716447" w14:textId="0EE87684"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9</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6</w:t>
            </w:r>
          </w:p>
        </w:tc>
        <w:tc>
          <w:tcPr>
            <w:tcW w:w="1087" w:type="dxa"/>
            <w:tcBorders>
              <w:top w:val="nil"/>
              <w:left w:val="nil"/>
              <w:bottom w:val="single" w:sz="4" w:space="0" w:color="auto"/>
              <w:right w:val="single" w:sz="4" w:space="0" w:color="auto"/>
            </w:tcBorders>
            <w:shd w:val="clear" w:color="auto" w:fill="auto"/>
            <w:noWrap/>
            <w:vAlign w:val="bottom"/>
            <w:hideMark/>
          </w:tcPr>
          <w:p w14:paraId="7B20CFFB" w14:textId="24D76DC2"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6</w:t>
            </w:r>
          </w:p>
        </w:tc>
        <w:tc>
          <w:tcPr>
            <w:tcW w:w="953" w:type="dxa"/>
            <w:tcBorders>
              <w:top w:val="nil"/>
              <w:left w:val="single" w:sz="4" w:space="0" w:color="auto"/>
              <w:bottom w:val="single" w:sz="4" w:space="0" w:color="auto"/>
              <w:right w:val="nil"/>
            </w:tcBorders>
            <w:shd w:val="clear" w:color="auto" w:fill="auto"/>
            <w:noWrap/>
            <w:vAlign w:val="bottom"/>
            <w:hideMark/>
          </w:tcPr>
          <w:p w14:paraId="34D7C85F" w14:textId="7986F94F"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12</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9</w:t>
            </w:r>
          </w:p>
        </w:tc>
        <w:tc>
          <w:tcPr>
            <w:tcW w:w="760" w:type="dxa"/>
            <w:tcBorders>
              <w:top w:val="nil"/>
              <w:left w:val="nil"/>
              <w:bottom w:val="single" w:sz="4" w:space="0" w:color="auto"/>
              <w:right w:val="nil"/>
            </w:tcBorders>
            <w:shd w:val="clear" w:color="auto" w:fill="auto"/>
            <w:noWrap/>
            <w:vAlign w:val="bottom"/>
            <w:hideMark/>
          </w:tcPr>
          <w:p w14:paraId="552EA579" w14:textId="7815CDB3"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11</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0</w:t>
            </w:r>
          </w:p>
        </w:tc>
        <w:tc>
          <w:tcPr>
            <w:tcW w:w="1034" w:type="dxa"/>
            <w:tcBorders>
              <w:top w:val="nil"/>
              <w:left w:val="nil"/>
              <w:bottom w:val="single" w:sz="4" w:space="0" w:color="auto"/>
              <w:right w:val="single" w:sz="4" w:space="0" w:color="auto"/>
            </w:tcBorders>
            <w:shd w:val="clear" w:color="auto" w:fill="auto"/>
            <w:noWrap/>
            <w:vAlign w:val="bottom"/>
            <w:hideMark/>
          </w:tcPr>
          <w:p w14:paraId="798EFF4D" w14:textId="360E687D" w:rsidR="00FD6BED" w:rsidRPr="00357869" w:rsidRDefault="00FD6BED" w:rsidP="00FD6BED">
            <w:pPr>
              <w:spacing w:after="0" w:line="240" w:lineRule="auto"/>
              <w:jc w:val="center"/>
              <w:rPr>
                <w:rFonts w:ascii="Calibri" w:eastAsia="Times New Roman" w:hAnsi="Calibri" w:cs="Calibri"/>
                <w:color w:val="000000"/>
                <w:lang w:val="en-US"/>
              </w:rPr>
            </w:pPr>
            <w:r w:rsidRPr="00357869">
              <w:rPr>
                <w:rFonts w:ascii="Calibri" w:eastAsia="Times New Roman" w:hAnsi="Calibri" w:cs="Calibri"/>
                <w:color w:val="000000"/>
                <w:lang w:val="en-US"/>
              </w:rPr>
              <w:t>2</w:t>
            </w:r>
            <w:r w:rsidR="003065B9" w:rsidRPr="00357869">
              <w:rPr>
                <w:rFonts w:ascii="Calibri" w:eastAsia="Times New Roman" w:hAnsi="Calibri" w:cs="Calibri"/>
                <w:color w:val="000000"/>
                <w:lang w:val="en-US"/>
              </w:rPr>
              <w:t>.</w:t>
            </w:r>
            <w:r w:rsidRPr="00357869">
              <w:rPr>
                <w:rFonts w:ascii="Calibri" w:eastAsia="Times New Roman" w:hAnsi="Calibri" w:cs="Calibri"/>
                <w:color w:val="000000"/>
                <w:lang w:val="en-US"/>
              </w:rPr>
              <w:t>8</w:t>
            </w:r>
          </w:p>
        </w:tc>
      </w:tr>
    </w:tbl>
    <w:p w14:paraId="160958C2" w14:textId="58ACFDAF" w:rsidR="006F67DB" w:rsidRPr="00357869" w:rsidRDefault="004F3664" w:rsidP="006F67DB">
      <w:pPr>
        <w:jc w:val="both"/>
        <w:rPr>
          <w:rFonts w:ascii="Calibri" w:hAnsi="Calibri" w:cs="Calibri"/>
          <w:sz w:val="18"/>
          <w:szCs w:val="18"/>
          <w:lang w:val="en-US"/>
        </w:r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Pr="00357869">
        <w:rPr>
          <w:rFonts w:ascii="Calibri" w:hAnsi="Calibri" w:cs="Calibri"/>
          <w:sz w:val="18"/>
          <w:szCs w:val="18"/>
          <w:lang w:val="en-US"/>
        </w:rPr>
        <w:t>, HLFS micro data, 2005-2017</w:t>
      </w:r>
    </w:p>
    <w:p w14:paraId="099347C4" w14:textId="0335FFDC" w:rsidR="009851F9" w:rsidRPr="00357869" w:rsidRDefault="009851F9" w:rsidP="00E814A3">
      <w:pPr>
        <w:tabs>
          <w:tab w:val="left" w:pos="3005"/>
        </w:tabs>
        <w:jc w:val="both"/>
        <w:outlineLvl w:val="0"/>
        <w:rPr>
          <w:rFonts w:ascii="Calibri" w:hAnsi="Calibri" w:cs="Calibri"/>
          <w:b/>
          <w:lang w:val="en-US"/>
        </w:rPr>
      </w:pPr>
      <w:r w:rsidRPr="00357869">
        <w:rPr>
          <w:rFonts w:ascii="Calibri" w:hAnsi="Calibri" w:cs="Calibri"/>
          <w:b/>
          <w:lang w:val="en-US"/>
        </w:rPr>
        <w:t>Unemployment rates of young women with college degrees</w:t>
      </w:r>
    </w:p>
    <w:p w14:paraId="57FCB485" w14:textId="4159C4E9" w:rsidR="003979D3" w:rsidRPr="00357869" w:rsidRDefault="00532209" w:rsidP="00170159">
      <w:pPr>
        <w:tabs>
          <w:tab w:val="left" w:pos="3005"/>
        </w:tabs>
        <w:jc w:val="both"/>
        <w:rPr>
          <w:rFonts w:ascii="Calibri" w:hAnsi="Calibri" w:cs="Calibri"/>
          <w:lang w:val="en-US"/>
        </w:rPr>
      </w:pPr>
      <w:r w:rsidRPr="00357869">
        <w:rPr>
          <w:rFonts w:ascii="Calibri" w:hAnsi="Calibri" w:cs="Calibri"/>
          <w:lang w:val="en-US"/>
        </w:rPr>
        <w:t xml:space="preserve">According to the findings summarized above, the unemployment rate of women with college degrees between the ages of 20 and 29 is considerably higher. </w:t>
      </w:r>
      <w:r w:rsidR="006F6BDF" w:rsidRPr="00357869">
        <w:rPr>
          <w:rFonts w:ascii="Calibri" w:hAnsi="Calibri" w:cs="Calibri"/>
          <w:lang w:val="en-US"/>
        </w:rPr>
        <w:t xml:space="preserve">The time trend of this rate is provided in Figure 7. Higher unemployment rates may partially be explained by the difficulties in finding a first job, and the instabilities during the first years in the labor market. Yet, the unemployment rates of </w:t>
      </w:r>
      <w:r w:rsidR="008F5A53" w:rsidRPr="00357869">
        <w:rPr>
          <w:rFonts w:ascii="Calibri" w:hAnsi="Calibri" w:cs="Calibri"/>
          <w:lang w:val="en-US"/>
        </w:rPr>
        <w:t xml:space="preserve">young </w:t>
      </w:r>
      <w:r w:rsidR="006F6BDF" w:rsidRPr="00357869">
        <w:rPr>
          <w:rFonts w:ascii="Calibri" w:hAnsi="Calibri" w:cs="Calibri"/>
          <w:lang w:val="en-US"/>
        </w:rPr>
        <w:t xml:space="preserve">women are considerably higher than those of </w:t>
      </w:r>
      <w:r w:rsidR="008F5A53" w:rsidRPr="00357869">
        <w:rPr>
          <w:rFonts w:ascii="Calibri" w:hAnsi="Calibri" w:cs="Calibri"/>
          <w:lang w:val="en-US"/>
        </w:rPr>
        <w:t xml:space="preserve">young </w:t>
      </w:r>
      <w:r w:rsidR="006F6BDF" w:rsidRPr="00357869">
        <w:rPr>
          <w:rFonts w:ascii="Calibri" w:hAnsi="Calibri" w:cs="Calibri"/>
          <w:lang w:val="en-US"/>
        </w:rPr>
        <w:t xml:space="preserve">men. </w:t>
      </w:r>
      <w:r w:rsidR="003979D3" w:rsidRPr="00357869">
        <w:rPr>
          <w:rFonts w:ascii="Calibri" w:hAnsi="Calibri" w:cs="Calibri"/>
          <w:lang w:val="en-US"/>
        </w:rPr>
        <w:t xml:space="preserve">In 2005, the unemployment rate among young women is 23.2 </w:t>
      </w:r>
      <w:proofErr w:type="gramStart"/>
      <w:r w:rsidR="003979D3" w:rsidRPr="00357869">
        <w:rPr>
          <w:rFonts w:ascii="Calibri" w:hAnsi="Calibri" w:cs="Calibri"/>
          <w:lang w:val="en-US"/>
        </w:rPr>
        <w:t>percent, that</w:t>
      </w:r>
      <w:proofErr w:type="gramEnd"/>
      <w:r w:rsidR="003979D3" w:rsidRPr="00357869">
        <w:rPr>
          <w:rFonts w:ascii="Calibri" w:hAnsi="Calibri" w:cs="Calibri"/>
          <w:lang w:val="en-US"/>
        </w:rPr>
        <w:t xml:space="preserve"> among men is 17.8 percent, which implies a gender gap of 5.4 percent. In the following 12 years, the unemployment rate among men stays pretty stable, however, that among women increases drastically, causing the gender gap to widen to 12.1 percentage points. </w:t>
      </w:r>
    </w:p>
    <w:p w14:paraId="453356D2" w14:textId="4D5187E2" w:rsidR="00833053" w:rsidRPr="00357869" w:rsidRDefault="003979D3" w:rsidP="00E814A3">
      <w:pPr>
        <w:pStyle w:val="Caption"/>
        <w:keepNext/>
        <w:jc w:val="both"/>
        <w:outlineLvl w:val="0"/>
        <w:rPr>
          <w:rFonts w:ascii="Calibri" w:hAnsi="Calibri" w:cs="Calibri"/>
          <w:szCs w:val="22"/>
          <w:lang w:val="en-US"/>
        </w:rPr>
      </w:pPr>
      <w:r w:rsidRPr="00357869">
        <w:rPr>
          <w:rFonts w:ascii="Calibri" w:hAnsi="Calibri" w:cs="Calibri"/>
          <w:szCs w:val="22"/>
          <w:lang w:val="en-US"/>
        </w:rPr>
        <w:lastRenderedPageBreak/>
        <w:t>Figure</w:t>
      </w:r>
      <w:r w:rsidR="005B5122" w:rsidRPr="00357869">
        <w:rPr>
          <w:rFonts w:ascii="Calibri" w:hAnsi="Calibri" w:cs="Calibri"/>
          <w:szCs w:val="22"/>
          <w:lang w:val="en-US"/>
        </w:rPr>
        <w:t xml:space="preserve"> 7</w:t>
      </w:r>
      <w:r w:rsidR="00833053" w:rsidRPr="00357869">
        <w:rPr>
          <w:rFonts w:ascii="Calibri" w:hAnsi="Calibri" w:cs="Calibri"/>
          <w:szCs w:val="22"/>
          <w:lang w:val="en-US"/>
        </w:rPr>
        <w:t xml:space="preserve">: </w:t>
      </w:r>
      <w:r w:rsidRPr="00357869">
        <w:rPr>
          <w:rFonts w:ascii="Calibri" w:hAnsi="Calibri" w:cs="Calibri"/>
          <w:szCs w:val="22"/>
          <w:lang w:val="en-US"/>
        </w:rPr>
        <w:t xml:space="preserve">The unemployment rates of college graduates between the ages of </w:t>
      </w:r>
      <w:r w:rsidR="00833053" w:rsidRPr="00357869">
        <w:rPr>
          <w:rFonts w:ascii="Calibri" w:hAnsi="Calibri" w:cs="Calibri"/>
          <w:szCs w:val="22"/>
          <w:lang w:val="en-US"/>
        </w:rPr>
        <w:t>20-29 (%) (2005-2017)</w:t>
      </w:r>
    </w:p>
    <w:p w14:paraId="45E85A79" w14:textId="56271853" w:rsidR="00ED0112" w:rsidRPr="00357869" w:rsidRDefault="00044FDD" w:rsidP="00170159">
      <w:pPr>
        <w:tabs>
          <w:tab w:val="left" w:pos="3005"/>
        </w:tabs>
        <w:jc w:val="both"/>
        <w:rPr>
          <w:rFonts w:ascii="Calibri" w:hAnsi="Calibri" w:cs="Calibri"/>
          <w:b/>
          <w:lang w:val="en-US"/>
        </w:rPr>
      </w:pPr>
      <w:r w:rsidRPr="00357869">
        <w:rPr>
          <w:rFonts w:ascii="Calibri" w:hAnsi="Calibri" w:cs="Calibri"/>
          <w:noProof/>
          <w:lang w:eastAsia="en-GB"/>
        </w:rPr>
        <w:drawing>
          <wp:inline distT="0" distB="0" distL="0" distR="0" wp14:anchorId="34DD0D3B" wp14:editId="5FFC891F">
            <wp:extent cx="5760720" cy="267398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646BD0" w14:textId="77777777" w:rsidR="004F3664" w:rsidRPr="00357869" w:rsidRDefault="004F3664" w:rsidP="004F3664">
      <w:pPr>
        <w:jc w:val="both"/>
        <w:rPr>
          <w:rFonts w:ascii="Calibri" w:hAnsi="Calibri" w:cs="Calibri"/>
          <w:sz w:val="18"/>
          <w:szCs w:val="18"/>
          <w:lang w:val="en-US"/>
        </w:r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Pr="00357869">
        <w:rPr>
          <w:rFonts w:ascii="Calibri" w:hAnsi="Calibri" w:cs="Calibri"/>
          <w:sz w:val="18"/>
          <w:szCs w:val="18"/>
          <w:lang w:val="en-US"/>
        </w:rPr>
        <w:t>, HLFS micro data, 2005-2017</w:t>
      </w:r>
    </w:p>
    <w:p w14:paraId="25EDBADA" w14:textId="462E3642" w:rsidR="00916489" w:rsidRPr="00357869" w:rsidRDefault="00CC3942" w:rsidP="0045172C">
      <w:pPr>
        <w:tabs>
          <w:tab w:val="left" w:pos="3005"/>
        </w:tabs>
        <w:jc w:val="both"/>
        <w:rPr>
          <w:rFonts w:ascii="Calibri" w:hAnsi="Calibri" w:cs="Calibri"/>
          <w:lang w:val="en-US"/>
        </w:rPr>
      </w:pPr>
      <w:r w:rsidRPr="00357869">
        <w:rPr>
          <w:rFonts w:ascii="Calibri" w:hAnsi="Calibri" w:cs="Calibri"/>
          <w:lang w:val="en-US"/>
        </w:rPr>
        <w:t>Looking at the labor force participation rates of women with college education may provide useful insights. Data in</w:t>
      </w:r>
      <w:r w:rsidR="00B9448C" w:rsidRPr="00357869">
        <w:rPr>
          <w:rFonts w:ascii="Calibri" w:hAnsi="Calibri" w:cs="Calibri"/>
          <w:lang w:val="en-US"/>
        </w:rPr>
        <w:t xml:space="preserve"> Figure 8 reveals that the most striking expansion concerns the women above the age of 45, who choose to stay in the labor force for longer periods. In other words, the increasing labor force participation rates among this age group reflects the fact that they have been postponing retirement. One could argue that women who stay in the labor market until the age of retirement, have managed to do so thanks to relatively more stable jobs, thus would find it easier to stay.</w:t>
      </w:r>
      <w:r w:rsidR="0053727C" w:rsidRPr="00357869">
        <w:rPr>
          <w:rStyle w:val="FootnoteReference"/>
          <w:rFonts w:ascii="Calibri" w:hAnsi="Calibri" w:cs="Calibri"/>
          <w:lang w:val="en-US"/>
        </w:rPr>
        <w:footnoteReference w:id="12"/>
      </w:r>
      <w:r w:rsidR="0045172C" w:rsidRPr="00357869">
        <w:rPr>
          <w:rFonts w:ascii="Calibri" w:hAnsi="Calibri" w:cs="Calibri"/>
          <w:lang w:val="en-US"/>
        </w:rPr>
        <w:t xml:space="preserve"> </w:t>
      </w:r>
    </w:p>
    <w:p w14:paraId="0D120A9F" w14:textId="3F161478" w:rsidR="005A3F9B" w:rsidRPr="00357869" w:rsidRDefault="00044FDD" w:rsidP="00E814A3">
      <w:pPr>
        <w:pStyle w:val="Caption"/>
        <w:keepNext/>
        <w:jc w:val="both"/>
        <w:outlineLvl w:val="0"/>
        <w:rPr>
          <w:rFonts w:ascii="Calibri" w:hAnsi="Calibri" w:cs="Calibri"/>
          <w:szCs w:val="22"/>
          <w:lang w:val="en-US"/>
        </w:rPr>
      </w:pPr>
      <w:r w:rsidRPr="00357869">
        <w:rPr>
          <w:rFonts w:ascii="Calibri" w:hAnsi="Calibri" w:cs="Calibri"/>
          <w:szCs w:val="22"/>
          <w:lang w:val="en-US"/>
        </w:rPr>
        <w:t>Figure</w:t>
      </w:r>
      <w:r w:rsidR="004B1F0A" w:rsidRPr="00357869">
        <w:rPr>
          <w:rFonts w:ascii="Calibri" w:hAnsi="Calibri" w:cs="Calibri"/>
          <w:szCs w:val="22"/>
          <w:lang w:val="en-US"/>
        </w:rPr>
        <w:t xml:space="preserve"> 8</w:t>
      </w:r>
      <w:r w:rsidR="00833053" w:rsidRPr="00357869">
        <w:rPr>
          <w:rFonts w:ascii="Calibri" w:hAnsi="Calibri" w:cs="Calibri"/>
          <w:szCs w:val="22"/>
          <w:lang w:val="en-US"/>
        </w:rPr>
        <w:t xml:space="preserve">: </w:t>
      </w:r>
      <w:r w:rsidRPr="00357869">
        <w:rPr>
          <w:rFonts w:ascii="Calibri" w:hAnsi="Calibri" w:cs="Calibri"/>
          <w:szCs w:val="22"/>
          <w:lang w:val="en-US"/>
        </w:rPr>
        <w:t xml:space="preserve">The labor force participation rates of college graduates </w:t>
      </w:r>
      <w:r w:rsidR="003065B9" w:rsidRPr="00357869">
        <w:rPr>
          <w:rFonts w:ascii="Calibri" w:hAnsi="Calibri" w:cs="Calibri"/>
          <w:szCs w:val="22"/>
          <w:lang w:val="en-US"/>
        </w:rPr>
        <w:t xml:space="preserve">by age </w:t>
      </w:r>
      <w:r w:rsidR="00AB5B4F" w:rsidRPr="00357869">
        <w:rPr>
          <w:rFonts w:ascii="Calibri" w:hAnsi="Calibri" w:cs="Calibri"/>
          <w:szCs w:val="22"/>
          <w:lang w:val="en-US"/>
        </w:rPr>
        <w:t>groups</w:t>
      </w:r>
    </w:p>
    <w:p w14:paraId="186CF744" w14:textId="1AE95F7D" w:rsidR="00916489" w:rsidRPr="00357869" w:rsidRDefault="00916489" w:rsidP="00470E12">
      <w:pPr>
        <w:tabs>
          <w:tab w:val="left" w:pos="3005"/>
        </w:tabs>
        <w:jc w:val="both"/>
        <w:rPr>
          <w:rFonts w:ascii="Calibri" w:hAnsi="Calibri" w:cs="Calibri"/>
          <w:b/>
          <w:lang w:val="en-US"/>
        </w:rPr>
      </w:pPr>
      <w:r w:rsidRPr="00357869">
        <w:rPr>
          <w:rFonts w:ascii="Calibri" w:hAnsi="Calibri" w:cs="Calibri"/>
          <w:noProof/>
          <w:lang w:eastAsia="en-GB"/>
        </w:rPr>
        <w:drawing>
          <wp:inline distT="0" distB="0" distL="0" distR="0" wp14:anchorId="06010DB0" wp14:editId="7F6A674C">
            <wp:extent cx="5205568" cy="2551696"/>
            <wp:effectExtent l="0" t="0" r="19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88DD35" w14:textId="77777777" w:rsidR="004F3664" w:rsidRPr="00357869" w:rsidRDefault="004F3664" w:rsidP="004F3664">
      <w:pPr>
        <w:jc w:val="both"/>
        <w:rPr>
          <w:rFonts w:ascii="Calibri" w:hAnsi="Calibri" w:cs="Calibri"/>
          <w:sz w:val="18"/>
          <w:szCs w:val="18"/>
          <w:lang w:val="en-US"/>
        </w:r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Pr="00357869">
        <w:rPr>
          <w:rFonts w:ascii="Calibri" w:hAnsi="Calibri" w:cs="Calibri"/>
          <w:sz w:val="18"/>
          <w:szCs w:val="18"/>
          <w:lang w:val="en-US"/>
        </w:rPr>
        <w:t>, HLFS micro data, 2005-2017</w:t>
      </w:r>
    </w:p>
    <w:p w14:paraId="3DC93358" w14:textId="77777777" w:rsidR="00044FDD" w:rsidRPr="00357869" w:rsidRDefault="00044FDD" w:rsidP="00E814A3">
      <w:pPr>
        <w:tabs>
          <w:tab w:val="left" w:pos="3005"/>
        </w:tabs>
        <w:jc w:val="both"/>
        <w:outlineLvl w:val="0"/>
        <w:rPr>
          <w:rFonts w:ascii="Calibri" w:hAnsi="Calibri" w:cs="Calibri"/>
          <w:b/>
          <w:lang w:val="en-US"/>
        </w:rPr>
      </w:pPr>
    </w:p>
    <w:p w14:paraId="5ECD1E57" w14:textId="77777777" w:rsidR="00044FDD" w:rsidRPr="00357869" w:rsidRDefault="00044FDD" w:rsidP="00E814A3">
      <w:pPr>
        <w:tabs>
          <w:tab w:val="left" w:pos="3005"/>
        </w:tabs>
        <w:jc w:val="both"/>
        <w:outlineLvl w:val="0"/>
        <w:rPr>
          <w:rFonts w:ascii="Calibri" w:hAnsi="Calibri" w:cs="Calibri"/>
          <w:b/>
          <w:lang w:val="en-US"/>
        </w:rPr>
      </w:pPr>
    </w:p>
    <w:p w14:paraId="22690A3A" w14:textId="0913FC92" w:rsidR="00F73769" w:rsidRPr="00357869" w:rsidRDefault="00E901AD" w:rsidP="00E814A3">
      <w:pPr>
        <w:tabs>
          <w:tab w:val="left" w:pos="3005"/>
        </w:tabs>
        <w:jc w:val="both"/>
        <w:outlineLvl w:val="0"/>
        <w:rPr>
          <w:rFonts w:ascii="Calibri" w:hAnsi="Calibri" w:cs="Calibri"/>
          <w:b/>
          <w:lang w:val="en-US"/>
        </w:rPr>
      </w:pPr>
      <w:r w:rsidRPr="00357869">
        <w:rPr>
          <w:rFonts w:ascii="Calibri" w:hAnsi="Calibri" w:cs="Calibri"/>
          <w:b/>
          <w:lang w:val="en-US"/>
        </w:rPr>
        <w:lastRenderedPageBreak/>
        <w:t>Conclusion</w:t>
      </w:r>
    </w:p>
    <w:p w14:paraId="7DE7CC09" w14:textId="325ADA3D" w:rsidR="00E901AD" w:rsidRPr="00357869" w:rsidRDefault="00E901AD" w:rsidP="00E901AD">
      <w:pPr>
        <w:tabs>
          <w:tab w:val="left" w:pos="3005"/>
        </w:tabs>
        <w:jc w:val="both"/>
        <w:rPr>
          <w:rFonts w:ascii="Calibri" w:hAnsi="Calibri" w:cs="Calibri"/>
          <w:lang w:val="en-US"/>
        </w:rPr>
      </w:pPr>
      <w:r w:rsidRPr="00357869">
        <w:rPr>
          <w:rFonts w:ascii="Calibri" w:hAnsi="Calibri" w:cs="Calibri"/>
          <w:lang w:val="en-US"/>
        </w:rPr>
        <w:t>The findings of this research brief show that the widening of the gender gap in unemployment rates has been caused by the drastic increase in the unemployment rates of women between the ages of 20 and 29 with college degrees. It is unexpected to see that these young women with relatively higher education levels in the labor market stands at such high levels.</w:t>
      </w:r>
      <w:r w:rsidR="00AD569D" w:rsidRPr="00357869">
        <w:rPr>
          <w:rStyle w:val="FootnoteReference"/>
          <w:rFonts w:ascii="Calibri" w:hAnsi="Calibri" w:cs="Calibri"/>
          <w:lang w:val="en-US"/>
        </w:rPr>
        <w:footnoteReference w:id="13"/>
      </w:r>
      <w:r w:rsidR="00AD569D" w:rsidRPr="00357869">
        <w:rPr>
          <w:rFonts w:ascii="Calibri" w:hAnsi="Calibri" w:cs="Calibri"/>
          <w:lang w:val="en-US"/>
        </w:rPr>
        <w:t xml:space="preserve"> </w:t>
      </w:r>
      <w:r w:rsidRPr="00357869">
        <w:rPr>
          <w:rFonts w:ascii="Calibri" w:hAnsi="Calibri" w:cs="Calibri"/>
          <w:lang w:val="en-US"/>
        </w:rPr>
        <w:t xml:space="preserve">Clearly, this finding points to obstacles that young women with college degrees face in finding and keeping stable jobs in the labor market. </w:t>
      </w:r>
    </w:p>
    <w:p w14:paraId="716C3BD2" w14:textId="34140DB9" w:rsidR="00406662" w:rsidRPr="00357869" w:rsidRDefault="00E901AD" w:rsidP="00E901AD">
      <w:pPr>
        <w:tabs>
          <w:tab w:val="left" w:pos="3005"/>
        </w:tabs>
        <w:jc w:val="both"/>
        <w:rPr>
          <w:rFonts w:ascii="Calibri" w:hAnsi="Calibri" w:cs="Calibri"/>
          <w:lang w:val="en-US"/>
        </w:rPr>
      </w:pPr>
      <w:r w:rsidRPr="00357869">
        <w:rPr>
          <w:rFonts w:ascii="Calibri" w:hAnsi="Calibri" w:cs="Calibri"/>
          <w:lang w:val="en-US"/>
        </w:rPr>
        <w:t xml:space="preserve">High unemployment rates may be caused by both demand and supply side problems. The labor force participation rates are similar across the 20-29 and 30-44 age groups. In Turkey, many women get married and have children between the age of 20 and 29. </w:t>
      </w:r>
      <w:r w:rsidR="006533E3" w:rsidRPr="00357869">
        <w:rPr>
          <w:rFonts w:ascii="Calibri" w:hAnsi="Calibri" w:cs="Calibri"/>
          <w:lang w:val="en-US"/>
        </w:rPr>
        <w:t>From the supply side, women may tend towards jobs with more flexible working conditions. In countries where women shoulder care responsibilities, they are more likely to take up jobs that offer more flexibility. Such opportunities that offer jobs with flexicurity remain very limited in the labor market in Turkey. Furthermore, given that care responsibilities fall disproportionately on the women, the relative cost of female employees is also higher. For example, firms are required to provide child care according to the number of female employees (rather than the total number of employees), the parental care after birth is defined as maternal leave, rather than parental leave, etc. Firms may be reluctant to hire women under these regulations that increase the relative cost of female employees.</w:t>
      </w:r>
      <w:r w:rsidR="00250414" w:rsidRPr="00357869">
        <w:rPr>
          <w:rFonts w:ascii="Calibri" w:hAnsi="Calibri" w:cs="Calibri"/>
          <w:lang w:val="en-US"/>
        </w:rPr>
        <w:t xml:space="preserve"> Note that women with higher education levels are more likely to look for formal jobs, precisely the types of jobs for which these relative costs are binding. </w:t>
      </w:r>
      <w:r w:rsidRPr="00357869">
        <w:rPr>
          <w:rFonts w:ascii="Calibri" w:hAnsi="Calibri" w:cs="Calibri"/>
          <w:lang w:val="en-US"/>
        </w:rPr>
        <w:t xml:space="preserve"> </w:t>
      </w:r>
    </w:p>
    <w:p w14:paraId="1CE57BB1" w14:textId="3BE654EA" w:rsidR="008626FF" w:rsidRPr="00357869" w:rsidRDefault="00EF4D95" w:rsidP="008626FF">
      <w:pPr>
        <w:tabs>
          <w:tab w:val="left" w:pos="3005"/>
        </w:tabs>
        <w:jc w:val="both"/>
        <w:rPr>
          <w:rFonts w:ascii="Calibri" w:hAnsi="Calibri" w:cs="Calibri"/>
          <w:lang w:val="en-US"/>
        </w:rPr>
      </w:pPr>
      <w:r w:rsidRPr="00357869">
        <w:rPr>
          <w:rFonts w:ascii="Calibri" w:hAnsi="Calibri" w:cs="Calibri"/>
          <w:lang w:val="en-US"/>
        </w:rPr>
        <w:t xml:space="preserve">Lastly, the gender gap in unemployment rates among the lower education levels widened across the 45-64 age group. In the same age group, the gap among the college graduates is much smaller even if the female labor force participation rate of the latter group has been increasing, implying that the labor productivity levels of these women are relatively high. Postponing retirement may cause problems in accessing job opportunities, particularly for women </w:t>
      </w:r>
      <w:r w:rsidR="001C0534" w:rsidRPr="00357869">
        <w:rPr>
          <w:rFonts w:ascii="Calibri" w:hAnsi="Calibri" w:cs="Calibri"/>
          <w:lang w:val="en-US"/>
        </w:rPr>
        <w:t>with lower skill sets who are older</w:t>
      </w:r>
      <w:r w:rsidRPr="00357869">
        <w:rPr>
          <w:rFonts w:ascii="Calibri" w:hAnsi="Calibri" w:cs="Calibri"/>
          <w:lang w:val="en-US"/>
        </w:rPr>
        <w:t xml:space="preserve">. </w:t>
      </w:r>
      <w:r w:rsidR="00BF1548" w:rsidRPr="00357869">
        <w:rPr>
          <w:rFonts w:ascii="Calibri" w:hAnsi="Calibri" w:cs="Calibri"/>
          <w:lang w:val="en-US"/>
        </w:rPr>
        <w:t xml:space="preserve">A closer study of their labor market experiences and their occupations may provide useful information. </w:t>
      </w:r>
    </w:p>
    <w:p w14:paraId="008C4534" w14:textId="77777777" w:rsidR="007417D2" w:rsidRPr="00357869" w:rsidRDefault="007417D2" w:rsidP="00170159">
      <w:pPr>
        <w:tabs>
          <w:tab w:val="left" w:pos="3005"/>
        </w:tabs>
        <w:jc w:val="both"/>
        <w:rPr>
          <w:rFonts w:ascii="Calibri" w:hAnsi="Calibri" w:cs="Calibri"/>
          <w:b/>
          <w:lang w:val="en-US"/>
        </w:rPr>
      </w:pPr>
    </w:p>
    <w:p w14:paraId="34CB9B9F" w14:textId="77777777" w:rsidR="0018337B" w:rsidRPr="00357869" w:rsidRDefault="0018337B" w:rsidP="001A10A6">
      <w:pPr>
        <w:tabs>
          <w:tab w:val="left" w:pos="3005"/>
        </w:tabs>
        <w:jc w:val="both"/>
        <w:rPr>
          <w:rFonts w:ascii="Calibri" w:hAnsi="Calibri" w:cs="Calibri"/>
          <w:b/>
          <w:lang w:val="en-US"/>
        </w:rPr>
      </w:pPr>
    </w:p>
    <w:p w14:paraId="021DE6A7" w14:textId="77777777" w:rsidR="0018337B" w:rsidRPr="00357869" w:rsidRDefault="0018337B" w:rsidP="001A10A6">
      <w:pPr>
        <w:tabs>
          <w:tab w:val="left" w:pos="3005"/>
        </w:tabs>
        <w:jc w:val="both"/>
        <w:rPr>
          <w:rFonts w:ascii="Calibri" w:hAnsi="Calibri" w:cs="Calibri"/>
          <w:b/>
          <w:lang w:val="en-US"/>
        </w:rPr>
      </w:pPr>
    </w:p>
    <w:p w14:paraId="7A465BDC" w14:textId="77777777" w:rsidR="00D010DC" w:rsidRPr="00357869" w:rsidRDefault="00D010DC" w:rsidP="001A10A6">
      <w:pPr>
        <w:tabs>
          <w:tab w:val="left" w:pos="3005"/>
        </w:tabs>
        <w:jc w:val="both"/>
        <w:rPr>
          <w:rFonts w:ascii="Calibri" w:hAnsi="Calibri" w:cs="Calibri"/>
          <w:b/>
          <w:lang w:val="en-US"/>
        </w:rPr>
      </w:pPr>
    </w:p>
    <w:p w14:paraId="783EEE52" w14:textId="77777777" w:rsidR="00D010DC" w:rsidRPr="00357869" w:rsidRDefault="00D010DC" w:rsidP="001A10A6">
      <w:pPr>
        <w:tabs>
          <w:tab w:val="left" w:pos="3005"/>
        </w:tabs>
        <w:jc w:val="both"/>
        <w:rPr>
          <w:rFonts w:ascii="Calibri" w:hAnsi="Calibri" w:cs="Calibri"/>
          <w:b/>
          <w:lang w:val="en-US"/>
        </w:rPr>
      </w:pPr>
    </w:p>
    <w:p w14:paraId="2149CA2F" w14:textId="77777777" w:rsidR="00D010DC" w:rsidRPr="00357869" w:rsidRDefault="00D010DC" w:rsidP="001A10A6">
      <w:pPr>
        <w:tabs>
          <w:tab w:val="left" w:pos="3005"/>
        </w:tabs>
        <w:jc w:val="both"/>
        <w:rPr>
          <w:rFonts w:ascii="Calibri" w:hAnsi="Calibri" w:cs="Calibri"/>
          <w:b/>
          <w:lang w:val="en-US"/>
        </w:rPr>
      </w:pPr>
    </w:p>
    <w:p w14:paraId="26DE336F" w14:textId="77777777" w:rsidR="00D010DC" w:rsidRPr="00357869" w:rsidRDefault="00D010DC" w:rsidP="001A10A6">
      <w:pPr>
        <w:tabs>
          <w:tab w:val="left" w:pos="3005"/>
        </w:tabs>
        <w:jc w:val="both"/>
        <w:rPr>
          <w:rFonts w:ascii="Calibri" w:hAnsi="Calibri" w:cs="Calibri"/>
          <w:b/>
          <w:lang w:val="en-US"/>
        </w:rPr>
      </w:pPr>
    </w:p>
    <w:p w14:paraId="3567F24E" w14:textId="77777777" w:rsidR="00D010DC" w:rsidRPr="00357869" w:rsidRDefault="00D010DC" w:rsidP="001A10A6">
      <w:pPr>
        <w:tabs>
          <w:tab w:val="left" w:pos="3005"/>
        </w:tabs>
        <w:jc w:val="both"/>
        <w:rPr>
          <w:rFonts w:ascii="Calibri" w:hAnsi="Calibri" w:cs="Calibri"/>
          <w:b/>
          <w:lang w:val="en-US"/>
        </w:rPr>
      </w:pPr>
    </w:p>
    <w:p w14:paraId="6FC77106" w14:textId="77777777" w:rsidR="00D010DC" w:rsidRPr="00357869" w:rsidRDefault="00D010DC" w:rsidP="001A10A6">
      <w:pPr>
        <w:tabs>
          <w:tab w:val="left" w:pos="3005"/>
        </w:tabs>
        <w:jc w:val="both"/>
        <w:rPr>
          <w:rFonts w:ascii="Calibri" w:hAnsi="Calibri" w:cs="Calibri"/>
          <w:b/>
          <w:lang w:val="en-US"/>
        </w:rPr>
      </w:pPr>
    </w:p>
    <w:p w14:paraId="5502B0F9" w14:textId="77777777" w:rsidR="00BF1548" w:rsidRPr="00357869" w:rsidRDefault="00BF1548">
      <w:pPr>
        <w:rPr>
          <w:rFonts w:ascii="Calibri" w:hAnsi="Calibri" w:cs="Calibri"/>
          <w:b/>
          <w:lang w:val="en-US"/>
        </w:rPr>
      </w:pPr>
      <w:r w:rsidRPr="00357869">
        <w:rPr>
          <w:rFonts w:ascii="Calibri" w:hAnsi="Calibri" w:cs="Calibri"/>
          <w:b/>
          <w:lang w:val="en-US"/>
        </w:rPr>
        <w:br w:type="page"/>
      </w:r>
    </w:p>
    <w:p w14:paraId="44CD87AC" w14:textId="1476E9F8" w:rsidR="001A10A6" w:rsidRPr="00357869" w:rsidRDefault="00E50493" w:rsidP="001A10A6">
      <w:pPr>
        <w:tabs>
          <w:tab w:val="left" w:pos="3005"/>
        </w:tabs>
        <w:jc w:val="both"/>
        <w:rPr>
          <w:rFonts w:ascii="Calibri" w:hAnsi="Calibri" w:cs="Calibri"/>
          <w:b/>
          <w:lang w:val="en-US"/>
        </w:rPr>
      </w:pPr>
      <w:r w:rsidRPr="00357869">
        <w:rPr>
          <w:rFonts w:ascii="Calibri" w:hAnsi="Calibri" w:cs="Calibri"/>
          <w:b/>
          <w:lang w:val="en-US"/>
        </w:rPr>
        <w:lastRenderedPageBreak/>
        <w:t xml:space="preserve">Annexed </w:t>
      </w:r>
      <w:r w:rsidR="00E7062B" w:rsidRPr="00357869">
        <w:rPr>
          <w:rFonts w:ascii="Calibri" w:hAnsi="Calibri" w:cs="Calibri"/>
          <w:b/>
          <w:lang w:val="en-US"/>
        </w:rPr>
        <w:t>Table</w:t>
      </w:r>
      <w:r w:rsidR="005F11ED" w:rsidRPr="00357869">
        <w:rPr>
          <w:rFonts w:ascii="Calibri" w:hAnsi="Calibri" w:cs="Calibri"/>
          <w:b/>
          <w:lang w:val="en-US"/>
        </w:rPr>
        <w:t xml:space="preserve"> 1</w:t>
      </w:r>
      <w:r w:rsidR="00E411E9" w:rsidRPr="00357869">
        <w:rPr>
          <w:rFonts w:ascii="Calibri" w:hAnsi="Calibri" w:cs="Calibri"/>
          <w:b/>
          <w:lang w:val="en-US"/>
        </w:rPr>
        <w:t>:</w:t>
      </w:r>
      <w:r w:rsidR="001A10A6" w:rsidRPr="00357869">
        <w:rPr>
          <w:rFonts w:ascii="Calibri" w:hAnsi="Calibri" w:cs="Calibri"/>
          <w:b/>
          <w:lang w:val="en-US"/>
        </w:rPr>
        <w:t xml:space="preserve"> </w:t>
      </w:r>
      <w:r w:rsidR="00E7062B" w:rsidRPr="00357869">
        <w:rPr>
          <w:rFonts w:ascii="Calibri" w:hAnsi="Calibri" w:cs="Calibri"/>
          <w:b/>
          <w:lang w:val="en-US"/>
        </w:rPr>
        <w:t>The unemployment rates of women and men by education levels</w:t>
      </w:r>
      <w:r w:rsidR="001A10A6" w:rsidRPr="00357869">
        <w:rPr>
          <w:rFonts w:ascii="Calibri" w:hAnsi="Calibri" w:cs="Calibri"/>
          <w:b/>
          <w:lang w:val="en-US"/>
        </w:rPr>
        <w:t xml:space="preserve"> (%) (</w:t>
      </w:r>
      <w:r w:rsidR="00E7062B" w:rsidRPr="00357869">
        <w:rPr>
          <w:rFonts w:ascii="Calibri" w:hAnsi="Calibri" w:cs="Calibri"/>
          <w:b/>
          <w:lang w:val="en-US"/>
        </w:rPr>
        <w:t xml:space="preserve">Ages </w:t>
      </w:r>
      <w:r w:rsidR="001A10A6" w:rsidRPr="00357869">
        <w:rPr>
          <w:rFonts w:ascii="Calibri" w:hAnsi="Calibri" w:cs="Calibri"/>
          <w:b/>
          <w:lang w:val="en-US"/>
        </w:rPr>
        <w:t>15-64, 2005-2017)</w:t>
      </w:r>
    </w:p>
    <w:tbl>
      <w:tblPr>
        <w:tblW w:w="9954" w:type="dxa"/>
        <w:tblLook w:val="04A0" w:firstRow="1" w:lastRow="0" w:firstColumn="1" w:lastColumn="0" w:noHBand="0" w:noVBand="1"/>
      </w:tblPr>
      <w:tblGrid>
        <w:gridCol w:w="663"/>
        <w:gridCol w:w="868"/>
        <w:gridCol w:w="670"/>
        <w:gridCol w:w="1192"/>
        <w:gridCol w:w="920"/>
        <w:gridCol w:w="1120"/>
        <w:gridCol w:w="864"/>
        <w:gridCol w:w="1258"/>
        <w:gridCol w:w="971"/>
        <w:gridCol w:w="868"/>
        <w:gridCol w:w="670"/>
      </w:tblGrid>
      <w:tr w:rsidR="003065B9" w:rsidRPr="00357869" w14:paraId="125CA954" w14:textId="77777777" w:rsidTr="003065B9">
        <w:trPr>
          <w:trHeight w:val="343"/>
        </w:trPr>
        <w:tc>
          <w:tcPr>
            <w:tcW w:w="0" w:type="auto"/>
            <w:tcBorders>
              <w:top w:val="nil"/>
              <w:left w:val="nil"/>
              <w:bottom w:val="nil"/>
              <w:right w:val="nil"/>
            </w:tcBorders>
            <w:shd w:val="clear" w:color="auto" w:fill="auto"/>
            <w:noWrap/>
            <w:vAlign w:val="bottom"/>
            <w:hideMark/>
          </w:tcPr>
          <w:p w14:paraId="5E5DEFC2" w14:textId="77777777" w:rsidR="00511BC1" w:rsidRPr="00357869" w:rsidRDefault="00511BC1" w:rsidP="00170159">
            <w:pPr>
              <w:spacing w:after="0" w:line="240" w:lineRule="auto"/>
              <w:jc w:val="both"/>
              <w:rPr>
                <w:rFonts w:ascii="Calibri" w:eastAsia="Times New Roman" w:hAnsi="Calibri" w:cs="Calibri"/>
                <w:lang w:val="en-US" w:eastAsia="en-GB"/>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3BB0B" w14:textId="6CF9B6B4" w:rsidR="00511BC1" w:rsidRPr="00357869" w:rsidRDefault="003065B9"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Illiterate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3EB7F77" w14:textId="467DCB8D" w:rsidR="00511BC1"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Less than high school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C85FCB5" w14:textId="36CDFDD1" w:rsidR="00511BC1" w:rsidRPr="00357869" w:rsidRDefault="003065B9"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General high school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B3C64A0" w14:textId="7C0DAC54" w:rsidR="00511BC1" w:rsidRPr="00357869" w:rsidRDefault="003065B9"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Vocational high school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6ED22CB" w14:textId="22956440" w:rsidR="00511BC1" w:rsidRPr="00357869" w:rsidRDefault="003065B9"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College</w:t>
            </w:r>
          </w:p>
        </w:tc>
      </w:tr>
      <w:tr w:rsidR="003065B9" w:rsidRPr="00357869" w14:paraId="69E27619" w14:textId="77777777" w:rsidTr="003065B9">
        <w:trPr>
          <w:trHeight w:val="264"/>
        </w:trPr>
        <w:tc>
          <w:tcPr>
            <w:tcW w:w="0" w:type="auto"/>
            <w:tcBorders>
              <w:top w:val="nil"/>
              <w:left w:val="nil"/>
              <w:bottom w:val="nil"/>
              <w:right w:val="nil"/>
            </w:tcBorders>
            <w:shd w:val="clear" w:color="auto" w:fill="auto"/>
            <w:noWrap/>
            <w:vAlign w:val="bottom"/>
            <w:hideMark/>
          </w:tcPr>
          <w:p w14:paraId="07D8BE5B" w14:textId="77777777" w:rsidR="003065B9" w:rsidRPr="00357869" w:rsidRDefault="003065B9" w:rsidP="003065B9">
            <w:pPr>
              <w:spacing w:after="0" w:line="240" w:lineRule="auto"/>
              <w:jc w:val="both"/>
              <w:rPr>
                <w:rFonts w:ascii="Calibri" w:eastAsia="Times New Roman" w:hAnsi="Calibri" w:cs="Calibri"/>
                <w:color w:val="000000"/>
                <w:lang w:val="en-US" w:eastAsia="en-GB"/>
              </w:rPr>
            </w:pPr>
          </w:p>
        </w:tc>
        <w:tc>
          <w:tcPr>
            <w:tcW w:w="0" w:type="auto"/>
            <w:tcBorders>
              <w:top w:val="nil"/>
              <w:left w:val="single" w:sz="4" w:space="0" w:color="auto"/>
              <w:bottom w:val="single" w:sz="4" w:space="0" w:color="auto"/>
              <w:right w:val="nil"/>
            </w:tcBorders>
            <w:shd w:val="clear" w:color="auto" w:fill="auto"/>
            <w:noWrap/>
            <w:vAlign w:val="bottom"/>
            <w:hideMark/>
          </w:tcPr>
          <w:p w14:paraId="210B5D70" w14:textId="583511DD"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4C0C43E4" w14:textId="3BDE9C1F"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0" w:type="auto"/>
            <w:tcBorders>
              <w:top w:val="nil"/>
              <w:left w:val="nil"/>
              <w:bottom w:val="single" w:sz="4" w:space="0" w:color="auto"/>
              <w:right w:val="nil"/>
            </w:tcBorders>
            <w:shd w:val="clear" w:color="auto" w:fill="auto"/>
            <w:noWrap/>
            <w:vAlign w:val="bottom"/>
            <w:hideMark/>
          </w:tcPr>
          <w:p w14:paraId="0D955022" w14:textId="041E66D1"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342FD4B6" w14:textId="48EA74C3"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0" w:type="auto"/>
            <w:tcBorders>
              <w:top w:val="nil"/>
              <w:left w:val="nil"/>
              <w:bottom w:val="single" w:sz="4" w:space="0" w:color="auto"/>
              <w:right w:val="nil"/>
            </w:tcBorders>
            <w:shd w:val="clear" w:color="auto" w:fill="auto"/>
            <w:noWrap/>
            <w:vAlign w:val="bottom"/>
            <w:hideMark/>
          </w:tcPr>
          <w:p w14:paraId="2A0011FA" w14:textId="75DE968A"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5FBE5EB6" w14:textId="4004F87D"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0" w:type="auto"/>
            <w:tcBorders>
              <w:top w:val="nil"/>
              <w:left w:val="nil"/>
              <w:bottom w:val="single" w:sz="4" w:space="0" w:color="auto"/>
              <w:right w:val="nil"/>
            </w:tcBorders>
            <w:shd w:val="clear" w:color="auto" w:fill="auto"/>
            <w:noWrap/>
            <w:vAlign w:val="bottom"/>
            <w:hideMark/>
          </w:tcPr>
          <w:p w14:paraId="2544637B" w14:textId="3B784D91"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4BA926B9" w14:textId="0C270773"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0" w:type="auto"/>
            <w:tcBorders>
              <w:top w:val="nil"/>
              <w:left w:val="nil"/>
              <w:bottom w:val="single" w:sz="4" w:space="0" w:color="auto"/>
              <w:right w:val="nil"/>
            </w:tcBorders>
            <w:shd w:val="clear" w:color="auto" w:fill="auto"/>
            <w:noWrap/>
            <w:vAlign w:val="bottom"/>
            <w:hideMark/>
          </w:tcPr>
          <w:p w14:paraId="333F5429" w14:textId="7BE0AE88"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1F8C7147" w14:textId="5D27D46B" w:rsidR="003065B9" w:rsidRPr="00357869" w:rsidRDefault="003065B9" w:rsidP="003065B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r>
      <w:tr w:rsidR="003065B9" w:rsidRPr="00357869" w14:paraId="3A944B80" w14:textId="77777777" w:rsidTr="003065B9">
        <w:trPr>
          <w:trHeight w:val="264"/>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FD99DF6"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0" w:type="auto"/>
            <w:tcBorders>
              <w:top w:val="nil"/>
              <w:left w:val="nil"/>
              <w:bottom w:val="nil"/>
              <w:right w:val="nil"/>
            </w:tcBorders>
            <w:shd w:val="clear" w:color="auto" w:fill="auto"/>
            <w:noWrap/>
            <w:vAlign w:val="bottom"/>
            <w:hideMark/>
          </w:tcPr>
          <w:p w14:paraId="4A8DAA07" w14:textId="71024398"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37C0A935" w14:textId="29F24643"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nil"/>
            </w:tcBorders>
            <w:shd w:val="clear" w:color="auto" w:fill="auto"/>
            <w:noWrap/>
            <w:vAlign w:val="bottom"/>
            <w:hideMark/>
          </w:tcPr>
          <w:p w14:paraId="752827D9" w14:textId="5BFEA498"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208DA89E" w14:textId="574B0DB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758A87BE" w14:textId="2612A3CA"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5E8675C3" w14:textId="2189BA74"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nil"/>
            </w:tcBorders>
            <w:shd w:val="clear" w:color="auto" w:fill="auto"/>
            <w:noWrap/>
            <w:vAlign w:val="bottom"/>
            <w:hideMark/>
          </w:tcPr>
          <w:p w14:paraId="6760AFDA" w14:textId="3942C06E"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03471B43" w14:textId="4924D2FA"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59ED7D61" w14:textId="3FAD5227"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06EFDA3F" w14:textId="5959309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r>
      <w:tr w:rsidR="003065B9" w:rsidRPr="00357869" w14:paraId="136B1EC1"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66213235"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0" w:type="auto"/>
            <w:tcBorders>
              <w:top w:val="nil"/>
              <w:left w:val="nil"/>
              <w:bottom w:val="nil"/>
              <w:right w:val="nil"/>
            </w:tcBorders>
            <w:shd w:val="clear" w:color="auto" w:fill="auto"/>
            <w:noWrap/>
            <w:vAlign w:val="bottom"/>
            <w:hideMark/>
          </w:tcPr>
          <w:p w14:paraId="22900AC0" w14:textId="2276EDA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single" w:sz="4" w:space="0" w:color="auto"/>
            </w:tcBorders>
            <w:shd w:val="clear" w:color="auto" w:fill="auto"/>
            <w:noWrap/>
            <w:vAlign w:val="bottom"/>
            <w:hideMark/>
          </w:tcPr>
          <w:p w14:paraId="0AF92605" w14:textId="3FB94FC1"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13343F1F" w14:textId="7374111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single" w:sz="4" w:space="0" w:color="auto"/>
            </w:tcBorders>
            <w:shd w:val="clear" w:color="auto" w:fill="auto"/>
            <w:noWrap/>
            <w:vAlign w:val="bottom"/>
            <w:hideMark/>
          </w:tcPr>
          <w:p w14:paraId="56664FAB" w14:textId="495C14C1"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2E0B30EF" w14:textId="2C808941"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7E61042E" w14:textId="57833A3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6AEA643A" w14:textId="53CBC080"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3D13E74D" w14:textId="30B76B7C"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3F9D53E8" w14:textId="1A77C29C"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11A8CA71" w14:textId="46AB685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3065B9" w:rsidRPr="00357869" w14:paraId="010A3B14"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0F879374"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0" w:type="auto"/>
            <w:tcBorders>
              <w:top w:val="nil"/>
              <w:left w:val="nil"/>
              <w:bottom w:val="nil"/>
              <w:right w:val="nil"/>
            </w:tcBorders>
            <w:shd w:val="clear" w:color="auto" w:fill="auto"/>
            <w:noWrap/>
            <w:vAlign w:val="bottom"/>
            <w:hideMark/>
          </w:tcPr>
          <w:p w14:paraId="5F308B9A" w14:textId="61117F2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64687134" w14:textId="0018670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15CBC510" w14:textId="7E2FC51D"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4553C33D" w14:textId="5587544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nil"/>
            </w:tcBorders>
            <w:shd w:val="clear" w:color="auto" w:fill="auto"/>
            <w:noWrap/>
            <w:vAlign w:val="bottom"/>
            <w:hideMark/>
          </w:tcPr>
          <w:p w14:paraId="3975DF7D" w14:textId="211D8D27"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7A0BA090" w14:textId="37D9083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2B1BB291" w14:textId="1171AF87"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609E4110" w14:textId="0AFA7BD4"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3232DB3B" w14:textId="64B07D0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641126CC" w14:textId="164AE34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r>
      <w:tr w:rsidR="003065B9" w:rsidRPr="00357869" w14:paraId="6EDBEB9D"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00890F03"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0" w:type="auto"/>
            <w:tcBorders>
              <w:top w:val="nil"/>
              <w:left w:val="nil"/>
              <w:bottom w:val="nil"/>
              <w:right w:val="nil"/>
            </w:tcBorders>
            <w:shd w:val="clear" w:color="auto" w:fill="auto"/>
            <w:noWrap/>
            <w:vAlign w:val="bottom"/>
            <w:hideMark/>
          </w:tcPr>
          <w:p w14:paraId="2511A808" w14:textId="2B72ECA0"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single" w:sz="4" w:space="0" w:color="auto"/>
            </w:tcBorders>
            <w:shd w:val="clear" w:color="auto" w:fill="auto"/>
            <w:noWrap/>
            <w:vAlign w:val="bottom"/>
            <w:hideMark/>
          </w:tcPr>
          <w:p w14:paraId="3167F3E3" w14:textId="76C0BAE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7C0426C3" w14:textId="4A3C1660"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4650007C" w14:textId="0D6BFB2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nil"/>
            </w:tcBorders>
            <w:shd w:val="clear" w:color="auto" w:fill="auto"/>
            <w:noWrap/>
            <w:vAlign w:val="bottom"/>
            <w:hideMark/>
          </w:tcPr>
          <w:p w14:paraId="062F7E06" w14:textId="338D97D0"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67027203" w14:textId="2AA1E49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nil"/>
            </w:tcBorders>
            <w:shd w:val="clear" w:color="auto" w:fill="auto"/>
            <w:noWrap/>
            <w:vAlign w:val="bottom"/>
            <w:hideMark/>
          </w:tcPr>
          <w:p w14:paraId="63DCC204" w14:textId="48654C4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270C06FF" w14:textId="5C12B6D3"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13751B90" w14:textId="7C005098"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0EAF1C43" w14:textId="0C402FA4"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r>
      <w:tr w:rsidR="003065B9" w:rsidRPr="00357869" w14:paraId="47B87388"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05EAC57F"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0" w:type="auto"/>
            <w:tcBorders>
              <w:top w:val="nil"/>
              <w:left w:val="nil"/>
              <w:bottom w:val="nil"/>
              <w:right w:val="nil"/>
            </w:tcBorders>
            <w:shd w:val="clear" w:color="auto" w:fill="auto"/>
            <w:noWrap/>
            <w:vAlign w:val="bottom"/>
            <w:hideMark/>
          </w:tcPr>
          <w:p w14:paraId="1AA75C80" w14:textId="15189BC8"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single" w:sz="4" w:space="0" w:color="auto"/>
            </w:tcBorders>
            <w:shd w:val="clear" w:color="auto" w:fill="auto"/>
            <w:noWrap/>
            <w:vAlign w:val="bottom"/>
            <w:hideMark/>
          </w:tcPr>
          <w:p w14:paraId="2194594B" w14:textId="3247D19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nil"/>
            </w:tcBorders>
            <w:shd w:val="clear" w:color="auto" w:fill="auto"/>
            <w:noWrap/>
            <w:vAlign w:val="bottom"/>
            <w:hideMark/>
          </w:tcPr>
          <w:p w14:paraId="53324DF7" w14:textId="19E520F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4BE5CDA7" w14:textId="54DB722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nil"/>
            </w:tcBorders>
            <w:shd w:val="clear" w:color="auto" w:fill="auto"/>
            <w:noWrap/>
            <w:vAlign w:val="bottom"/>
            <w:hideMark/>
          </w:tcPr>
          <w:p w14:paraId="4A0F601A" w14:textId="62E38DA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4AE69684" w14:textId="67458534"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nil"/>
            </w:tcBorders>
            <w:shd w:val="clear" w:color="auto" w:fill="auto"/>
            <w:noWrap/>
            <w:vAlign w:val="bottom"/>
            <w:hideMark/>
          </w:tcPr>
          <w:p w14:paraId="0B293453" w14:textId="26876FF1"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46C91CFC" w14:textId="4DA7FDB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2C69B84E" w14:textId="2B759A10"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6ED04A1F" w14:textId="07688F81"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r w:rsidR="003065B9" w:rsidRPr="00357869" w14:paraId="1204E2A5"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0A351462"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0" w:type="auto"/>
            <w:tcBorders>
              <w:top w:val="nil"/>
              <w:left w:val="nil"/>
              <w:bottom w:val="nil"/>
              <w:right w:val="nil"/>
            </w:tcBorders>
            <w:shd w:val="clear" w:color="auto" w:fill="auto"/>
            <w:noWrap/>
            <w:vAlign w:val="bottom"/>
            <w:hideMark/>
          </w:tcPr>
          <w:p w14:paraId="315B9D43" w14:textId="6AA389C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single" w:sz="4" w:space="0" w:color="auto"/>
            </w:tcBorders>
            <w:shd w:val="clear" w:color="auto" w:fill="auto"/>
            <w:noWrap/>
            <w:vAlign w:val="bottom"/>
            <w:hideMark/>
          </w:tcPr>
          <w:p w14:paraId="22ACECE2" w14:textId="631D5D1C"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5F084FE6" w14:textId="5C44942C"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single" w:sz="4" w:space="0" w:color="auto"/>
            </w:tcBorders>
            <w:shd w:val="clear" w:color="auto" w:fill="auto"/>
            <w:noWrap/>
            <w:vAlign w:val="bottom"/>
            <w:hideMark/>
          </w:tcPr>
          <w:p w14:paraId="5CEE146D" w14:textId="555217FA"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34928CB0" w14:textId="355A8877"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752C15C6" w14:textId="339AF70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374C44F7" w14:textId="172FD963"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single" w:sz="4" w:space="0" w:color="auto"/>
            </w:tcBorders>
            <w:shd w:val="clear" w:color="auto" w:fill="auto"/>
            <w:noWrap/>
            <w:vAlign w:val="bottom"/>
            <w:hideMark/>
          </w:tcPr>
          <w:p w14:paraId="03FE9146" w14:textId="7B01124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nil"/>
            </w:tcBorders>
            <w:shd w:val="clear" w:color="auto" w:fill="auto"/>
            <w:noWrap/>
            <w:vAlign w:val="bottom"/>
            <w:hideMark/>
          </w:tcPr>
          <w:p w14:paraId="5817E03A" w14:textId="4CB2DBE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2701FAF2" w14:textId="48F9F49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r>
      <w:tr w:rsidR="003065B9" w:rsidRPr="00357869" w14:paraId="1006F0A8"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6077876A"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0" w:type="auto"/>
            <w:tcBorders>
              <w:top w:val="nil"/>
              <w:left w:val="nil"/>
              <w:bottom w:val="nil"/>
              <w:right w:val="nil"/>
            </w:tcBorders>
            <w:shd w:val="clear" w:color="auto" w:fill="auto"/>
            <w:noWrap/>
            <w:vAlign w:val="bottom"/>
            <w:hideMark/>
          </w:tcPr>
          <w:p w14:paraId="6492E58B" w14:textId="26E5AD1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727CDEE2" w14:textId="1484C008"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3B7F78B1" w14:textId="5D410F88"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2445EA0E" w14:textId="573D6B1C"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nil"/>
            </w:tcBorders>
            <w:shd w:val="clear" w:color="auto" w:fill="auto"/>
            <w:noWrap/>
            <w:vAlign w:val="bottom"/>
            <w:hideMark/>
          </w:tcPr>
          <w:p w14:paraId="2930E711" w14:textId="23306FEC"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541D31B2" w14:textId="5289B79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7F084E2E" w14:textId="4B632994"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7CAC36B7" w14:textId="24B1E2E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75BBFBFE" w14:textId="2800C874"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47BF46AB" w14:textId="24A277F7"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r w:rsidR="003065B9" w:rsidRPr="00357869" w14:paraId="43971874"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754B0B09"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0" w:type="auto"/>
            <w:tcBorders>
              <w:top w:val="nil"/>
              <w:left w:val="nil"/>
              <w:bottom w:val="nil"/>
              <w:right w:val="nil"/>
            </w:tcBorders>
            <w:shd w:val="clear" w:color="auto" w:fill="auto"/>
            <w:noWrap/>
            <w:vAlign w:val="bottom"/>
            <w:hideMark/>
          </w:tcPr>
          <w:p w14:paraId="5AF34656" w14:textId="5BE0EB1D"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41DE4B00" w14:textId="06A6C17A"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07F01F36" w14:textId="6518C4C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21EA16C9" w14:textId="1C7DDBAE"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2C78F164" w14:textId="69D0563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36D15109" w14:textId="1F3D62E3"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171E9998" w14:textId="65D5E30F"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0BF70F19" w14:textId="6ABB96ED"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200AF25F" w14:textId="64AD51C3"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5F00FA81" w14:textId="2C63D530"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r>
      <w:tr w:rsidR="003065B9" w:rsidRPr="00357869" w14:paraId="6A08A512"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16920212"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0" w:type="auto"/>
            <w:tcBorders>
              <w:top w:val="nil"/>
              <w:left w:val="nil"/>
              <w:bottom w:val="nil"/>
              <w:right w:val="nil"/>
            </w:tcBorders>
            <w:shd w:val="clear" w:color="auto" w:fill="auto"/>
            <w:noWrap/>
            <w:vAlign w:val="bottom"/>
            <w:hideMark/>
          </w:tcPr>
          <w:p w14:paraId="7A661D8A" w14:textId="63F2797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3A882F65" w14:textId="619E646A"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158EFDB3" w14:textId="6B80228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29A784DC" w14:textId="4A451713"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1AA0B4AE" w14:textId="3D133FC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22403900" w14:textId="5EB2F44F"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14D77AE9" w14:textId="250C7F3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2993022E" w14:textId="16F45BAE"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07C767C5" w14:textId="0F71672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07E4A7DE" w14:textId="6E7D2C2A"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r>
      <w:tr w:rsidR="003065B9" w:rsidRPr="00357869" w14:paraId="32BAB5B3"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68B190EF"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0" w:type="auto"/>
            <w:tcBorders>
              <w:top w:val="nil"/>
              <w:left w:val="nil"/>
              <w:bottom w:val="nil"/>
              <w:right w:val="nil"/>
            </w:tcBorders>
            <w:shd w:val="clear" w:color="auto" w:fill="auto"/>
            <w:noWrap/>
            <w:vAlign w:val="bottom"/>
            <w:hideMark/>
          </w:tcPr>
          <w:p w14:paraId="7F120227" w14:textId="4ACFD99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70E9907F" w14:textId="45BD64E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4B593B91" w14:textId="2F4D62B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single" w:sz="4" w:space="0" w:color="auto"/>
            </w:tcBorders>
            <w:shd w:val="clear" w:color="auto" w:fill="auto"/>
            <w:noWrap/>
            <w:vAlign w:val="bottom"/>
            <w:hideMark/>
          </w:tcPr>
          <w:p w14:paraId="394F0504" w14:textId="5E1F408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27802E0A" w14:textId="31A7EBBF"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7B730953" w14:textId="6C087404"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0739B13D" w14:textId="0CA40F5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4B511CD8" w14:textId="1995BBBA"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01CC6057" w14:textId="2972C78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single" w:sz="4" w:space="0" w:color="auto"/>
            </w:tcBorders>
            <w:shd w:val="clear" w:color="auto" w:fill="auto"/>
            <w:noWrap/>
            <w:vAlign w:val="bottom"/>
            <w:hideMark/>
          </w:tcPr>
          <w:p w14:paraId="1898A33A" w14:textId="2A01A1E0"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r w:rsidR="003065B9" w:rsidRPr="00357869" w14:paraId="16E9A9E6"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3FD96566"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0" w:type="auto"/>
            <w:tcBorders>
              <w:top w:val="nil"/>
              <w:left w:val="nil"/>
              <w:bottom w:val="nil"/>
              <w:right w:val="nil"/>
            </w:tcBorders>
            <w:shd w:val="clear" w:color="auto" w:fill="auto"/>
            <w:noWrap/>
            <w:vAlign w:val="bottom"/>
            <w:hideMark/>
          </w:tcPr>
          <w:p w14:paraId="1213DDF0" w14:textId="286C2C08"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1F35F889" w14:textId="6F8DDA8D"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748C6A05" w14:textId="7CA47AF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49CC423E" w14:textId="32F374FE"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3C162B40" w14:textId="54A0658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39861137" w14:textId="7C2E51DA"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674F3216" w14:textId="5FC79AD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64415E4A" w14:textId="1EE26AB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3ACB3717" w14:textId="76FF6014"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210D5103" w14:textId="684D4EC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r>
      <w:tr w:rsidR="003065B9" w:rsidRPr="00357869" w14:paraId="62AC770A" w14:textId="77777777" w:rsidTr="003065B9">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1D278CD0"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0" w:type="auto"/>
            <w:tcBorders>
              <w:top w:val="nil"/>
              <w:left w:val="nil"/>
              <w:bottom w:val="nil"/>
              <w:right w:val="nil"/>
            </w:tcBorders>
            <w:shd w:val="clear" w:color="auto" w:fill="auto"/>
            <w:noWrap/>
            <w:vAlign w:val="bottom"/>
            <w:hideMark/>
          </w:tcPr>
          <w:p w14:paraId="1151BA24" w14:textId="08F2854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single" w:sz="4" w:space="0" w:color="auto"/>
            </w:tcBorders>
            <w:shd w:val="clear" w:color="auto" w:fill="auto"/>
            <w:noWrap/>
            <w:vAlign w:val="bottom"/>
            <w:hideMark/>
          </w:tcPr>
          <w:p w14:paraId="075EC1DC" w14:textId="2EB6D137"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593FD309" w14:textId="28CEB5B0"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008FF05E" w14:textId="76B470AD"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nil"/>
            </w:tcBorders>
            <w:shd w:val="clear" w:color="auto" w:fill="auto"/>
            <w:noWrap/>
            <w:vAlign w:val="bottom"/>
            <w:hideMark/>
          </w:tcPr>
          <w:p w14:paraId="2D04EF6F" w14:textId="38585D8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31625263" w14:textId="1C881C9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23FF75DF" w14:textId="1879517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1A59BC4D" w14:textId="1B225672"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7F998E5A" w14:textId="354911C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40F719FB" w14:textId="58F2B50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3065B9" w:rsidRPr="00357869" w14:paraId="0CD718C3" w14:textId="77777777" w:rsidTr="003065B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5FB811" w14:textId="77777777" w:rsidR="00511BC1" w:rsidRPr="00357869" w:rsidRDefault="00511BC1"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c>
          <w:tcPr>
            <w:tcW w:w="0" w:type="auto"/>
            <w:tcBorders>
              <w:top w:val="nil"/>
              <w:left w:val="nil"/>
              <w:bottom w:val="single" w:sz="4" w:space="0" w:color="auto"/>
              <w:right w:val="nil"/>
            </w:tcBorders>
            <w:shd w:val="clear" w:color="auto" w:fill="auto"/>
            <w:noWrap/>
            <w:vAlign w:val="bottom"/>
            <w:hideMark/>
          </w:tcPr>
          <w:p w14:paraId="2C251A33" w14:textId="29F1A718"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266AEEF2" w14:textId="4DFB2C0E"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single" w:sz="4" w:space="0" w:color="auto"/>
              <w:right w:val="nil"/>
            </w:tcBorders>
            <w:shd w:val="clear" w:color="auto" w:fill="auto"/>
            <w:noWrap/>
            <w:vAlign w:val="bottom"/>
            <w:hideMark/>
          </w:tcPr>
          <w:p w14:paraId="6F5D7A46" w14:textId="27A8AFD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7028D0C1" w14:textId="61BEBA06"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single" w:sz="4" w:space="0" w:color="auto"/>
              <w:right w:val="nil"/>
            </w:tcBorders>
            <w:shd w:val="clear" w:color="auto" w:fill="auto"/>
            <w:noWrap/>
            <w:vAlign w:val="bottom"/>
            <w:hideMark/>
          </w:tcPr>
          <w:p w14:paraId="68DD69BB" w14:textId="523EA635"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112E2140" w14:textId="33F790F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single" w:sz="4" w:space="0" w:color="auto"/>
              <w:right w:val="nil"/>
            </w:tcBorders>
            <w:shd w:val="clear" w:color="auto" w:fill="auto"/>
            <w:noWrap/>
            <w:vAlign w:val="bottom"/>
            <w:hideMark/>
          </w:tcPr>
          <w:p w14:paraId="31BE4075" w14:textId="7A6CDD7D"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6ABBA8C9" w14:textId="0DBC4507"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single" w:sz="4" w:space="0" w:color="auto"/>
              <w:right w:val="nil"/>
            </w:tcBorders>
            <w:shd w:val="clear" w:color="auto" w:fill="auto"/>
            <w:noWrap/>
            <w:vAlign w:val="bottom"/>
            <w:hideMark/>
          </w:tcPr>
          <w:p w14:paraId="3C471085" w14:textId="3ABA30B9"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0D518E91" w14:textId="61040C1B" w:rsidR="00511BC1" w:rsidRPr="00357869" w:rsidRDefault="00511BC1" w:rsidP="00065E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bl>
    <w:p w14:paraId="089B2182" w14:textId="42D27F87" w:rsidR="004F3664" w:rsidRPr="00357869" w:rsidRDefault="004F3664" w:rsidP="004F3664">
      <w:pPr>
        <w:jc w:val="both"/>
        <w:rPr>
          <w:rFonts w:ascii="Calibri" w:hAnsi="Calibri" w:cs="Calibri"/>
          <w:sz w:val="18"/>
          <w:szCs w:val="18"/>
          <w:lang w:val="en-US"/>
        </w:r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001E116D" w:rsidRPr="00357869">
        <w:rPr>
          <w:rFonts w:ascii="Calibri" w:hAnsi="Calibri" w:cs="Calibri"/>
          <w:sz w:val="18"/>
          <w:szCs w:val="18"/>
          <w:lang w:val="en-US"/>
        </w:rPr>
        <w:t>.</w:t>
      </w:r>
      <w:r w:rsidRPr="00357869">
        <w:rPr>
          <w:rFonts w:ascii="Calibri" w:hAnsi="Calibri" w:cs="Calibri"/>
          <w:sz w:val="18"/>
          <w:szCs w:val="18"/>
          <w:lang w:val="en-US"/>
        </w:rPr>
        <w:t xml:space="preserve"> HLFS micro data</w:t>
      </w:r>
      <w:r w:rsidR="001E116D" w:rsidRPr="00357869">
        <w:rPr>
          <w:rFonts w:ascii="Calibri" w:hAnsi="Calibri" w:cs="Calibri"/>
          <w:sz w:val="18"/>
          <w:szCs w:val="18"/>
          <w:lang w:val="en-US"/>
        </w:rPr>
        <w:t>.</w:t>
      </w:r>
      <w:r w:rsidRPr="00357869">
        <w:rPr>
          <w:rFonts w:ascii="Calibri" w:hAnsi="Calibri" w:cs="Calibri"/>
          <w:sz w:val="18"/>
          <w:szCs w:val="18"/>
          <w:lang w:val="en-US"/>
        </w:rPr>
        <w:t xml:space="preserve"> 2005-2017</w:t>
      </w:r>
    </w:p>
    <w:p w14:paraId="3EA4067B" w14:textId="77777777" w:rsidR="003F60AE" w:rsidRPr="00357869" w:rsidRDefault="003F60AE" w:rsidP="00170159">
      <w:pPr>
        <w:tabs>
          <w:tab w:val="left" w:pos="3005"/>
        </w:tabs>
        <w:jc w:val="both"/>
        <w:rPr>
          <w:rFonts w:ascii="Calibri" w:hAnsi="Calibri" w:cs="Calibri"/>
          <w:lang w:val="en-US"/>
        </w:rPr>
      </w:pPr>
    </w:p>
    <w:p w14:paraId="68E0EEB1" w14:textId="6FBE275E" w:rsidR="004C0C5F" w:rsidRPr="00357869" w:rsidRDefault="00973804" w:rsidP="004C0C5F">
      <w:pPr>
        <w:tabs>
          <w:tab w:val="left" w:pos="3005"/>
        </w:tabs>
        <w:jc w:val="both"/>
        <w:rPr>
          <w:rFonts w:ascii="Calibri" w:hAnsi="Calibri" w:cs="Calibri"/>
          <w:b/>
          <w:lang w:val="en-US"/>
        </w:rPr>
      </w:pPr>
      <w:r w:rsidRPr="00357869">
        <w:rPr>
          <w:rFonts w:ascii="Calibri" w:hAnsi="Calibri" w:cs="Calibri"/>
          <w:b/>
          <w:lang w:val="en-US"/>
        </w:rPr>
        <w:t xml:space="preserve">Annexed </w:t>
      </w:r>
      <w:r w:rsidR="00E7062B" w:rsidRPr="00357869">
        <w:rPr>
          <w:rFonts w:ascii="Calibri" w:hAnsi="Calibri" w:cs="Calibri"/>
          <w:b/>
          <w:lang w:val="en-US"/>
        </w:rPr>
        <w:t xml:space="preserve">Table </w:t>
      </w:r>
      <w:r w:rsidR="001A10A6" w:rsidRPr="00357869">
        <w:rPr>
          <w:rFonts w:ascii="Calibri" w:hAnsi="Calibri" w:cs="Calibri"/>
          <w:b/>
          <w:lang w:val="en-US"/>
        </w:rPr>
        <w:t xml:space="preserve">2: </w:t>
      </w:r>
      <w:r w:rsidR="004C0C5F" w:rsidRPr="00357869">
        <w:rPr>
          <w:rFonts w:ascii="Calibri" w:hAnsi="Calibri" w:cs="Calibri"/>
          <w:b/>
          <w:lang w:val="en-US"/>
        </w:rPr>
        <w:t>The non-agricultural unemployment rates of women and men by education levels (%) (Ages 15-64</w:t>
      </w:r>
      <w:r w:rsidR="001E116D" w:rsidRPr="00357869">
        <w:rPr>
          <w:rFonts w:ascii="Calibri" w:hAnsi="Calibri" w:cs="Calibri"/>
          <w:b/>
          <w:lang w:val="en-US"/>
        </w:rPr>
        <w:t>.</w:t>
      </w:r>
      <w:r w:rsidR="004C0C5F" w:rsidRPr="00357869">
        <w:rPr>
          <w:rFonts w:ascii="Calibri" w:hAnsi="Calibri" w:cs="Calibri"/>
          <w:b/>
          <w:lang w:val="en-US"/>
        </w:rPr>
        <w:t xml:space="preserve"> 2005-2017)</w:t>
      </w:r>
    </w:p>
    <w:tbl>
      <w:tblPr>
        <w:tblW w:w="9199" w:type="dxa"/>
        <w:tblLook w:val="04A0" w:firstRow="1" w:lastRow="0" w:firstColumn="1" w:lastColumn="0" w:noHBand="0" w:noVBand="1"/>
      </w:tblPr>
      <w:tblGrid>
        <w:gridCol w:w="663"/>
        <w:gridCol w:w="868"/>
        <w:gridCol w:w="670"/>
        <w:gridCol w:w="1192"/>
        <w:gridCol w:w="920"/>
        <w:gridCol w:w="992"/>
        <w:gridCol w:w="992"/>
        <w:gridCol w:w="971"/>
        <w:gridCol w:w="1258"/>
        <w:gridCol w:w="670"/>
        <w:gridCol w:w="868"/>
      </w:tblGrid>
      <w:tr w:rsidR="001E116D" w:rsidRPr="00357869" w14:paraId="1CEABB79" w14:textId="77777777" w:rsidTr="001D1E66">
        <w:trPr>
          <w:trHeight w:val="282"/>
        </w:trPr>
        <w:tc>
          <w:tcPr>
            <w:tcW w:w="0" w:type="auto"/>
            <w:tcBorders>
              <w:top w:val="nil"/>
              <w:left w:val="nil"/>
              <w:bottom w:val="nil"/>
              <w:right w:val="nil"/>
            </w:tcBorders>
            <w:shd w:val="clear" w:color="auto" w:fill="auto"/>
            <w:noWrap/>
            <w:vAlign w:val="bottom"/>
            <w:hideMark/>
          </w:tcPr>
          <w:p w14:paraId="589BE46C" w14:textId="77777777" w:rsidR="001E116D" w:rsidRPr="00357869" w:rsidRDefault="001E116D" w:rsidP="001E116D">
            <w:pPr>
              <w:spacing w:after="0" w:line="240" w:lineRule="auto"/>
              <w:jc w:val="both"/>
              <w:rPr>
                <w:rFonts w:ascii="Calibri" w:eastAsia="Times New Roman" w:hAnsi="Calibri" w:cs="Calibri"/>
                <w:lang w:val="en-US" w:eastAsia="en-GB"/>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96F533" w14:textId="0544D4BB"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Illiterate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4989EF" w14:textId="21E3EE3A"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Less than high school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93D5896" w14:textId="15E641F4"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General high school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17C4644" w14:textId="7C421D24"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Vocational high school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7A05507" w14:textId="3012DAF0"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College</w:t>
            </w:r>
          </w:p>
        </w:tc>
      </w:tr>
      <w:tr w:rsidR="001E116D" w:rsidRPr="00357869" w14:paraId="71557E85" w14:textId="77777777" w:rsidTr="001D1E66">
        <w:trPr>
          <w:trHeight w:val="282"/>
        </w:trPr>
        <w:tc>
          <w:tcPr>
            <w:tcW w:w="0" w:type="auto"/>
            <w:tcBorders>
              <w:top w:val="nil"/>
              <w:left w:val="nil"/>
              <w:bottom w:val="nil"/>
              <w:right w:val="nil"/>
            </w:tcBorders>
            <w:shd w:val="clear" w:color="auto" w:fill="auto"/>
            <w:noWrap/>
            <w:vAlign w:val="bottom"/>
            <w:hideMark/>
          </w:tcPr>
          <w:p w14:paraId="7426C0D5" w14:textId="77777777" w:rsidR="001E116D" w:rsidRPr="00357869" w:rsidRDefault="001E116D" w:rsidP="001E116D">
            <w:pPr>
              <w:spacing w:after="0" w:line="240" w:lineRule="auto"/>
              <w:jc w:val="both"/>
              <w:rPr>
                <w:rFonts w:ascii="Calibri" w:eastAsia="Times New Roman" w:hAnsi="Calibri" w:cs="Calibri"/>
                <w:color w:val="000000"/>
                <w:lang w:val="en-US" w:eastAsia="en-GB"/>
              </w:rPr>
            </w:pPr>
          </w:p>
        </w:tc>
        <w:tc>
          <w:tcPr>
            <w:tcW w:w="0" w:type="auto"/>
            <w:tcBorders>
              <w:top w:val="nil"/>
              <w:left w:val="single" w:sz="4" w:space="0" w:color="auto"/>
              <w:bottom w:val="single" w:sz="4" w:space="0" w:color="auto"/>
              <w:right w:val="nil"/>
            </w:tcBorders>
            <w:shd w:val="clear" w:color="auto" w:fill="auto"/>
            <w:noWrap/>
            <w:vAlign w:val="bottom"/>
            <w:hideMark/>
          </w:tcPr>
          <w:p w14:paraId="0DC0AE35" w14:textId="0A6996E6"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33E7E06D" w14:textId="086DB01B"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0" w:type="auto"/>
            <w:tcBorders>
              <w:top w:val="nil"/>
              <w:left w:val="nil"/>
              <w:bottom w:val="single" w:sz="4" w:space="0" w:color="auto"/>
              <w:right w:val="nil"/>
            </w:tcBorders>
            <w:shd w:val="clear" w:color="auto" w:fill="auto"/>
            <w:noWrap/>
            <w:vAlign w:val="bottom"/>
            <w:hideMark/>
          </w:tcPr>
          <w:p w14:paraId="61997FC6" w14:textId="549680B3"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58C7C863" w14:textId="65F4ADD9"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0" w:type="auto"/>
            <w:tcBorders>
              <w:top w:val="nil"/>
              <w:left w:val="nil"/>
              <w:bottom w:val="single" w:sz="4" w:space="0" w:color="auto"/>
              <w:right w:val="nil"/>
            </w:tcBorders>
            <w:shd w:val="clear" w:color="auto" w:fill="auto"/>
            <w:noWrap/>
            <w:vAlign w:val="bottom"/>
            <w:hideMark/>
          </w:tcPr>
          <w:p w14:paraId="035F68AB" w14:textId="7E69E51D"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7E3F0E68" w14:textId="4C4BF9F6"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nil"/>
            </w:tcBorders>
            <w:shd w:val="clear" w:color="auto" w:fill="auto"/>
            <w:noWrap/>
            <w:vAlign w:val="bottom"/>
            <w:hideMark/>
          </w:tcPr>
          <w:p w14:paraId="5418A504" w14:textId="2253E43B"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0" w:type="auto"/>
            <w:tcBorders>
              <w:top w:val="nil"/>
              <w:left w:val="nil"/>
              <w:bottom w:val="single" w:sz="4" w:space="0" w:color="auto"/>
              <w:right w:val="single" w:sz="4" w:space="0" w:color="auto"/>
            </w:tcBorders>
            <w:shd w:val="clear" w:color="auto" w:fill="auto"/>
            <w:noWrap/>
            <w:vAlign w:val="bottom"/>
            <w:hideMark/>
          </w:tcPr>
          <w:p w14:paraId="507F6065" w14:textId="25F2A853"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0" w:type="auto"/>
            <w:tcBorders>
              <w:top w:val="nil"/>
              <w:left w:val="nil"/>
              <w:bottom w:val="single" w:sz="4" w:space="0" w:color="auto"/>
              <w:right w:val="nil"/>
            </w:tcBorders>
            <w:shd w:val="clear" w:color="auto" w:fill="auto"/>
            <w:noWrap/>
            <w:vAlign w:val="bottom"/>
            <w:hideMark/>
          </w:tcPr>
          <w:p w14:paraId="41A1E9A5" w14:textId="7A4E16E7"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0" w:type="auto"/>
            <w:tcBorders>
              <w:top w:val="nil"/>
              <w:left w:val="nil"/>
              <w:bottom w:val="single" w:sz="4" w:space="0" w:color="auto"/>
              <w:right w:val="single" w:sz="4" w:space="0" w:color="auto"/>
            </w:tcBorders>
            <w:shd w:val="clear" w:color="auto" w:fill="auto"/>
            <w:noWrap/>
            <w:vAlign w:val="bottom"/>
            <w:hideMark/>
          </w:tcPr>
          <w:p w14:paraId="7B8D2871" w14:textId="256A76E8" w:rsidR="001E116D" w:rsidRPr="00357869" w:rsidRDefault="001E116D"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r>
      <w:tr w:rsidR="00D76294" w:rsidRPr="00357869" w14:paraId="65B13762" w14:textId="77777777" w:rsidTr="001D1E66">
        <w:trPr>
          <w:trHeight w:val="282"/>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7E39DBD"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0" w:type="auto"/>
            <w:tcBorders>
              <w:top w:val="nil"/>
              <w:left w:val="nil"/>
              <w:bottom w:val="nil"/>
              <w:right w:val="nil"/>
            </w:tcBorders>
            <w:shd w:val="clear" w:color="auto" w:fill="auto"/>
            <w:noWrap/>
            <w:vAlign w:val="bottom"/>
            <w:hideMark/>
          </w:tcPr>
          <w:p w14:paraId="72274B60" w14:textId="1353514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68839B7B" w14:textId="6132B83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1BF0B665" w14:textId="031F9189"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7C920C11" w14:textId="577576E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09E5DE0B" w14:textId="75EAF3D1"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5283F4D5" w14:textId="63E173A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nil"/>
            </w:tcBorders>
            <w:shd w:val="clear" w:color="auto" w:fill="auto"/>
            <w:noWrap/>
            <w:vAlign w:val="bottom"/>
            <w:hideMark/>
          </w:tcPr>
          <w:p w14:paraId="2B5468FF" w14:textId="284240F6"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604CBB67" w14:textId="210E6F63"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7ABE442B" w14:textId="7A8E2C4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704A1915" w14:textId="5C7E74B3"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r>
      <w:tr w:rsidR="00D76294" w:rsidRPr="00357869" w14:paraId="31CF4F1E"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5AA69513"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0" w:type="auto"/>
            <w:tcBorders>
              <w:top w:val="nil"/>
              <w:left w:val="nil"/>
              <w:bottom w:val="nil"/>
              <w:right w:val="nil"/>
            </w:tcBorders>
            <w:shd w:val="clear" w:color="auto" w:fill="auto"/>
            <w:noWrap/>
            <w:vAlign w:val="bottom"/>
            <w:hideMark/>
          </w:tcPr>
          <w:p w14:paraId="43B1D803" w14:textId="66739F2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18B8CA54" w14:textId="0B398D4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0436A6D3" w14:textId="3FDCDB6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3FAAA9DE" w14:textId="20E4C03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nil"/>
            </w:tcBorders>
            <w:shd w:val="clear" w:color="auto" w:fill="auto"/>
            <w:noWrap/>
            <w:vAlign w:val="bottom"/>
            <w:hideMark/>
          </w:tcPr>
          <w:p w14:paraId="114392DA" w14:textId="155BD20D"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68656991" w14:textId="58ED800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nil"/>
            </w:tcBorders>
            <w:shd w:val="clear" w:color="auto" w:fill="auto"/>
            <w:noWrap/>
            <w:vAlign w:val="bottom"/>
            <w:hideMark/>
          </w:tcPr>
          <w:p w14:paraId="158FDE9B" w14:textId="46B0BC71"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4B5BAE9C" w14:textId="1D9F9EC4"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17466965" w14:textId="34CC749B"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03460F8D" w14:textId="44F793F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r w:rsidR="00D76294" w:rsidRPr="00357869" w14:paraId="213F4A98"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791B02E5"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0" w:type="auto"/>
            <w:tcBorders>
              <w:top w:val="nil"/>
              <w:left w:val="nil"/>
              <w:bottom w:val="nil"/>
              <w:right w:val="nil"/>
            </w:tcBorders>
            <w:shd w:val="clear" w:color="auto" w:fill="auto"/>
            <w:noWrap/>
            <w:vAlign w:val="bottom"/>
            <w:hideMark/>
          </w:tcPr>
          <w:p w14:paraId="1C4B0999" w14:textId="0DD2301B"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single" w:sz="4" w:space="0" w:color="auto"/>
            </w:tcBorders>
            <w:shd w:val="clear" w:color="auto" w:fill="auto"/>
            <w:noWrap/>
            <w:vAlign w:val="bottom"/>
            <w:hideMark/>
          </w:tcPr>
          <w:p w14:paraId="05BBF68C" w14:textId="45C500C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16EE02AC" w14:textId="6B1FB01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single" w:sz="4" w:space="0" w:color="auto"/>
            </w:tcBorders>
            <w:shd w:val="clear" w:color="auto" w:fill="auto"/>
            <w:noWrap/>
            <w:vAlign w:val="bottom"/>
            <w:hideMark/>
          </w:tcPr>
          <w:p w14:paraId="43E94199" w14:textId="0498A2E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66865E80" w14:textId="0E7AB923"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4BE43F1F" w14:textId="1DD3ADAD"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nil"/>
            </w:tcBorders>
            <w:shd w:val="clear" w:color="auto" w:fill="auto"/>
            <w:noWrap/>
            <w:vAlign w:val="bottom"/>
            <w:hideMark/>
          </w:tcPr>
          <w:p w14:paraId="0E567450" w14:textId="7D2E446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single" w:sz="4" w:space="0" w:color="auto"/>
            </w:tcBorders>
            <w:shd w:val="clear" w:color="auto" w:fill="auto"/>
            <w:noWrap/>
            <w:vAlign w:val="bottom"/>
            <w:hideMark/>
          </w:tcPr>
          <w:p w14:paraId="25B8D1B1" w14:textId="3E45A16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3E5148B8" w14:textId="6A94721E"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4F5F9761" w14:textId="58FB55C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r>
      <w:tr w:rsidR="00D76294" w:rsidRPr="00357869" w14:paraId="1D3C80C0"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141D6158"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0" w:type="auto"/>
            <w:tcBorders>
              <w:top w:val="nil"/>
              <w:left w:val="nil"/>
              <w:bottom w:val="nil"/>
              <w:right w:val="nil"/>
            </w:tcBorders>
            <w:shd w:val="clear" w:color="auto" w:fill="auto"/>
            <w:noWrap/>
            <w:vAlign w:val="bottom"/>
            <w:hideMark/>
          </w:tcPr>
          <w:p w14:paraId="462C2251" w14:textId="415A5EAD"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single" w:sz="4" w:space="0" w:color="auto"/>
            </w:tcBorders>
            <w:shd w:val="clear" w:color="auto" w:fill="auto"/>
            <w:noWrap/>
            <w:vAlign w:val="bottom"/>
            <w:hideMark/>
          </w:tcPr>
          <w:p w14:paraId="262D63DB" w14:textId="608849CD"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365C87A6" w14:textId="53D50ED5"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16CCC2E6" w14:textId="32E95A5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485DB1FE" w14:textId="2F3AA69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4D823F34" w14:textId="0FB446F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18BF973E" w14:textId="167B59A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0919E7D7" w14:textId="0B7E33E9"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nil"/>
            </w:tcBorders>
            <w:shd w:val="clear" w:color="auto" w:fill="auto"/>
            <w:noWrap/>
            <w:vAlign w:val="bottom"/>
            <w:hideMark/>
          </w:tcPr>
          <w:p w14:paraId="41DFCD11" w14:textId="49B77D25"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41CAD43A" w14:textId="44D9CBF4"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r>
      <w:tr w:rsidR="00D76294" w:rsidRPr="00357869" w14:paraId="7893B4D1"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35240AC3"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0" w:type="auto"/>
            <w:tcBorders>
              <w:top w:val="nil"/>
              <w:left w:val="nil"/>
              <w:bottom w:val="nil"/>
              <w:right w:val="nil"/>
            </w:tcBorders>
            <w:shd w:val="clear" w:color="auto" w:fill="auto"/>
            <w:noWrap/>
            <w:vAlign w:val="bottom"/>
            <w:hideMark/>
          </w:tcPr>
          <w:p w14:paraId="42BD997B" w14:textId="1EE23A0D"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7EB5D7D3" w14:textId="2784C24E"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nil"/>
              <w:right w:val="nil"/>
            </w:tcBorders>
            <w:shd w:val="clear" w:color="auto" w:fill="auto"/>
            <w:noWrap/>
            <w:vAlign w:val="bottom"/>
            <w:hideMark/>
          </w:tcPr>
          <w:p w14:paraId="2125B92F" w14:textId="5ACB7F4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3F3DF98B" w14:textId="0F9AFB9E"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479B2F8C" w14:textId="4CC62B84"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277BF6D6" w14:textId="773A095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59B93593" w14:textId="543144F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31492D55" w14:textId="372D637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5F5CE30E" w14:textId="0AF2E0F8"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097F6D60" w14:textId="6C5C0D7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r w:rsidR="00D76294" w:rsidRPr="00357869" w14:paraId="27DE81BE"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558CB7ED"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0" w:type="auto"/>
            <w:tcBorders>
              <w:top w:val="nil"/>
              <w:left w:val="nil"/>
              <w:bottom w:val="nil"/>
              <w:right w:val="nil"/>
            </w:tcBorders>
            <w:shd w:val="clear" w:color="auto" w:fill="auto"/>
            <w:noWrap/>
            <w:vAlign w:val="bottom"/>
            <w:hideMark/>
          </w:tcPr>
          <w:p w14:paraId="1278DEA2" w14:textId="5DC9F5D4"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4201B708" w14:textId="266856C5"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56D78100" w14:textId="1A836D4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247CC7B3" w14:textId="3190B16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6205EAAD" w14:textId="0552C62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1808E816" w14:textId="37618D16"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28BC436C" w14:textId="07E2D27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59735F3F" w14:textId="338135A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3A19EBFF" w14:textId="576B1254"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0F7F75FF" w14:textId="597B2DE6"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r>
      <w:tr w:rsidR="00D76294" w:rsidRPr="00357869" w14:paraId="6B491FB2"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1E242227"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0" w:type="auto"/>
            <w:tcBorders>
              <w:top w:val="nil"/>
              <w:left w:val="nil"/>
              <w:bottom w:val="nil"/>
              <w:right w:val="nil"/>
            </w:tcBorders>
            <w:shd w:val="clear" w:color="auto" w:fill="auto"/>
            <w:noWrap/>
            <w:vAlign w:val="bottom"/>
            <w:hideMark/>
          </w:tcPr>
          <w:p w14:paraId="6B3EFA9F" w14:textId="48585E4F"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6A219866" w14:textId="4A0CBD49"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25E07DF6" w14:textId="0C7A8893"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304D1857" w14:textId="59583FA9"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18AB9082" w14:textId="6FB3C7DF"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single" w:sz="4" w:space="0" w:color="auto"/>
            </w:tcBorders>
            <w:shd w:val="clear" w:color="auto" w:fill="auto"/>
            <w:noWrap/>
            <w:vAlign w:val="bottom"/>
            <w:hideMark/>
          </w:tcPr>
          <w:p w14:paraId="08D388F9" w14:textId="45BB0F98"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363A5F59" w14:textId="498B0FA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78689738" w14:textId="13B41E54"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5F7E40E5" w14:textId="0B64D6F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098C6D48" w14:textId="4F210A58"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r w:rsidR="00D76294" w:rsidRPr="00357869" w14:paraId="0BB11FD9"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6F51E6DF"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0" w:type="auto"/>
            <w:tcBorders>
              <w:top w:val="nil"/>
              <w:left w:val="nil"/>
              <w:bottom w:val="nil"/>
              <w:right w:val="nil"/>
            </w:tcBorders>
            <w:shd w:val="clear" w:color="auto" w:fill="auto"/>
            <w:noWrap/>
            <w:vAlign w:val="bottom"/>
            <w:hideMark/>
          </w:tcPr>
          <w:p w14:paraId="3412F8EA" w14:textId="4CFC2DD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56E4053E" w14:textId="7070BB36"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04AA0C5F" w14:textId="1A7B4775"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0AA93AC2" w14:textId="3B3F24A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193FD854" w14:textId="31760C6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415ADCAB" w14:textId="316CAA6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nil"/>
            </w:tcBorders>
            <w:shd w:val="clear" w:color="auto" w:fill="auto"/>
            <w:noWrap/>
            <w:vAlign w:val="bottom"/>
            <w:hideMark/>
          </w:tcPr>
          <w:p w14:paraId="55D050E7" w14:textId="668903D5"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33BCA461" w14:textId="067C453E"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66FAFDBE" w14:textId="0912EFB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45E5606D" w14:textId="678D477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r>
      <w:tr w:rsidR="00D76294" w:rsidRPr="00357869" w14:paraId="13AC9AAC"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251F910A"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0" w:type="auto"/>
            <w:tcBorders>
              <w:top w:val="nil"/>
              <w:left w:val="nil"/>
              <w:bottom w:val="nil"/>
              <w:right w:val="nil"/>
            </w:tcBorders>
            <w:shd w:val="clear" w:color="auto" w:fill="auto"/>
            <w:noWrap/>
            <w:vAlign w:val="bottom"/>
            <w:hideMark/>
          </w:tcPr>
          <w:p w14:paraId="470BF1DE" w14:textId="7F292ED8"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304AA532" w14:textId="476AD606"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3AB036F2" w14:textId="16807696"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1538BC35" w14:textId="3CFDCB1E"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3C98EC02" w14:textId="3A9B1FFB"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51A2EFC1" w14:textId="2203A92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nil"/>
            </w:tcBorders>
            <w:shd w:val="clear" w:color="auto" w:fill="auto"/>
            <w:noWrap/>
            <w:vAlign w:val="bottom"/>
            <w:hideMark/>
          </w:tcPr>
          <w:p w14:paraId="72D48F95" w14:textId="3111BCA6"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5F954A7A" w14:textId="733B60B3"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7D571431" w14:textId="4FEC50D6"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10AE8EE5" w14:textId="0D503089"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r>
      <w:tr w:rsidR="00D76294" w:rsidRPr="00357869" w14:paraId="06238045"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5FB663CB"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0" w:type="auto"/>
            <w:tcBorders>
              <w:top w:val="nil"/>
              <w:left w:val="nil"/>
              <w:bottom w:val="nil"/>
              <w:right w:val="nil"/>
            </w:tcBorders>
            <w:shd w:val="clear" w:color="auto" w:fill="auto"/>
            <w:noWrap/>
            <w:vAlign w:val="bottom"/>
            <w:hideMark/>
          </w:tcPr>
          <w:p w14:paraId="731F3C22" w14:textId="5EDCE433"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1052D8F1" w14:textId="2B7BE9D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nil"/>
            </w:tcBorders>
            <w:shd w:val="clear" w:color="auto" w:fill="auto"/>
            <w:noWrap/>
            <w:vAlign w:val="bottom"/>
            <w:hideMark/>
          </w:tcPr>
          <w:p w14:paraId="5559614D" w14:textId="3CF6161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single" w:sz="4" w:space="0" w:color="auto"/>
            </w:tcBorders>
            <w:shd w:val="clear" w:color="auto" w:fill="auto"/>
            <w:noWrap/>
            <w:vAlign w:val="bottom"/>
            <w:hideMark/>
          </w:tcPr>
          <w:p w14:paraId="60F6B950" w14:textId="5247001E"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743012F1" w14:textId="09D4AA5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single" w:sz="4" w:space="0" w:color="auto"/>
            </w:tcBorders>
            <w:shd w:val="clear" w:color="auto" w:fill="auto"/>
            <w:noWrap/>
            <w:vAlign w:val="bottom"/>
            <w:hideMark/>
          </w:tcPr>
          <w:p w14:paraId="7353A26E" w14:textId="72052B79"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0" w:type="auto"/>
            <w:tcBorders>
              <w:top w:val="nil"/>
              <w:left w:val="nil"/>
              <w:bottom w:val="nil"/>
              <w:right w:val="nil"/>
            </w:tcBorders>
            <w:shd w:val="clear" w:color="auto" w:fill="auto"/>
            <w:noWrap/>
            <w:vAlign w:val="bottom"/>
            <w:hideMark/>
          </w:tcPr>
          <w:p w14:paraId="6A8B51F7" w14:textId="7F813C1E"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7DD4623E" w14:textId="54F5802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57C9EBD8" w14:textId="2B6B699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7869991A" w14:textId="4D80F3D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D76294" w:rsidRPr="00357869" w14:paraId="79BCD1B3"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1AFC9A6E"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0" w:type="auto"/>
            <w:tcBorders>
              <w:top w:val="nil"/>
              <w:left w:val="nil"/>
              <w:bottom w:val="nil"/>
              <w:right w:val="nil"/>
            </w:tcBorders>
            <w:shd w:val="clear" w:color="auto" w:fill="auto"/>
            <w:noWrap/>
            <w:vAlign w:val="bottom"/>
            <w:hideMark/>
          </w:tcPr>
          <w:p w14:paraId="67BD2CC0" w14:textId="60215EB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5F6AA3D4" w14:textId="193FD144"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191BF34E" w14:textId="38009F3F"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6051B167" w14:textId="4D8847FD"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0" w:type="auto"/>
            <w:tcBorders>
              <w:top w:val="nil"/>
              <w:left w:val="nil"/>
              <w:bottom w:val="nil"/>
              <w:right w:val="nil"/>
            </w:tcBorders>
            <w:shd w:val="clear" w:color="auto" w:fill="auto"/>
            <w:noWrap/>
            <w:vAlign w:val="bottom"/>
            <w:hideMark/>
          </w:tcPr>
          <w:p w14:paraId="390FB3DB" w14:textId="7936C198"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2A73A091" w14:textId="5CAB342E"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30E3A382" w14:textId="53602C3F"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28047AFC" w14:textId="0ED4215F"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nil"/>
              <w:right w:val="nil"/>
            </w:tcBorders>
            <w:shd w:val="clear" w:color="auto" w:fill="auto"/>
            <w:noWrap/>
            <w:vAlign w:val="bottom"/>
            <w:hideMark/>
          </w:tcPr>
          <w:p w14:paraId="4EEED755" w14:textId="54604C1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single" w:sz="4" w:space="0" w:color="auto"/>
            </w:tcBorders>
            <w:shd w:val="clear" w:color="auto" w:fill="auto"/>
            <w:noWrap/>
            <w:vAlign w:val="bottom"/>
            <w:hideMark/>
          </w:tcPr>
          <w:p w14:paraId="3BC7C427" w14:textId="4CB94675"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D76294" w:rsidRPr="00357869" w14:paraId="65DDC310"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5BC5AF72"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0" w:type="auto"/>
            <w:tcBorders>
              <w:top w:val="nil"/>
              <w:left w:val="nil"/>
              <w:bottom w:val="nil"/>
              <w:right w:val="nil"/>
            </w:tcBorders>
            <w:shd w:val="clear" w:color="auto" w:fill="auto"/>
            <w:noWrap/>
            <w:vAlign w:val="bottom"/>
            <w:hideMark/>
          </w:tcPr>
          <w:p w14:paraId="49E88626" w14:textId="39E0BA1B"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786F428F" w14:textId="0FCF123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5F595139" w14:textId="5636C73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nil"/>
              <w:right w:val="single" w:sz="4" w:space="0" w:color="auto"/>
            </w:tcBorders>
            <w:shd w:val="clear" w:color="auto" w:fill="auto"/>
            <w:noWrap/>
            <w:vAlign w:val="bottom"/>
            <w:hideMark/>
          </w:tcPr>
          <w:p w14:paraId="008DD97E" w14:textId="0519FD0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0" w:type="auto"/>
            <w:tcBorders>
              <w:top w:val="nil"/>
              <w:left w:val="nil"/>
              <w:bottom w:val="nil"/>
              <w:right w:val="nil"/>
            </w:tcBorders>
            <w:shd w:val="clear" w:color="auto" w:fill="auto"/>
            <w:noWrap/>
            <w:vAlign w:val="bottom"/>
            <w:hideMark/>
          </w:tcPr>
          <w:p w14:paraId="5CDD6BD2" w14:textId="7EA033FB"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0" w:type="auto"/>
            <w:tcBorders>
              <w:top w:val="nil"/>
              <w:left w:val="nil"/>
              <w:bottom w:val="nil"/>
              <w:right w:val="single" w:sz="4" w:space="0" w:color="auto"/>
            </w:tcBorders>
            <w:shd w:val="clear" w:color="auto" w:fill="auto"/>
            <w:noWrap/>
            <w:vAlign w:val="bottom"/>
            <w:hideMark/>
          </w:tcPr>
          <w:p w14:paraId="357E4835" w14:textId="3AEEA1BC"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48A4F44B" w14:textId="1FA997D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nil"/>
              <w:right w:val="single" w:sz="4" w:space="0" w:color="auto"/>
            </w:tcBorders>
            <w:shd w:val="clear" w:color="auto" w:fill="auto"/>
            <w:noWrap/>
            <w:vAlign w:val="bottom"/>
            <w:hideMark/>
          </w:tcPr>
          <w:p w14:paraId="7B3CAF51" w14:textId="3A5E396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nil"/>
              <w:right w:val="nil"/>
            </w:tcBorders>
            <w:shd w:val="clear" w:color="auto" w:fill="auto"/>
            <w:noWrap/>
            <w:vAlign w:val="bottom"/>
            <w:hideMark/>
          </w:tcPr>
          <w:p w14:paraId="621EC0F7" w14:textId="13512F7F"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nil"/>
              <w:right w:val="single" w:sz="4" w:space="0" w:color="auto"/>
            </w:tcBorders>
            <w:shd w:val="clear" w:color="auto" w:fill="auto"/>
            <w:noWrap/>
            <w:vAlign w:val="bottom"/>
            <w:hideMark/>
          </w:tcPr>
          <w:p w14:paraId="50DDBE63" w14:textId="563D35F3"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r>
      <w:tr w:rsidR="00D76294" w:rsidRPr="00357869" w14:paraId="4EFF3429" w14:textId="77777777" w:rsidTr="001D1E66">
        <w:trPr>
          <w:trHeight w:val="28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13A9F" w14:textId="77777777" w:rsidR="00D76294" w:rsidRPr="00357869" w:rsidRDefault="00D76294" w:rsidP="00170159">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c>
          <w:tcPr>
            <w:tcW w:w="0" w:type="auto"/>
            <w:tcBorders>
              <w:top w:val="nil"/>
              <w:left w:val="nil"/>
              <w:bottom w:val="single" w:sz="4" w:space="0" w:color="auto"/>
              <w:right w:val="nil"/>
            </w:tcBorders>
            <w:shd w:val="clear" w:color="auto" w:fill="auto"/>
            <w:noWrap/>
            <w:vAlign w:val="bottom"/>
            <w:hideMark/>
          </w:tcPr>
          <w:p w14:paraId="69829843" w14:textId="3D44615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52182C83" w14:textId="16F8E598"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0" w:type="auto"/>
            <w:tcBorders>
              <w:top w:val="nil"/>
              <w:left w:val="nil"/>
              <w:bottom w:val="single" w:sz="4" w:space="0" w:color="auto"/>
              <w:right w:val="nil"/>
            </w:tcBorders>
            <w:shd w:val="clear" w:color="auto" w:fill="auto"/>
            <w:noWrap/>
            <w:vAlign w:val="bottom"/>
            <w:hideMark/>
          </w:tcPr>
          <w:p w14:paraId="04708632" w14:textId="6338BF9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6BD8CF27" w14:textId="0A55B4B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0" w:type="auto"/>
            <w:tcBorders>
              <w:top w:val="nil"/>
              <w:left w:val="nil"/>
              <w:bottom w:val="single" w:sz="4" w:space="0" w:color="auto"/>
              <w:right w:val="nil"/>
            </w:tcBorders>
            <w:shd w:val="clear" w:color="auto" w:fill="auto"/>
            <w:noWrap/>
            <w:vAlign w:val="bottom"/>
            <w:hideMark/>
          </w:tcPr>
          <w:p w14:paraId="779004B3" w14:textId="1F89BD4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6B1138D7" w14:textId="628B8D52"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0" w:type="auto"/>
            <w:tcBorders>
              <w:top w:val="nil"/>
              <w:left w:val="nil"/>
              <w:bottom w:val="single" w:sz="4" w:space="0" w:color="auto"/>
              <w:right w:val="nil"/>
            </w:tcBorders>
            <w:shd w:val="clear" w:color="auto" w:fill="auto"/>
            <w:noWrap/>
            <w:vAlign w:val="bottom"/>
            <w:hideMark/>
          </w:tcPr>
          <w:p w14:paraId="0EBE8D04" w14:textId="495FA6F0"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3F347E23" w14:textId="4E18457B"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single" w:sz="4" w:space="0" w:color="auto"/>
              <w:right w:val="nil"/>
            </w:tcBorders>
            <w:shd w:val="clear" w:color="auto" w:fill="auto"/>
            <w:noWrap/>
            <w:vAlign w:val="bottom"/>
            <w:hideMark/>
          </w:tcPr>
          <w:p w14:paraId="5BD7DA95" w14:textId="5440D7EA"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02E9661E" w14:textId="0A2582C7" w:rsidR="00D76294" w:rsidRPr="00357869" w:rsidRDefault="00D76294"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1E116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bl>
    <w:p w14:paraId="4261373E" w14:textId="77777777" w:rsidR="004F3664" w:rsidRPr="00357869" w:rsidRDefault="004F3664" w:rsidP="004F3664">
      <w:pPr>
        <w:jc w:val="both"/>
        <w:rPr>
          <w:rFonts w:ascii="Calibri" w:hAnsi="Calibri" w:cs="Calibri"/>
          <w:sz w:val="18"/>
          <w:szCs w:val="18"/>
          <w:lang w:val="en-US"/>
        </w:r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Pr="00357869">
        <w:rPr>
          <w:rFonts w:ascii="Calibri" w:hAnsi="Calibri" w:cs="Calibri"/>
          <w:sz w:val="18"/>
          <w:szCs w:val="18"/>
          <w:lang w:val="en-US"/>
        </w:rPr>
        <w:t>, HLFS micro data, 2005-2017</w:t>
      </w:r>
    </w:p>
    <w:p w14:paraId="446FE4B9" w14:textId="41D41E3E" w:rsidR="00CD6110" w:rsidRPr="00357869" w:rsidRDefault="00CD6110" w:rsidP="00170159">
      <w:pPr>
        <w:jc w:val="both"/>
        <w:rPr>
          <w:rFonts w:ascii="Calibri" w:hAnsi="Calibri" w:cs="Calibri"/>
          <w:lang w:val="en-US"/>
        </w:rPr>
      </w:pPr>
    </w:p>
    <w:p w14:paraId="01990B31" w14:textId="77777777" w:rsidR="005D71F7" w:rsidRPr="00357869" w:rsidRDefault="005D71F7" w:rsidP="00170159">
      <w:pPr>
        <w:jc w:val="both"/>
        <w:rPr>
          <w:rFonts w:ascii="Calibri" w:hAnsi="Calibri" w:cs="Calibri"/>
          <w:lang w:val="en-US"/>
        </w:rPr>
      </w:pPr>
    </w:p>
    <w:p w14:paraId="1130776B" w14:textId="77777777" w:rsidR="00613CE8" w:rsidRPr="00357869" w:rsidRDefault="00613CE8" w:rsidP="00613CE8">
      <w:pPr>
        <w:jc w:val="both"/>
        <w:rPr>
          <w:rFonts w:ascii="Calibri" w:hAnsi="Calibri" w:cs="Calibri"/>
          <w:b/>
          <w:lang w:val="en-US"/>
        </w:rPr>
      </w:pPr>
    </w:p>
    <w:p w14:paraId="32B5DDE8" w14:textId="77777777" w:rsidR="00671E0E" w:rsidRPr="00357869" w:rsidRDefault="00671E0E" w:rsidP="00613CE8">
      <w:pPr>
        <w:tabs>
          <w:tab w:val="left" w:pos="3005"/>
        </w:tabs>
        <w:jc w:val="both"/>
        <w:rPr>
          <w:rFonts w:ascii="Calibri" w:hAnsi="Calibri" w:cs="Calibri"/>
          <w:b/>
          <w:lang w:val="en-US"/>
        </w:rPr>
      </w:pPr>
    </w:p>
    <w:p w14:paraId="060EC99A" w14:textId="77777777" w:rsidR="00671E0E" w:rsidRPr="00357869" w:rsidRDefault="00671E0E" w:rsidP="00613CE8">
      <w:pPr>
        <w:tabs>
          <w:tab w:val="left" w:pos="3005"/>
        </w:tabs>
        <w:jc w:val="both"/>
        <w:rPr>
          <w:rFonts w:ascii="Calibri" w:hAnsi="Calibri" w:cs="Calibri"/>
          <w:b/>
          <w:lang w:val="en-US"/>
        </w:rPr>
      </w:pPr>
    </w:p>
    <w:p w14:paraId="0058D4E4" w14:textId="77777777" w:rsidR="00671E0E" w:rsidRPr="00357869" w:rsidRDefault="00671E0E" w:rsidP="00613CE8">
      <w:pPr>
        <w:tabs>
          <w:tab w:val="left" w:pos="3005"/>
        </w:tabs>
        <w:jc w:val="both"/>
        <w:rPr>
          <w:rFonts w:ascii="Calibri" w:hAnsi="Calibri" w:cs="Calibri"/>
          <w:b/>
          <w:lang w:val="en-US"/>
        </w:rPr>
      </w:pPr>
    </w:p>
    <w:p w14:paraId="0B61F0C2" w14:textId="2695B31A" w:rsidR="00613CE8" w:rsidRPr="00357869" w:rsidRDefault="00973804" w:rsidP="00E814A3">
      <w:pPr>
        <w:tabs>
          <w:tab w:val="left" w:pos="3005"/>
        </w:tabs>
        <w:jc w:val="both"/>
        <w:outlineLvl w:val="0"/>
        <w:rPr>
          <w:rFonts w:ascii="Calibri" w:hAnsi="Calibri" w:cs="Calibri"/>
          <w:b/>
          <w:lang w:val="en-US"/>
        </w:rPr>
      </w:pPr>
      <w:r w:rsidRPr="00357869">
        <w:rPr>
          <w:rFonts w:ascii="Calibri" w:hAnsi="Calibri" w:cs="Calibri"/>
          <w:b/>
          <w:lang w:val="en-US"/>
        </w:rPr>
        <w:lastRenderedPageBreak/>
        <w:t>Annexed</w:t>
      </w:r>
      <w:r w:rsidR="00360516" w:rsidRPr="00357869">
        <w:rPr>
          <w:rFonts w:ascii="Calibri" w:hAnsi="Calibri" w:cs="Calibri"/>
          <w:b/>
          <w:lang w:val="en-US"/>
        </w:rPr>
        <w:t xml:space="preserve"> Table 3</w:t>
      </w:r>
      <w:r w:rsidR="00613CE8" w:rsidRPr="00357869">
        <w:rPr>
          <w:rFonts w:ascii="Calibri" w:hAnsi="Calibri" w:cs="Calibri"/>
          <w:b/>
          <w:lang w:val="en-US"/>
        </w:rPr>
        <w:t xml:space="preserve">: </w:t>
      </w:r>
      <w:r w:rsidR="00360516" w:rsidRPr="00357869">
        <w:rPr>
          <w:rFonts w:ascii="Calibri" w:hAnsi="Calibri" w:cs="Calibri"/>
          <w:b/>
          <w:lang w:val="en-US"/>
        </w:rPr>
        <w:t>The rate of agricultural employment by education level</w:t>
      </w:r>
      <w:r w:rsidR="00613CE8" w:rsidRPr="00357869">
        <w:rPr>
          <w:rFonts w:ascii="Calibri" w:hAnsi="Calibri" w:cs="Calibri"/>
          <w:b/>
          <w:lang w:val="en-US"/>
        </w:rPr>
        <w:t xml:space="preserve"> (%) (</w:t>
      </w:r>
      <w:r w:rsidR="00635A95" w:rsidRPr="00357869">
        <w:rPr>
          <w:rFonts w:ascii="Calibri" w:hAnsi="Calibri" w:cs="Calibri"/>
          <w:b/>
          <w:lang w:val="en-US"/>
        </w:rPr>
        <w:t>Ages 15-64</w:t>
      </w:r>
      <w:r w:rsidR="00051956" w:rsidRPr="00357869">
        <w:rPr>
          <w:rFonts w:ascii="Calibri" w:hAnsi="Calibri" w:cs="Calibri"/>
          <w:b/>
          <w:lang w:val="en-US"/>
        </w:rPr>
        <w:t xml:space="preserve">, 2005, </w:t>
      </w:r>
      <w:r w:rsidR="00613CE8" w:rsidRPr="00357869">
        <w:rPr>
          <w:rFonts w:ascii="Calibri" w:hAnsi="Calibri" w:cs="Calibri"/>
          <w:b/>
          <w:lang w:val="en-US"/>
        </w:rPr>
        <w:t>2017)</w:t>
      </w:r>
    </w:p>
    <w:tbl>
      <w:tblPr>
        <w:tblW w:w="9648" w:type="dxa"/>
        <w:tblLook w:val="04A0" w:firstRow="1" w:lastRow="0" w:firstColumn="1" w:lastColumn="0" w:noHBand="0" w:noVBand="1"/>
      </w:tblPr>
      <w:tblGrid>
        <w:gridCol w:w="2377"/>
        <w:gridCol w:w="1938"/>
        <w:gridCol w:w="1553"/>
        <w:gridCol w:w="1634"/>
        <w:gridCol w:w="2146"/>
      </w:tblGrid>
      <w:tr w:rsidR="00613CE8" w:rsidRPr="00357869" w14:paraId="7E2A04E2" w14:textId="77777777" w:rsidTr="004C598B">
        <w:trPr>
          <w:trHeight w:val="286"/>
        </w:trPr>
        <w:tc>
          <w:tcPr>
            <w:tcW w:w="2377" w:type="dxa"/>
            <w:tcBorders>
              <w:top w:val="nil"/>
              <w:left w:val="nil"/>
              <w:bottom w:val="nil"/>
              <w:right w:val="nil"/>
            </w:tcBorders>
            <w:shd w:val="clear" w:color="auto" w:fill="auto"/>
            <w:noWrap/>
            <w:vAlign w:val="bottom"/>
            <w:hideMark/>
          </w:tcPr>
          <w:p w14:paraId="475DEE62" w14:textId="77777777" w:rsidR="00613CE8" w:rsidRPr="00357869" w:rsidRDefault="00613CE8" w:rsidP="005C4BFE">
            <w:pPr>
              <w:spacing w:after="0" w:line="240" w:lineRule="auto"/>
              <w:jc w:val="both"/>
              <w:rPr>
                <w:rFonts w:ascii="Calibri" w:eastAsia="Times New Roman" w:hAnsi="Calibri" w:cs="Calibri"/>
                <w:lang w:val="en-US" w:eastAsia="en-GB"/>
              </w:rPr>
            </w:pPr>
          </w:p>
        </w:tc>
        <w:tc>
          <w:tcPr>
            <w:tcW w:w="34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8F105F" w14:textId="77777777"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37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740680" w14:textId="77777777"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r>
      <w:tr w:rsidR="00D048E7" w:rsidRPr="00357869" w14:paraId="611B038E" w14:textId="77777777" w:rsidTr="00D048E7">
        <w:trPr>
          <w:trHeight w:val="286"/>
        </w:trPr>
        <w:tc>
          <w:tcPr>
            <w:tcW w:w="2377" w:type="dxa"/>
            <w:tcBorders>
              <w:top w:val="nil"/>
              <w:left w:val="nil"/>
              <w:bottom w:val="nil"/>
              <w:right w:val="nil"/>
            </w:tcBorders>
            <w:shd w:val="clear" w:color="auto" w:fill="auto"/>
            <w:noWrap/>
            <w:vAlign w:val="bottom"/>
            <w:hideMark/>
          </w:tcPr>
          <w:p w14:paraId="2D0A4EA3" w14:textId="77777777" w:rsidR="00D048E7" w:rsidRPr="00357869" w:rsidRDefault="00D048E7" w:rsidP="00D048E7">
            <w:pPr>
              <w:spacing w:after="0" w:line="240" w:lineRule="auto"/>
              <w:jc w:val="both"/>
              <w:rPr>
                <w:rFonts w:ascii="Calibri" w:eastAsia="Times New Roman" w:hAnsi="Calibri" w:cs="Calibri"/>
                <w:color w:val="000000"/>
                <w:lang w:val="en-US" w:eastAsia="en-GB"/>
              </w:rPr>
            </w:pPr>
          </w:p>
        </w:tc>
        <w:tc>
          <w:tcPr>
            <w:tcW w:w="1938" w:type="dxa"/>
            <w:tcBorders>
              <w:top w:val="nil"/>
              <w:left w:val="single" w:sz="4" w:space="0" w:color="auto"/>
              <w:bottom w:val="single" w:sz="4" w:space="0" w:color="auto"/>
              <w:right w:val="nil"/>
            </w:tcBorders>
            <w:shd w:val="clear" w:color="auto" w:fill="auto"/>
            <w:noWrap/>
            <w:vAlign w:val="bottom"/>
            <w:hideMark/>
          </w:tcPr>
          <w:p w14:paraId="7F777DE1" w14:textId="04556B95" w:rsidR="00D048E7" w:rsidRPr="00357869" w:rsidRDefault="00D048E7"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1553" w:type="dxa"/>
            <w:tcBorders>
              <w:top w:val="nil"/>
              <w:left w:val="nil"/>
              <w:bottom w:val="single" w:sz="4" w:space="0" w:color="auto"/>
              <w:right w:val="single" w:sz="4" w:space="0" w:color="auto"/>
            </w:tcBorders>
            <w:shd w:val="clear" w:color="auto" w:fill="auto"/>
            <w:noWrap/>
            <w:vAlign w:val="bottom"/>
            <w:hideMark/>
          </w:tcPr>
          <w:p w14:paraId="2625298F" w14:textId="40AFA720" w:rsidR="00D048E7" w:rsidRPr="00357869" w:rsidRDefault="00D048E7"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c>
          <w:tcPr>
            <w:tcW w:w="1634" w:type="dxa"/>
            <w:tcBorders>
              <w:top w:val="nil"/>
              <w:left w:val="nil"/>
              <w:bottom w:val="single" w:sz="4" w:space="0" w:color="auto"/>
              <w:right w:val="nil"/>
            </w:tcBorders>
            <w:shd w:val="clear" w:color="auto" w:fill="auto"/>
            <w:noWrap/>
            <w:vAlign w:val="bottom"/>
            <w:hideMark/>
          </w:tcPr>
          <w:p w14:paraId="7AB8207F" w14:textId="5265F41D" w:rsidR="00D048E7" w:rsidRPr="00357869" w:rsidRDefault="00D048E7"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2146" w:type="dxa"/>
            <w:tcBorders>
              <w:top w:val="nil"/>
              <w:left w:val="nil"/>
              <w:bottom w:val="single" w:sz="4" w:space="0" w:color="auto"/>
              <w:right w:val="single" w:sz="4" w:space="0" w:color="auto"/>
            </w:tcBorders>
            <w:shd w:val="clear" w:color="auto" w:fill="auto"/>
            <w:noWrap/>
            <w:vAlign w:val="bottom"/>
            <w:hideMark/>
          </w:tcPr>
          <w:p w14:paraId="04C3A845" w14:textId="7FB22128" w:rsidR="00D048E7" w:rsidRPr="00357869" w:rsidRDefault="00D048E7" w:rsidP="00D048E7">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Female</w:t>
            </w:r>
          </w:p>
        </w:tc>
      </w:tr>
      <w:tr w:rsidR="00613CE8" w:rsidRPr="00357869" w14:paraId="6489A8ED" w14:textId="77777777" w:rsidTr="00D048E7">
        <w:trPr>
          <w:trHeight w:val="286"/>
        </w:trPr>
        <w:tc>
          <w:tcPr>
            <w:tcW w:w="2377" w:type="dxa"/>
            <w:tcBorders>
              <w:top w:val="single" w:sz="4" w:space="0" w:color="auto"/>
              <w:left w:val="single" w:sz="4" w:space="0" w:color="auto"/>
              <w:bottom w:val="nil"/>
              <w:right w:val="single" w:sz="4" w:space="0" w:color="auto"/>
            </w:tcBorders>
            <w:shd w:val="clear" w:color="auto" w:fill="auto"/>
            <w:noWrap/>
            <w:vAlign w:val="bottom"/>
            <w:hideMark/>
          </w:tcPr>
          <w:p w14:paraId="64644A08" w14:textId="6140678F" w:rsidR="00613CE8" w:rsidRPr="00357869" w:rsidRDefault="004C598B" w:rsidP="005C4BFE">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Illiterates</w:t>
            </w:r>
          </w:p>
        </w:tc>
        <w:tc>
          <w:tcPr>
            <w:tcW w:w="1938" w:type="dxa"/>
            <w:tcBorders>
              <w:top w:val="nil"/>
              <w:left w:val="nil"/>
              <w:bottom w:val="nil"/>
              <w:right w:val="nil"/>
            </w:tcBorders>
            <w:shd w:val="clear" w:color="auto" w:fill="auto"/>
            <w:noWrap/>
            <w:vAlign w:val="bottom"/>
            <w:hideMark/>
          </w:tcPr>
          <w:p w14:paraId="767900E0" w14:textId="12F4324B"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553" w:type="dxa"/>
            <w:tcBorders>
              <w:top w:val="nil"/>
              <w:left w:val="nil"/>
              <w:bottom w:val="nil"/>
              <w:right w:val="single" w:sz="4" w:space="0" w:color="auto"/>
            </w:tcBorders>
            <w:shd w:val="clear" w:color="auto" w:fill="auto"/>
            <w:noWrap/>
            <w:vAlign w:val="bottom"/>
            <w:hideMark/>
          </w:tcPr>
          <w:p w14:paraId="1B2387C4" w14:textId="79EC13B2"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634" w:type="dxa"/>
            <w:tcBorders>
              <w:top w:val="nil"/>
              <w:left w:val="nil"/>
              <w:bottom w:val="nil"/>
              <w:right w:val="nil"/>
            </w:tcBorders>
            <w:shd w:val="clear" w:color="auto" w:fill="auto"/>
            <w:noWrap/>
            <w:vAlign w:val="bottom"/>
            <w:hideMark/>
          </w:tcPr>
          <w:p w14:paraId="3D1C1D61" w14:textId="09D5879D"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2146" w:type="dxa"/>
            <w:tcBorders>
              <w:top w:val="nil"/>
              <w:left w:val="nil"/>
              <w:bottom w:val="nil"/>
              <w:right w:val="single" w:sz="4" w:space="0" w:color="auto"/>
            </w:tcBorders>
            <w:shd w:val="clear" w:color="auto" w:fill="auto"/>
            <w:noWrap/>
            <w:vAlign w:val="bottom"/>
            <w:hideMark/>
          </w:tcPr>
          <w:p w14:paraId="7A9FEE66" w14:textId="6EE3FC80"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r w:rsidR="00613CE8" w:rsidRPr="00357869" w14:paraId="6034EA91" w14:textId="77777777" w:rsidTr="00D048E7">
        <w:trPr>
          <w:trHeight w:val="286"/>
        </w:trPr>
        <w:tc>
          <w:tcPr>
            <w:tcW w:w="2377" w:type="dxa"/>
            <w:tcBorders>
              <w:top w:val="nil"/>
              <w:left w:val="single" w:sz="4" w:space="0" w:color="auto"/>
              <w:bottom w:val="nil"/>
              <w:right w:val="single" w:sz="4" w:space="0" w:color="auto"/>
            </w:tcBorders>
            <w:shd w:val="clear" w:color="auto" w:fill="auto"/>
            <w:noWrap/>
            <w:vAlign w:val="bottom"/>
            <w:hideMark/>
          </w:tcPr>
          <w:p w14:paraId="10227F44" w14:textId="7878289A" w:rsidR="00613CE8" w:rsidRPr="00357869" w:rsidRDefault="004C598B" w:rsidP="005C4BFE">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Less than high school</w:t>
            </w:r>
          </w:p>
        </w:tc>
        <w:tc>
          <w:tcPr>
            <w:tcW w:w="1938" w:type="dxa"/>
            <w:tcBorders>
              <w:top w:val="nil"/>
              <w:left w:val="nil"/>
              <w:bottom w:val="nil"/>
              <w:right w:val="nil"/>
            </w:tcBorders>
            <w:shd w:val="clear" w:color="auto" w:fill="auto"/>
            <w:noWrap/>
            <w:vAlign w:val="bottom"/>
            <w:hideMark/>
          </w:tcPr>
          <w:p w14:paraId="16790E26" w14:textId="2018BB67"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553" w:type="dxa"/>
            <w:tcBorders>
              <w:top w:val="nil"/>
              <w:left w:val="nil"/>
              <w:bottom w:val="nil"/>
              <w:right w:val="single" w:sz="4" w:space="0" w:color="auto"/>
            </w:tcBorders>
            <w:shd w:val="clear" w:color="auto" w:fill="auto"/>
            <w:noWrap/>
            <w:vAlign w:val="bottom"/>
            <w:hideMark/>
          </w:tcPr>
          <w:p w14:paraId="3D20955B" w14:textId="1DB09B90"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634" w:type="dxa"/>
            <w:tcBorders>
              <w:top w:val="nil"/>
              <w:left w:val="nil"/>
              <w:bottom w:val="nil"/>
              <w:right w:val="nil"/>
            </w:tcBorders>
            <w:shd w:val="clear" w:color="auto" w:fill="auto"/>
            <w:noWrap/>
            <w:vAlign w:val="bottom"/>
            <w:hideMark/>
          </w:tcPr>
          <w:p w14:paraId="260E9DD3" w14:textId="64F98CC7"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2146" w:type="dxa"/>
            <w:tcBorders>
              <w:top w:val="nil"/>
              <w:left w:val="nil"/>
              <w:bottom w:val="nil"/>
              <w:right w:val="single" w:sz="4" w:space="0" w:color="auto"/>
            </w:tcBorders>
            <w:shd w:val="clear" w:color="auto" w:fill="auto"/>
            <w:noWrap/>
            <w:vAlign w:val="bottom"/>
            <w:hideMark/>
          </w:tcPr>
          <w:p w14:paraId="19C9725C" w14:textId="480C0A86"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r w:rsidR="00613CE8" w:rsidRPr="00357869" w14:paraId="590F3C46" w14:textId="77777777" w:rsidTr="00D048E7">
        <w:trPr>
          <w:trHeight w:val="286"/>
        </w:trPr>
        <w:tc>
          <w:tcPr>
            <w:tcW w:w="2377" w:type="dxa"/>
            <w:tcBorders>
              <w:top w:val="nil"/>
              <w:left w:val="single" w:sz="4" w:space="0" w:color="auto"/>
              <w:bottom w:val="nil"/>
              <w:right w:val="single" w:sz="4" w:space="0" w:color="auto"/>
            </w:tcBorders>
            <w:shd w:val="clear" w:color="auto" w:fill="auto"/>
            <w:noWrap/>
            <w:vAlign w:val="bottom"/>
            <w:hideMark/>
          </w:tcPr>
          <w:p w14:paraId="6917B0E3" w14:textId="100989DE" w:rsidR="00613CE8" w:rsidRPr="00357869" w:rsidRDefault="004C598B" w:rsidP="005C4BFE">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General high school</w:t>
            </w:r>
          </w:p>
        </w:tc>
        <w:tc>
          <w:tcPr>
            <w:tcW w:w="1938" w:type="dxa"/>
            <w:tcBorders>
              <w:top w:val="nil"/>
              <w:left w:val="nil"/>
              <w:bottom w:val="nil"/>
              <w:right w:val="nil"/>
            </w:tcBorders>
            <w:shd w:val="clear" w:color="auto" w:fill="auto"/>
            <w:noWrap/>
            <w:vAlign w:val="bottom"/>
            <w:hideMark/>
          </w:tcPr>
          <w:p w14:paraId="4CE9EA1A" w14:textId="42DCA006"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553" w:type="dxa"/>
            <w:tcBorders>
              <w:top w:val="nil"/>
              <w:left w:val="nil"/>
              <w:bottom w:val="nil"/>
              <w:right w:val="single" w:sz="4" w:space="0" w:color="auto"/>
            </w:tcBorders>
            <w:shd w:val="clear" w:color="auto" w:fill="auto"/>
            <w:noWrap/>
            <w:vAlign w:val="bottom"/>
            <w:hideMark/>
          </w:tcPr>
          <w:p w14:paraId="44C6C807" w14:textId="3CAC1D0E"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634" w:type="dxa"/>
            <w:tcBorders>
              <w:top w:val="nil"/>
              <w:left w:val="nil"/>
              <w:bottom w:val="nil"/>
              <w:right w:val="nil"/>
            </w:tcBorders>
            <w:shd w:val="clear" w:color="auto" w:fill="auto"/>
            <w:noWrap/>
            <w:vAlign w:val="bottom"/>
            <w:hideMark/>
          </w:tcPr>
          <w:p w14:paraId="18F4938E" w14:textId="7F2D03BB"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2146" w:type="dxa"/>
            <w:tcBorders>
              <w:top w:val="nil"/>
              <w:left w:val="nil"/>
              <w:bottom w:val="nil"/>
              <w:right w:val="single" w:sz="4" w:space="0" w:color="auto"/>
            </w:tcBorders>
            <w:shd w:val="clear" w:color="auto" w:fill="auto"/>
            <w:noWrap/>
            <w:vAlign w:val="bottom"/>
            <w:hideMark/>
          </w:tcPr>
          <w:p w14:paraId="79CD6E59" w14:textId="632950ED"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r>
      <w:tr w:rsidR="00613CE8" w:rsidRPr="00357869" w14:paraId="77E375EB" w14:textId="77777777" w:rsidTr="00D048E7">
        <w:trPr>
          <w:trHeight w:val="286"/>
        </w:trPr>
        <w:tc>
          <w:tcPr>
            <w:tcW w:w="2377" w:type="dxa"/>
            <w:tcBorders>
              <w:top w:val="nil"/>
              <w:left w:val="single" w:sz="4" w:space="0" w:color="auto"/>
              <w:bottom w:val="nil"/>
              <w:right w:val="single" w:sz="4" w:space="0" w:color="auto"/>
            </w:tcBorders>
            <w:shd w:val="clear" w:color="auto" w:fill="auto"/>
            <w:noWrap/>
            <w:vAlign w:val="bottom"/>
            <w:hideMark/>
          </w:tcPr>
          <w:p w14:paraId="388831A8" w14:textId="31D3D34C" w:rsidR="00613CE8" w:rsidRPr="00357869" w:rsidRDefault="004C598B" w:rsidP="005C4BFE">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Vocational high school</w:t>
            </w:r>
          </w:p>
        </w:tc>
        <w:tc>
          <w:tcPr>
            <w:tcW w:w="1938" w:type="dxa"/>
            <w:tcBorders>
              <w:top w:val="nil"/>
              <w:left w:val="nil"/>
              <w:bottom w:val="nil"/>
              <w:right w:val="nil"/>
            </w:tcBorders>
            <w:shd w:val="clear" w:color="auto" w:fill="auto"/>
            <w:noWrap/>
            <w:vAlign w:val="bottom"/>
            <w:hideMark/>
          </w:tcPr>
          <w:p w14:paraId="5BE5C6E8" w14:textId="35891C6E"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553" w:type="dxa"/>
            <w:tcBorders>
              <w:top w:val="nil"/>
              <w:left w:val="nil"/>
              <w:bottom w:val="nil"/>
              <w:right w:val="single" w:sz="4" w:space="0" w:color="auto"/>
            </w:tcBorders>
            <w:shd w:val="clear" w:color="auto" w:fill="auto"/>
            <w:noWrap/>
            <w:vAlign w:val="bottom"/>
            <w:hideMark/>
          </w:tcPr>
          <w:p w14:paraId="190C9A0F" w14:textId="72C209CD"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634" w:type="dxa"/>
            <w:tcBorders>
              <w:top w:val="nil"/>
              <w:left w:val="nil"/>
              <w:bottom w:val="nil"/>
              <w:right w:val="nil"/>
            </w:tcBorders>
            <w:shd w:val="clear" w:color="auto" w:fill="auto"/>
            <w:noWrap/>
            <w:vAlign w:val="bottom"/>
            <w:hideMark/>
          </w:tcPr>
          <w:p w14:paraId="137EFAE2" w14:textId="080EF657"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2146" w:type="dxa"/>
            <w:tcBorders>
              <w:top w:val="nil"/>
              <w:left w:val="nil"/>
              <w:bottom w:val="nil"/>
              <w:right w:val="single" w:sz="4" w:space="0" w:color="auto"/>
            </w:tcBorders>
            <w:shd w:val="clear" w:color="auto" w:fill="auto"/>
            <w:noWrap/>
            <w:vAlign w:val="bottom"/>
            <w:hideMark/>
          </w:tcPr>
          <w:p w14:paraId="096B63E1" w14:textId="31390AC1"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r>
      <w:tr w:rsidR="00613CE8" w:rsidRPr="00357869" w14:paraId="65EC49B3" w14:textId="77777777" w:rsidTr="00D048E7">
        <w:trPr>
          <w:trHeight w:val="286"/>
        </w:trPr>
        <w:tc>
          <w:tcPr>
            <w:tcW w:w="2377" w:type="dxa"/>
            <w:tcBorders>
              <w:top w:val="nil"/>
              <w:left w:val="single" w:sz="4" w:space="0" w:color="auto"/>
              <w:bottom w:val="nil"/>
              <w:right w:val="single" w:sz="4" w:space="0" w:color="auto"/>
            </w:tcBorders>
            <w:shd w:val="clear" w:color="auto" w:fill="auto"/>
            <w:noWrap/>
            <w:vAlign w:val="bottom"/>
            <w:hideMark/>
          </w:tcPr>
          <w:p w14:paraId="6C2FA7A3" w14:textId="2C1A2AE9" w:rsidR="00613CE8" w:rsidRPr="00357869" w:rsidRDefault="004C598B" w:rsidP="005C4BFE">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College</w:t>
            </w:r>
          </w:p>
        </w:tc>
        <w:tc>
          <w:tcPr>
            <w:tcW w:w="1938" w:type="dxa"/>
            <w:tcBorders>
              <w:top w:val="nil"/>
              <w:left w:val="nil"/>
              <w:bottom w:val="nil"/>
              <w:right w:val="nil"/>
            </w:tcBorders>
            <w:shd w:val="clear" w:color="auto" w:fill="auto"/>
            <w:noWrap/>
            <w:vAlign w:val="bottom"/>
            <w:hideMark/>
          </w:tcPr>
          <w:p w14:paraId="7B3F0E60" w14:textId="6564E633"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553" w:type="dxa"/>
            <w:tcBorders>
              <w:top w:val="nil"/>
              <w:left w:val="nil"/>
              <w:bottom w:val="nil"/>
              <w:right w:val="single" w:sz="4" w:space="0" w:color="auto"/>
            </w:tcBorders>
            <w:shd w:val="clear" w:color="auto" w:fill="auto"/>
            <w:noWrap/>
            <w:vAlign w:val="bottom"/>
            <w:hideMark/>
          </w:tcPr>
          <w:p w14:paraId="3D1763F3" w14:textId="30BFFE64"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0</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634" w:type="dxa"/>
            <w:tcBorders>
              <w:top w:val="nil"/>
              <w:left w:val="nil"/>
              <w:bottom w:val="nil"/>
              <w:right w:val="nil"/>
            </w:tcBorders>
            <w:shd w:val="clear" w:color="auto" w:fill="auto"/>
            <w:noWrap/>
            <w:vAlign w:val="bottom"/>
            <w:hideMark/>
          </w:tcPr>
          <w:p w14:paraId="45622A7B" w14:textId="1A3611F4"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2146" w:type="dxa"/>
            <w:tcBorders>
              <w:top w:val="nil"/>
              <w:left w:val="nil"/>
              <w:bottom w:val="nil"/>
              <w:right w:val="single" w:sz="4" w:space="0" w:color="auto"/>
            </w:tcBorders>
            <w:shd w:val="clear" w:color="auto" w:fill="auto"/>
            <w:noWrap/>
            <w:vAlign w:val="bottom"/>
            <w:hideMark/>
          </w:tcPr>
          <w:p w14:paraId="62049C47" w14:textId="7E876A18"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r>
      <w:tr w:rsidR="00613CE8" w:rsidRPr="00357869" w14:paraId="0191FB2D" w14:textId="77777777" w:rsidTr="00D048E7">
        <w:trPr>
          <w:trHeight w:val="286"/>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34D4462C" w14:textId="5D32F170" w:rsidR="00613CE8" w:rsidRPr="00357869" w:rsidRDefault="004C598B" w:rsidP="005C4BFE">
            <w:pPr>
              <w:spacing w:after="0" w:line="240" w:lineRule="auto"/>
              <w:jc w:val="both"/>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Total</w:t>
            </w:r>
          </w:p>
        </w:tc>
        <w:tc>
          <w:tcPr>
            <w:tcW w:w="1938" w:type="dxa"/>
            <w:tcBorders>
              <w:top w:val="nil"/>
              <w:left w:val="nil"/>
              <w:bottom w:val="single" w:sz="4" w:space="0" w:color="auto"/>
              <w:right w:val="nil"/>
            </w:tcBorders>
            <w:shd w:val="clear" w:color="auto" w:fill="auto"/>
            <w:noWrap/>
            <w:vAlign w:val="bottom"/>
            <w:hideMark/>
          </w:tcPr>
          <w:p w14:paraId="4E94E046" w14:textId="4FB491F6"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553" w:type="dxa"/>
            <w:tcBorders>
              <w:top w:val="nil"/>
              <w:left w:val="nil"/>
              <w:bottom w:val="single" w:sz="4" w:space="0" w:color="auto"/>
              <w:right w:val="single" w:sz="4" w:space="0" w:color="auto"/>
            </w:tcBorders>
            <w:shd w:val="clear" w:color="auto" w:fill="auto"/>
            <w:noWrap/>
            <w:vAlign w:val="bottom"/>
            <w:hideMark/>
          </w:tcPr>
          <w:p w14:paraId="406CB28C" w14:textId="71BC246E"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44</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634" w:type="dxa"/>
            <w:tcBorders>
              <w:top w:val="nil"/>
              <w:left w:val="nil"/>
              <w:bottom w:val="single" w:sz="4" w:space="0" w:color="auto"/>
              <w:right w:val="nil"/>
            </w:tcBorders>
            <w:shd w:val="clear" w:color="auto" w:fill="auto"/>
            <w:noWrap/>
            <w:vAlign w:val="bottom"/>
            <w:hideMark/>
          </w:tcPr>
          <w:p w14:paraId="250A8BE3" w14:textId="625865A1"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2146" w:type="dxa"/>
            <w:tcBorders>
              <w:top w:val="nil"/>
              <w:left w:val="nil"/>
              <w:bottom w:val="single" w:sz="4" w:space="0" w:color="auto"/>
              <w:right w:val="single" w:sz="4" w:space="0" w:color="auto"/>
            </w:tcBorders>
            <w:shd w:val="clear" w:color="auto" w:fill="auto"/>
            <w:noWrap/>
            <w:vAlign w:val="bottom"/>
            <w:hideMark/>
          </w:tcPr>
          <w:p w14:paraId="20A553F1" w14:textId="4C8505B1" w:rsidR="00613CE8" w:rsidRPr="00357869" w:rsidRDefault="00613CE8" w:rsidP="001672B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27</w:t>
            </w:r>
            <w:r w:rsidR="00074733">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r>
    </w:tbl>
    <w:p w14:paraId="26911626" w14:textId="47F942BE" w:rsidR="004F3664" w:rsidRPr="00357869" w:rsidRDefault="004F3664" w:rsidP="004F3664">
      <w:pPr>
        <w:jc w:val="both"/>
        <w:rPr>
          <w:rFonts w:ascii="Calibri" w:hAnsi="Calibri" w:cs="Calibri"/>
          <w:sz w:val="18"/>
          <w:szCs w:val="18"/>
          <w:lang w:val="en-US"/>
        </w:r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00074733">
        <w:rPr>
          <w:rFonts w:ascii="Calibri" w:hAnsi="Calibri" w:cs="Calibri"/>
          <w:sz w:val="18"/>
          <w:szCs w:val="18"/>
          <w:lang w:val="en-US"/>
        </w:rPr>
        <w:t>.</w:t>
      </w:r>
      <w:r w:rsidRPr="00357869">
        <w:rPr>
          <w:rFonts w:ascii="Calibri" w:hAnsi="Calibri" w:cs="Calibri"/>
          <w:sz w:val="18"/>
          <w:szCs w:val="18"/>
          <w:lang w:val="en-US"/>
        </w:rPr>
        <w:t xml:space="preserve"> HLFS micro data</w:t>
      </w:r>
      <w:r w:rsidR="00074733">
        <w:rPr>
          <w:rFonts w:ascii="Calibri" w:hAnsi="Calibri" w:cs="Calibri"/>
          <w:sz w:val="18"/>
          <w:szCs w:val="18"/>
          <w:lang w:val="en-US"/>
        </w:rPr>
        <w:t>.</w:t>
      </w:r>
      <w:r w:rsidRPr="00357869">
        <w:rPr>
          <w:rFonts w:ascii="Calibri" w:hAnsi="Calibri" w:cs="Calibri"/>
          <w:sz w:val="18"/>
          <w:szCs w:val="18"/>
          <w:lang w:val="en-US"/>
        </w:rPr>
        <w:t xml:space="preserve"> 2005-2017</w:t>
      </w:r>
    </w:p>
    <w:p w14:paraId="13A6585D" w14:textId="77777777" w:rsidR="00DF3DEE" w:rsidRPr="00357869" w:rsidRDefault="00DF3DEE" w:rsidP="00170159">
      <w:pPr>
        <w:jc w:val="both"/>
        <w:rPr>
          <w:rFonts w:ascii="Calibri" w:hAnsi="Calibri" w:cs="Calibri"/>
          <w:lang w:val="en-US"/>
        </w:rPr>
      </w:pPr>
    </w:p>
    <w:p w14:paraId="6F98A260" w14:textId="77777777" w:rsidR="007430F4" w:rsidRPr="00357869" w:rsidRDefault="007430F4" w:rsidP="00170159">
      <w:pPr>
        <w:jc w:val="both"/>
        <w:rPr>
          <w:rFonts w:ascii="Calibri" w:hAnsi="Calibri" w:cs="Calibri"/>
          <w:lang w:val="en-US"/>
        </w:rPr>
      </w:pPr>
    </w:p>
    <w:p w14:paraId="4D9A3EBA" w14:textId="77777777" w:rsidR="002B7898" w:rsidRPr="00357869" w:rsidRDefault="002B7898" w:rsidP="00170159">
      <w:pPr>
        <w:jc w:val="both"/>
        <w:rPr>
          <w:rFonts w:ascii="Calibri" w:hAnsi="Calibri" w:cs="Calibri"/>
          <w:lang w:val="en-US"/>
        </w:rPr>
      </w:pPr>
    </w:p>
    <w:p w14:paraId="3165372B" w14:textId="77777777" w:rsidR="002B7898" w:rsidRPr="00357869" w:rsidRDefault="002B7898" w:rsidP="00170159">
      <w:pPr>
        <w:jc w:val="both"/>
        <w:rPr>
          <w:rFonts w:ascii="Calibri" w:hAnsi="Calibri" w:cs="Calibri"/>
          <w:lang w:val="en-US"/>
        </w:rPr>
      </w:pPr>
    </w:p>
    <w:p w14:paraId="13023F0C" w14:textId="77777777" w:rsidR="009403C4" w:rsidRPr="00357869" w:rsidRDefault="009403C4" w:rsidP="00170159">
      <w:pPr>
        <w:jc w:val="both"/>
        <w:rPr>
          <w:rFonts w:ascii="Calibri" w:hAnsi="Calibri" w:cs="Calibri"/>
          <w:lang w:val="en-US"/>
        </w:rPr>
      </w:pPr>
    </w:p>
    <w:p w14:paraId="58395B57" w14:textId="77777777" w:rsidR="00FD4DCC" w:rsidRPr="00357869" w:rsidRDefault="00FD4DCC" w:rsidP="00170159">
      <w:pPr>
        <w:jc w:val="both"/>
        <w:rPr>
          <w:rFonts w:ascii="Calibri" w:hAnsi="Calibri" w:cs="Calibri"/>
          <w:lang w:val="en-US"/>
        </w:rPr>
        <w:sectPr w:rsidR="00FD4DCC" w:rsidRPr="00357869" w:rsidSect="007430F4">
          <w:footerReference w:type="default" r:id="rId19"/>
          <w:pgSz w:w="11906" w:h="16838"/>
          <w:pgMar w:top="1417" w:right="1417" w:bottom="1417" w:left="1417" w:header="708" w:footer="708" w:gutter="0"/>
          <w:cols w:space="708"/>
          <w:docGrid w:linePitch="360"/>
        </w:sectPr>
      </w:pPr>
      <w:bookmarkStart w:id="0" w:name="_GoBack"/>
      <w:bookmarkEnd w:id="0"/>
    </w:p>
    <w:tbl>
      <w:tblPr>
        <w:tblpPr w:leftFromText="180" w:rightFromText="180" w:horzAnchor="margin" w:tblpXSpec="center" w:tblpY="1503"/>
        <w:tblW w:w="16019" w:type="dxa"/>
        <w:tblLayout w:type="fixed"/>
        <w:tblLook w:val="04A0" w:firstRow="1" w:lastRow="0" w:firstColumn="1" w:lastColumn="0" w:noHBand="0" w:noVBand="1"/>
      </w:tblPr>
      <w:tblGrid>
        <w:gridCol w:w="1277"/>
        <w:gridCol w:w="1022"/>
        <w:gridCol w:w="1759"/>
        <w:gridCol w:w="821"/>
        <w:gridCol w:w="1037"/>
        <w:gridCol w:w="1263"/>
        <w:gridCol w:w="1610"/>
        <w:gridCol w:w="993"/>
        <w:gridCol w:w="1419"/>
        <w:gridCol w:w="821"/>
        <w:gridCol w:w="1037"/>
        <w:gridCol w:w="1263"/>
        <w:gridCol w:w="1697"/>
      </w:tblGrid>
      <w:tr w:rsidR="00B8705D" w:rsidRPr="00357869" w14:paraId="7CDDF881" w14:textId="77777777" w:rsidTr="007A5D49">
        <w:trPr>
          <w:trHeight w:val="266"/>
        </w:trPr>
        <w:tc>
          <w:tcPr>
            <w:tcW w:w="1277" w:type="dxa"/>
            <w:tcBorders>
              <w:top w:val="nil"/>
              <w:left w:val="nil"/>
              <w:bottom w:val="nil"/>
              <w:right w:val="nil"/>
            </w:tcBorders>
            <w:shd w:val="clear" w:color="auto" w:fill="auto"/>
            <w:noWrap/>
            <w:vAlign w:val="bottom"/>
            <w:hideMark/>
          </w:tcPr>
          <w:p w14:paraId="2B720A59" w14:textId="77777777" w:rsidR="00B40900" w:rsidRPr="00357869" w:rsidRDefault="00B40900" w:rsidP="00170159">
            <w:pPr>
              <w:spacing w:after="0" w:line="240" w:lineRule="auto"/>
              <w:jc w:val="both"/>
              <w:rPr>
                <w:rFonts w:ascii="Calibri" w:eastAsia="Times New Roman" w:hAnsi="Calibri" w:cs="Calibri"/>
                <w:lang w:val="en-US" w:eastAsia="en-GB"/>
              </w:rPr>
            </w:pPr>
          </w:p>
        </w:tc>
        <w:tc>
          <w:tcPr>
            <w:tcW w:w="7512"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5103C7D5"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ERKEK</w:t>
            </w:r>
          </w:p>
        </w:tc>
        <w:tc>
          <w:tcPr>
            <w:tcW w:w="7230" w:type="dxa"/>
            <w:gridSpan w:val="6"/>
            <w:tcBorders>
              <w:top w:val="single" w:sz="4" w:space="0" w:color="auto"/>
              <w:left w:val="nil"/>
              <w:bottom w:val="nil"/>
              <w:right w:val="single" w:sz="4" w:space="0" w:color="000000"/>
            </w:tcBorders>
            <w:shd w:val="clear" w:color="auto" w:fill="auto"/>
            <w:noWrap/>
            <w:vAlign w:val="bottom"/>
            <w:hideMark/>
          </w:tcPr>
          <w:p w14:paraId="19160582"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KADIN</w:t>
            </w:r>
          </w:p>
        </w:tc>
      </w:tr>
      <w:tr w:rsidR="00973804" w:rsidRPr="00357869" w14:paraId="603E28B5" w14:textId="77777777" w:rsidTr="007A5D49">
        <w:trPr>
          <w:trHeight w:val="266"/>
        </w:trPr>
        <w:tc>
          <w:tcPr>
            <w:tcW w:w="1277" w:type="dxa"/>
            <w:tcBorders>
              <w:top w:val="nil"/>
              <w:left w:val="nil"/>
              <w:bottom w:val="nil"/>
              <w:right w:val="nil"/>
            </w:tcBorders>
            <w:shd w:val="clear" w:color="auto" w:fill="auto"/>
            <w:noWrap/>
            <w:vAlign w:val="bottom"/>
            <w:hideMark/>
          </w:tcPr>
          <w:p w14:paraId="6A937A7A" w14:textId="77777777" w:rsidR="00973804" w:rsidRPr="00357869" w:rsidRDefault="00973804" w:rsidP="00973804">
            <w:pPr>
              <w:spacing w:after="0" w:line="240" w:lineRule="auto"/>
              <w:jc w:val="both"/>
              <w:rPr>
                <w:rFonts w:ascii="Calibri" w:eastAsia="Times New Roman" w:hAnsi="Calibri" w:cs="Calibri"/>
                <w:color w:val="000000"/>
                <w:lang w:val="en-US" w:eastAsia="en-GB"/>
              </w:rPr>
            </w:pP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E7FD9" w14:textId="2FDD02DB"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Total</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14:paraId="2B0B8665" w14:textId="22BB523C"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Illiterate</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742F8D01" w14:textId="533ABB52"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Less than high school</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5F416808" w14:textId="6756C18D"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General high school</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6B40E0BB" w14:textId="13CBBF06"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Vocational high school</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32FA605E" w14:textId="02C8A1A5"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College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A4FC87F" w14:textId="5070B1DD"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Total</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71CB7B83" w14:textId="375AF2B2"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Illiterate</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264E4674" w14:textId="7D60EE54"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Less than high school</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23F19F58" w14:textId="511E90E3"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General high school</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077AA639" w14:textId="1FB02B8A"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Vocational high school</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0747957A" w14:textId="71EEC481" w:rsidR="00973804" w:rsidRPr="00357869" w:rsidRDefault="00973804" w:rsidP="00973804">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College</w:t>
            </w:r>
          </w:p>
        </w:tc>
      </w:tr>
      <w:tr w:rsidR="00B40900" w:rsidRPr="00357869" w14:paraId="4A3F3688" w14:textId="77777777" w:rsidTr="007A5D49">
        <w:trPr>
          <w:trHeight w:val="266"/>
        </w:trPr>
        <w:tc>
          <w:tcPr>
            <w:tcW w:w="1277" w:type="dxa"/>
            <w:tcBorders>
              <w:top w:val="single" w:sz="4" w:space="0" w:color="auto"/>
              <w:left w:val="single" w:sz="4" w:space="0" w:color="auto"/>
              <w:bottom w:val="nil"/>
              <w:right w:val="single" w:sz="4" w:space="0" w:color="auto"/>
            </w:tcBorders>
            <w:shd w:val="clear" w:color="auto" w:fill="auto"/>
            <w:noWrap/>
            <w:vAlign w:val="bottom"/>
            <w:hideMark/>
          </w:tcPr>
          <w:p w14:paraId="4BAC9B38"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1022" w:type="dxa"/>
            <w:tcBorders>
              <w:top w:val="nil"/>
              <w:left w:val="nil"/>
              <w:bottom w:val="nil"/>
              <w:right w:val="nil"/>
            </w:tcBorders>
            <w:shd w:val="clear" w:color="auto" w:fill="auto"/>
            <w:noWrap/>
            <w:vAlign w:val="bottom"/>
            <w:hideMark/>
          </w:tcPr>
          <w:p w14:paraId="37CB89A9" w14:textId="770BC4D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759" w:type="dxa"/>
            <w:tcBorders>
              <w:top w:val="nil"/>
              <w:left w:val="single" w:sz="4" w:space="0" w:color="auto"/>
              <w:bottom w:val="nil"/>
              <w:right w:val="nil"/>
            </w:tcBorders>
            <w:shd w:val="clear" w:color="auto" w:fill="auto"/>
            <w:noWrap/>
            <w:vAlign w:val="bottom"/>
            <w:hideMark/>
          </w:tcPr>
          <w:p w14:paraId="166CFBD4" w14:textId="1C4FADB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821" w:type="dxa"/>
            <w:tcBorders>
              <w:top w:val="nil"/>
              <w:left w:val="single" w:sz="4" w:space="0" w:color="auto"/>
              <w:bottom w:val="nil"/>
              <w:right w:val="nil"/>
            </w:tcBorders>
            <w:shd w:val="clear" w:color="auto" w:fill="auto"/>
            <w:noWrap/>
            <w:vAlign w:val="bottom"/>
            <w:hideMark/>
          </w:tcPr>
          <w:p w14:paraId="6E05A8EA" w14:textId="3D341CF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63</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037" w:type="dxa"/>
            <w:tcBorders>
              <w:top w:val="nil"/>
              <w:left w:val="single" w:sz="4" w:space="0" w:color="auto"/>
              <w:bottom w:val="nil"/>
              <w:right w:val="nil"/>
            </w:tcBorders>
            <w:shd w:val="clear" w:color="auto" w:fill="auto"/>
            <w:noWrap/>
            <w:vAlign w:val="bottom"/>
            <w:hideMark/>
          </w:tcPr>
          <w:p w14:paraId="6A2DFBFC" w14:textId="64F64B1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263" w:type="dxa"/>
            <w:tcBorders>
              <w:top w:val="nil"/>
              <w:left w:val="single" w:sz="4" w:space="0" w:color="auto"/>
              <w:bottom w:val="nil"/>
              <w:right w:val="nil"/>
            </w:tcBorders>
            <w:shd w:val="clear" w:color="auto" w:fill="auto"/>
            <w:noWrap/>
            <w:vAlign w:val="bottom"/>
            <w:hideMark/>
          </w:tcPr>
          <w:p w14:paraId="0128F0CE" w14:textId="7B8C309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610" w:type="dxa"/>
            <w:tcBorders>
              <w:top w:val="nil"/>
              <w:left w:val="single" w:sz="4" w:space="0" w:color="auto"/>
              <w:bottom w:val="nil"/>
              <w:right w:val="nil"/>
            </w:tcBorders>
            <w:shd w:val="clear" w:color="auto" w:fill="auto"/>
            <w:noWrap/>
            <w:vAlign w:val="bottom"/>
            <w:hideMark/>
          </w:tcPr>
          <w:p w14:paraId="1AAAC4C9" w14:textId="16FCDDD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993" w:type="dxa"/>
            <w:tcBorders>
              <w:top w:val="nil"/>
              <w:left w:val="single" w:sz="4" w:space="0" w:color="auto"/>
              <w:bottom w:val="nil"/>
              <w:right w:val="nil"/>
            </w:tcBorders>
            <w:shd w:val="clear" w:color="auto" w:fill="auto"/>
            <w:noWrap/>
            <w:vAlign w:val="bottom"/>
            <w:hideMark/>
          </w:tcPr>
          <w:p w14:paraId="244C2478" w14:textId="52FAFDA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25</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419" w:type="dxa"/>
            <w:tcBorders>
              <w:top w:val="nil"/>
              <w:left w:val="single" w:sz="4" w:space="0" w:color="auto"/>
              <w:bottom w:val="nil"/>
              <w:right w:val="nil"/>
            </w:tcBorders>
            <w:shd w:val="clear" w:color="auto" w:fill="auto"/>
            <w:noWrap/>
            <w:vAlign w:val="bottom"/>
            <w:hideMark/>
          </w:tcPr>
          <w:p w14:paraId="181FDF95" w14:textId="650C884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821" w:type="dxa"/>
            <w:tcBorders>
              <w:top w:val="nil"/>
              <w:left w:val="single" w:sz="4" w:space="0" w:color="auto"/>
              <w:bottom w:val="nil"/>
              <w:right w:val="nil"/>
            </w:tcBorders>
            <w:shd w:val="clear" w:color="auto" w:fill="auto"/>
            <w:noWrap/>
            <w:vAlign w:val="bottom"/>
            <w:hideMark/>
          </w:tcPr>
          <w:p w14:paraId="19D11A01" w14:textId="6975529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54</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37" w:type="dxa"/>
            <w:tcBorders>
              <w:top w:val="nil"/>
              <w:left w:val="single" w:sz="4" w:space="0" w:color="auto"/>
              <w:bottom w:val="nil"/>
              <w:right w:val="nil"/>
            </w:tcBorders>
            <w:shd w:val="clear" w:color="auto" w:fill="auto"/>
            <w:noWrap/>
            <w:vAlign w:val="bottom"/>
            <w:hideMark/>
          </w:tcPr>
          <w:p w14:paraId="05DF6368" w14:textId="06A8C89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263" w:type="dxa"/>
            <w:tcBorders>
              <w:top w:val="nil"/>
              <w:left w:val="single" w:sz="4" w:space="0" w:color="auto"/>
              <w:bottom w:val="nil"/>
              <w:right w:val="nil"/>
            </w:tcBorders>
            <w:shd w:val="clear" w:color="auto" w:fill="auto"/>
            <w:noWrap/>
            <w:vAlign w:val="bottom"/>
            <w:hideMark/>
          </w:tcPr>
          <w:p w14:paraId="65F5501A" w14:textId="744C896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697" w:type="dxa"/>
            <w:tcBorders>
              <w:top w:val="nil"/>
              <w:left w:val="single" w:sz="4" w:space="0" w:color="auto"/>
              <w:bottom w:val="nil"/>
              <w:right w:val="single" w:sz="4" w:space="0" w:color="auto"/>
            </w:tcBorders>
            <w:shd w:val="clear" w:color="auto" w:fill="auto"/>
            <w:noWrap/>
            <w:vAlign w:val="bottom"/>
            <w:hideMark/>
          </w:tcPr>
          <w:p w14:paraId="0F0EEA4D" w14:textId="3485F11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r>
      <w:tr w:rsidR="00B40900" w:rsidRPr="00357869" w14:paraId="75731998"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761BDFD6"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1022" w:type="dxa"/>
            <w:tcBorders>
              <w:top w:val="nil"/>
              <w:left w:val="nil"/>
              <w:bottom w:val="nil"/>
              <w:right w:val="nil"/>
            </w:tcBorders>
            <w:shd w:val="clear" w:color="auto" w:fill="auto"/>
            <w:noWrap/>
            <w:vAlign w:val="bottom"/>
            <w:hideMark/>
          </w:tcPr>
          <w:p w14:paraId="26670C2E" w14:textId="2400FEB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759" w:type="dxa"/>
            <w:tcBorders>
              <w:top w:val="nil"/>
              <w:left w:val="single" w:sz="4" w:space="0" w:color="auto"/>
              <w:bottom w:val="nil"/>
              <w:right w:val="nil"/>
            </w:tcBorders>
            <w:shd w:val="clear" w:color="auto" w:fill="auto"/>
            <w:noWrap/>
            <w:vAlign w:val="bottom"/>
            <w:hideMark/>
          </w:tcPr>
          <w:p w14:paraId="5A4B08DE" w14:textId="1DF204B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821" w:type="dxa"/>
            <w:tcBorders>
              <w:top w:val="nil"/>
              <w:left w:val="single" w:sz="4" w:space="0" w:color="auto"/>
              <w:bottom w:val="nil"/>
              <w:right w:val="nil"/>
            </w:tcBorders>
            <w:shd w:val="clear" w:color="auto" w:fill="auto"/>
            <w:noWrap/>
            <w:vAlign w:val="bottom"/>
            <w:hideMark/>
          </w:tcPr>
          <w:p w14:paraId="0BA0036B" w14:textId="2C54B4FD"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037" w:type="dxa"/>
            <w:tcBorders>
              <w:top w:val="nil"/>
              <w:left w:val="single" w:sz="4" w:space="0" w:color="auto"/>
              <w:bottom w:val="nil"/>
              <w:right w:val="nil"/>
            </w:tcBorders>
            <w:shd w:val="clear" w:color="auto" w:fill="auto"/>
            <w:noWrap/>
            <w:vAlign w:val="bottom"/>
            <w:hideMark/>
          </w:tcPr>
          <w:p w14:paraId="14AFE063" w14:textId="25234E4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263" w:type="dxa"/>
            <w:tcBorders>
              <w:top w:val="nil"/>
              <w:left w:val="single" w:sz="4" w:space="0" w:color="auto"/>
              <w:bottom w:val="nil"/>
              <w:right w:val="nil"/>
            </w:tcBorders>
            <w:shd w:val="clear" w:color="auto" w:fill="auto"/>
            <w:noWrap/>
            <w:vAlign w:val="bottom"/>
            <w:hideMark/>
          </w:tcPr>
          <w:p w14:paraId="3A3FF880" w14:textId="45DDCD9D"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610" w:type="dxa"/>
            <w:tcBorders>
              <w:top w:val="nil"/>
              <w:left w:val="single" w:sz="4" w:space="0" w:color="auto"/>
              <w:bottom w:val="nil"/>
              <w:right w:val="nil"/>
            </w:tcBorders>
            <w:shd w:val="clear" w:color="auto" w:fill="auto"/>
            <w:noWrap/>
            <w:vAlign w:val="bottom"/>
            <w:hideMark/>
          </w:tcPr>
          <w:p w14:paraId="432D2BBA" w14:textId="6AB7287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993" w:type="dxa"/>
            <w:tcBorders>
              <w:top w:val="nil"/>
              <w:left w:val="single" w:sz="4" w:space="0" w:color="auto"/>
              <w:bottom w:val="nil"/>
              <w:right w:val="nil"/>
            </w:tcBorders>
            <w:shd w:val="clear" w:color="auto" w:fill="auto"/>
            <w:noWrap/>
            <w:vAlign w:val="bottom"/>
            <w:hideMark/>
          </w:tcPr>
          <w:p w14:paraId="36F3679F" w14:textId="66E5B33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25</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419" w:type="dxa"/>
            <w:tcBorders>
              <w:top w:val="nil"/>
              <w:left w:val="single" w:sz="4" w:space="0" w:color="auto"/>
              <w:bottom w:val="nil"/>
              <w:right w:val="nil"/>
            </w:tcBorders>
            <w:shd w:val="clear" w:color="auto" w:fill="auto"/>
            <w:noWrap/>
            <w:vAlign w:val="bottom"/>
            <w:hideMark/>
          </w:tcPr>
          <w:p w14:paraId="32DB0B90" w14:textId="0CEBF84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821" w:type="dxa"/>
            <w:tcBorders>
              <w:top w:val="nil"/>
              <w:left w:val="single" w:sz="4" w:space="0" w:color="auto"/>
              <w:bottom w:val="nil"/>
              <w:right w:val="nil"/>
            </w:tcBorders>
            <w:shd w:val="clear" w:color="auto" w:fill="auto"/>
            <w:noWrap/>
            <w:vAlign w:val="bottom"/>
            <w:hideMark/>
          </w:tcPr>
          <w:p w14:paraId="1857741F" w14:textId="3B80638C"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037" w:type="dxa"/>
            <w:tcBorders>
              <w:top w:val="nil"/>
              <w:left w:val="single" w:sz="4" w:space="0" w:color="auto"/>
              <w:bottom w:val="nil"/>
              <w:right w:val="nil"/>
            </w:tcBorders>
            <w:shd w:val="clear" w:color="auto" w:fill="auto"/>
            <w:noWrap/>
            <w:vAlign w:val="bottom"/>
            <w:hideMark/>
          </w:tcPr>
          <w:p w14:paraId="6E0E96CF" w14:textId="598C46AC"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263" w:type="dxa"/>
            <w:tcBorders>
              <w:top w:val="nil"/>
              <w:left w:val="single" w:sz="4" w:space="0" w:color="auto"/>
              <w:bottom w:val="nil"/>
              <w:right w:val="nil"/>
            </w:tcBorders>
            <w:shd w:val="clear" w:color="auto" w:fill="auto"/>
            <w:noWrap/>
            <w:vAlign w:val="bottom"/>
            <w:hideMark/>
          </w:tcPr>
          <w:p w14:paraId="40BC8354" w14:textId="4F55D96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697" w:type="dxa"/>
            <w:tcBorders>
              <w:top w:val="nil"/>
              <w:left w:val="single" w:sz="4" w:space="0" w:color="auto"/>
              <w:bottom w:val="nil"/>
              <w:right w:val="single" w:sz="4" w:space="0" w:color="auto"/>
            </w:tcBorders>
            <w:shd w:val="clear" w:color="auto" w:fill="auto"/>
            <w:noWrap/>
            <w:vAlign w:val="bottom"/>
            <w:hideMark/>
          </w:tcPr>
          <w:p w14:paraId="1B06F85F" w14:textId="6657DABD"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B40900" w:rsidRPr="00357869" w14:paraId="5E9D76A9"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5BA9C830"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1022" w:type="dxa"/>
            <w:tcBorders>
              <w:top w:val="nil"/>
              <w:left w:val="nil"/>
              <w:bottom w:val="nil"/>
              <w:right w:val="nil"/>
            </w:tcBorders>
            <w:shd w:val="clear" w:color="auto" w:fill="auto"/>
            <w:noWrap/>
            <w:vAlign w:val="bottom"/>
            <w:hideMark/>
          </w:tcPr>
          <w:p w14:paraId="1B71CFE7" w14:textId="7803E70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759" w:type="dxa"/>
            <w:tcBorders>
              <w:top w:val="nil"/>
              <w:left w:val="single" w:sz="4" w:space="0" w:color="auto"/>
              <w:bottom w:val="nil"/>
              <w:right w:val="nil"/>
            </w:tcBorders>
            <w:shd w:val="clear" w:color="auto" w:fill="auto"/>
            <w:noWrap/>
            <w:vAlign w:val="bottom"/>
            <w:hideMark/>
          </w:tcPr>
          <w:p w14:paraId="78418B0F" w14:textId="2626F72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821" w:type="dxa"/>
            <w:tcBorders>
              <w:top w:val="nil"/>
              <w:left w:val="single" w:sz="4" w:space="0" w:color="auto"/>
              <w:bottom w:val="nil"/>
              <w:right w:val="nil"/>
            </w:tcBorders>
            <w:shd w:val="clear" w:color="auto" w:fill="auto"/>
            <w:noWrap/>
            <w:vAlign w:val="bottom"/>
            <w:hideMark/>
          </w:tcPr>
          <w:p w14:paraId="0580BCDB" w14:textId="111265B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037" w:type="dxa"/>
            <w:tcBorders>
              <w:top w:val="nil"/>
              <w:left w:val="single" w:sz="4" w:space="0" w:color="auto"/>
              <w:bottom w:val="nil"/>
              <w:right w:val="nil"/>
            </w:tcBorders>
            <w:shd w:val="clear" w:color="auto" w:fill="auto"/>
            <w:noWrap/>
            <w:vAlign w:val="bottom"/>
            <w:hideMark/>
          </w:tcPr>
          <w:p w14:paraId="36D9E185" w14:textId="6CBEE7B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263" w:type="dxa"/>
            <w:tcBorders>
              <w:top w:val="nil"/>
              <w:left w:val="single" w:sz="4" w:space="0" w:color="auto"/>
              <w:bottom w:val="nil"/>
              <w:right w:val="nil"/>
            </w:tcBorders>
            <w:shd w:val="clear" w:color="auto" w:fill="auto"/>
            <w:noWrap/>
            <w:vAlign w:val="bottom"/>
            <w:hideMark/>
          </w:tcPr>
          <w:p w14:paraId="5FAD7B7D" w14:textId="512E015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610" w:type="dxa"/>
            <w:tcBorders>
              <w:top w:val="nil"/>
              <w:left w:val="single" w:sz="4" w:space="0" w:color="auto"/>
              <w:bottom w:val="nil"/>
              <w:right w:val="nil"/>
            </w:tcBorders>
            <w:shd w:val="clear" w:color="auto" w:fill="auto"/>
            <w:noWrap/>
            <w:vAlign w:val="bottom"/>
            <w:hideMark/>
          </w:tcPr>
          <w:p w14:paraId="1D6751E3" w14:textId="306BC45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993" w:type="dxa"/>
            <w:tcBorders>
              <w:top w:val="nil"/>
              <w:left w:val="single" w:sz="4" w:space="0" w:color="auto"/>
              <w:bottom w:val="nil"/>
              <w:right w:val="nil"/>
            </w:tcBorders>
            <w:shd w:val="clear" w:color="auto" w:fill="auto"/>
            <w:noWrap/>
            <w:vAlign w:val="bottom"/>
            <w:hideMark/>
          </w:tcPr>
          <w:p w14:paraId="1FBD4563" w14:textId="24D45702"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25</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419" w:type="dxa"/>
            <w:tcBorders>
              <w:top w:val="nil"/>
              <w:left w:val="single" w:sz="4" w:space="0" w:color="auto"/>
              <w:bottom w:val="nil"/>
              <w:right w:val="nil"/>
            </w:tcBorders>
            <w:shd w:val="clear" w:color="auto" w:fill="auto"/>
            <w:noWrap/>
            <w:vAlign w:val="bottom"/>
            <w:hideMark/>
          </w:tcPr>
          <w:p w14:paraId="3B1BAB3A" w14:textId="750028B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821" w:type="dxa"/>
            <w:tcBorders>
              <w:top w:val="nil"/>
              <w:left w:val="single" w:sz="4" w:space="0" w:color="auto"/>
              <w:bottom w:val="nil"/>
              <w:right w:val="nil"/>
            </w:tcBorders>
            <w:shd w:val="clear" w:color="auto" w:fill="auto"/>
            <w:noWrap/>
            <w:vAlign w:val="bottom"/>
            <w:hideMark/>
          </w:tcPr>
          <w:p w14:paraId="2F8495C1" w14:textId="495DD3B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037" w:type="dxa"/>
            <w:tcBorders>
              <w:top w:val="nil"/>
              <w:left w:val="single" w:sz="4" w:space="0" w:color="auto"/>
              <w:bottom w:val="nil"/>
              <w:right w:val="nil"/>
            </w:tcBorders>
            <w:shd w:val="clear" w:color="auto" w:fill="auto"/>
            <w:noWrap/>
            <w:vAlign w:val="bottom"/>
            <w:hideMark/>
          </w:tcPr>
          <w:p w14:paraId="0C71E41C" w14:textId="1BBBB12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263" w:type="dxa"/>
            <w:tcBorders>
              <w:top w:val="nil"/>
              <w:left w:val="single" w:sz="4" w:space="0" w:color="auto"/>
              <w:bottom w:val="nil"/>
              <w:right w:val="nil"/>
            </w:tcBorders>
            <w:shd w:val="clear" w:color="auto" w:fill="auto"/>
            <w:noWrap/>
            <w:vAlign w:val="bottom"/>
            <w:hideMark/>
          </w:tcPr>
          <w:p w14:paraId="0848B53B" w14:textId="0BBF372D"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697" w:type="dxa"/>
            <w:tcBorders>
              <w:top w:val="nil"/>
              <w:left w:val="single" w:sz="4" w:space="0" w:color="auto"/>
              <w:bottom w:val="nil"/>
              <w:right w:val="single" w:sz="4" w:space="0" w:color="auto"/>
            </w:tcBorders>
            <w:shd w:val="clear" w:color="auto" w:fill="auto"/>
            <w:noWrap/>
            <w:vAlign w:val="bottom"/>
            <w:hideMark/>
          </w:tcPr>
          <w:p w14:paraId="685D4E9B" w14:textId="44F2E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B40900" w:rsidRPr="00357869" w14:paraId="1257B64A"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59DE0FE1"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1022" w:type="dxa"/>
            <w:tcBorders>
              <w:top w:val="nil"/>
              <w:left w:val="nil"/>
              <w:bottom w:val="nil"/>
              <w:right w:val="nil"/>
            </w:tcBorders>
            <w:shd w:val="clear" w:color="auto" w:fill="auto"/>
            <w:noWrap/>
            <w:vAlign w:val="bottom"/>
            <w:hideMark/>
          </w:tcPr>
          <w:p w14:paraId="37140674" w14:textId="55967D82"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759" w:type="dxa"/>
            <w:tcBorders>
              <w:top w:val="nil"/>
              <w:left w:val="single" w:sz="4" w:space="0" w:color="auto"/>
              <w:bottom w:val="nil"/>
              <w:right w:val="nil"/>
            </w:tcBorders>
            <w:shd w:val="clear" w:color="auto" w:fill="auto"/>
            <w:noWrap/>
            <w:vAlign w:val="bottom"/>
            <w:hideMark/>
          </w:tcPr>
          <w:p w14:paraId="16485035" w14:textId="559224A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821" w:type="dxa"/>
            <w:tcBorders>
              <w:top w:val="nil"/>
              <w:left w:val="single" w:sz="4" w:space="0" w:color="auto"/>
              <w:bottom w:val="nil"/>
              <w:right w:val="nil"/>
            </w:tcBorders>
            <w:shd w:val="clear" w:color="auto" w:fill="auto"/>
            <w:noWrap/>
            <w:vAlign w:val="bottom"/>
            <w:hideMark/>
          </w:tcPr>
          <w:p w14:paraId="6F39C057" w14:textId="3045BACD"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037" w:type="dxa"/>
            <w:tcBorders>
              <w:top w:val="nil"/>
              <w:left w:val="single" w:sz="4" w:space="0" w:color="auto"/>
              <w:bottom w:val="nil"/>
              <w:right w:val="nil"/>
            </w:tcBorders>
            <w:shd w:val="clear" w:color="auto" w:fill="auto"/>
            <w:noWrap/>
            <w:vAlign w:val="bottom"/>
            <w:hideMark/>
          </w:tcPr>
          <w:p w14:paraId="1594C790" w14:textId="15D8633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263" w:type="dxa"/>
            <w:tcBorders>
              <w:top w:val="nil"/>
              <w:left w:val="single" w:sz="4" w:space="0" w:color="auto"/>
              <w:bottom w:val="nil"/>
              <w:right w:val="nil"/>
            </w:tcBorders>
            <w:shd w:val="clear" w:color="auto" w:fill="auto"/>
            <w:noWrap/>
            <w:vAlign w:val="bottom"/>
            <w:hideMark/>
          </w:tcPr>
          <w:p w14:paraId="07B89FD4" w14:textId="3B38AE2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610" w:type="dxa"/>
            <w:tcBorders>
              <w:top w:val="nil"/>
              <w:left w:val="single" w:sz="4" w:space="0" w:color="auto"/>
              <w:bottom w:val="nil"/>
              <w:right w:val="nil"/>
            </w:tcBorders>
            <w:shd w:val="clear" w:color="auto" w:fill="auto"/>
            <w:noWrap/>
            <w:vAlign w:val="bottom"/>
            <w:hideMark/>
          </w:tcPr>
          <w:p w14:paraId="50D84A8D" w14:textId="4D7D09C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13</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993" w:type="dxa"/>
            <w:tcBorders>
              <w:top w:val="nil"/>
              <w:left w:val="single" w:sz="4" w:space="0" w:color="auto"/>
              <w:bottom w:val="nil"/>
              <w:right w:val="nil"/>
            </w:tcBorders>
            <w:shd w:val="clear" w:color="auto" w:fill="auto"/>
            <w:noWrap/>
            <w:vAlign w:val="bottom"/>
            <w:hideMark/>
          </w:tcPr>
          <w:p w14:paraId="14B0E874" w14:textId="097B8F2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26</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419" w:type="dxa"/>
            <w:tcBorders>
              <w:top w:val="nil"/>
              <w:left w:val="single" w:sz="4" w:space="0" w:color="auto"/>
              <w:bottom w:val="nil"/>
              <w:right w:val="nil"/>
            </w:tcBorders>
            <w:shd w:val="clear" w:color="auto" w:fill="auto"/>
            <w:noWrap/>
            <w:vAlign w:val="bottom"/>
            <w:hideMark/>
          </w:tcPr>
          <w:p w14:paraId="61D26CD3" w14:textId="3569C156"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821" w:type="dxa"/>
            <w:tcBorders>
              <w:top w:val="nil"/>
              <w:left w:val="single" w:sz="4" w:space="0" w:color="auto"/>
              <w:bottom w:val="nil"/>
              <w:right w:val="nil"/>
            </w:tcBorders>
            <w:shd w:val="clear" w:color="auto" w:fill="auto"/>
            <w:noWrap/>
            <w:vAlign w:val="bottom"/>
            <w:hideMark/>
          </w:tcPr>
          <w:p w14:paraId="60A5CDD1" w14:textId="443754C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37" w:type="dxa"/>
            <w:tcBorders>
              <w:top w:val="nil"/>
              <w:left w:val="single" w:sz="4" w:space="0" w:color="auto"/>
              <w:bottom w:val="nil"/>
              <w:right w:val="nil"/>
            </w:tcBorders>
            <w:shd w:val="clear" w:color="auto" w:fill="auto"/>
            <w:noWrap/>
            <w:vAlign w:val="bottom"/>
            <w:hideMark/>
          </w:tcPr>
          <w:p w14:paraId="53D5ABBB" w14:textId="4189A1E2"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263" w:type="dxa"/>
            <w:tcBorders>
              <w:top w:val="nil"/>
              <w:left w:val="single" w:sz="4" w:space="0" w:color="auto"/>
              <w:bottom w:val="nil"/>
              <w:right w:val="nil"/>
            </w:tcBorders>
            <w:shd w:val="clear" w:color="auto" w:fill="auto"/>
            <w:noWrap/>
            <w:vAlign w:val="bottom"/>
            <w:hideMark/>
          </w:tcPr>
          <w:p w14:paraId="472A18D9" w14:textId="173D75E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697" w:type="dxa"/>
            <w:tcBorders>
              <w:top w:val="nil"/>
              <w:left w:val="single" w:sz="4" w:space="0" w:color="auto"/>
              <w:bottom w:val="nil"/>
              <w:right w:val="single" w:sz="4" w:space="0" w:color="auto"/>
            </w:tcBorders>
            <w:shd w:val="clear" w:color="auto" w:fill="auto"/>
            <w:noWrap/>
            <w:vAlign w:val="bottom"/>
            <w:hideMark/>
          </w:tcPr>
          <w:p w14:paraId="35081699" w14:textId="52AD95F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r>
      <w:tr w:rsidR="00B40900" w:rsidRPr="00357869" w14:paraId="673EC8B3"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49F8EC08"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1022" w:type="dxa"/>
            <w:tcBorders>
              <w:top w:val="nil"/>
              <w:left w:val="nil"/>
              <w:bottom w:val="nil"/>
              <w:right w:val="nil"/>
            </w:tcBorders>
            <w:shd w:val="clear" w:color="auto" w:fill="auto"/>
            <w:noWrap/>
            <w:vAlign w:val="bottom"/>
            <w:hideMark/>
          </w:tcPr>
          <w:p w14:paraId="6D83BCC1" w14:textId="20B1E932"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759" w:type="dxa"/>
            <w:tcBorders>
              <w:top w:val="nil"/>
              <w:left w:val="single" w:sz="4" w:space="0" w:color="auto"/>
              <w:bottom w:val="nil"/>
              <w:right w:val="nil"/>
            </w:tcBorders>
            <w:shd w:val="clear" w:color="auto" w:fill="auto"/>
            <w:noWrap/>
            <w:vAlign w:val="bottom"/>
            <w:hideMark/>
          </w:tcPr>
          <w:p w14:paraId="71ED2DBF" w14:textId="4D05DCC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821" w:type="dxa"/>
            <w:tcBorders>
              <w:top w:val="nil"/>
              <w:left w:val="single" w:sz="4" w:space="0" w:color="auto"/>
              <w:bottom w:val="nil"/>
              <w:right w:val="nil"/>
            </w:tcBorders>
            <w:shd w:val="clear" w:color="auto" w:fill="auto"/>
            <w:noWrap/>
            <w:vAlign w:val="bottom"/>
            <w:hideMark/>
          </w:tcPr>
          <w:p w14:paraId="3300FF7C" w14:textId="496C36F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37" w:type="dxa"/>
            <w:tcBorders>
              <w:top w:val="nil"/>
              <w:left w:val="single" w:sz="4" w:space="0" w:color="auto"/>
              <w:bottom w:val="nil"/>
              <w:right w:val="nil"/>
            </w:tcBorders>
            <w:shd w:val="clear" w:color="auto" w:fill="auto"/>
            <w:noWrap/>
            <w:vAlign w:val="bottom"/>
            <w:hideMark/>
          </w:tcPr>
          <w:p w14:paraId="4855FEB4" w14:textId="14A8EBE6"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263" w:type="dxa"/>
            <w:tcBorders>
              <w:top w:val="nil"/>
              <w:left w:val="single" w:sz="4" w:space="0" w:color="auto"/>
              <w:bottom w:val="nil"/>
              <w:right w:val="nil"/>
            </w:tcBorders>
            <w:shd w:val="clear" w:color="auto" w:fill="auto"/>
            <w:noWrap/>
            <w:vAlign w:val="bottom"/>
            <w:hideMark/>
          </w:tcPr>
          <w:p w14:paraId="2619243F" w14:textId="410DCB6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610" w:type="dxa"/>
            <w:tcBorders>
              <w:top w:val="nil"/>
              <w:left w:val="single" w:sz="4" w:space="0" w:color="auto"/>
              <w:bottom w:val="nil"/>
              <w:right w:val="nil"/>
            </w:tcBorders>
            <w:shd w:val="clear" w:color="auto" w:fill="auto"/>
            <w:noWrap/>
            <w:vAlign w:val="bottom"/>
            <w:hideMark/>
          </w:tcPr>
          <w:p w14:paraId="2D904B19" w14:textId="785DF856"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993" w:type="dxa"/>
            <w:tcBorders>
              <w:top w:val="nil"/>
              <w:left w:val="single" w:sz="4" w:space="0" w:color="auto"/>
              <w:bottom w:val="nil"/>
              <w:right w:val="nil"/>
            </w:tcBorders>
            <w:shd w:val="clear" w:color="auto" w:fill="auto"/>
            <w:noWrap/>
            <w:vAlign w:val="bottom"/>
            <w:hideMark/>
          </w:tcPr>
          <w:p w14:paraId="139DB921" w14:textId="316280D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419" w:type="dxa"/>
            <w:tcBorders>
              <w:top w:val="nil"/>
              <w:left w:val="single" w:sz="4" w:space="0" w:color="auto"/>
              <w:bottom w:val="nil"/>
              <w:right w:val="nil"/>
            </w:tcBorders>
            <w:shd w:val="clear" w:color="auto" w:fill="auto"/>
            <w:noWrap/>
            <w:vAlign w:val="bottom"/>
            <w:hideMark/>
          </w:tcPr>
          <w:p w14:paraId="24D3DF90" w14:textId="27BC3BC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821" w:type="dxa"/>
            <w:tcBorders>
              <w:top w:val="nil"/>
              <w:left w:val="single" w:sz="4" w:space="0" w:color="auto"/>
              <w:bottom w:val="nil"/>
              <w:right w:val="nil"/>
            </w:tcBorders>
            <w:shd w:val="clear" w:color="auto" w:fill="auto"/>
            <w:noWrap/>
            <w:vAlign w:val="bottom"/>
            <w:hideMark/>
          </w:tcPr>
          <w:p w14:paraId="6F34501B" w14:textId="26530DC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37" w:type="dxa"/>
            <w:tcBorders>
              <w:top w:val="nil"/>
              <w:left w:val="single" w:sz="4" w:space="0" w:color="auto"/>
              <w:bottom w:val="nil"/>
              <w:right w:val="nil"/>
            </w:tcBorders>
            <w:shd w:val="clear" w:color="auto" w:fill="auto"/>
            <w:noWrap/>
            <w:vAlign w:val="bottom"/>
            <w:hideMark/>
          </w:tcPr>
          <w:p w14:paraId="44F20FDF" w14:textId="787BB32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263" w:type="dxa"/>
            <w:tcBorders>
              <w:top w:val="nil"/>
              <w:left w:val="single" w:sz="4" w:space="0" w:color="auto"/>
              <w:bottom w:val="nil"/>
              <w:right w:val="nil"/>
            </w:tcBorders>
            <w:shd w:val="clear" w:color="auto" w:fill="auto"/>
            <w:noWrap/>
            <w:vAlign w:val="bottom"/>
            <w:hideMark/>
          </w:tcPr>
          <w:p w14:paraId="1557C5CA" w14:textId="397A6C8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697" w:type="dxa"/>
            <w:tcBorders>
              <w:top w:val="nil"/>
              <w:left w:val="single" w:sz="4" w:space="0" w:color="auto"/>
              <w:bottom w:val="nil"/>
              <w:right w:val="single" w:sz="4" w:space="0" w:color="auto"/>
            </w:tcBorders>
            <w:shd w:val="clear" w:color="auto" w:fill="auto"/>
            <w:noWrap/>
            <w:vAlign w:val="bottom"/>
            <w:hideMark/>
          </w:tcPr>
          <w:p w14:paraId="634B9FD0" w14:textId="79D433E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r>
      <w:tr w:rsidR="00B40900" w:rsidRPr="00357869" w14:paraId="473683CF"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6EA66892"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1022" w:type="dxa"/>
            <w:tcBorders>
              <w:top w:val="nil"/>
              <w:left w:val="nil"/>
              <w:bottom w:val="nil"/>
              <w:right w:val="nil"/>
            </w:tcBorders>
            <w:shd w:val="clear" w:color="auto" w:fill="auto"/>
            <w:noWrap/>
            <w:vAlign w:val="bottom"/>
            <w:hideMark/>
          </w:tcPr>
          <w:p w14:paraId="01069850" w14:textId="10DD94C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759" w:type="dxa"/>
            <w:tcBorders>
              <w:top w:val="nil"/>
              <w:left w:val="single" w:sz="4" w:space="0" w:color="auto"/>
              <w:bottom w:val="nil"/>
              <w:right w:val="nil"/>
            </w:tcBorders>
            <w:shd w:val="clear" w:color="auto" w:fill="auto"/>
            <w:noWrap/>
            <w:vAlign w:val="bottom"/>
            <w:hideMark/>
          </w:tcPr>
          <w:p w14:paraId="750DDE7F" w14:textId="6A0D678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821" w:type="dxa"/>
            <w:tcBorders>
              <w:top w:val="nil"/>
              <w:left w:val="single" w:sz="4" w:space="0" w:color="auto"/>
              <w:bottom w:val="nil"/>
              <w:right w:val="nil"/>
            </w:tcBorders>
            <w:shd w:val="clear" w:color="auto" w:fill="auto"/>
            <w:noWrap/>
            <w:vAlign w:val="bottom"/>
            <w:hideMark/>
          </w:tcPr>
          <w:p w14:paraId="301D9923" w14:textId="4EF88AE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37" w:type="dxa"/>
            <w:tcBorders>
              <w:top w:val="nil"/>
              <w:left w:val="single" w:sz="4" w:space="0" w:color="auto"/>
              <w:bottom w:val="nil"/>
              <w:right w:val="nil"/>
            </w:tcBorders>
            <w:shd w:val="clear" w:color="auto" w:fill="auto"/>
            <w:noWrap/>
            <w:vAlign w:val="bottom"/>
            <w:hideMark/>
          </w:tcPr>
          <w:p w14:paraId="7A88A16A" w14:textId="56ABC83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263" w:type="dxa"/>
            <w:tcBorders>
              <w:top w:val="nil"/>
              <w:left w:val="single" w:sz="4" w:space="0" w:color="auto"/>
              <w:bottom w:val="nil"/>
              <w:right w:val="nil"/>
            </w:tcBorders>
            <w:shd w:val="clear" w:color="auto" w:fill="auto"/>
            <w:noWrap/>
            <w:vAlign w:val="bottom"/>
            <w:hideMark/>
          </w:tcPr>
          <w:p w14:paraId="66A54735" w14:textId="086E989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610" w:type="dxa"/>
            <w:tcBorders>
              <w:top w:val="nil"/>
              <w:left w:val="single" w:sz="4" w:space="0" w:color="auto"/>
              <w:bottom w:val="nil"/>
              <w:right w:val="nil"/>
            </w:tcBorders>
            <w:shd w:val="clear" w:color="auto" w:fill="auto"/>
            <w:noWrap/>
            <w:vAlign w:val="bottom"/>
            <w:hideMark/>
          </w:tcPr>
          <w:p w14:paraId="6DA9A513" w14:textId="491CAE7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14</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993" w:type="dxa"/>
            <w:tcBorders>
              <w:top w:val="nil"/>
              <w:left w:val="single" w:sz="4" w:space="0" w:color="auto"/>
              <w:bottom w:val="nil"/>
              <w:right w:val="nil"/>
            </w:tcBorders>
            <w:shd w:val="clear" w:color="auto" w:fill="auto"/>
            <w:noWrap/>
            <w:vAlign w:val="bottom"/>
            <w:hideMark/>
          </w:tcPr>
          <w:p w14:paraId="202ECE87" w14:textId="4372479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419" w:type="dxa"/>
            <w:tcBorders>
              <w:top w:val="nil"/>
              <w:left w:val="single" w:sz="4" w:space="0" w:color="auto"/>
              <w:bottom w:val="nil"/>
              <w:right w:val="nil"/>
            </w:tcBorders>
            <w:shd w:val="clear" w:color="auto" w:fill="auto"/>
            <w:noWrap/>
            <w:vAlign w:val="bottom"/>
            <w:hideMark/>
          </w:tcPr>
          <w:p w14:paraId="3EB5D800" w14:textId="2E814BB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821" w:type="dxa"/>
            <w:tcBorders>
              <w:top w:val="nil"/>
              <w:left w:val="single" w:sz="4" w:space="0" w:color="auto"/>
              <w:bottom w:val="nil"/>
              <w:right w:val="nil"/>
            </w:tcBorders>
            <w:shd w:val="clear" w:color="auto" w:fill="auto"/>
            <w:noWrap/>
            <w:vAlign w:val="bottom"/>
            <w:hideMark/>
          </w:tcPr>
          <w:p w14:paraId="612C525D" w14:textId="7642AC22"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53</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37" w:type="dxa"/>
            <w:tcBorders>
              <w:top w:val="nil"/>
              <w:left w:val="single" w:sz="4" w:space="0" w:color="auto"/>
              <w:bottom w:val="nil"/>
              <w:right w:val="nil"/>
            </w:tcBorders>
            <w:shd w:val="clear" w:color="auto" w:fill="auto"/>
            <w:noWrap/>
            <w:vAlign w:val="bottom"/>
            <w:hideMark/>
          </w:tcPr>
          <w:p w14:paraId="7C6095DE" w14:textId="080CD82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263" w:type="dxa"/>
            <w:tcBorders>
              <w:top w:val="nil"/>
              <w:left w:val="single" w:sz="4" w:space="0" w:color="auto"/>
              <w:bottom w:val="nil"/>
              <w:right w:val="nil"/>
            </w:tcBorders>
            <w:shd w:val="clear" w:color="auto" w:fill="auto"/>
            <w:noWrap/>
            <w:vAlign w:val="bottom"/>
            <w:hideMark/>
          </w:tcPr>
          <w:p w14:paraId="20626EEB" w14:textId="3798E43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697" w:type="dxa"/>
            <w:tcBorders>
              <w:top w:val="nil"/>
              <w:left w:val="single" w:sz="4" w:space="0" w:color="auto"/>
              <w:bottom w:val="nil"/>
              <w:right w:val="single" w:sz="4" w:space="0" w:color="auto"/>
            </w:tcBorders>
            <w:shd w:val="clear" w:color="auto" w:fill="auto"/>
            <w:noWrap/>
            <w:vAlign w:val="bottom"/>
            <w:hideMark/>
          </w:tcPr>
          <w:p w14:paraId="7B45FE37" w14:textId="63D9200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r>
      <w:tr w:rsidR="00B40900" w:rsidRPr="00357869" w14:paraId="2BEE9E4B"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116B718C"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1022" w:type="dxa"/>
            <w:tcBorders>
              <w:top w:val="nil"/>
              <w:left w:val="nil"/>
              <w:bottom w:val="nil"/>
              <w:right w:val="nil"/>
            </w:tcBorders>
            <w:shd w:val="clear" w:color="auto" w:fill="auto"/>
            <w:noWrap/>
            <w:vAlign w:val="bottom"/>
            <w:hideMark/>
          </w:tcPr>
          <w:p w14:paraId="61EFB710" w14:textId="1E9A973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759" w:type="dxa"/>
            <w:tcBorders>
              <w:top w:val="nil"/>
              <w:left w:val="single" w:sz="4" w:space="0" w:color="auto"/>
              <w:bottom w:val="nil"/>
              <w:right w:val="nil"/>
            </w:tcBorders>
            <w:shd w:val="clear" w:color="auto" w:fill="auto"/>
            <w:noWrap/>
            <w:vAlign w:val="bottom"/>
            <w:hideMark/>
          </w:tcPr>
          <w:p w14:paraId="444ECB49" w14:textId="3AE8D9F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821" w:type="dxa"/>
            <w:tcBorders>
              <w:top w:val="nil"/>
              <w:left w:val="single" w:sz="4" w:space="0" w:color="auto"/>
              <w:bottom w:val="nil"/>
              <w:right w:val="nil"/>
            </w:tcBorders>
            <w:shd w:val="clear" w:color="auto" w:fill="auto"/>
            <w:noWrap/>
            <w:vAlign w:val="bottom"/>
            <w:hideMark/>
          </w:tcPr>
          <w:p w14:paraId="1DD98DA2" w14:textId="76FDAFB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37" w:type="dxa"/>
            <w:tcBorders>
              <w:top w:val="nil"/>
              <w:left w:val="single" w:sz="4" w:space="0" w:color="auto"/>
              <w:bottom w:val="nil"/>
              <w:right w:val="nil"/>
            </w:tcBorders>
            <w:shd w:val="clear" w:color="auto" w:fill="auto"/>
            <w:noWrap/>
            <w:vAlign w:val="bottom"/>
            <w:hideMark/>
          </w:tcPr>
          <w:p w14:paraId="3E1B38B9" w14:textId="2DBBCF1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263" w:type="dxa"/>
            <w:tcBorders>
              <w:top w:val="nil"/>
              <w:left w:val="single" w:sz="4" w:space="0" w:color="auto"/>
              <w:bottom w:val="nil"/>
              <w:right w:val="nil"/>
            </w:tcBorders>
            <w:shd w:val="clear" w:color="auto" w:fill="auto"/>
            <w:noWrap/>
            <w:vAlign w:val="bottom"/>
            <w:hideMark/>
          </w:tcPr>
          <w:p w14:paraId="355BE5E1" w14:textId="5BD2BB5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610" w:type="dxa"/>
            <w:tcBorders>
              <w:top w:val="nil"/>
              <w:left w:val="single" w:sz="4" w:space="0" w:color="auto"/>
              <w:bottom w:val="nil"/>
              <w:right w:val="nil"/>
            </w:tcBorders>
            <w:shd w:val="clear" w:color="auto" w:fill="auto"/>
            <w:noWrap/>
            <w:vAlign w:val="bottom"/>
            <w:hideMark/>
          </w:tcPr>
          <w:p w14:paraId="218EA5F5" w14:textId="2B2C1A32"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15</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993" w:type="dxa"/>
            <w:tcBorders>
              <w:top w:val="nil"/>
              <w:left w:val="single" w:sz="4" w:space="0" w:color="auto"/>
              <w:bottom w:val="nil"/>
              <w:right w:val="nil"/>
            </w:tcBorders>
            <w:shd w:val="clear" w:color="auto" w:fill="auto"/>
            <w:noWrap/>
            <w:vAlign w:val="bottom"/>
            <w:hideMark/>
          </w:tcPr>
          <w:p w14:paraId="78816AD6" w14:textId="4F8D2E7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419" w:type="dxa"/>
            <w:tcBorders>
              <w:top w:val="nil"/>
              <w:left w:val="single" w:sz="4" w:space="0" w:color="auto"/>
              <w:bottom w:val="nil"/>
              <w:right w:val="nil"/>
            </w:tcBorders>
            <w:shd w:val="clear" w:color="auto" w:fill="auto"/>
            <w:noWrap/>
            <w:vAlign w:val="bottom"/>
            <w:hideMark/>
          </w:tcPr>
          <w:p w14:paraId="17EC94D9" w14:textId="0B847596"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821" w:type="dxa"/>
            <w:tcBorders>
              <w:top w:val="nil"/>
              <w:left w:val="single" w:sz="4" w:space="0" w:color="auto"/>
              <w:bottom w:val="nil"/>
              <w:right w:val="nil"/>
            </w:tcBorders>
            <w:shd w:val="clear" w:color="auto" w:fill="auto"/>
            <w:noWrap/>
            <w:vAlign w:val="bottom"/>
            <w:hideMark/>
          </w:tcPr>
          <w:p w14:paraId="6A16FB1B" w14:textId="50D7287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53</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037" w:type="dxa"/>
            <w:tcBorders>
              <w:top w:val="nil"/>
              <w:left w:val="single" w:sz="4" w:space="0" w:color="auto"/>
              <w:bottom w:val="nil"/>
              <w:right w:val="nil"/>
            </w:tcBorders>
            <w:shd w:val="clear" w:color="auto" w:fill="auto"/>
            <w:noWrap/>
            <w:vAlign w:val="bottom"/>
            <w:hideMark/>
          </w:tcPr>
          <w:p w14:paraId="0EAC3672" w14:textId="1CE1B4C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263" w:type="dxa"/>
            <w:tcBorders>
              <w:top w:val="nil"/>
              <w:left w:val="single" w:sz="4" w:space="0" w:color="auto"/>
              <w:bottom w:val="nil"/>
              <w:right w:val="nil"/>
            </w:tcBorders>
            <w:shd w:val="clear" w:color="auto" w:fill="auto"/>
            <w:noWrap/>
            <w:vAlign w:val="bottom"/>
            <w:hideMark/>
          </w:tcPr>
          <w:p w14:paraId="7FB15BA6" w14:textId="749A824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697" w:type="dxa"/>
            <w:tcBorders>
              <w:top w:val="nil"/>
              <w:left w:val="single" w:sz="4" w:space="0" w:color="auto"/>
              <w:bottom w:val="nil"/>
              <w:right w:val="single" w:sz="4" w:space="0" w:color="auto"/>
            </w:tcBorders>
            <w:shd w:val="clear" w:color="auto" w:fill="auto"/>
            <w:noWrap/>
            <w:vAlign w:val="bottom"/>
            <w:hideMark/>
          </w:tcPr>
          <w:p w14:paraId="5215DDE6" w14:textId="7E3D381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r w:rsidR="00B40900" w:rsidRPr="00357869" w14:paraId="3DAA7414"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7C3B5FA3"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1022" w:type="dxa"/>
            <w:tcBorders>
              <w:top w:val="nil"/>
              <w:left w:val="nil"/>
              <w:bottom w:val="nil"/>
              <w:right w:val="nil"/>
            </w:tcBorders>
            <w:shd w:val="clear" w:color="auto" w:fill="auto"/>
            <w:noWrap/>
            <w:vAlign w:val="bottom"/>
            <w:hideMark/>
          </w:tcPr>
          <w:p w14:paraId="0CD0D97E" w14:textId="03D949E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759" w:type="dxa"/>
            <w:tcBorders>
              <w:top w:val="nil"/>
              <w:left w:val="single" w:sz="4" w:space="0" w:color="auto"/>
              <w:bottom w:val="nil"/>
              <w:right w:val="nil"/>
            </w:tcBorders>
            <w:shd w:val="clear" w:color="auto" w:fill="auto"/>
            <w:noWrap/>
            <w:vAlign w:val="bottom"/>
            <w:hideMark/>
          </w:tcPr>
          <w:p w14:paraId="43347231" w14:textId="5642282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821" w:type="dxa"/>
            <w:tcBorders>
              <w:top w:val="nil"/>
              <w:left w:val="single" w:sz="4" w:space="0" w:color="auto"/>
              <w:bottom w:val="nil"/>
              <w:right w:val="nil"/>
            </w:tcBorders>
            <w:shd w:val="clear" w:color="auto" w:fill="auto"/>
            <w:noWrap/>
            <w:vAlign w:val="bottom"/>
            <w:hideMark/>
          </w:tcPr>
          <w:p w14:paraId="4E0D9D36" w14:textId="0CF1746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37" w:type="dxa"/>
            <w:tcBorders>
              <w:top w:val="nil"/>
              <w:left w:val="single" w:sz="4" w:space="0" w:color="auto"/>
              <w:bottom w:val="nil"/>
              <w:right w:val="nil"/>
            </w:tcBorders>
            <w:shd w:val="clear" w:color="auto" w:fill="auto"/>
            <w:noWrap/>
            <w:vAlign w:val="bottom"/>
            <w:hideMark/>
          </w:tcPr>
          <w:p w14:paraId="7B551188" w14:textId="1BD0982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263" w:type="dxa"/>
            <w:tcBorders>
              <w:top w:val="nil"/>
              <w:left w:val="single" w:sz="4" w:space="0" w:color="auto"/>
              <w:bottom w:val="nil"/>
              <w:right w:val="nil"/>
            </w:tcBorders>
            <w:shd w:val="clear" w:color="auto" w:fill="auto"/>
            <w:noWrap/>
            <w:vAlign w:val="bottom"/>
            <w:hideMark/>
          </w:tcPr>
          <w:p w14:paraId="098E8459" w14:textId="04775CC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610" w:type="dxa"/>
            <w:tcBorders>
              <w:top w:val="nil"/>
              <w:left w:val="single" w:sz="4" w:space="0" w:color="auto"/>
              <w:bottom w:val="nil"/>
              <w:right w:val="nil"/>
            </w:tcBorders>
            <w:shd w:val="clear" w:color="auto" w:fill="auto"/>
            <w:noWrap/>
            <w:vAlign w:val="bottom"/>
            <w:hideMark/>
          </w:tcPr>
          <w:p w14:paraId="3B77FA36" w14:textId="36CEAE2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16</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993" w:type="dxa"/>
            <w:tcBorders>
              <w:top w:val="nil"/>
              <w:left w:val="single" w:sz="4" w:space="0" w:color="auto"/>
              <w:bottom w:val="nil"/>
              <w:right w:val="nil"/>
            </w:tcBorders>
            <w:shd w:val="clear" w:color="auto" w:fill="auto"/>
            <w:noWrap/>
            <w:vAlign w:val="bottom"/>
            <w:hideMark/>
          </w:tcPr>
          <w:p w14:paraId="04C6C615" w14:textId="13F28D6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419" w:type="dxa"/>
            <w:tcBorders>
              <w:top w:val="nil"/>
              <w:left w:val="single" w:sz="4" w:space="0" w:color="auto"/>
              <w:bottom w:val="nil"/>
              <w:right w:val="nil"/>
            </w:tcBorders>
            <w:shd w:val="clear" w:color="auto" w:fill="auto"/>
            <w:noWrap/>
            <w:vAlign w:val="bottom"/>
            <w:hideMark/>
          </w:tcPr>
          <w:p w14:paraId="58A9CCA6" w14:textId="6C98C97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821" w:type="dxa"/>
            <w:tcBorders>
              <w:top w:val="nil"/>
              <w:left w:val="single" w:sz="4" w:space="0" w:color="auto"/>
              <w:bottom w:val="nil"/>
              <w:right w:val="nil"/>
            </w:tcBorders>
            <w:shd w:val="clear" w:color="auto" w:fill="auto"/>
            <w:noWrap/>
            <w:vAlign w:val="bottom"/>
            <w:hideMark/>
          </w:tcPr>
          <w:p w14:paraId="051CDEEA" w14:textId="3BE0700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037" w:type="dxa"/>
            <w:tcBorders>
              <w:top w:val="nil"/>
              <w:left w:val="single" w:sz="4" w:space="0" w:color="auto"/>
              <w:bottom w:val="nil"/>
              <w:right w:val="nil"/>
            </w:tcBorders>
            <w:shd w:val="clear" w:color="auto" w:fill="auto"/>
            <w:noWrap/>
            <w:vAlign w:val="bottom"/>
            <w:hideMark/>
          </w:tcPr>
          <w:p w14:paraId="3FA06BFC" w14:textId="461CD4CC"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263" w:type="dxa"/>
            <w:tcBorders>
              <w:top w:val="nil"/>
              <w:left w:val="single" w:sz="4" w:space="0" w:color="auto"/>
              <w:bottom w:val="nil"/>
              <w:right w:val="nil"/>
            </w:tcBorders>
            <w:shd w:val="clear" w:color="auto" w:fill="auto"/>
            <w:noWrap/>
            <w:vAlign w:val="bottom"/>
            <w:hideMark/>
          </w:tcPr>
          <w:p w14:paraId="085B6623" w14:textId="6EA61BF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697" w:type="dxa"/>
            <w:tcBorders>
              <w:top w:val="nil"/>
              <w:left w:val="single" w:sz="4" w:space="0" w:color="auto"/>
              <w:bottom w:val="nil"/>
              <w:right w:val="single" w:sz="4" w:space="0" w:color="auto"/>
            </w:tcBorders>
            <w:shd w:val="clear" w:color="auto" w:fill="auto"/>
            <w:noWrap/>
            <w:vAlign w:val="bottom"/>
            <w:hideMark/>
          </w:tcPr>
          <w:p w14:paraId="3569FA0C" w14:textId="634C512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r>
      <w:tr w:rsidR="00B40900" w:rsidRPr="00357869" w14:paraId="34FF28E7"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4F33F550"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1022" w:type="dxa"/>
            <w:tcBorders>
              <w:top w:val="nil"/>
              <w:left w:val="nil"/>
              <w:bottom w:val="nil"/>
              <w:right w:val="nil"/>
            </w:tcBorders>
            <w:shd w:val="clear" w:color="auto" w:fill="auto"/>
            <w:noWrap/>
            <w:vAlign w:val="bottom"/>
            <w:hideMark/>
          </w:tcPr>
          <w:p w14:paraId="1756D3EF" w14:textId="75CB5815"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759" w:type="dxa"/>
            <w:tcBorders>
              <w:top w:val="nil"/>
              <w:left w:val="single" w:sz="4" w:space="0" w:color="auto"/>
              <w:bottom w:val="nil"/>
              <w:right w:val="nil"/>
            </w:tcBorders>
            <w:shd w:val="clear" w:color="auto" w:fill="auto"/>
            <w:noWrap/>
            <w:vAlign w:val="bottom"/>
            <w:hideMark/>
          </w:tcPr>
          <w:p w14:paraId="790D3171" w14:textId="1B9E0C3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821" w:type="dxa"/>
            <w:tcBorders>
              <w:top w:val="nil"/>
              <w:left w:val="single" w:sz="4" w:space="0" w:color="auto"/>
              <w:bottom w:val="nil"/>
              <w:right w:val="nil"/>
            </w:tcBorders>
            <w:shd w:val="clear" w:color="auto" w:fill="auto"/>
            <w:noWrap/>
            <w:vAlign w:val="bottom"/>
            <w:hideMark/>
          </w:tcPr>
          <w:p w14:paraId="0A2EB00B" w14:textId="0C37EF8F"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37" w:type="dxa"/>
            <w:tcBorders>
              <w:top w:val="nil"/>
              <w:left w:val="single" w:sz="4" w:space="0" w:color="auto"/>
              <w:bottom w:val="nil"/>
              <w:right w:val="nil"/>
            </w:tcBorders>
            <w:shd w:val="clear" w:color="auto" w:fill="auto"/>
            <w:noWrap/>
            <w:vAlign w:val="bottom"/>
            <w:hideMark/>
          </w:tcPr>
          <w:p w14:paraId="3C24505E" w14:textId="3A093F5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263" w:type="dxa"/>
            <w:tcBorders>
              <w:top w:val="nil"/>
              <w:left w:val="single" w:sz="4" w:space="0" w:color="auto"/>
              <w:bottom w:val="nil"/>
              <w:right w:val="nil"/>
            </w:tcBorders>
            <w:shd w:val="clear" w:color="auto" w:fill="auto"/>
            <w:noWrap/>
            <w:vAlign w:val="bottom"/>
            <w:hideMark/>
          </w:tcPr>
          <w:p w14:paraId="582BECBB" w14:textId="0C6A9A4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610" w:type="dxa"/>
            <w:tcBorders>
              <w:top w:val="nil"/>
              <w:left w:val="single" w:sz="4" w:space="0" w:color="auto"/>
              <w:bottom w:val="nil"/>
              <w:right w:val="nil"/>
            </w:tcBorders>
            <w:shd w:val="clear" w:color="auto" w:fill="auto"/>
            <w:noWrap/>
            <w:vAlign w:val="bottom"/>
            <w:hideMark/>
          </w:tcPr>
          <w:p w14:paraId="28259FD2" w14:textId="6A52C76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993" w:type="dxa"/>
            <w:tcBorders>
              <w:top w:val="nil"/>
              <w:left w:val="single" w:sz="4" w:space="0" w:color="auto"/>
              <w:bottom w:val="nil"/>
              <w:right w:val="nil"/>
            </w:tcBorders>
            <w:shd w:val="clear" w:color="auto" w:fill="auto"/>
            <w:noWrap/>
            <w:vAlign w:val="bottom"/>
            <w:hideMark/>
          </w:tcPr>
          <w:p w14:paraId="4671059E" w14:textId="4CE80A2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419" w:type="dxa"/>
            <w:tcBorders>
              <w:top w:val="nil"/>
              <w:left w:val="single" w:sz="4" w:space="0" w:color="auto"/>
              <w:bottom w:val="nil"/>
              <w:right w:val="nil"/>
            </w:tcBorders>
            <w:shd w:val="clear" w:color="auto" w:fill="auto"/>
            <w:noWrap/>
            <w:vAlign w:val="bottom"/>
            <w:hideMark/>
          </w:tcPr>
          <w:p w14:paraId="78F15F6D" w14:textId="4815E86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821" w:type="dxa"/>
            <w:tcBorders>
              <w:top w:val="nil"/>
              <w:left w:val="single" w:sz="4" w:space="0" w:color="auto"/>
              <w:bottom w:val="nil"/>
              <w:right w:val="nil"/>
            </w:tcBorders>
            <w:shd w:val="clear" w:color="auto" w:fill="auto"/>
            <w:noWrap/>
            <w:vAlign w:val="bottom"/>
            <w:hideMark/>
          </w:tcPr>
          <w:p w14:paraId="5EE6E16A" w14:textId="13C5B4D6"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37" w:type="dxa"/>
            <w:tcBorders>
              <w:top w:val="nil"/>
              <w:left w:val="single" w:sz="4" w:space="0" w:color="auto"/>
              <w:bottom w:val="nil"/>
              <w:right w:val="nil"/>
            </w:tcBorders>
            <w:shd w:val="clear" w:color="auto" w:fill="auto"/>
            <w:noWrap/>
            <w:vAlign w:val="bottom"/>
            <w:hideMark/>
          </w:tcPr>
          <w:p w14:paraId="5A62936C" w14:textId="6B3BB26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263" w:type="dxa"/>
            <w:tcBorders>
              <w:top w:val="nil"/>
              <w:left w:val="single" w:sz="4" w:space="0" w:color="auto"/>
              <w:bottom w:val="nil"/>
              <w:right w:val="nil"/>
            </w:tcBorders>
            <w:shd w:val="clear" w:color="auto" w:fill="auto"/>
            <w:noWrap/>
            <w:vAlign w:val="bottom"/>
            <w:hideMark/>
          </w:tcPr>
          <w:p w14:paraId="12BE7000" w14:textId="40B7297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697" w:type="dxa"/>
            <w:tcBorders>
              <w:top w:val="nil"/>
              <w:left w:val="single" w:sz="4" w:space="0" w:color="auto"/>
              <w:bottom w:val="nil"/>
              <w:right w:val="single" w:sz="4" w:space="0" w:color="auto"/>
            </w:tcBorders>
            <w:shd w:val="clear" w:color="auto" w:fill="auto"/>
            <w:noWrap/>
            <w:vAlign w:val="bottom"/>
            <w:hideMark/>
          </w:tcPr>
          <w:p w14:paraId="2EDB7AB4" w14:textId="7AF9983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23</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r>
      <w:tr w:rsidR="00B40900" w:rsidRPr="00357869" w14:paraId="20BB1CBB"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3BD0F3C5"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1022" w:type="dxa"/>
            <w:tcBorders>
              <w:top w:val="nil"/>
              <w:left w:val="nil"/>
              <w:bottom w:val="nil"/>
              <w:right w:val="nil"/>
            </w:tcBorders>
            <w:shd w:val="clear" w:color="auto" w:fill="auto"/>
            <w:noWrap/>
            <w:vAlign w:val="bottom"/>
            <w:hideMark/>
          </w:tcPr>
          <w:p w14:paraId="5A249BD7" w14:textId="67D6188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759" w:type="dxa"/>
            <w:tcBorders>
              <w:top w:val="nil"/>
              <w:left w:val="single" w:sz="4" w:space="0" w:color="auto"/>
              <w:bottom w:val="nil"/>
              <w:right w:val="nil"/>
            </w:tcBorders>
            <w:shd w:val="clear" w:color="auto" w:fill="auto"/>
            <w:noWrap/>
            <w:vAlign w:val="bottom"/>
            <w:hideMark/>
          </w:tcPr>
          <w:p w14:paraId="497B67B0" w14:textId="36C8EF4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821" w:type="dxa"/>
            <w:tcBorders>
              <w:top w:val="nil"/>
              <w:left w:val="single" w:sz="4" w:space="0" w:color="auto"/>
              <w:bottom w:val="nil"/>
              <w:right w:val="nil"/>
            </w:tcBorders>
            <w:shd w:val="clear" w:color="auto" w:fill="auto"/>
            <w:noWrap/>
            <w:vAlign w:val="bottom"/>
            <w:hideMark/>
          </w:tcPr>
          <w:p w14:paraId="1E45A9F3" w14:textId="7431182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037" w:type="dxa"/>
            <w:tcBorders>
              <w:top w:val="nil"/>
              <w:left w:val="single" w:sz="4" w:space="0" w:color="auto"/>
              <w:bottom w:val="nil"/>
              <w:right w:val="nil"/>
            </w:tcBorders>
            <w:shd w:val="clear" w:color="auto" w:fill="auto"/>
            <w:noWrap/>
            <w:vAlign w:val="bottom"/>
            <w:hideMark/>
          </w:tcPr>
          <w:p w14:paraId="71958F0A" w14:textId="1ED437D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263" w:type="dxa"/>
            <w:tcBorders>
              <w:top w:val="nil"/>
              <w:left w:val="single" w:sz="4" w:space="0" w:color="auto"/>
              <w:bottom w:val="nil"/>
              <w:right w:val="nil"/>
            </w:tcBorders>
            <w:shd w:val="clear" w:color="auto" w:fill="auto"/>
            <w:noWrap/>
            <w:vAlign w:val="bottom"/>
            <w:hideMark/>
          </w:tcPr>
          <w:p w14:paraId="119D6294" w14:textId="1F3A9F65"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610" w:type="dxa"/>
            <w:tcBorders>
              <w:top w:val="nil"/>
              <w:left w:val="single" w:sz="4" w:space="0" w:color="auto"/>
              <w:bottom w:val="nil"/>
              <w:right w:val="nil"/>
            </w:tcBorders>
            <w:shd w:val="clear" w:color="auto" w:fill="auto"/>
            <w:noWrap/>
            <w:vAlign w:val="bottom"/>
            <w:hideMark/>
          </w:tcPr>
          <w:p w14:paraId="5DDB89A0" w14:textId="04242F6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993" w:type="dxa"/>
            <w:tcBorders>
              <w:top w:val="nil"/>
              <w:left w:val="single" w:sz="4" w:space="0" w:color="auto"/>
              <w:bottom w:val="nil"/>
              <w:right w:val="nil"/>
            </w:tcBorders>
            <w:shd w:val="clear" w:color="auto" w:fill="auto"/>
            <w:noWrap/>
            <w:vAlign w:val="bottom"/>
            <w:hideMark/>
          </w:tcPr>
          <w:p w14:paraId="4A3BB25D" w14:textId="7EE16F6D"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419" w:type="dxa"/>
            <w:tcBorders>
              <w:top w:val="nil"/>
              <w:left w:val="single" w:sz="4" w:space="0" w:color="auto"/>
              <w:bottom w:val="nil"/>
              <w:right w:val="nil"/>
            </w:tcBorders>
            <w:shd w:val="clear" w:color="auto" w:fill="auto"/>
            <w:noWrap/>
            <w:vAlign w:val="bottom"/>
            <w:hideMark/>
          </w:tcPr>
          <w:p w14:paraId="6F36818F" w14:textId="301F3E4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821" w:type="dxa"/>
            <w:tcBorders>
              <w:top w:val="nil"/>
              <w:left w:val="single" w:sz="4" w:space="0" w:color="auto"/>
              <w:bottom w:val="nil"/>
              <w:right w:val="nil"/>
            </w:tcBorders>
            <w:shd w:val="clear" w:color="auto" w:fill="auto"/>
            <w:noWrap/>
            <w:vAlign w:val="bottom"/>
            <w:hideMark/>
          </w:tcPr>
          <w:p w14:paraId="19153ABF" w14:textId="30A258B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37" w:type="dxa"/>
            <w:tcBorders>
              <w:top w:val="nil"/>
              <w:left w:val="single" w:sz="4" w:space="0" w:color="auto"/>
              <w:bottom w:val="nil"/>
              <w:right w:val="nil"/>
            </w:tcBorders>
            <w:shd w:val="clear" w:color="auto" w:fill="auto"/>
            <w:noWrap/>
            <w:vAlign w:val="bottom"/>
            <w:hideMark/>
          </w:tcPr>
          <w:p w14:paraId="5E7B6529" w14:textId="2E35DDC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263" w:type="dxa"/>
            <w:tcBorders>
              <w:top w:val="nil"/>
              <w:left w:val="single" w:sz="4" w:space="0" w:color="auto"/>
              <w:bottom w:val="nil"/>
              <w:right w:val="nil"/>
            </w:tcBorders>
            <w:shd w:val="clear" w:color="auto" w:fill="auto"/>
            <w:noWrap/>
            <w:vAlign w:val="bottom"/>
            <w:hideMark/>
          </w:tcPr>
          <w:p w14:paraId="3EE4C371" w14:textId="17440F8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697" w:type="dxa"/>
            <w:tcBorders>
              <w:top w:val="nil"/>
              <w:left w:val="single" w:sz="4" w:space="0" w:color="auto"/>
              <w:bottom w:val="nil"/>
              <w:right w:val="single" w:sz="4" w:space="0" w:color="auto"/>
            </w:tcBorders>
            <w:shd w:val="clear" w:color="auto" w:fill="auto"/>
            <w:noWrap/>
            <w:vAlign w:val="bottom"/>
            <w:hideMark/>
          </w:tcPr>
          <w:p w14:paraId="692A8EF4" w14:textId="1E5B5FC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24</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r>
      <w:tr w:rsidR="00B40900" w:rsidRPr="00357869" w14:paraId="65521E93"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4549EF99"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1022" w:type="dxa"/>
            <w:tcBorders>
              <w:top w:val="nil"/>
              <w:left w:val="nil"/>
              <w:bottom w:val="nil"/>
              <w:right w:val="nil"/>
            </w:tcBorders>
            <w:shd w:val="clear" w:color="auto" w:fill="auto"/>
            <w:noWrap/>
            <w:vAlign w:val="bottom"/>
            <w:hideMark/>
          </w:tcPr>
          <w:p w14:paraId="4079AD3A" w14:textId="058063D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759" w:type="dxa"/>
            <w:tcBorders>
              <w:top w:val="nil"/>
              <w:left w:val="single" w:sz="4" w:space="0" w:color="auto"/>
              <w:bottom w:val="nil"/>
              <w:right w:val="nil"/>
            </w:tcBorders>
            <w:shd w:val="clear" w:color="auto" w:fill="auto"/>
            <w:noWrap/>
            <w:vAlign w:val="bottom"/>
            <w:hideMark/>
          </w:tcPr>
          <w:p w14:paraId="16F77273" w14:textId="2AA64542"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821" w:type="dxa"/>
            <w:tcBorders>
              <w:top w:val="nil"/>
              <w:left w:val="single" w:sz="4" w:space="0" w:color="auto"/>
              <w:bottom w:val="nil"/>
              <w:right w:val="nil"/>
            </w:tcBorders>
            <w:shd w:val="clear" w:color="auto" w:fill="auto"/>
            <w:noWrap/>
            <w:vAlign w:val="bottom"/>
            <w:hideMark/>
          </w:tcPr>
          <w:p w14:paraId="2DEE5A3B" w14:textId="08C972D2"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37" w:type="dxa"/>
            <w:tcBorders>
              <w:top w:val="nil"/>
              <w:left w:val="single" w:sz="4" w:space="0" w:color="auto"/>
              <w:bottom w:val="nil"/>
              <w:right w:val="nil"/>
            </w:tcBorders>
            <w:shd w:val="clear" w:color="auto" w:fill="auto"/>
            <w:noWrap/>
            <w:vAlign w:val="bottom"/>
            <w:hideMark/>
          </w:tcPr>
          <w:p w14:paraId="2C08429B" w14:textId="358D7625"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263" w:type="dxa"/>
            <w:tcBorders>
              <w:top w:val="nil"/>
              <w:left w:val="single" w:sz="4" w:space="0" w:color="auto"/>
              <w:bottom w:val="nil"/>
              <w:right w:val="nil"/>
            </w:tcBorders>
            <w:shd w:val="clear" w:color="auto" w:fill="auto"/>
            <w:noWrap/>
            <w:vAlign w:val="bottom"/>
            <w:hideMark/>
          </w:tcPr>
          <w:p w14:paraId="53EFFE7D" w14:textId="2F44F1BD"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610" w:type="dxa"/>
            <w:tcBorders>
              <w:top w:val="nil"/>
              <w:left w:val="single" w:sz="4" w:space="0" w:color="auto"/>
              <w:bottom w:val="nil"/>
              <w:right w:val="nil"/>
            </w:tcBorders>
            <w:shd w:val="clear" w:color="auto" w:fill="auto"/>
            <w:noWrap/>
            <w:vAlign w:val="bottom"/>
            <w:hideMark/>
          </w:tcPr>
          <w:p w14:paraId="3902D482" w14:textId="65B9EB8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993" w:type="dxa"/>
            <w:tcBorders>
              <w:top w:val="nil"/>
              <w:left w:val="single" w:sz="4" w:space="0" w:color="auto"/>
              <w:bottom w:val="nil"/>
              <w:right w:val="nil"/>
            </w:tcBorders>
            <w:shd w:val="clear" w:color="auto" w:fill="auto"/>
            <w:noWrap/>
            <w:vAlign w:val="bottom"/>
            <w:hideMark/>
          </w:tcPr>
          <w:p w14:paraId="3C9F4390" w14:textId="6FECBF06"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419" w:type="dxa"/>
            <w:tcBorders>
              <w:top w:val="nil"/>
              <w:left w:val="single" w:sz="4" w:space="0" w:color="auto"/>
              <w:bottom w:val="nil"/>
              <w:right w:val="nil"/>
            </w:tcBorders>
            <w:shd w:val="clear" w:color="auto" w:fill="auto"/>
            <w:noWrap/>
            <w:vAlign w:val="bottom"/>
            <w:hideMark/>
          </w:tcPr>
          <w:p w14:paraId="44EFB7F7" w14:textId="2609763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821" w:type="dxa"/>
            <w:tcBorders>
              <w:top w:val="nil"/>
              <w:left w:val="single" w:sz="4" w:space="0" w:color="auto"/>
              <w:bottom w:val="nil"/>
              <w:right w:val="nil"/>
            </w:tcBorders>
            <w:shd w:val="clear" w:color="auto" w:fill="auto"/>
            <w:noWrap/>
            <w:vAlign w:val="bottom"/>
            <w:hideMark/>
          </w:tcPr>
          <w:p w14:paraId="3B71519A" w14:textId="5F50B96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37" w:type="dxa"/>
            <w:tcBorders>
              <w:top w:val="nil"/>
              <w:left w:val="single" w:sz="4" w:space="0" w:color="auto"/>
              <w:bottom w:val="nil"/>
              <w:right w:val="nil"/>
            </w:tcBorders>
            <w:shd w:val="clear" w:color="auto" w:fill="auto"/>
            <w:noWrap/>
            <w:vAlign w:val="bottom"/>
            <w:hideMark/>
          </w:tcPr>
          <w:p w14:paraId="055456BE" w14:textId="7E2900B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263" w:type="dxa"/>
            <w:tcBorders>
              <w:top w:val="nil"/>
              <w:left w:val="single" w:sz="4" w:space="0" w:color="auto"/>
              <w:bottom w:val="nil"/>
              <w:right w:val="nil"/>
            </w:tcBorders>
            <w:shd w:val="clear" w:color="auto" w:fill="auto"/>
            <w:noWrap/>
            <w:vAlign w:val="bottom"/>
            <w:hideMark/>
          </w:tcPr>
          <w:p w14:paraId="0F9069AE" w14:textId="49A5430D"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697" w:type="dxa"/>
            <w:tcBorders>
              <w:top w:val="nil"/>
              <w:left w:val="single" w:sz="4" w:space="0" w:color="auto"/>
              <w:bottom w:val="nil"/>
              <w:right w:val="single" w:sz="4" w:space="0" w:color="auto"/>
            </w:tcBorders>
            <w:shd w:val="clear" w:color="auto" w:fill="auto"/>
            <w:noWrap/>
            <w:vAlign w:val="bottom"/>
            <w:hideMark/>
          </w:tcPr>
          <w:p w14:paraId="3232E398" w14:textId="747EB76C"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26</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r>
      <w:tr w:rsidR="00B40900" w:rsidRPr="00357869" w14:paraId="308448A0"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1A6BDDDF"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1022" w:type="dxa"/>
            <w:tcBorders>
              <w:top w:val="nil"/>
              <w:left w:val="nil"/>
              <w:bottom w:val="nil"/>
              <w:right w:val="nil"/>
            </w:tcBorders>
            <w:shd w:val="clear" w:color="auto" w:fill="auto"/>
            <w:noWrap/>
            <w:vAlign w:val="bottom"/>
            <w:hideMark/>
          </w:tcPr>
          <w:p w14:paraId="372B8024" w14:textId="53A9E62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69</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759" w:type="dxa"/>
            <w:tcBorders>
              <w:top w:val="nil"/>
              <w:left w:val="single" w:sz="4" w:space="0" w:color="auto"/>
              <w:bottom w:val="nil"/>
              <w:right w:val="nil"/>
            </w:tcBorders>
            <w:shd w:val="clear" w:color="auto" w:fill="auto"/>
            <w:noWrap/>
            <w:vAlign w:val="bottom"/>
            <w:hideMark/>
          </w:tcPr>
          <w:p w14:paraId="1ADFAD89" w14:textId="51E9DE4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821" w:type="dxa"/>
            <w:tcBorders>
              <w:top w:val="nil"/>
              <w:left w:val="single" w:sz="4" w:space="0" w:color="auto"/>
              <w:bottom w:val="nil"/>
              <w:right w:val="nil"/>
            </w:tcBorders>
            <w:shd w:val="clear" w:color="auto" w:fill="auto"/>
            <w:noWrap/>
            <w:vAlign w:val="bottom"/>
            <w:hideMark/>
          </w:tcPr>
          <w:p w14:paraId="12112D0D" w14:textId="236093E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55</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037" w:type="dxa"/>
            <w:tcBorders>
              <w:top w:val="nil"/>
              <w:left w:val="single" w:sz="4" w:space="0" w:color="auto"/>
              <w:bottom w:val="nil"/>
              <w:right w:val="nil"/>
            </w:tcBorders>
            <w:shd w:val="clear" w:color="auto" w:fill="auto"/>
            <w:noWrap/>
            <w:vAlign w:val="bottom"/>
            <w:hideMark/>
          </w:tcPr>
          <w:p w14:paraId="37F9FBC1" w14:textId="554A8A6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263" w:type="dxa"/>
            <w:tcBorders>
              <w:top w:val="nil"/>
              <w:left w:val="single" w:sz="4" w:space="0" w:color="auto"/>
              <w:bottom w:val="nil"/>
              <w:right w:val="nil"/>
            </w:tcBorders>
            <w:shd w:val="clear" w:color="auto" w:fill="auto"/>
            <w:noWrap/>
            <w:vAlign w:val="bottom"/>
            <w:hideMark/>
          </w:tcPr>
          <w:p w14:paraId="0C3BDF27" w14:textId="46B40FC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610" w:type="dxa"/>
            <w:tcBorders>
              <w:top w:val="nil"/>
              <w:left w:val="single" w:sz="4" w:space="0" w:color="auto"/>
              <w:bottom w:val="nil"/>
              <w:right w:val="nil"/>
            </w:tcBorders>
            <w:shd w:val="clear" w:color="auto" w:fill="auto"/>
            <w:noWrap/>
            <w:vAlign w:val="bottom"/>
            <w:hideMark/>
          </w:tcPr>
          <w:p w14:paraId="6FEC8BF2" w14:textId="1C4F6C1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993" w:type="dxa"/>
            <w:tcBorders>
              <w:top w:val="nil"/>
              <w:left w:val="single" w:sz="4" w:space="0" w:color="auto"/>
              <w:bottom w:val="nil"/>
              <w:right w:val="nil"/>
            </w:tcBorders>
            <w:shd w:val="clear" w:color="auto" w:fill="auto"/>
            <w:noWrap/>
            <w:vAlign w:val="bottom"/>
            <w:hideMark/>
          </w:tcPr>
          <w:p w14:paraId="60C1A644" w14:textId="212D895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419" w:type="dxa"/>
            <w:tcBorders>
              <w:top w:val="nil"/>
              <w:left w:val="single" w:sz="4" w:space="0" w:color="auto"/>
              <w:bottom w:val="nil"/>
              <w:right w:val="nil"/>
            </w:tcBorders>
            <w:shd w:val="clear" w:color="auto" w:fill="auto"/>
            <w:noWrap/>
            <w:vAlign w:val="bottom"/>
            <w:hideMark/>
          </w:tcPr>
          <w:p w14:paraId="00147984" w14:textId="3FBDB88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821" w:type="dxa"/>
            <w:tcBorders>
              <w:top w:val="nil"/>
              <w:left w:val="single" w:sz="4" w:space="0" w:color="auto"/>
              <w:bottom w:val="nil"/>
              <w:right w:val="nil"/>
            </w:tcBorders>
            <w:shd w:val="clear" w:color="auto" w:fill="auto"/>
            <w:noWrap/>
            <w:vAlign w:val="bottom"/>
            <w:hideMark/>
          </w:tcPr>
          <w:p w14:paraId="2C866544" w14:textId="4E303616"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37" w:type="dxa"/>
            <w:tcBorders>
              <w:top w:val="nil"/>
              <w:left w:val="single" w:sz="4" w:space="0" w:color="auto"/>
              <w:bottom w:val="nil"/>
              <w:right w:val="nil"/>
            </w:tcBorders>
            <w:shd w:val="clear" w:color="auto" w:fill="auto"/>
            <w:noWrap/>
            <w:vAlign w:val="bottom"/>
            <w:hideMark/>
          </w:tcPr>
          <w:p w14:paraId="3AE7B0E8" w14:textId="1C99848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263" w:type="dxa"/>
            <w:tcBorders>
              <w:top w:val="nil"/>
              <w:left w:val="single" w:sz="4" w:space="0" w:color="auto"/>
              <w:bottom w:val="nil"/>
              <w:right w:val="nil"/>
            </w:tcBorders>
            <w:shd w:val="clear" w:color="auto" w:fill="auto"/>
            <w:noWrap/>
            <w:vAlign w:val="bottom"/>
            <w:hideMark/>
          </w:tcPr>
          <w:p w14:paraId="657A752B" w14:textId="2C770F1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697" w:type="dxa"/>
            <w:tcBorders>
              <w:top w:val="nil"/>
              <w:left w:val="single" w:sz="4" w:space="0" w:color="auto"/>
              <w:bottom w:val="nil"/>
              <w:right w:val="single" w:sz="4" w:space="0" w:color="auto"/>
            </w:tcBorders>
            <w:shd w:val="clear" w:color="auto" w:fill="auto"/>
            <w:noWrap/>
            <w:vAlign w:val="bottom"/>
            <w:hideMark/>
          </w:tcPr>
          <w:p w14:paraId="25EDD800" w14:textId="5F6209F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r>
      <w:tr w:rsidR="00B40900" w:rsidRPr="00357869" w14:paraId="3CBC43FD" w14:textId="77777777" w:rsidTr="007A5D49">
        <w:trPr>
          <w:trHeight w:val="26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DE2E6AF" w14:textId="7777777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c>
          <w:tcPr>
            <w:tcW w:w="1022" w:type="dxa"/>
            <w:tcBorders>
              <w:top w:val="nil"/>
              <w:left w:val="nil"/>
              <w:bottom w:val="single" w:sz="4" w:space="0" w:color="auto"/>
              <w:right w:val="nil"/>
            </w:tcBorders>
            <w:shd w:val="clear" w:color="auto" w:fill="auto"/>
            <w:noWrap/>
            <w:vAlign w:val="bottom"/>
            <w:hideMark/>
          </w:tcPr>
          <w:p w14:paraId="64B8A921" w14:textId="64B0C764"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759" w:type="dxa"/>
            <w:tcBorders>
              <w:top w:val="nil"/>
              <w:left w:val="single" w:sz="4" w:space="0" w:color="auto"/>
              <w:bottom w:val="single" w:sz="4" w:space="0" w:color="auto"/>
              <w:right w:val="nil"/>
            </w:tcBorders>
            <w:shd w:val="clear" w:color="auto" w:fill="auto"/>
            <w:noWrap/>
            <w:vAlign w:val="bottom"/>
            <w:hideMark/>
          </w:tcPr>
          <w:p w14:paraId="1B3D43DD" w14:textId="2306E52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821" w:type="dxa"/>
            <w:tcBorders>
              <w:top w:val="nil"/>
              <w:left w:val="single" w:sz="4" w:space="0" w:color="auto"/>
              <w:bottom w:val="single" w:sz="4" w:space="0" w:color="auto"/>
              <w:right w:val="nil"/>
            </w:tcBorders>
            <w:shd w:val="clear" w:color="auto" w:fill="auto"/>
            <w:noWrap/>
            <w:vAlign w:val="bottom"/>
            <w:hideMark/>
          </w:tcPr>
          <w:p w14:paraId="186125D7" w14:textId="0F784406"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55</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037" w:type="dxa"/>
            <w:tcBorders>
              <w:top w:val="nil"/>
              <w:left w:val="single" w:sz="4" w:space="0" w:color="auto"/>
              <w:bottom w:val="single" w:sz="4" w:space="0" w:color="auto"/>
              <w:right w:val="nil"/>
            </w:tcBorders>
            <w:shd w:val="clear" w:color="auto" w:fill="auto"/>
            <w:noWrap/>
            <w:vAlign w:val="bottom"/>
            <w:hideMark/>
          </w:tcPr>
          <w:p w14:paraId="61F5778E" w14:textId="2179202B"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263" w:type="dxa"/>
            <w:tcBorders>
              <w:top w:val="nil"/>
              <w:left w:val="single" w:sz="4" w:space="0" w:color="auto"/>
              <w:bottom w:val="single" w:sz="4" w:space="0" w:color="auto"/>
              <w:right w:val="nil"/>
            </w:tcBorders>
            <w:shd w:val="clear" w:color="auto" w:fill="auto"/>
            <w:noWrap/>
            <w:vAlign w:val="bottom"/>
            <w:hideMark/>
          </w:tcPr>
          <w:p w14:paraId="20F8633F" w14:textId="5FC104C9"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12</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610" w:type="dxa"/>
            <w:tcBorders>
              <w:top w:val="nil"/>
              <w:left w:val="single" w:sz="4" w:space="0" w:color="auto"/>
              <w:bottom w:val="single" w:sz="4" w:space="0" w:color="auto"/>
              <w:right w:val="nil"/>
            </w:tcBorders>
            <w:shd w:val="clear" w:color="auto" w:fill="auto"/>
            <w:noWrap/>
            <w:vAlign w:val="bottom"/>
            <w:hideMark/>
          </w:tcPr>
          <w:p w14:paraId="7404277F" w14:textId="04ACCA83"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993" w:type="dxa"/>
            <w:tcBorders>
              <w:top w:val="nil"/>
              <w:left w:val="single" w:sz="4" w:space="0" w:color="auto"/>
              <w:bottom w:val="single" w:sz="4" w:space="0" w:color="auto"/>
              <w:right w:val="nil"/>
            </w:tcBorders>
            <w:shd w:val="clear" w:color="auto" w:fill="auto"/>
            <w:noWrap/>
            <w:vAlign w:val="bottom"/>
            <w:hideMark/>
          </w:tcPr>
          <w:p w14:paraId="5E6C3B81" w14:textId="35A05431"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31</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419" w:type="dxa"/>
            <w:tcBorders>
              <w:top w:val="nil"/>
              <w:left w:val="single" w:sz="4" w:space="0" w:color="auto"/>
              <w:bottom w:val="single" w:sz="4" w:space="0" w:color="auto"/>
              <w:right w:val="nil"/>
            </w:tcBorders>
            <w:shd w:val="clear" w:color="auto" w:fill="auto"/>
            <w:noWrap/>
            <w:vAlign w:val="bottom"/>
            <w:hideMark/>
          </w:tcPr>
          <w:p w14:paraId="7933B42D" w14:textId="165F1DFA"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821" w:type="dxa"/>
            <w:tcBorders>
              <w:top w:val="nil"/>
              <w:left w:val="single" w:sz="4" w:space="0" w:color="auto"/>
              <w:bottom w:val="single" w:sz="4" w:space="0" w:color="auto"/>
              <w:right w:val="nil"/>
            </w:tcBorders>
            <w:shd w:val="clear" w:color="auto" w:fill="auto"/>
            <w:noWrap/>
            <w:vAlign w:val="bottom"/>
            <w:hideMark/>
          </w:tcPr>
          <w:p w14:paraId="4F942D44" w14:textId="5B4AF4C7"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037" w:type="dxa"/>
            <w:tcBorders>
              <w:top w:val="nil"/>
              <w:left w:val="single" w:sz="4" w:space="0" w:color="auto"/>
              <w:bottom w:val="single" w:sz="4" w:space="0" w:color="auto"/>
              <w:right w:val="nil"/>
            </w:tcBorders>
            <w:shd w:val="clear" w:color="auto" w:fill="auto"/>
            <w:noWrap/>
            <w:vAlign w:val="bottom"/>
            <w:hideMark/>
          </w:tcPr>
          <w:p w14:paraId="02995A8E" w14:textId="637347D8"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263" w:type="dxa"/>
            <w:tcBorders>
              <w:top w:val="nil"/>
              <w:left w:val="single" w:sz="4" w:space="0" w:color="auto"/>
              <w:bottom w:val="single" w:sz="4" w:space="0" w:color="auto"/>
              <w:right w:val="nil"/>
            </w:tcBorders>
            <w:shd w:val="clear" w:color="auto" w:fill="auto"/>
            <w:noWrap/>
            <w:vAlign w:val="bottom"/>
            <w:hideMark/>
          </w:tcPr>
          <w:p w14:paraId="5033ACB0" w14:textId="5C89EAF0"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6974B122" w14:textId="4AF1842E" w:rsidR="00B40900" w:rsidRPr="00357869" w:rsidRDefault="00B40900" w:rsidP="007A5D4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28</w:t>
            </w:r>
            <w:r w:rsidR="00973804"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bl>
    <w:p w14:paraId="6A32AA7D" w14:textId="77777777" w:rsidR="0026251E" w:rsidRPr="00357869" w:rsidRDefault="0026251E" w:rsidP="0026251E">
      <w:pPr>
        <w:tabs>
          <w:tab w:val="left" w:pos="3005"/>
        </w:tabs>
        <w:jc w:val="both"/>
        <w:rPr>
          <w:rFonts w:ascii="Calibri" w:hAnsi="Calibri" w:cs="Calibri"/>
          <w:b/>
          <w:lang w:val="en-US"/>
        </w:rPr>
      </w:pPr>
    </w:p>
    <w:p w14:paraId="33320DEB" w14:textId="2450D7FE" w:rsidR="00843581" w:rsidRPr="00357869" w:rsidRDefault="00973804" w:rsidP="00E814A3">
      <w:pPr>
        <w:tabs>
          <w:tab w:val="left" w:pos="3005"/>
        </w:tabs>
        <w:jc w:val="both"/>
        <w:outlineLvl w:val="0"/>
        <w:rPr>
          <w:rFonts w:ascii="Calibri" w:hAnsi="Calibri" w:cs="Calibri"/>
          <w:lang w:val="en-US"/>
        </w:rPr>
      </w:pPr>
      <w:r w:rsidRPr="00357869">
        <w:rPr>
          <w:rFonts w:ascii="Calibri" w:hAnsi="Calibri" w:cs="Calibri"/>
          <w:b/>
          <w:lang w:val="en-US"/>
        </w:rPr>
        <w:t>Annexed Table</w:t>
      </w:r>
      <w:r w:rsidR="0026251E" w:rsidRPr="00357869">
        <w:rPr>
          <w:rFonts w:ascii="Calibri" w:hAnsi="Calibri" w:cs="Calibri"/>
          <w:b/>
          <w:lang w:val="en-US"/>
        </w:rPr>
        <w:t xml:space="preserve"> 4: </w:t>
      </w:r>
      <w:r w:rsidRPr="00357869">
        <w:rPr>
          <w:rFonts w:ascii="Calibri" w:hAnsi="Calibri" w:cs="Calibri"/>
          <w:b/>
          <w:lang w:val="en-US"/>
        </w:rPr>
        <w:t xml:space="preserve">The share of men in employment by educational level </w:t>
      </w:r>
      <w:r w:rsidR="0026251E" w:rsidRPr="00357869">
        <w:rPr>
          <w:rFonts w:ascii="Calibri" w:hAnsi="Calibri" w:cs="Calibri"/>
          <w:b/>
          <w:lang w:val="en-US"/>
        </w:rPr>
        <w:t xml:space="preserve">(%) (15-64 </w:t>
      </w:r>
      <w:proofErr w:type="spellStart"/>
      <w:r w:rsidR="0026251E" w:rsidRPr="00357869">
        <w:rPr>
          <w:rFonts w:ascii="Calibri" w:hAnsi="Calibri" w:cs="Calibri"/>
          <w:b/>
          <w:lang w:val="en-US"/>
        </w:rPr>
        <w:t>yaş</w:t>
      </w:r>
      <w:proofErr w:type="spellEnd"/>
      <w:r w:rsidR="0026251E" w:rsidRPr="00357869">
        <w:rPr>
          <w:rFonts w:ascii="Calibri" w:hAnsi="Calibri" w:cs="Calibri"/>
          <w:b/>
          <w:lang w:val="en-US"/>
        </w:rPr>
        <w:t>, 2005-2017)</w:t>
      </w:r>
    </w:p>
    <w:p w14:paraId="7170BB55" w14:textId="77777777" w:rsidR="00507D57" w:rsidRPr="00357869" w:rsidRDefault="00507D57" w:rsidP="00507D57">
      <w:pPr>
        <w:tabs>
          <w:tab w:val="left" w:pos="3005"/>
        </w:tabs>
        <w:jc w:val="both"/>
        <w:rPr>
          <w:rFonts w:ascii="Calibri" w:hAnsi="Calibri" w:cs="Calibri"/>
          <w:lang w:val="en-US"/>
        </w:rPr>
      </w:pPr>
    </w:p>
    <w:p w14:paraId="4EC2F97A" w14:textId="3C426B49" w:rsidR="00E06742" w:rsidRPr="00357869" w:rsidRDefault="004F3664" w:rsidP="00D246A8">
      <w:pPr>
        <w:tabs>
          <w:tab w:val="left" w:pos="3005"/>
        </w:tabs>
        <w:jc w:val="both"/>
        <w:rPr>
          <w:rFonts w:ascii="Calibri" w:hAnsi="Calibri" w:cs="Calibri"/>
          <w:sz w:val="18"/>
          <w:szCs w:val="18"/>
          <w:lang w:val="en-US"/>
        </w:rPr>
        <w:sectPr w:rsidR="00E06742" w:rsidRPr="00357869" w:rsidSect="00FD4DCC">
          <w:pgSz w:w="16838" w:h="11906" w:orient="landscape"/>
          <w:pgMar w:top="1417" w:right="1417" w:bottom="1417" w:left="1417" w:header="708" w:footer="708" w:gutter="0"/>
          <w:cols w:space="708"/>
          <w:docGrid w:linePitch="360"/>
        </w:sect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Pr="00357869">
        <w:rPr>
          <w:rFonts w:ascii="Calibri" w:hAnsi="Calibri" w:cs="Calibri"/>
          <w:sz w:val="18"/>
          <w:szCs w:val="18"/>
          <w:lang w:val="en-US"/>
        </w:rPr>
        <w:t>, HLFS micro data, 2005-2017</w:t>
      </w:r>
    </w:p>
    <w:p w14:paraId="118414C9" w14:textId="4244A727" w:rsidR="00212B36" w:rsidRPr="00357869" w:rsidRDefault="00A30683" w:rsidP="00212B36">
      <w:pPr>
        <w:tabs>
          <w:tab w:val="left" w:pos="3005"/>
        </w:tabs>
        <w:jc w:val="both"/>
        <w:rPr>
          <w:rFonts w:ascii="Calibri" w:hAnsi="Calibri" w:cs="Calibri"/>
          <w:b/>
          <w:lang w:val="en-US"/>
        </w:rPr>
      </w:pPr>
      <w:r w:rsidRPr="00357869">
        <w:rPr>
          <w:rFonts w:ascii="Calibri" w:hAnsi="Calibri" w:cs="Calibri"/>
          <w:b/>
          <w:lang w:val="en-US"/>
        </w:rPr>
        <w:lastRenderedPageBreak/>
        <w:t>Annexed Table</w:t>
      </w:r>
      <w:r w:rsidR="00212B36" w:rsidRPr="00357869">
        <w:rPr>
          <w:rFonts w:ascii="Calibri" w:hAnsi="Calibri" w:cs="Calibri"/>
          <w:b/>
          <w:lang w:val="en-US"/>
        </w:rPr>
        <w:t xml:space="preserve"> </w:t>
      </w:r>
      <w:r w:rsidR="00D246A8" w:rsidRPr="00357869">
        <w:rPr>
          <w:rFonts w:ascii="Calibri" w:hAnsi="Calibri" w:cs="Calibri"/>
          <w:b/>
          <w:lang w:val="en-US"/>
        </w:rPr>
        <w:t>5</w:t>
      </w:r>
      <w:r w:rsidR="00212B36" w:rsidRPr="00357869">
        <w:rPr>
          <w:rFonts w:ascii="Calibri" w:hAnsi="Calibri" w:cs="Calibri"/>
          <w:b/>
          <w:lang w:val="en-US"/>
        </w:rPr>
        <w:t>:</w:t>
      </w:r>
      <w:r w:rsidR="008207A9" w:rsidRPr="00357869">
        <w:rPr>
          <w:rFonts w:ascii="Calibri" w:hAnsi="Calibri" w:cs="Calibri"/>
          <w:b/>
          <w:lang w:val="en-US"/>
        </w:rPr>
        <w:t xml:space="preserve"> The labor force participation rate of college graduates by age groups</w:t>
      </w:r>
      <w:r w:rsidR="00212B36" w:rsidRPr="00357869">
        <w:rPr>
          <w:rFonts w:ascii="Calibri" w:hAnsi="Calibri" w:cs="Calibri"/>
          <w:b/>
          <w:lang w:val="en-US"/>
        </w:rPr>
        <w:t xml:space="preserve"> (%) (</w:t>
      </w:r>
      <w:r w:rsidR="00B63C0F" w:rsidRPr="00357869">
        <w:rPr>
          <w:rFonts w:ascii="Calibri" w:hAnsi="Calibri" w:cs="Calibri"/>
          <w:b/>
          <w:lang w:val="en-US"/>
        </w:rPr>
        <w:t>2005-</w:t>
      </w:r>
      <w:r w:rsidR="00212B36" w:rsidRPr="00357869">
        <w:rPr>
          <w:rFonts w:ascii="Calibri" w:hAnsi="Calibri" w:cs="Calibri"/>
          <w:b/>
          <w:lang w:val="en-US"/>
        </w:rPr>
        <w:t>2017)</w:t>
      </w:r>
      <w:r w:rsidR="007D32AC" w:rsidRPr="00357869">
        <w:rPr>
          <w:rFonts w:ascii="Calibri" w:hAnsi="Calibri" w:cs="Calibri"/>
          <w:lang w:val="en-US"/>
        </w:rPr>
        <w:tab/>
      </w:r>
    </w:p>
    <w:tbl>
      <w:tblPr>
        <w:tblW w:w="9173" w:type="dxa"/>
        <w:tblLook w:val="04A0" w:firstRow="1" w:lastRow="0" w:firstColumn="1" w:lastColumn="0" w:noHBand="0" w:noVBand="1"/>
      </w:tblPr>
      <w:tblGrid>
        <w:gridCol w:w="2976"/>
        <w:gridCol w:w="1105"/>
        <w:gridCol w:w="1014"/>
        <w:gridCol w:w="1025"/>
        <w:gridCol w:w="1014"/>
        <w:gridCol w:w="1025"/>
        <w:gridCol w:w="1014"/>
      </w:tblGrid>
      <w:tr w:rsidR="006504C9" w:rsidRPr="00357869" w14:paraId="1C05AF35" w14:textId="77777777" w:rsidTr="00DF4A31">
        <w:trPr>
          <w:trHeight w:val="261"/>
        </w:trPr>
        <w:tc>
          <w:tcPr>
            <w:tcW w:w="2976" w:type="dxa"/>
            <w:tcBorders>
              <w:top w:val="single" w:sz="4" w:space="0" w:color="auto"/>
              <w:left w:val="single" w:sz="4" w:space="0" w:color="auto"/>
              <w:bottom w:val="nil"/>
              <w:right w:val="nil"/>
            </w:tcBorders>
            <w:shd w:val="clear" w:color="auto" w:fill="auto"/>
            <w:noWrap/>
            <w:vAlign w:val="bottom"/>
            <w:hideMark/>
          </w:tcPr>
          <w:p w14:paraId="22382713" w14:textId="57AA2EBC" w:rsidR="006504C9" w:rsidRPr="00357869" w:rsidRDefault="00A0422D"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College LFP</w:t>
            </w:r>
            <w:r w:rsidR="006504C9" w:rsidRPr="00357869">
              <w:rPr>
                <w:rFonts w:ascii="Calibri" w:eastAsia="Times New Roman" w:hAnsi="Calibri" w:cs="Calibri"/>
                <w:color w:val="000000"/>
                <w:lang w:val="en-US" w:eastAsia="en-GB"/>
              </w:rPr>
              <w:t xml:space="preserve"> (%)</w:t>
            </w:r>
          </w:p>
        </w:tc>
        <w:tc>
          <w:tcPr>
            <w:tcW w:w="21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3FBFC5"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20-29</w:t>
            </w:r>
          </w:p>
        </w:tc>
        <w:tc>
          <w:tcPr>
            <w:tcW w:w="203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ACC76D"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30-44</w:t>
            </w:r>
          </w:p>
        </w:tc>
        <w:tc>
          <w:tcPr>
            <w:tcW w:w="203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6B78CA"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45-64</w:t>
            </w:r>
          </w:p>
        </w:tc>
      </w:tr>
      <w:tr w:rsidR="00A0422D" w:rsidRPr="00357869" w14:paraId="4B380AE7"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211F4538" w14:textId="77777777" w:rsidR="00A0422D" w:rsidRPr="00357869" w:rsidRDefault="00A0422D" w:rsidP="00A0422D">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 </w:t>
            </w:r>
          </w:p>
        </w:tc>
        <w:tc>
          <w:tcPr>
            <w:tcW w:w="1105" w:type="dxa"/>
            <w:tcBorders>
              <w:top w:val="nil"/>
              <w:left w:val="single" w:sz="4" w:space="0" w:color="auto"/>
              <w:bottom w:val="single" w:sz="4" w:space="0" w:color="auto"/>
              <w:right w:val="nil"/>
            </w:tcBorders>
            <w:shd w:val="clear" w:color="auto" w:fill="auto"/>
            <w:noWrap/>
            <w:vAlign w:val="bottom"/>
            <w:hideMark/>
          </w:tcPr>
          <w:p w14:paraId="47AF3B54" w14:textId="5E08ADBD" w:rsidR="00A0422D" w:rsidRPr="00357869" w:rsidRDefault="00A0422D" w:rsidP="00A0422D">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 xml:space="preserve">Female </w:t>
            </w:r>
          </w:p>
        </w:tc>
        <w:tc>
          <w:tcPr>
            <w:tcW w:w="1014" w:type="dxa"/>
            <w:tcBorders>
              <w:top w:val="nil"/>
              <w:left w:val="nil"/>
              <w:bottom w:val="single" w:sz="4" w:space="0" w:color="auto"/>
              <w:right w:val="single" w:sz="4" w:space="0" w:color="auto"/>
            </w:tcBorders>
            <w:shd w:val="clear" w:color="auto" w:fill="auto"/>
            <w:noWrap/>
            <w:vAlign w:val="bottom"/>
            <w:hideMark/>
          </w:tcPr>
          <w:p w14:paraId="2883D205" w14:textId="310F599B" w:rsidR="00A0422D" w:rsidRPr="00357869" w:rsidRDefault="00A0422D" w:rsidP="00A0422D">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1025" w:type="dxa"/>
            <w:tcBorders>
              <w:top w:val="nil"/>
              <w:left w:val="nil"/>
              <w:bottom w:val="single" w:sz="4" w:space="0" w:color="auto"/>
              <w:right w:val="nil"/>
            </w:tcBorders>
            <w:shd w:val="clear" w:color="auto" w:fill="auto"/>
            <w:noWrap/>
            <w:vAlign w:val="bottom"/>
            <w:hideMark/>
          </w:tcPr>
          <w:p w14:paraId="641CCEC0" w14:textId="704C7ACE" w:rsidR="00A0422D" w:rsidRPr="00357869" w:rsidRDefault="00A0422D" w:rsidP="00A0422D">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 xml:space="preserve">Female </w:t>
            </w:r>
          </w:p>
        </w:tc>
        <w:tc>
          <w:tcPr>
            <w:tcW w:w="1014" w:type="dxa"/>
            <w:tcBorders>
              <w:top w:val="nil"/>
              <w:left w:val="nil"/>
              <w:bottom w:val="single" w:sz="4" w:space="0" w:color="auto"/>
              <w:right w:val="single" w:sz="4" w:space="0" w:color="auto"/>
            </w:tcBorders>
            <w:shd w:val="clear" w:color="auto" w:fill="auto"/>
            <w:noWrap/>
            <w:vAlign w:val="bottom"/>
            <w:hideMark/>
          </w:tcPr>
          <w:p w14:paraId="403479C9" w14:textId="22AC7B9C" w:rsidR="00A0422D" w:rsidRPr="00357869" w:rsidRDefault="00A0422D" w:rsidP="00A0422D">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c>
          <w:tcPr>
            <w:tcW w:w="1025" w:type="dxa"/>
            <w:tcBorders>
              <w:top w:val="nil"/>
              <w:left w:val="nil"/>
              <w:bottom w:val="single" w:sz="4" w:space="0" w:color="auto"/>
              <w:right w:val="nil"/>
            </w:tcBorders>
            <w:shd w:val="clear" w:color="auto" w:fill="auto"/>
            <w:noWrap/>
            <w:vAlign w:val="bottom"/>
            <w:hideMark/>
          </w:tcPr>
          <w:p w14:paraId="3830EC49" w14:textId="2CBB6F2C" w:rsidR="00A0422D" w:rsidRPr="00357869" w:rsidRDefault="00A0422D" w:rsidP="00A0422D">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 xml:space="preserve">Female </w:t>
            </w:r>
          </w:p>
        </w:tc>
        <w:tc>
          <w:tcPr>
            <w:tcW w:w="1014" w:type="dxa"/>
            <w:tcBorders>
              <w:top w:val="nil"/>
              <w:left w:val="nil"/>
              <w:bottom w:val="single" w:sz="4" w:space="0" w:color="auto"/>
              <w:right w:val="single" w:sz="4" w:space="0" w:color="auto"/>
            </w:tcBorders>
            <w:shd w:val="clear" w:color="auto" w:fill="auto"/>
            <w:noWrap/>
            <w:vAlign w:val="bottom"/>
            <w:hideMark/>
          </w:tcPr>
          <w:p w14:paraId="47E5854F" w14:textId="23E092AE" w:rsidR="00A0422D" w:rsidRPr="00357869" w:rsidRDefault="00A0422D" w:rsidP="00A0422D">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Male</w:t>
            </w:r>
          </w:p>
        </w:tc>
      </w:tr>
      <w:tr w:rsidR="006504C9" w:rsidRPr="00357869" w14:paraId="28873850" w14:textId="77777777" w:rsidTr="00DF4A31">
        <w:trPr>
          <w:trHeight w:val="261"/>
        </w:trPr>
        <w:tc>
          <w:tcPr>
            <w:tcW w:w="2976" w:type="dxa"/>
            <w:tcBorders>
              <w:top w:val="single" w:sz="4" w:space="0" w:color="auto"/>
              <w:left w:val="single" w:sz="4" w:space="0" w:color="auto"/>
              <w:bottom w:val="nil"/>
              <w:right w:val="nil"/>
            </w:tcBorders>
            <w:shd w:val="clear" w:color="auto" w:fill="auto"/>
            <w:noWrap/>
            <w:vAlign w:val="bottom"/>
            <w:hideMark/>
          </w:tcPr>
          <w:p w14:paraId="40072CA4"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2005</w:t>
            </w:r>
          </w:p>
        </w:tc>
        <w:tc>
          <w:tcPr>
            <w:tcW w:w="1105" w:type="dxa"/>
            <w:tcBorders>
              <w:top w:val="nil"/>
              <w:left w:val="single" w:sz="4" w:space="0" w:color="auto"/>
              <w:bottom w:val="nil"/>
              <w:right w:val="single" w:sz="4" w:space="0" w:color="auto"/>
            </w:tcBorders>
            <w:shd w:val="clear" w:color="auto" w:fill="auto"/>
            <w:noWrap/>
            <w:vAlign w:val="bottom"/>
            <w:hideMark/>
          </w:tcPr>
          <w:p w14:paraId="6E48588E" w14:textId="01019ADA"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14" w:type="dxa"/>
            <w:tcBorders>
              <w:top w:val="nil"/>
              <w:left w:val="nil"/>
              <w:bottom w:val="nil"/>
              <w:right w:val="single" w:sz="4" w:space="0" w:color="auto"/>
            </w:tcBorders>
            <w:shd w:val="clear" w:color="auto" w:fill="auto"/>
            <w:noWrap/>
            <w:vAlign w:val="bottom"/>
            <w:hideMark/>
          </w:tcPr>
          <w:p w14:paraId="687A3CA4" w14:textId="169ABBE0"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25" w:type="dxa"/>
            <w:tcBorders>
              <w:top w:val="nil"/>
              <w:left w:val="nil"/>
              <w:bottom w:val="nil"/>
              <w:right w:val="single" w:sz="4" w:space="0" w:color="auto"/>
            </w:tcBorders>
            <w:shd w:val="clear" w:color="auto" w:fill="auto"/>
            <w:noWrap/>
            <w:vAlign w:val="bottom"/>
            <w:hideMark/>
          </w:tcPr>
          <w:p w14:paraId="34753F90" w14:textId="5A18BE6F"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14" w:type="dxa"/>
            <w:tcBorders>
              <w:top w:val="nil"/>
              <w:left w:val="nil"/>
              <w:bottom w:val="nil"/>
              <w:right w:val="single" w:sz="4" w:space="0" w:color="auto"/>
            </w:tcBorders>
            <w:shd w:val="clear" w:color="auto" w:fill="auto"/>
            <w:noWrap/>
            <w:vAlign w:val="bottom"/>
            <w:hideMark/>
          </w:tcPr>
          <w:p w14:paraId="111444F1" w14:textId="1BA1B760"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25" w:type="dxa"/>
            <w:tcBorders>
              <w:top w:val="nil"/>
              <w:left w:val="nil"/>
              <w:bottom w:val="nil"/>
              <w:right w:val="single" w:sz="4" w:space="0" w:color="auto"/>
            </w:tcBorders>
            <w:shd w:val="clear" w:color="auto" w:fill="auto"/>
            <w:noWrap/>
            <w:vAlign w:val="bottom"/>
            <w:hideMark/>
          </w:tcPr>
          <w:p w14:paraId="51A58BEB" w14:textId="1CC11EE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35</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14" w:type="dxa"/>
            <w:tcBorders>
              <w:top w:val="nil"/>
              <w:left w:val="nil"/>
              <w:bottom w:val="nil"/>
              <w:right w:val="single" w:sz="4" w:space="0" w:color="auto"/>
            </w:tcBorders>
            <w:shd w:val="clear" w:color="auto" w:fill="auto"/>
            <w:noWrap/>
            <w:vAlign w:val="bottom"/>
            <w:hideMark/>
          </w:tcPr>
          <w:p w14:paraId="56F5A351" w14:textId="0A160F7F"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6504C9" w:rsidRPr="00357869" w14:paraId="0A687C47"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66881F64"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2006</w:t>
            </w:r>
          </w:p>
        </w:tc>
        <w:tc>
          <w:tcPr>
            <w:tcW w:w="1105" w:type="dxa"/>
            <w:tcBorders>
              <w:top w:val="nil"/>
              <w:left w:val="single" w:sz="4" w:space="0" w:color="auto"/>
              <w:bottom w:val="nil"/>
              <w:right w:val="single" w:sz="4" w:space="0" w:color="auto"/>
            </w:tcBorders>
            <w:shd w:val="clear" w:color="auto" w:fill="auto"/>
            <w:noWrap/>
            <w:vAlign w:val="bottom"/>
            <w:hideMark/>
          </w:tcPr>
          <w:p w14:paraId="0F29205D" w14:textId="115EE860"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14" w:type="dxa"/>
            <w:tcBorders>
              <w:top w:val="nil"/>
              <w:left w:val="nil"/>
              <w:bottom w:val="nil"/>
              <w:right w:val="single" w:sz="4" w:space="0" w:color="auto"/>
            </w:tcBorders>
            <w:shd w:val="clear" w:color="auto" w:fill="auto"/>
            <w:noWrap/>
            <w:vAlign w:val="bottom"/>
            <w:hideMark/>
          </w:tcPr>
          <w:p w14:paraId="37CB4BE1" w14:textId="446C269A"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25" w:type="dxa"/>
            <w:tcBorders>
              <w:top w:val="nil"/>
              <w:left w:val="nil"/>
              <w:bottom w:val="nil"/>
              <w:right w:val="single" w:sz="4" w:space="0" w:color="auto"/>
            </w:tcBorders>
            <w:shd w:val="clear" w:color="auto" w:fill="auto"/>
            <w:noWrap/>
            <w:vAlign w:val="bottom"/>
            <w:hideMark/>
          </w:tcPr>
          <w:p w14:paraId="0D2AC425" w14:textId="3824423C"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014" w:type="dxa"/>
            <w:tcBorders>
              <w:top w:val="nil"/>
              <w:left w:val="nil"/>
              <w:bottom w:val="nil"/>
              <w:right w:val="single" w:sz="4" w:space="0" w:color="auto"/>
            </w:tcBorders>
            <w:shd w:val="clear" w:color="auto" w:fill="auto"/>
            <w:noWrap/>
            <w:vAlign w:val="bottom"/>
            <w:hideMark/>
          </w:tcPr>
          <w:p w14:paraId="3CB364E8" w14:textId="438CD5CA"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025" w:type="dxa"/>
            <w:tcBorders>
              <w:top w:val="nil"/>
              <w:left w:val="nil"/>
              <w:bottom w:val="nil"/>
              <w:right w:val="single" w:sz="4" w:space="0" w:color="auto"/>
            </w:tcBorders>
            <w:shd w:val="clear" w:color="auto" w:fill="auto"/>
            <w:noWrap/>
            <w:vAlign w:val="bottom"/>
            <w:hideMark/>
          </w:tcPr>
          <w:p w14:paraId="4932EB3A" w14:textId="4CFD2A16"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34</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14" w:type="dxa"/>
            <w:tcBorders>
              <w:top w:val="nil"/>
              <w:left w:val="nil"/>
              <w:bottom w:val="nil"/>
              <w:right w:val="single" w:sz="4" w:space="0" w:color="auto"/>
            </w:tcBorders>
            <w:shd w:val="clear" w:color="auto" w:fill="auto"/>
            <w:noWrap/>
            <w:vAlign w:val="bottom"/>
            <w:hideMark/>
          </w:tcPr>
          <w:p w14:paraId="4176ECD5" w14:textId="08780F39"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r>
      <w:tr w:rsidR="006504C9" w:rsidRPr="00357869" w14:paraId="04E2C415"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65745B8D"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2007</w:t>
            </w:r>
          </w:p>
        </w:tc>
        <w:tc>
          <w:tcPr>
            <w:tcW w:w="1105" w:type="dxa"/>
            <w:tcBorders>
              <w:top w:val="nil"/>
              <w:left w:val="single" w:sz="4" w:space="0" w:color="auto"/>
              <w:bottom w:val="nil"/>
              <w:right w:val="single" w:sz="4" w:space="0" w:color="auto"/>
            </w:tcBorders>
            <w:shd w:val="clear" w:color="auto" w:fill="auto"/>
            <w:noWrap/>
            <w:vAlign w:val="bottom"/>
            <w:hideMark/>
          </w:tcPr>
          <w:p w14:paraId="3BE90D0F" w14:textId="156CD1B2"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14" w:type="dxa"/>
            <w:tcBorders>
              <w:top w:val="nil"/>
              <w:left w:val="nil"/>
              <w:bottom w:val="nil"/>
              <w:right w:val="single" w:sz="4" w:space="0" w:color="auto"/>
            </w:tcBorders>
            <w:shd w:val="clear" w:color="auto" w:fill="auto"/>
            <w:noWrap/>
            <w:vAlign w:val="bottom"/>
            <w:hideMark/>
          </w:tcPr>
          <w:p w14:paraId="76A6D44F" w14:textId="6868BABB"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025" w:type="dxa"/>
            <w:tcBorders>
              <w:top w:val="nil"/>
              <w:left w:val="nil"/>
              <w:bottom w:val="nil"/>
              <w:right w:val="single" w:sz="4" w:space="0" w:color="auto"/>
            </w:tcBorders>
            <w:shd w:val="clear" w:color="auto" w:fill="auto"/>
            <w:noWrap/>
            <w:vAlign w:val="bottom"/>
            <w:hideMark/>
          </w:tcPr>
          <w:p w14:paraId="792BCF0F" w14:textId="21119C5F"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14" w:type="dxa"/>
            <w:tcBorders>
              <w:top w:val="nil"/>
              <w:left w:val="nil"/>
              <w:bottom w:val="nil"/>
              <w:right w:val="single" w:sz="4" w:space="0" w:color="auto"/>
            </w:tcBorders>
            <w:shd w:val="clear" w:color="auto" w:fill="auto"/>
            <w:noWrap/>
            <w:vAlign w:val="bottom"/>
            <w:hideMark/>
          </w:tcPr>
          <w:p w14:paraId="20B3761A" w14:textId="5080330B"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25" w:type="dxa"/>
            <w:tcBorders>
              <w:top w:val="nil"/>
              <w:left w:val="nil"/>
              <w:bottom w:val="nil"/>
              <w:right w:val="single" w:sz="4" w:space="0" w:color="auto"/>
            </w:tcBorders>
            <w:shd w:val="clear" w:color="auto" w:fill="auto"/>
            <w:noWrap/>
            <w:vAlign w:val="bottom"/>
            <w:hideMark/>
          </w:tcPr>
          <w:p w14:paraId="1FC67C78" w14:textId="001DF473"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34</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14" w:type="dxa"/>
            <w:tcBorders>
              <w:top w:val="nil"/>
              <w:left w:val="nil"/>
              <w:bottom w:val="nil"/>
              <w:right w:val="single" w:sz="4" w:space="0" w:color="auto"/>
            </w:tcBorders>
            <w:shd w:val="clear" w:color="auto" w:fill="auto"/>
            <w:noWrap/>
            <w:vAlign w:val="bottom"/>
            <w:hideMark/>
          </w:tcPr>
          <w:p w14:paraId="1CA1C3D7" w14:textId="26ABBB34"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65</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r>
      <w:tr w:rsidR="006504C9" w:rsidRPr="00357869" w14:paraId="4970A3DE"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0A891D38"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2008</w:t>
            </w:r>
          </w:p>
        </w:tc>
        <w:tc>
          <w:tcPr>
            <w:tcW w:w="1105" w:type="dxa"/>
            <w:tcBorders>
              <w:top w:val="nil"/>
              <w:left w:val="single" w:sz="4" w:space="0" w:color="auto"/>
              <w:bottom w:val="nil"/>
              <w:right w:val="single" w:sz="4" w:space="0" w:color="auto"/>
            </w:tcBorders>
            <w:shd w:val="clear" w:color="auto" w:fill="auto"/>
            <w:noWrap/>
            <w:vAlign w:val="bottom"/>
            <w:hideMark/>
          </w:tcPr>
          <w:p w14:paraId="49329AAD" w14:textId="29B42B63"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14" w:type="dxa"/>
            <w:tcBorders>
              <w:top w:val="nil"/>
              <w:left w:val="nil"/>
              <w:bottom w:val="nil"/>
              <w:right w:val="single" w:sz="4" w:space="0" w:color="auto"/>
            </w:tcBorders>
            <w:shd w:val="clear" w:color="auto" w:fill="auto"/>
            <w:noWrap/>
            <w:vAlign w:val="bottom"/>
            <w:hideMark/>
          </w:tcPr>
          <w:p w14:paraId="3564B491" w14:textId="64EDC316"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25" w:type="dxa"/>
            <w:tcBorders>
              <w:top w:val="nil"/>
              <w:left w:val="nil"/>
              <w:bottom w:val="nil"/>
              <w:right w:val="single" w:sz="4" w:space="0" w:color="auto"/>
            </w:tcBorders>
            <w:shd w:val="clear" w:color="auto" w:fill="auto"/>
            <w:noWrap/>
            <w:vAlign w:val="bottom"/>
            <w:hideMark/>
          </w:tcPr>
          <w:p w14:paraId="736FF0B8" w14:textId="1E6058AF"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80</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14" w:type="dxa"/>
            <w:tcBorders>
              <w:top w:val="nil"/>
              <w:left w:val="nil"/>
              <w:bottom w:val="nil"/>
              <w:right w:val="single" w:sz="4" w:space="0" w:color="auto"/>
            </w:tcBorders>
            <w:shd w:val="clear" w:color="auto" w:fill="auto"/>
            <w:noWrap/>
            <w:vAlign w:val="bottom"/>
            <w:hideMark/>
          </w:tcPr>
          <w:p w14:paraId="2872BF14" w14:textId="66A9BF9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25" w:type="dxa"/>
            <w:tcBorders>
              <w:top w:val="nil"/>
              <w:left w:val="nil"/>
              <w:bottom w:val="nil"/>
              <w:right w:val="single" w:sz="4" w:space="0" w:color="auto"/>
            </w:tcBorders>
            <w:shd w:val="clear" w:color="auto" w:fill="auto"/>
            <w:noWrap/>
            <w:vAlign w:val="bottom"/>
            <w:hideMark/>
          </w:tcPr>
          <w:p w14:paraId="55191C09" w14:textId="30F0F0F3"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34</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14" w:type="dxa"/>
            <w:tcBorders>
              <w:top w:val="nil"/>
              <w:left w:val="nil"/>
              <w:bottom w:val="nil"/>
              <w:right w:val="single" w:sz="4" w:space="0" w:color="auto"/>
            </w:tcBorders>
            <w:shd w:val="clear" w:color="auto" w:fill="auto"/>
            <w:noWrap/>
            <w:vAlign w:val="bottom"/>
            <w:hideMark/>
          </w:tcPr>
          <w:p w14:paraId="3F5560D5" w14:textId="25FEE78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65</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r>
      <w:tr w:rsidR="006504C9" w:rsidRPr="00357869" w14:paraId="0FA0FCA3"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014B6959"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2009</w:t>
            </w:r>
          </w:p>
        </w:tc>
        <w:tc>
          <w:tcPr>
            <w:tcW w:w="1105" w:type="dxa"/>
            <w:tcBorders>
              <w:top w:val="nil"/>
              <w:left w:val="single" w:sz="4" w:space="0" w:color="auto"/>
              <w:bottom w:val="nil"/>
              <w:right w:val="single" w:sz="4" w:space="0" w:color="auto"/>
            </w:tcBorders>
            <w:shd w:val="clear" w:color="auto" w:fill="auto"/>
            <w:noWrap/>
            <w:vAlign w:val="bottom"/>
            <w:hideMark/>
          </w:tcPr>
          <w:p w14:paraId="45152BD0" w14:textId="39E5804C"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14" w:type="dxa"/>
            <w:tcBorders>
              <w:top w:val="nil"/>
              <w:left w:val="nil"/>
              <w:bottom w:val="nil"/>
              <w:right w:val="single" w:sz="4" w:space="0" w:color="auto"/>
            </w:tcBorders>
            <w:shd w:val="clear" w:color="auto" w:fill="auto"/>
            <w:noWrap/>
            <w:vAlign w:val="bottom"/>
            <w:hideMark/>
          </w:tcPr>
          <w:p w14:paraId="583E920B" w14:textId="6F8683A3"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25" w:type="dxa"/>
            <w:tcBorders>
              <w:top w:val="nil"/>
              <w:left w:val="nil"/>
              <w:bottom w:val="nil"/>
              <w:right w:val="single" w:sz="4" w:space="0" w:color="auto"/>
            </w:tcBorders>
            <w:shd w:val="clear" w:color="auto" w:fill="auto"/>
            <w:noWrap/>
            <w:vAlign w:val="bottom"/>
            <w:hideMark/>
          </w:tcPr>
          <w:p w14:paraId="7375A03C" w14:textId="21E6D23E"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80</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14" w:type="dxa"/>
            <w:tcBorders>
              <w:top w:val="nil"/>
              <w:left w:val="nil"/>
              <w:bottom w:val="nil"/>
              <w:right w:val="single" w:sz="4" w:space="0" w:color="auto"/>
            </w:tcBorders>
            <w:shd w:val="clear" w:color="auto" w:fill="auto"/>
            <w:noWrap/>
            <w:vAlign w:val="bottom"/>
            <w:hideMark/>
          </w:tcPr>
          <w:p w14:paraId="029121C0" w14:textId="6C088DE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025" w:type="dxa"/>
            <w:tcBorders>
              <w:top w:val="nil"/>
              <w:left w:val="nil"/>
              <w:bottom w:val="nil"/>
              <w:right w:val="single" w:sz="4" w:space="0" w:color="auto"/>
            </w:tcBorders>
            <w:shd w:val="clear" w:color="auto" w:fill="auto"/>
            <w:noWrap/>
            <w:vAlign w:val="bottom"/>
            <w:hideMark/>
          </w:tcPr>
          <w:p w14:paraId="14C87149" w14:textId="5E1B260D"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014" w:type="dxa"/>
            <w:tcBorders>
              <w:top w:val="nil"/>
              <w:left w:val="nil"/>
              <w:bottom w:val="nil"/>
              <w:right w:val="single" w:sz="4" w:space="0" w:color="auto"/>
            </w:tcBorders>
            <w:shd w:val="clear" w:color="auto" w:fill="auto"/>
            <w:noWrap/>
            <w:vAlign w:val="bottom"/>
            <w:hideMark/>
          </w:tcPr>
          <w:p w14:paraId="68AEA947" w14:textId="6BC4657D"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r>
      <w:tr w:rsidR="006504C9" w:rsidRPr="00357869" w14:paraId="5DF5E20B"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2E08A5A6"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2010</w:t>
            </w:r>
          </w:p>
        </w:tc>
        <w:tc>
          <w:tcPr>
            <w:tcW w:w="1105" w:type="dxa"/>
            <w:tcBorders>
              <w:top w:val="nil"/>
              <w:left w:val="single" w:sz="4" w:space="0" w:color="auto"/>
              <w:bottom w:val="nil"/>
              <w:right w:val="single" w:sz="4" w:space="0" w:color="auto"/>
            </w:tcBorders>
            <w:shd w:val="clear" w:color="auto" w:fill="auto"/>
            <w:noWrap/>
            <w:vAlign w:val="bottom"/>
            <w:hideMark/>
          </w:tcPr>
          <w:p w14:paraId="1CC7A022" w14:textId="200C8D69"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75</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14" w:type="dxa"/>
            <w:tcBorders>
              <w:top w:val="nil"/>
              <w:left w:val="nil"/>
              <w:bottom w:val="nil"/>
              <w:right w:val="single" w:sz="4" w:space="0" w:color="auto"/>
            </w:tcBorders>
            <w:shd w:val="clear" w:color="auto" w:fill="auto"/>
            <w:noWrap/>
            <w:vAlign w:val="bottom"/>
            <w:hideMark/>
          </w:tcPr>
          <w:p w14:paraId="3156EF20" w14:textId="50CF2BF0"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25" w:type="dxa"/>
            <w:tcBorders>
              <w:top w:val="nil"/>
              <w:left w:val="nil"/>
              <w:bottom w:val="nil"/>
              <w:right w:val="single" w:sz="4" w:space="0" w:color="auto"/>
            </w:tcBorders>
            <w:shd w:val="clear" w:color="auto" w:fill="auto"/>
            <w:noWrap/>
            <w:vAlign w:val="bottom"/>
            <w:hideMark/>
          </w:tcPr>
          <w:p w14:paraId="6F206FFF" w14:textId="362BE339"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80</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014" w:type="dxa"/>
            <w:tcBorders>
              <w:top w:val="nil"/>
              <w:left w:val="nil"/>
              <w:bottom w:val="nil"/>
              <w:right w:val="single" w:sz="4" w:space="0" w:color="auto"/>
            </w:tcBorders>
            <w:shd w:val="clear" w:color="auto" w:fill="auto"/>
            <w:noWrap/>
            <w:vAlign w:val="bottom"/>
            <w:hideMark/>
          </w:tcPr>
          <w:p w14:paraId="4A756D84" w14:textId="69F984F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025" w:type="dxa"/>
            <w:tcBorders>
              <w:top w:val="nil"/>
              <w:left w:val="nil"/>
              <w:bottom w:val="nil"/>
              <w:right w:val="single" w:sz="4" w:space="0" w:color="auto"/>
            </w:tcBorders>
            <w:shd w:val="clear" w:color="auto" w:fill="auto"/>
            <w:noWrap/>
            <w:vAlign w:val="bottom"/>
            <w:hideMark/>
          </w:tcPr>
          <w:p w14:paraId="15F73FBE" w14:textId="54F0068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39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8</w:t>
            </w:r>
          </w:p>
        </w:tc>
        <w:tc>
          <w:tcPr>
            <w:tcW w:w="1014" w:type="dxa"/>
            <w:tcBorders>
              <w:top w:val="nil"/>
              <w:left w:val="nil"/>
              <w:bottom w:val="nil"/>
              <w:right w:val="single" w:sz="4" w:space="0" w:color="auto"/>
            </w:tcBorders>
            <w:shd w:val="clear" w:color="auto" w:fill="auto"/>
            <w:noWrap/>
            <w:vAlign w:val="bottom"/>
            <w:hideMark/>
          </w:tcPr>
          <w:p w14:paraId="495506E2" w14:textId="45B8F172"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69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r>
      <w:tr w:rsidR="006504C9" w:rsidRPr="00357869" w14:paraId="2FEA5BB5"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3CEDA6F3"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2011</w:t>
            </w:r>
          </w:p>
        </w:tc>
        <w:tc>
          <w:tcPr>
            <w:tcW w:w="1105" w:type="dxa"/>
            <w:tcBorders>
              <w:top w:val="nil"/>
              <w:left w:val="single" w:sz="4" w:space="0" w:color="auto"/>
              <w:bottom w:val="nil"/>
              <w:right w:val="single" w:sz="4" w:space="0" w:color="auto"/>
            </w:tcBorders>
            <w:shd w:val="clear" w:color="auto" w:fill="auto"/>
            <w:noWrap/>
            <w:vAlign w:val="bottom"/>
            <w:hideMark/>
          </w:tcPr>
          <w:p w14:paraId="042A81C9" w14:textId="7B621480"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75</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014" w:type="dxa"/>
            <w:tcBorders>
              <w:top w:val="nil"/>
              <w:left w:val="nil"/>
              <w:bottom w:val="nil"/>
              <w:right w:val="single" w:sz="4" w:space="0" w:color="auto"/>
            </w:tcBorders>
            <w:shd w:val="clear" w:color="auto" w:fill="auto"/>
            <w:noWrap/>
            <w:vAlign w:val="bottom"/>
            <w:hideMark/>
          </w:tcPr>
          <w:p w14:paraId="6DC1B6C3" w14:textId="7113597A"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25" w:type="dxa"/>
            <w:tcBorders>
              <w:top w:val="nil"/>
              <w:left w:val="nil"/>
              <w:bottom w:val="nil"/>
              <w:right w:val="single" w:sz="4" w:space="0" w:color="auto"/>
            </w:tcBorders>
            <w:shd w:val="clear" w:color="auto" w:fill="auto"/>
            <w:noWrap/>
            <w:vAlign w:val="bottom"/>
            <w:hideMark/>
          </w:tcPr>
          <w:p w14:paraId="3B8D4044" w14:textId="117E762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14" w:type="dxa"/>
            <w:tcBorders>
              <w:top w:val="nil"/>
              <w:left w:val="nil"/>
              <w:bottom w:val="nil"/>
              <w:right w:val="single" w:sz="4" w:space="0" w:color="auto"/>
            </w:tcBorders>
            <w:shd w:val="clear" w:color="auto" w:fill="auto"/>
            <w:noWrap/>
            <w:vAlign w:val="bottom"/>
            <w:hideMark/>
          </w:tcPr>
          <w:p w14:paraId="34E73A0F" w14:textId="59451E90"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25" w:type="dxa"/>
            <w:tcBorders>
              <w:top w:val="nil"/>
              <w:left w:val="nil"/>
              <w:bottom w:val="nil"/>
              <w:right w:val="single" w:sz="4" w:space="0" w:color="auto"/>
            </w:tcBorders>
            <w:shd w:val="clear" w:color="auto" w:fill="auto"/>
            <w:noWrap/>
            <w:vAlign w:val="bottom"/>
            <w:hideMark/>
          </w:tcPr>
          <w:p w14:paraId="25AB249F" w14:textId="15B7724C"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42</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14" w:type="dxa"/>
            <w:tcBorders>
              <w:top w:val="nil"/>
              <w:left w:val="nil"/>
              <w:bottom w:val="nil"/>
              <w:right w:val="single" w:sz="4" w:space="0" w:color="auto"/>
            </w:tcBorders>
            <w:shd w:val="clear" w:color="auto" w:fill="auto"/>
            <w:noWrap/>
            <w:vAlign w:val="bottom"/>
            <w:hideMark/>
          </w:tcPr>
          <w:p w14:paraId="31A8B311" w14:textId="110B138E"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71</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r>
      <w:tr w:rsidR="006504C9" w:rsidRPr="00357869" w14:paraId="4CF28036"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4CCD0200"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2012</w:t>
            </w:r>
          </w:p>
        </w:tc>
        <w:tc>
          <w:tcPr>
            <w:tcW w:w="1105" w:type="dxa"/>
            <w:tcBorders>
              <w:top w:val="nil"/>
              <w:left w:val="single" w:sz="4" w:space="0" w:color="auto"/>
              <w:bottom w:val="nil"/>
              <w:right w:val="single" w:sz="4" w:space="0" w:color="auto"/>
            </w:tcBorders>
            <w:shd w:val="clear" w:color="auto" w:fill="auto"/>
            <w:noWrap/>
            <w:vAlign w:val="bottom"/>
            <w:hideMark/>
          </w:tcPr>
          <w:p w14:paraId="6FD28C45" w14:textId="3DD82C2F"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14" w:type="dxa"/>
            <w:tcBorders>
              <w:top w:val="nil"/>
              <w:left w:val="nil"/>
              <w:bottom w:val="nil"/>
              <w:right w:val="single" w:sz="4" w:space="0" w:color="auto"/>
            </w:tcBorders>
            <w:shd w:val="clear" w:color="auto" w:fill="auto"/>
            <w:noWrap/>
            <w:vAlign w:val="bottom"/>
            <w:hideMark/>
          </w:tcPr>
          <w:p w14:paraId="7B5C1DD6" w14:textId="5E16DE1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25" w:type="dxa"/>
            <w:tcBorders>
              <w:top w:val="nil"/>
              <w:left w:val="nil"/>
              <w:bottom w:val="nil"/>
              <w:right w:val="single" w:sz="4" w:space="0" w:color="auto"/>
            </w:tcBorders>
            <w:shd w:val="clear" w:color="auto" w:fill="auto"/>
            <w:noWrap/>
            <w:vAlign w:val="bottom"/>
            <w:hideMark/>
          </w:tcPr>
          <w:p w14:paraId="17F194CE" w14:textId="4943052F"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14" w:type="dxa"/>
            <w:tcBorders>
              <w:top w:val="nil"/>
              <w:left w:val="nil"/>
              <w:bottom w:val="nil"/>
              <w:right w:val="single" w:sz="4" w:space="0" w:color="auto"/>
            </w:tcBorders>
            <w:shd w:val="clear" w:color="auto" w:fill="auto"/>
            <w:noWrap/>
            <w:vAlign w:val="bottom"/>
            <w:hideMark/>
          </w:tcPr>
          <w:p w14:paraId="29E65244" w14:textId="211B9D79"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25" w:type="dxa"/>
            <w:tcBorders>
              <w:top w:val="nil"/>
              <w:left w:val="nil"/>
              <w:bottom w:val="nil"/>
              <w:right w:val="single" w:sz="4" w:space="0" w:color="auto"/>
            </w:tcBorders>
            <w:shd w:val="clear" w:color="auto" w:fill="auto"/>
            <w:noWrap/>
            <w:vAlign w:val="bottom"/>
            <w:hideMark/>
          </w:tcPr>
          <w:p w14:paraId="03EED3B9" w14:textId="124EA2E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14" w:type="dxa"/>
            <w:tcBorders>
              <w:top w:val="nil"/>
              <w:left w:val="nil"/>
              <w:bottom w:val="nil"/>
              <w:right w:val="single" w:sz="4" w:space="0" w:color="auto"/>
            </w:tcBorders>
            <w:shd w:val="clear" w:color="auto" w:fill="auto"/>
            <w:noWrap/>
            <w:vAlign w:val="bottom"/>
            <w:hideMark/>
          </w:tcPr>
          <w:p w14:paraId="7C3D0B96" w14:textId="53B6C225"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71</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r>
      <w:tr w:rsidR="006504C9" w:rsidRPr="00357869" w14:paraId="23CAEFA1"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0E2D883D"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2013</w:t>
            </w:r>
          </w:p>
        </w:tc>
        <w:tc>
          <w:tcPr>
            <w:tcW w:w="1105" w:type="dxa"/>
            <w:tcBorders>
              <w:top w:val="nil"/>
              <w:left w:val="single" w:sz="4" w:space="0" w:color="auto"/>
              <w:bottom w:val="nil"/>
              <w:right w:val="single" w:sz="4" w:space="0" w:color="auto"/>
            </w:tcBorders>
            <w:shd w:val="clear" w:color="auto" w:fill="auto"/>
            <w:noWrap/>
            <w:vAlign w:val="bottom"/>
            <w:hideMark/>
          </w:tcPr>
          <w:p w14:paraId="03D03FDD" w14:textId="148A7BA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75</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14" w:type="dxa"/>
            <w:tcBorders>
              <w:top w:val="nil"/>
              <w:left w:val="nil"/>
              <w:bottom w:val="nil"/>
              <w:right w:val="single" w:sz="4" w:space="0" w:color="auto"/>
            </w:tcBorders>
            <w:shd w:val="clear" w:color="auto" w:fill="auto"/>
            <w:noWrap/>
            <w:vAlign w:val="bottom"/>
            <w:hideMark/>
          </w:tcPr>
          <w:p w14:paraId="672EC17F" w14:textId="38590F29"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25" w:type="dxa"/>
            <w:tcBorders>
              <w:top w:val="nil"/>
              <w:left w:val="nil"/>
              <w:bottom w:val="nil"/>
              <w:right w:val="single" w:sz="4" w:space="0" w:color="auto"/>
            </w:tcBorders>
            <w:shd w:val="clear" w:color="auto" w:fill="auto"/>
            <w:noWrap/>
            <w:vAlign w:val="bottom"/>
            <w:hideMark/>
          </w:tcPr>
          <w:p w14:paraId="07C21888" w14:textId="6FD4A136"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80</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c>
          <w:tcPr>
            <w:tcW w:w="1014" w:type="dxa"/>
            <w:tcBorders>
              <w:top w:val="nil"/>
              <w:left w:val="nil"/>
              <w:bottom w:val="nil"/>
              <w:right w:val="single" w:sz="4" w:space="0" w:color="auto"/>
            </w:tcBorders>
            <w:shd w:val="clear" w:color="auto" w:fill="auto"/>
            <w:noWrap/>
            <w:vAlign w:val="bottom"/>
            <w:hideMark/>
          </w:tcPr>
          <w:p w14:paraId="3C33C265" w14:textId="77FB717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25" w:type="dxa"/>
            <w:tcBorders>
              <w:top w:val="nil"/>
              <w:left w:val="nil"/>
              <w:bottom w:val="nil"/>
              <w:right w:val="single" w:sz="4" w:space="0" w:color="auto"/>
            </w:tcBorders>
            <w:shd w:val="clear" w:color="auto" w:fill="auto"/>
            <w:noWrap/>
            <w:vAlign w:val="bottom"/>
            <w:hideMark/>
          </w:tcPr>
          <w:p w14:paraId="28B55DE1" w14:textId="323FC609"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c>
          <w:tcPr>
            <w:tcW w:w="1014" w:type="dxa"/>
            <w:tcBorders>
              <w:top w:val="nil"/>
              <w:left w:val="nil"/>
              <w:bottom w:val="nil"/>
              <w:right w:val="single" w:sz="4" w:space="0" w:color="auto"/>
            </w:tcBorders>
            <w:shd w:val="clear" w:color="auto" w:fill="auto"/>
            <w:noWrap/>
            <w:vAlign w:val="bottom"/>
            <w:hideMark/>
          </w:tcPr>
          <w:p w14:paraId="50DF5BA0" w14:textId="4CDE2E6C"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r>
      <w:tr w:rsidR="006504C9" w:rsidRPr="00357869" w14:paraId="06569D9A"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3B57B98C"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2014</w:t>
            </w:r>
          </w:p>
        </w:tc>
        <w:tc>
          <w:tcPr>
            <w:tcW w:w="1105" w:type="dxa"/>
            <w:tcBorders>
              <w:top w:val="nil"/>
              <w:left w:val="single" w:sz="4" w:space="0" w:color="auto"/>
              <w:bottom w:val="nil"/>
              <w:right w:val="single" w:sz="4" w:space="0" w:color="auto"/>
            </w:tcBorders>
            <w:shd w:val="clear" w:color="auto" w:fill="auto"/>
            <w:noWrap/>
            <w:vAlign w:val="bottom"/>
            <w:hideMark/>
          </w:tcPr>
          <w:p w14:paraId="2F760355" w14:textId="79E3DBDA"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14" w:type="dxa"/>
            <w:tcBorders>
              <w:top w:val="nil"/>
              <w:left w:val="nil"/>
              <w:bottom w:val="nil"/>
              <w:right w:val="single" w:sz="4" w:space="0" w:color="auto"/>
            </w:tcBorders>
            <w:shd w:val="clear" w:color="auto" w:fill="auto"/>
            <w:noWrap/>
            <w:vAlign w:val="bottom"/>
            <w:hideMark/>
          </w:tcPr>
          <w:p w14:paraId="5D6A94B1" w14:textId="153AD1D5"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85</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25" w:type="dxa"/>
            <w:tcBorders>
              <w:top w:val="nil"/>
              <w:left w:val="nil"/>
              <w:bottom w:val="nil"/>
              <w:right w:val="single" w:sz="4" w:space="0" w:color="auto"/>
            </w:tcBorders>
            <w:shd w:val="clear" w:color="auto" w:fill="auto"/>
            <w:noWrap/>
            <w:vAlign w:val="bottom"/>
            <w:hideMark/>
          </w:tcPr>
          <w:p w14:paraId="5CD728B6" w14:textId="2055021A"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14" w:type="dxa"/>
            <w:tcBorders>
              <w:top w:val="nil"/>
              <w:left w:val="nil"/>
              <w:bottom w:val="nil"/>
              <w:right w:val="single" w:sz="4" w:space="0" w:color="auto"/>
            </w:tcBorders>
            <w:shd w:val="clear" w:color="auto" w:fill="auto"/>
            <w:noWrap/>
            <w:vAlign w:val="bottom"/>
            <w:hideMark/>
          </w:tcPr>
          <w:p w14:paraId="4541A2DC" w14:textId="0F105F15"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25" w:type="dxa"/>
            <w:tcBorders>
              <w:top w:val="nil"/>
              <w:left w:val="nil"/>
              <w:bottom w:val="nil"/>
              <w:right w:val="single" w:sz="4" w:space="0" w:color="auto"/>
            </w:tcBorders>
            <w:shd w:val="clear" w:color="auto" w:fill="auto"/>
            <w:noWrap/>
            <w:vAlign w:val="bottom"/>
            <w:hideMark/>
          </w:tcPr>
          <w:p w14:paraId="0211BC79" w14:textId="1825658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49</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14" w:type="dxa"/>
            <w:tcBorders>
              <w:top w:val="nil"/>
              <w:left w:val="nil"/>
              <w:bottom w:val="nil"/>
              <w:right w:val="single" w:sz="4" w:space="0" w:color="auto"/>
            </w:tcBorders>
            <w:shd w:val="clear" w:color="auto" w:fill="auto"/>
            <w:noWrap/>
            <w:vAlign w:val="bottom"/>
            <w:hideMark/>
          </w:tcPr>
          <w:p w14:paraId="7D782CAB" w14:textId="4BD04F80"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r>
      <w:tr w:rsidR="006504C9" w:rsidRPr="00357869" w14:paraId="51512B3E"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43E8E2B4"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2015</w:t>
            </w:r>
          </w:p>
        </w:tc>
        <w:tc>
          <w:tcPr>
            <w:tcW w:w="1105" w:type="dxa"/>
            <w:tcBorders>
              <w:top w:val="nil"/>
              <w:left w:val="single" w:sz="4" w:space="0" w:color="auto"/>
              <w:bottom w:val="nil"/>
              <w:right w:val="single" w:sz="4" w:space="0" w:color="auto"/>
            </w:tcBorders>
            <w:shd w:val="clear" w:color="auto" w:fill="auto"/>
            <w:noWrap/>
            <w:vAlign w:val="bottom"/>
            <w:hideMark/>
          </w:tcPr>
          <w:p w14:paraId="584DF159" w14:textId="781B924B"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14" w:type="dxa"/>
            <w:tcBorders>
              <w:top w:val="nil"/>
              <w:left w:val="nil"/>
              <w:bottom w:val="nil"/>
              <w:right w:val="single" w:sz="4" w:space="0" w:color="auto"/>
            </w:tcBorders>
            <w:shd w:val="clear" w:color="auto" w:fill="auto"/>
            <w:noWrap/>
            <w:vAlign w:val="bottom"/>
            <w:hideMark/>
          </w:tcPr>
          <w:p w14:paraId="4130DAFE" w14:textId="20646FCE"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25" w:type="dxa"/>
            <w:tcBorders>
              <w:top w:val="nil"/>
              <w:left w:val="nil"/>
              <w:bottom w:val="nil"/>
              <w:right w:val="single" w:sz="4" w:space="0" w:color="auto"/>
            </w:tcBorders>
            <w:shd w:val="clear" w:color="auto" w:fill="auto"/>
            <w:noWrap/>
            <w:vAlign w:val="bottom"/>
            <w:hideMark/>
          </w:tcPr>
          <w:p w14:paraId="0A4E1F30" w14:textId="5A4F7E3D"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14" w:type="dxa"/>
            <w:tcBorders>
              <w:top w:val="nil"/>
              <w:left w:val="nil"/>
              <w:bottom w:val="nil"/>
              <w:right w:val="single" w:sz="4" w:space="0" w:color="auto"/>
            </w:tcBorders>
            <w:shd w:val="clear" w:color="auto" w:fill="auto"/>
            <w:noWrap/>
            <w:vAlign w:val="bottom"/>
            <w:hideMark/>
          </w:tcPr>
          <w:p w14:paraId="720F30E7" w14:textId="51225AAE"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0</w:t>
            </w:r>
          </w:p>
        </w:tc>
        <w:tc>
          <w:tcPr>
            <w:tcW w:w="1025" w:type="dxa"/>
            <w:tcBorders>
              <w:top w:val="nil"/>
              <w:left w:val="nil"/>
              <w:bottom w:val="nil"/>
              <w:right w:val="single" w:sz="4" w:space="0" w:color="auto"/>
            </w:tcBorders>
            <w:shd w:val="clear" w:color="auto" w:fill="auto"/>
            <w:noWrap/>
            <w:vAlign w:val="bottom"/>
            <w:hideMark/>
          </w:tcPr>
          <w:p w14:paraId="4BD3FE29" w14:textId="74F9B0D5"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50</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14" w:type="dxa"/>
            <w:tcBorders>
              <w:top w:val="nil"/>
              <w:left w:val="nil"/>
              <w:bottom w:val="nil"/>
              <w:right w:val="single" w:sz="4" w:space="0" w:color="auto"/>
            </w:tcBorders>
            <w:shd w:val="clear" w:color="auto" w:fill="auto"/>
            <w:noWrap/>
            <w:vAlign w:val="bottom"/>
            <w:hideMark/>
          </w:tcPr>
          <w:p w14:paraId="1ECA48A2" w14:textId="2357A00E"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r>
      <w:tr w:rsidR="006504C9" w:rsidRPr="00357869" w14:paraId="756B0D31"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31F4D2CD"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2016</w:t>
            </w:r>
          </w:p>
        </w:tc>
        <w:tc>
          <w:tcPr>
            <w:tcW w:w="1105" w:type="dxa"/>
            <w:tcBorders>
              <w:top w:val="nil"/>
              <w:left w:val="single" w:sz="4" w:space="0" w:color="auto"/>
              <w:bottom w:val="nil"/>
              <w:right w:val="single" w:sz="4" w:space="0" w:color="auto"/>
            </w:tcBorders>
            <w:shd w:val="clear" w:color="auto" w:fill="auto"/>
            <w:noWrap/>
            <w:vAlign w:val="bottom"/>
            <w:hideMark/>
          </w:tcPr>
          <w:p w14:paraId="1847BDD2" w14:textId="74A2ABDE"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73</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14" w:type="dxa"/>
            <w:tcBorders>
              <w:top w:val="nil"/>
              <w:left w:val="nil"/>
              <w:bottom w:val="nil"/>
              <w:right w:val="single" w:sz="4" w:space="0" w:color="auto"/>
            </w:tcBorders>
            <w:shd w:val="clear" w:color="auto" w:fill="auto"/>
            <w:noWrap/>
            <w:vAlign w:val="bottom"/>
            <w:hideMark/>
          </w:tcPr>
          <w:p w14:paraId="1349CF5F" w14:textId="17DDCD09"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6</w:t>
            </w:r>
          </w:p>
        </w:tc>
        <w:tc>
          <w:tcPr>
            <w:tcW w:w="1025" w:type="dxa"/>
            <w:tcBorders>
              <w:top w:val="nil"/>
              <w:left w:val="nil"/>
              <w:bottom w:val="nil"/>
              <w:right w:val="single" w:sz="4" w:space="0" w:color="auto"/>
            </w:tcBorders>
            <w:shd w:val="clear" w:color="auto" w:fill="auto"/>
            <w:noWrap/>
            <w:vAlign w:val="bottom"/>
            <w:hideMark/>
          </w:tcPr>
          <w:p w14:paraId="11A53E31" w14:textId="75992169"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14" w:type="dxa"/>
            <w:tcBorders>
              <w:top w:val="nil"/>
              <w:left w:val="nil"/>
              <w:bottom w:val="nil"/>
              <w:right w:val="single" w:sz="4" w:space="0" w:color="auto"/>
            </w:tcBorders>
            <w:shd w:val="clear" w:color="auto" w:fill="auto"/>
            <w:noWrap/>
            <w:vAlign w:val="bottom"/>
            <w:hideMark/>
          </w:tcPr>
          <w:p w14:paraId="0B4F86A4" w14:textId="36E2A17F"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7</w:t>
            </w:r>
          </w:p>
        </w:tc>
        <w:tc>
          <w:tcPr>
            <w:tcW w:w="1025" w:type="dxa"/>
            <w:tcBorders>
              <w:top w:val="nil"/>
              <w:left w:val="nil"/>
              <w:bottom w:val="nil"/>
              <w:right w:val="single" w:sz="4" w:space="0" w:color="auto"/>
            </w:tcBorders>
            <w:shd w:val="clear" w:color="auto" w:fill="auto"/>
            <w:noWrap/>
            <w:vAlign w:val="bottom"/>
            <w:hideMark/>
          </w:tcPr>
          <w:p w14:paraId="04ECF4D5" w14:textId="36512D25"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52</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9</w:t>
            </w:r>
          </w:p>
        </w:tc>
        <w:tc>
          <w:tcPr>
            <w:tcW w:w="1014" w:type="dxa"/>
            <w:tcBorders>
              <w:top w:val="nil"/>
              <w:left w:val="nil"/>
              <w:bottom w:val="nil"/>
              <w:right w:val="single" w:sz="4" w:space="0" w:color="auto"/>
            </w:tcBorders>
            <w:shd w:val="clear" w:color="auto" w:fill="auto"/>
            <w:noWrap/>
            <w:vAlign w:val="bottom"/>
            <w:hideMark/>
          </w:tcPr>
          <w:p w14:paraId="11794C26" w14:textId="4F8C266D"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74</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1</w:t>
            </w:r>
          </w:p>
        </w:tc>
      </w:tr>
      <w:tr w:rsidR="006504C9" w:rsidRPr="00357869" w14:paraId="563ACCB7" w14:textId="77777777" w:rsidTr="00DF4A31">
        <w:trPr>
          <w:trHeight w:val="261"/>
        </w:trPr>
        <w:tc>
          <w:tcPr>
            <w:tcW w:w="2976" w:type="dxa"/>
            <w:tcBorders>
              <w:top w:val="nil"/>
              <w:left w:val="single" w:sz="4" w:space="0" w:color="auto"/>
              <w:bottom w:val="single" w:sz="4" w:space="0" w:color="auto"/>
              <w:right w:val="nil"/>
            </w:tcBorders>
            <w:shd w:val="clear" w:color="auto" w:fill="auto"/>
            <w:noWrap/>
            <w:vAlign w:val="bottom"/>
            <w:hideMark/>
          </w:tcPr>
          <w:p w14:paraId="26E60444" w14:textId="77777777"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2017</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613E7B18" w14:textId="130589A0"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76</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014" w:type="dxa"/>
            <w:tcBorders>
              <w:top w:val="nil"/>
              <w:left w:val="nil"/>
              <w:bottom w:val="single" w:sz="4" w:space="0" w:color="auto"/>
              <w:right w:val="single" w:sz="4" w:space="0" w:color="auto"/>
            </w:tcBorders>
            <w:shd w:val="clear" w:color="auto" w:fill="auto"/>
            <w:noWrap/>
            <w:vAlign w:val="bottom"/>
            <w:hideMark/>
          </w:tcPr>
          <w:p w14:paraId="3505321E" w14:textId="29260724"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88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4</w:t>
            </w:r>
          </w:p>
        </w:tc>
        <w:tc>
          <w:tcPr>
            <w:tcW w:w="1025" w:type="dxa"/>
            <w:tcBorders>
              <w:top w:val="nil"/>
              <w:left w:val="nil"/>
              <w:bottom w:val="single" w:sz="4" w:space="0" w:color="auto"/>
              <w:right w:val="single" w:sz="4" w:space="0" w:color="auto"/>
            </w:tcBorders>
            <w:shd w:val="clear" w:color="auto" w:fill="auto"/>
            <w:noWrap/>
            <w:vAlign w:val="bottom"/>
            <w:hideMark/>
          </w:tcPr>
          <w:p w14:paraId="2360800B" w14:textId="3D64D813"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78</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14" w:type="dxa"/>
            <w:tcBorders>
              <w:top w:val="nil"/>
              <w:left w:val="nil"/>
              <w:bottom w:val="single" w:sz="4" w:space="0" w:color="auto"/>
              <w:right w:val="single" w:sz="4" w:space="0" w:color="auto"/>
            </w:tcBorders>
            <w:shd w:val="clear" w:color="auto" w:fill="auto"/>
            <w:noWrap/>
            <w:vAlign w:val="bottom"/>
            <w:hideMark/>
          </w:tcPr>
          <w:p w14:paraId="481CE2FD" w14:textId="135BF34B"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97</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5</w:t>
            </w:r>
          </w:p>
        </w:tc>
        <w:tc>
          <w:tcPr>
            <w:tcW w:w="1025" w:type="dxa"/>
            <w:tcBorders>
              <w:top w:val="nil"/>
              <w:left w:val="nil"/>
              <w:bottom w:val="single" w:sz="4" w:space="0" w:color="auto"/>
              <w:right w:val="single" w:sz="4" w:space="0" w:color="auto"/>
            </w:tcBorders>
            <w:shd w:val="clear" w:color="auto" w:fill="auto"/>
            <w:noWrap/>
            <w:vAlign w:val="bottom"/>
            <w:hideMark/>
          </w:tcPr>
          <w:p w14:paraId="173CD835" w14:textId="65C286F8"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53</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2</w:t>
            </w:r>
          </w:p>
        </w:tc>
        <w:tc>
          <w:tcPr>
            <w:tcW w:w="1014" w:type="dxa"/>
            <w:tcBorders>
              <w:top w:val="nil"/>
              <w:left w:val="nil"/>
              <w:bottom w:val="single" w:sz="4" w:space="0" w:color="auto"/>
              <w:right w:val="single" w:sz="4" w:space="0" w:color="auto"/>
            </w:tcBorders>
            <w:shd w:val="clear" w:color="auto" w:fill="auto"/>
            <w:noWrap/>
            <w:vAlign w:val="bottom"/>
            <w:hideMark/>
          </w:tcPr>
          <w:p w14:paraId="143F29FF" w14:textId="6745BAAC" w:rsidR="006504C9" w:rsidRPr="00357869" w:rsidRDefault="006504C9" w:rsidP="006504C9">
            <w:pPr>
              <w:spacing w:after="0" w:line="240" w:lineRule="auto"/>
              <w:jc w:val="center"/>
              <w:rPr>
                <w:rFonts w:ascii="Calibri" w:eastAsia="Times New Roman" w:hAnsi="Calibri" w:cs="Calibri"/>
                <w:color w:val="000000"/>
                <w:lang w:val="en-US" w:eastAsia="en-GB"/>
              </w:rPr>
            </w:pPr>
            <w:r w:rsidRPr="00357869">
              <w:rPr>
                <w:rFonts w:ascii="Calibri" w:eastAsia="Times New Roman" w:hAnsi="Calibri" w:cs="Calibri"/>
                <w:color w:val="000000"/>
                <w:lang w:val="en-US" w:eastAsia="en-GB"/>
              </w:rPr>
              <w:t>75</w:t>
            </w:r>
            <w:r w:rsidR="00A0422D" w:rsidRPr="00357869">
              <w:rPr>
                <w:rFonts w:ascii="Calibri" w:eastAsia="Times New Roman" w:hAnsi="Calibri" w:cs="Calibri"/>
                <w:color w:val="000000"/>
                <w:lang w:val="en-US" w:eastAsia="en-GB"/>
              </w:rPr>
              <w:t>.</w:t>
            </w:r>
            <w:r w:rsidRPr="00357869">
              <w:rPr>
                <w:rFonts w:ascii="Calibri" w:eastAsia="Times New Roman" w:hAnsi="Calibri" w:cs="Calibri"/>
                <w:color w:val="000000"/>
                <w:lang w:val="en-US" w:eastAsia="en-GB"/>
              </w:rPr>
              <w:t>3</w:t>
            </w:r>
          </w:p>
        </w:tc>
      </w:tr>
    </w:tbl>
    <w:p w14:paraId="0C19BF39" w14:textId="77777777" w:rsidR="004F3664" w:rsidRPr="00357869" w:rsidRDefault="004F3664" w:rsidP="004F3664">
      <w:pPr>
        <w:jc w:val="both"/>
        <w:rPr>
          <w:rFonts w:ascii="Calibri" w:hAnsi="Calibri" w:cs="Calibri"/>
          <w:sz w:val="18"/>
          <w:szCs w:val="18"/>
          <w:lang w:val="en-US"/>
        </w:rPr>
      </w:pPr>
      <w:r w:rsidRPr="00357869">
        <w:rPr>
          <w:rFonts w:ascii="Calibri" w:hAnsi="Calibri" w:cs="Calibri"/>
          <w:sz w:val="18"/>
          <w:szCs w:val="18"/>
          <w:lang w:val="en-US"/>
        </w:rPr>
        <w:t xml:space="preserve">Source: </w:t>
      </w:r>
      <w:proofErr w:type="spellStart"/>
      <w:r w:rsidRPr="00357869">
        <w:rPr>
          <w:rFonts w:ascii="Calibri" w:hAnsi="Calibri" w:cs="Calibri"/>
          <w:sz w:val="18"/>
          <w:szCs w:val="18"/>
          <w:lang w:val="en-US"/>
        </w:rPr>
        <w:t>Betam</w:t>
      </w:r>
      <w:proofErr w:type="spellEnd"/>
      <w:r w:rsidRPr="00357869">
        <w:rPr>
          <w:rFonts w:ascii="Calibri" w:hAnsi="Calibri" w:cs="Calibri"/>
          <w:sz w:val="18"/>
          <w:szCs w:val="18"/>
          <w:lang w:val="en-US"/>
        </w:rPr>
        <w:t>, HLFS micro data, 2005-2017</w:t>
      </w:r>
    </w:p>
    <w:p w14:paraId="62E2D139" w14:textId="29BEA31B" w:rsidR="007430F4" w:rsidRPr="00357869" w:rsidRDefault="007430F4" w:rsidP="00170159">
      <w:pPr>
        <w:tabs>
          <w:tab w:val="left" w:pos="1077"/>
        </w:tabs>
        <w:jc w:val="both"/>
        <w:rPr>
          <w:rFonts w:ascii="Calibri" w:hAnsi="Calibri" w:cs="Calibri"/>
          <w:lang w:val="en-US"/>
        </w:rPr>
      </w:pPr>
    </w:p>
    <w:sectPr w:rsidR="007430F4" w:rsidRPr="00357869" w:rsidSect="005525E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20CEC" w16cid:durableId="2019B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58EFF" w14:textId="77777777" w:rsidR="002D1C19" w:rsidRDefault="002D1C19" w:rsidP="00CF452C">
      <w:pPr>
        <w:spacing w:after="0" w:line="240" w:lineRule="auto"/>
      </w:pPr>
      <w:r>
        <w:separator/>
      </w:r>
    </w:p>
  </w:endnote>
  <w:endnote w:type="continuationSeparator" w:id="0">
    <w:p w14:paraId="0B4D1838" w14:textId="77777777" w:rsidR="002D1C19" w:rsidRDefault="002D1C19" w:rsidP="00CF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07846"/>
      <w:docPartObj>
        <w:docPartGallery w:val="Page Numbers (Bottom of Page)"/>
        <w:docPartUnique/>
      </w:docPartObj>
    </w:sdtPr>
    <w:sdtEndPr>
      <w:rPr>
        <w:noProof/>
      </w:rPr>
    </w:sdtEndPr>
    <w:sdtContent>
      <w:p w14:paraId="57ED9704" w14:textId="77777777" w:rsidR="00961FB7" w:rsidRDefault="00961FB7">
        <w:pPr>
          <w:pStyle w:val="Footer"/>
          <w:jc w:val="right"/>
        </w:pPr>
      </w:p>
      <w:p w14:paraId="50C76B4A" w14:textId="6A34DD71" w:rsidR="00961FB7" w:rsidRDefault="00961FB7">
        <w:pPr>
          <w:pStyle w:val="Footer"/>
          <w:jc w:val="right"/>
        </w:pPr>
        <w:r>
          <w:fldChar w:fldCharType="begin"/>
        </w:r>
        <w:r>
          <w:instrText xml:space="preserve"> PAGE   \* MERGEFORMAT </w:instrText>
        </w:r>
        <w:r>
          <w:fldChar w:fldCharType="separate"/>
        </w:r>
        <w:r w:rsidR="00074733">
          <w:rPr>
            <w:noProof/>
          </w:rPr>
          <w:t>15</w:t>
        </w:r>
        <w:r>
          <w:rPr>
            <w:noProof/>
          </w:rPr>
          <w:fldChar w:fldCharType="end"/>
        </w:r>
      </w:p>
    </w:sdtContent>
  </w:sdt>
  <w:p w14:paraId="0D6BD2DF" w14:textId="77777777" w:rsidR="00961FB7" w:rsidRDefault="0096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D7BB" w14:textId="77777777" w:rsidR="002D1C19" w:rsidRDefault="002D1C19" w:rsidP="00CF452C">
      <w:pPr>
        <w:spacing w:after="0" w:line="240" w:lineRule="auto"/>
      </w:pPr>
      <w:r>
        <w:separator/>
      </w:r>
    </w:p>
  </w:footnote>
  <w:footnote w:type="continuationSeparator" w:id="0">
    <w:p w14:paraId="0CACA597" w14:textId="77777777" w:rsidR="002D1C19" w:rsidRDefault="002D1C19" w:rsidP="00CF452C">
      <w:pPr>
        <w:spacing w:after="0" w:line="240" w:lineRule="auto"/>
      </w:pPr>
      <w:r>
        <w:continuationSeparator/>
      </w:r>
    </w:p>
  </w:footnote>
  <w:footnote w:id="1">
    <w:p w14:paraId="3F90FACE" w14:textId="0F5FF042" w:rsidR="00961FB7" w:rsidRPr="00751DAA" w:rsidRDefault="00961FB7" w:rsidP="00CF452C">
      <w:pPr>
        <w:pStyle w:val="FootnoteText"/>
        <w:rPr>
          <w:lang w:val="en-US"/>
        </w:rPr>
      </w:pPr>
      <w:r w:rsidRPr="00751DAA">
        <w:rPr>
          <w:rStyle w:val="FootnoteReference"/>
          <w:rFonts w:ascii="Arial" w:hAnsi="Arial" w:cs="Arial"/>
          <w:sz w:val="16"/>
          <w:szCs w:val="16"/>
          <w:lang w:val="en-US"/>
        </w:rPr>
        <w:sym w:font="Symbol" w:char="F02A"/>
      </w:r>
      <w:r>
        <w:rPr>
          <w:rFonts w:ascii="Arial" w:hAnsi="Arial" w:cs="Arial"/>
          <w:sz w:val="16"/>
          <w:szCs w:val="16"/>
          <w:lang w:val="en-US"/>
        </w:rPr>
        <w:t>Professor</w:t>
      </w:r>
      <w:r w:rsidRPr="00751DAA">
        <w:rPr>
          <w:rFonts w:ascii="Arial" w:hAnsi="Arial" w:cs="Arial"/>
          <w:sz w:val="16"/>
          <w:szCs w:val="16"/>
          <w:lang w:val="en-US"/>
        </w:rPr>
        <w:t xml:space="preserve"> Seyfettin Gürsel, </w:t>
      </w:r>
      <w:proofErr w:type="spellStart"/>
      <w:r w:rsidRPr="00751DAA">
        <w:rPr>
          <w:rFonts w:ascii="Arial" w:hAnsi="Arial" w:cs="Arial"/>
          <w:sz w:val="16"/>
          <w:szCs w:val="16"/>
          <w:lang w:val="en-US"/>
        </w:rPr>
        <w:t>Betam</w:t>
      </w:r>
      <w:proofErr w:type="spellEnd"/>
      <w:r w:rsidRPr="00751DAA">
        <w:rPr>
          <w:rFonts w:ascii="Arial" w:hAnsi="Arial" w:cs="Arial"/>
          <w:sz w:val="16"/>
          <w:szCs w:val="16"/>
          <w:lang w:val="en-US"/>
        </w:rPr>
        <w:t xml:space="preserve">, </w:t>
      </w:r>
      <w:r>
        <w:rPr>
          <w:rFonts w:ascii="Arial" w:hAnsi="Arial" w:cs="Arial"/>
          <w:sz w:val="16"/>
          <w:szCs w:val="16"/>
          <w:lang w:val="en-US"/>
        </w:rPr>
        <w:t>Director</w:t>
      </w:r>
      <w:r w:rsidRPr="00751DAA">
        <w:rPr>
          <w:rFonts w:ascii="Arial" w:hAnsi="Arial" w:cs="Arial"/>
          <w:sz w:val="16"/>
          <w:szCs w:val="16"/>
          <w:lang w:val="en-US"/>
        </w:rPr>
        <w:t>, Seyfettin.gursel@eas.bau.edu.tr</w:t>
      </w:r>
    </w:p>
  </w:footnote>
  <w:footnote w:id="2">
    <w:p w14:paraId="37F2891A" w14:textId="2AD87C31" w:rsidR="00961FB7" w:rsidRPr="00751DAA" w:rsidRDefault="00961FB7" w:rsidP="00CF452C">
      <w:pPr>
        <w:pStyle w:val="FootnoteText"/>
        <w:rPr>
          <w:rFonts w:ascii="Arial" w:hAnsi="Arial" w:cs="Arial"/>
          <w:sz w:val="16"/>
          <w:szCs w:val="16"/>
          <w:lang w:val="en-US"/>
        </w:rPr>
      </w:pPr>
      <w:r w:rsidRPr="00751DAA">
        <w:rPr>
          <w:rStyle w:val="FootnoteReference"/>
          <w:rFonts w:ascii="Arial" w:hAnsi="Arial" w:cs="Arial"/>
          <w:sz w:val="16"/>
          <w:szCs w:val="16"/>
          <w:lang w:val="en-US"/>
        </w:rPr>
        <w:sym w:font="Symbol" w:char="F02A"/>
      </w:r>
      <w:r w:rsidRPr="00751DAA">
        <w:rPr>
          <w:rStyle w:val="FootnoteReference"/>
          <w:rFonts w:ascii="Arial" w:hAnsi="Arial" w:cs="Arial"/>
          <w:sz w:val="16"/>
          <w:szCs w:val="16"/>
          <w:lang w:val="en-US"/>
        </w:rPr>
        <w:sym w:font="Symbol" w:char="F02A"/>
      </w:r>
      <w:r w:rsidRPr="00751DAA">
        <w:rPr>
          <w:rFonts w:ascii="Arial" w:hAnsi="Arial" w:cs="Arial"/>
          <w:sz w:val="16"/>
          <w:szCs w:val="16"/>
          <w:lang w:val="en-US"/>
        </w:rPr>
        <w:t xml:space="preserve"> </w:t>
      </w:r>
      <w:r>
        <w:rPr>
          <w:rFonts w:ascii="Arial" w:hAnsi="Arial" w:cs="Arial"/>
          <w:sz w:val="16"/>
          <w:szCs w:val="16"/>
          <w:lang w:val="en-US"/>
        </w:rPr>
        <w:t xml:space="preserve">Associate Professor </w:t>
      </w:r>
      <w:proofErr w:type="spellStart"/>
      <w:r w:rsidRPr="00751DAA">
        <w:rPr>
          <w:rFonts w:ascii="Arial" w:hAnsi="Arial" w:cs="Arial"/>
          <w:sz w:val="16"/>
          <w:szCs w:val="16"/>
          <w:lang w:val="en-US"/>
        </w:rPr>
        <w:t>Gökçe</w:t>
      </w:r>
      <w:proofErr w:type="spellEnd"/>
      <w:r w:rsidRPr="00751DAA">
        <w:rPr>
          <w:rFonts w:ascii="Arial" w:hAnsi="Arial" w:cs="Arial"/>
          <w:sz w:val="16"/>
          <w:szCs w:val="16"/>
          <w:lang w:val="en-US"/>
        </w:rPr>
        <w:t xml:space="preserve"> Uysal, </w:t>
      </w:r>
      <w:proofErr w:type="spellStart"/>
      <w:r w:rsidRPr="00751DAA">
        <w:rPr>
          <w:rFonts w:ascii="Arial" w:hAnsi="Arial" w:cs="Arial"/>
          <w:sz w:val="16"/>
          <w:szCs w:val="16"/>
          <w:lang w:val="en-US"/>
        </w:rPr>
        <w:t>Betam</w:t>
      </w:r>
      <w:proofErr w:type="spellEnd"/>
      <w:r w:rsidRPr="00751DAA">
        <w:rPr>
          <w:rFonts w:ascii="Arial" w:hAnsi="Arial" w:cs="Arial"/>
          <w:sz w:val="16"/>
          <w:szCs w:val="16"/>
          <w:lang w:val="en-US"/>
        </w:rPr>
        <w:t xml:space="preserve">, </w:t>
      </w:r>
      <w:r>
        <w:rPr>
          <w:rFonts w:ascii="Arial" w:hAnsi="Arial" w:cs="Arial"/>
          <w:sz w:val="16"/>
          <w:szCs w:val="16"/>
          <w:lang w:val="en-US"/>
        </w:rPr>
        <w:t>Deputy Director</w:t>
      </w:r>
      <w:r w:rsidRPr="00751DAA">
        <w:rPr>
          <w:rFonts w:ascii="Arial" w:hAnsi="Arial" w:cs="Arial"/>
          <w:sz w:val="16"/>
          <w:szCs w:val="16"/>
          <w:lang w:val="en-US"/>
        </w:rPr>
        <w:t>, gokce.uysal@eas.bau.edu.tr</w:t>
      </w:r>
    </w:p>
  </w:footnote>
  <w:footnote w:id="3">
    <w:p w14:paraId="6E82833C" w14:textId="7DCD812D" w:rsidR="00961FB7" w:rsidRPr="00751DAA" w:rsidRDefault="00961FB7" w:rsidP="00CF452C">
      <w:pPr>
        <w:pStyle w:val="FootnoteText"/>
        <w:rPr>
          <w:rFonts w:ascii="Arial" w:hAnsi="Arial" w:cs="Arial"/>
          <w:sz w:val="16"/>
          <w:szCs w:val="16"/>
          <w:lang w:val="en-US"/>
        </w:rPr>
      </w:pPr>
      <w:r w:rsidRPr="00751DAA">
        <w:rPr>
          <w:rStyle w:val="FootnoteReference"/>
          <w:rFonts w:ascii="Arial" w:hAnsi="Arial" w:cs="Arial"/>
          <w:sz w:val="16"/>
          <w:szCs w:val="16"/>
          <w:lang w:val="en-US"/>
        </w:rPr>
        <w:sym w:font="Symbol" w:char="F02A"/>
      </w:r>
      <w:r w:rsidRPr="00751DAA">
        <w:rPr>
          <w:rStyle w:val="FootnoteReference"/>
          <w:rFonts w:ascii="Arial" w:hAnsi="Arial" w:cs="Arial"/>
          <w:sz w:val="16"/>
          <w:szCs w:val="16"/>
          <w:lang w:val="en-US"/>
        </w:rPr>
        <w:sym w:font="Symbol" w:char="F02A"/>
      </w:r>
      <w:r>
        <w:rPr>
          <w:rFonts w:ascii="Arial" w:hAnsi="Arial" w:cs="Arial"/>
          <w:sz w:val="16"/>
          <w:szCs w:val="16"/>
          <w:lang w:val="en-US"/>
        </w:rPr>
        <w:t xml:space="preserve"> Yazgı </w:t>
      </w:r>
      <w:proofErr w:type="spellStart"/>
      <w:r>
        <w:rPr>
          <w:rFonts w:ascii="Arial" w:hAnsi="Arial" w:cs="Arial"/>
          <w:sz w:val="16"/>
          <w:szCs w:val="16"/>
          <w:lang w:val="en-US"/>
        </w:rPr>
        <w:t>Genç</w:t>
      </w:r>
      <w:proofErr w:type="spellEnd"/>
      <w:r>
        <w:rPr>
          <w:rFonts w:ascii="Arial" w:hAnsi="Arial" w:cs="Arial"/>
          <w:sz w:val="16"/>
          <w:szCs w:val="16"/>
          <w:lang w:val="en-US"/>
        </w:rPr>
        <w:t xml:space="preserve">, </w:t>
      </w:r>
      <w:proofErr w:type="spellStart"/>
      <w:r>
        <w:rPr>
          <w:rFonts w:ascii="Arial" w:hAnsi="Arial" w:cs="Arial"/>
          <w:sz w:val="16"/>
          <w:szCs w:val="16"/>
          <w:lang w:val="en-US"/>
        </w:rPr>
        <w:t>Betam</w:t>
      </w:r>
      <w:proofErr w:type="spellEnd"/>
      <w:r>
        <w:rPr>
          <w:rFonts w:ascii="Arial" w:hAnsi="Arial" w:cs="Arial"/>
          <w:sz w:val="16"/>
          <w:szCs w:val="16"/>
          <w:lang w:val="en-US"/>
        </w:rPr>
        <w:t>,</w:t>
      </w:r>
      <w:r w:rsidRPr="00751DAA">
        <w:rPr>
          <w:rFonts w:ascii="Arial" w:hAnsi="Arial" w:cs="Arial"/>
          <w:sz w:val="16"/>
          <w:szCs w:val="16"/>
          <w:lang w:val="en-US"/>
        </w:rPr>
        <w:t xml:space="preserve"> </w:t>
      </w:r>
      <w:r>
        <w:rPr>
          <w:rFonts w:ascii="Arial" w:hAnsi="Arial" w:cs="Arial"/>
          <w:sz w:val="16"/>
          <w:szCs w:val="16"/>
          <w:lang w:val="en-US"/>
        </w:rPr>
        <w:t>Research Assistant</w:t>
      </w:r>
      <w:r w:rsidRPr="00751DAA">
        <w:rPr>
          <w:rFonts w:ascii="Arial" w:hAnsi="Arial" w:cs="Arial"/>
          <w:sz w:val="16"/>
          <w:szCs w:val="16"/>
          <w:lang w:val="en-US"/>
        </w:rPr>
        <w:t>, yazgi.genc@eas.bau.edu.tr</w:t>
      </w:r>
    </w:p>
  </w:footnote>
  <w:footnote w:id="4">
    <w:p w14:paraId="1FF17801" w14:textId="77777777" w:rsidR="00961FB7" w:rsidRPr="00751DAA" w:rsidRDefault="00961FB7" w:rsidP="00CF452C">
      <w:pPr>
        <w:pStyle w:val="FootnoteText"/>
        <w:rPr>
          <w:lang w:val="en-US"/>
        </w:rPr>
      </w:pPr>
    </w:p>
  </w:footnote>
  <w:footnote w:id="5">
    <w:p w14:paraId="151C1946" w14:textId="77777777" w:rsidR="00961FB7" w:rsidRPr="00751DAA" w:rsidRDefault="00961FB7" w:rsidP="00885891">
      <w:pPr>
        <w:pStyle w:val="FootnoteText"/>
        <w:rPr>
          <w:sz w:val="18"/>
          <w:szCs w:val="18"/>
          <w:shd w:val="clear" w:color="auto" w:fill="FFFFFF"/>
          <w:lang w:val="en-US"/>
        </w:rPr>
      </w:pPr>
      <w:r w:rsidRPr="00751DAA">
        <w:rPr>
          <w:rStyle w:val="FootnoteReference"/>
          <w:sz w:val="18"/>
          <w:szCs w:val="18"/>
          <w:lang w:val="en-US"/>
        </w:rPr>
        <w:footnoteRef/>
      </w:r>
      <w:r w:rsidRPr="00751DAA">
        <w:rPr>
          <w:sz w:val="18"/>
          <w:szCs w:val="18"/>
          <w:lang w:val="en-US"/>
        </w:rPr>
        <w:t xml:space="preserve"> </w:t>
      </w:r>
      <w:r w:rsidRPr="00751DAA">
        <w:rPr>
          <w:sz w:val="18"/>
          <w:szCs w:val="18"/>
          <w:shd w:val="clear" w:color="auto" w:fill="FFFFFF"/>
          <w:lang w:val="en-US"/>
        </w:rPr>
        <w:t>Gürsel, S., &amp; Uysal, G. (2018). </w:t>
      </w:r>
      <w:proofErr w:type="spellStart"/>
      <w:r w:rsidRPr="00751DAA">
        <w:rPr>
          <w:i/>
          <w:iCs/>
          <w:sz w:val="18"/>
          <w:szCs w:val="18"/>
          <w:lang w:val="en-US"/>
        </w:rPr>
        <w:t>Türkiye</w:t>
      </w:r>
      <w:proofErr w:type="spellEnd"/>
      <w:r w:rsidRPr="00751DAA">
        <w:rPr>
          <w:i/>
          <w:iCs/>
          <w:sz w:val="18"/>
          <w:szCs w:val="18"/>
          <w:lang w:val="en-US"/>
        </w:rPr>
        <w:t xml:space="preserve"> </w:t>
      </w:r>
      <w:proofErr w:type="spellStart"/>
      <w:r w:rsidRPr="00751DAA">
        <w:rPr>
          <w:i/>
          <w:iCs/>
          <w:sz w:val="18"/>
          <w:szCs w:val="18"/>
          <w:lang w:val="en-US"/>
        </w:rPr>
        <w:t>Ekonomisinde</w:t>
      </w:r>
      <w:proofErr w:type="spellEnd"/>
      <w:r w:rsidRPr="00751DAA">
        <w:rPr>
          <w:i/>
          <w:iCs/>
          <w:sz w:val="18"/>
          <w:szCs w:val="18"/>
          <w:lang w:val="en-US"/>
        </w:rPr>
        <w:t xml:space="preserve"> </w:t>
      </w:r>
      <w:proofErr w:type="spellStart"/>
      <w:r w:rsidRPr="00751DAA">
        <w:rPr>
          <w:i/>
          <w:iCs/>
          <w:sz w:val="18"/>
          <w:szCs w:val="18"/>
          <w:lang w:val="en-US"/>
        </w:rPr>
        <w:t>Kalkınma</w:t>
      </w:r>
      <w:proofErr w:type="spellEnd"/>
      <w:r w:rsidRPr="00751DAA">
        <w:rPr>
          <w:i/>
          <w:iCs/>
          <w:sz w:val="18"/>
          <w:szCs w:val="18"/>
          <w:lang w:val="en-US"/>
        </w:rPr>
        <w:t xml:space="preserve"> </w:t>
      </w:r>
      <w:proofErr w:type="spellStart"/>
      <w:r w:rsidRPr="00751DAA">
        <w:rPr>
          <w:i/>
          <w:iCs/>
          <w:sz w:val="18"/>
          <w:szCs w:val="18"/>
          <w:lang w:val="en-US"/>
        </w:rPr>
        <w:t>ve</w:t>
      </w:r>
      <w:proofErr w:type="spellEnd"/>
      <w:r w:rsidRPr="00751DAA">
        <w:rPr>
          <w:i/>
          <w:iCs/>
          <w:sz w:val="18"/>
          <w:szCs w:val="18"/>
          <w:lang w:val="en-US"/>
        </w:rPr>
        <w:t xml:space="preserve"> </w:t>
      </w:r>
      <w:proofErr w:type="spellStart"/>
      <w:r w:rsidRPr="00751DAA">
        <w:rPr>
          <w:i/>
          <w:iCs/>
          <w:sz w:val="18"/>
          <w:szCs w:val="18"/>
          <w:lang w:val="en-US"/>
        </w:rPr>
        <w:t>Dönüşüm</w:t>
      </w:r>
      <w:proofErr w:type="spellEnd"/>
      <w:r w:rsidRPr="00751DAA">
        <w:rPr>
          <w:i/>
          <w:iCs/>
          <w:sz w:val="18"/>
          <w:szCs w:val="18"/>
          <w:lang w:val="en-US"/>
        </w:rPr>
        <w:t xml:space="preserve"> </w:t>
      </w:r>
      <w:proofErr w:type="spellStart"/>
      <w:r w:rsidRPr="00751DAA">
        <w:rPr>
          <w:i/>
          <w:iCs/>
          <w:sz w:val="18"/>
          <w:szCs w:val="18"/>
          <w:lang w:val="en-US"/>
        </w:rPr>
        <w:t>Taner</w:t>
      </w:r>
      <w:proofErr w:type="spellEnd"/>
      <w:r w:rsidRPr="00751DAA">
        <w:rPr>
          <w:i/>
          <w:iCs/>
          <w:sz w:val="18"/>
          <w:szCs w:val="18"/>
          <w:lang w:val="en-US"/>
        </w:rPr>
        <w:t xml:space="preserve"> </w:t>
      </w:r>
      <w:proofErr w:type="spellStart"/>
      <w:r w:rsidRPr="00751DAA">
        <w:rPr>
          <w:i/>
          <w:iCs/>
          <w:sz w:val="18"/>
          <w:szCs w:val="18"/>
          <w:lang w:val="en-US"/>
        </w:rPr>
        <w:t>Berksoy’a</w:t>
      </w:r>
      <w:proofErr w:type="spellEnd"/>
      <w:r w:rsidRPr="00751DAA">
        <w:rPr>
          <w:i/>
          <w:iCs/>
          <w:sz w:val="18"/>
          <w:szCs w:val="18"/>
          <w:lang w:val="en-US"/>
        </w:rPr>
        <w:t xml:space="preserve"> </w:t>
      </w:r>
      <w:proofErr w:type="spellStart"/>
      <w:r w:rsidRPr="00751DAA">
        <w:rPr>
          <w:i/>
          <w:iCs/>
          <w:sz w:val="18"/>
          <w:szCs w:val="18"/>
          <w:lang w:val="en-US"/>
        </w:rPr>
        <w:t>Armağan</w:t>
      </w:r>
      <w:proofErr w:type="spellEnd"/>
      <w:r w:rsidRPr="00751DAA">
        <w:rPr>
          <w:sz w:val="18"/>
          <w:szCs w:val="18"/>
          <w:shd w:val="clear" w:color="auto" w:fill="FFFFFF"/>
          <w:lang w:val="en-US"/>
        </w:rPr>
        <w:t xml:space="preserve">. Istanbul: </w:t>
      </w:r>
      <w:proofErr w:type="spellStart"/>
      <w:r w:rsidRPr="00751DAA">
        <w:rPr>
          <w:sz w:val="18"/>
          <w:szCs w:val="18"/>
          <w:shd w:val="clear" w:color="auto" w:fill="FFFFFF"/>
          <w:lang w:val="en-US"/>
        </w:rPr>
        <w:t>Imge</w:t>
      </w:r>
      <w:proofErr w:type="spellEnd"/>
    </w:p>
  </w:footnote>
  <w:footnote w:id="6">
    <w:p w14:paraId="404ED986" w14:textId="7DF3E839" w:rsidR="00961FB7" w:rsidRPr="00751DAA" w:rsidRDefault="00961FB7" w:rsidP="00980505">
      <w:pPr>
        <w:pStyle w:val="FootnoteText"/>
        <w:rPr>
          <w:sz w:val="18"/>
          <w:szCs w:val="18"/>
          <w:shd w:val="clear" w:color="auto" w:fill="FFFFFF"/>
          <w:lang w:val="en-US"/>
        </w:rPr>
      </w:pPr>
      <w:r w:rsidRPr="00751DAA">
        <w:rPr>
          <w:rStyle w:val="FootnoteReference"/>
          <w:lang w:val="en-US"/>
        </w:rPr>
        <w:footnoteRef/>
      </w:r>
      <w:r w:rsidRPr="00751DAA">
        <w:rPr>
          <w:lang w:val="en-US"/>
        </w:rPr>
        <w:t xml:space="preserve"> </w:t>
      </w:r>
      <w:proofErr w:type="spellStart"/>
      <w:r w:rsidRPr="00751DAA">
        <w:rPr>
          <w:lang w:val="en-US"/>
        </w:rPr>
        <w:t>Filiztekin</w:t>
      </w:r>
      <w:proofErr w:type="spellEnd"/>
      <w:r w:rsidRPr="00751DAA">
        <w:rPr>
          <w:lang w:val="en-US"/>
        </w:rPr>
        <w:t>, A.</w:t>
      </w:r>
      <w:r w:rsidRPr="00751DAA">
        <w:rPr>
          <w:sz w:val="18"/>
          <w:szCs w:val="18"/>
          <w:shd w:val="clear" w:color="auto" w:fill="FFFFFF"/>
          <w:lang w:val="en-US"/>
        </w:rPr>
        <w:t xml:space="preserve"> (2018). </w:t>
      </w:r>
      <w:proofErr w:type="spellStart"/>
      <w:r w:rsidRPr="00751DAA">
        <w:rPr>
          <w:i/>
          <w:iCs/>
          <w:sz w:val="18"/>
          <w:szCs w:val="18"/>
          <w:lang w:val="en-US"/>
        </w:rPr>
        <w:t>Türkiye</w:t>
      </w:r>
      <w:proofErr w:type="spellEnd"/>
      <w:r w:rsidRPr="00751DAA">
        <w:rPr>
          <w:i/>
          <w:iCs/>
          <w:sz w:val="18"/>
          <w:szCs w:val="18"/>
          <w:lang w:val="en-US"/>
        </w:rPr>
        <w:t xml:space="preserve"> </w:t>
      </w:r>
      <w:proofErr w:type="spellStart"/>
      <w:r w:rsidRPr="00751DAA">
        <w:rPr>
          <w:i/>
          <w:iCs/>
          <w:sz w:val="18"/>
          <w:szCs w:val="18"/>
          <w:lang w:val="en-US"/>
        </w:rPr>
        <w:t>Ekonomisinde</w:t>
      </w:r>
      <w:proofErr w:type="spellEnd"/>
      <w:r w:rsidRPr="00751DAA">
        <w:rPr>
          <w:i/>
          <w:iCs/>
          <w:sz w:val="18"/>
          <w:szCs w:val="18"/>
          <w:lang w:val="en-US"/>
        </w:rPr>
        <w:t xml:space="preserve"> </w:t>
      </w:r>
      <w:proofErr w:type="spellStart"/>
      <w:r w:rsidRPr="00751DAA">
        <w:rPr>
          <w:i/>
          <w:iCs/>
          <w:sz w:val="18"/>
          <w:szCs w:val="18"/>
          <w:lang w:val="en-US"/>
        </w:rPr>
        <w:t>Kalkınma</w:t>
      </w:r>
      <w:proofErr w:type="spellEnd"/>
      <w:r w:rsidRPr="00751DAA">
        <w:rPr>
          <w:i/>
          <w:iCs/>
          <w:sz w:val="18"/>
          <w:szCs w:val="18"/>
          <w:lang w:val="en-US"/>
        </w:rPr>
        <w:t xml:space="preserve"> </w:t>
      </w:r>
      <w:proofErr w:type="spellStart"/>
      <w:r w:rsidRPr="00751DAA">
        <w:rPr>
          <w:i/>
          <w:iCs/>
          <w:sz w:val="18"/>
          <w:szCs w:val="18"/>
          <w:lang w:val="en-US"/>
        </w:rPr>
        <w:t>ve</w:t>
      </w:r>
      <w:proofErr w:type="spellEnd"/>
      <w:r w:rsidRPr="00751DAA">
        <w:rPr>
          <w:i/>
          <w:iCs/>
          <w:sz w:val="18"/>
          <w:szCs w:val="18"/>
          <w:lang w:val="en-US"/>
        </w:rPr>
        <w:t xml:space="preserve"> </w:t>
      </w:r>
      <w:proofErr w:type="spellStart"/>
      <w:r w:rsidRPr="00751DAA">
        <w:rPr>
          <w:i/>
          <w:iCs/>
          <w:sz w:val="18"/>
          <w:szCs w:val="18"/>
          <w:lang w:val="en-US"/>
        </w:rPr>
        <w:t>Dönüşüm</w:t>
      </w:r>
      <w:proofErr w:type="spellEnd"/>
      <w:r w:rsidRPr="00751DAA">
        <w:rPr>
          <w:i/>
          <w:iCs/>
          <w:sz w:val="18"/>
          <w:szCs w:val="18"/>
          <w:lang w:val="en-US"/>
        </w:rPr>
        <w:t xml:space="preserve"> </w:t>
      </w:r>
      <w:proofErr w:type="spellStart"/>
      <w:r w:rsidRPr="00751DAA">
        <w:rPr>
          <w:i/>
          <w:iCs/>
          <w:sz w:val="18"/>
          <w:szCs w:val="18"/>
          <w:lang w:val="en-US"/>
        </w:rPr>
        <w:t>Taner</w:t>
      </w:r>
      <w:proofErr w:type="spellEnd"/>
      <w:r w:rsidRPr="00751DAA">
        <w:rPr>
          <w:i/>
          <w:iCs/>
          <w:sz w:val="18"/>
          <w:szCs w:val="18"/>
          <w:lang w:val="en-US"/>
        </w:rPr>
        <w:t xml:space="preserve"> </w:t>
      </w:r>
      <w:proofErr w:type="spellStart"/>
      <w:r w:rsidRPr="00751DAA">
        <w:rPr>
          <w:i/>
          <w:iCs/>
          <w:sz w:val="18"/>
          <w:szCs w:val="18"/>
          <w:lang w:val="en-US"/>
        </w:rPr>
        <w:t>Berksoy’a</w:t>
      </w:r>
      <w:proofErr w:type="spellEnd"/>
      <w:r w:rsidRPr="00751DAA">
        <w:rPr>
          <w:i/>
          <w:iCs/>
          <w:sz w:val="18"/>
          <w:szCs w:val="18"/>
          <w:lang w:val="en-US"/>
        </w:rPr>
        <w:t xml:space="preserve"> </w:t>
      </w:r>
      <w:proofErr w:type="spellStart"/>
      <w:r w:rsidRPr="00751DAA">
        <w:rPr>
          <w:i/>
          <w:iCs/>
          <w:sz w:val="18"/>
          <w:szCs w:val="18"/>
          <w:lang w:val="en-US"/>
        </w:rPr>
        <w:t>Armağan</w:t>
      </w:r>
      <w:proofErr w:type="spellEnd"/>
      <w:r w:rsidRPr="00751DAA">
        <w:rPr>
          <w:sz w:val="18"/>
          <w:szCs w:val="18"/>
          <w:shd w:val="clear" w:color="auto" w:fill="FFFFFF"/>
          <w:lang w:val="en-US"/>
        </w:rPr>
        <w:t xml:space="preserve">. Istanbul: </w:t>
      </w:r>
      <w:proofErr w:type="spellStart"/>
      <w:r w:rsidRPr="00751DAA">
        <w:rPr>
          <w:sz w:val="18"/>
          <w:szCs w:val="18"/>
          <w:shd w:val="clear" w:color="auto" w:fill="FFFFFF"/>
          <w:lang w:val="en-US"/>
        </w:rPr>
        <w:t>Imge</w:t>
      </w:r>
      <w:proofErr w:type="spellEnd"/>
    </w:p>
    <w:p w14:paraId="2BFBCE76" w14:textId="762C441B" w:rsidR="00961FB7" w:rsidRPr="00751DAA" w:rsidRDefault="00961FB7" w:rsidP="00980505">
      <w:pPr>
        <w:pStyle w:val="FootnoteText"/>
        <w:rPr>
          <w:lang w:val="en-US"/>
        </w:rPr>
      </w:pPr>
    </w:p>
    <w:p w14:paraId="573EF404" w14:textId="74005107" w:rsidR="00961FB7" w:rsidRPr="00751DAA" w:rsidRDefault="00961FB7">
      <w:pPr>
        <w:pStyle w:val="FootnoteText"/>
        <w:rPr>
          <w:lang w:val="en-US"/>
        </w:rPr>
      </w:pPr>
    </w:p>
  </w:footnote>
  <w:footnote w:id="7">
    <w:p w14:paraId="74C422DF" w14:textId="5FF389EF" w:rsidR="00961FB7" w:rsidRPr="00751DAA" w:rsidRDefault="00961FB7">
      <w:pPr>
        <w:pStyle w:val="FootnoteText"/>
        <w:rPr>
          <w:lang w:val="en-US"/>
        </w:rPr>
      </w:pPr>
      <w:r w:rsidRPr="00751DAA">
        <w:rPr>
          <w:rStyle w:val="FootnoteReference"/>
          <w:lang w:val="en-US"/>
        </w:rPr>
        <w:footnoteRef/>
      </w:r>
      <w:r w:rsidRPr="00751DAA">
        <w:rPr>
          <w:lang w:val="en-US"/>
        </w:rPr>
        <w:t xml:space="preserve"> </w:t>
      </w:r>
      <w:r w:rsidRPr="00751DAA">
        <w:rPr>
          <w:sz w:val="18"/>
          <w:szCs w:val="18"/>
          <w:lang w:val="en-US"/>
        </w:rPr>
        <w:t>Relatively</w:t>
      </w:r>
      <w:r w:rsidRPr="00751DAA">
        <w:rPr>
          <w:lang w:val="en-US"/>
        </w:rPr>
        <w:t xml:space="preserve"> high n</w:t>
      </w:r>
      <w:r w:rsidRPr="00751DAA">
        <w:rPr>
          <w:sz w:val="18"/>
          <w:szCs w:val="18"/>
          <w:lang w:val="en-US"/>
        </w:rPr>
        <w:t>umber of</w:t>
      </w:r>
      <w:r w:rsidRPr="00751DAA">
        <w:rPr>
          <w:lang w:val="en-US"/>
        </w:rPr>
        <w:t xml:space="preserve"> </w:t>
      </w:r>
      <w:r w:rsidRPr="00751DAA">
        <w:rPr>
          <w:iCs/>
          <w:sz w:val="18"/>
          <w:szCs w:val="18"/>
          <w:lang w:val="en-US"/>
        </w:rPr>
        <w:t>illiterates’</w:t>
      </w:r>
      <w:r w:rsidRPr="00751DAA">
        <w:rPr>
          <w:sz w:val="18"/>
          <w:szCs w:val="18"/>
          <w:lang w:val="en-US"/>
        </w:rPr>
        <w:t xml:space="preserve"> workers, in particular among women, should be noted. While the share of female illiterates</w:t>
      </w:r>
      <w:r w:rsidRPr="00751DAA">
        <w:rPr>
          <w:iCs/>
          <w:sz w:val="18"/>
          <w:szCs w:val="18"/>
          <w:lang w:val="en-US"/>
        </w:rPr>
        <w:t xml:space="preserve"> was 12.8 percent in 200s, it decreased slightly to 7.2 percent in 2017 (Annexed table 4).</w:t>
      </w:r>
    </w:p>
  </w:footnote>
  <w:footnote w:id="8">
    <w:p w14:paraId="29F209CB" w14:textId="79466C78" w:rsidR="00961FB7" w:rsidRPr="00751DAA" w:rsidRDefault="00961FB7">
      <w:pPr>
        <w:pStyle w:val="FootnoteText"/>
        <w:rPr>
          <w:sz w:val="18"/>
          <w:szCs w:val="18"/>
          <w:lang w:val="en-US"/>
        </w:rPr>
      </w:pPr>
      <w:r w:rsidRPr="00751DAA">
        <w:rPr>
          <w:rStyle w:val="FootnoteReference"/>
          <w:lang w:val="en-US"/>
        </w:rPr>
        <w:footnoteRef/>
      </w:r>
      <w:r w:rsidRPr="00751DAA">
        <w:rPr>
          <w:lang w:val="en-US"/>
        </w:rPr>
        <w:t xml:space="preserve"> </w:t>
      </w:r>
      <w:r w:rsidRPr="00751DAA">
        <w:rPr>
          <w:sz w:val="18"/>
          <w:szCs w:val="18"/>
          <w:lang w:val="en-US"/>
        </w:rPr>
        <w:t xml:space="preserve">The statistical serials are available in Annex. </w:t>
      </w:r>
    </w:p>
  </w:footnote>
  <w:footnote w:id="9">
    <w:p w14:paraId="7B022B57" w14:textId="0D3414D3" w:rsidR="00961FB7" w:rsidRPr="00751DAA" w:rsidRDefault="00961FB7">
      <w:pPr>
        <w:pStyle w:val="FootnoteText"/>
        <w:rPr>
          <w:sz w:val="18"/>
          <w:szCs w:val="18"/>
          <w:lang w:val="en-US"/>
        </w:rPr>
      </w:pPr>
      <w:r w:rsidRPr="00751DAA">
        <w:rPr>
          <w:rStyle w:val="FootnoteReference"/>
          <w:lang w:val="en-US"/>
        </w:rPr>
        <w:footnoteRef/>
      </w:r>
      <w:r w:rsidRPr="00751DAA">
        <w:rPr>
          <w:lang w:val="en-US"/>
        </w:rPr>
        <w:t xml:space="preserve"> </w:t>
      </w:r>
      <w:r w:rsidRPr="00751DAA">
        <w:rPr>
          <w:sz w:val="18"/>
          <w:szCs w:val="18"/>
          <w:lang w:val="en-US"/>
        </w:rPr>
        <w:t>Since unemployment is almost negligible in Turkish agriculture given its overwhelming family structure, non-farming indicators are computed assuming equality between labor force and employment (inexistence of unemployment)</w:t>
      </w:r>
    </w:p>
    <w:p w14:paraId="4A316DFE" w14:textId="77777777" w:rsidR="00961FB7" w:rsidRPr="00751DAA" w:rsidRDefault="00961FB7">
      <w:pPr>
        <w:pStyle w:val="FootnoteText"/>
        <w:rPr>
          <w:sz w:val="18"/>
          <w:szCs w:val="18"/>
          <w:lang w:val="en-US"/>
        </w:rPr>
      </w:pPr>
    </w:p>
  </w:footnote>
  <w:footnote w:id="10">
    <w:p w14:paraId="3A76B3BF" w14:textId="29C5C556" w:rsidR="00961FB7" w:rsidRPr="00751DAA" w:rsidRDefault="00961FB7">
      <w:pPr>
        <w:pStyle w:val="FootnoteText"/>
        <w:rPr>
          <w:sz w:val="18"/>
          <w:szCs w:val="18"/>
          <w:lang w:val="en-US"/>
        </w:rPr>
      </w:pPr>
      <w:r w:rsidRPr="00751DAA">
        <w:rPr>
          <w:rStyle w:val="FootnoteReference"/>
          <w:lang w:val="en-US"/>
        </w:rPr>
        <w:footnoteRef/>
      </w:r>
      <w:r w:rsidRPr="00751DAA">
        <w:rPr>
          <w:lang w:val="en-US"/>
        </w:rPr>
        <w:t xml:space="preserve"> </w:t>
      </w:r>
      <w:proofErr w:type="spellStart"/>
      <w:r w:rsidRPr="00751DAA">
        <w:rPr>
          <w:sz w:val="18"/>
          <w:szCs w:val="18"/>
          <w:lang w:val="en-US"/>
        </w:rPr>
        <w:t>Betam</w:t>
      </w:r>
      <w:proofErr w:type="spellEnd"/>
      <w:r w:rsidRPr="00751DAA">
        <w:rPr>
          <w:sz w:val="18"/>
          <w:szCs w:val="18"/>
          <w:lang w:val="en-US"/>
        </w:rPr>
        <w:t xml:space="preserve"> is working on a research brief on this topic </w:t>
      </w:r>
    </w:p>
  </w:footnote>
  <w:footnote w:id="11">
    <w:p w14:paraId="0E38426F" w14:textId="1BF2337A" w:rsidR="00961FB7" w:rsidRPr="00751DAA" w:rsidRDefault="00961FB7">
      <w:pPr>
        <w:pStyle w:val="FootnoteText"/>
        <w:rPr>
          <w:lang w:val="en-US"/>
        </w:rPr>
      </w:pPr>
      <w:r w:rsidRPr="00751DAA">
        <w:rPr>
          <w:rStyle w:val="FootnoteReference"/>
          <w:sz w:val="18"/>
          <w:lang w:val="en-US"/>
        </w:rPr>
        <w:footnoteRef/>
      </w:r>
      <w:r w:rsidRPr="00751DAA">
        <w:rPr>
          <w:sz w:val="18"/>
          <w:lang w:val="en-US"/>
        </w:rPr>
        <w:t xml:space="preserve"> The share of women in non-farm employment who wo</w:t>
      </w:r>
      <w:r>
        <w:rPr>
          <w:sz w:val="18"/>
          <w:lang w:val="en-US"/>
        </w:rPr>
        <w:t>r</w:t>
      </w:r>
      <w:r w:rsidRPr="00751DAA">
        <w:rPr>
          <w:sz w:val="18"/>
          <w:lang w:val="en-US"/>
        </w:rPr>
        <w:t xml:space="preserve">ld a college degree has increased to 39 percent in 2017. </w:t>
      </w:r>
    </w:p>
  </w:footnote>
  <w:footnote w:id="12">
    <w:p w14:paraId="305CDEE8" w14:textId="532D8369" w:rsidR="00961FB7" w:rsidRPr="00751DAA" w:rsidRDefault="00961FB7">
      <w:pPr>
        <w:pStyle w:val="FootnoteText"/>
        <w:rPr>
          <w:lang w:val="en-US"/>
        </w:rPr>
      </w:pPr>
      <w:r w:rsidRPr="00751DAA">
        <w:rPr>
          <w:rStyle w:val="FootnoteReference"/>
          <w:lang w:val="en-US"/>
        </w:rPr>
        <w:footnoteRef/>
      </w:r>
      <w:r w:rsidRPr="00751DAA">
        <w:rPr>
          <w:lang w:val="en-US"/>
        </w:rPr>
        <w:t xml:space="preserve"> </w:t>
      </w:r>
      <w:r>
        <w:rPr>
          <w:lang w:val="en-US"/>
        </w:rPr>
        <w:t xml:space="preserve">Note that many women exit the labor market in Turkey before reaching this age group, mainly due to marriage and care responsibilities. </w:t>
      </w:r>
    </w:p>
  </w:footnote>
  <w:footnote w:id="13">
    <w:p w14:paraId="5E111092" w14:textId="47BF7ECA" w:rsidR="00961FB7" w:rsidRPr="00751DAA" w:rsidRDefault="00961FB7" w:rsidP="00AD569D">
      <w:pPr>
        <w:pStyle w:val="FootnoteText"/>
        <w:rPr>
          <w:lang w:val="en-US"/>
        </w:rPr>
      </w:pPr>
      <w:r w:rsidRPr="00751DAA">
        <w:rPr>
          <w:rStyle w:val="FootnoteReference"/>
          <w:lang w:val="en-US"/>
        </w:rPr>
        <w:footnoteRef/>
      </w:r>
      <w:r w:rsidRPr="00751DAA">
        <w:rPr>
          <w:lang w:val="en-US"/>
        </w:rPr>
        <w:t xml:space="preserve"> </w:t>
      </w:r>
      <w:r>
        <w:rPr>
          <w:lang w:val="en-US"/>
        </w:rPr>
        <w:t xml:space="preserve">The highest unemployment rate in the </w:t>
      </w:r>
      <w:r w:rsidRPr="00751DAA">
        <w:rPr>
          <w:lang w:val="en-US"/>
        </w:rPr>
        <w:t>20-29</w:t>
      </w:r>
      <w:r>
        <w:rPr>
          <w:lang w:val="en-US"/>
        </w:rPr>
        <w:t xml:space="preserve"> age group belongs to women with college degrees</w:t>
      </w:r>
      <w:r w:rsidRPr="00751DAA">
        <w:rPr>
          <w:lang w:val="en-US"/>
        </w:rPr>
        <w:t xml:space="preserve"> (</w:t>
      </w:r>
      <w:r>
        <w:rPr>
          <w:lang w:val="en-US"/>
        </w:rPr>
        <w:t>29.</w:t>
      </w:r>
      <w:r w:rsidRPr="00751DAA">
        <w:rPr>
          <w:lang w:val="en-US"/>
        </w:rPr>
        <w:t>6</w:t>
      </w:r>
      <w:r>
        <w:rPr>
          <w:lang w:val="en-US"/>
        </w:rPr>
        <w:t xml:space="preserve"> percent</w:t>
      </w:r>
      <w:r w:rsidRPr="00751DAA">
        <w:rPr>
          <w:lang w:val="en-US"/>
        </w:rPr>
        <w:t xml:space="preserve">). </w:t>
      </w:r>
      <w:r>
        <w:rPr>
          <w:lang w:val="en-US"/>
        </w:rPr>
        <w:t xml:space="preserve">In the same age group, the unemployment rates of general high school graduates stand at 27.2 percent, that among vocational high school graduates is 25.7 percent, and that among women with less than a high school degree is 22.6 percent.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51775"/>
    <w:multiLevelType w:val="hybridMultilevel"/>
    <w:tmpl w:val="0F88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97C79"/>
    <w:multiLevelType w:val="hybridMultilevel"/>
    <w:tmpl w:val="F43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70"/>
    <w:rsid w:val="000017C4"/>
    <w:rsid w:val="00001EBF"/>
    <w:rsid w:val="00004713"/>
    <w:rsid w:val="00010D9C"/>
    <w:rsid w:val="00011718"/>
    <w:rsid w:val="0001173C"/>
    <w:rsid w:val="00013112"/>
    <w:rsid w:val="000139DA"/>
    <w:rsid w:val="00014870"/>
    <w:rsid w:val="0002188A"/>
    <w:rsid w:val="000221EE"/>
    <w:rsid w:val="000235D9"/>
    <w:rsid w:val="00030162"/>
    <w:rsid w:val="000319AE"/>
    <w:rsid w:val="00031E85"/>
    <w:rsid w:val="00033176"/>
    <w:rsid w:val="0003514D"/>
    <w:rsid w:val="000352B9"/>
    <w:rsid w:val="00035F27"/>
    <w:rsid w:val="0003631C"/>
    <w:rsid w:val="0004273E"/>
    <w:rsid w:val="000437DF"/>
    <w:rsid w:val="00044FDD"/>
    <w:rsid w:val="00045467"/>
    <w:rsid w:val="00045E8D"/>
    <w:rsid w:val="00046B25"/>
    <w:rsid w:val="00050CCE"/>
    <w:rsid w:val="00050F19"/>
    <w:rsid w:val="00050F69"/>
    <w:rsid w:val="00051956"/>
    <w:rsid w:val="00054B21"/>
    <w:rsid w:val="00056E5C"/>
    <w:rsid w:val="00065EB4"/>
    <w:rsid w:val="000670E7"/>
    <w:rsid w:val="00070564"/>
    <w:rsid w:val="0007226E"/>
    <w:rsid w:val="00074733"/>
    <w:rsid w:val="00076AE5"/>
    <w:rsid w:val="00076E5E"/>
    <w:rsid w:val="00077EE6"/>
    <w:rsid w:val="00082033"/>
    <w:rsid w:val="000829A4"/>
    <w:rsid w:val="000900B6"/>
    <w:rsid w:val="00092552"/>
    <w:rsid w:val="000929DD"/>
    <w:rsid w:val="00095F78"/>
    <w:rsid w:val="00096969"/>
    <w:rsid w:val="00096D76"/>
    <w:rsid w:val="000A2905"/>
    <w:rsid w:val="000A2F47"/>
    <w:rsid w:val="000A71E8"/>
    <w:rsid w:val="000B035A"/>
    <w:rsid w:val="000B18FF"/>
    <w:rsid w:val="000B2255"/>
    <w:rsid w:val="000B2B80"/>
    <w:rsid w:val="000B527C"/>
    <w:rsid w:val="000B75F4"/>
    <w:rsid w:val="000C2F57"/>
    <w:rsid w:val="000C3B6A"/>
    <w:rsid w:val="000D0BCC"/>
    <w:rsid w:val="000D186A"/>
    <w:rsid w:val="000D21E6"/>
    <w:rsid w:val="000D269D"/>
    <w:rsid w:val="000D30B5"/>
    <w:rsid w:val="000D341F"/>
    <w:rsid w:val="000D3568"/>
    <w:rsid w:val="000D3E3D"/>
    <w:rsid w:val="000D6834"/>
    <w:rsid w:val="000D6EF6"/>
    <w:rsid w:val="000D7663"/>
    <w:rsid w:val="000E0695"/>
    <w:rsid w:val="000E1255"/>
    <w:rsid w:val="000E7116"/>
    <w:rsid w:val="000F1FAF"/>
    <w:rsid w:val="00101EA4"/>
    <w:rsid w:val="00102F54"/>
    <w:rsid w:val="00105EAE"/>
    <w:rsid w:val="0010680A"/>
    <w:rsid w:val="0010754E"/>
    <w:rsid w:val="001108D7"/>
    <w:rsid w:val="001109E6"/>
    <w:rsid w:val="00112F38"/>
    <w:rsid w:val="00120347"/>
    <w:rsid w:val="001254D2"/>
    <w:rsid w:val="001259CD"/>
    <w:rsid w:val="00136196"/>
    <w:rsid w:val="00137ABD"/>
    <w:rsid w:val="00137B19"/>
    <w:rsid w:val="00140AB6"/>
    <w:rsid w:val="00143165"/>
    <w:rsid w:val="0014348D"/>
    <w:rsid w:val="001436D9"/>
    <w:rsid w:val="001445C2"/>
    <w:rsid w:val="00147028"/>
    <w:rsid w:val="00147851"/>
    <w:rsid w:val="00152470"/>
    <w:rsid w:val="00154336"/>
    <w:rsid w:val="00156D5F"/>
    <w:rsid w:val="00160C84"/>
    <w:rsid w:val="001618A5"/>
    <w:rsid w:val="00164F2D"/>
    <w:rsid w:val="001672B4"/>
    <w:rsid w:val="00170159"/>
    <w:rsid w:val="00171B36"/>
    <w:rsid w:val="001761A6"/>
    <w:rsid w:val="0018337B"/>
    <w:rsid w:val="00184909"/>
    <w:rsid w:val="00184E9F"/>
    <w:rsid w:val="001904F7"/>
    <w:rsid w:val="00193F43"/>
    <w:rsid w:val="001948D5"/>
    <w:rsid w:val="001979AE"/>
    <w:rsid w:val="001A10A6"/>
    <w:rsid w:val="001A15EC"/>
    <w:rsid w:val="001A1C6A"/>
    <w:rsid w:val="001A4362"/>
    <w:rsid w:val="001A499D"/>
    <w:rsid w:val="001A4D70"/>
    <w:rsid w:val="001A6CE1"/>
    <w:rsid w:val="001B19FB"/>
    <w:rsid w:val="001B73FF"/>
    <w:rsid w:val="001B79D6"/>
    <w:rsid w:val="001B7A45"/>
    <w:rsid w:val="001C0534"/>
    <w:rsid w:val="001C0639"/>
    <w:rsid w:val="001C3CBE"/>
    <w:rsid w:val="001C4C5E"/>
    <w:rsid w:val="001C590B"/>
    <w:rsid w:val="001C5CE0"/>
    <w:rsid w:val="001C69D4"/>
    <w:rsid w:val="001D1E66"/>
    <w:rsid w:val="001D255F"/>
    <w:rsid w:val="001D2D29"/>
    <w:rsid w:val="001D4DDF"/>
    <w:rsid w:val="001D55C9"/>
    <w:rsid w:val="001D5EF0"/>
    <w:rsid w:val="001D7154"/>
    <w:rsid w:val="001E116D"/>
    <w:rsid w:val="001E21D1"/>
    <w:rsid w:val="001E2E0B"/>
    <w:rsid w:val="001E56F3"/>
    <w:rsid w:val="001F510D"/>
    <w:rsid w:val="001F61FF"/>
    <w:rsid w:val="002003FA"/>
    <w:rsid w:val="0020190B"/>
    <w:rsid w:val="0020423F"/>
    <w:rsid w:val="00205509"/>
    <w:rsid w:val="00206065"/>
    <w:rsid w:val="002068C0"/>
    <w:rsid w:val="00206A18"/>
    <w:rsid w:val="00210F9B"/>
    <w:rsid w:val="00212B36"/>
    <w:rsid w:val="00212FBC"/>
    <w:rsid w:val="002155D8"/>
    <w:rsid w:val="00217015"/>
    <w:rsid w:val="00222D4B"/>
    <w:rsid w:val="00227B30"/>
    <w:rsid w:val="0023061C"/>
    <w:rsid w:val="00232EC4"/>
    <w:rsid w:val="00234A90"/>
    <w:rsid w:val="00236224"/>
    <w:rsid w:val="00241D69"/>
    <w:rsid w:val="00243D96"/>
    <w:rsid w:val="00244A9A"/>
    <w:rsid w:val="00246C74"/>
    <w:rsid w:val="00250414"/>
    <w:rsid w:val="002507CE"/>
    <w:rsid w:val="00251745"/>
    <w:rsid w:val="002518FA"/>
    <w:rsid w:val="00252829"/>
    <w:rsid w:val="00253140"/>
    <w:rsid w:val="002537AB"/>
    <w:rsid w:val="00255607"/>
    <w:rsid w:val="00256860"/>
    <w:rsid w:val="0026251E"/>
    <w:rsid w:val="002626F1"/>
    <w:rsid w:val="00264A33"/>
    <w:rsid w:val="00264A8B"/>
    <w:rsid w:val="00267985"/>
    <w:rsid w:val="00273C5E"/>
    <w:rsid w:val="0027496D"/>
    <w:rsid w:val="00274B78"/>
    <w:rsid w:val="0028317D"/>
    <w:rsid w:val="00283ED0"/>
    <w:rsid w:val="00285ECD"/>
    <w:rsid w:val="00290C7A"/>
    <w:rsid w:val="0029363C"/>
    <w:rsid w:val="00293859"/>
    <w:rsid w:val="00294503"/>
    <w:rsid w:val="002965B5"/>
    <w:rsid w:val="00297440"/>
    <w:rsid w:val="00297895"/>
    <w:rsid w:val="002A0C4B"/>
    <w:rsid w:val="002A128E"/>
    <w:rsid w:val="002A27F5"/>
    <w:rsid w:val="002A3EAF"/>
    <w:rsid w:val="002A5771"/>
    <w:rsid w:val="002A6B24"/>
    <w:rsid w:val="002B0159"/>
    <w:rsid w:val="002B32EF"/>
    <w:rsid w:val="002B54BD"/>
    <w:rsid w:val="002B7898"/>
    <w:rsid w:val="002B7FC4"/>
    <w:rsid w:val="002C1E04"/>
    <w:rsid w:val="002C248D"/>
    <w:rsid w:val="002C5C1A"/>
    <w:rsid w:val="002C699B"/>
    <w:rsid w:val="002D1C19"/>
    <w:rsid w:val="002D3104"/>
    <w:rsid w:val="002D542C"/>
    <w:rsid w:val="002D5E9C"/>
    <w:rsid w:val="002D7D11"/>
    <w:rsid w:val="002E3BE9"/>
    <w:rsid w:val="002E53A3"/>
    <w:rsid w:val="002E62EA"/>
    <w:rsid w:val="002F0704"/>
    <w:rsid w:val="002F1540"/>
    <w:rsid w:val="002F18A4"/>
    <w:rsid w:val="002F18D2"/>
    <w:rsid w:val="002F2657"/>
    <w:rsid w:val="002F4C1D"/>
    <w:rsid w:val="002F6725"/>
    <w:rsid w:val="00301228"/>
    <w:rsid w:val="00303F68"/>
    <w:rsid w:val="00304A16"/>
    <w:rsid w:val="00304F5D"/>
    <w:rsid w:val="0030515D"/>
    <w:rsid w:val="003065B9"/>
    <w:rsid w:val="00307EF6"/>
    <w:rsid w:val="00313B92"/>
    <w:rsid w:val="00314094"/>
    <w:rsid w:val="00314977"/>
    <w:rsid w:val="00314B8A"/>
    <w:rsid w:val="00314FF2"/>
    <w:rsid w:val="00316BE2"/>
    <w:rsid w:val="003227B9"/>
    <w:rsid w:val="00324258"/>
    <w:rsid w:val="00327CDC"/>
    <w:rsid w:val="003310BA"/>
    <w:rsid w:val="0033232F"/>
    <w:rsid w:val="0034483F"/>
    <w:rsid w:val="0034549F"/>
    <w:rsid w:val="00346085"/>
    <w:rsid w:val="0034707D"/>
    <w:rsid w:val="0035437A"/>
    <w:rsid w:val="00357869"/>
    <w:rsid w:val="00360516"/>
    <w:rsid w:val="00361177"/>
    <w:rsid w:val="00361431"/>
    <w:rsid w:val="00361F43"/>
    <w:rsid w:val="00364409"/>
    <w:rsid w:val="0036452B"/>
    <w:rsid w:val="00364D75"/>
    <w:rsid w:val="003652A6"/>
    <w:rsid w:val="00370A1A"/>
    <w:rsid w:val="00370A77"/>
    <w:rsid w:val="00371776"/>
    <w:rsid w:val="00374363"/>
    <w:rsid w:val="003743E9"/>
    <w:rsid w:val="00375C11"/>
    <w:rsid w:val="003806ED"/>
    <w:rsid w:val="003851AE"/>
    <w:rsid w:val="003867FC"/>
    <w:rsid w:val="00386B90"/>
    <w:rsid w:val="003908DB"/>
    <w:rsid w:val="00390CEA"/>
    <w:rsid w:val="003936FA"/>
    <w:rsid w:val="0039611E"/>
    <w:rsid w:val="003979D3"/>
    <w:rsid w:val="003A4613"/>
    <w:rsid w:val="003A5935"/>
    <w:rsid w:val="003B2F62"/>
    <w:rsid w:val="003B5CCA"/>
    <w:rsid w:val="003C0CD7"/>
    <w:rsid w:val="003C21AC"/>
    <w:rsid w:val="003C2EE5"/>
    <w:rsid w:val="003C6104"/>
    <w:rsid w:val="003C798D"/>
    <w:rsid w:val="003D29A7"/>
    <w:rsid w:val="003D3178"/>
    <w:rsid w:val="003D4A6A"/>
    <w:rsid w:val="003D6180"/>
    <w:rsid w:val="003E0249"/>
    <w:rsid w:val="003E15A5"/>
    <w:rsid w:val="003E1ED0"/>
    <w:rsid w:val="003E28BC"/>
    <w:rsid w:val="003E3436"/>
    <w:rsid w:val="003E5ACA"/>
    <w:rsid w:val="003E7F53"/>
    <w:rsid w:val="003F0171"/>
    <w:rsid w:val="003F0951"/>
    <w:rsid w:val="003F45F4"/>
    <w:rsid w:val="003F60AE"/>
    <w:rsid w:val="004000A8"/>
    <w:rsid w:val="00402395"/>
    <w:rsid w:val="00405EE7"/>
    <w:rsid w:val="00406662"/>
    <w:rsid w:val="00413B2A"/>
    <w:rsid w:val="00413EB4"/>
    <w:rsid w:val="00415F7E"/>
    <w:rsid w:val="00417889"/>
    <w:rsid w:val="0042254A"/>
    <w:rsid w:val="00424179"/>
    <w:rsid w:val="004241CE"/>
    <w:rsid w:val="00425E5A"/>
    <w:rsid w:val="00427FB9"/>
    <w:rsid w:val="00430FD8"/>
    <w:rsid w:val="00432571"/>
    <w:rsid w:val="0043454C"/>
    <w:rsid w:val="004366AF"/>
    <w:rsid w:val="00436808"/>
    <w:rsid w:val="00437848"/>
    <w:rsid w:val="00441365"/>
    <w:rsid w:val="00442690"/>
    <w:rsid w:val="00442ADD"/>
    <w:rsid w:val="004444FF"/>
    <w:rsid w:val="0045172C"/>
    <w:rsid w:val="004543F9"/>
    <w:rsid w:val="00455940"/>
    <w:rsid w:val="00457F9C"/>
    <w:rsid w:val="004600F9"/>
    <w:rsid w:val="00462B0F"/>
    <w:rsid w:val="004651E8"/>
    <w:rsid w:val="004663E6"/>
    <w:rsid w:val="004702C5"/>
    <w:rsid w:val="00470E12"/>
    <w:rsid w:val="004716C9"/>
    <w:rsid w:val="00472241"/>
    <w:rsid w:val="0047341F"/>
    <w:rsid w:val="004755F6"/>
    <w:rsid w:val="004764E1"/>
    <w:rsid w:val="00476F0F"/>
    <w:rsid w:val="00482B5B"/>
    <w:rsid w:val="004832D9"/>
    <w:rsid w:val="0048514F"/>
    <w:rsid w:val="00485432"/>
    <w:rsid w:val="00486A04"/>
    <w:rsid w:val="004870F6"/>
    <w:rsid w:val="00487996"/>
    <w:rsid w:val="00490B66"/>
    <w:rsid w:val="004B1F0A"/>
    <w:rsid w:val="004B6F01"/>
    <w:rsid w:val="004B7D7A"/>
    <w:rsid w:val="004C0ABF"/>
    <w:rsid w:val="004C0C5F"/>
    <w:rsid w:val="004C3BE0"/>
    <w:rsid w:val="004C4C38"/>
    <w:rsid w:val="004C598B"/>
    <w:rsid w:val="004C5D93"/>
    <w:rsid w:val="004E0482"/>
    <w:rsid w:val="004E10CA"/>
    <w:rsid w:val="004E29CB"/>
    <w:rsid w:val="004E301A"/>
    <w:rsid w:val="004E3FFA"/>
    <w:rsid w:val="004F10AE"/>
    <w:rsid w:val="004F2CE6"/>
    <w:rsid w:val="004F3332"/>
    <w:rsid w:val="004F3664"/>
    <w:rsid w:val="004F4801"/>
    <w:rsid w:val="004F5AD9"/>
    <w:rsid w:val="004F5D44"/>
    <w:rsid w:val="004F6FE4"/>
    <w:rsid w:val="00500911"/>
    <w:rsid w:val="005009B3"/>
    <w:rsid w:val="0050397A"/>
    <w:rsid w:val="00507D57"/>
    <w:rsid w:val="00511A39"/>
    <w:rsid w:val="00511BC1"/>
    <w:rsid w:val="00513F47"/>
    <w:rsid w:val="005170DA"/>
    <w:rsid w:val="0052348C"/>
    <w:rsid w:val="00523518"/>
    <w:rsid w:val="005308C2"/>
    <w:rsid w:val="00530CEC"/>
    <w:rsid w:val="00530E86"/>
    <w:rsid w:val="00532209"/>
    <w:rsid w:val="00535CFC"/>
    <w:rsid w:val="005361F5"/>
    <w:rsid w:val="00536892"/>
    <w:rsid w:val="0053727C"/>
    <w:rsid w:val="00541876"/>
    <w:rsid w:val="00542A07"/>
    <w:rsid w:val="00542B46"/>
    <w:rsid w:val="00542FF7"/>
    <w:rsid w:val="005439C1"/>
    <w:rsid w:val="00543B02"/>
    <w:rsid w:val="00543F0B"/>
    <w:rsid w:val="00545EDD"/>
    <w:rsid w:val="005525E6"/>
    <w:rsid w:val="00556835"/>
    <w:rsid w:val="005605BA"/>
    <w:rsid w:val="00561EF2"/>
    <w:rsid w:val="0056208A"/>
    <w:rsid w:val="005624EA"/>
    <w:rsid w:val="005625F4"/>
    <w:rsid w:val="00564B86"/>
    <w:rsid w:val="005674DA"/>
    <w:rsid w:val="005674FA"/>
    <w:rsid w:val="005753F3"/>
    <w:rsid w:val="00575A58"/>
    <w:rsid w:val="00575D57"/>
    <w:rsid w:val="00576B1A"/>
    <w:rsid w:val="00576C4E"/>
    <w:rsid w:val="0058258E"/>
    <w:rsid w:val="00585DE6"/>
    <w:rsid w:val="00586524"/>
    <w:rsid w:val="00587B1F"/>
    <w:rsid w:val="00587F41"/>
    <w:rsid w:val="005911E7"/>
    <w:rsid w:val="00591C08"/>
    <w:rsid w:val="005923EB"/>
    <w:rsid w:val="00592B1C"/>
    <w:rsid w:val="00594040"/>
    <w:rsid w:val="00594367"/>
    <w:rsid w:val="00594466"/>
    <w:rsid w:val="005947D6"/>
    <w:rsid w:val="00597188"/>
    <w:rsid w:val="005A30F4"/>
    <w:rsid w:val="005A3DAF"/>
    <w:rsid w:val="005A3F9B"/>
    <w:rsid w:val="005A6765"/>
    <w:rsid w:val="005A6ABB"/>
    <w:rsid w:val="005A7CB5"/>
    <w:rsid w:val="005A7D79"/>
    <w:rsid w:val="005B36F6"/>
    <w:rsid w:val="005B5122"/>
    <w:rsid w:val="005B5811"/>
    <w:rsid w:val="005B5E46"/>
    <w:rsid w:val="005B7FA7"/>
    <w:rsid w:val="005C09CA"/>
    <w:rsid w:val="005C2B43"/>
    <w:rsid w:val="005C2C2E"/>
    <w:rsid w:val="005C2DD9"/>
    <w:rsid w:val="005C3EF6"/>
    <w:rsid w:val="005C4161"/>
    <w:rsid w:val="005C4BFE"/>
    <w:rsid w:val="005C5D0A"/>
    <w:rsid w:val="005C7002"/>
    <w:rsid w:val="005C7A0C"/>
    <w:rsid w:val="005D0B89"/>
    <w:rsid w:val="005D1012"/>
    <w:rsid w:val="005D6E4F"/>
    <w:rsid w:val="005D706A"/>
    <w:rsid w:val="005D71F7"/>
    <w:rsid w:val="005D77A4"/>
    <w:rsid w:val="005D7C4E"/>
    <w:rsid w:val="005E0C5A"/>
    <w:rsid w:val="005E17EB"/>
    <w:rsid w:val="005E236F"/>
    <w:rsid w:val="005E2773"/>
    <w:rsid w:val="005E4E7F"/>
    <w:rsid w:val="005F11ED"/>
    <w:rsid w:val="005F17FD"/>
    <w:rsid w:val="005F3495"/>
    <w:rsid w:val="005F58E5"/>
    <w:rsid w:val="005F5AD7"/>
    <w:rsid w:val="005F613E"/>
    <w:rsid w:val="005F6211"/>
    <w:rsid w:val="00603A39"/>
    <w:rsid w:val="00607A8F"/>
    <w:rsid w:val="00613CE8"/>
    <w:rsid w:val="0061492F"/>
    <w:rsid w:val="00615EDA"/>
    <w:rsid w:val="00616A25"/>
    <w:rsid w:val="0061741E"/>
    <w:rsid w:val="00617EBD"/>
    <w:rsid w:val="006209FD"/>
    <w:rsid w:val="00625910"/>
    <w:rsid w:val="00625CB1"/>
    <w:rsid w:val="006262CA"/>
    <w:rsid w:val="006271C7"/>
    <w:rsid w:val="006279D4"/>
    <w:rsid w:val="00630019"/>
    <w:rsid w:val="006307F5"/>
    <w:rsid w:val="00632196"/>
    <w:rsid w:val="0063518E"/>
    <w:rsid w:val="00635A95"/>
    <w:rsid w:val="0064038C"/>
    <w:rsid w:val="00640F9E"/>
    <w:rsid w:val="00643C76"/>
    <w:rsid w:val="00644012"/>
    <w:rsid w:val="00645408"/>
    <w:rsid w:val="00650081"/>
    <w:rsid w:val="006504C9"/>
    <w:rsid w:val="00650D5F"/>
    <w:rsid w:val="00653004"/>
    <w:rsid w:val="006533E3"/>
    <w:rsid w:val="0065429E"/>
    <w:rsid w:val="00654E54"/>
    <w:rsid w:val="00655713"/>
    <w:rsid w:val="006565FE"/>
    <w:rsid w:val="0065687F"/>
    <w:rsid w:val="00657E47"/>
    <w:rsid w:val="006623E1"/>
    <w:rsid w:val="006634CB"/>
    <w:rsid w:val="00670379"/>
    <w:rsid w:val="00671E0E"/>
    <w:rsid w:val="00675C07"/>
    <w:rsid w:val="00675F39"/>
    <w:rsid w:val="0067713C"/>
    <w:rsid w:val="00683924"/>
    <w:rsid w:val="00692F66"/>
    <w:rsid w:val="00694F6E"/>
    <w:rsid w:val="00695E7B"/>
    <w:rsid w:val="00697B5E"/>
    <w:rsid w:val="006A1DFF"/>
    <w:rsid w:val="006A1E76"/>
    <w:rsid w:val="006A2FA2"/>
    <w:rsid w:val="006B0288"/>
    <w:rsid w:val="006B46A2"/>
    <w:rsid w:val="006B4B75"/>
    <w:rsid w:val="006B4FAE"/>
    <w:rsid w:val="006B57A7"/>
    <w:rsid w:val="006C09B7"/>
    <w:rsid w:val="006C2554"/>
    <w:rsid w:val="006C6E4D"/>
    <w:rsid w:val="006C6F31"/>
    <w:rsid w:val="006D3182"/>
    <w:rsid w:val="006D470B"/>
    <w:rsid w:val="006D5253"/>
    <w:rsid w:val="006E0083"/>
    <w:rsid w:val="006E3019"/>
    <w:rsid w:val="006E76B6"/>
    <w:rsid w:val="006F27E5"/>
    <w:rsid w:val="006F3A77"/>
    <w:rsid w:val="006F5606"/>
    <w:rsid w:val="006F67DB"/>
    <w:rsid w:val="006F6BDF"/>
    <w:rsid w:val="007014D9"/>
    <w:rsid w:val="007040FF"/>
    <w:rsid w:val="007045A1"/>
    <w:rsid w:val="00704F5F"/>
    <w:rsid w:val="0070768D"/>
    <w:rsid w:val="007079F2"/>
    <w:rsid w:val="00710300"/>
    <w:rsid w:val="00710D6B"/>
    <w:rsid w:val="0071265A"/>
    <w:rsid w:val="00713907"/>
    <w:rsid w:val="00713E07"/>
    <w:rsid w:val="0071476F"/>
    <w:rsid w:val="00715A2C"/>
    <w:rsid w:val="00716D9A"/>
    <w:rsid w:val="00720E05"/>
    <w:rsid w:val="00725875"/>
    <w:rsid w:val="00726821"/>
    <w:rsid w:val="00730CB0"/>
    <w:rsid w:val="00731082"/>
    <w:rsid w:val="00733817"/>
    <w:rsid w:val="0073500D"/>
    <w:rsid w:val="00735901"/>
    <w:rsid w:val="00735AC9"/>
    <w:rsid w:val="007417D2"/>
    <w:rsid w:val="007430F4"/>
    <w:rsid w:val="0074413F"/>
    <w:rsid w:val="00746D1D"/>
    <w:rsid w:val="00750B8E"/>
    <w:rsid w:val="00751115"/>
    <w:rsid w:val="00751DAA"/>
    <w:rsid w:val="00754592"/>
    <w:rsid w:val="00755DB2"/>
    <w:rsid w:val="007562EE"/>
    <w:rsid w:val="00764988"/>
    <w:rsid w:val="00764D82"/>
    <w:rsid w:val="0077003E"/>
    <w:rsid w:val="00771359"/>
    <w:rsid w:val="00773EDB"/>
    <w:rsid w:val="007742CA"/>
    <w:rsid w:val="0078066A"/>
    <w:rsid w:val="00780A15"/>
    <w:rsid w:val="00780FE9"/>
    <w:rsid w:val="007819F8"/>
    <w:rsid w:val="00782719"/>
    <w:rsid w:val="00784330"/>
    <w:rsid w:val="00786680"/>
    <w:rsid w:val="00786E6A"/>
    <w:rsid w:val="007923D6"/>
    <w:rsid w:val="00795E29"/>
    <w:rsid w:val="0079747F"/>
    <w:rsid w:val="007A02B8"/>
    <w:rsid w:val="007A0AD1"/>
    <w:rsid w:val="007A18AA"/>
    <w:rsid w:val="007A2E2D"/>
    <w:rsid w:val="007A5D49"/>
    <w:rsid w:val="007B08DE"/>
    <w:rsid w:val="007C07BE"/>
    <w:rsid w:val="007C1470"/>
    <w:rsid w:val="007C1690"/>
    <w:rsid w:val="007C1B1D"/>
    <w:rsid w:val="007C28C2"/>
    <w:rsid w:val="007C3E71"/>
    <w:rsid w:val="007C58B8"/>
    <w:rsid w:val="007C620C"/>
    <w:rsid w:val="007C7A5B"/>
    <w:rsid w:val="007D0DFE"/>
    <w:rsid w:val="007D179F"/>
    <w:rsid w:val="007D20AC"/>
    <w:rsid w:val="007D32AC"/>
    <w:rsid w:val="007D6A7D"/>
    <w:rsid w:val="007E0B6D"/>
    <w:rsid w:val="007E54D8"/>
    <w:rsid w:val="007E6F49"/>
    <w:rsid w:val="007F135B"/>
    <w:rsid w:val="007F29AE"/>
    <w:rsid w:val="007F7E3A"/>
    <w:rsid w:val="00800F61"/>
    <w:rsid w:val="008012F2"/>
    <w:rsid w:val="00804F47"/>
    <w:rsid w:val="008059DE"/>
    <w:rsid w:val="00806995"/>
    <w:rsid w:val="0081143B"/>
    <w:rsid w:val="0081315D"/>
    <w:rsid w:val="008146B5"/>
    <w:rsid w:val="008207A9"/>
    <w:rsid w:val="00823B56"/>
    <w:rsid w:val="008242D2"/>
    <w:rsid w:val="00825314"/>
    <w:rsid w:val="00827BB7"/>
    <w:rsid w:val="00830384"/>
    <w:rsid w:val="00833053"/>
    <w:rsid w:val="00837FA5"/>
    <w:rsid w:val="008411CB"/>
    <w:rsid w:val="00842405"/>
    <w:rsid w:val="00843581"/>
    <w:rsid w:val="008437A1"/>
    <w:rsid w:val="00845077"/>
    <w:rsid w:val="00846533"/>
    <w:rsid w:val="008539FD"/>
    <w:rsid w:val="00856220"/>
    <w:rsid w:val="00861C64"/>
    <w:rsid w:val="0086269B"/>
    <w:rsid w:val="008626FF"/>
    <w:rsid w:val="00864D83"/>
    <w:rsid w:val="008655A9"/>
    <w:rsid w:val="00866913"/>
    <w:rsid w:val="00871586"/>
    <w:rsid w:val="00871689"/>
    <w:rsid w:val="00872551"/>
    <w:rsid w:val="00872CA1"/>
    <w:rsid w:val="00874BBC"/>
    <w:rsid w:val="00875934"/>
    <w:rsid w:val="0087599F"/>
    <w:rsid w:val="008778B5"/>
    <w:rsid w:val="00881152"/>
    <w:rsid w:val="00882333"/>
    <w:rsid w:val="008844EA"/>
    <w:rsid w:val="00885891"/>
    <w:rsid w:val="008908E9"/>
    <w:rsid w:val="00890984"/>
    <w:rsid w:val="008946DC"/>
    <w:rsid w:val="00897187"/>
    <w:rsid w:val="00897343"/>
    <w:rsid w:val="008976FD"/>
    <w:rsid w:val="008A5549"/>
    <w:rsid w:val="008B43D1"/>
    <w:rsid w:val="008B4431"/>
    <w:rsid w:val="008B46F9"/>
    <w:rsid w:val="008B66A6"/>
    <w:rsid w:val="008C0007"/>
    <w:rsid w:val="008C26AF"/>
    <w:rsid w:val="008C5810"/>
    <w:rsid w:val="008C757C"/>
    <w:rsid w:val="008D05D7"/>
    <w:rsid w:val="008D0A50"/>
    <w:rsid w:val="008D3B57"/>
    <w:rsid w:val="008D3D5A"/>
    <w:rsid w:val="008D7684"/>
    <w:rsid w:val="008D7C8D"/>
    <w:rsid w:val="008E03EF"/>
    <w:rsid w:val="008E31F8"/>
    <w:rsid w:val="008E3276"/>
    <w:rsid w:val="008E4DA6"/>
    <w:rsid w:val="008E5398"/>
    <w:rsid w:val="008E67B7"/>
    <w:rsid w:val="008E729E"/>
    <w:rsid w:val="008F1642"/>
    <w:rsid w:val="008F3313"/>
    <w:rsid w:val="008F58BB"/>
    <w:rsid w:val="008F5A53"/>
    <w:rsid w:val="008F6B16"/>
    <w:rsid w:val="00901296"/>
    <w:rsid w:val="00910F3C"/>
    <w:rsid w:val="00912F05"/>
    <w:rsid w:val="00913B5C"/>
    <w:rsid w:val="00916257"/>
    <w:rsid w:val="00916489"/>
    <w:rsid w:val="00916C36"/>
    <w:rsid w:val="00916C4B"/>
    <w:rsid w:val="009175CB"/>
    <w:rsid w:val="0091763A"/>
    <w:rsid w:val="00922163"/>
    <w:rsid w:val="00924F46"/>
    <w:rsid w:val="00926756"/>
    <w:rsid w:val="00930B5C"/>
    <w:rsid w:val="00933986"/>
    <w:rsid w:val="00933B50"/>
    <w:rsid w:val="00934E99"/>
    <w:rsid w:val="00935D26"/>
    <w:rsid w:val="00935EA4"/>
    <w:rsid w:val="009403C4"/>
    <w:rsid w:val="00940BCB"/>
    <w:rsid w:val="00941B65"/>
    <w:rsid w:val="00942F37"/>
    <w:rsid w:val="0094612C"/>
    <w:rsid w:val="009466FB"/>
    <w:rsid w:val="00946C30"/>
    <w:rsid w:val="00947EE4"/>
    <w:rsid w:val="00954C75"/>
    <w:rsid w:val="009578FF"/>
    <w:rsid w:val="009602BA"/>
    <w:rsid w:val="00961FB7"/>
    <w:rsid w:val="00964721"/>
    <w:rsid w:val="00964F1D"/>
    <w:rsid w:val="00973570"/>
    <w:rsid w:val="00973804"/>
    <w:rsid w:val="00973C45"/>
    <w:rsid w:val="00975493"/>
    <w:rsid w:val="009801D2"/>
    <w:rsid w:val="00980505"/>
    <w:rsid w:val="00984437"/>
    <w:rsid w:val="00985002"/>
    <w:rsid w:val="009851F9"/>
    <w:rsid w:val="00986B37"/>
    <w:rsid w:val="009A0CCE"/>
    <w:rsid w:val="009A103A"/>
    <w:rsid w:val="009A3A79"/>
    <w:rsid w:val="009A7B23"/>
    <w:rsid w:val="009B2FE4"/>
    <w:rsid w:val="009B3FC2"/>
    <w:rsid w:val="009B6C0C"/>
    <w:rsid w:val="009B6D17"/>
    <w:rsid w:val="009C010E"/>
    <w:rsid w:val="009C0325"/>
    <w:rsid w:val="009C0A57"/>
    <w:rsid w:val="009C42BE"/>
    <w:rsid w:val="009D3701"/>
    <w:rsid w:val="009D3734"/>
    <w:rsid w:val="009D714C"/>
    <w:rsid w:val="009E0142"/>
    <w:rsid w:val="009E02AE"/>
    <w:rsid w:val="009E08BC"/>
    <w:rsid w:val="009E228C"/>
    <w:rsid w:val="009E767E"/>
    <w:rsid w:val="009E79D8"/>
    <w:rsid w:val="009E7E4D"/>
    <w:rsid w:val="009F18DB"/>
    <w:rsid w:val="009F1A35"/>
    <w:rsid w:val="00A009F2"/>
    <w:rsid w:val="00A0220A"/>
    <w:rsid w:val="00A0422D"/>
    <w:rsid w:val="00A0646F"/>
    <w:rsid w:val="00A07264"/>
    <w:rsid w:val="00A11676"/>
    <w:rsid w:val="00A11FB3"/>
    <w:rsid w:val="00A12AB0"/>
    <w:rsid w:val="00A138A2"/>
    <w:rsid w:val="00A14605"/>
    <w:rsid w:val="00A15F5C"/>
    <w:rsid w:val="00A15FEE"/>
    <w:rsid w:val="00A16B22"/>
    <w:rsid w:val="00A2176B"/>
    <w:rsid w:val="00A26882"/>
    <w:rsid w:val="00A30683"/>
    <w:rsid w:val="00A3222E"/>
    <w:rsid w:val="00A34119"/>
    <w:rsid w:val="00A413E0"/>
    <w:rsid w:val="00A42FE4"/>
    <w:rsid w:val="00A44AF2"/>
    <w:rsid w:val="00A46430"/>
    <w:rsid w:val="00A469E2"/>
    <w:rsid w:val="00A46FC1"/>
    <w:rsid w:val="00A47136"/>
    <w:rsid w:val="00A50366"/>
    <w:rsid w:val="00A51301"/>
    <w:rsid w:val="00A529EC"/>
    <w:rsid w:val="00A52A4C"/>
    <w:rsid w:val="00A52D24"/>
    <w:rsid w:val="00A56308"/>
    <w:rsid w:val="00A65330"/>
    <w:rsid w:val="00A70B07"/>
    <w:rsid w:val="00A74E83"/>
    <w:rsid w:val="00A77424"/>
    <w:rsid w:val="00A80049"/>
    <w:rsid w:val="00A826C1"/>
    <w:rsid w:val="00A8313F"/>
    <w:rsid w:val="00A84C25"/>
    <w:rsid w:val="00A85364"/>
    <w:rsid w:val="00A90DDC"/>
    <w:rsid w:val="00A9192D"/>
    <w:rsid w:val="00A930CB"/>
    <w:rsid w:val="00A9393B"/>
    <w:rsid w:val="00AA2379"/>
    <w:rsid w:val="00AA23BB"/>
    <w:rsid w:val="00AA24B9"/>
    <w:rsid w:val="00AA2652"/>
    <w:rsid w:val="00AA27B6"/>
    <w:rsid w:val="00AA4210"/>
    <w:rsid w:val="00AA4269"/>
    <w:rsid w:val="00AA4B39"/>
    <w:rsid w:val="00AA4E51"/>
    <w:rsid w:val="00AB0F4F"/>
    <w:rsid w:val="00AB31A3"/>
    <w:rsid w:val="00AB3390"/>
    <w:rsid w:val="00AB3DA3"/>
    <w:rsid w:val="00AB3E9B"/>
    <w:rsid w:val="00AB5B4F"/>
    <w:rsid w:val="00AC2AB5"/>
    <w:rsid w:val="00AC4800"/>
    <w:rsid w:val="00AC57D1"/>
    <w:rsid w:val="00AC6F17"/>
    <w:rsid w:val="00AD0C43"/>
    <w:rsid w:val="00AD1707"/>
    <w:rsid w:val="00AD1B14"/>
    <w:rsid w:val="00AD3261"/>
    <w:rsid w:val="00AD354D"/>
    <w:rsid w:val="00AD4E5C"/>
    <w:rsid w:val="00AD569D"/>
    <w:rsid w:val="00AD7FB4"/>
    <w:rsid w:val="00AE1212"/>
    <w:rsid w:val="00AE4CB6"/>
    <w:rsid w:val="00AE744A"/>
    <w:rsid w:val="00AF2B2C"/>
    <w:rsid w:val="00AF3980"/>
    <w:rsid w:val="00AF4350"/>
    <w:rsid w:val="00AF4E84"/>
    <w:rsid w:val="00AF5B24"/>
    <w:rsid w:val="00B04B1E"/>
    <w:rsid w:val="00B05EDA"/>
    <w:rsid w:val="00B067F5"/>
    <w:rsid w:val="00B06C79"/>
    <w:rsid w:val="00B1008E"/>
    <w:rsid w:val="00B1027C"/>
    <w:rsid w:val="00B1431E"/>
    <w:rsid w:val="00B14B9B"/>
    <w:rsid w:val="00B16DF4"/>
    <w:rsid w:val="00B17000"/>
    <w:rsid w:val="00B23678"/>
    <w:rsid w:val="00B247C6"/>
    <w:rsid w:val="00B25F58"/>
    <w:rsid w:val="00B26BBE"/>
    <w:rsid w:val="00B27173"/>
    <w:rsid w:val="00B27B66"/>
    <w:rsid w:val="00B310C6"/>
    <w:rsid w:val="00B3479A"/>
    <w:rsid w:val="00B40900"/>
    <w:rsid w:val="00B411B4"/>
    <w:rsid w:val="00B42127"/>
    <w:rsid w:val="00B4706A"/>
    <w:rsid w:val="00B511AB"/>
    <w:rsid w:val="00B52F33"/>
    <w:rsid w:val="00B574A6"/>
    <w:rsid w:val="00B6056B"/>
    <w:rsid w:val="00B610ED"/>
    <w:rsid w:val="00B63C0F"/>
    <w:rsid w:val="00B665FB"/>
    <w:rsid w:val="00B6773F"/>
    <w:rsid w:val="00B7174E"/>
    <w:rsid w:val="00B717A1"/>
    <w:rsid w:val="00B74F68"/>
    <w:rsid w:val="00B75207"/>
    <w:rsid w:val="00B76953"/>
    <w:rsid w:val="00B76B9F"/>
    <w:rsid w:val="00B77BFB"/>
    <w:rsid w:val="00B80154"/>
    <w:rsid w:val="00B8221C"/>
    <w:rsid w:val="00B85694"/>
    <w:rsid w:val="00B85C05"/>
    <w:rsid w:val="00B8705D"/>
    <w:rsid w:val="00B91060"/>
    <w:rsid w:val="00B91C8B"/>
    <w:rsid w:val="00B92CFF"/>
    <w:rsid w:val="00B9448C"/>
    <w:rsid w:val="00B95CEE"/>
    <w:rsid w:val="00B97257"/>
    <w:rsid w:val="00B97DD1"/>
    <w:rsid w:val="00BA0C49"/>
    <w:rsid w:val="00BA0F3E"/>
    <w:rsid w:val="00BA4C64"/>
    <w:rsid w:val="00BA58EE"/>
    <w:rsid w:val="00BA688C"/>
    <w:rsid w:val="00BA745A"/>
    <w:rsid w:val="00BB0A0A"/>
    <w:rsid w:val="00BB0A37"/>
    <w:rsid w:val="00BB10A3"/>
    <w:rsid w:val="00BB30BD"/>
    <w:rsid w:val="00BC0EEF"/>
    <w:rsid w:val="00BD2433"/>
    <w:rsid w:val="00BD6819"/>
    <w:rsid w:val="00BD7E04"/>
    <w:rsid w:val="00BE2B47"/>
    <w:rsid w:val="00BE3BA7"/>
    <w:rsid w:val="00BE65A0"/>
    <w:rsid w:val="00BE77C5"/>
    <w:rsid w:val="00BE7C32"/>
    <w:rsid w:val="00BE7F47"/>
    <w:rsid w:val="00BF1548"/>
    <w:rsid w:val="00BF33A2"/>
    <w:rsid w:val="00BF451A"/>
    <w:rsid w:val="00C113BD"/>
    <w:rsid w:val="00C11E49"/>
    <w:rsid w:val="00C141A1"/>
    <w:rsid w:val="00C159AC"/>
    <w:rsid w:val="00C1610D"/>
    <w:rsid w:val="00C174D1"/>
    <w:rsid w:val="00C220B4"/>
    <w:rsid w:val="00C22993"/>
    <w:rsid w:val="00C23E37"/>
    <w:rsid w:val="00C25417"/>
    <w:rsid w:val="00C25694"/>
    <w:rsid w:val="00C26071"/>
    <w:rsid w:val="00C26B9C"/>
    <w:rsid w:val="00C30CCC"/>
    <w:rsid w:val="00C3164A"/>
    <w:rsid w:val="00C32E81"/>
    <w:rsid w:val="00C330E4"/>
    <w:rsid w:val="00C33ACA"/>
    <w:rsid w:val="00C33C87"/>
    <w:rsid w:val="00C35CE3"/>
    <w:rsid w:val="00C363C8"/>
    <w:rsid w:val="00C40617"/>
    <w:rsid w:val="00C424F0"/>
    <w:rsid w:val="00C42677"/>
    <w:rsid w:val="00C42DE6"/>
    <w:rsid w:val="00C44916"/>
    <w:rsid w:val="00C46864"/>
    <w:rsid w:val="00C5081C"/>
    <w:rsid w:val="00C51042"/>
    <w:rsid w:val="00C51C1D"/>
    <w:rsid w:val="00C53AF5"/>
    <w:rsid w:val="00C5494E"/>
    <w:rsid w:val="00C550C9"/>
    <w:rsid w:val="00C5608D"/>
    <w:rsid w:val="00C56BE7"/>
    <w:rsid w:val="00C57075"/>
    <w:rsid w:val="00C57A81"/>
    <w:rsid w:val="00C60901"/>
    <w:rsid w:val="00C65387"/>
    <w:rsid w:val="00C73C04"/>
    <w:rsid w:val="00C754D4"/>
    <w:rsid w:val="00C75A34"/>
    <w:rsid w:val="00C80650"/>
    <w:rsid w:val="00C807B9"/>
    <w:rsid w:val="00C82549"/>
    <w:rsid w:val="00C853B2"/>
    <w:rsid w:val="00C93908"/>
    <w:rsid w:val="00C96366"/>
    <w:rsid w:val="00CA2DED"/>
    <w:rsid w:val="00CA4A77"/>
    <w:rsid w:val="00CA5589"/>
    <w:rsid w:val="00CA63B8"/>
    <w:rsid w:val="00CA7C0B"/>
    <w:rsid w:val="00CB6A4A"/>
    <w:rsid w:val="00CB6A99"/>
    <w:rsid w:val="00CC0626"/>
    <w:rsid w:val="00CC26E1"/>
    <w:rsid w:val="00CC31E4"/>
    <w:rsid w:val="00CC3942"/>
    <w:rsid w:val="00CC4292"/>
    <w:rsid w:val="00CD05BE"/>
    <w:rsid w:val="00CD0A3E"/>
    <w:rsid w:val="00CD129F"/>
    <w:rsid w:val="00CD308E"/>
    <w:rsid w:val="00CD34F6"/>
    <w:rsid w:val="00CD3AA9"/>
    <w:rsid w:val="00CD5EA7"/>
    <w:rsid w:val="00CD6110"/>
    <w:rsid w:val="00CE194F"/>
    <w:rsid w:val="00CE2E76"/>
    <w:rsid w:val="00CE410A"/>
    <w:rsid w:val="00CE55E7"/>
    <w:rsid w:val="00CE7C28"/>
    <w:rsid w:val="00CF3BD4"/>
    <w:rsid w:val="00CF452C"/>
    <w:rsid w:val="00CF5FF2"/>
    <w:rsid w:val="00CF679B"/>
    <w:rsid w:val="00CF7042"/>
    <w:rsid w:val="00D0095F"/>
    <w:rsid w:val="00D010DC"/>
    <w:rsid w:val="00D0290D"/>
    <w:rsid w:val="00D030B3"/>
    <w:rsid w:val="00D032BC"/>
    <w:rsid w:val="00D048E7"/>
    <w:rsid w:val="00D126A7"/>
    <w:rsid w:val="00D13362"/>
    <w:rsid w:val="00D142EE"/>
    <w:rsid w:val="00D14301"/>
    <w:rsid w:val="00D17B7C"/>
    <w:rsid w:val="00D23D47"/>
    <w:rsid w:val="00D246A8"/>
    <w:rsid w:val="00D253FE"/>
    <w:rsid w:val="00D303C5"/>
    <w:rsid w:val="00D33895"/>
    <w:rsid w:val="00D37260"/>
    <w:rsid w:val="00D407F9"/>
    <w:rsid w:val="00D4372E"/>
    <w:rsid w:val="00D43E8C"/>
    <w:rsid w:val="00D451F0"/>
    <w:rsid w:val="00D45408"/>
    <w:rsid w:val="00D55BCB"/>
    <w:rsid w:val="00D57262"/>
    <w:rsid w:val="00D6097C"/>
    <w:rsid w:val="00D62C64"/>
    <w:rsid w:val="00D67FB4"/>
    <w:rsid w:val="00D70568"/>
    <w:rsid w:val="00D7529B"/>
    <w:rsid w:val="00D76294"/>
    <w:rsid w:val="00D77F61"/>
    <w:rsid w:val="00D8119E"/>
    <w:rsid w:val="00D82ED0"/>
    <w:rsid w:val="00D8385F"/>
    <w:rsid w:val="00D84F57"/>
    <w:rsid w:val="00D91693"/>
    <w:rsid w:val="00D940D3"/>
    <w:rsid w:val="00D94B46"/>
    <w:rsid w:val="00D959D1"/>
    <w:rsid w:val="00D95F2D"/>
    <w:rsid w:val="00DA0B04"/>
    <w:rsid w:val="00DA2668"/>
    <w:rsid w:val="00DA3685"/>
    <w:rsid w:val="00DA3A34"/>
    <w:rsid w:val="00DA5730"/>
    <w:rsid w:val="00DA718D"/>
    <w:rsid w:val="00DA7231"/>
    <w:rsid w:val="00DB4189"/>
    <w:rsid w:val="00DC0986"/>
    <w:rsid w:val="00DD2007"/>
    <w:rsid w:val="00DE0359"/>
    <w:rsid w:val="00DE1DC0"/>
    <w:rsid w:val="00DE6C96"/>
    <w:rsid w:val="00DF3DEE"/>
    <w:rsid w:val="00DF47D8"/>
    <w:rsid w:val="00DF4A31"/>
    <w:rsid w:val="00DF4DC3"/>
    <w:rsid w:val="00DF61F7"/>
    <w:rsid w:val="00E04B9B"/>
    <w:rsid w:val="00E0546C"/>
    <w:rsid w:val="00E06075"/>
    <w:rsid w:val="00E06742"/>
    <w:rsid w:val="00E101B1"/>
    <w:rsid w:val="00E10D3D"/>
    <w:rsid w:val="00E11B0F"/>
    <w:rsid w:val="00E12167"/>
    <w:rsid w:val="00E12497"/>
    <w:rsid w:val="00E146B8"/>
    <w:rsid w:val="00E152A8"/>
    <w:rsid w:val="00E24C78"/>
    <w:rsid w:val="00E3481F"/>
    <w:rsid w:val="00E40181"/>
    <w:rsid w:val="00E411E9"/>
    <w:rsid w:val="00E42495"/>
    <w:rsid w:val="00E44171"/>
    <w:rsid w:val="00E44985"/>
    <w:rsid w:val="00E453C1"/>
    <w:rsid w:val="00E47D9D"/>
    <w:rsid w:val="00E50493"/>
    <w:rsid w:val="00E52B08"/>
    <w:rsid w:val="00E52F40"/>
    <w:rsid w:val="00E54AB2"/>
    <w:rsid w:val="00E5533C"/>
    <w:rsid w:val="00E56E9B"/>
    <w:rsid w:val="00E60A48"/>
    <w:rsid w:val="00E63CFA"/>
    <w:rsid w:val="00E6568A"/>
    <w:rsid w:val="00E7062B"/>
    <w:rsid w:val="00E71E67"/>
    <w:rsid w:val="00E754AD"/>
    <w:rsid w:val="00E814A3"/>
    <w:rsid w:val="00E81C29"/>
    <w:rsid w:val="00E84A5F"/>
    <w:rsid w:val="00E87430"/>
    <w:rsid w:val="00E875F3"/>
    <w:rsid w:val="00E901AD"/>
    <w:rsid w:val="00E90C7B"/>
    <w:rsid w:val="00E91E83"/>
    <w:rsid w:val="00E921AB"/>
    <w:rsid w:val="00E921D5"/>
    <w:rsid w:val="00E92729"/>
    <w:rsid w:val="00E9310C"/>
    <w:rsid w:val="00E93CC4"/>
    <w:rsid w:val="00E94302"/>
    <w:rsid w:val="00E948C5"/>
    <w:rsid w:val="00E960AD"/>
    <w:rsid w:val="00EA0FF9"/>
    <w:rsid w:val="00EA1B3B"/>
    <w:rsid w:val="00EA1ED6"/>
    <w:rsid w:val="00EA36F9"/>
    <w:rsid w:val="00EA5810"/>
    <w:rsid w:val="00EA66D8"/>
    <w:rsid w:val="00EB0742"/>
    <w:rsid w:val="00EB4AED"/>
    <w:rsid w:val="00EB7588"/>
    <w:rsid w:val="00EC0B6E"/>
    <w:rsid w:val="00EC13E4"/>
    <w:rsid w:val="00EC2A11"/>
    <w:rsid w:val="00EC350B"/>
    <w:rsid w:val="00EC4299"/>
    <w:rsid w:val="00ED0112"/>
    <w:rsid w:val="00ED0DFE"/>
    <w:rsid w:val="00ED2749"/>
    <w:rsid w:val="00ED538B"/>
    <w:rsid w:val="00EE0FC7"/>
    <w:rsid w:val="00EE1213"/>
    <w:rsid w:val="00EE427D"/>
    <w:rsid w:val="00EE512E"/>
    <w:rsid w:val="00EE5149"/>
    <w:rsid w:val="00EF0564"/>
    <w:rsid w:val="00EF2E0E"/>
    <w:rsid w:val="00EF381D"/>
    <w:rsid w:val="00EF432D"/>
    <w:rsid w:val="00EF4A3C"/>
    <w:rsid w:val="00EF4D95"/>
    <w:rsid w:val="00EF75A1"/>
    <w:rsid w:val="00EF7CD3"/>
    <w:rsid w:val="00F0253A"/>
    <w:rsid w:val="00F02685"/>
    <w:rsid w:val="00F03487"/>
    <w:rsid w:val="00F11B04"/>
    <w:rsid w:val="00F12DE3"/>
    <w:rsid w:val="00F12E0F"/>
    <w:rsid w:val="00F1494A"/>
    <w:rsid w:val="00F1612F"/>
    <w:rsid w:val="00F17E75"/>
    <w:rsid w:val="00F2698A"/>
    <w:rsid w:val="00F27772"/>
    <w:rsid w:val="00F31C67"/>
    <w:rsid w:val="00F3246E"/>
    <w:rsid w:val="00F32FCB"/>
    <w:rsid w:val="00F336FF"/>
    <w:rsid w:val="00F35B64"/>
    <w:rsid w:val="00F3757C"/>
    <w:rsid w:val="00F3789D"/>
    <w:rsid w:val="00F412BF"/>
    <w:rsid w:val="00F423A8"/>
    <w:rsid w:val="00F43831"/>
    <w:rsid w:val="00F46692"/>
    <w:rsid w:val="00F469A5"/>
    <w:rsid w:val="00F473EA"/>
    <w:rsid w:val="00F4797D"/>
    <w:rsid w:val="00F50095"/>
    <w:rsid w:val="00F50C9E"/>
    <w:rsid w:val="00F512D3"/>
    <w:rsid w:val="00F51A74"/>
    <w:rsid w:val="00F52711"/>
    <w:rsid w:val="00F57362"/>
    <w:rsid w:val="00F60A4C"/>
    <w:rsid w:val="00F613F6"/>
    <w:rsid w:val="00F61702"/>
    <w:rsid w:val="00F62167"/>
    <w:rsid w:val="00F62AC2"/>
    <w:rsid w:val="00F62AD0"/>
    <w:rsid w:val="00F639DA"/>
    <w:rsid w:val="00F665B9"/>
    <w:rsid w:val="00F66656"/>
    <w:rsid w:val="00F6669D"/>
    <w:rsid w:val="00F66F58"/>
    <w:rsid w:val="00F7050F"/>
    <w:rsid w:val="00F72381"/>
    <w:rsid w:val="00F73769"/>
    <w:rsid w:val="00F73FD4"/>
    <w:rsid w:val="00F77540"/>
    <w:rsid w:val="00F912BF"/>
    <w:rsid w:val="00F91980"/>
    <w:rsid w:val="00F932D1"/>
    <w:rsid w:val="00F93CE6"/>
    <w:rsid w:val="00F96F04"/>
    <w:rsid w:val="00F97B3C"/>
    <w:rsid w:val="00FA080C"/>
    <w:rsid w:val="00FA1022"/>
    <w:rsid w:val="00FA2BDB"/>
    <w:rsid w:val="00FA34A3"/>
    <w:rsid w:val="00FA4A86"/>
    <w:rsid w:val="00FA5AF4"/>
    <w:rsid w:val="00FA61FF"/>
    <w:rsid w:val="00FA62BD"/>
    <w:rsid w:val="00FA762D"/>
    <w:rsid w:val="00FA7E99"/>
    <w:rsid w:val="00FB00DA"/>
    <w:rsid w:val="00FB0930"/>
    <w:rsid w:val="00FB1C01"/>
    <w:rsid w:val="00FB49E6"/>
    <w:rsid w:val="00FB4B33"/>
    <w:rsid w:val="00FC370A"/>
    <w:rsid w:val="00FC3C36"/>
    <w:rsid w:val="00FD1F40"/>
    <w:rsid w:val="00FD28E3"/>
    <w:rsid w:val="00FD436E"/>
    <w:rsid w:val="00FD4DCC"/>
    <w:rsid w:val="00FD553C"/>
    <w:rsid w:val="00FD5738"/>
    <w:rsid w:val="00FD5FD2"/>
    <w:rsid w:val="00FD6BED"/>
    <w:rsid w:val="00FD6DC8"/>
    <w:rsid w:val="00FE0255"/>
    <w:rsid w:val="00FE0844"/>
    <w:rsid w:val="00FE4475"/>
    <w:rsid w:val="00FE4807"/>
    <w:rsid w:val="00FE587C"/>
    <w:rsid w:val="00FE6EFC"/>
    <w:rsid w:val="00FF1B52"/>
    <w:rsid w:val="00FF1D17"/>
    <w:rsid w:val="00FF4F54"/>
    <w:rsid w:val="00FF6964"/>
    <w:rsid w:val="00FF6EEA"/>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011A"/>
  <w15:chartTrackingRefBased/>
  <w15:docId w15:val="{EB933E57-7E0F-4D4E-92AC-DFA09FC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B0A0A"/>
    <w:pPr>
      <w:keepNext/>
      <w:suppressAutoHyphens/>
      <w:spacing w:after="0" w:line="240" w:lineRule="auto"/>
      <w:jc w:val="center"/>
      <w:outlineLvl w:val="0"/>
    </w:pPr>
    <w:rPr>
      <w:rFonts w:ascii="Arial" w:eastAsia="Times New Roman" w:hAnsi="Arial" w:cs="Times New Roman"/>
      <w:b/>
      <w:iCs/>
      <w:sz w:val="18"/>
      <w:szCs w:val="18"/>
      <w:lang w:val="tr-TR" w:eastAsia="ar-SA"/>
    </w:rPr>
  </w:style>
  <w:style w:type="paragraph" w:styleId="Heading2">
    <w:name w:val="heading 2"/>
    <w:basedOn w:val="Normal"/>
    <w:next w:val="Normal"/>
    <w:link w:val="Heading2Char"/>
    <w:uiPriority w:val="99"/>
    <w:qFormat/>
    <w:rsid w:val="00BB0A0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
    <w:unhideWhenUsed/>
    <w:qFormat/>
    <w:rsid w:val="00CE41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52C"/>
    <w:pPr>
      <w:spacing w:after="0" w:line="240" w:lineRule="auto"/>
    </w:pPr>
    <w:rPr>
      <w:rFonts w:eastAsiaTheme="minorEastAsia"/>
      <w:sz w:val="20"/>
      <w:szCs w:val="20"/>
      <w:lang w:val="tr-TR" w:eastAsia="tr-TR"/>
    </w:rPr>
  </w:style>
  <w:style w:type="character" w:customStyle="1" w:styleId="FootnoteTextChar">
    <w:name w:val="Footnote Text Char"/>
    <w:basedOn w:val="DefaultParagraphFont"/>
    <w:link w:val="FootnoteText"/>
    <w:uiPriority w:val="99"/>
    <w:rsid w:val="00CF452C"/>
    <w:rPr>
      <w:rFonts w:eastAsiaTheme="minorEastAsia"/>
      <w:sz w:val="20"/>
      <w:szCs w:val="20"/>
      <w:lang w:val="tr-TR" w:eastAsia="tr-TR"/>
    </w:rPr>
  </w:style>
  <w:style w:type="character" w:styleId="FootnoteReference">
    <w:name w:val="footnote reference"/>
    <w:basedOn w:val="DefaultParagraphFont"/>
    <w:uiPriority w:val="99"/>
    <w:unhideWhenUsed/>
    <w:rsid w:val="00CF452C"/>
    <w:rPr>
      <w:vertAlign w:val="superscript"/>
    </w:rPr>
  </w:style>
  <w:style w:type="paragraph" w:styleId="ListParagraph">
    <w:name w:val="List Paragraph"/>
    <w:basedOn w:val="Normal"/>
    <w:uiPriority w:val="34"/>
    <w:qFormat/>
    <w:rsid w:val="00C33C87"/>
    <w:pPr>
      <w:ind w:left="720"/>
      <w:contextualSpacing/>
    </w:pPr>
  </w:style>
  <w:style w:type="paragraph" w:styleId="Caption">
    <w:name w:val="caption"/>
    <w:basedOn w:val="Normal"/>
    <w:next w:val="Normal"/>
    <w:uiPriority w:val="35"/>
    <w:unhideWhenUsed/>
    <w:qFormat/>
    <w:rsid w:val="005625F4"/>
    <w:pPr>
      <w:spacing w:after="200" w:line="240" w:lineRule="auto"/>
    </w:pPr>
    <w:rPr>
      <w:b/>
      <w:iCs/>
      <w:szCs w:val="18"/>
    </w:rPr>
  </w:style>
  <w:style w:type="paragraph" w:styleId="Header">
    <w:name w:val="header"/>
    <w:basedOn w:val="Normal"/>
    <w:link w:val="HeaderChar"/>
    <w:uiPriority w:val="99"/>
    <w:unhideWhenUsed/>
    <w:rsid w:val="002B7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7898"/>
  </w:style>
  <w:style w:type="paragraph" w:styleId="Footer">
    <w:name w:val="footer"/>
    <w:basedOn w:val="Normal"/>
    <w:link w:val="FooterChar"/>
    <w:uiPriority w:val="99"/>
    <w:unhideWhenUsed/>
    <w:rsid w:val="002B7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898"/>
  </w:style>
  <w:style w:type="paragraph" w:styleId="BalloonText">
    <w:name w:val="Balloon Text"/>
    <w:basedOn w:val="Normal"/>
    <w:link w:val="BalloonTextChar"/>
    <w:uiPriority w:val="99"/>
    <w:semiHidden/>
    <w:unhideWhenUsed/>
    <w:rsid w:val="0058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24"/>
    <w:rPr>
      <w:rFonts w:ascii="Segoe UI" w:hAnsi="Segoe UI" w:cs="Segoe UI"/>
      <w:sz w:val="18"/>
      <w:szCs w:val="18"/>
    </w:rPr>
  </w:style>
  <w:style w:type="paragraph" w:styleId="NoSpacing">
    <w:name w:val="No Spacing"/>
    <w:uiPriority w:val="1"/>
    <w:qFormat/>
    <w:rsid w:val="00B74F68"/>
    <w:pPr>
      <w:suppressAutoHyphens/>
      <w:spacing w:after="0" w:line="240" w:lineRule="auto"/>
    </w:pPr>
    <w:rPr>
      <w:rFonts w:ascii="Arial" w:eastAsia="Times New Roman" w:hAnsi="Arial" w:cs="Arial"/>
      <w:sz w:val="16"/>
      <w:szCs w:val="16"/>
      <w:lang w:val="tr-TR" w:eastAsia="ar-SA"/>
    </w:rPr>
  </w:style>
  <w:style w:type="character" w:styleId="CommentReference">
    <w:name w:val="annotation reference"/>
    <w:basedOn w:val="DefaultParagraphFont"/>
    <w:uiPriority w:val="99"/>
    <w:semiHidden/>
    <w:unhideWhenUsed/>
    <w:rsid w:val="00916489"/>
    <w:rPr>
      <w:sz w:val="18"/>
      <w:szCs w:val="18"/>
    </w:rPr>
  </w:style>
  <w:style w:type="paragraph" w:styleId="CommentText">
    <w:name w:val="annotation text"/>
    <w:basedOn w:val="Normal"/>
    <w:link w:val="CommentTextChar"/>
    <w:uiPriority w:val="99"/>
    <w:semiHidden/>
    <w:unhideWhenUsed/>
    <w:rsid w:val="00916489"/>
    <w:pPr>
      <w:spacing w:line="240" w:lineRule="auto"/>
    </w:pPr>
    <w:rPr>
      <w:sz w:val="24"/>
      <w:szCs w:val="24"/>
    </w:rPr>
  </w:style>
  <w:style w:type="character" w:customStyle="1" w:styleId="CommentTextChar">
    <w:name w:val="Comment Text Char"/>
    <w:basedOn w:val="DefaultParagraphFont"/>
    <w:link w:val="CommentText"/>
    <w:uiPriority w:val="99"/>
    <w:semiHidden/>
    <w:rsid w:val="00916489"/>
    <w:rPr>
      <w:sz w:val="24"/>
      <w:szCs w:val="24"/>
    </w:rPr>
  </w:style>
  <w:style w:type="paragraph" w:styleId="CommentSubject">
    <w:name w:val="annotation subject"/>
    <w:basedOn w:val="CommentText"/>
    <w:next w:val="CommentText"/>
    <w:link w:val="CommentSubjectChar"/>
    <w:uiPriority w:val="99"/>
    <w:semiHidden/>
    <w:unhideWhenUsed/>
    <w:rsid w:val="00916489"/>
    <w:rPr>
      <w:b/>
      <w:bCs/>
      <w:sz w:val="20"/>
      <w:szCs w:val="20"/>
    </w:rPr>
  </w:style>
  <w:style w:type="character" w:customStyle="1" w:styleId="CommentSubjectChar">
    <w:name w:val="Comment Subject Char"/>
    <w:basedOn w:val="CommentTextChar"/>
    <w:link w:val="CommentSubject"/>
    <w:uiPriority w:val="99"/>
    <w:semiHidden/>
    <w:rsid w:val="00916489"/>
    <w:rPr>
      <w:b/>
      <w:bCs/>
      <w:sz w:val="20"/>
      <w:szCs w:val="20"/>
    </w:rPr>
  </w:style>
  <w:style w:type="character" w:customStyle="1" w:styleId="Heading1Char">
    <w:name w:val="Heading 1 Char"/>
    <w:basedOn w:val="DefaultParagraphFont"/>
    <w:link w:val="Heading1"/>
    <w:uiPriority w:val="99"/>
    <w:rsid w:val="00BB0A0A"/>
    <w:rPr>
      <w:rFonts w:ascii="Arial" w:eastAsia="Times New Roman" w:hAnsi="Arial" w:cs="Times New Roman"/>
      <w:b/>
      <w:iCs/>
      <w:sz w:val="18"/>
      <w:szCs w:val="18"/>
      <w:lang w:val="tr-TR" w:eastAsia="ar-SA"/>
    </w:rPr>
  </w:style>
  <w:style w:type="character" w:customStyle="1" w:styleId="Heading2Char">
    <w:name w:val="Heading 2 Char"/>
    <w:basedOn w:val="DefaultParagraphFont"/>
    <w:link w:val="Heading2"/>
    <w:uiPriority w:val="99"/>
    <w:rsid w:val="00BB0A0A"/>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uiPriority w:val="9"/>
    <w:rsid w:val="00CE410A"/>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81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8274">
      <w:bodyDiv w:val="1"/>
      <w:marLeft w:val="0"/>
      <w:marRight w:val="0"/>
      <w:marTop w:val="0"/>
      <w:marBottom w:val="0"/>
      <w:divBdr>
        <w:top w:val="none" w:sz="0" w:space="0" w:color="auto"/>
        <w:left w:val="none" w:sz="0" w:space="0" w:color="auto"/>
        <w:bottom w:val="none" w:sz="0" w:space="0" w:color="auto"/>
        <w:right w:val="none" w:sz="0" w:space="0" w:color="auto"/>
      </w:divBdr>
    </w:div>
    <w:div w:id="62795267">
      <w:bodyDiv w:val="1"/>
      <w:marLeft w:val="0"/>
      <w:marRight w:val="0"/>
      <w:marTop w:val="0"/>
      <w:marBottom w:val="0"/>
      <w:divBdr>
        <w:top w:val="none" w:sz="0" w:space="0" w:color="auto"/>
        <w:left w:val="none" w:sz="0" w:space="0" w:color="auto"/>
        <w:bottom w:val="none" w:sz="0" w:space="0" w:color="auto"/>
        <w:right w:val="none" w:sz="0" w:space="0" w:color="auto"/>
      </w:divBdr>
    </w:div>
    <w:div w:id="77412908">
      <w:bodyDiv w:val="1"/>
      <w:marLeft w:val="0"/>
      <w:marRight w:val="0"/>
      <w:marTop w:val="0"/>
      <w:marBottom w:val="0"/>
      <w:divBdr>
        <w:top w:val="none" w:sz="0" w:space="0" w:color="auto"/>
        <w:left w:val="none" w:sz="0" w:space="0" w:color="auto"/>
        <w:bottom w:val="none" w:sz="0" w:space="0" w:color="auto"/>
        <w:right w:val="none" w:sz="0" w:space="0" w:color="auto"/>
      </w:divBdr>
    </w:div>
    <w:div w:id="95516685">
      <w:bodyDiv w:val="1"/>
      <w:marLeft w:val="0"/>
      <w:marRight w:val="0"/>
      <w:marTop w:val="0"/>
      <w:marBottom w:val="0"/>
      <w:divBdr>
        <w:top w:val="none" w:sz="0" w:space="0" w:color="auto"/>
        <w:left w:val="none" w:sz="0" w:space="0" w:color="auto"/>
        <w:bottom w:val="none" w:sz="0" w:space="0" w:color="auto"/>
        <w:right w:val="none" w:sz="0" w:space="0" w:color="auto"/>
      </w:divBdr>
    </w:div>
    <w:div w:id="144903853">
      <w:bodyDiv w:val="1"/>
      <w:marLeft w:val="0"/>
      <w:marRight w:val="0"/>
      <w:marTop w:val="0"/>
      <w:marBottom w:val="0"/>
      <w:divBdr>
        <w:top w:val="none" w:sz="0" w:space="0" w:color="auto"/>
        <w:left w:val="none" w:sz="0" w:space="0" w:color="auto"/>
        <w:bottom w:val="none" w:sz="0" w:space="0" w:color="auto"/>
        <w:right w:val="none" w:sz="0" w:space="0" w:color="auto"/>
      </w:divBdr>
    </w:div>
    <w:div w:id="188106900">
      <w:bodyDiv w:val="1"/>
      <w:marLeft w:val="0"/>
      <w:marRight w:val="0"/>
      <w:marTop w:val="0"/>
      <w:marBottom w:val="0"/>
      <w:divBdr>
        <w:top w:val="none" w:sz="0" w:space="0" w:color="auto"/>
        <w:left w:val="none" w:sz="0" w:space="0" w:color="auto"/>
        <w:bottom w:val="none" w:sz="0" w:space="0" w:color="auto"/>
        <w:right w:val="none" w:sz="0" w:space="0" w:color="auto"/>
      </w:divBdr>
    </w:div>
    <w:div w:id="196621575">
      <w:bodyDiv w:val="1"/>
      <w:marLeft w:val="0"/>
      <w:marRight w:val="0"/>
      <w:marTop w:val="0"/>
      <w:marBottom w:val="0"/>
      <w:divBdr>
        <w:top w:val="none" w:sz="0" w:space="0" w:color="auto"/>
        <w:left w:val="none" w:sz="0" w:space="0" w:color="auto"/>
        <w:bottom w:val="none" w:sz="0" w:space="0" w:color="auto"/>
        <w:right w:val="none" w:sz="0" w:space="0" w:color="auto"/>
      </w:divBdr>
    </w:div>
    <w:div w:id="198130619">
      <w:bodyDiv w:val="1"/>
      <w:marLeft w:val="0"/>
      <w:marRight w:val="0"/>
      <w:marTop w:val="0"/>
      <w:marBottom w:val="0"/>
      <w:divBdr>
        <w:top w:val="none" w:sz="0" w:space="0" w:color="auto"/>
        <w:left w:val="none" w:sz="0" w:space="0" w:color="auto"/>
        <w:bottom w:val="none" w:sz="0" w:space="0" w:color="auto"/>
        <w:right w:val="none" w:sz="0" w:space="0" w:color="auto"/>
      </w:divBdr>
    </w:div>
    <w:div w:id="244455902">
      <w:bodyDiv w:val="1"/>
      <w:marLeft w:val="0"/>
      <w:marRight w:val="0"/>
      <w:marTop w:val="0"/>
      <w:marBottom w:val="0"/>
      <w:divBdr>
        <w:top w:val="none" w:sz="0" w:space="0" w:color="auto"/>
        <w:left w:val="none" w:sz="0" w:space="0" w:color="auto"/>
        <w:bottom w:val="none" w:sz="0" w:space="0" w:color="auto"/>
        <w:right w:val="none" w:sz="0" w:space="0" w:color="auto"/>
      </w:divBdr>
    </w:div>
    <w:div w:id="329144782">
      <w:bodyDiv w:val="1"/>
      <w:marLeft w:val="0"/>
      <w:marRight w:val="0"/>
      <w:marTop w:val="0"/>
      <w:marBottom w:val="0"/>
      <w:divBdr>
        <w:top w:val="none" w:sz="0" w:space="0" w:color="auto"/>
        <w:left w:val="none" w:sz="0" w:space="0" w:color="auto"/>
        <w:bottom w:val="none" w:sz="0" w:space="0" w:color="auto"/>
        <w:right w:val="none" w:sz="0" w:space="0" w:color="auto"/>
      </w:divBdr>
    </w:div>
    <w:div w:id="342435738">
      <w:bodyDiv w:val="1"/>
      <w:marLeft w:val="0"/>
      <w:marRight w:val="0"/>
      <w:marTop w:val="0"/>
      <w:marBottom w:val="0"/>
      <w:divBdr>
        <w:top w:val="none" w:sz="0" w:space="0" w:color="auto"/>
        <w:left w:val="none" w:sz="0" w:space="0" w:color="auto"/>
        <w:bottom w:val="none" w:sz="0" w:space="0" w:color="auto"/>
        <w:right w:val="none" w:sz="0" w:space="0" w:color="auto"/>
      </w:divBdr>
    </w:div>
    <w:div w:id="428159920">
      <w:bodyDiv w:val="1"/>
      <w:marLeft w:val="0"/>
      <w:marRight w:val="0"/>
      <w:marTop w:val="0"/>
      <w:marBottom w:val="0"/>
      <w:divBdr>
        <w:top w:val="none" w:sz="0" w:space="0" w:color="auto"/>
        <w:left w:val="none" w:sz="0" w:space="0" w:color="auto"/>
        <w:bottom w:val="none" w:sz="0" w:space="0" w:color="auto"/>
        <w:right w:val="none" w:sz="0" w:space="0" w:color="auto"/>
      </w:divBdr>
    </w:div>
    <w:div w:id="597521561">
      <w:bodyDiv w:val="1"/>
      <w:marLeft w:val="0"/>
      <w:marRight w:val="0"/>
      <w:marTop w:val="0"/>
      <w:marBottom w:val="0"/>
      <w:divBdr>
        <w:top w:val="none" w:sz="0" w:space="0" w:color="auto"/>
        <w:left w:val="none" w:sz="0" w:space="0" w:color="auto"/>
        <w:bottom w:val="none" w:sz="0" w:space="0" w:color="auto"/>
        <w:right w:val="none" w:sz="0" w:space="0" w:color="auto"/>
      </w:divBdr>
    </w:div>
    <w:div w:id="615140686">
      <w:bodyDiv w:val="1"/>
      <w:marLeft w:val="0"/>
      <w:marRight w:val="0"/>
      <w:marTop w:val="0"/>
      <w:marBottom w:val="0"/>
      <w:divBdr>
        <w:top w:val="none" w:sz="0" w:space="0" w:color="auto"/>
        <w:left w:val="none" w:sz="0" w:space="0" w:color="auto"/>
        <w:bottom w:val="none" w:sz="0" w:space="0" w:color="auto"/>
        <w:right w:val="none" w:sz="0" w:space="0" w:color="auto"/>
      </w:divBdr>
    </w:div>
    <w:div w:id="624654753">
      <w:bodyDiv w:val="1"/>
      <w:marLeft w:val="0"/>
      <w:marRight w:val="0"/>
      <w:marTop w:val="0"/>
      <w:marBottom w:val="0"/>
      <w:divBdr>
        <w:top w:val="none" w:sz="0" w:space="0" w:color="auto"/>
        <w:left w:val="none" w:sz="0" w:space="0" w:color="auto"/>
        <w:bottom w:val="none" w:sz="0" w:space="0" w:color="auto"/>
        <w:right w:val="none" w:sz="0" w:space="0" w:color="auto"/>
      </w:divBdr>
    </w:div>
    <w:div w:id="736439547">
      <w:bodyDiv w:val="1"/>
      <w:marLeft w:val="0"/>
      <w:marRight w:val="0"/>
      <w:marTop w:val="0"/>
      <w:marBottom w:val="0"/>
      <w:divBdr>
        <w:top w:val="none" w:sz="0" w:space="0" w:color="auto"/>
        <w:left w:val="none" w:sz="0" w:space="0" w:color="auto"/>
        <w:bottom w:val="none" w:sz="0" w:space="0" w:color="auto"/>
        <w:right w:val="none" w:sz="0" w:space="0" w:color="auto"/>
      </w:divBdr>
    </w:div>
    <w:div w:id="753357748">
      <w:bodyDiv w:val="1"/>
      <w:marLeft w:val="0"/>
      <w:marRight w:val="0"/>
      <w:marTop w:val="0"/>
      <w:marBottom w:val="0"/>
      <w:divBdr>
        <w:top w:val="none" w:sz="0" w:space="0" w:color="auto"/>
        <w:left w:val="none" w:sz="0" w:space="0" w:color="auto"/>
        <w:bottom w:val="none" w:sz="0" w:space="0" w:color="auto"/>
        <w:right w:val="none" w:sz="0" w:space="0" w:color="auto"/>
      </w:divBdr>
    </w:div>
    <w:div w:id="759566671">
      <w:bodyDiv w:val="1"/>
      <w:marLeft w:val="0"/>
      <w:marRight w:val="0"/>
      <w:marTop w:val="0"/>
      <w:marBottom w:val="0"/>
      <w:divBdr>
        <w:top w:val="none" w:sz="0" w:space="0" w:color="auto"/>
        <w:left w:val="none" w:sz="0" w:space="0" w:color="auto"/>
        <w:bottom w:val="none" w:sz="0" w:space="0" w:color="auto"/>
        <w:right w:val="none" w:sz="0" w:space="0" w:color="auto"/>
      </w:divBdr>
    </w:div>
    <w:div w:id="778720198">
      <w:bodyDiv w:val="1"/>
      <w:marLeft w:val="0"/>
      <w:marRight w:val="0"/>
      <w:marTop w:val="0"/>
      <w:marBottom w:val="0"/>
      <w:divBdr>
        <w:top w:val="none" w:sz="0" w:space="0" w:color="auto"/>
        <w:left w:val="none" w:sz="0" w:space="0" w:color="auto"/>
        <w:bottom w:val="none" w:sz="0" w:space="0" w:color="auto"/>
        <w:right w:val="none" w:sz="0" w:space="0" w:color="auto"/>
      </w:divBdr>
    </w:div>
    <w:div w:id="855118540">
      <w:bodyDiv w:val="1"/>
      <w:marLeft w:val="0"/>
      <w:marRight w:val="0"/>
      <w:marTop w:val="0"/>
      <w:marBottom w:val="0"/>
      <w:divBdr>
        <w:top w:val="none" w:sz="0" w:space="0" w:color="auto"/>
        <w:left w:val="none" w:sz="0" w:space="0" w:color="auto"/>
        <w:bottom w:val="none" w:sz="0" w:space="0" w:color="auto"/>
        <w:right w:val="none" w:sz="0" w:space="0" w:color="auto"/>
      </w:divBdr>
    </w:div>
    <w:div w:id="883102790">
      <w:bodyDiv w:val="1"/>
      <w:marLeft w:val="0"/>
      <w:marRight w:val="0"/>
      <w:marTop w:val="0"/>
      <w:marBottom w:val="0"/>
      <w:divBdr>
        <w:top w:val="none" w:sz="0" w:space="0" w:color="auto"/>
        <w:left w:val="none" w:sz="0" w:space="0" w:color="auto"/>
        <w:bottom w:val="none" w:sz="0" w:space="0" w:color="auto"/>
        <w:right w:val="none" w:sz="0" w:space="0" w:color="auto"/>
      </w:divBdr>
    </w:div>
    <w:div w:id="1043024530">
      <w:bodyDiv w:val="1"/>
      <w:marLeft w:val="0"/>
      <w:marRight w:val="0"/>
      <w:marTop w:val="0"/>
      <w:marBottom w:val="0"/>
      <w:divBdr>
        <w:top w:val="none" w:sz="0" w:space="0" w:color="auto"/>
        <w:left w:val="none" w:sz="0" w:space="0" w:color="auto"/>
        <w:bottom w:val="none" w:sz="0" w:space="0" w:color="auto"/>
        <w:right w:val="none" w:sz="0" w:space="0" w:color="auto"/>
      </w:divBdr>
    </w:div>
    <w:div w:id="1095055764">
      <w:bodyDiv w:val="1"/>
      <w:marLeft w:val="0"/>
      <w:marRight w:val="0"/>
      <w:marTop w:val="0"/>
      <w:marBottom w:val="0"/>
      <w:divBdr>
        <w:top w:val="none" w:sz="0" w:space="0" w:color="auto"/>
        <w:left w:val="none" w:sz="0" w:space="0" w:color="auto"/>
        <w:bottom w:val="none" w:sz="0" w:space="0" w:color="auto"/>
        <w:right w:val="none" w:sz="0" w:space="0" w:color="auto"/>
      </w:divBdr>
    </w:div>
    <w:div w:id="1136531210">
      <w:bodyDiv w:val="1"/>
      <w:marLeft w:val="0"/>
      <w:marRight w:val="0"/>
      <w:marTop w:val="0"/>
      <w:marBottom w:val="0"/>
      <w:divBdr>
        <w:top w:val="none" w:sz="0" w:space="0" w:color="auto"/>
        <w:left w:val="none" w:sz="0" w:space="0" w:color="auto"/>
        <w:bottom w:val="none" w:sz="0" w:space="0" w:color="auto"/>
        <w:right w:val="none" w:sz="0" w:space="0" w:color="auto"/>
      </w:divBdr>
    </w:div>
    <w:div w:id="1215850298">
      <w:bodyDiv w:val="1"/>
      <w:marLeft w:val="0"/>
      <w:marRight w:val="0"/>
      <w:marTop w:val="0"/>
      <w:marBottom w:val="0"/>
      <w:divBdr>
        <w:top w:val="none" w:sz="0" w:space="0" w:color="auto"/>
        <w:left w:val="none" w:sz="0" w:space="0" w:color="auto"/>
        <w:bottom w:val="none" w:sz="0" w:space="0" w:color="auto"/>
        <w:right w:val="none" w:sz="0" w:space="0" w:color="auto"/>
      </w:divBdr>
    </w:div>
    <w:div w:id="1265305819">
      <w:bodyDiv w:val="1"/>
      <w:marLeft w:val="0"/>
      <w:marRight w:val="0"/>
      <w:marTop w:val="0"/>
      <w:marBottom w:val="0"/>
      <w:divBdr>
        <w:top w:val="none" w:sz="0" w:space="0" w:color="auto"/>
        <w:left w:val="none" w:sz="0" w:space="0" w:color="auto"/>
        <w:bottom w:val="none" w:sz="0" w:space="0" w:color="auto"/>
        <w:right w:val="none" w:sz="0" w:space="0" w:color="auto"/>
      </w:divBdr>
    </w:div>
    <w:div w:id="1405563251">
      <w:bodyDiv w:val="1"/>
      <w:marLeft w:val="0"/>
      <w:marRight w:val="0"/>
      <w:marTop w:val="0"/>
      <w:marBottom w:val="0"/>
      <w:divBdr>
        <w:top w:val="none" w:sz="0" w:space="0" w:color="auto"/>
        <w:left w:val="none" w:sz="0" w:space="0" w:color="auto"/>
        <w:bottom w:val="none" w:sz="0" w:space="0" w:color="auto"/>
        <w:right w:val="none" w:sz="0" w:space="0" w:color="auto"/>
      </w:divBdr>
    </w:div>
    <w:div w:id="1647709769">
      <w:bodyDiv w:val="1"/>
      <w:marLeft w:val="0"/>
      <w:marRight w:val="0"/>
      <w:marTop w:val="0"/>
      <w:marBottom w:val="0"/>
      <w:divBdr>
        <w:top w:val="none" w:sz="0" w:space="0" w:color="auto"/>
        <w:left w:val="none" w:sz="0" w:space="0" w:color="auto"/>
        <w:bottom w:val="none" w:sz="0" w:space="0" w:color="auto"/>
        <w:right w:val="none" w:sz="0" w:space="0" w:color="auto"/>
      </w:divBdr>
    </w:div>
    <w:div w:id="1844860794">
      <w:bodyDiv w:val="1"/>
      <w:marLeft w:val="0"/>
      <w:marRight w:val="0"/>
      <w:marTop w:val="0"/>
      <w:marBottom w:val="0"/>
      <w:divBdr>
        <w:top w:val="none" w:sz="0" w:space="0" w:color="auto"/>
        <w:left w:val="none" w:sz="0" w:space="0" w:color="auto"/>
        <w:bottom w:val="none" w:sz="0" w:space="0" w:color="auto"/>
        <w:right w:val="none" w:sz="0" w:space="0" w:color="auto"/>
      </w:divBdr>
    </w:div>
    <w:div w:id="1857308540">
      <w:bodyDiv w:val="1"/>
      <w:marLeft w:val="0"/>
      <w:marRight w:val="0"/>
      <w:marTop w:val="0"/>
      <w:marBottom w:val="0"/>
      <w:divBdr>
        <w:top w:val="none" w:sz="0" w:space="0" w:color="auto"/>
        <w:left w:val="none" w:sz="0" w:space="0" w:color="auto"/>
        <w:bottom w:val="none" w:sz="0" w:space="0" w:color="auto"/>
        <w:right w:val="none" w:sz="0" w:space="0" w:color="auto"/>
      </w:divBdr>
    </w:div>
    <w:div w:id="19042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chart" Target="charts/chart3.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azgi.genc\Dropbox\AN_Uemp_Educ_Age\Research%20Brie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azgi.genc\Dropbox\AN_Uemp_Educ_Age\Research%20Brie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azgi.genc\Dropbox\AN_Uemp_Educ_Age\Research%20Brie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yazgi.genc\Dropbox\AN_Uemp_Educ_Age\Research%20Brie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yazgi.genc\Dropbox\AN_Uemp_Educ_Age\Research%20Brie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yazgi.genc\Dropbox\AN_Uemp_Educ_Age\Research%20Brief.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Illiterates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'15-64_TD Grafikler'!$B$3</c:f>
              <c:strCache>
                <c:ptCount val="1"/>
                <c:pt idx="0">
                  <c:v>Female</c:v>
                </c:pt>
              </c:strCache>
            </c:strRef>
          </c:tx>
          <c:spPr>
            <a:ln w="28575" cap="rnd">
              <a:solidFill>
                <a:schemeClr val="accent6">
                  <a:lumMod val="50000"/>
                </a:schemeClr>
              </a:solidFill>
              <a:round/>
            </a:ln>
            <a:effectLst/>
          </c:spPr>
          <c:marker>
            <c:symbol val="circle"/>
            <c:size val="5"/>
            <c:spPr>
              <a:solidFill>
                <a:schemeClr val="accent6">
                  <a:lumMod val="75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Grafikler'!$B$4:$B$16</c:f>
              <c:numCache>
                <c:formatCode>0.0</c:formatCode>
                <c:ptCount val="13"/>
                <c:pt idx="0">
                  <c:v>17.713460109244178</c:v>
                </c:pt>
                <c:pt idx="1">
                  <c:v>12.18727098605434</c:v>
                </c:pt>
                <c:pt idx="2">
                  <c:v>14.535308089845396</c:v>
                </c:pt>
                <c:pt idx="3">
                  <c:v>20.46733545387815</c:v>
                </c:pt>
                <c:pt idx="4">
                  <c:v>23.312275954758157</c:v>
                </c:pt>
                <c:pt idx="5">
                  <c:v>20.247714402817159</c:v>
                </c:pt>
                <c:pt idx="6">
                  <c:v>16.142349180481393</c:v>
                </c:pt>
                <c:pt idx="7">
                  <c:v>10.614796371717574</c:v>
                </c:pt>
                <c:pt idx="8">
                  <c:v>14.433560839250864</c:v>
                </c:pt>
                <c:pt idx="9">
                  <c:v>14.742121919482374</c:v>
                </c:pt>
                <c:pt idx="10">
                  <c:v>12.930399338870757</c:v>
                </c:pt>
                <c:pt idx="11">
                  <c:v>11.916385086648411</c:v>
                </c:pt>
                <c:pt idx="12">
                  <c:v>12.801475516320338</c:v>
                </c:pt>
              </c:numCache>
            </c:numRef>
          </c:val>
          <c:smooth val="0"/>
          <c:extLst>
            <c:ext xmlns:c16="http://schemas.microsoft.com/office/drawing/2014/chart" uri="{C3380CC4-5D6E-409C-BE32-E72D297353CC}">
              <c16:uniqueId val="{00000000-A9AA-409F-B508-FCD31B309E95}"/>
            </c:ext>
          </c:extLst>
        </c:ser>
        <c:ser>
          <c:idx val="1"/>
          <c:order val="1"/>
          <c:tx>
            <c:strRef>
              <c:f>'15-64_TD Grafikler'!$C$3</c:f>
              <c:strCache>
                <c:ptCount val="1"/>
                <c:pt idx="0">
                  <c:v>Male</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Grafikler'!$C$4:$C$16</c:f>
              <c:numCache>
                <c:formatCode>0.0</c:formatCode>
                <c:ptCount val="13"/>
                <c:pt idx="0">
                  <c:v>23.373648751186696</c:v>
                </c:pt>
                <c:pt idx="1">
                  <c:v>23.398104836708217</c:v>
                </c:pt>
                <c:pt idx="2">
                  <c:v>27.699582899879562</c:v>
                </c:pt>
                <c:pt idx="3">
                  <c:v>28.546313517745912</c:v>
                </c:pt>
                <c:pt idx="4">
                  <c:v>33.760842048305697</c:v>
                </c:pt>
                <c:pt idx="5">
                  <c:v>28.484013517656194</c:v>
                </c:pt>
                <c:pt idx="6">
                  <c:v>23.458096169432231</c:v>
                </c:pt>
                <c:pt idx="7">
                  <c:v>22.212005672782364</c:v>
                </c:pt>
                <c:pt idx="8">
                  <c:v>25.178691751773705</c:v>
                </c:pt>
                <c:pt idx="9">
                  <c:v>26.582633515368496</c:v>
                </c:pt>
                <c:pt idx="10">
                  <c:v>21.339050806172338</c:v>
                </c:pt>
                <c:pt idx="11">
                  <c:v>19.322230215089196</c:v>
                </c:pt>
                <c:pt idx="12">
                  <c:v>20.292485295363132</c:v>
                </c:pt>
              </c:numCache>
            </c:numRef>
          </c:val>
          <c:smooth val="0"/>
          <c:extLst>
            <c:ext xmlns:c16="http://schemas.microsoft.com/office/drawing/2014/chart" uri="{C3380CC4-5D6E-409C-BE32-E72D297353CC}">
              <c16:uniqueId val="{00000001-A9AA-409F-B508-FCD31B309E95}"/>
            </c:ext>
          </c:extLst>
        </c:ser>
        <c:dLbls>
          <c:dLblPos val="t"/>
          <c:showLegendKey val="0"/>
          <c:showVal val="1"/>
          <c:showCatName val="0"/>
          <c:showSerName val="0"/>
          <c:showPercent val="0"/>
          <c:showBubbleSize val="0"/>
        </c:dLbls>
        <c:marker val="1"/>
        <c:smooth val="0"/>
        <c:axId val="-1975814336"/>
        <c:axId val="-1975812016"/>
      </c:lineChart>
      <c:catAx>
        <c:axId val="-197581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812016"/>
        <c:crosses val="autoZero"/>
        <c:auto val="1"/>
        <c:lblAlgn val="ctr"/>
        <c:lblOffset val="100"/>
        <c:noMultiLvlLbl val="0"/>
      </c:catAx>
      <c:valAx>
        <c:axId val="-197581201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81433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Less</a:t>
            </a:r>
            <a:r>
              <a:rPr lang="tr-TR" baseline="0"/>
              <a:t> than high school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'15-64_TD Grafikler'!$D$3</c:f>
              <c:strCache>
                <c:ptCount val="1"/>
                <c:pt idx="0">
                  <c:v>Female</c:v>
                </c:pt>
              </c:strCache>
            </c:strRef>
          </c:tx>
          <c:spPr>
            <a:ln w="444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Grafikler'!$D$4:$D$16</c:f>
              <c:numCache>
                <c:formatCode>0.0</c:formatCode>
                <c:ptCount val="13"/>
                <c:pt idx="0">
                  <c:v>18.035073000465346</c:v>
                </c:pt>
                <c:pt idx="1">
                  <c:v>18.402632663795188</c:v>
                </c:pt>
                <c:pt idx="2">
                  <c:v>16.824385884736408</c:v>
                </c:pt>
                <c:pt idx="3">
                  <c:v>19.302817606703499</c:v>
                </c:pt>
                <c:pt idx="4">
                  <c:v>23.426359175040545</c:v>
                </c:pt>
                <c:pt idx="5">
                  <c:v>21.216464636169849</c:v>
                </c:pt>
                <c:pt idx="6">
                  <c:v>17.861047168799452</c:v>
                </c:pt>
                <c:pt idx="7">
                  <c:v>16.291798632497745</c:v>
                </c:pt>
                <c:pt idx="8">
                  <c:v>17.875305934331394</c:v>
                </c:pt>
                <c:pt idx="9">
                  <c:v>16.197473633523835</c:v>
                </c:pt>
                <c:pt idx="10">
                  <c:v>17.13740624986692</c:v>
                </c:pt>
                <c:pt idx="11">
                  <c:v>17.947482122467509</c:v>
                </c:pt>
                <c:pt idx="12">
                  <c:v>17.222165222434548</c:v>
                </c:pt>
              </c:numCache>
            </c:numRef>
          </c:val>
          <c:smooth val="0"/>
          <c:extLst>
            <c:ext xmlns:c16="http://schemas.microsoft.com/office/drawing/2014/chart" uri="{C3380CC4-5D6E-409C-BE32-E72D297353CC}">
              <c16:uniqueId val="{00000000-DD6F-4FF4-9319-0E9460A6831E}"/>
            </c:ext>
          </c:extLst>
        </c:ser>
        <c:ser>
          <c:idx val="1"/>
          <c:order val="1"/>
          <c:tx>
            <c:strRef>
              <c:f>'15-64_TD Grafikler'!$E$3</c:f>
              <c:strCache>
                <c:ptCount val="1"/>
                <c:pt idx="0">
                  <c:v>Male</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Grafikler'!$E$4:$E$16</c:f>
              <c:numCache>
                <c:formatCode>0.0</c:formatCode>
                <c:ptCount val="13"/>
                <c:pt idx="0">
                  <c:v>13.681786894637325</c:v>
                </c:pt>
                <c:pt idx="1">
                  <c:v>12.807786095279734</c:v>
                </c:pt>
                <c:pt idx="2">
                  <c:v>12.958390421474601</c:v>
                </c:pt>
                <c:pt idx="3">
                  <c:v>14.204733495944522</c:v>
                </c:pt>
                <c:pt idx="4">
                  <c:v>18.652478222245914</c:v>
                </c:pt>
                <c:pt idx="5">
                  <c:v>15.441967939955404</c:v>
                </c:pt>
                <c:pt idx="6">
                  <c:v>12.382203906632769</c:v>
                </c:pt>
                <c:pt idx="7">
                  <c:v>11.738861232084535</c:v>
                </c:pt>
                <c:pt idx="8">
                  <c:v>12.042949288473709</c:v>
                </c:pt>
                <c:pt idx="9">
                  <c:v>11.958212770857228</c:v>
                </c:pt>
                <c:pt idx="10">
                  <c:v>12.533543356327353</c:v>
                </c:pt>
                <c:pt idx="11">
                  <c:v>12.421833269996593</c:v>
                </c:pt>
                <c:pt idx="12">
                  <c:v>12.086838967787452</c:v>
                </c:pt>
              </c:numCache>
            </c:numRef>
          </c:val>
          <c:smooth val="0"/>
          <c:extLst>
            <c:ext xmlns:c16="http://schemas.microsoft.com/office/drawing/2014/chart" uri="{C3380CC4-5D6E-409C-BE32-E72D297353CC}">
              <c16:uniqueId val="{00000001-DD6F-4FF4-9319-0E9460A6831E}"/>
            </c:ext>
          </c:extLst>
        </c:ser>
        <c:dLbls>
          <c:showLegendKey val="0"/>
          <c:showVal val="0"/>
          <c:showCatName val="0"/>
          <c:showSerName val="0"/>
          <c:showPercent val="0"/>
          <c:showBubbleSize val="0"/>
        </c:dLbls>
        <c:marker val="1"/>
        <c:smooth val="0"/>
        <c:axId val="-1975882560"/>
        <c:axId val="-1975880512"/>
      </c:lineChart>
      <c:catAx>
        <c:axId val="-197588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880512"/>
        <c:crosses val="autoZero"/>
        <c:auto val="1"/>
        <c:lblAlgn val="ctr"/>
        <c:lblOffset val="100"/>
        <c:noMultiLvlLbl val="0"/>
      </c:catAx>
      <c:valAx>
        <c:axId val="-1975880512"/>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88256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General</a:t>
            </a:r>
            <a:r>
              <a:rPr lang="tr-TR" baseline="0"/>
              <a:t> h</a:t>
            </a:r>
            <a:r>
              <a:rPr lang="tr-TR"/>
              <a:t>igh</a:t>
            </a:r>
            <a:r>
              <a:rPr lang="tr-TR" baseline="0"/>
              <a:t> school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'15-64_TD Grafikler'!$F$3</c:f>
              <c:strCache>
                <c:ptCount val="1"/>
                <c:pt idx="0">
                  <c:v>Female</c:v>
                </c:pt>
              </c:strCache>
            </c:strRef>
          </c:tx>
          <c:spPr>
            <a:ln w="444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Grafikler'!$F$4:$F$16</c:f>
              <c:numCache>
                <c:formatCode>0.0</c:formatCode>
                <c:ptCount val="13"/>
                <c:pt idx="0">
                  <c:v>24.936092928300301</c:v>
                </c:pt>
                <c:pt idx="1">
                  <c:v>24.650100758247671</c:v>
                </c:pt>
                <c:pt idx="2">
                  <c:v>23.703901083923686</c:v>
                </c:pt>
                <c:pt idx="3">
                  <c:v>21.938135085314382</c:v>
                </c:pt>
                <c:pt idx="4">
                  <c:v>28.007249365234703</c:v>
                </c:pt>
                <c:pt idx="5">
                  <c:v>26.686450216951219</c:v>
                </c:pt>
                <c:pt idx="6">
                  <c:v>22.96670339895044</c:v>
                </c:pt>
                <c:pt idx="7">
                  <c:v>20.441226677640767</c:v>
                </c:pt>
                <c:pt idx="8">
                  <c:v>21.447232898736402</c:v>
                </c:pt>
                <c:pt idx="9">
                  <c:v>20.31755685455564</c:v>
                </c:pt>
                <c:pt idx="10">
                  <c:v>21.880351064401349</c:v>
                </c:pt>
                <c:pt idx="11">
                  <c:v>22.680825390014558</c:v>
                </c:pt>
                <c:pt idx="12">
                  <c:v>22.761295833636879</c:v>
                </c:pt>
              </c:numCache>
            </c:numRef>
          </c:val>
          <c:smooth val="0"/>
          <c:extLst>
            <c:ext xmlns:c16="http://schemas.microsoft.com/office/drawing/2014/chart" uri="{C3380CC4-5D6E-409C-BE32-E72D297353CC}">
              <c16:uniqueId val="{00000000-ADD9-42A0-9CE3-5615E14DEFD2}"/>
            </c:ext>
          </c:extLst>
        </c:ser>
        <c:ser>
          <c:idx val="1"/>
          <c:order val="1"/>
          <c:tx>
            <c:strRef>
              <c:f>'15-64_TD Grafikler'!$G$3</c:f>
              <c:strCache>
                <c:ptCount val="1"/>
                <c:pt idx="0">
                  <c:v>Male</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Grafikler'!$G$4:$G$16</c:f>
              <c:numCache>
                <c:formatCode>0.0</c:formatCode>
                <c:ptCount val="13"/>
                <c:pt idx="0">
                  <c:v>11.912492098954212</c:v>
                </c:pt>
                <c:pt idx="1">
                  <c:v>11.944060077932173</c:v>
                </c:pt>
                <c:pt idx="2">
                  <c:v>11.78357748300134</c:v>
                </c:pt>
                <c:pt idx="3">
                  <c:v>12.668718348920244</c:v>
                </c:pt>
                <c:pt idx="4">
                  <c:v>16.250961473247781</c:v>
                </c:pt>
                <c:pt idx="5">
                  <c:v>13.670800749123263</c:v>
                </c:pt>
                <c:pt idx="6">
                  <c:v>10.327455653584305</c:v>
                </c:pt>
                <c:pt idx="7">
                  <c:v>9.9215969983470451</c:v>
                </c:pt>
                <c:pt idx="8">
                  <c:v>9.6760424603380386</c:v>
                </c:pt>
                <c:pt idx="9">
                  <c:v>10.035108424534243</c:v>
                </c:pt>
                <c:pt idx="10">
                  <c:v>10.231056719737623</c:v>
                </c:pt>
                <c:pt idx="11">
                  <c:v>11.266707601573748</c:v>
                </c:pt>
                <c:pt idx="12">
                  <c:v>10.920822097507894</c:v>
                </c:pt>
              </c:numCache>
            </c:numRef>
          </c:val>
          <c:smooth val="0"/>
          <c:extLst>
            <c:ext xmlns:c16="http://schemas.microsoft.com/office/drawing/2014/chart" uri="{C3380CC4-5D6E-409C-BE32-E72D297353CC}">
              <c16:uniqueId val="{00000001-ADD9-42A0-9CE3-5615E14DEFD2}"/>
            </c:ext>
          </c:extLst>
        </c:ser>
        <c:dLbls>
          <c:dLblPos val="t"/>
          <c:showLegendKey val="0"/>
          <c:showVal val="1"/>
          <c:showCatName val="0"/>
          <c:showSerName val="0"/>
          <c:showPercent val="0"/>
          <c:showBubbleSize val="0"/>
        </c:dLbls>
        <c:marker val="1"/>
        <c:smooth val="0"/>
        <c:axId val="-1976069904"/>
        <c:axId val="-1976084464"/>
      </c:lineChart>
      <c:catAx>
        <c:axId val="-197606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084464"/>
        <c:crosses val="autoZero"/>
        <c:auto val="1"/>
        <c:lblAlgn val="ctr"/>
        <c:lblOffset val="100"/>
        <c:noMultiLvlLbl val="0"/>
      </c:catAx>
      <c:valAx>
        <c:axId val="-1976084464"/>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06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Vocational</a:t>
            </a:r>
            <a:r>
              <a:rPr lang="tr-TR" baseline="0"/>
              <a:t> high school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'15-64_TD Grafikler'!$H$3</c:f>
              <c:strCache>
                <c:ptCount val="1"/>
                <c:pt idx="0">
                  <c:v>Female</c:v>
                </c:pt>
              </c:strCache>
            </c:strRef>
          </c:tx>
          <c:spPr>
            <a:ln w="444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Grafikler'!$H$4:$H$16</c:f>
              <c:numCache>
                <c:formatCode>0.0</c:formatCode>
                <c:ptCount val="13"/>
                <c:pt idx="0">
                  <c:v>25.211042308812342</c:v>
                </c:pt>
                <c:pt idx="1">
                  <c:v>21.687505829859663</c:v>
                </c:pt>
                <c:pt idx="2">
                  <c:v>21.800595176020764</c:v>
                </c:pt>
                <c:pt idx="3">
                  <c:v>21.611426489370718</c:v>
                </c:pt>
                <c:pt idx="4">
                  <c:v>27.127757334897385</c:v>
                </c:pt>
                <c:pt idx="5">
                  <c:v>23.949504573457542</c:v>
                </c:pt>
                <c:pt idx="6">
                  <c:v>21.222666040287901</c:v>
                </c:pt>
                <c:pt idx="7">
                  <c:v>20.409203858088837</c:v>
                </c:pt>
                <c:pt idx="8">
                  <c:v>21.591640611922308</c:v>
                </c:pt>
                <c:pt idx="9">
                  <c:v>20.132235440515711</c:v>
                </c:pt>
                <c:pt idx="10">
                  <c:v>19.085974486049583</c:v>
                </c:pt>
                <c:pt idx="11">
                  <c:v>21.609443805220312</c:v>
                </c:pt>
                <c:pt idx="12">
                  <c:v>21.78064378172656</c:v>
                </c:pt>
              </c:numCache>
            </c:numRef>
          </c:val>
          <c:smooth val="0"/>
          <c:extLst>
            <c:ext xmlns:c16="http://schemas.microsoft.com/office/drawing/2014/chart" uri="{C3380CC4-5D6E-409C-BE32-E72D297353CC}">
              <c16:uniqueId val="{00000000-81D7-4636-9A0E-C5AF40CD1222}"/>
            </c:ext>
          </c:extLst>
        </c:ser>
        <c:ser>
          <c:idx val="1"/>
          <c:order val="1"/>
          <c:tx>
            <c:strRef>
              <c:f>'15-64_TD Grafikler'!$I$3</c:f>
              <c:strCache>
                <c:ptCount val="1"/>
                <c:pt idx="0">
                  <c:v>Male</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Grafikler'!$I$4:$I$16</c:f>
              <c:numCache>
                <c:formatCode>0.0</c:formatCode>
                <c:ptCount val="13"/>
                <c:pt idx="0">
                  <c:v>11.733145514104448</c:v>
                </c:pt>
                <c:pt idx="1">
                  <c:v>9.9656206570325363</c:v>
                </c:pt>
                <c:pt idx="2">
                  <c:v>10.273004085952477</c:v>
                </c:pt>
                <c:pt idx="3">
                  <c:v>9.7946283247065367</c:v>
                </c:pt>
                <c:pt idx="4">
                  <c:v>13.481334666273602</c:v>
                </c:pt>
                <c:pt idx="5">
                  <c:v>11.217985950530965</c:v>
                </c:pt>
                <c:pt idx="6">
                  <c:v>9.0080162082690087</c:v>
                </c:pt>
                <c:pt idx="7">
                  <c:v>8.010783648693236</c:v>
                </c:pt>
                <c:pt idx="8">
                  <c:v>7.994735103050485</c:v>
                </c:pt>
                <c:pt idx="9">
                  <c:v>8.5057857436743909</c:v>
                </c:pt>
                <c:pt idx="10">
                  <c:v>8.2200181141075745</c:v>
                </c:pt>
                <c:pt idx="11">
                  <c:v>9.2786260892069503</c:v>
                </c:pt>
                <c:pt idx="12">
                  <c:v>9.6258756615685677</c:v>
                </c:pt>
              </c:numCache>
            </c:numRef>
          </c:val>
          <c:smooth val="0"/>
          <c:extLst>
            <c:ext xmlns:c16="http://schemas.microsoft.com/office/drawing/2014/chart" uri="{C3380CC4-5D6E-409C-BE32-E72D297353CC}">
              <c16:uniqueId val="{00000001-81D7-4636-9A0E-C5AF40CD1222}"/>
            </c:ext>
          </c:extLst>
        </c:ser>
        <c:dLbls>
          <c:dLblPos val="t"/>
          <c:showLegendKey val="0"/>
          <c:showVal val="1"/>
          <c:showCatName val="0"/>
          <c:showSerName val="0"/>
          <c:showPercent val="0"/>
          <c:showBubbleSize val="0"/>
        </c:dLbls>
        <c:marker val="1"/>
        <c:smooth val="0"/>
        <c:axId val="-1873956144"/>
        <c:axId val="-1873953824"/>
      </c:lineChart>
      <c:catAx>
        <c:axId val="-187395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953824"/>
        <c:crosses val="autoZero"/>
        <c:auto val="1"/>
        <c:lblAlgn val="ctr"/>
        <c:lblOffset val="100"/>
        <c:noMultiLvlLbl val="0"/>
      </c:catAx>
      <c:valAx>
        <c:axId val="-1873953824"/>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95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College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'15-64_TD Grafikler'!$J$3</c:f>
              <c:strCache>
                <c:ptCount val="1"/>
                <c:pt idx="0">
                  <c:v>Female</c:v>
                </c:pt>
              </c:strCache>
            </c:strRef>
          </c:tx>
          <c:spPr>
            <a:ln w="444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Grafikler'!$J$4:$J$16</c:f>
              <c:numCache>
                <c:formatCode>0.0</c:formatCode>
                <c:ptCount val="13"/>
                <c:pt idx="0">
                  <c:v>14.184843203924023</c:v>
                </c:pt>
                <c:pt idx="1">
                  <c:v>13.09671262555999</c:v>
                </c:pt>
                <c:pt idx="2">
                  <c:v>13.97658467431792</c:v>
                </c:pt>
                <c:pt idx="3">
                  <c:v>14.355436586264082</c:v>
                </c:pt>
                <c:pt idx="4">
                  <c:v>16.359086975820624</c:v>
                </c:pt>
                <c:pt idx="5">
                  <c:v>16.06867018097568</c:v>
                </c:pt>
                <c:pt idx="6">
                  <c:v>15.392762967513377</c:v>
                </c:pt>
                <c:pt idx="7">
                  <c:v>14.875024270896908</c:v>
                </c:pt>
                <c:pt idx="8">
                  <c:v>15.266557283273199</c:v>
                </c:pt>
                <c:pt idx="9">
                  <c:v>15.590562368138608</c:v>
                </c:pt>
                <c:pt idx="10">
                  <c:v>16.429697419521681</c:v>
                </c:pt>
                <c:pt idx="11">
                  <c:v>17.079646398221296</c:v>
                </c:pt>
                <c:pt idx="12">
                  <c:v>18.574942671441097</c:v>
                </c:pt>
              </c:numCache>
            </c:numRef>
          </c:val>
          <c:smooth val="0"/>
          <c:extLst>
            <c:ext xmlns:c16="http://schemas.microsoft.com/office/drawing/2014/chart" uri="{C3380CC4-5D6E-409C-BE32-E72D297353CC}">
              <c16:uniqueId val="{00000000-C800-4265-A16A-FB65AF07551B}"/>
            </c:ext>
          </c:extLst>
        </c:ser>
        <c:ser>
          <c:idx val="1"/>
          <c:order val="1"/>
          <c:tx>
            <c:strRef>
              <c:f>'15-64_TD Grafikler'!$K$3</c:f>
              <c:strCache>
                <c:ptCount val="1"/>
                <c:pt idx="0">
                  <c:v>Male</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'15-64_TD Grafikler'!$K$4:$K$16</c:f>
              <c:numCache>
                <c:formatCode>0.0</c:formatCode>
                <c:ptCount val="13"/>
                <c:pt idx="0">
                  <c:v>8.1081219344581541</c:v>
                </c:pt>
                <c:pt idx="1">
                  <c:v>7.9024572377015652</c:v>
                </c:pt>
                <c:pt idx="2">
                  <c:v>7.6301863856949588</c:v>
                </c:pt>
                <c:pt idx="3">
                  <c:v>8.2448103601904208</c:v>
                </c:pt>
                <c:pt idx="4">
                  <c:v>9.8780772624863111</c:v>
                </c:pt>
                <c:pt idx="5">
                  <c:v>8.243350913929957</c:v>
                </c:pt>
                <c:pt idx="6">
                  <c:v>7.8587102472674886</c:v>
                </c:pt>
                <c:pt idx="7">
                  <c:v>7.4434504980397129</c:v>
                </c:pt>
                <c:pt idx="8">
                  <c:v>7.5367212206140328</c:v>
                </c:pt>
                <c:pt idx="9">
                  <c:v>7.8127586272344107</c:v>
                </c:pt>
                <c:pt idx="10">
                  <c:v>7.7702015118612522</c:v>
                </c:pt>
                <c:pt idx="11">
                  <c:v>9.0320574246010263</c:v>
                </c:pt>
                <c:pt idx="12">
                  <c:v>8.9277745427333333</c:v>
                </c:pt>
              </c:numCache>
            </c:numRef>
          </c:val>
          <c:smooth val="0"/>
          <c:extLst>
            <c:ext xmlns:c16="http://schemas.microsoft.com/office/drawing/2014/chart" uri="{C3380CC4-5D6E-409C-BE32-E72D297353CC}">
              <c16:uniqueId val="{00000001-C800-4265-A16A-FB65AF07551B}"/>
            </c:ext>
          </c:extLst>
        </c:ser>
        <c:dLbls>
          <c:showLegendKey val="0"/>
          <c:showVal val="0"/>
          <c:showCatName val="0"/>
          <c:showSerName val="0"/>
          <c:showPercent val="0"/>
          <c:showBubbleSize val="0"/>
        </c:dLbls>
        <c:marker val="1"/>
        <c:smooth val="0"/>
        <c:axId val="-1978342640"/>
        <c:axId val="-1978340320"/>
      </c:lineChart>
      <c:catAx>
        <c:axId val="-197834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8340320"/>
        <c:crosses val="autoZero"/>
        <c:auto val="1"/>
        <c:lblAlgn val="ctr"/>
        <c:lblOffset val="100"/>
        <c:noMultiLvlLbl val="0"/>
      </c:catAx>
      <c:valAx>
        <c:axId val="-1978340320"/>
        <c:scaling>
          <c:orientation val="minMax"/>
          <c:max val="20"/>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834264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20-29</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 IKO by EDUC and AGE'!$B$1:$B$2</c:f>
              <c:strCache>
                <c:ptCount val="2"/>
                <c:pt idx="0">
                  <c:v>20-29</c:v>
                </c:pt>
                <c:pt idx="1">
                  <c:v>Female</c:v>
                </c:pt>
              </c:strCache>
            </c:strRef>
          </c:tx>
          <c:spPr>
            <a:ln w="47625" cap="rnd">
              <a:solidFill>
                <a:schemeClr val="accent6">
                  <a:lumMod val="75000"/>
                </a:schemeClr>
              </a:solidFill>
              <a:round/>
            </a:ln>
            <a:effectLst/>
          </c:spPr>
          <c:marker>
            <c:symbol val="circle"/>
            <c:size val="7"/>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IKO by EDUC and AGE'!$A$3:$A$15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 IKO by EDUC and AGE'!$B$3:$B$15</c:f>
              <c:numCache>
                <c:formatCode>0.0</c:formatCode>
                <c:ptCount val="13"/>
                <c:pt idx="0">
                  <c:v>23.24574318786518</c:v>
                </c:pt>
                <c:pt idx="1">
                  <c:v>20.626997737560984</c:v>
                </c:pt>
                <c:pt idx="2">
                  <c:v>21.592606713068104</c:v>
                </c:pt>
                <c:pt idx="3">
                  <c:v>22.418376678010485</c:v>
                </c:pt>
                <c:pt idx="4">
                  <c:v>25.417646633753506</c:v>
                </c:pt>
                <c:pt idx="5">
                  <c:v>25.980603683057105</c:v>
                </c:pt>
                <c:pt idx="6">
                  <c:v>25.364768818801341</c:v>
                </c:pt>
                <c:pt idx="7">
                  <c:v>24.93041440598703</c:v>
                </c:pt>
                <c:pt idx="8">
                  <c:v>25.281568581485427</c:v>
                </c:pt>
                <c:pt idx="9">
                  <c:v>24.553554321656318</c:v>
                </c:pt>
                <c:pt idx="10">
                  <c:v>26.056807777366384</c:v>
                </c:pt>
                <c:pt idx="11">
                  <c:v>26.504054847979045</c:v>
                </c:pt>
                <c:pt idx="12">
                  <c:v>29.631613198719759</c:v>
                </c:pt>
              </c:numCache>
            </c:numRef>
          </c:val>
          <c:smooth val="0"/>
          <c:extLst>
            <c:ext xmlns:c16="http://schemas.microsoft.com/office/drawing/2014/chart" uri="{C3380CC4-5D6E-409C-BE32-E72D297353CC}">
              <c16:uniqueId val="{00000000-1411-4464-A135-F7F3DDAB1B23}"/>
            </c:ext>
          </c:extLst>
        </c:ser>
        <c:ser>
          <c:idx val="1"/>
          <c:order val="1"/>
          <c:tx>
            <c:strRef>
              <c:f>' IKO by EDUC and AGE'!$C$1:$C$2</c:f>
              <c:strCache>
                <c:ptCount val="2"/>
                <c:pt idx="0">
                  <c:v>20-29</c:v>
                </c:pt>
                <c:pt idx="1">
                  <c:v>Male</c:v>
                </c:pt>
              </c:strCache>
            </c:strRef>
          </c:tx>
          <c:spPr>
            <a:ln w="2540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IKO by EDUC and AGE'!$A$3:$A$15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 IKO by EDUC and AGE'!$C$3:$C$15</c:f>
              <c:numCache>
                <c:formatCode>0.0</c:formatCode>
                <c:ptCount val="13"/>
                <c:pt idx="0">
                  <c:v>17.834189870001342</c:v>
                </c:pt>
                <c:pt idx="1">
                  <c:v>17.202391343182807</c:v>
                </c:pt>
                <c:pt idx="2">
                  <c:v>16.374218642588826</c:v>
                </c:pt>
                <c:pt idx="3">
                  <c:v>16.626424411023212</c:v>
                </c:pt>
                <c:pt idx="4">
                  <c:v>20.206991550872687</c:v>
                </c:pt>
                <c:pt idx="5">
                  <c:v>18.285926596930459</c:v>
                </c:pt>
                <c:pt idx="6">
                  <c:v>16.85132529024991</c:v>
                </c:pt>
                <c:pt idx="7">
                  <c:v>15.298331814549613</c:v>
                </c:pt>
                <c:pt idx="8">
                  <c:v>15.532272058107436</c:v>
                </c:pt>
                <c:pt idx="9">
                  <c:v>16.318748754112747</c:v>
                </c:pt>
                <c:pt idx="10">
                  <c:v>15.511112957254207</c:v>
                </c:pt>
                <c:pt idx="11">
                  <c:v>17.447445369178723</c:v>
                </c:pt>
                <c:pt idx="12">
                  <c:v>17.515948313911057</c:v>
                </c:pt>
              </c:numCache>
            </c:numRef>
          </c:val>
          <c:smooth val="0"/>
          <c:extLst>
            <c:ext xmlns:c16="http://schemas.microsoft.com/office/drawing/2014/chart" uri="{C3380CC4-5D6E-409C-BE32-E72D297353CC}">
              <c16:uniqueId val="{00000001-1411-4464-A135-F7F3DDAB1B23}"/>
            </c:ext>
          </c:extLst>
        </c:ser>
        <c:dLbls>
          <c:showLegendKey val="0"/>
          <c:showVal val="0"/>
          <c:showCatName val="0"/>
          <c:showSerName val="0"/>
          <c:showPercent val="0"/>
          <c:showBubbleSize val="0"/>
        </c:dLbls>
        <c:marker val="1"/>
        <c:smooth val="0"/>
        <c:axId val="-1874060240"/>
        <c:axId val="-1874057920"/>
      </c:lineChart>
      <c:catAx>
        <c:axId val="-187406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4057920"/>
        <c:crosses val="autoZero"/>
        <c:auto val="1"/>
        <c:lblAlgn val="ctr"/>
        <c:lblOffset val="100"/>
        <c:noMultiLvlLbl val="0"/>
      </c:catAx>
      <c:valAx>
        <c:axId val="-187405792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406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20-29</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Sheet1!$B$2:$B$14</c:f>
              <c:numCache>
                <c:formatCode>General</c:formatCode>
                <c:ptCount val="13"/>
                <c:pt idx="0">
                  <c:v>76.2</c:v>
                </c:pt>
                <c:pt idx="1">
                  <c:v>77.400000000000006</c:v>
                </c:pt>
                <c:pt idx="2">
                  <c:v>78</c:v>
                </c:pt>
                <c:pt idx="3">
                  <c:v>78.599999999999994</c:v>
                </c:pt>
                <c:pt idx="4">
                  <c:v>78.3</c:v>
                </c:pt>
                <c:pt idx="5">
                  <c:v>75.900000000000006</c:v>
                </c:pt>
                <c:pt idx="6">
                  <c:v>75.099999999999994</c:v>
                </c:pt>
                <c:pt idx="7">
                  <c:v>74.3</c:v>
                </c:pt>
                <c:pt idx="8">
                  <c:v>75.3</c:v>
                </c:pt>
                <c:pt idx="9">
                  <c:v>74.2</c:v>
                </c:pt>
                <c:pt idx="10">
                  <c:v>74.599999999999994</c:v>
                </c:pt>
                <c:pt idx="11">
                  <c:v>73.900000000000006</c:v>
                </c:pt>
                <c:pt idx="12">
                  <c:v>76.5</c:v>
                </c:pt>
              </c:numCache>
            </c:numRef>
          </c:val>
          <c:smooth val="0"/>
          <c:extLst>
            <c:ext xmlns:c16="http://schemas.microsoft.com/office/drawing/2014/chart" uri="{C3380CC4-5D6E-409C-BE32-E72D297353CC}">
              <c16:uniqueId val="{00000000-3090-48BE-BB0A-012D5AFC5E0C}"/>
            </c:ext>
          </c:extLst>
        </c:ser>
        <c:ser>
          <c:idx val="1"/>
          <c:order val="1"/>
          <c:tx>
            <c:strRef>
              <c:f>Sheet1!$C$1</c:f>
              <c:strCache>
                <c:ptCount val="1"/>
                <c:pt idx="0">
                  <c:v>30-44</c:v>
                </c:pt>
              </c:strCache>
            </c:strRef>
          </c:tx>
          <c:spPr>
            <a:ln w="25400" cap="rnd">
              <a:solidFill>
                <a:schemeClr val="accent1">
                  <a:lumMod val="60000"/>
                  <a:lumOff val="40000"/>
                </a:schemeClr>
              </a:solidFill>
              <a:round/>
            </a:ln>
            <a:effectLst/>
          </c:spPr>
          <c:marker>
            <c:symbol val="squar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Sheet1!$C$2:$C$14</c:f>
              <c:numCache>
                <c:formatCode>General</c:formatCode>
                <c:ptCount val="13"/>
                <c:pt idx="0">
                  <c:v>79</c:v>
                </c:pt>
                <c:pt idx="1">
                  <c:v>79.099999999999994</c:v>
                </c:pt>
                <c:pt idx="2">
                  <c:v>79</c:v>
                </c:pt>
                <c:pt idx="3">
                  <c:v>80</c:v>
                </c:pt>
                <c:pt idx="4">
                  <c:v>80.599999999999994</c:v>
                </c:pt>
                <c:pt idx="5">
                  <c:v>80.8</c:v>
                </c:pt>
                <c:pt idx="6">
                  <c:v>79.900000000000006</c:v>
                </c:pt>
                <c:pt idx="7">
                  <c:v>79.599999999999994</c:v>
                </c:pt>
                <c:pt idx="8">
                  <c:v>80.099999999999994</c:v>
                </c:pt>
                <c:pt idx="9">
                  <c:v>79</c:v>
                </c:pt>
                <c:pt idx="10">
                  <c:v>78.400000000000006</c:v>
                </c:pt>
                <c:pt idx="11">
                  <c:v>77.400000000000006</c:v>
                </c:pt>
                <c:pt idx="12">
                  <c:v>78.2</c:v>
                </c:pt>
              </c:numCache>
            </c:numRef>
          </c:val>
          <c:smooth val="0"/>
          <c:extLst>
            <c:ext xmlns:c16="http://schemas.microsoft.com/office/drawing/2014/chart" uri="{C3380CC4-5D6E-409C-BE32-E72D297353CC}">
              <c16:uniqueId val="{00000001-3090-48BE-BB0A-012D5AFC5E0C}"/>
            </c:ext>
          </c:extLst>
        </c:ser>
        <c:ser>
          <c:idx val="2"/>
          <c:order val="2"/>
          <c:tx>
            <c:strRef>
              <c:f>Sheet1!$D$1</c:f>
              <c:strCache>
                <c:ptCount val="1"/>
                <c:pt idx="0">
                  <c:v>45-64</c:v>
                </c:pt>
              </c:strCache>
            </c:strRef>
          </c:tx>
          <c:spPr>
            <a:ln w="34925" cap="rnd">
              <a:solidFill>
                <a:schemeClr val="accent2">
                  <a:lumMod val="75000"/>
                </a:schemeClr>
              </a:solidFill>
              <a:round/>
            </a:ln>
            <a:effectLst/>
          </c:spPr>
          <c:marker>
            <c:symbol val="plus"/>
            <c:size val="5"/>
            <c:spPr>
              <a:solidFill>
                <a:schemeClr val="accent2">
                  <a:lumMod val="75000"/>
                </a:schemeClr>
              </a:solidFill>
              <a:ln w="9525">
                <a:solidFill>
                  <a:schemeClr val="accent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Sheet1!$D$2:$D$14</c:f>
              <c:numCache>
                <c:formatCode>General</c:formatCode>
                <c:ptCount val="13"/>
                <c:pt idx="0">
                  <c:v>35.299999999999997</c:v>
                </c:pt>
                <c:pt idx="1">
                  <c:v>34.299999999999997</c:v>
                </c:pt>
                <c:pt idx="2">
                  <c:v>34</c:v>
                </c:pt>
                <c:pt idx="3">
                  <c:v>34.9</c:v>
                </c:pt>
                <c:pt idx="4">
                  <c:v>37.5</c:v>
                </c:pt>
                <c:pt idx="5">
                  <c:v>39.799999999999997</c:v>
                </c:pt>
                <c:pt idx="6">
                  <c:v>42.2</c:v>
                </c:pt>
                <c:pt idx="7">
                  <c:v>46.2</c:v>
                </c:pt>
                <c:pt idx="8">
                  <c:v>49.3</c:v>
                </c:pt>
                <c:pt idx="9">
                  <c:v>49.4</c:v>
                </c:pt>
                <c:pt idx="10">
                  <c:v>50.6</c:v>
                </c:pt>
                <c:pt idx="11">
                  <c:v>52.9</c:v>
                </c:pt>
                <c:pt idx="12">
                  <c:v>53.2</c:v>
                </c:pt>
              </c:numCache>
            </c:numRef>
          </c:val>
          <c:smooth val="0"/>
          <c:extLst>
            <c:ext xmlns:c16="http://schemas.microsoft.com/office/drawing/2014/chart" uri="{C3380CC4-5D6E-409C-BE32-E72D297353CC}">
              <c16:uniqueId val="{00000002-3090-48BE-BB0A-012D5AFC5E0C}"/>
            </c:ext>
          </c:extLst>
        </c:ser>
        <c:dLbls>
          <c:showLegendKey val="0"/>
          <c:showVal val="0"/>
          <c:showCatName val="0"/>
          <c:showSerName val="0"/>
          <c:showPercent val="0"/>
          <c:showBubbleSize val="0"/>
        </c:dLbls>
        <c:marker val="1"/>
        <c:smooth val="0"/>
        <c:axId val="1193468544"/>
        <c:axId val="1089351536"/>
      </c:lineChart>
      <c:catAx>
        <c:axId val="119346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9351536"/>
        <c:crosses val="autoZero"/>
        <c:auto val="1"/>
        <c:lblAlgn val="ctr"/>
        <c:lblOffset val="100"/>
        <c:noMultiLvlLbl val="0"/>
      </c:catAx>
      <c:valAx>
        <c:axId val="1089351536"/>
        <c:scaling>
          <c:orientation val="minMax"/>
          <c:min val="3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346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314B-50FA-45D4-BC96-FD2C3F42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15</Pages>
  <Words>4706</Words>
  <Characters>23533</Characters>
  <Application>Microsoft Office Word</Application>
  <DocSecurity>0</DocSecurity>
  <Lines>1470</Lines>
  <Paragraphs>1283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Yazgi GENC</dc:creator>
  <cp:lastModifiedBy>Yazgi GENC</cp:lastModifiedBy>
  <cp:revision>240</cp:revision>
  <cp:lastPrinted>2019-05-27T11:07:00Z</cp:lastPrinted>
  <dcterms:created xsi:type="dcterms:W3CDTF">2019-03-04T14:06:00Z</dcterms:created>
  <dcterms:modified xsi:type="dcterms:W3CDTF">2019-05-27T11:20:00Z</dcterms:modified>
</cp:coreProperties>
</file>