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A63A" w14:textId="77777777" w:rsidR="001A6489" w:rsidRPr="009C2B66" w:rsidRDefault="00344AD9" w:rsidP="00450914">
      <w:pPr>
        <w:jc w:val="both"/>
        <w:rPr>
          <w:rFonts w:cstheme="minorHAnsi"/>
        </w:rPr>
      </w:pPr>
      <w:r w:rsidRPr="009C2B66">
        <w:rPr>
          <w:rFonts w:cstheme="minorHAnsi"/>
          <w:noProof/>
          <w:lang w:val="en-GB" w:eastAsia="en-GB"/>
        </w:rPr>
        <mc:AlternateContent>
          <mc:Choice Requires="wps">
            <w:drawing>
              <wp:anchor distT="0" distB="0" distL="114935" distR="114935" simplePos="0" relativeHeight="251664384" behindDoc="0" locked="0" layoutInCell="1" allowOverlap="1" wp14:anchorId="1600F895" wp14:editId="3E4D3AF4">
                <wp:simplePos x="0" y="0"/>
                <wp:positionH relativeFrom="column">
                  <wp:posOffset>5022850</wp:posOffset>
                </wp:positionH>
                <wp:positionV relativeFrom="paragraph">
                  <wp:posOffset>254000</wp:posOffset>
                </wp:positionV>
                <wp:extent cx="1478280" cy="29908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C4C5D" w14:textId="50A68896" w:rsidR="004529A7" w:rsidRPr="00344AD9" w:rsidRDefault="002925E9" w:rsidP="00344AD9">
                            <w:pPr>
                              <w:pStyle w:val="Heading3"/>
                              <w:jc w:val="center"/>
                              <w:rPr>
                                <w:rFonts w:ascii="Cambria" w:hAnsi="Cambria"/>
                                <w:b/>
                              </w:rPr>
                            </w:pPr>
                            <w:r>
                              <w:rPr>
                                <w:rFonts w:ascii="Cambria" w:hAnsi="Cambria"/>
                                <w:b/>
                                <w:color w:val="FFFFFF"/>
                                <w:sz w:val="22"/>
                                <w:szCs w:val="22"/>
                                <w:lang w:val="tr-TR"/>
                              </w:rPr>
                              <w:t>3</w:t>
                            </w:r>
                            <w:r w:rsidR="009A3C5A">
                              <w:rPr>
                                <w:rFonts w:ascii="Cambria" w:hAnsi="Cambria"/>
                                <w:b/>
                                <w:color w:val="FFFFFF"/>
                                <w:sz w:val="22"/>
                                <w:szCs w:val="22"/>
                                <w:lang w:val="tr-TR"/>
                              </w:rPr>
                              <w:t>1</w:t>
                            </w:r>
                            <w:r w:rsidR="004529A7">
                              <w:rPr>
                                <w:rFonts w:ascii="Cambria" w:hAnsi="Cambria"/>
                                <w:b/>
                                <w:color w:val="FFFFFF"/>
                                <w:sz w:val="22"/>
                                <w:szCs w:val="22"/>
                                <w:lang w:val="tr-TR"/>
                              </w:rPr>
                              <w:t>.</w:t>
                            </w:r>
                            <w:r>
                              <w:rPr>
                                <w:rFonts w:ascii="Cambria" w:hAnsi="Cambria"/>
                                <w:b/>
                                <w:color w:val="FFFFFF"/>
                                <w:sz w:val="22"/>
                                <w:szCs w:val="22"/>
                                <w:lang w:val="tr-TR"/>
                              </w:rPr>
                              <w:t>05</w:t>
                            </w:r>
                            <w:r w:rsidR="004529A7" w:rsidRPr="00344AD9">
                              <w:rPr>
                                <w:rFonts w:ascii="Cambria" w:hAnsi="Cambria"/>
                                <w:b/>
                                <w:color w:val="FFFFFF"/>
                                <w:sz w:val="22"/>
                                <w:szCs w:val="22"/>
                                <w:lang w:val="tr-TR"/>
                              </w:rPr>
                              <w:t xml:space="preserve"> 201</w:t>
                            </w:r>
                            <w:r w:rsidR="004529A7">
                              <w:rPr>
                                <w:rFonts w:ascii="Cambria" w:hAnsi="Cambria"/>
                                <w:b/>
                                <w:color w:val="FFFFFF"/>
                                <w:sz w:val="22"/>
                                <w:szCs w:val="22"/>
                                <w:lang w:val="tr-TR"/>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0F895" id="_x0000_t202" coordsize="21600,21600" o:spt="202" path="m,l,21600r21600,l21600,xe">
                <v:stroke joinstyle="miter"/>
                <v:path gradientshapeok="t" o:connecttype="rect"/>
              </v:shapetype>
              <v:shape id="Metin Kutusu 3" o:spid="_x0000_s1026" type="#_x0000_t202" style="position:absolute;left:0;text-align:left;margin-left:395.5pt;margin-top:20pt;width:116.4pt;height:23.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" stroked="f">
                <v:fill opacity="0"/>
                <v:textbox inset="0,0,0,0">
                  <w:txbxContent>
                    <w:p w14:paraId="1CBC4C5D" w14:textId="50A68896" w:rsidR="004529A7" w:rsidRPr="00344AD9" w:rsidRDefault="002925E9" w:rsidP="00344AD9">
                      <w:pPr>
                        <w:pStyle w:val="Heading3"/>
                        <w:jc w:val="center"/>
                        <w:rPr>
                          <w:rFonts w:ascii="Cambria" w:hAnsi="Cambria"/>
                          <w:b/>
                        </w:rPr>
                      </w:pPr>
                      <w:r>
                        <w:rPr>
                          <w:rFonts w:ascii="Cambria" w:hAnsi="Cambria"/>
                          <w:b/>
                          <w:color w:val="FFFFFF"/>
                          <w:sz w:val="22"/>
                          <w:szCs w:val="22"/>
                          <w:lang w:val="tr-TR"/>
                        </w:rPr>
                        <w:t>3</w:t>
                      </w:r>
                      <w:r w:rsidR="009A3C5A">
                        <w:rPr>
                          <w:rFonts w:ascii="Cambria" w:hAnsi="Cambria"/>
                          <w:b/>
                          <w:color w:val="FFFFFF"/>
                          <w:sz w:val="22"/>
                          <w:szCs w:val="22"/>
                          <w:lang w:val="tr-TR"/>
                        </w:rPr>
                        <w:t>1</w:t>
                      </w:r>
                      <w:r w:rsidR="004529A7">
                        <w:rPr>
                          <w:rFonts w:ascii="Cambria" w:hAnsi="Cambria"/>
                          <w:b/>
                          <w:color w:val="FFFFFF"/>
                          <w:sz w:val="22"/>
                          <w:szCs w:val="22"/>
                          <w:lang w:val="tr-TR"/>
                        </w:rPr>
                        <w:t>.</w:t>
                      </w:r>
                      <w:r>
                        <w:rPr>
                          <w:rFonts w:ascii="Cambria" w:hAnsi="Cambria"/>
                          <w:b/>
                          <w:color w:val="FFFFFF"/>
                          <w:sz w:val="22"/>
                          <w:szCs w:val="22"/>
                          <w:lang w:val="tr-TR"/>
                        </w:rPr>
                        <w:t>05</w:t>
                      </w:r>
                      <w:r w:rsidR="004529A7" w:rsidRPr="00344AD9">
                        <w:rPr>
                          <w:rFonts w:ascii="Cambria" w:hAnsi="Cambria"/>
                          <w:b/>
                          <w:color w:val="FFFFFF"/>
                          <w:sz w:val="22"/>
                          <w:szCs w:val="22"/>
                          <w:lang w:val="tr-TR"/>
                        </w:rPr>
                        <w:t xml:space="preserve"> 201</w:t>
                      </w:r>
                      <w:r w:rsidR="004529A7">
                        <w:rPr>
                          <w:rFonts w:ascii="Cambria" w:hAnsi="Cambria"/>
                          <w:b/>
                          <w:color w:val="FFFFFF"/>
                          <w:sz w:val="22"/>
                          <w:szCs w:val="22"/>
                          <w:lang w:val="tr-TR"/>
                        </w:rPr>
                        <w:t>9</w:t>
                      </w:r>
                    </w:p>
                  </w:txbxContent>
                </v:textbox>
              </v:shape>
            </w:pict>
          </mc:Fallback>
        </mc:AlternateContent>
      </w:r>
      <w:r w:rsidRPr="009C2B66">
        <w:rPr>
          <w:rFonts w:cstheme="minorHAnsi"/>
          <w:noProof/>
          <w:lang w:val="en-GB" w:eastAsia="en-GB"/>
        </w:rPr>
        <mc:AlternateContent>
          <mc:Choice Requires="wps">
            <w:drawing>
              <wp:anchor distT="0" distB="0" distL="114935" distR="114935" simplePos="0" relativeHeight="251663360" behindDoc="0" locked="0" layoutInCell="1" allowOverlap="1" wp14:anchorId="33DB7FC7" wp14:editId="06C1C6AB">
                <wp:simplePos x="0" y="0"/>
                <wp:positionH relativeFrom="column">
                  <wp:posOffset>1600200</wp:posOffset>
                </wp:positionH>
                <wp:positionV relativeFrom="paragraph">
                  <wp:posOffset>-467360</wp:posOffset>
                </wp:positionV>
                <wp:extent cx="3933190" cy="450850"/>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450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F384A" w14:textId="107F7228" w:rsidR="004529A7" w:rsidRPr="002865A7" w:rsidRDefault="004529A7" w:rsidP="001A6489">
                            <w:pPr>
                              <w:pStyle w:val="Heading1"/>
                              <w:rPr>
                                <w:rFonts w:ascii="Times New Roman" w:hAnsi="Times New Roman"/>
                                <w:sz w:val="52"/>
                                <w:szCs w:val="52"/>
                              </w:rPr>
                            </w:pPr>
                            <w:r>
                              <w:rPr>
                                <w:rFonts w:ascii="Times New Roman" w:hAnsi="Times New Roman"/>
                                <w:sz w:val="52"/>
                                <w:szCs w:val="52"/>
                              </w:rPr>
                              <w:t>Araştırma Notu 19/</w:t>
                            </w:r>
                            <w:r w:rsidR="009A3C5A">
                              <w:rPr>
                                <w:rFonts w:ascii="Times New Roman" w:hAnsi="Times New Roman"/>
                                <w:sz w:val="52"/>
                                <w:szCs w:val="52"/>
                              </w:rPr>
                              <w:t>242</w:t>
                            </w:r>
                          </w:p>
                          <w:p w14:paraId="1B9F31F2" w14:textId="77777777" w:rsidR="004529A7" w:rsidRPr="00526178" w:rsidRDefault="004529A7" w:rsidP="001A6489">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B7FC7" id="Metin Kutusu 11" o:spid="_x0000_s1027" type="#_x0000_t202" style="position:absolute;left:0;text-align:left;margin-left:126pt;margin-top:-36.8pt;width:309.7pt;height:3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" stroked="f">
                <v:fill opacity="0"/>
                <v:textbox inset="0,0,0,0">
                  <w:txbxContent>
                    <w:p w14:paraId="307F384A" w14:textId="107F7228" w:rsidR="004529A7" w:rsidRPr="002865A7" w:rsidRDefault="004529A7" w:rsidP="001A6489">
                      <w:pPr>
                        <w:pStyle w:val="Heading1"/>
                        <w:rPr>
                          <w:rFonts w:ascii="Times New Roman" w:hAnsi="Times New Roman"/>
                          <w:sz w:val="52"/>
                          <w:szCs w:val="52"/>
                        </w:rPr>
                      </w:pPr>
                      <w:r>
                        <w:rPr>
                          <w:rFonts w:ascii="Times New Roman" w:hAnsi="Times New Roman"/>
                          <w:sz w:val="52"/>
                          <w:szCs w:val="52"/>
                        </w:rPr>
                        <w:t>Araştırma Notu 19/</w:t>
                      </w:r>
                      <w:r w:rsidR="009A3C5A">
                        <w:rPr>
                          <w:rFonts w:ascii="Times New Roman" w:hAnsi="Times New Roman"/>
                          <w:sz w:val="52"/>
                          <w:szCs w:val="52"/>
                        </w:rPr>
                        <w:t>242</w:t>
                      </w:r>
                    </w:p>
                    <w:p w14:paraId="1B9F31F2" w14:textId="77777777" w:rsidR="004529A7" w:rsidRPr="00526178" w:rsidRDefault="004529A7" w:rsidP="001A6489">
                      <w:pPr>
                        <w:pStyle w:val="Heading2"/>
                        <w:rPr>
                          <w:b w:val="0"/>
                          <w:bCs w:val="0"/>
                          <w:i w:val="0"/>
                          <w:iCs w:val="0"/>
                        </w:rPr>
                      </w:pPr>
                    </w:p>
                  </w:txbxContent>
                </v:textbox>
              </v:shape>
            </w:pict>
          </mc:Fallback>
        </mc:AlternateContent>
      </w:r>
      <w:r w:rsidRPr="009C2B66">
        <w:rPr>
          <w:rFonts w:cstheme="minorHAnsi"/>
          <w:noProof/>
          <w:lang w:val="en-GB" w:eastAsia="en-GB"/>
        </w:rPr>
        <w:drawing>
          <wp:anchor distT="0" distB="0" distL="114300" distR="114300" simplePos="0" relativeHeight="251662336" behindDoc="1" locked="0" layoutInCell="1" allowOverlap="1" wp14:anchorId="52EF4BA3" wp14:editId="41358AED">
            <wp:simplePos x="0" y="0"/>
            <wp:positionH relativeFrom="page">
              <wp:posOffset>76200</wp:posOffset>
            </wp:positionH>
            <wp:positionV relativeFrom="paragraph">
              <wp:posOffset>-848995</wp:posOffset>
            </wp:positionV>
            <wp:extent cx="7397750" cy="1447800"/>
            <wp:effectExtent l="0" t="0" r="0" b="0"/>
            <wp:wrapNone/>
            <wp:docPr id="12" name="Picture 1" descr=":banner(TUR).jpg"/>
            <wp:cNvGraphicFramePr/>
            <a:graphic xmlns:a="http://schemas.openxmlformats.org/drawingml/2006/main">
              <a:graphicData uri="http://schemas.openxmlformats.org/drawingml/2006/picture">
                <pic:pic xmlns:pic="http://schemas.openxmlformats.org/drawingml/2006/picture">
                  <pic:nvPicPr>
                    <pic:cNvPr id="12" name="Picture 1" descr=":banner(TU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0" cy="1447800"/>
                    </a:xfrm>
                    <a:prstGeom prst="rect">
                      <a:avLst/>
                    </a:prstGeom>
                    <a:noFill/>
                  </pic:spPr>
                </pic:pic>
              </a:graphicData>
            </a:graphic>
            <wp14:sizeRelH relativeFrom="margin">
              <wp14:pctWidth>0</wp14:pctWidth>
            </wp14:sizeRelH>
            <wp14:sizeRelV relativeFrom="margin">
              <wp14:pctHeight>0</wp14:pctHeight>
            </wp14:sizeRelV>
          </wp:anchor>
        </w:drawing>
      </w:r>
    </w:p>
    <w:p w14:paraId="51A5EF9D" w14:textId="77777777" w:rsidR="001A6489" w:rsidRPr="009C2B66" w:rsidRDefault="001A6489" w:rsidP="00450914">
      <w:pPr>
        <w:jc w:val="both"/>
        <w:rPr>
          <w:rFonts w:cstheme="minorHAnsi"/>
        </w:rPr>
      </w:pPr>
    </w:p>
    <w:p w14:paraId="65E62D21" w14:textId="77777777" w:rsidR="00344AD9" w:rsidRPr="009C2B66" w:rsidRDefault="00344AD9" w:rsidP="00450914">
      <w:pPr>
        <w:jc w:val="both"/>
        <w:rPr>
          <w:rFonts w:cstheme="minorHAnsi"/>
        </w:rPr>
      </w:pPr>
    </w:p>
    <w:p w14:paraId="4A5E35B0" w14:textId="66514226" w:rsidR="00E43577" w:rsidRPr="009C2B66" w:rsidRDefault="00626C31" w:rsidP="00450914">
      <w:pPr>
        <w:jc w:val="center"/>
        <w:rPr>
          <w:rFonts w:cstheme="minorHAnsi"/>
          <w:sz w:val="32"/>
        </w:rPr>
      </w:pPr>
      <w:r w:rsidRPr="009C2B66">
        <w:rPr>
          <w:rFonts w:cstheme="minorHAnsi"/>
          <w:b/>
          <w:sz w:val="32"/>
        </w:rPr>
        <w:t>15-19 YAŞ ARA</w:t>
      </w:r>
      <w:r w:rsidR="002C7F6B">
        <w:rPr>
          <w:rFonts w:cstheme="minorHAnsi"/>
          <w:b/>
          <w:sz w:val="32"/>
        </w:rPr>
        <w:t>LIĞINDAKİ 1,3 MİLYON</w:t>
      </w:r>
      <w:r w:rsidRPr="009C2B66">
        <w:rPr>
          <w:rFonts w:cstheme="minorHAnsi"/>
          <w:b/>
          <w:sz w:val="32"/>
        </w:rPr>
        <w:t xml:space="preserve"> </w:t>
      </w:r>
      <w:r w:rsidR="002C7F6B">
        <w:rPr>
          <w:rFonts w:cstheme="minorHAnsi"/>
          <w:b/>
          <w:sz w:val="32"/>
        </w:rPr>
        <w:t xml:space="preserve">GENÇ </w:t>
      </w:r>
      <w:r w:rsidR="002F01B2">
        <w:rPr>
          <w:rFonts w:cstheme="minorHAnsi"/>
          <w:b/>
          <w:sz w:val="32"/>
        </w:rPr>
        <w:br/>
      </w:r>
      <w:r w:rsidR="002C7F6B">
        <w:rPr>
          <w:rFonts w:cstheme="minorHAnsi"/>
          <w:b/>
          <w:sz w:val="32"/>
        </w:rPr>
        <w:t xml:space="preserve">NE EĞİTİMDE NE </w:t>
      </w:r>
      <w:r w:rsidR="002F01B2">
        <w:rPr>
          <w:rFonts w:cstheme="minorHAnsi"/>
          <w:b/>
          <w:sz w:val="32"/>
        </w:rPr>
        <w:t>İSTİHDAMDA</w:t>
      </w:r>
    </w:p>
    <w:p w14:paraId="1B3E6D97" w14:textId="77777777" w:rsidR="00344AD9" w:rsidRPr="009C2B66" w:rsidRDefault="00344AD9" w:rsidP="00450914">
      <w:pPr>
        <w:jc w:val="center"/>
        <w:rPr>
          <w:rFonts w:cstheme="minorHAnsi"/>
        </w:rPr>
      </w:pPr>
      <w:r w:rsidRPr="009C2B66">
        <w:rPr>
          <w:rFonts w:cstheme="minorHAnsi"/>
        </w:rPr>
        <w:t>Gökçe Uysal</w:t>
      </w:r>
      <w:r w:rsidR="00AC095A" w:rsidRPr="009C2B66">
        <w:rPr>
          <w:rStyle w:val="FootnoteReference"/>
          <w:rFonts w:cstheme="minorHAnsi"/>
        </w:rPr>
        <w:footnoteReference w:id="1"/>
      </w:r>
      <w:r w:rsidR="00AC095A" w:rsidRPr="009C2B66">
        <w:rPr>
          <w:rFonts w:cstheme="minorHAnsi"/>
        </w:rPr>
        <w:t xml:space="preserve"> ve Uğurcan Acar</w:t>
      </w:r>
      <w:r w:rsidR="00AC095A" w:rsidRPr="009C2B66">
        <w:rPr>
          <w:rStyle w:val="FootnoteReference"/>
          <w:rFonts w:cstheme="minorHAnsi"/>
        </w:rPr>
        <w:footnoteReference w:id="2"/>
      </w:r>
    </w:p>
    <w:p w14:paraId="44FF0CBA" w14:textId="77777777" w:rsidR="00344AD9" w:rsidRPr="009C2B66" w:rsidRDefault="000F27A2" w:rsidP="000F27A2">
      <w:pPr>
        <w:jc w:val="center"/>
        <w:rPr>
          <w:rFonts w:cstheme="minorHAnsi"/>
          <w:b/>
          <w:sz w:val="24"/>
        </w:rPr>
      </w:pPr>
      <w:r w:rsidRPr="009C2B66">
        <w:rPr>
          <w:rFonts w:cstheme="minorHAnsi"/>
          <w:b/>
          <w:sz w:val="24"/>
        </w:rPr>
        <w:t>Yönetici Özeti</w:t>
      </w:r>
    </w:p>
    <w:p w14:paraId="6FDEF5CC" w14:textId="19640065" w:rsidR="00731E5D" w:rsidRPr="009C2B66" w:rsidRDefault="00DD0B3D" w:rsidP="00450914">
      <w:pPr>
        <w:jc w:val="both"/>
        <w:rPr>
          <w:rFonts w:cstheme="minorHAnsi"/>
        </w:rPr>
      </w:pPr>
      <w:r w:rsidRPr="009C2B66">
        <w:rPr>
          <w:rFonts w:cstheme="minorHAnsi"/>
        </w:rPr>
        <w:t xml:space="preserve">Bu araştırma notunda, 2012-2017 yıllarında ne eğitimde ne de istihdamda olan 15-19 yaş arası gençlerin durumları değerlendirilmiştir. </w:t>
      </w:r>
      <w:r w:rsidR="009079AC" w:rsidRPr="009C2B66">
        <w:rPr>
          <w:rFonts w:cstheme="minorHAnsi"/>
        </w:rPr>
        <w:t>Türkiye’de hem genç kadınlar hem de genç erkekler arasında ne eğitimde ne istihdamda olanların oranının OECD ortalamasının çok ü</w:t>
      </w:r>
      <w:bookmarkStart w:id="0" w:name="_GoBack"/>
      <w:bookmarkEnd w:id="0"/>
      <w:r w:rsidR="009079AC" w:rsidRPr="009C2B66">
        <w:rPr>
          <w:rFonts w:cstheme="minorHAnsi"/>
        </w:rPr>
        <w:t xml:space="preserve">zerinde seyrettiği anlaşılmaktadır. </w:t>
      </w:r>
      <w:r w:rsidRPr="009C2B66">
        <w:rPr>
          <w:rFonts w:cstheme="minorHAnsi"/>
        </w:rPr>
        <w:t xml:space="preserve">Son yıllarda düşüş </w:t>
      </w:r>
      <w:r w:rsidR="003A6A57" w:rsidRPr="009C2B66">
        <w:rPr>
          <w:rFonts w:cstheme="minorHAnsi"/>
        </w:rPr>
        <w:t>eğiliminde</w:t>
      </w:r>
      <w:r w:rsidRPr="009C2B66">
        <w:rPr>
          <w:rFonts w:cstheme="minorHAnsi"/>
        </w:rPr>
        <w:t xml:space="preserve"> olan oranın 2017 yılında tekrar yükselişe geçtiği görülmektedir. 2017 yılı itibariyle 15-19 yaş aralığındaki 500 bin genç erkek</w:t>
      </w:r>
      <w:r w:rsidR="009079AC" w:rsidRPr="009C2B66">
        <w:rPr>
          <w:rFonts w:cstheme="minorHAnsi"/>
        </w:rPr>
        <w:t>,</w:t>
      </w:r>
      <w:r w:rsidRPr="009C2B66">
        <w:rPr>
          <w:rFonts w:cstheme="minorHAnsi"/>
        </w:rPr>
        <w:t xml:space="preserve"> yani </w:t>
      </w:r>
      <w:r w:rsidR="009079AC" w:rsidRPr="009C2B66">
        <w:rPr>
          <w:rFonts w:cstheme="minorHAnsi"/>
        </w:rPr>
        <w:t xml:space="preserve">yaklaşık her 7 genç erkekten </w:t>
      </w:r>
      <w:r w:rsidR="000953BE" w:rsidRPr="009C2B66">
        <w:rPr>
          <w:rFonts w:cstheme="minorHAnsi"/>
        </w:rPr>
        <w:t>biri</w:t>
      </w:r>
      <w:r w:rsidRPr="009C2B66">
        <w:rPr>
          <w:rFonts w:cstheme="minorHAnsi"/>
        </w:rPr>
        <w:t xml:space="preserve"> ve 780 bin genç kadın</w:t>
      </w:r>
      <w:r w:rsidR="009079AC" w:rsidRPr="009C2B66">
        <w:rPr>
          <w:rFonts w:cstheme="minorHAnsi"/>
        </w:rPr>
        <w:t>,</w:t>
      </w:r>
      <w:r w:rsidRPr="009C2B66">
        <w:rPr>
          <w:rFonts w:cstheme="minorHAnsi"/>
        </w:rPr>
        <w:t xml:space="preserve"> yani </w:t>
      </w:r>
      <w:r w:rsidR="009079AC" w:rsidRPr="009C2B66">
        <w:rPr>
          <w:rFonts w:cstheme="minorHAnsi"/>
        </w:rPr>
        <w:t xml:space="preserve">yaklaşık her 4 genç kadından </w:t>
      </w:r>
      <w:r w:rsidR="000953BE" w:rsidRPr="009C2B66">
        <w:rPr>
          <w:rFonts w:cstheme="minorHAnsi"/>
        </w:rPr>
        <w:t>biri</w:t>
      </w:r>
      <w:r w:rsidRPr="009C2B66">
        <w:rPr>
          <w:rFonts w:cstheme="minorHAnsi"/>
        </w:rPr>
        <w:t xml:space="preserve"> ne eğitimde ne de istihdamdadır. </w:t>
      </w:r>
      <w:r w:rsidR="007D7217" w:rsidRPr="009C2B66">
        <w:rPr>
          <w:rFonts w:cstheme="minorHAnsi"/>
        </w:rPr>
        <w:t>NENİ gençlerin yaklaşık 720 bini ilköğretim mezunu</w:t>
      </w:r>
      <w:r w:rsidR="009C6148" w:rsidRPr="009C2B66">
        <w:rPr>
          <w:rFonts w:cstheme="minorHAnsi"/>
        </w:rPr>
        <w:t>, 560 bini ise lise mezunu</w:t>
      </w:r>
      <w:r w:rsidR="007D7217" w:rsidRPr="009C2B66">
        <w:rPr>
          <w:rFonts w:cstheme="minorHAnsi"/>
        </w:rPr>
        <w:t xml:space="preserve"> olarak eğitimden uzaklaşmıştır. </w:t>
      </w:r>
      <w:r w:rsidR="009C6148" w:rsidRPr="009C2B66">
        <w:rPr>
          <w:rFonts w:cstheme="minorHAnsi"/>
        </w:rPr>
        <w:t xml:space="preserve">NENİ erkeklerin </w:t>
      </w:r>
      <w:r w:rsidR="000953BE" w:rsidRPr="009C2B66">
        <w:rPr>
          <w:rFonts w:cstheme="minorHAnsi"/>
        </w:rPr>
        <w:t>birçoğu</w:t>
      </w:r>
      <w:r w:rsidR="009C6148" w:rsidRPr="009C2B66">
        <w:rPr>
          <w:rFonts w:cstheme="minorHAnsi"/>
        </w:rPr>
        <w:t xml:space="preserve"> işgücü piyasasında kendisine göre iş olmadığına inandığını ya da iş bulma ümidi kalmadığı için iş aramadığını, NENi kadınların ise </w:t>
      </w:r>
      <w:r w:rsidR="000953BE" w:rsidRPr="009C2B66">
        <w:rPr>
          <w:rFonts w:cstheme="minorHAnsi"/>
        </w:rPr>
        <w:t>birçoğu</w:t>
      </w:r>
      <w:r w:rsidR="009C6148" w:rsidRPr="009C2B66">
        <w:rPr>
          <w:rFonts w:cstheme="minorHAnsi"/>
        </w:rPr>
        <w:t xml:space="preserve"> ev işleri ve bakım sorumlulukları yüzünden iş aramadığını belirtmektedir. Yaklaşık 385 bin NENİ genç ise ders</w:t>
      </w:r>
      <w:r w:rsidR="000953BE" w:rsidRPr="009C2B66">
        <w:rPr>
          <w:rFonts w:cstheme="minorHAnsi"/>
        </w:rPr>
        <w:t>h</w:t>
      </w:r>
      <w:r w:rsidR="009C6148" w:rsidRPr="009C2B66">
        <w:rPr>
          <w:rFonts w:cstheme="minorHAnsi"/>
        </w:rPr>
        <w:t xml:space="preserve">aneye ya da kursa devam ettiğini beyan etmektedir. </w:t>
      </w:r>
    </w:p>
    <w:p w14:paraId="57888B38" w14:textId="77777777" w:rsidR="000F27A2" w:rsidRPr="009C2B66" w:rsidRDefault="000F27A2" w:rsidP="00450914">
      <w:pPr>
        <w:jc w:val="both"/>
        <w:rPr>
          <w:rFonts w:cstheme="minorHAnsi"/>
          <w:b/>
        </w:rPr>
      </w:pPr>
      <w:r w:rsidRPr="009C2B66">
        <w:rPr>
          <w:rFonts w:cstheme="minorHAnsi"/>
          <w:b/>
        </w:rPr>
        <w:t>NENİ tanımı</w:t>
      </w:r>
    </w:p>
    <w:p w14:paraId="2C51C3C7" w14:textId="17DF5B92" w:rsidR="000F27A2" w:rsidRPr="009C2B66" w:rsidRDefault="003C563E" w:rsidP="00450914">
      <w:pPr>
        <w:jc w:val="both"/>
        <w:rPr>
          <w:rFonts w:cstheme="minorHAnsi"/>
        </w:rPr>
      </w:pPr>
      <w:r w:rsidRPr="009C2B66">
        <w:rPr>
          <w:rFonts w:cstheme="minorHAnsi"/>
        </w:rPr>
        <w:t xml:space="preserve">“Ne Eğitimde Ne İstihdamda” ifadesinin kısaltması </w:t>
      </w:r>
      <w:r w:rsidR="00FE20F7" w:rsidRPr="009C2B66">
        <w:rPr>
          <w:rFonts w:cstheme="minorHAnsi"/>
        </w:rPr>
        <w:t>olan NENİ,</w:t>
      </w:r>
      <w:r w:rsidRPr="009C2B66">
        <w:rPr>
          <w:rFonts w:cstheme="minorHAnsi"/>
        </w:rPr>
        <w:t xml:space="preserve"> eğitimde ve</w:t>
      </w:r>
      <w:r w:rsidR="00165808" w:rsidRPr="009C2B66">
        <w:rPr>
          <w:rFonts w:cstheme="minorHAnsi"/>
        </w:rPr>
        <w:t>ya</w:t>
      </w:r>
      <w:r w:rsidRPr="009C2B66">
        <w:rPr>
          <w:rFonts w:cstheme="minorHAnsi"/>
        </w:rPr>
        <w:t xml:space="preserve"> istihdamda olmayan gençlerin söz konusu yaş ve cinsiyet grubundaki paylarını</w:t>
      </w:r>
      <w:r w:rsidR="00AC095A" w:rsidRPr="009C2B66">
        <w:rPr>
          <w:rFonts w:cstheme="minorHAnsi"/>
        </w:rPr>
        <w:t xml:space="preserve"> gösteren önemli bir göstergedir. OECD bu oranı hesaplarken yarı zamanlı veya tam zamanlı olarak eğitimine devam eden gençleri </w:t>
      </w:r>
      <w:r w:rsidR="00AC095A" w:rsidRPr="009C2B66">
        <w:rPr>
          <w:rFonts w:cstheme="minorHAnsi"/>
          <w:i/>
        </w:rPr>
        <w:t>eğitim</w:t>
      </w:r>
      <w:r w:rsidR="00D53C72" w:rsidRPr="009C2B66">
        <w:rPr>
          <w:rFonts w:cstheme="minorHAnsi"/>
          <w:i/>
        </w:rPr>
        <w:t>de</w:t>
      </w:r>
      <w:r w:rsidR="00B40816" w:rsidRPr="009C2B66">
        <w:rPr>
          <w:rFonts w:cstheme="minorHAnsi"/>
        </w:rPr>
        <w:t xml:space="preserve"> olarak kaydederken, resmi olmayan kurumlarda eğitim gören veya kısa süreli eğitim alan gençleri ise eğitimde olmayan gençler olarak kaydetmektedir. İstihdamda olanlar ise referans haftası için en az bir saat ücretli olarak çalışanları</w:t>
      </w:r>
      <w:r w:rsidR="00626C31" w:rsidRPr="009C2B66">
        <w:rPr>
          <w:rFonts w:cstheme="minorHAnsi"/>
        </w:rPr>
        <w:t xml:space="preserve"> (kayıt dışı çalışanlar bu tanımın içerisindedir)</w:t>
      </w:r>
      <w:r w:rsidR="00B40816" w:rsidRPr="009C2B66">
        <w:rPr>
          <w:rFonts w:cstheme="minorHAnsi"/>
        </w:rPr>
        <w:t xml:space="preserve"> veya geçici olarak bu işlerinde bulunmayanları kapsamaktadır</w:t>
      </w:r>
      <w:r w:rsidR="009456B0" w:rsidRPr="009C2B66">
        <w:rPr>
          <w:rFonts w:cstheme="minorHAnsi"/>
        </w:rPr>
        <w:t xml:space="preserve">. </w:t>
      </w:r>
      <w:r w:rsidR="00670C9F" w:rsidRPr="009C2B66">
        <w:rPr>
          <w:rFonts w:cstheme="minorHAnsi"/>
        </w:rPr>
        <w:t xml:space="preserve">OECD göstergesi aslında ne istihdamda ne eğitimde ne de kursta olan gençleri kapsamaktadır (NEET: </w:t>
      </w:r>
      <w:r w:rsidR="009456B0" w:rsidRPr="009C2B66">
        <w:rPr>
          <w:rFonts w:cstheme="minorHAnsi"/>
        </w:rPr>
        <w:t>youth not in employment, education or training). Hanehalkı İşgücü Anketi’nde sorulan kurs durumunun tam karşılığını ayırt etmek güç olduğundan,</w:t>
      </w:r>
      <w:r w:rsidR="00D318C6" w:rsidRPr="009C2B66">
        <w:rPr>
          <w:rFonts w:cstheme="minorHAnsi"/>
        </w:rPr>
        <w:t xml:space="preserve"> bu araştırma notunda kullanılan</w:t>
      </w:r>
      <w:r w:rsidR="009456B0" w:rsidRPr="009C2B66">
        <w:rPr>
          <w:rFonts w:cstheme="minorHAnsi"/>
        </w:rPr>
        <w:t xml:space="preserve"> NENİ </w:t>
      </w:r>
      <w:r w:rsidR="00D318C6" w:rsidRPr="009C2B66">
        <w:rPr>
          <w:rFonts w:cstheme="minorHAnsi"/>
        </w:rPr>
        <w:t>göstergesinde</w:t>
      </w:r>
      <w:r w:rsidR="009456B0" w:rsidRPr="009C2B66">
        <w:rPr>
          <w:rFonts w:cstheme="minorHAnsi"/>
        </w:rPr>
        <w:t xml:space="preserve"> kurs durumu kapsam dışı bırakılmıştır. Dolayısıyla NENİ </w:t>
      </w:r>
      <w:r w:rsidR="00D318C6" w:rsidRPr="009C2B66">
        <w:rPr>
          <w:rFonts w:cstheme="minorHAnsi"/>
        </w:rPr>
        <w:t>tanımı</w:t>
      </w:r>
      <w:r w:rsidR="009456B0" w:rsidRPr="009C2B66">
        <w:rPr>
          <w:rFonts w:cstheme="minorHAnsi"/>
        </w:rPr>
        <w:t xml:space="preserve"> hem istihdam dışında (işsiz veya inaktif) hem de resmi örgün eğitimine devam etmeyen gençleri kapsamaktadır.</w:t>
      </w:r>
    </w:p>
    <w:p w14:paraId="57D07A5D" w14:textId="77777777" w:rsidR="000F27A2" w:rsidRPr="009C2B66" w:rsidRDefault="000F27A2" w:rsidP="00450914">
      <w:pPr>
        <w:jc w:val="both"/>
        <w:rPr>
          <w:rFonts w:cstheme="minorHAnsi"/>
          <w:b/>
        </w:rPr>
      </w:pPr>
      <w:r w:rsidRPr="009C2B66">
        <w:rPr>
          <w:rFonts w:cstheme="minorHAnsi"/>
          <w:b/>
        </w:rPr>
        <w:t>Türkiye’nin OECD ülkeleri arasındaki yeri</w:t>
      </w:r>
    </w:p>
    <w:p w14:paraId="73F33027" w14:textId="77777777" w:rsidR="00344AD9" w:rsidRPr="009C2B66" w:rsidRDefault="000D24DE" w:rsidP="00450914">
      <w:pPr>
        <w:jc w:val="both"/>
        <w:rPr>
          <w:rFonts w:cstheme="minorHAnsi"/>
        </w:rPr>
      </w:pPr>
      <w:r w:rsidRPr="009C2B66">
        <w:rPr>
          <w:rFonts w:cstheme="minorHAnsi"/>
        </w:rPr>
        <w:t>OECD tarafından hesaplanan</w:t>
      </w:r>
      <w:r w:rsidR="00051F70" w:rsidRPr="009C2B66">
        <w:rPr>
          <w:rFonts w:cstheme="minorHAnsi"/>
        </w:rPr>
        <w:t>,</w:t>
      </w:r>
      <w:r w:rsidRPr="009C2B66">
        <w:rPr>
          <w:rFonts w:cstheme="minorHAnsi"/>
        </w:rPr>
        <w:t xml:space="preserve"> Türkiye ve diğer bazı OECD ülkelerin 2017 yılı NEET oranları, </w:t>
      </w:r>
      <w:r w:rsidR="00D53C72" w:rsidRPr="009C2B66">
        <w:rPr>
          <w:rFonts w:cstheme="minorHAnsi"/>
        </w:rPr>
        <w:t>Şekil 1</w:t>
      </w:r>
      <w:r w:rsidRPr="009C2B66">
        <w:rPr>
          <w:rFonts w:cstheme="minorHAnsi"/>
        </w:rPr>
        <w:t>’de</w:t>
      </w:r>
      <w:r w:rsidR="00450914" w:rsidRPr="009C2B66">
        <w:rPr>
          <w:rFonts w:cstheme="minorHAnsi"/>
        </w:rPr>
        <w:t xml:space="preserve"> 15-19 yaş aralığı için </w:t>
      </w:r>
      <w:r w:rsidRPr="009C2B66">
        <w:rPr>
          <w:rFonts w:cstheme="minorHAnsi"/>
        </w:rPr>
        <w:t>verilmektedir</w:t>
      </w:r>
      <w:r w:rsidR="00450914" w:rsidRPr="009C2B66">
        <w:rPr>
          <w:rFonts w:cstheme="minorHAnsi"/>
        </w:rPr>
        <w:t xml:space="preserve">. </w:t>
      </w:r>
    </w:p>
    <w:p w14:paraId="4B11799F" w14:textId="77777777" w:rsidR="00485121" w:rsidRPr="009C2B66" w:rsidRDefault="00485121" w:rsidP="00450914">
      <w:pPr>
        <w:jc w:val="both"/>
        <w:rPr>
          <w:rFonts w:cstheme="minorHAnsi"/>
        </w:rPr>
      </w:pPr>
    </w:p>
    <w:p w14:paraId="07B76992" w14:textId="77777777" w:rsidR="00485121" w:rsidRPr="009C2B66" w:rsidRDefault="00485121" w:rsidP="00450914">
      <w:pPr>
        <w:jc w:val="both"/>
        <w:rPr>
          <w:rFonts w:cstheme="minorHAnsi"/>
        </w:rPr>
      </w:pPr>
    </w:p>
    <w:p w14:paraId="538B375C" w14:textId="7873A615" w:rsidR="00450914" w:rsidRPr="009C2B66" w:rsidRDefault="00450914" w:rsidP="00450914">
      <w:pPr>
        <w:jc w:val="both"/>
        <w:rPr>
          <w:rFonts w:cstheme="minorHAnsi"/>
        </w:rPr>
      </w:pPr>
      <w:r w:rsidRPr="009C2B66">
        <w:rPr>
          <w:rFonts w:cstheme="minorHAnsi"/>
        </w:rPr>
        <w:lastRenderedPageBreak/>
        <w:t xml:space="preserve">Şekil 1: </w:t>
      </w:r>
      <w:r w:rsidR="00EB51A8" w:rsidRPr="009C2B66">
        <w:rPr>
          <w:rFonts w:cstheme="minorHAnsi"/>
        </w:rPr>
        <w:t>Türkiye ve bazı OECD ülkelerinde 15-19 yaş aralığında NEET oranları</w:t>
      </w:r>
    </w:p>
    <w:p w14:paraId="1ED7B38B" w14:textId="77777777" w:rsidR="00450914" w:rsidRPr="009C2B66" w:rsidRDefault="00450914" w:rsidP="00450914">
      <w:pPr>
        <w:jc w:val="both"/>
        <w:rPr>
          <w:rFonts w:cstheme="minorHAnsi"/>
        </w:rPr>
      </w:pPr>
      <w:r w:rsidRPr="009C2B66">
        <w:rPr>
          <w:rFonts w:cstheme="minorHAnsi"/>
          <w:noProof/>
          <w:lang w:val="en-GB" w:eastAsia="en-GB"/>
        </w:rPr>
        <w:drawing>
          <wp:inline distT="0" distB="0" distL="0" distR="0" wp14:anchorId="3E1F705A" wp14:editId="572606C2">
            <wp:extent cx="5760720" cy="2881630"/>
            <wp:effectExtent l="0" t="0" r="11430" b="13970"/>
            <wp:docPr id="1" name="Grafik 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B51A8" w:rsidRPr="009C2B66">
        <w:rPr>
          <w:rFonts w:cstheme="minorHAnsi"/>
        </w:rPr>
        <w:t>Kaynak: OECD</w:t>
      </w:r>
    </w:p>
    <w:p w14:paraId="540F9D48" w14:textId="73B013CA" w:rsidR="00450914" w:rsidRPr="009C2B66" w:rsidRDefault="00450914" w:rsidP="00450914">
      <w:pPr>
        <w:jc w:val="both"/>
        <w:rPr>
          <w:rFonts w:cstheme="minorHAnsi"/>
        </w:rPr>
      </w:pPr>
      <w:r w:rsidRPr="009C2B66">
        <w:rPr>
          <w:rFonts w:cstheme="minorHAnsi"/>
        </w:rPr>
        <w:t>Seçili ülkeler arasında 2017 yılında 15-19 yaş aralığındaki genç erkeklerde en yüksek NEET oranının yüzde 11,2 ile Türkiye’de olduğu görülmektedir. Genç kadınlarda ise bu oranın yüzde 20,1 ile yalnızca Meksika’dan düşük olduğu görülmektedir.</w:t>
      </w:r>
      <w:r w:rsidR="00051F70" w:rsidRPr="009C2B66">
        <w:rPr>
          <w:rFonts w:cstheme="minorHAnsi"/>
        </w:rPr>
        <w:t xml:space="preserve"> Bu iki istatistik, genel NEET oranlarında Türkiye’nin OECD ülkeleri arasında en kötü durumda olduğunu açıkça ortaya koymaktadır. NEET için OECD ortalamaları erkekler için yüzde 5,9, kadınlar için ise yüzde 5,8’dir. Bu haliyle NEET oranlarında OECD ortalamasında toplumsal cinsiyet farklılıkları yok denecek kadar azdır, hatta NEET durumu erkekler arasında biraz </w:t>
      </w:r>
      <w:r w:rsidR="000953BE" w:rsidRPr="009C2B66">
        <w:rPr>
          <w:rFonts w:cstheme="minorHAnsi"/>
        </w:rPr>
        <w:t>daha yaygındır</w:t>
      </w:r>
      <w:r w:rsidR="00051F70" w:rsidRPr="009C2B66">
        <w:rPr>
          <w:rFonts w:cstheme="minorHAnsi"/>
        </w:rPr>
        <w:t xml:space="preserve">. </w:t>
      </w:r>
      <w:r w:rsidRPr="009C2B66">
        <w:rPr>
          <w:rFonts w:cstheme="minorHAnsi"/>
        </w:rPr>
        <w:t>Türkiye</w:t>
      </w:r>
      <w:r w:rsidR="00051F70" w:rsidRPr="009C2B66">
        <w:rPr>
          <w:rFonts w:cstheme="minorHAnsi"/>
        </w:rPr>
        <w:t>’deki</w:t>
      </w:r>
      <w:r w:rsidRPr="009C2B66">
        <w:rPr>
          <w:rFonts w:cstheme="minorHAnsi"/>
        </w:rPr>
        <w:t xml:space="preserve"> </w:t>
      </w:r>
      <w:r w:rsidR="00051F70" w:rsidRPr="009C2B66">
        <w:rPr>
          <w:rFonts w:cstheme="minorHAnsi"/>
        </w:rPr>
        <w:t xml:space="preserve">toplumsal cinsiyet farklılığı 10 yüzde puana yakındır ve bu seviyede sadece Meksika’dan daha iyi olduğu görülmektedir. </w:t>
      </w:r>
    </w:p>
    <w:p w14:paraId="7611BF6D" w14:textId="77777777" w:rsidR="00A84466" w:rsidRPr="009C2B66" w:rsidRDefault="002C6D55" w:rsidP="002C6D55">
      <w:pPr>
        <w:jc w:val="both"/>
        <w:rPr>
          <w:rFonts w:cstheme="minorHAnsi"/>
        </w:rPr>
      </w:pPr>
      <w:r w:rsidRPr="009C2B66">
        <w:rPr>
          <w:rFonts w:cstheme="minorHAnsi"/>
        </w:rPr>
        <w:t xml:space="preserve">Yukarıda tartışıldığı üzere OECD tarafından hesaplanan NEET ile Betam tarafından hesaplanan NENİ tam olarak örtüşmemektedir. İki istatistiğin karşılaştırılmasına olanak tanıyan seyir Şekil 2’de verilmektedir. </w:t>
      </w:r>
    </w:p>
    <w:p w14:paraId="21E9A47F" w14:textId="77777777" w:rsidR="00A84466" w:rsidRPr="009C2B66" w:rsidRDefault="00A84466" w:rsidP="00450914">
      <w:pPr>
        <w:jc w:val="both"/>
        <w:rPr>
          <w:rFonts w:cstheme="minorHAnsi"/>
        </w:rPr>
      </w:pPr>
      <w:r w:rsidRPr="009C2B66">
        <w:rPr>
          <w:rFonts w:cstheme="minorHAnsi"/>
        </w:rPr>
        <w:t xml:space="preserve">Şekil 2: </w:t>
      </w:r>
      <w:r w:rsidR="00EB51A8" w:rsidRPr="009C2B66">
        <w:rPr>
          <w:rFonts w:cstheme="minorHAnsi"/>
        </w:rPr>
        <w:t xml:space="preserve">OECD </w:t>
      </w:r>
      <w:r w:rsidR="009A55FF" w:rsidRPr="009C2B66">
        <w:rPr>
          <w:rFonts w:cstheme="minorHAnsi"/>
        </w:rPr>
        <w:t xml:space="preserve">(NEET) </w:t>
      </w:r>
      <w:r w:rsidR="0001008E" w:rsidRPr="009C2B66">
        <w:rPr>
          <w:rFonts w:cstheme="minorHAnsi"/>
        </w:rPr>
        <w:t>ve Betam</w:t>
      </w:r>
      <w:r w:rsidR="009A55FF" w:rsidRPr="009C2B66">
        <w:rPr>
          <w:rFonts w:cstheme="minorHAnsi"/>
        </w:rPr>
        <w:t xml:space="preserve"> (NENİ)</w:t>
      </w:r>
      <w:r w:rsidR="00EB51A8" w:rsidRPr="009C2B66">
        <w:rPr>
          <w:rFonts w:cstheme="minorHAnsi"/>
        </w:rPr>
        <w:t xml:space="preserve"> hesaplamalarına göre </w:t>
      </w:r>
      <w:r w:rsidR="009A55FF" w:rsidRPr="009C2B66">
        <w:rPr>
          <w:rFonts w:cstheme="minorHAnsi"/>
        </w:rPr>
        <w:t>oranlar</w:t>
      </w:r>
    </w:p>
    <w:p w14:paraId="1B586532" w14:textId="77777777" w:rsidR="00A84466" w:rsidRPr="009C2B66" w:rsidRDefault="00A84466" w:rsidP="00450914">
      <w:pPr>
        <w:jc w:val="both"/>
        <w:rPr>
          <w:rFonts w:cstheme="minorHAnsi"/>
        </w:rPr>
      </w:pPr>
      <w:r w:rsidRPr="009C2B66">
        <w:rPr>
          <w:rFonts w:cstheme="minorHAnsi"/>
          <w:noProof/>
          <w:lang w:val="en-GB" w:eastAsia="en-GB"/>
        </w:rPr>
        <w:drawing>
          <wp:inline distT="0" distB="0" distL="0" distR="0" wp14:anchorId="68DE270D" wp14:editId="2D8D111D">
            <wp:extent cx="5784850" cy="2844800"/>
            <wp:effectExtent l="0" t="0" r="6350" b="12700"/>
            <wp:docPr id="4" name="Grafik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2EE676" w14:textId="2D711388" w:rsidR="00A45367" w:rsidRPr="009C2B66" w:rsidRDefault="002C6D55" w:rsidP="00450914">
      <w:pPr>
        <w:jc w:val="both"/>
        <w:rPr>
          <w:rFonts w:cstheme="minorHAnsi"/>
        </w:rPr>
      </w:pPr>
      <w:r w:rsidRPr="009C2B66">
        <w:rPr>
          <w:rFonts w:cstheme="minorHAnsi"/>
        </w:rPr>
        <w:lastRenderedPageBreak/>
        <w:t>Şekildeki verilere göre iki istatistik arada bir yüzde puana yaklaşan farklılıklar olmasına rağmen 2012’den bu yana oldukça benzer seyir izlemiştir. Ancak 2017 yılında OECD tarafından hesaplanan seri bir senede yüzde 18</w:t>
      </w:r>
      <w:r w:rsidR="000953BE" w:rsidRPr="009C2B66">
        <w:rPr>
          <w:rFonts w:cstheme="minorHAnsi"/>
        </w:rPr>
        <w:t>,</w:t>
      </w:r>
      <w:r w:rsidRPr="009C2B66">
        <w:rPr>
          <w:rFonts w:cstheme="minorHAnsi"/>
        </w:rPr>
        <w:t>4’ten yüzde 15</w:t>
      </w:r>
      <w:r w:rsidR="000953BE" w:rsidRPr="009C2B66">
        <w:rPr>
          <w:rFonts w:cstheme="minorHAnsi"/>
        </w:rPr>
        <w:t>,</w:t>
      </w:r>
      <w:r w:rsidRPr="009C2B66">
        <w:rPr>
          <w:rFonts w:cstheme="minorHAnsi"/>
        </w:rPr>
        <w:t>5’e gerilemiş, aynı senede Betam tarafından hesaplanan seri yüzde 19</w:t>
      </w:r>
      <w:r w:rsidR="00667C2A" w:rsidRPr="009C2B66">
        <w:rPr>
          <w:rFonts w:cstheme="minorHAnsi"/>
        </w:rPr>
        <w:t>,</w:t>
      </w:r>
      <w:r w:rsidRPr="009C2B66">
        <w:rPr>
          <w:rFonts w:cstheme="minorHAnsi"/>
        </w:rPr>
        <w:t xml:space="preserve">4’ten yüzde 20,6’a yükselmiştir. Bu farkın nereden kaynaklandığı anlaşılamamıştır. </w:t>
      </w:r>
      <w:r w:rsidR="001C653F" w:rsidRPr="009C2B66">
        <w:rPr>
          <w:rFonts w:cstheme="minorHAnsi"/>
        </w:rPr>
        <w:t xml:space="preserve">Ancak kurs olarak Türkçeleştirilebilecek “training” bileşenin muğlaklığından hareketle bu araştırma notunda istihdam ve eğitim bileşenlerine odaklanılarak NENİ kullanılmıştır. </w:t>
      </w:r>
    </w:p>
    <w:p w14:paraId="074C18A8" w14:textId="77777777" w:rsidR="000F27A2" w:rsidRPr="009C2B66" w:rsidRDefault="000F27A2" w:rsidP="00450914">
      <w:pPr>
        <w:jc w:val="both"/>
        <w:rPr>
          <w:rFonts w:cstheme="minorHAnsi"/>
          <w:b/>
        </w:rPr>
      </w:pPr>
      <w:r w:rsidRPr="009C2B66">
        <w:rPr>
          <w:rFonts w:cstheme="minorHAnsi"/>
          <w:b/>
        </w:rPr>
        <w:t>HİA ve ADNKS’deki ayrışma</w:t>
      </w:r>
    </w:p>
    <w:p w14:paraId="0D5AAC11" w14:textId="3C8B3611" w:rsidR="00A84466" w:rsidRPr="009C2B66" w:rsidRDefault="00A84466" w:rsidP="00450914">
      <w:pPr>
        <w:jc w:val="both"/>
        <w:rPr>
          <w:rFonts w:cstheme="minorHAnsi"/>
        </w:rPr>
      </w:pPr>
      <w:r w:rsidRPr="009C2B66">
        <w:rPr>
          <w:rFonts w:cstheme="minorHAnsi"/>
        </w:rPr>
        <w:t>Bu noktada neden 15-19 yaş aralığının seçildiğinin veya başka bir deyişle 20-24 yaş aralığının neden dahil edilmediğinin de belirtilmesi fayda</w:t>
      </w:r>
      <w:r w:rsidR="00805D26" w:rsidRPr="009C2B66">
        <w:rPr>
          <w:rFonts w:cstheme="minorHAnsi"/>
        </w:rPr>
        <w:t>lı olacaktır. Hanehalkı İşgücü Anketlerinin</w:t>
      </w:r>
      <w:r w:rsidRPr="009C2B66">
        <w:rPr>
          <w:rFonts w:cstheme="minorHAnsi"/>
        </w:rPr>
        <w:t xml:space="preserve"> </w:t>
      </w:r>
      <w:r w:rsidR="00E303F3" w:rsidRPr="009C2B66">
        <w:rPr>
          <w:rFonts w:cstheme="minorHAnsi"/>
        </w:rPr>
        <w:t xml:space="preserve">(HİA) </w:t>
      </w:r>
      <w:r w:rsidRPr="009C2B66">
        <w:rPr>
          <w:rFonts w:cstheme="minorHAnsi"/>
        </w:rPr>
        <w:t>tüm ana</w:t>
      </w:r>
      <w:r w:rsidR="000953BE" w:rsidRPr="009C2B66">
        <w:rPr>
          <w:rFonts w:cstheme="minorHAnsi"/>
        </w:rPr>
        <w:t xml:space="preserve"> </w:t>
      </w:r>
      <w:r w:rsidRPr="009C2B66">
        <w:rPr>
          <w:rFonts w:cstheme="minorHAnsi"/>
        </w:rPr>
        <w:t>kütleyi temsil etme kapasitesi</w:t>
      </w:r>
      <w:r w:rsidR="00E303F3" w:rsidRPr="009C2B66">
        <w:rPr>
          <w:rFonts w:cstheme="minorHAnsi"/>
        </w:rPr>
        <w:t>nin</w:t>
      </w:r>
      <w:r w:rsidRPr="009C2B66">
        <w:rPr>
          <w:rFonts w:cstheme="minorHAnsi"/>
        </w:rPr>
        <w:t xml:space="preserve"> 20-24 yaş arası gençler için çokça düştüğü gö</w:t>
      </w:r>
      <w:r w:rsidR="00E303F3" w:rsidRPr="009C2B66">
        <w:rPr>
          <w:rFonts w:cstheme="minorHAnsi"/>
        </w:rPr>
        <w:t>zlemlenmektedir</w:t>
      </w:r>
      <w:r w:rsidRPr="009C2B66">
        <w:rPr>
          <w:rFonts w:cstheme="minorHAnsi"/>
        </w:rPr>
        <w:t xml:space="preserve">. </w:t>
      </w:r>
      <w:r w:rsidR="00867AC6" w:rsidRPr="009C2B66">
        <w:rPr>
          <w:rFonts w:cstheme="minorHAnsi"/>
        </w:rPr>
        <w:t xml:space="preserve">Zira 20-24 yaş aralığı için bakıldığında, adrese dayalı nüfus kayıt sistemi (ADNKS) ve HİA arasındaki farkın yüzde 10’lar seviyesini aştığı görülmektedir (Tablo 1). Bu noktada HİA verisinin kurumsal olmayan nüfusu kapsadığı hatırlanmalıdır. </w:t>
      </w:r>
    </w:p>
    <w:p w14:paraId="6A87C324" w14:textId="77777777" w:rsidR="00E303F3" w:rsidRPr="009C2B66" w:rsidRDefault="00E303F3" w:rsidP="00450914">
      <w:pPr>
        <w:jc w:val="both"/>
        <w:rPr>
          <w:rFonts w:cstheme="minorHAnsi"/>
        </w:rPr>
      </w:pPr>
      <w:r w:rsidRPr="009C2B66">
        <w:rPr>
          <w:rFonts w:cstheme="minorHAnsi"/>
        </w:rPr>
        <w:t xml:space="preserve">Tablo 1: </w:t>
      </w:r>
      <w:r w:rsidR="00EB51A8" w:rsidRPr="009C2B66">
        <w:rPr>
          <w:rFonts w:cstheme="minorHAnsi"/>
        </w:rPr>
        <w:t>HİA ve ADNKS’ye göre nüfus</w:t>
      </w:r>
    </w:p>
    <w:tbl>
      <w:tblPr>
        <w:tblW w:w="6689" w:type="dxa"/>
        <w:tblCellMar>
          <w:left w:w="70" w:type="dxa"/>
          <w:right w:w="70" w:type="dxa"/>
        </w:tblCellMar>
        <w:tblLook w:val="0600" w:firstRow="0" w:lastRow="0" w:firstColumn="0" w:lastColumn="0" w:noHBand="1" w:noVBand="1"/>
      </w:tblPr>
      <w:tblGrid>
        <w:gridCol w:w="1235"/>
        <w:gridCol w:w="1389"/>
        <w:gridCol w:w="1415"/>
        <w:gridCol w:w="1415"/>
        <w:gridCol w:w="1235"/>
      </w:tblGrid>
      <w:tr w:rsidR="00E303F3" w:rsidRPr="009C2B66" w14:paraId="04B66B35" w14:textId="77777777" w:rsidTr="00E303F3">
        <w:trPr>
          <w:trHeight w:val="322"/>
        </w:trPr>
        <w:tc>
          <w:tcPr>
            <w:tcW w:w="1235" w:type="dxa"/>
            <w:tcBorders>
              <w:top w:val="single" w:sz="4" w:space="0" w:color="auto"/>
              <w:left w:val="nil"/>
              <w:bottom w:val="single" w:sz="4" w:space="0" w:color="auto"/>
              <w:right w:val="nil"/>
            </w:tcBorders>
            <w:shd w:val="clear" w:color="auto" w:fill="auto"/>
            <w:noWrap/>
            <w:vAlign w:val="bottom"/>
            <w:hideMark/>
          </w:tcPr>
          <w:p w14:paraId="75563A67"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 </w:t>
            </w:r>
          </w:p>
        </w:tc>
        <w:tc>
          <w:tcPr>
            <w:tcW w:w="1389" w:type="dxa"/>
            <w:tcBorders>
              <w:top w:val="single" w:sz="4" w:space="0" w:color="auto"/>
              <w:left w:val="nil"/>
              <w:bottom w:val="single" w:sz="4" w:space="0" w:color="auto"/>
              <w:right w:val="nil"/>
            </w:tcBorders>
            <w:shd w:val="clear" w:color="auto" w:fill="auto"/>
            <w:noWrap/>
            <w:vAlign w:val="bottom"/>
            <w:hideMark/>
          </w:tcPr>
          <w:p w14:paraId="080B8B11"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 </w:t>
            </w:r>
          </w:p>
        </w:tc>
        <w:tc>
          <w:tcPr>
            <w:tcW w:w="1415" w:type="dxa"/>
            <w:tcBorders>
              <w:top w:val="single" w:sz="4" w:space="0" w:color="auto"/>
              <w:left w:val="nil"/>
              <w:bottom w:val="single" w:sz="4" w:space="0" w:color="auto"/>
              <w:right w:val="nil"/>
            </w:tcBorders>
            <w:shd w:val="clear" w:color="auto" w:fill="auto"/>
            <w:noWrap/>
            <w:vAlign w:val="bottom"/>
            <w:hideMark/>
          </w:tcPr>
          <w:p w14:paraId="3DE2B237"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ADNKS</w:t>
            </w:r>
          </w:p>
        </w:tc>
        <w:tc>
          <w:tcPr>
            <w:tcW w:w="1415" w:type="dxa"/>
            <w:tcBorders>
              <w:top w:val="single" w:sz="4" w:space="0" w:color="auto"/>
              <w:left w:val="nil"/>
              <w:bottom w:val="single" w:sz="4" w:space="0" w:color="auto"/>
              <w:right w:val="nil"/>
            </w:tcBorders>
            <w:shd w:val="clear" w:color="auto" w:fill="auto"/>
            <w:noWrap/>
            <w:vAlign w:val="bottom"/>
            <w:hideMark/>
          </w:tcPr>
          <w:p w14:paraId="3CDBB3CF"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HİA</w:t>
            </w:r>
          </w:p>
        </w:tc>
        <w:tc>
          <w:tcPr>
            <w:tcW w:w="1235" w:type="dxa"/>
            <w:tcBorders>
              <w:top w:val="single" w:sz="4" w:space="0" w:color="auto"/>
              <w:left w:val="nil"/>
              <w:bottom w:val="single" w:sz="4" w:space="0" w:color="auto"/>
              <w:right w:val="nil"/>
            </w:tcBorders>
            <w:shd w:val="clear" w:color="auto" w:fill="auto"/>
            <w:noWrap/>
            <w:vAlign w:val="bottom"/>
            <w:hideMark/>
          </w:tcPr>
          <w:p w14:paraId="538DDF25"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 Fark</w:t>
            </w:r>
          </w:p>
        </w:tc>
      </w:tr>
      <w:tr w:rsidR="00E303F3" w:rsidRPr="009C2B66" w14:paraId="23EEFD4D" w14:textId="77777777" w:rsidTr="00E303F3">
        <w:trPr>
          <w:trHeight w:val="322"/>
        </w:trPr>
        <w:tc>
          <w:tcPr>
            <w:tcW w:w="1235" w:type="dxa"/>
            <w:tcBorders>
              <w:top w:val="nil"/>
              <w:left w:val="nil"/>
              <w:bottom w:val="nil"/>
              <w:right w:val="nil"/>
            </w:tcBorders>
            <w:shd w:val="clear" w:color="auto" w:fill="auto"/>
            <w:noWrap/>
            <w:vAlign w:val="bottom"/>
            <w:hideMark/>
          </w:tcPr>
          <w:p w14:paraId="653B7EC8"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15-19</w:t>
            </w:r>
          </w:p>
        </w:tc>
        <w:tc>
          <w:tcPr>
            <w:tcW w:w="1389" w:type="dxa"/>
            <w:tcBorders>
              <w:top w:val="nil"/>
              <w:left w:val="nil"/>
              <w:bottom w:val="nil"/>
              <w:right w:val="nil"/>
            </w:tcBorders>
            <w:shd w:val="clear" w:color="auto" w:fill="auto"/>
            <w:noWrap/>
            <w:vAlign w:val="bottom"/>
            <w:hideMark/>
          </w:tcPr>
          <w:p w14:paraId="367BB724"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Toplam</w:t>
            </w:r>
          </w:p>
        </w:tc>
        <w:tc>
          <w:tcPr>
            <w:tcW w:w="1415" w:type="dxa"/>
            <w:tcBorders>
              <w:top w:val="nil"/>
              <w:left w:val="nil"/>
              <w:bottom w:val="nil"/>
              <w:right w:val="nil"/>
            </w:tcBorders>
            <w:shd w:val="clear" w:color="auto" w:fill="auto"/>
            <w:noWrap/>
            <w:vAlign w:val="bottom"/>
            <w:hideMark/>
          </w:tcPr>
          <w:p w14:paraId="432DBCEA"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6</w:t>
            </w:r>
            <w:r w:rsidR="001611CF" w:rsidRPr="009C2B66">
              <w:rPr>
                <w:rFonts w:eastAsia="Times New Roman" w:cstheme="minorHAnsi"/>
                <w:lang w:eastAsia="tr-TR"/>
              </w:rPr>
              <w:t xml:space="preserve"> </w:t>
            </w:r>
            <w:r w:rsidRPr="009C2B66">
              <w:rPr>
                <w:rFonts w:eastAsia="Times New Roman" w:cstheme="minorHAnsi"/>
                <w:lang w:eastAsia="tr-TR"/>
              </w:rPr>
              <w:t>526</w:t>
            </w:r>
            <w:r w:rsidR="001611CF" w:rsidRPr="009C2B66">
              <w:rPr>
                <w:rFonts w:eastAsia="Times New Roman" w:cstheme="minorHAnsi"/>
                <w:lang w:eastAsia="tr-TR"/>
              </w:rPr>
              <w:t xml:space="preserve"> </w:t>
            </w:r>
            <w:r w:rsidRPr="009C2B66">
              <w:rPr>
                <w:rFonts w:eastAsia="Times New Roman" w:cstheme="minorHAnsi"/>
                <w:lang w:eastAsia="tr-TR"/>
              </w:rPr>
              <w:t>587</w:t>
            </w:r>
          </w:p>
        </w:tc>
        <w:tc>
          <w:tcPr>
            <w:tcW w:w="1415" w:type="dxa"/>
            <w:tcBorders>
              <w:top w:val="nil"/>
              <w:left w:val="nil"/>
              <w:bottom w:val="nil"/>
              <w:right w:val="nil"/>
            </w:tcBorders>
            <w:shd w:val="clear" w:color="auto" w:fill="auto"/>
            <w:noWrap/>
            <w:vAlign w:val="bottom"/>
            <w:hideMark/>
          </w:tcPr>
          <w:p w14:paraId="4CB538DF"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6</w:t>
            </w:r>
            <w:r w:rsidR="001611CF" w:rsidRPr="009C2B66">
              <w:rPr>
                <w:rFonts w:eastAsia="Times New Roman" w:cstheme="minorHAnsi"/>
                <w:lang w:eastAsia="tr-TR"/>
              </w:rPr>
              <w:t xml:space="preserve"> </w:t>
            </w:r>
            <w:r w:rsidRPr="009C2B66">
              <w:rPr>
                <w:rFonts w:eastAsia="Times New Roman" w:cstheme="minorHAnsi"/>
                <w:lang w:eastAsia="tr-TR"/>
              </w:rPr>
              <w:t>279</w:t>
            </w:r>
            <w:r w:rsidR="001611CF" w:rsidRPr="009C2B66">
              <w:rPr>
                <w:rFonts w:eastAsia="Times New Roman" w:cstheme="minorHAnsi"/>
                <w:lang w:eastAsia="tr-TR"/>
              </w:rPr>
              <w:t xml:space="preserve"> </w:t>
            </w:r>
            <w:r w:rsidRPr="009C2B66">
              <w:rPr>
                <w:rFonts w:eastAsia="Times New Roman" w:cstheme="minorHAnsi"/>
                <w:lang w:eastAsia="tr-TR"/>
              </w:rPr>
              <w:t>865</w:t>
            </w:r>
          </w:p>
        </w:tc>
        <w:tc>
          <w:tcPr>
            <w:tcW w:w="1235" w:type="dxa"/>
            <w:tcBorders>
              <w:top w:val="nil"/>
              <w:left w:val="nil"/>
              <w:bottom w:val="nil"/>
              <w:right w:val="nil"/>
            </w:tcBorders>
            <w:shd w:val="clear" w:color="auto" w:fill="auto"/>
            <w:noWrap/>
            <w:vAlign w:val="bottom"/>
            <w:hideMark/>
          </w:tcPr>
          <w:p w14:paraId="5F539103"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3.8%</w:t>
            </w:r>
          </w:p>
        </w:tc>
      </w:tr>
      <w:tr w:rsidR="00E303F3" w:rsidRPr="009C2B66" w14:paraId="6ACFE133" w14:textId="77777777" w:rsidTr="00E303F3">
        <w:trPr>
          <w:trHeight w:val="322"/>
        </w:trPr>
        <w:tc>
          <w:tcPr>
            <w:tcW w:w="1235" w:type="dxa"/>
            <w:tcBorders>
              <w:top w:val="nil"/>
              <w:left w:val="nil"/>
              <w:bottom w:val="nil"/>
              <w:right w:val="nil"/>
            </w:tcBorders>
            <w:shd w:val="clear" w:color="auto" w:fill="auto"/>
            <w:noWrap/>
            <w:vAlign w:val="bottom"/>
            <w:hideMark/>
          </w:tcPr>
          <w:p w14:paraId="22784B51" w14:textId="77777777" w:rsidR="00E303F3" w:rsidRPr="009C2B66" w:rsidRDefault="00E303F3" w:rsidP="00E303F3">
            <w:pPr>
              <w:spacing w:after="0" w:line="240" w:lineRule="auto"/>
              <w:rPr>
                <w:rFonts w:eastAsia="Times New Roman" w:cstheme="minorHAnsi"/>
                <w:lang w:eastAsia="tr-TR"/>
              </w:rPr>
            </w:pPr>
          </w:p>
        </w:tc>
        <w:tc>
          <w:tcPr>
            <w:tcW w:w="1389" w:type="dxa"/>
            <w:tcBorders>
              <w:top w:val="nil"/>
              <w:left w:val="nil"/>
              <w:bottom w:val="nil"/>
              <w:right w:val="nil"/>
            </w:tcBorders>
            <w:shd w:val="clear" w:color="auto" w:fill="auto"/>
            <w:noWrap/>
            <w:vAlign w:val="bottom"/>
            <w:hideMark/>
          </w:tcPr>
          <w:p w14:paraId="7BEE1BD1"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Erkek</w:t>
            </w:r>
          </w:p>
        </w:tc>
        <w:tc>
          <w:tcPr>
            <w:tcW w:w="1415" w:type="dxa"/>
            <w:tcBorders>
              <w:top w:val="nil"/>
              <w:left w:val="nil"/>
              <w:bottom w:val="nil"/>
              <w:right w:val="nil"/>
            </w:tcBorders>
            <w:shd w:val="clear" w:color="auto" w:fill="auto"/>
            <w:noWrap/>
            <w:vAlign w:val="bottom"/>
            <w:hideMark/>
          </w:tcPr>
          <w:p w14:paraId="78AE265F"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w:t>
            </w:r>
            <w:r w:rsidR="001611CF" w:rsidRPr="009C2B66">
              <w:rPr>
                <w:rFonts w:eastAsia="Times New Roman" w:cstheme="minorHAnsi"/>
                <w:lang w:eastAsia="tr-TR"/>
              </w:rPr>
              <w:t xml:space="preserve"> </w:t>
            </w:r>
            <w:r w:rsidRPr="009C2B66">
              <w:rPr>
                <w:rFonts w:eastAsia="Times New Roman" w:cstheme="minorHAnsi"/>
                <w:lang w:eastAsia="tr-TR"/>
              </w:rPr>
              <w:t>351</w:t>
            </w:r>
            <w:r w:rsidR="001611CF" w:rsidRPr="009C2B66">
              <w:rPr>
                <w:rFonts w:eastAsia="Times New Roman" w:cstheme="minorHAnsi"/>
                <w:lang w:eastAsia="tr-TR"/>
              </w:rPr>
              <w:t xml:space="preserve"> </w:t>
            </w:r>
            <w:r w:rsidRPr="009C2B66">
              <w:rPr>
                <w:rFonts w:eastAsia="Times New Roman" w:cstheme="minorHAnsi"/>
                <w:lang w:eastAsia="tr-TR"/>
              </w:rPr>
              <w:t>043</w:t>
            </w:r>
          </w:p>
        </w:tc>
        <w:tc>
          <w:tcPr>
            <w:tcW w:w="1415" w:type="dxa"/>
            <w:tcBorders>
              <w:top w:val="nil"/>
              <w:left w:val="nil"/>
              <w:bottom w:val="nil"/>
              <w:right w:val="nil"/>
            </w:tcBorders>
            <w:shd w:val="clear" w:color="auto" w:fill="auto"/>
            <w:noWrap/>
            <w:vAlign w:val="bottom"/>
            <w:hideMark/>
          </w:tcPr>
          <w:p w14:paraId="4C02F7AF"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w:t>
            </w:r>
            <w:r w:rsidR="001611CF" w:rsidRPr="009C2B66">
              <w:rPr>
                <w:rFonts w:eastAsia="Times New Roman" w:cstheme="minorHAnsi"/>
                <w:lang w:eastAsia="tr-TR"/>
              </w:rPr>
              <w:t xml:space="preserve"> </w:t>
            </w:r>
            <w:r w:rsidRPr="009C2B66">
              <w:rPr>
                <w:rFonts w:eastAsia="Times New Roman" w:cstheme="minorHAnsi"/>
                <w:lang w:eastAsia="tr-TR"/>
              </w:rPr>
              <w:t>250</w:t>
            </w:r>
            <w:r w:rsidR="001611CF" w:rsidRPr="009C2B66">
              <w:rPr>
                <w:rFonts w:eastAsia="Times New Roman" w:cstheme="minorHAnsi"/>
                <w:lang w:eastAsia="tr-TR"/>
              </w:rPr>
              <w:t xml:space="preserve"> </w:t>
            </w:r>
            <w:r w:rsidRPr="009C2B66">
              <w:rPr>
                <w:rFonts w:eastAsia="Times New Roman" w:cstheme="minorHAnsi"/>
                <w:lang w:eastAsia="tr-TR"/>
              </w:rPr>
              <w:t>066</w:t>
            </w:r>
          </w:p>
        </w:tc>
        <w:tc>
          <w:tcPr>
            <w:tcW w:w="1235" w:type="dxa"/>
            <w:tcBorders>
              <w:top w:val="nil"/>
              <w:left w:val="nil"/>
              <w:bottom w:val="nil"/>
              <w:right w:val="nil"/>
            </w:tcBorders>
            <w:shd w:val="clear" w:color="auto" w:fill="auto"/>
            <w:noWrap/>
            <w:vAlign w:val="bottom"/>
            <w:hideMark/>
          </w:tcPr>
          <w:p w14:paraId="28E4C114"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3.0%</w:t>
            </w:r>
          </w:p>
        </w:tc>
      </w:tr>
      <w:tr w:rsidR="00E303F3" w:rsidRPr="009C2B66" w14:paraId="55226D28" w14:textId="77777777" w:rsidTr="00E303F3">
        <w:trPr>
          <w:trHeight w:val="322"/>
        </w:trPr>
        <w:tc>
          <w:tcPr>
            <w:tcW w:w="1235" w:type="dxa"/>
            <w:tcBorders>
              <w:top w:val="nil"/>
              <w:left w:val="nil"/>
              <w:bottom w:val="single" w:sz="4" w:space="0" w:color="auto"/>
              <w:right w:val="nil"/>
            </w:tcBorders>
            <w:shd w:val="clear" w:color="auto" w:fill="auto"/>
            <w:noWrap/>
            <w:vAlign w:val="bottom"/>
            <w:hideMark/>
          </w:tcPr>
          <w:p w14:paraId="43FF3F90"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 </w:t>
            </w:r>
          </w:p>
        </w:tc>
        <w:tc>
          <w:tcPr>
            <w:tcW w:w="1389" w:type="dxa"/>
            <w:tcBorders>
              <w:top w:val="nil"/>
              <w:left w:val="nil"/>
              <w:bottom w:val="single" w:sz="4" w:space="0" w:color="auto"/>
              <w:right w:val="nil"/>
            </w:tcBorders>
            <w:shd w:val="clear" w:color="auto" w:fill="auto"/>
            <w:noWrap/>
            <w:vAlign w:val="bottom"/>
            <w:hideMark/>
          </w:tcPr>
          <w:p w14:paraId="32364FA7"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Kadın</w:t>
            </w:r>
          </w:p>
        </w:tc>
        <w:tc>
          <w:tcPr>
            <w:tcW w:w="1415" w:type="dxa"/>
            <w:tcBorders>
              <w:top w:val="nil"/>
              <w:left w:val="nil"/>
              <w:bottom w:val="single" w:sz="4" w:space="0" w:color="auto"/>
              <w:right w:val="nil"/>
            </w:tcBorders>
            <w:shd w:val="clear" w:color="auto" w:fill="auto"/>
            <w:noWrap/>
            <w:vAlign w:val="bottom"/>
            <w:hideMark/>
          </w:tcPr>
          <w:p w14:paraId="689A996D"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w:t>
            </w:r>
            <w:r w:rsidR="001611CF" w:rsidRPr="009C2B66">
              <w:rPr>
                <w:rFonts w:eastAsia="Times New Roman" w:cstheme="minorHAnsi"/>
                <w:lang w:eastAsia="tr-TR"/>
              </w:rPr>
              <w:t xml:space="preserve"> </w:t>
            </w:r>
            <w:r w:rsidRPr="009C2B66">
              <w:rPr>
                <w:rFonts w:eastAsia="Times New Roman" w:cstheme="minorHAnsi"/>
                <w:lang w:eastAsia="tr-TR"/>
              </w:rPr>
              <w:t>175</w:t>
            </w:r>
            <w:r w:rsidR="001611CF" w:rsidRPr="009C2B66">
              <w:rPr>
                <w:rFonts w:eastAsia="Times New Roman" w:cstheme="minorHAnsi"/>
                <w:lang w:eastAsia="tr-TR"/>
              </w:rPr>
              <w:t xml:space="preserve"> </w:t>
            </w:r>
            <w:r w:rsidRPr="009C2B66">
              <w:rPr>
                <w:rFonts w:eastAsia="Times New Roman" w:cstheme="minorHAnsi"/>
                <w:lang w:eastAsia="tr-TR"/>
              </w:rPr>
              <w:t>544</w:t>
            </w:r>
          </w:p>
        </w:tc>
        <w:tc>
          <w:tcPr>
            <w:tcW w:w="1415" w:type="dxa"/>
            <w:tcBorders>
              <w:top w:val="nil"/>
              <w:left w:val="nil"/>
              <w:bottom w:val="single" w:sz="4" w:space="0" w:color="auto"/>
              <w:right w:val="nil"/>
            </w:tcBorders>
            <w:shd w:val="clear" w:color="auto" w:fill="auto"/>
            <w:noWrap/>
            <w:vAlign w:val="bottom"/>
            <w:hideMark/>
          </w:tcPr>
          <w:p w14:paraId="0DFCC9AF"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w:t>
            </w:r>
            <w:r w:rsidR="001611CF" w:rsidRPr="009C2B66">
              <w:rPr>
                <w:rFonts w:eastAsia="Times New Roman" w:cstheme="minorHAnsi"/>
                <w:lang w:eastAsia="tr-TR"/>
              </w:rPr>
              <w:t xml:space="preserve"> </w:t>
            </w:r>
            <w:r w:rsidRPr="009C2B66">
              <w:rPr>
                <w:rFonts w:eastAsia="Times New Roman" w:cstheme="minorHAnsi"/>
                <w:lang w:eastAsia="tr-TR"/>
              </w:rPr>
              <w:t>029</w:t>
            </w:r>
            <w:r w:rsidR="001611CF" w:rsidRPr="009C2B66">
              <w:rPr>
                <w:rFonts w:eastAsia="Times New Roman" w:cstheme="minorHAnsi"/>
                <w:lang w:eastAsia="tr-TR"/>
              </w:rPr>
              <w:t xml:space="preserve"> </w:t>
            </w:r>
            <w:r w:rsidRPr="009C2B66">
              <w:rPr>
                <w:rFonts w:eastAsia="Times New Roman" w:cstheme="minorHAnsi"/>
                <w:lang w:eastAsia="tr-TR"/>
              </w:rPr>
              <w:t>799</w:t>
            </w:r>
          </w:p>
        </w:tc>
        <w:tc>
          <w:tcPr>
            <w:tcW w:w="1235" w:type="dxa"/>
            <w:tcBorders>
              <w:top w:val="nil"/>
              <w:left w:val="nil"/>
              <w:bottom w:val="single" w:sz="4" w:space="0" w:color="auto"/>
              <w:right w:val="nil"/>
            </w:tcBorders>
            <w:shd w:val="clear" w:color="auto" w:fill="auto"/>
            <w:noWrap/>
            <w:vAlign w:val="bottom"/>
            <w:hideMark/>
          </w:tcPr>
          <w:p w14:paraId="35D2054F"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4.6%</w:t>
            </w:r>
          </w:p>
        </w:tc>
      </w:tr>
      <w:tr w:rsidR="00E303F3" w:rsidRPr="009C2B66" w14:paraId="0417A4B7" w14:textId="77777777" w:rsidTr="00E303F3">
        <w:trPr>
          <w:trHeight w:val="322"/>
        </w:trPr>
        <w:tc>
          <w:tcPr>
            <w:tcW w:w="1235" w:type="dxa"/>
            <w:tcBorders>
              <w:top w:val="nil"/>
              <w:left w:val="nil"/>
              <w:bottom w:val="nil"/>
              <w:right w:val="nil"/>
            </w:tcBorders>
            <w:shd w:val="clear" w:color="auto" w:fill="auto"/>
            <w:noWrap/>
            <w:vAlign w:val="bottom"/>
            <w:hideMark/>
          </w:tcPr>
          <w:p w14:paraId="24C27FFC"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20-24</w:t>
            </w:r>
          </w:p>
        </w:tc>
        <w:tc>
          <w:tcPr>
            <w:tcW w:w="1389" w:type="dxa"/>
            <w:tcBorders>
              <w:top w:val="nil"/>
              <w:left w:val="nil"/>
              <w:bottom w:val="nil"/>
              <w:right w:val="nil"/>
            </w:tcBorders>
            <w:shd w:val="clear" w:color="auto" w:fill="auto"/>
            <w:noWrap/>
            <w:vAlign w:val="bottom"/>
            <w:hideMark/>
          </w:tcPr>
          <w:p w14:paraId="54B4A1F7"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Toplam</w:t>
            </w:r>
          </w:p>
        </w:tc>
        <w:tc>
          <w:tcPr>
            <w:tcW w:w="1415" w:type="dxa"/>
            <w:tcBorders>
              <w:top w:val="nil"/>
              <w:left w:val="nil"/>
              <w:bottom w:val="nil"/>
              <w:right w:val="nil"/>
            </w:tcBorders>
            <w:shd w:val="clear" w:color="auto" w:fill="auto"/>
            <w:noWrap/>
            <w:vAlign w:val="bottom"/>
            <w:hideMark/>
          </w:tcPr>
          <w:p w14:paraId="30B65C25"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6</w:t>
            </w:r>
            <w:r w:rsidR="001611CF" w:rsidRPr="009C2B66">
              <w:rPr>
                <w:rFonts w:eastAsia="Times New Roman" w:cstheme="minorHAnsi"/>
                <w:lang w:eastAsia="tr-TR"/>
              </w:rPr>
              <w:t xml:space="preserve"> </w:t>
            </w:r>
            <w:r w:rsidRPr="009C2B66">
              <w:rPr>
                <w:rFonts w:eastAsia="Times New Roman" w:cstheme="minorHAnsi"/>
                <w:lang w:eastAsia="tr-TR"/>
              </w:rPr>
              <w:t>456</w:t>
            </w:r>
            <w:r w:rsidR="001611CF" w:rsidRPr="009C2B66">
              <w:rPr>
                <w:rFonts w:eastAsia="Times New Roman" w:cstheme="minorHAnsi"/>
                <w:lang w:eastAsia="tr-TR"/>
              </w:rPr>
              <w:t xml:space="preserve"> </w:t>
            </w:r>
            <w:r w:rsidRPr="009C2B66">
              <w:rPr>
                <w:rFonts w:eastAsia="Times New Roman" w:cstheme="minorHAnsi"/>
                <w:lang w:eastAsia="tr-TR"/>
              </w:rPr>
              <w:t>510</w:t>
            </w:r>
          </w:p>
        </w:tc>
        <w:tc>
          <w:tcPr>
            <w:tcW w:w="1415" w:type="dxa"/>
            <w:tcBorders>
              <w:top w:val="nil"/>
              <w:left w:val="nil"/>
              <w:bottom w:val="nil"/>
              <w:right w:val="nil"/>
            </w:tcBorders>
            <w:shd w:val="clear" w:color="auto" w:fill="auto"/>
            <w:noWrap/>
            <w:vAlign w:val="bottom"/>
            <w:hideMark/>
          </w:tcPr>
          <w:p w14:paraId="5EF9C1FE"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5</w:t>
            </w:r>
            <w:r w:rsidR="001611CF" w:rsidRPr="009C2B66">
              <w:rPr>
                <w:rFonts w:eastAsia="Times New Roman" w:cstheme="minorHAnsi"/>
                <w:lang w:eastAsia="tr-TR"/>
              </w:rPr>
              <w:t xml:space="preserve"> </w:t>
            </w:r>
            <w:r w:rsidRPr="009C2B66">
              <w:rPr>
                <w:rFonts w:eastAsia="Times New Roman" w:cstheme="minorHAnsi"/>
                <w:lang w:eastAsia="tr-TR"/>
              </w:rPr>
              <w:t>595</w:t>
            </w:r>
            <w:r w:rsidR="001611CF" w:rsidRPr="009C2B66">
              <w:rPr>
                <w:rFonts w:eastAsia="Times New Roman" w:cstheme="minorHAnsi"/>
                <w:lang w:eastAsia="tr-TR"/>
              </w:rPr>
              <w:t xml:space="preserve"> </w:t>
            </w:r>
            <w:r w:rsidRPr="009C2B66">
              <w:rPr>
                <w:rFonts w:eastAsia="Times New Roman" w:cstheme="minorHAnsi"/>
                <w:lang w:eastAsia="tr-TR"/>
              </w:rPr>
              <w:t>308</w:t>
            </w:r>
          </w:p>
        </w:tc>
        <w:tc>
          <w:tcPr>
            <w:tcW w:w="1235" w:type="dxa"/>
            <w:tcBorders>
              <w:top w:val="nil"/>
              <w:left w:val="nil"/>
              <w:bottom w:val="nil"/>
              <w:right w:val="nil"/>
            </w:tcBorders>
            <w:shd w:val="clear" w:color="auto" w:fill="auto"/>
            <w:noWrap/>
            <w:vAlign w:val="bottom"/>
            <w:hideMark/>
          </w:tcPr>
          <w:p w14:paraId="2E942336"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13.3%</w:t>
            </w:r>
          </w:p>
        </w:tc>
      </w:tr>
      <w:tr w:rsidR="00E303F3" w:rsidRPr="009C2B66" w14:paraId="5E49D7E1" w14:textId="77777777" w:rsidTr="00E303F3">
        <w:trPr>
          <w:trHeight w:val="322"/>
        </w:trPr>
        <w:tc>
          <w:tcPr>
            <w:tcW w:w="1235" w:type="dxa"/>
            <w:tcBorders>
              <w:top w:val="nil"/>
              <w:left w:val="nil"/>
              <w:bottom w:val="nil"/>
              <w:right w:val="nil"/>
            </w:tcBorders>
            <w:shd w:val="clear" w:color="auto" w:fill="auto"/>
            <w:noWrap/>
            <w:vAlign w:val="bottom"/>
            <w:hideMark/>
          </w:tcPr>
          <w:p w14:paraId="1A16A8A5" w14:textId="77777777" w:rsidR="00E303F3" w:rsidRPr="009C2B66" w:rsidRDefault="00E303F3" w:rsidP="00E303F3">
            <w:pPr>
              <w:spacing w:after="0" w:line="240" w:lineRule="auto"/>
              <w:rPr>
                <w:rFonts w:eastAsia="Times New Roman" w:cstheme="minorHAnsi"/>
                <w:lang w:eastAsia="tr-TR"/>
              </w:rPr>
            </w:pPr>
          </w:p>
        </w:tc>
        <w:tc>
          <w:tcPr>
            <w:tcW w:w="1389" w:type="dxa"/>
            <w:tcBorders>
              <w:top w:val="nil"/>
              <w:left w:val="nil"/>
              <w:bottom w:val="nil"/>
              <w:right w:val="nil"/>
            </w:tcBorders>
            <w:shd w:val="clear" w:color="auto" w:fill="auto"/>
            <w:noWrap/>
            <w:vAlign w:val="bottom"/>
            <w:hideMark/>
          </w:tcPr>
          <w:p w14:paraId="72508334"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Erkek</w:t>
            </w:r>
          </w:p>
        </w:tc>
        <w:tc>
          <w:tcPr>
            <w:tcW w:w="1415" w:type="dxa"/>
            <w:tcBorders>
              <w:top w:val="nil"/>
              <w:left w:val="nil"/>
              <w:bottom w:val="nil"/>
              <w:right w:val="nil"/>
            </w:tcBorders>
            <w:shd w:val="clear" w:color="auto" w:fill="auto"/>
            <w:noWrap/>
            <w:vAlign w:val="bottom"/>
            <w:hideMark/>
          </w:tcPr>
          <w:p w14:paraId="15C643C0"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w:t>
            </w:r>
            <w:r w:rsidR="001611CF" w:rsidRPr="009C2B66">
              <w:rPr>
                <w:rFonts w:eastAsia="Times New Roman" w:cstheme="minorHAnsi"/>
                <w:lang w:eastAsia="tr-TR"/>
              </w:rPr>
              <w:t xml:space="preserve"> </w:t>
            </w:r>
            <w:r w:rsidRPr="009C2B66">
              <w:rPr>
                <w:rFonts w:eastAsia="Times New Roman" w:cstheme="minorHAnsi"/>
                <w:lang w:eastAsia="tr-TR"/>
              </w:rPr>
              <w:t>294</w:t>
            </w:r>
            <w:r w:rsidR="001611CF" w:rsidRPr="009C2B66">
              <w:rPr>
                <w:rFonts w:eastAsia="Times New Roman" w:cstheme="minorHAnsi"/>
                <w:lang w:eastAsia="tr-TR"/>
              </w:rPr>
              <w:t xml:space="preserve"> </w:t>
            </w:r>
            <w:r w:rsidRPr="009C2B66">
              <w:rPr>
                <w:rFonts w:eastAsia="Times New Roman" w:cstheme="minorHAnsi"/>
                <w:lang w:eastAsia="tr-TR"/>
              </w:rPr>
              <w:t>336</w:t>
            </w:r>
          </w:p>
        </w:tc>
        <w:tc>
          <w:tcPr>
            <w:tcW w:w="1415" w:type="dxa"/>
            <w:tcBorders>
              <w:top w:val="nil"/>
              <w:left w:val="nil"/>
              <w:bottom w:val="nil"/>
              <w:right w:val="nil"/>
            </w:tcBorders>
            <w:shd w:val="clear" w:color="auto" w:fill="auto"/>
            <w:noWrap/>
            <w:vAlign w:val="bottom"/>
            <w:hideMark/>
          </w:tcPr>
          <w:p w14:paraId="7221D8EA"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2</w:t>
            </w:r>
            <w:r w:rsidR="001611CF" w:rsidRPr="009C2B66">
              <w:rPr>
                <w:rFonts w:eastAsia="Times New Roman" w:cstheme="minorHAnsi"/>
                <w:lang w:eastAsia="tr-TR"/>
              </w:rPr>
              <w:t xml:space="preserve"> </w:t>
            </w:r>
            <w:r w:rsidRPr="009C2B66">
              <w:rPr>
                <w:rFonts w:eastAsia="Times New Roman" w:cstheme="minorHAnsi"/>
                <w:lang w:eastAsia="tr-TR"/>
              </w:rPr>
              <w:t>770</w:t>
            </w:r>
            <w:r w:rsidR="001611CF" w:rsidRPr="009C2B66">
              <w:rPr>
                <w:rFonts w:eastAsia="Times New Roman" w:cstheme="minorHAnsi"/>
                <w:lang w:eastAsia="tr-TR"/>
              </w:rPr>
              <w:t xml:space="preserve"> </w:t>
            </w:r>
            <w:r w:rsidRPr="009C2B66">
              <w:rPr>
                <w:rFonts w:eastAsia="Times New Roman" w:cstheme="minorHAnsi"/>
                <w:lang w:eastAsia="tr-TR"/>
              </w:rPr>
              <w:t>679</w:t>
            </w:r>
          </w:p>
        </w:tc>
        <w:tc>
          <w:tcPr>
            <w:tcW w:w="1235" w:type="dxa"/>
            <w:tcBorders>
              <w:top w:val="nil"/>
              <w:left w:val="nil"/>
              <w:bottom w:val="nil"/>
              <w:right w:val="nil"/>
            </w:tcBorders>
            <w:shd w:val="clear" w:color="auto" w:fill="auto"/>
            <w:noWrap/>
            <w:vAlign w:val="bottom"/>
            <w:hideMark/>
          </w:tcPr>
          <w:p w14:paraId="178B83BE"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15.9%</w:t>
            </w:r>
          </w:p>
        </w:tc>
      </w:tr>
      <w:tr w:rsidR="00E303F3" w:rsidRPr="009C2B66" w14:paraId="276E29A2" w14:textId="77777777" w:rsidTr="00E303F3">
        <w:trPr>
          <w:trHeight w:val="322"/>
        </w:trPr>
        <w:tc>
          <w:tcPr>
            <w:tcW w:w="1235" w:type="dxa"/>
            <w:tcBorders>
              <w:top w:val="nil"/>
              <w:left w:val="nil"/>
              <w:bottom w:val="single" w:sz="4" w:space="0" w:color="auto"/>
              <w:right w:val="nil"/>
            </w:tcBorders>
            <w:shd w:val="clear" w:color="auto" w:fill="auto"/>
            <w:noWrap/>
            <w:vAlign w:val="bottom"/>
            <w:hideMark/>
          </w:tcPr>
          <w:p w14:paraId="51EBB3FF"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 </w:t>
            </w:r>
          </w:p>
        </w:tc>
        <w:tc>
          <w:tcPr>
            <w:tcW w:w="1389" w:type="dxa"/>
            <w:tcBorders>
              <w:top w:val="nil"/>
              <w:left w:val="nil"/>
              <w:bottom w:val="single" w:sz="4" w:space="0" w:color="auto"/>
              <w:right w:val="nil"/>
            </w:tcBorders>
            <w:shd w:val="clear" w:color="auto" w:fill="auto"/>
            <w:noWrap/>
            <w:vAlign w:val="bottom"/>
            <w:hideMark/>
          </w:tcPr>
          <w:p w14:paraId="5A650EA2"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Kadın</w:t>
            </w:r>
          </w:p>
        </w:tc>
        <w:tc>
          <w:tcPr>
            <w:tcW w:w="1415" w:type="dxa"/>
            <w:tcBorders>
              <w:top w:val="nil"/>
              <w:left w:val="nil"/>
              <w:bottom w:val="single" w:sz="4" w:space="0" w:color="auto"/>
              <w:right w:val="nil"/>
            </w:tcBorders>
            <w:shd w:val="clear" w:color="auto" w:fill="auto"/>
            <w:noWrap/>
            <w:vAlign w:val="bottom"/>
            <w:hideMark/>
          </w:tcPr>
          <w:p w14:paraId="71EF4440"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w:t>
            </w:r>
            <w:r w:rsidR="001611CF" w:rsidRPr="009C2B66">
              <w:rPr>
                <w:rFonts w:eastAsia="Times New Roman" w:cstheme="minorHAnsi"/>
                <w:lang w:eastAsia="tr-TR"/>
              </w:rPr>
              <w:t xml:space="preserve"> </w:t>
            </w:r>
            <w:r w:rsidRPr="009C2B66">
              <w:rPr>
                <w:rFonts w:eastAsia="Times New Roman" w:cstheme="minorHAnsi"/>
                <w:lang w:eastAsia="tr-TR"/>
              </w:rPr>
              <w:t>162</w:t>
            </w:r>
            <w:r w:rsidR="001611CF" w:rsidRPr="009C2B66">
              <w:rPr>
                <w:rFonts w:eastAsia="Times New Roman" w:cstheme="minorHAnsi"/>
                <w:lang w:eastAsia="tr-TR"/>
              </w:rPr>
              <w:t xml:space="preserve"> </w:t>
            </w:r>
            <w:r w:rsidRPr="009C2B66">
              <w:rPr>
                <w:rFonts w:eastAsia="Times New Roman" w:cstheme="minorHAnsi"/>
                <w:lang w:eastAsia="tr-TR"/>
              </w:rPr>
              <w:t>174</w:t>
            </w:r>
          </w:p>
        </w:tc>
        <w:tc>
          <w:tcPr>
            <w:tcW w:w="1415" w:type="dxa"/>
            <w:tcBorders>
              <w:top w:val="nil"/>
              <w:left w:val="nil"/>
              <w:bottom w:val="single" w:sz="4" w:space="0" w:color="auto"/>
              <w:right w:val="nil"/>
            </w:tcBorders>
            <w:shd w:val="clear" w:color="auto" w:fill="auto"/>
            <w:noWrap/>
            <w:vAlign w:val="bottom"/>
            <w:hideMark/>
          </w:tcPr>
          <w:p w14:paraId="031A3E92"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2</w:t>
            </w:r>
            <w:r w:rsidR="001611CF" w:rsidRPr="009C2B66">
              <w:rPr>
                <w:rFonts w:eastAsia="Times New Roman" w:cstheme="minorHAnsi"/>
                <w:lang w:eastAsia="tr-TR"/>
              </w:rPr>
              <w:t xml:space="preserve"> </w:t>
            </w:r>
            <w:r w:rsidRPr="009C2B66">
              <w:rPr>
                <w:rFonts w:eastAsia="Times New Roman" w:cstheme="minorHAnsi"/>
                <w:lang w:eastAsia="tr-TR"/>
              </w:rPr>
              <w:t>824</w:t>
            </w:r>
            <w:r w:rsidR="001611CF" w:rsidRPr="009C2B66">
              <w:rPr>
                <w:rFonts w:eastAsia="Times New Roman" w:cstheme="minorHAnsi"/>
                <w:lang w:eastAsia="tr-TR"/>
              </w:rPr>
              <w:t xml:space="preserve"> </w:t>
            </w:r>
            <w:r w:rsidRPr="009C2B66">
              <w:rPr>
                <w:rFonts w:eastAsia="Times New Roman" w:cstheme="minorHAnsi"/>
                <w:lang w:eastAsia="tr-TR"/>
              </w:rPr>
              <w:t>629</w:t>
            </w:r>
          </w:p>
        </w:tc>
        <w:tc>
          <w:tcPr>
            <w:tcW w:w="1235" w:type="dxa"/>
            <w:tcBorders>
              <w:top w:val="nil"/>
              <w:left w:val="nil"/>
              <w:bottom w:val="single" w:sz="4" w:space="0" w:color="auto"/>
              <w:right w:val="nil"/>
            </w:tcBorders>
            <w:shd w:val="clear" w:color="auto" w:fill="auto"/>
            <w:noWrap/>
            <w:vAlign w:val="bottom"/>
            <w:hideMark/>
          </w:tcPr>
          <w:p w14:paraId="20DF0922"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10.7%</w:t>
            </w:r>
          </w:p>
        </w:tc>
      </w:tr>
      <w:tr w:rsidR="00E303F3" w:rsidRPr="009C2B66" w14:paraId="17D99C5B" w14:textId="77777777" w:rsidTr="00E303F3">
        <w:trPr>
          <w:trHeight w:val="322"/>
        </w:trPr>
        <w:tc>
          <w:tcPr>
            <w:tcW w:w="1235" w:type="dxa"/>
            <w:tcBorders>
              <w:top w:val="nil"/>
              <w:left w:val="nil"/>
              <w:bottom w:val="nil"/>
              <w:right w:val="nil"/>
            </w:tcBorders>
            <w:shd w:val="clear" w:color="auto" w:fill="auto"/>
            <w:noWrap/>
            <w:vAlign w:val="bottom"/>
            <w:hideMark/>
          </w:tcPr>
          <w:p w14:paraId="483FF2E2"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25-29</w:t>
            </w:r>
          </w:p>
        </w:tc>
        <w:tc>
          <w:tcPr>
            <w:tcW w:w="1389" w:type="dxa"/>
            <w:tcBorders>
              <w:top w:val="nil"/>
              <w:left w:val="nil"/>
              <w:bottom w:val="nil"/>
              <w:right w:val="nil"/>
            </w:tcBorders>
            <w:shd w:val="clear" w:color="auto" w:fill="auto"/>
            <w:noWrap/>
            <w:vAlign w:val="bottom"/>
            <w:hideMark/>
          </w:tcPr>
          <w:p w14:paraId="5855A96F"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Toplam</w:t>
            </w:r>
          </w:p>
        </w:tc>
        <w:tc>
          <w:tcPr>
            <w:tcW w:w="1415" w:type="dxa"/>
            <w:tcBorders>
              <w:top w:val="nil"/>
              <w:left w:val="nil"/>
              <w:bottom w:val="nil"/>
              <w:right w:val="nil"/>
            </w:tcBorders>
            <w:shd w:val="clear" w:color="auto" w:fill="auto"/>
            <w:noWrap/>
            <w:vAlign w:val="bottom"/>
            <w:hideMark/>
          </w:tcPr>
          <w:p w14:paraId="6951DF4A"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6</w:t>
            </w:r>
            <w:r w:rsidR="001611CF" w:rsidRPr="009C2B66">
              <w:rPr>
                <w:rFonts w:eastAsia="Times New Roman" w:cstheme="minorHAnsi"/>
                <w:lang w:eastAsia="tr-TR"/>
              </w:rPr>
              <w:t xml:space="preserve"> </w:t>
            </w:r>
            <w:r w:rsidRPr="009C2B66">
              <w:rPr>
                <w:rFonts w:eastAsia="Times New Roman" w:cstheme="minorHAnsi"/>
                <w:lang w:eastAsia="tr-TR"/>
              </w:rPr>
              <w:t>231</w:t>
            </w:r>
            <w:r w:rsidR="001611CF" w:rsidRPr="009C2B66">
              <w:rPr>
                <w:rFonts w:eastAsia="Times New Roman" w:cstheme="minorHAnsi"/>
                <w:lang w:eastAsia="tr-TR"/>
              </w:rPr>
              <w:t xml:space="preserve"> </w:t>
            </w:r>
            <w:r w:rsidRPr="009C2B66">
              <w:rPr>
                <w:rFonts w:eastAsia="Times New Roman" w:cstheme="minorHAnsi"/>
                <w:lang w:eastAsia="tr-TR"/>
              </w:rPr>
              <w:t>542</w:t>
            </w:r>
          </w:p>
        </w:tc>
        <w:tc>
          <w:tcPr>
            <w:tcW w:w="1415" w:type="dxa"/>
            <w:tcBorders>
              <w:top w:val="nil"/>
              <w:left w:val="nil"/>
              <w:bottom w:val="nil"/>
              <w:right w:val="nil"/>
            </w:tcBorders>
            <w:shd w:val="clear" w:color="auto" w:fill="auto"/>
            <w:noWrap/>
            <w:vAlign w:val="bottom"/>
            <w:hideMark/>
          </w:tcPr>
          <w:p w14:paraId="04EFFD2B"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6</w:t>
            </w:r>
            <w:r w:rsidR="001611CF" w:rsidRPr="009C2B66">
              <w:rPr>
                <w:rFonts w:eastAsia="Times New Roman" w:cstheme="minorHAnsi"/>
                <w:lang w:eastAsia="tr-TR"/>
              </w:rPr>
              <w:t xml:space="preserve"> </w:t>
            </w:r>
            <w:r w:rsidRPr="009C2B66">
              <w:rPr>
                <w:rFonts w:eastAsia="Times New Roman" w:cstheme="minorHAnsi"/>
                <w:lang w:eastAsia="tr-TR"/>
              </w:rPr>
              <w:t>084</w:t>
            </w:r>
            <w:r w:rsidR="001611CF" w:rsidRPr="009C2B66">
              <w:rPr>
                <w:rFonts w:eastAsia="Times New Roman" w:cstheme="minorHAnsi"/>
                <w:lang w:eastAsia="tr-TR"/>
              </w:rPr>
              <w:t xml:space="preserve"> </w:t>
            </w:r>
            <w:r w:rsidRPr="009C2B66">
              <w:rPr>
                <w:rFonts w:eastAsia="Times New Roman" w:cstheme="minorHAnsi"/>
                <w:lang w:eastAsia="tr-TR"/>
              </w:rPr>
              <w:t>925</w:t>
            </w:r>
          </w:p>
        </w:tc>
        <w:tc>
          <w:tcPr>
            <w:tcW w:w="1235" w:type="dxa"/>
            <w:tcBorders>
              <w:top w:val="nil"/>
              <w:left w:val="nil"/>
              <w:bottom w:val="nil"/>
              <w:right w:val="nil"/>
            </w:tcBorders>
            <w:shd w:val="clear" w:color="auto" w:fill="auto"/>
            <w:noWrap/>
            <w:vAlign w:val="bottom"/>
            <w:hideMark/>
          </w:tcPr>
          <w:p w14:paraId="05D00196"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2.4%</w:t>
            </w:r>
          </w:p>
        </w:tc>
      </w:tr>
      <w:tr w:rsidR="00E303F3" w:rsidRPr="009C2B66" w14:paraId="1EA13E4D" w14:textId="77777777" w:rsidTr="00E303F3">
        <w:trPr>
          <w:trHeight w:val="322"/>
        </w:trPr>
        <w:tc>
          <w:tcPr>
            <w:tcW w:w="1235" w:type="dxa"/>
            <w:tcBorders>
              <w:top w:val="nil"/>
              <w:left w:val="nil"/>
              <w:bottom w:val="nil"/>
              <w:right w:val="nil"/>
            </w:tcBorders>
            <w:shd w:val="clear" w:color="auto" w:fill="auto"/>
            <w:noWrap/>
            <w:vAlign w:val="bottom"/>
            <w:hideMark/>
          </w:tcPr>
          <w:p w14:paraId="124FFFC4" w14:textId="77777777" w:rsidR="00E303F3" w:rsidRPr="009C2B66" w:rsidRDefault="00E303F3" w:rsidP="00E303F3">
            <w:pPr>
              <w:spacing w:after="0" w:line="240" w:lineRule="auto"/>
              <w:rPr>
                <w:rFonts w:eastAsia="Times New Roman" w:cstheme="minorHAnsi"/>
                <w:lang w:eastAsia="tr-TR"/>
              </w:rPr>
            </w:pPr>
          </w:p>
        </w:tc>
        <w:tc>
          <w:tcPr>
            <w:tcW w:w="1389" w:type="dxa"/>
            <w:tcBorders>
              <w:top w:val="nil"/>
              <w:left w:val="nil"/>
              <w:bottom w:val="nil"/>
              <w:right w:val="nil"/>
            </w:tcBorders>
            <w:shd w:val="clear" w:color="auto" w:fill="auto"/>
            <w:noWrap/>
            <w:vAlign w:val="bottom"/>
            <w:hideMark/>
          </w:tcPr>
          <w:p w14:paraId="2213B83B"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Erkek</w:t>
            </w:r>
          </w:p>
        </w:tc>
        <w:tc>
          <w:tcPr>
            <w:tcW w:w="1415" w:type="dxa"/>
            <w:tcBorders>
              <w:top w:val="nil"/>
              <w:left w:val="nil"/>
              <w:bottom w:val="nil"/>
              <w:right w:val="nil"/>
            </w:tcBorders>
            <w:shd w:val="clear" w:color="auto" w:fill="auto"/>
            <w:noWrap/>
            <w:vAlign w:val="bottom"/>
            <w:hideMark/>
          </w:tcPr>
          <w:p w14:paraId="698F617C"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w:t>
            </w:r>
            <w:r w:rsidR="001611CF" w:rsidRPr="009C2B66">
              <w:rPr>
                <w:rFonts w:eastAsia="Times New Roman" w:cstheme="minorHAnsi"/>
                <w:lang w:eastAsia="tr-TR"/>
              </w:rPr>
              <w:t xml:space="preserve"> </w:t>
            </w:r>
            <w:r w:rsidRPr="009C2B66">
              <w:rPr>
                <w:rFonts w:eastAsia="Times New Roman" w:cstheme="minorHAnsi"/>
                <w:lang w:eastAsia="tr-TR"/>
              </w:rPr>
              <w:t>163</w:t>
            </w:r>
            <w:r w:rsidR="001611CF" w:rsidRPr="009C2B66">
              <w:rPr>
                <w:rFonts w:eastAsia="Times New Roman" w:cstheme="minorHAnsi"/>
                <w:lang w:eastAsia="tr-TR"/>
              </w:rPr>
              <w:t xml:space="preserve"> </w:t>
            </w:r>
            <w:r w:rsidRPr="009C2B66">
              <w:rPr>
                <w:rFonts w:eastAsia="Times New Roman" w:cstheme="minorHAnsi"/>
                <w:lang w:eastAsia="tr-TR"/>
              </w:rPr>
              <w:t>889</w:t>
            </w:r>
          </w:p>
        </w:tc>
        <w:tc>
          <w:tcPr>
            <w:tcW w:w="1415" w:type="dxa"/>
            <w:tcBorders>
              <w:top w:val="nil"/>
              <w:left w:val="nil"/>
              <w:bottom w:val="nil"/>
              <w:right w:val="nil"/>
            </w:tcBorders>
            <w:shd w:val="clear" w:color="auto" w:fill="auto"/>
            <w:noWrap/>
            <w:vAlign w:val="bottom"/>
            <w:hideMark/>
          </w:tcPr>
          <w:p w14:paraId="3C9BB8C6"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w:t>
            </w:r>
            <w:r w:rsidR="001611CF" w:rsidRPr="009C2B66">
              <w:rPr>
                <w:rFonts w:eastAsia="Times New Roman" w:cstheme="minorHAnsi"/>
                <w:lang w:eastAsia="tr-TR"/>
              </w:rPr>
              <w:t xml:space="preserve"> </w:t>
            </w:r>
            <w:r w:rsidRPr="009C2B66">
              <w:rPr>
                <w:rFonts w:eastAsia="Times New Roman" w:cstheme="minorHAnsi"/>
                <w:lang w:eastAsia="tr-TR"/>
              </w:rPr>
              <w:t>044</w:t>
            </w:r>
            <w:r w:rsidR="001611CF" w:rsidRPr="009C2B66">
              <w:rPr>
                <w:rFonts w:eastAsia="Times New Roman" w:cstheme="minorHAnsi"/>
                <w:lang w:eastAsia="tr-TR"/>
              </w:rPr>
              <w:t xml:space="preserve"> </w:t>
            </w:r>
            <w:r w:rsidRPr="009C2B66">
              <w:rPr>
                <w:rFonts w:eastAsia="Times New Roman" w:cstheme="minorHAnsi"/>
                <w:lang w:eastAsia="tr-TR"/>
              </w:rPr>
              <w:t>978</w:t>
            </w:r>
          </w:p>
        </w:tc>
        <w:tc>
          <w:tcPr>
            <w:tcW w:w="1235" w:type="dxa"/>
            <w:tcBorders>
              <w:top w:val="nil"/>
              <w:left w:val="nil"/>
              <w:bottom w:val="nil"/>
              <w:right w:val="nil"/>
            </w:tcBorders>
            <w:shd w:val="clear" w:color="auto" w:fill="auto"/>
            <w:noWrap/>
            <w:vAlign w:val="bottom"/>
            <w:hideMark/>
          </w:tcPr>
          <w:p w14:paraId="3D0C5EE5"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3.8%</w:t>
            </w:r>
          </w:p>
        </w:tc>
      </w:tr>
      <w:tr w:rsidR="00E303F3" w:rsidRPr="009C2B66" w14:paraId="024ECB6B" w14:textId="77777777" w:rsidTr="00E303F3">
        <w:trPr>
          <w:trHeight w:val="322"/>
        </w:trPr>
        <w:tc>
          <w:tcPr>
            <w:tcW w:w="1235" w:type="dxa"/>
            <w:tcBorders>
              <w:top w:val="nil"/>
              <w:left w:val="nil"/>
              <w:bottom w:val="single" w:sz="4" w:space="0" w:color="auto"/>
              <w:right w:val="nil"/>
            </w:tcBorders>
            <w:shd w:val="clear" w:color="auto" w:fill="auto"/>
            <w:noWrap/>
            <w:vAlign w:val="bottom"/>
            <w:hideMark/>
          </w:tcPr>
          <w:p w14:paraId="2ADFD1E9"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 </w:t>
            </w:r>
          </w:p>
        </w:tc>
        <w:tc>
          <w:tcPr>
            <w:tcW w:w="1389" w:type="dxa"/>
            <w:tcBorders>
              <w:top w:val="nil"/>
              <w:left w:val="nil"/>
              <w:bottom w:val="single" w:sz="4" w:space="0" w:color="auto"/>
              <w:right w:val="nil"/>
            </w:tcBorders>
            <w:shd w:val="clear" w:color="auto" w:fill="auto"/>
            <w:noWrap/>
            <w:vAlign w:val="bottom"/>
            <w:hideMark/>
          </w:tcPr>
          <w:p w14:paraId="6784AB7D" w14:textId="77777777" w:rsidR="00E303F3" w:rsidRPr="009C2B66" w:rsidRDefault="00E303F3" w:rsidP="00E303F3">
            <w:pPr>
              <w:spacing w:after="0" w:line="240" w:lineRule="auto"/>
              <w:rPr>
                <w:rFonts w:eastAsia="Times New Roman" w:cstheme="minorHAnsi"/>
                <w:lang w:eastAsia="tr-TR"/>
              </w:rPr>
            </w:pPr>
            <w:r w:rsidRPr="009C2B66">
              <w:rPr>
                <w:rFonts w:eastAsia="Times New Roman" w:cstheme="minorHAnsi"/>
                <w:lang w:eastAsia="tr-TR"/>
              </w:rPr>
              <w:t>Kadın</w:t>
            </w:r>
          </w:p>
        </w:tc>
        <w:tc>
          <w:tcPr>
            <w:tcW w:w="1415" w:type="dxa"/>
            <w:tcBorders>
              <w:top w:val="nil"/>
              <w:left w:val="nil"/>
              <w:bottom w:val="single" w:sz="4" w:space="0" w:color="auto"/>
              <w:right w:val="nil"/>
            </w:tcBorders>
            <w:shd w:val="clear" w:color="auto" w:fill="auto"/>
            <w:noWrap/>
            <w:vAlign w:val="bottom"/>
            <w:hideMark/>
          </w:tcPr>
          <w:p w14:paraId="67B3BE10"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w:t>
            </w:r>
            <w:r w:rsidR="001611CF" w:rsidRPr="009C2B66">
              <w:rPr>
                <w:rFonts w:eastAsia="Times New Roman" w:cstheme="minorHAnsi"/>
                <w:lang w:eastAsia="tr-TR"/>
              </w:rPr>
              <w:t xml:space="preserve"> </w:t>
            </w:r>
            <w:r w:rsidRPr="009C2B66">
              <w:rPr>
                <w:rFonts w:eastAsia="Times New Roman" w:cstheme="minorHAnsi"/>
                <w:lang w:eastAsia="tr-TR"/>
              </w:rPr>
              <w:t>067</w:t>
            </w:r>
            <w:r w:rsidR="001611CF" w:rsidRPr="009C2B66">
              <w:rPr>
                <w:rFonts w:eastAsia="Times New Roman" w:cstheme="minorHAnsi"/>
                <w:lang w:eastAsia="tr-TR"/>
              </w:rPr>
              <w:t xml:space="preserve"> </w:t>
            </w:r>
            <w:r w:rsidRPr="009C2B66">
              <w:rPr>
                <w:rFonts w:eastAsia="Times New Roman" w:cstheme="minorHAnsi"/>
                <w:lang w:eastAsia="tr-TR"/>
              </w:rPr>
              <w:t>653</w:t>
            </w:r>
          </w:p>
        </w:tc>
        <w:tc>
          <w:tcPr>
            <w:tcW w:w="1415" w:type="dxa"/>
            <w:tcBorders>
              <w:top w:val="nil"/>
              <w:left w:val="nil"/>
              <w:bottom w:val="single" w:sz="4" w:space="0" w:color="auto"/>
              <w:right w:val="nil"/>
            </w:tcBorders>
            <w:shd w:val="clear" w:color="auto" w:fill="auto"/>
            <w:noWrap/>
            <w:vAlign w:val="bottom"/>
            <w:hideMark/>
          </w:tcPr>
          <w:p w14:paraId="758F5BFA"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3</w:t>
            </w:r>
            <w:r w:rsidR="001611CF" w:rsidRPr="009C2B66">
              <w:rPr>
                <w:rFonts w:eastAsia="Times New Roman" w:cstheme="minorHAnsi"/>
                <w:lang w:eastAsia="tr-TR"/>
              </w:rPr>
              <w:t xml:space="preserve"> </w:t>
            </w:r>
            <w:r w:rsidRPr="009C2B66">
              <w:rPr>
                <w:rFonts w:eastAsia="Times New Roman" w:cstheme="minorHAnsi"/>
                <w:lang w:eastAsia="tr-TR"/>
              </w:rPr>
              <w:t>039</w:t>
            </w:r>
            <w:r w:rsidR="001611CF" w:rsidRPr="009C2B66">
              <w:rPr>
                <w:rFonts w:eastAsia="Times New Roman" w:cstheme="minorHAnsi"/>
                <w:lang w:eastAsia="tr-TR"/>
              </w:rPr>
              <w:t xml:space="preserve"> </w:t>
            </w:r>
            <w:r w:rsidRPr="009C2B66">
              <w:rPr>
                <w:rFonts w:eastAsia="Times New Roman" w:cstheme="minorHAnsi"/>
                <w:lang w:eastAsia="tr-TR"/>
              </w:rPr>
              <w:t>947</w:t>
            </w:r>
          </w:p>
        </w:tc>
        <w:tc>
          <w:tcPr>
            <w:tcW w:w="1235" w:type="dxa"/>
            <w:tcBorders>
              <w:top w:val="nil"/>
              <w:left w:val="nil"/>
              <w:bottom w:val="single" w:sz="4" w:space="0" w:color="auto"/>
              <w:right w:val="nil"/>
            </w:tcBorders>
            <w:shd w:val="clear" w:color="auto" w:fill="auto"/>
            <w:noWrap/>
            <w:vAlign w:val="bottom"/>
            <w:hideMark/>
          </w:tcPr>
          <w:p w14:paraId="17C882CE" w14:textId="77777777" w:rsidR="00E303F3" w:rsidRPr="009C2B66" w:rsidRDefault="00E303F3" w:rsidP="00E303F3">
            <w:pPr>
              <w:spacing w:after="0" w:line="240" w:lineRule="auto"/>
              <w:jc w:val="right"/>
              <w:rPr>
                <w:rFonts w:eastAsia="Times New Roman" w:cstheme="minorHAnsi"/>
                <w:lang w:eastAsia="tr-TR"/>
              </w:rPr>
            </w:pPr>
            <w:r w:rsidRPr="009C2B66">
              <w:rPr>
                <w:rFonts w:eastAsia="Times New Roman" w:cstheme="minorHAnsi"/>
                <w:lang w:eastAsia="tr-TR"/>
              </w:rPr>
              <w:t>0.9%</w:t>
            </w:r>
          </w:p>
        </w:tc>
      </w:tr>
    </w:tbl>
    <w:p w14:paraId="23DE6C4A" w14:textId="77777777" w:rsidR="000F27A2" w:rsidRPr="009C2B66" w:rsidRDefault="000F27A2" w:rsidP="00450914">
      <w:pPr>
        <w:jc w:val="both"/>
        <w:rPr>
          <w:rFonts w:cstheme="minorHAnsi"/>
        </w:rPr>
      </w:pPr>
    </w:p>
    <w:p w14:paraId="26ED1101" w14:textId="736725D5" w:rsidR="000F27A2" w:rsidRPr="009C2B66" w:rsidRDefault="00E303F3" w:rsidP="00A830D1">
      <w:pPr>
        <w:jc w:val="both"/>
        <w:rPr>
          <w:rFonts w:cstheme="minorHAnsi"/>
        </w:rPr>
      </w:pPr>
      <w:r w:rsidRPr="009C2B66">
        <w:rPr>
          <w:rFonts w:cstheme="minorHAnsi"/>
        </w:rPr>
        <w:t xml:space="preserve">Bu farkın oluşmasına 20-24 yaş aralığında birçok gencin, askerlik </w:t>
      </w:r>
      <w:r w:rsidR="001D4C82" w:rsidRPr="009C2B66">
        <w:rPr>
          <w:rFonts w:cstheme="minorHAnsi"/>
        </w:rPr>
        <w:t xml:space="preserve">yapmak </w:t>
      </w:r>
      <w:r w:rsidRPr="009C2B66">
        <w:rPr>
          <w:rFonts w:cstheme="minorHAnsi"/>
        </w:rPr>
        <w:t>ve</w:t>
      </w:r>
      <w:r w:rsidR="00351C6F" w:rsidRPr="009C2B66">
        <w:rPr>
          <w:rFonts w:cstheme="minorHAnsi"/>
        </w:rPr>
        <w:t>ya</w:t>
      </w:r>
      <w:r w:rsidRPr="009C2B66">
        <w:rPr>
          <w:rFonts w:cstheme="minorHAnsi"/>
        </w:rPr>
        <w:t xml:space="preserve"> üniversite yurdunda ikamet </w:t>
      </w:r>
      <w:r w:rsidR="001D4C82" w:rsidRPr="009C2B66">
        <w:rPr>
          <w:rFonts w:cstheme="minorHAnsi"/>
        </w:rPr>
        <w:t>etmek gibi sebeplerle</w:t>
      </w:r>
      <w:r w:rsidRPr="009C2B66">
        <w:rPr>
          <w:rFonts w:cstheme="minorHAnsi"/>
        </w:rPr>
        <w:t xml:space="preserve"> kayıttan düşmesi sebep oluyor olabilir. </w:t>
      </w:r>
      <w:r w:rsidR="00A830D1" w:rsidRPr="009C2B66">
        <w:rPr>
          <w:rFonts w:cstheme="minorHAnsi"/>
        </w:rPr>
        <w:t xml:space="preserve">Erkeklerde yüzde 15,9, kadınlarda ise yüzde 10,7 olan farklılıklar, sadece askere gitmenin değil, üniversite yurdunda olmanın da örneklemden düşmenin önemli bir sebebi olabileceğine işaret etmektedir. </w:t>
      </w:r>
      <w:r w:rsidR="000953BE" w:rsidRPr="009C2B66">
        <w:rPr>
          <w:rFonts w:cstheme="minorHAnsi"/>
        </w:rPr>
        <w:t>Söz konusu</w:t>
      </w:r>
      <w:r w:rsidR="00A830D1" w:rsidRPr="009C2B66">
        <w:rPr>
          <w:rFonts w:cstheme="minorHAnsi"/>
        </w:rPr>
        <w:t xml:space="preserve"> sebeplerle örneklemden düşen gençlerin </w:t>
      </w:r>
      <w:r w:rsidR="000953BE" w:rsidRPr="009C2B66">
        <w:rPr>
          <w:rFonts w:cstheme="minorHAnsi"/>
        </w:rPr>
        <w:t>bir yanlılık</w:t>
      </w:r>
      <w:r w:rsidR="00A830D1" w:rsidRPr="009C2B66">
        <w:rPr>
          <w:rFonts w:cstheme="minorHAnsi"/>
        </w:rPr>
        <w:t xml:space="preserve"> yaratıyor olabileceği endişesiyle 20-24 yaş grubu analiz dışında bırakılmıştır. </w:t>
      </w:r>
    </w:p>
    <w:p w14:paraId="6FB20DBB" w14:textId="77777777" w:rsidR="000F27A2" w:rsidRPr="009C2B66" w:rsidRDefault="00F11D86" w:rsidP="00450914">
      <w:pPr>
        <w:jc w:val="both"/>
        <w:rPr>
          <w:rFonts w:cstheme="minorHAnsi"/>
          <w:b/>
        </w:rPr>
      </w:pPr>
      <w:r w:rsidRPr="009C2B66">
        <w:rPr>
          <w:rFonts w:cstheme="minorHAnsi"/>
          <w:b/>
        </w:rPr>
        <w:t>Eğitime devam edenler</w:t>
      </w:r>
    </w:p>
    <w:p w14:paraId="1CC5ABE2" w14:textId="77777777" w:rsidR="00052FEF" w:rsidRPr="009C2B66" w:rsidRDefault="00052FEF" w:rsidP="00864D96">
      <w:pPr>
        <w:jc w:val="both"/>
        <w:rPr>
          <w:rFonts w:cstheme="minorHAnsi"/>
        </w:rPr>
      </w:pPr>
      <w:r w:rsidRPr="009C2B66">
        <w:rPr>
          <w:rFonts w:cstheme="minorHAnsi"/>
        </w:rPr>
        <w:t xml:space="preserve">Aşağıdaki grafik 2012 yılından itibaren 15-19 yaş aralığındaki </w:t>
      </w:r>
      <w:r w:rsidR="000105C1" w:rsidRPr="009C2B66">
        <w:rPr>
          <w:rFonts w:cstheme="minorHAnsi"/>
        </w:rPr>
        <w:t>gençler arasında resmi eğitim kurumuna</w:t>
      </w:r>
      <w:r w:rsidRPr="009C2B66">
        <w:rPr>
          <w:rFonts w:cstheme="minorHAnsi"/>
        </w:rPr>
        <w:t xml:space="preserve"> devam edenlerin oranını vermektedir. </w:t>
      </w:r>
      <w:r w:rsidR="000105C1" w:rsidRPr="009C2B66">
        <w:rPr>
          <w:rFonts w:cstheme="minorHAnsi"/>
        </w:rPr>
        <w:t>Bu dönemde hem erkekler hem kadınlar için resmi eğitim kurumuna devam etme oranlarının düzenli olarak arttığı göze çarpmaktadır. 2012 yılında 4+4+4 olarak bilinen yeni eğitim sistemine geçişle birlikte son 4 yıllık ortaöğretimin zorunlu hale geldiği, e</w:t>
      </w:r>
      <w:r w:rsidR="000A2257" w:rsidRPr="009C2B66">
        <w:rPr>
          <w:rFonts w:cstheme="minorHAnsi"/>
        </w:rPr>
        <w:t xml:space="preserve">ğitime devam etme oranlarının </w:t>
      </w:r>
      <w:r w:rsidR="000105C1" w:rsidRPr="009C2B66">
        <w:rPr>
          <w:rFonts w:cstheme="minorHAnsi"/>
        </w:rPr>
        <w:t xml:space="preserve">da bu </w:t>
      </w:r>
      <w:r w:rsidR="000A2257" w:rsidRPr="009C2B66">
        <w:rPr>
          <w:rFonts w:cstheme="minorHAnsi"/>
        </w:rPr>
        <w:t>geçişe paralel arttığı</w:t>
      </w:r>
      <w:r w:rsidR="000105C1" w:rsidRPr="009C2B66">
        <w:rPr>
          <w:rFonts w:cstheme="minorHAnsi"/>
        </w:rPr>
        <w:t xml:space="preserve"> görülmektedir. </w:t>
      </w:r>
      <w:r w:rsidR="00864D96" w:rsidRPr="009C2B66">
        <w:rPr>
          <w:rFonts w:cstheme="minorHAnsi"/>
        </w:rPr>
        <w:t>Eğitime devam etmedeki toplumsal cinsiyet farklılıkları ise 2012’de 3 yüzde puandan 2017’de 1,6 yüzde puana düşmüştür.</w:t>
      </w:r>
    </w:p>
    <w:p w14:paraId="39FBE518" w14:textId="77777777" w:rsidR="00667C2A" w:rsidRPr="009C2B66" w:rsidRDefault="00667C2A" w:rsidP="00450914">
      <w:pPr>
        <w:jc w:val="both"/>
        <w:rPr>
          <w:rFonts w:cstheme="minorHAnsi"/>
        </w:rPr>
      </w:pPr>
    </w:p>
    <w:p w14:paraId="3B527173" w14:textId="77777777" w:rsidR="00667C2A" w:rsidRPr="009C2B66" w:rsidRDefault="00667C2A" w:rsidP="00450914">
      <w:pPr>
        <w:jc w:val="both"/>
        <w:rPr>
          <w:rFonts w:cstheme="minorHAnsi"/>
        </w:rPr>
      </w:pPr>
    </w:p>
    <w:p w14:paraId="2A91AD81" w14:textId="77777777" w:rsidR="00667C2A" w:rsidRPr="009C2B66" w:rsidRDefault="00667C2A" w:rsidP="00450914">
      <w:pPr>
        <w:jc w:val="both"/>
        <w:rPr>
          <w:rFonts w:cstheme="minorHAnsi"/>
        </w:rPr>
      </w:pPr>
    </w:p>
    <w:p w14:paraId="665FB4C5" w14:textId="4C980C84" w:rsidR="00207039" w:rsidRPr="009C2B66" w:rsidRDefault="00207039" w:rsidP="00450914">
      <w:pPr>
        <w:jc w:val="both"/>
        <w:rPr>
          <w:rFonts w:cstheme="minorHAnsi"/>
        </w:rPr>
      </w:pPr>
      <w:r w:rsidRPr="009C2B66">
        <w:rPr>
          <w:rFonts w:cstheme="minorHAnsi"/>
        </w:rPr>
        <w:lastRenderedPageBreak/>
        <w:t xml:space="preserve">Şekil 3: </w:t>
      </w:r>
      <w:r w:rsidR="00BA5170" w:rsidRPr="009C2B66">
        <w:rPr>
          <w:rFonts w:cstheme="minorHAnsi"/>
        </w:rPr>
        <w:t>15-19 yaş aralığında eğitimine devam eden gençlerin oranı</w:t>
      </w:r>
    </w:p>
    <w:p w14:paraId="00A6E833" w14:textId="3754B3E8" w:rsidR="00052FEF" w:rsidRPr="009C2B66" w:rsidRDefault="00052FEF" w:rsidP="00052FEF">
      <w:pPr>
        <w:rPr>
          <w:rFonts w:cstheme="minorHAnsi"/>
        </w:rPr>
      </w:pPr>
      <w:r w:rsidRPr="009C2B66">
        <w:rPr>
          <w:rFonts w:cstheme="minorHAnsi"/>
          <w:noProof/>
          <w:lang w:val="en-GB" w:eastAsia="en-GB"/>
        </w:rPr>
        <w:drawing>
          <wp:inline distT="0" distB="0" distL="0" distR="0" wp14:anchorId="17D654E3" wp14:editId="148349A8">
            <wp:extent cx="6013450" cy="2470150"/>
            <wp:effectExtent l="0" t="0" r="6350" b="635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E6746">
        <w:rPr>
          <w:rFonts w:cstheme="minorHAnsi"/>
        </w:rPr>
        <w:br/>
      </w:r>
      <w:bookmarkStart w:id="1" w:name="OLE_LINK1"/>
      <w:bookmarkStart w:id="2" w:name="OLE_LINK2"/>
      <w:r w:rsidR="005E6746" w:rsidRPr="009C2B66">
        <w:rPr>
          <w:rFonts w:cstheme="minorHAnsi"/>
        </w:rPr>
        <w:t xml:space="preserve">Kaynak: </w:t>
      </w:r>
      <w:r w:rsidR="005E6746">
        <w:rPr>
          <w:rFonts w:cstheme="minorHAnsi"/>
        </w:rPr>
        <w:t>Hanehalkı İşgücü Anketi, 2012-2017; Betam hesaplamaları</w:t>
      </w:r>
      <w:bookmarkEnd w:id="1"/>
      <w:bookmarkEnd w:id="2"/>
    </w:p>
    <w:p w14:paraId="4AACD9D9" w14:textId="77777777" w:rsidR="00207039" w:rsidRPr="009C2B66" w:rsidRDefault="00052FEF" w:rsidP="00207039">
      <w:pPr>
        <w:jc w:val="both"/>
        <w:rPr>
          <w:rFonts w:cstheme="minorHAnsi"/>
        </w:rPr>
      </w:pPr>
      <w:r w:rsidRPr="009C2B66">
        <w:rPr>
          <w:rFonts w:cstheme="minorHAnsi"/>
        </w:rPr>
        <w:t>Eğitime devam etme oranlarında h</w:t>
      </w:r>
      <w:r w:rsidR="00864D96" w:rsidRPr="009C2B66">
        <w:rPr>
          <w:rFonts w:cstheme="minorHAnsi"/>
        </w:rPr>
        <w:t xml:space="preserve">em kadınlar hem de erkeklerde </w:t>
      </w:r>
      <w:r w:rsidRPr="009C2B66">
        <w:rPr>
          <w:rFonts w:cstheme="minorHAnsi"/>
        </w:rPr>
        <w:t xml:space="preserve">2017 yılında </w:t>
      </w:r>
      <w:r w:rsidR="00864D96" w:rsidRPr="009C2B66">
        <w:rPr>
          <w:rFonts w:cstheme="minorHAnsi"/>
        </w:rPr>
        <w:t>bir gerileme kaydedilmiştir. Erkeklerde yüzde 69,8’den yüzde 67,7’e gerileyen eğitime devam etme oranı kadınlarda yüzde 66,</w:t>
      </w:r>
      <w:r w:rsidR="00DE3283" w:rsidRPr="009C2B66">
        <w:rPr>
          <w:rFonts w:cstheme="minorHAnsi"/>
        </w:rPr>
        <w:t>9’dan yüzde</w:t>
      </w:r>
      <w:r w:rsidR="00864D96" w:rsidRPr="009C2B66">
        <w:rPr>
          <w:rFonts w:cstheme="minorHAnsi"/>
        </w:rPr>
        <w:t xml:space="preserve"> 66,1’e gerilemiştir</w:t>
      </w:r>
      <w:r w:rsidR="0047142F" w:rsidRPr="009C2B66">
        <w:rPr>
          <w:rFonts w:cstheme="minorHAnsi"/>
        </w:rPr>
        <w:t xml:space="preserve">. </w:t>
      </w:r>
      <w:r w:rsidR="009374FD" w:rsidRPr="009C2B66">
        <w:rPr>
          <w:rFonts w:cstheme="minorHAnsi"/>
        </w:rPr>
        <w:t xml:space="preserve">Toplumsal cinsiyet farklılıklarının azalmasında 2017 yılındaki düşüşün etkili olduğu görülmektedir. Ancak istikrarlı bir şekilde artmaya devam eden eğitime devam oranlarının 2017 yılında neden gerilediği bir muammadır. </w:t>
      </w:r>
    </w:p>
    <w:p w14:paraId="642E2BB0" w14:textId="1828DC0A" w:rsidR="004A58D6" w:rsidRPr="009C2B66" w:rsidRDefault="00DC643F" w:rsidP="00207039">
      <w:pPr>
        <w:jc w:val="both"/>
        <w:rPr>
          <w:rFonts w:cstheme="minorHAnsi"/>
        </w:rPr>
      </w:pPr>
      <w:r w:rsidRPr="009C2B66">
        <w:rPr>
          <w:rFonts w:cstheme="minorHAnsi"/>
        </w:rPr>
        <w:t xml:space="preserve">Seviye olarak baktığımızda 2017 yılında 15-19 yaş aralığındaki 6 milyon 280 bin </w:t>
      </w:r>
      <w:r w:rsidR="006B5D5F" w:rsidRPr="009C2B66">
        <w:rPr>
          <w:rFonts w:cstheme="minorHAnsi"/>
        </w:rPr>
        <w:t xml:space="preserve">gençten (3,25 milyon erkek ve 3,03 milyon kadın) 1 milyon 50 bini erkek, 1 milyon 29 bini kadın olmak üzere toplamda 2 milyon 79 bin genç eğitimine resmi bir kurumda devam etmemektedir. Bu 2 milyon 79 bin gencin işgücü piyasasında durumları ise Tablo 2’deki gibidir. </w:t>
      </w:r>
    </w:p>
    <w:p w14:paraId="728E36A2" w14:textId="292E8F3D" w:rsidR="005F27F2" w:rsidRPr="009C2B66" w:rsidRDefault="005F27F2" w:rsidP="00207039">
      <w:pPr>
        <w:jc w:val="both"/>
        <w:rPr>
          <w:rFonts w:cstheme="minorHAnsi"/>
        </w:rPr>
      </w:pPr>
      <w:r w:rsidRPr="009C2B66">
        <w:rPr>
          <w:rFonts w:cstheme="minorHAnsi"/>
        </w:rPr>
        <w:t>Tablo 2: 2017 yılında okula devam etmeyen gençlerin işgücü piyasası durumu</w:t>
      </w:r>
    </w:p>
    <w:tbl>
      <w:tblPr>
        <w:tblW w:w="8931" w:type="dxa"/>
        <w:tblLook w:val="04A0" w:firstRow="1" w:lastRow="0" w:firstColumn="1" w:lastColumn="0" w:noHBand="0" w:noVBand="1"/>
      </w:tblPr>
      <w:tblGrid>
        <w:gridCol w:w="960"/>
        <w:gridCol w:w="1040"/>
        <w:gridCol w:w="1119"/>
        <w:gridCol w:w="1161"/>
        <w:gridCol w:w="1107"/>
        <w:gridCol w:w="1173"/>
        <w:gridCol w:w="1237"/>
        <w:gridCol w:w="1134"/>
      </w:tblGrid>
      <w:tr w:rsidR="006B5D5F" w:rsidRPr="009C2B66" w14:paraId="39C1B163" w14:textId="77777777" w:rsidTr="00B10BEB">
        <w:trPr>
          <w:trHeight w:val="290"/>
        </w:trPr>
        <w:tc>
          <w:tcPr>
            <w:tcW w:w="960" w:type="dxa"/>
            <w:tcBorders>
              <w:top w:val="nil"/>
              <w:left w:val="nil"/>
              <w:bottom w:val="nil"/>
              <w:right w:val="nil"/>
            </w:tcBorders>
            <w:shd w:val="clear" w:color="auto" w:fill="auto"/>
            <w:noWrap/>
            <w:vAlign w:val="bottom"/>
            <w:hideMark/>
          </w:tcPr>
          <w:p w14:paraId="5A4EFCF7" w14:textId="77777777" w:rsidR="006B5D5F" w:rsidRPr="009C2B66" w:rsidRDefault="006B5D5F" w:rsidP="006B5D5F">
            <w:pPr>
              <w:spacing w:after="0" w:line="240" w:lineRule="auto"/>
              <w:rPr>
                <w:rFonts w:ascii="Times New Roman" w:eastAsia="Times New Roman" w:hAnsi="Times New Roman" w:cs="Times New Roman"/>
                <w:sz w:val="24"/>
                <w:szCs w:val="24"/>
              </w:rPr>
            </w:pPr>
          </w:p>
        </w:tc>
        <w:tc>
          <w:tcPr>
            <w:tcW w:w="1040" w:type="dxa"/>
            <w:tcBorders>
              <w:top w:val="nil"/>
              <w:left w:val="nil"/>
              <w:bottom w:val="nil"/>
              <w:right w:val="nil"/>
            </w:tcBorders>
            <w:shd w:val="clear" w:color="auto" w:fill="auto"/>
            <w:noWrap/>
            <w:vAlign w:val="bottom"/>
            <w:hideMark/>
          </w:tcPr>
          <w:p w14:paraId="234B7D81" w14:textId="77777777" w:rsidR="006B5D5F" w:rsidRPr="009C2B66" w:rsidRDefault="006B5D5F" w:rsidP="006B5D5F">
            <w:pPr>
              <w:spacing w:after="0" w:line="240" w:lineRule="auto"/>
              <w:rPr>
                <w:rFonts w:ascii="Times New Roman" w:eastAsia="Times New Roman" w:hAnsi="Times New Roman" w:cs="Times New Roman"/>
                <w:sz w:val="20"/>
                <w:szCs w:val="20"/>
              </w:rPr>
            </w:pPr>
          </w:p>
        </w:tc>
        <w:tc>
          <w:tcPr>
            <w:tcW w:w="4560"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221A7550"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Cinsiyet</w:t>
            </w:r>
          </w:p>
        </w:tc>
        <w:tc>
          <w:tcPr>
            <w:tcW w:w="2371" w:type="dxa"/>
            <w:gridSpan w:val="2"/>
            <w:vMerge w:val="restart"/>
            <w:tcBorders>
              <w:top w:val="nil"/>
              <w:left w:val="single" w:sz="4" w:space="0" w:color="auto"/>
              <w:bottom w:val="single" w:sz="4" w:space="0" w:color="000000"/>
              <w:right w:val="nil"/>
            </w:tcBorders>
            <w:shd w:val="clear" w:color="auto" w:fill="auto"/>
            <w:noWrap/>
            <w:vAlign w:val="center"/>
            <w:hideMark/>
          </w:tcPr>
          <w:p w14:paraId="6C13416C"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Toplam</w:t>
            </w:r>
          </w:p>
        </w:tc>
      </w:tr>
      <w:tr w:rsidR="006B5D5F" w:rsidRPr="009C2B66" w14:paraId="0118AE14" w14:textId="77777777" w:rsidTr="00B10BEB">
        <w:trPr>
          <w:trHeight w:val="290"/>
        </w:trPr>
        <w:tc>
          <w:tcPr>
            <w:tcW w:w="2000" w:type="dxa"/>
            <w:gridSpan w:val="2"/>
            <w:vMerge w:val="restart"/>
            <w:tcBorders>
              <w:top w:val="nil"/>
              <w:left w:val="nil"/>
              <w:bottom w:val="single" w:sz="4" w:space="0" w:color="000000"/>
              <w:right w:val="single" w:sz="4" w:space="0" w:color="000000"/>
            </w:tcBorders>
            <w:shd w:val="clear" w:color="auto" w:fill="auto"/>
            <w:noWrap/>
            <w:vAlign w:val="center"/>
            <w:hideMark/>
          </w:tcPr>
          <w:p w14:paraId="56BF0532"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Durum</w:t>
            </w:r>
          </w:p>
        </w:tc>
        <w:tc>
          <w:tcPr>
            <w:tcW w:w="2280" w:type="dxa"/>
            <w:gridSpan w:val="2"/>
            <w:tcBorders>
              <w:top w:val="nil"/>
              <w:left w:val="nil"/>
              <w:bottom w:val="single" w:sz="4" w:space="0" w:color="auto"/>
              <w:right w:val="single" w:sz="4" w:space="0" w:color="000000"/>
            </w:tcBorders>
            <w:shd w:val="clear" w:color="auto" w:fill="auto"/>
            <w:noWrap/>
            <w:vAlign w:val="bottom"/>
            <w:hideMark/>
          </w:tcPr>
          <w:p w14:paraId="79372E05"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 xml:space="preserve">Erkek      </w:t>
            </w:r>
          </w:p>
        </w:tc>
        <w:tc>
          <w:tcPr>
            <w:tcW w:w="2280" w:type="dxa"/>
            <w:gridSpan w:val="2"/>
            <w:tcBorders>
              <w:top w:val="nil"/>
              <w:left w:val="nil"/>
              <w:bottom w:val="single" w:sz="4" w:space="0" w:color="auto"/>
              <w:right w:val="single" w:sz="4" w:space="0" w:color="000000"/>
            </w:tcBorders>
            <w:shd w:val="clear" w:color="auto" w:fill="auto"/>
            <w:noWrap/>
            <w:vAlign w:val="bottom"/>
            <w:hideMark/>
          </w:tcPr>
          <w:p w14:paraId="54ED745F"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Kadın</w:t>
            </w:r>
          </w:p>
        </w:tc>
        <w:tc>
          <w:tcPr>
            <w:tcW w:w="2371" w:type="dxa"/>
            <w:gridSpan w:val="2"/>
            <w:vMerge/>
            <w:tcBorders>
              <w:top w:val="nil"/>
              <w:left w:val="single" w:sz="4" w:space="0" w:color="auto"/>
              <w:bottom w:val="single" w:sz="4" w:space="0" w:color="000000"/>
              <w:right w:val="nil"/>
            </w:tcBorders>
            <w:vAlign w:val="center"/>
            <w:hideMark/>
          </w:tcPr>
          <w:p w14:paraId="34963269" w14:textId="77777777" w:rsidR="006B5D5F" w:rsidRPr="009C2B66" w:rsidRDefault="006B5D5F" w:rsidP="006B5D5F">
            <w:pPr>
              <w:spacing w:after="0" w:line="240" w:lineRule="auto"/>
              <w:rPr>
                <w:rFonts w:ascii="Calibri" w:eastAsia="Times New Roman" w:hAnsi="Calibri" w:cs="Calibri"/>
                <w:color w:val="000000"/>
              </w:rPr>
            </w:pPr>
          </w:p>
        </w:tc>
      </w:tr>
      <w:tr w:rsidR="004B4643" w:rsidRPr="009C2B66" w14:paraId="24EDEB50" w14:textId="77777777" w:rsidTr="00B10BEB">
        <w:trPr>
          <w:trHeight w:val="290"/>
        </w:trPr>
        <w:tc>
          <w:tcPr>
            <w:tcW w:w="2000" w:type="dxa"/>
            <w:gridSpan w:val="2"/>
            <w:vMerge/>
            <w:tcBorders>
              <w:top w:val="nil"/>
              <w:left w:val="nil"/>
              <w:bottom w:val="single" w:sz="4" w:space="0" w:color="000000"/>
              <w:right w:val="single" w:sz="4" w:space="0" w:color="000000"/>
            </w:tcBorders>
            <w:vAlign w:val="center"/>
            <w:hideMark/>
          </w:tcPr>
          <w:p w14:paraId="2ADAF721" w14:textId="77777777" w:rsidR="006B5D5F" w:rsidRPr="009C2B66" w:rsidRDefault="006B5D5F" w:rsidP="006B5D5F">
            <w:pPr>
              <w:spacing w:after="0" w:line="240" w:lineRule="auto"/>
              <w:rPr>
                <w:rFonts w:ascii="Calibri" w:eastAsia="Times New Roman" w:hAnsi="Calibri" w:cs="Calibri"/>
                <w:color w:val="000000"/>
              </w:rPr>
            </w:pPr>
          </w:p>
        </w:tc>
        <w:tc>
          <w:tcPr>
            <w:tcW w:w="1119" w:type="dxa"/>
            <w:tcBorders>
              <w:top w:val="nil"/>
              <w:left w:val="nil"/>
              <w:bottom w:val="single" w:sz="4" w:space="0" w:color="auto"/>
              <w:right w:val="nil"/>
            </w:tcBorders>
            <w:shd w:val="clear" w:color="auto" w:fill="auto"/>
            <w:noWrap/>
            <w:vAlign w:val="bottom"/>
            <w:hideMark/>
          </w:tcPr>
          <w:p w14:paraId="2D4779DE"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Sayı</w:t>
            </w:r>
          </w:p>
        </w:tc>
        <w:tc>
          <w:tcPr>
            <w:tcW w:w="1161" w:type="dxa"/>
            <w:tcBorders>
              <w:top w:val="nil"/>
              <w:left w:val="nil"/>
              <w:bottom w:val="single" w:sz="4" w:space="0" w:color="auto"/>
              <w:right w:val="single" w:sz="4" w:space="0" w:color="auto"/>
            </w:tcBorders>
            <w:shd w:val="clear" w:color="auto" w:fill="D9D9D9" w:themeFill="background1" w:themeFillShade="D9"/>
            <w:noWrap/>
            <w:vAlign w:val="bottom"/>
            <w:hideMark/>
          </w:tcPr>
          <w:p w14:paraId="2A1B0690"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Yüzde</w:t>
            </w:r>
          </w:p>
        </w:tc>
        <w:tc>
          <w:tcPr>
            <w:tcW w:w="1107" w:type="dxa"/>
            <w:tcBorders>
              <w:top w:val="nil"/>
              <w:left w:val="nil"/>
              <w:bottom w:val="single" w:sz="4" w:space="0" w:color="auto"/>
              <w:right w:val="nil"/>
            </w:tcBorders>
            <w:shd w:val="clear" w:color="auto" w:fill="auto"/>
            <w:noWrap/>
            <w:vAlign w:val="bottom"/>
            <w:hideMark/>
          </w:tcPr>
          <w:p w14:paraId="69D79A63"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Sayı</w:t>
            </w:r>
          </w:p>
        </w:tc>
        <w:tc>
          <w:tcPr>
            <w:tcW w:w="1173" w:type="dxa"/>
            <w:tcBorders>
              <w:top w:val="nil"/>
              <w:left w:val="nil"/>
              <w:bottom w:val="single" w:sz="4" w:space="0" w:color="auto"/>
              <w:right w:val="single" w:sz="4" w:space="0" w:color="auto"/>
            </w:tcBorders>
            <w:shd w:val="clear" w:color="auto" w:fill="D9D9D9" w:themeFill="background1" w:themeFillShade="D9"/>
            <w:noWrap/>
            <w:vAlign w:val="bottom"/>
            <w:hideMark/>
          </w:tcPr>
          <w:p w14:paraId="0F4AC8E2"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Yüzde</w:t>
            </w:r>
          </w:p>
        </w:tc>
        <w:tc>
          <w:tcPr>
            <w:tcW w:w="1237" w:type="dxa"/>
            <w:tcBorders>
              <w:top w:val="nil"/>
              <w:left w:val="nil"/>
              <w:bottom w:val="single" w:sz="4" w:space="0" w:color="auto"/>
              <w:right w:val="nil"/>
            </w:tcBorders>
            <w:shd w:val="clear" w:color="auto" w:fill="auto"/>
            <w:noWrap/>
            <w:vAlign w:val="bottom"/>
            <w:hideMark/>
          </w:tcPr>
          <w:p w14:paraId="43093A1A"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Sayı</w:t>
            </w:r>
          </w:p>
        </w:tc>
        <w:tc>
          <w:tcPr>
            <w:tcW w:w="1134" w:type="dxa"/>
            <w:tcBorders>
              <w:top w:val="nil"/>
              <w:left w:val="nil"/>
              <w:bottom w:val="single" w:sz="4" w:space="0" w:color="auto"/>
              <w:right w:val="nil"/>
            </w:tcBorders>
            <w:shd w:val="clear" w:color="auto" w:fill="D9D9D9" w:themeFill="background1" w:themeFillShade="D9"/>
            <w:noWrap/>
            <w:vAlign w:val="bottom"/>
            <w:hideMark/>
          </w:tcPr>
          <w:p w14:paraId="5406D388"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Yüzde</w:t>
            </w:r>
          </w:p>
        </w:tc>
      </w:tr>
      <w:tr w:rsidR="004B4643" w:rsidRPr="009C2B66" w14:paraId="59C5EAFB" w14:textId="77777777" w:rsidTr="00B10BEB">
        <w:trPr>
          <w:trHeight w:val="430"/>
        </w:trPr>
        <w:tc>
          <w:tcPr>
            <w:tcW w:w="960" w:type="dxa"/>
            <w:vMerge w:val="restart"/>
            <w:tcBorders>
              <w:top w:val="nil"/>
              <w:left w:val="nil"/>
              <w:bottom w:val="single" w:sz="4" w:space="0" w:color="000000"/>
              <w:right w:val="single" w:sz="4" w:space="0" w:color="auto"/>
            </w:tcBorders>
            <w:shd w:val="clear" w:color="auto" w:fill="auto"/>
            <w:noWrap/>
            <w:vAlign w:val="center"/>
            <w:hideMark/>
          </w:tcPr>
          <w:p w14:paraId="56692CE9"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İşgücü</w:t>
            </w:r>
          </w:p>
        </w:tc>
        <w:tc>
          <w:tcPr>
            <w:tcW w:w="1040" w:type="dxa"/>
            <w:tcBorders>
              <w:top w:val="nil"/>
              <w:left w:val="nil"/>
              <w:bottom w:val="single" w:sz="4" w:space="0" w:color="auto"/>
              <w:right w:val="single" w:sz="4" w:space="0" w:color="auto"/>
            </w:tcBorders>
            <w:shd w:val="clear" w:color="auto" w:fill="auto"/>
            <w:noWrap/>
            <w:vAlign w:val="bottom"/>
            <w:hideMark/>
          </w:tcPr>
          <w:p w14:paraId="1BECC01D"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İstihdam</w:t>
            </w:r>
          </w:p>
        </w:tc>
        <w:tc>
          <w:tcPr>
            <w:tcW w:w="1119" w:type="dxa"/>
            <w:tcBorders>
              <w:top w:val="nil"/>
              <w:left w:val="nil"/>
              <w:bottom w:val="nil"/>
              <w:right w:val="nil"/>
            </w:tcBorders>
            <w:shd w:val="clear" w:color="auto" w:fill="auto"/>
            <w:noWrap/>
            <w:vAlign w:val="bottom"/>
            <w:hideMark/>
          </w:tcPr>
          <w:p w14:paraId="6492C75D"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543</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885</w:t>
            </w:r>
          </w:p>
        </w:tc>
        <w:tc>
          <w:tcPr>
            <w:tcW w:w="1161" w:type="dxa"/>
            <w:tcBorders>
              <w:top w:val="nil"/>
              <w:left w:val="nil"/>
              <w:bottom w:val="nil"/>
              <w:right w:val="single" w:sz="4" w:space="0" w:color="auto"/>
            </w:tcBorders>
            <w:shd w:val="clear" w:color="auto" w:fill="D9D9D9" w:themeFill="background1" w:themeFillShade="D9"/>
            <w:noWrap/>
            <w:vAlign w:val="bottom"/>
            <w:hideMark/>
          </w:tcPr>
          <w:p w14:paraId="6DF728C7"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51</w:t>
            </w:r>
            <w:r w:rsidR="004B4643" w:rsidRPr="009C2B66">
              <w:rPr>
                <w:rFonts w:ascii="Calibri" w:eastAsia="Times New Roman" w:hAnsi="Calibri" w:cs="Calibri"/>
                <w:color w:val="000000"/>
              </w:rPr>
              <w:t>,</w:t>
            </w:r>
            <w:r w:rsidRPr="009C2B66">
              <w:rPr>
                <w:rFonts w:ascii="Calibri" w:eastAsia="Times New Roman" w:hAnsi="Calibri" w:cs="Calibri"/>
                <w:color w:val="000000"/>
              </w:rPr>
              <w:t>8</w:t>
            </w:r>
          </w:p>
        </w:tc>
        <w:tc>
          <w:tcPr>
            <w:tcW w:w="1107" w:type="dxa"/>
            <w:tcBorders>
              <w:top w:val="nil"/>
              <w:left w:val="nil"/>
              <w:bottom w:val="nil"/>
              <w:right w:val="nil"/>
            </w:tcBorders>
            <w:shd w:val="clear" w:color="auto" w:fill="auto"/>
            <w:noWrap/>
            <w:vAlign w:val="bottom"/>
            <w:hideMark/>
          </w:tcPr>
          <w:p w14:paraId="3DE44D02"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244</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404</w:t>
            </w:r>
          </w:p>
        </w:tc>
        <w:tc>
          <w:tcPr>
            <w:tcW w:w="1173" w:type="dxa"/>
            <w:tcBorders>
              <w:top w:val="nil"/>
              <w:left w:val="nil"/>
              <w:bottom w:val="nil"/>
              <w:right w:val="single" w:sz="4" w:space="0" w:color="auto"/>
            </w:tcBorders>
            <w:shd w:val="clear" w:color="auto" w:fill="D9D9D9" w:themeFill="background1" w:themeFillShade="D9"/>
            <w:noWrap/>
            <w:vAlign w:val="bottom"/>
            <w:hideMark/>
          </w:tcPr>
          <w:p w14:paraId="7A6B2329"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23</w:t>
            </w:r>
            <w:r w:rsidR="004B4643" w:rsidRPr="009C2B66">
              <w:rPr>
                <w:rFonts w:ascii="Calibri" w:eastAsia="Times New Roman" w:hAnsi="Calibri" w:cs="Calibri"/>
                <w:color w:val="000000"/>
              </w:rPr>
              <w:t>,</w:t>
            </w:r>
            <w:r w:rsidRPr="009C2B66">
              <w:rPr>
                <w:rFonts w:ascii="Calibri" w:eastAsia="Times New Roman" w:hAnsi="Calibri" w:cs="Calibri"/>
                <w:color w:val="000000"/>
              </w:rPr>
              <w:t>8</w:t>
            </w:r>
          </w:p>
        </w:tc>
        <w:tc>
          <w:tcPr>
            <w:tcW w:w="1237" w:type="dxa"/>
            <w:tcBorders>
              <w:top w:val="nil"/>
              <w:left w:val="nil"/>
              <w:bottom w:val="nil"/>
              <w:right w:val="nil"/>
            </w:tcBorders>
            <w:shd w:val="clear" w:color="auto" w:fill="auto"/>
            <w:noWrap/>
            <w:vAlign w:val="bottom"/>
            <w:hideMark/>
          </w:tcPr>
          <w:p w14:paraId="7B30C923"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788</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289</w:t>
            </w:r>
          </w:p>
        </w:tc>
        <w:tc>
          <w:tcPr>
            <w:tcW w:w="1134" w:type="dxa"/>
            <w:tcBorders>
              <w:top w:val="nil"/>
              <w:left w:val="nil"/>
              <w:bottom w:val="nil"/>
              <w:right w:val="nil"/>
            </w:tcBorders>
            <w:shd w:val="clear" w:color="auto" w:fill="D9D9D9" w:themeFill="background1" w:themeFillShade="D9"/>
            <w:noWrap/>
            <w:vAlign w:val="bottom"/>
            <w:hideMark/>
          </w:tcPr>
          <w:p w14:paraId="19A13DA0"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37</w:t>
            </w:r>
            <w:r w:rsidR="004B4643" w:rsidRPr="009C2B66">
              <w:rPr>
                <w:rFonts w:ascii="Calibri" w:eastAsia="Times New Roman" w:hAnsi="Calibri" w:cs="Calibri"/>
                <w:color w:val="000000"/>
              </w:rPr>
              <w:t>,</w:t>
            </w:r>
            <w:r w:rsidRPr="009C2B66">
              <w:rPr>
                <w:rFonts w:ascii="Calibri" w:eastAsia="Times New Roman" w:hAnsi="Calibri" w:cs="Calibri"/>
                <w:color w:val="000000"/>
              </w:rPr>
              <w:t>9</w:t>
            </w:r>
          </w:p>
        </w:tc>
      </w:tr>
      <w:tr w:rsidR="004B4643" w:rsidRPr="009C2B66" w14:paraId="0ACACF43" w14:textId="77777777" w:rsidTr="00B10BEB">
        <w:trPr>
          <w:trHeight w:val="405"/>
        </w:trPr>
        <w:tc>
          <w:tcPr>
            <w:tcW w:w="960" w:type="dxa"/>
            <w:vMerge/>
            <w:tcBorders>
              <w:top w:val="nil"/>
              <w:left w:val="nil"/>
              <w:bottom w:val="single" w:sz="4" w:space="0" w:color="000000"/>
              <w:right w:val="single" w:sz="4" w:space="0" w:color="auto"/>
            </w:tcBorders>
            <w:vAlign w:val="center"/>
            <w:hideMark/>
          </w:tcPr>
          <w:p w14:paraId="18D48071" w14:textId="77777777" w:rsidR="006B5D5F" w:rsidRPr="009C2B66" w:rsidRDefault="006B5D5F" w:rsidP="006B5D5F">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2B50400D"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İşsiz</w:t>
            </w:r>
          </w:p>
        </w:tc>
        <w:tc>
          <w:tcPr>
            <w:tcW w:w="1119" w:type="dxa"/>
            <w:tcBorders>
              <w:top w:val="nil"/>
              <w:left w:val="nil"/>
              <w:bottom w:val="single" w:sz="4" w:space="0" w:color="auto"/>
              <w:right w:val="nil"/>
            </w:tcBorders>
            <w:shd w:val="clear" w:color="auto" w:fill="auto"/>
            <w:noWrap/>
            <w:vAlign w:val="bottom"/>
            <w:hideMark/>
          </w:tcPr>
          <w:p w14:paraId="40B5F3C3"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129</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464</w:t>
            </w:r>
          </w:p>
        </w:tc>
        <w:tc>
          <w:tcPr>
            <w:tcW w:w="1161" w:type="dxa"/>
            <w:tcBorders>
              <w:top w:val="nil"/>
              <w:left w:val="nil"/>
              <w:bottom w:val="single" w:sz="4" w:space="0" w:color="auto"/>
              <w:right w:val="single" w:sz="4" w:space="0" w:color="auto"/>
            </w:tcBorders>
            <w:shd w:val="clear" w:color="auto" w:fill="D9D9D9" w:themeFill="background1" w:themeFillShade="D9"/>
            <w:noWrap/>
            <w:vAlign w:val="bottom"/>
            <w:hideMark/>
          </w:tcPr>
          <w:p w14:paraId="1F554CCB"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12</w:t>
            </w:r>
            <w:r w:rsidR="004B4643" w:rsidRPr="009C2B66">
              <w:rPr>
                <w:rFonts w:ascii="Calibri" w:eastAsia="Times New Roman" w:hAnsi="Calibri" w:cs="Calibri"/>
                <w:color w:val="000000"/>
              </w:rPr>
              <w:t>,</w:t>
            </w:r>
            <w:r w:rsidRPr="009C2B66">
              <w:rPr>
                <w:rFonts w:ascii="Calibri" w:eastAsia="Times New Roman" w:hAnsi="Calibri" w:cs="Calibri"/>
                <w:color w:val="000000"/>
              </w:rPr>
              <w:t>3</w:t>
            </w:r>
          </w:p>
        </w:tc>
        <w:tc>
          <w:tcPr>
            <w:tcW w:w="1107" w:type="dxa"/>
            <w:tcBorders>
              <w:top w:val="nil"/>
              <w:left w:val="nil"/>
              <w:bottom w:val="single" w:sz="4" w:space="0" w:color="auto"/>
              <w:right w:val="nil"/>
            </w:tcBorders>
            <w:shd w:val="clear" w:color="auto" w:fill="auto"/>
            <w:noWrap/>
            <w:vAlign w:val="bottom"/>
            <w:hideMark/>
          </w:tcPr>
          <w:p w14:paraId="266FD021"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65</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103</w:t>
            </w:r>
          </w:p>
        </w:tc>
        <w:tc>
          <w:tcPr>
            <w:tcW w:w="1173" w:type="dxa"/>
            <w:tcBorders>
              <w:top w:val="nil"/>
              <w:left w:val="nil"/>
              <w:bottom w:val="single" w:sz="4" w:space="0" w:color="auto"/>
              <w:right w:val="single" w:sz="4" w:space="0" w:color="auto"/>
            </w:tcBorders>
            <w:shd w:val="clear" w:color="auto" w:fill="D9D9D9" w:themeFill="background1" w:themeFillShade="D9"/>
            <w:noWrap/>
            <w:vAlign w:val="bottom"/>
            <w:hideMark/>
          </w:tcPr>
          <w:p w14:paraId="2A90474C"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6</w:t>
            </w:r>
            <w:r w:rsidR="004B4643" w:rsidRPr="009C2B66">
              <w:rPr>
                <w:rFonts w:ascii="Calibri" w:eastAsia="Times New Roman" w:hAnsi="Calibri" w:cs="Calibri"/>
                <w:color w:val="000000"/>
              </w:rPr>
              <w:t>,</w:t>
            </w:r>
            <w:r w:rsidRPr="009C2B66">
              <w:rPr>
                <w:rFonts w:ascii="Calibri" w:eastAsia="Times New Roman" w:hAnsi="Calibri" w:cs="Calibri"/>
                <w:color w:val="000000"/>
              </w:rPr>
              <w:t>3</w:t>
            </w:r>
          </w:p>
        </w:tc>
        <w:tc>
          <w:tcPr>
            <w:tcW w:w="1237" w:type="dxa"/>
            <w:tcBorders>
              <w:top w:val="nil"/>
              <w:left w:val="nil"/>
              <w:bottom w:val="single" w:sz="4" w:space="0" w:color="auto"/>
              <w:right w:val="nil"/>
            </w:tcBorders>
            <w:shd w:val="clear" w:color="auto" w:fill="auto"/>
            <w:noWrap/>
            <w:vAlign w:val="bottom"/>
            <w:hideMark/>
          </w:tcPr>
          <w:p w14:paraId="7C0C091F"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194</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567</w:t>
            </w:r>
          </w:p>
        </w:tc>
        <w:tc>
          <w:tcPr>
            <w:tcW w:w="1134" w:type="dxa"/>
            <w:tcBorders>
              <w:top w:val="nil"/>
              <w:left w:val="nil"/>
              <w:bottom w:val="single" w:sz="4" w:space="0" w:color="auto"/>
              <w:right w:val="nil"/>
            </w:tcBorders>
            <w:shd w:val="clear" w:color="auto" w:fill="D9D9D9" w:themeFill="background1" w:themeFillShade="D9"/>
            <w:noWrap/>
            <w:vAlign w:val="bottom"/>
            <w:hideMark/>
          </w:tcPr>
          <w:p w14:paraId="74C6D448"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9</w:t>
            </w:r>
            <w:r w:rsidR="004B4643" w:rsidRPr="009C2B66">
              <w:rPr>
                <w:rFonts w:ascii="Calibri" w:eastAsia="Times New Roman" w:hAnsi="Calibri" w:cs="Calibri"/>
                <w:color w:val="000000"/>
              </w:rPr>
              <w:t>,</w:t>
            </w:r>
            <w:r w:rsidRPr="009C2B66">
              <w:rPr>
                <w:rFonts w:ascii="Calibri" w:eastAsia="Times New Roman" w:hAnsi="Calibri" w:cs="Calibri"/>
                <w:color w:val="000000"/>
              </w:rPr>
              <w:t>4</w:t>
            </w:r>
          </w:p>
        </w:tc>
      </w:tr>
      <w:tr w:rsidR="004B4643" w:rsidRPr="009C2B66" w14:paraId="1F4E303F" w14:textId="77777777" w:rsidTr="00B10BEB">
        <w:trPr>
          <w:trHeight w:val="450"/>
        </w:trPr>
        <w:tc>
          <w:tcPr>
            <w:tcW w:w="2000"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217DEF9E"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İşgücü Dışı</w:t>
            </w:r>
          </w:p>
        </w:tc>
        <w:tc>
          <w:tcPr>
            <w:tcW w:w="1119"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75E55AA"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377</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453</w:t>
            </w:r>
          </w:p>
        </w:tc>
        <w:tc>
          <w:tcPr>
            <w:tcW w:w="1161" w:type="dxa"/>
            <w:vMerge w:val="restart"/>
            <w:tcBorders>
              <w:top w:val="single" w:sz="4" w:space="0" w:color="auto"/>
              <w:left w:val="nil"/>
              <w:bottom w:val="single" w:sz="4" w:space="0" w:color="000000"/>
              <w:right w:val="single" w:sz="4" w:space="0" w:color="auto"/>
            </w:tcBorders>
            <w:shd w:val="clear" w:color="auto" w:fill="D9D9D9" w:themeFill="background1" w:themeFillShade="D9"/>
            <w:noWrap/>
            <w:vAlign w:val="center"/>
            <w:hideMark/>
          </w:tcPr>
          <w:p w14:paraId="79094FB8"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35</w:t>
            </w:r>
            <w:r w:rsidR="004B4643" w:rsidRPr="009C2B66">
              <w:rPr>
                <w:rFonts w:ascii="Calibri" w:eastAsia="Times New Roman" w:hAnsi="Calibri" w:cs="Calibri"/>
                <w:color w:val="000000"/>
              </w:rPr>
              <w:t>,</w:t>
            </w:r>
            <w:r w:rsidRPr="009C2B66">
              <w:rPr>
                <w:rFonts w:ascii="Calibri" w:eastAsia="Times New Roman" w:hAnsi="Calibri" w:cs="Calibri"/>
                <w:color w:val="000000"/>
              </w:rPr>
              <w:t>9</w:t>
            </w:r>
          </w:p>
        </w:tc>
        <w:tc>
          <w:tcPr>
            <w:tcW w:w="1107"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5443483" w14:textId="77777777" w:rsidR="006B5D5F" w:rsidRPr="009C2B66" w:rsidRDefault="006B5D5F" w:rsidP="004B4643">
            <w:pPr>
              <w:spacing w:after="0" w:line="240" w:lineRule="auto"/>
              <w:rPr>
                <w:rFonts w:ascii="Calibri" w:eastAsia="Times New Roman" w:hAnsi="Calibri" w:cs="Calibri"/>
                <w:color w:val="000000"/>
              </w:rPr>
            </w:pPr>
            <w:r w:rsidRPr="009C2B66">
              <w:rPr>
                <w:rFonts w:ascii="Calibri" w:eastAsia="Times New Roman" w:hAnsi="Calibri" w:cs="Calibri"/>
                <w:color w:val="000000"/>
              </w:rPr>
              <w:t>719</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054</w:t>
            </w:r>
          </w:p>
        </w:tc>
        <w:tc>
          <w:tcPr>
            <w:tcW w:w="1173" w:type="dxa"/>
            <w:vMerge w:val="restart"/>
            <w:tcBorders>
              <w:top w:val="single" w:sz="4" w:space="0" w:color="auto"/>
              <w:left w:val="nil"/>
              <w:bottom w:val="single" w:sz="4" w:space="0" w:color="000000"/>
              <w:right w:val="single" w:sz="4" w:space="0" w:color="auto"/>
            </w:tcBorders>
            <w:shd w:val="clear" w:color="auto" w:fill="D9D9D9" w:themeFill="background1" w:themeFillShade="D9"/>
            <w:noWrap/>
            <w:vAlign w:val="center"/>
            <w:hideMark/>
          </w:tcPr>
          <w:p w14:paraId="549F6A5E"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69</w:t>
            </w:r>
            <w:r w:rsidR="004B4643" w:rsidRPr="009C2B66">
              <w:rPr>
                <w:rFonts w:ascii="Calibri" w:eastAsia="Times New Roman" w:hAnsi="Calibri" w:cs="Calibri"/>
                <w:color w:val="000000"/>
              </w:rPr>
              <w:t>,</w:t>
            </w:r>
            <w:r w:rsidRPr="009C2B66">
              <w:rPr>
                <w:rFonts w:ascii="Calibri" w:eastAsia="Times New Roman" w:hAnsi="Calibri" w:cs="Calibri"/>
                <w:color w:val="000000"/>
              </w:rPr>
              <w:t>9</w:t>
            </w:r>
          </w:p>
        </w:tc>
        <w:tc>
          <w:tcPr>
            <w:tcW w:w="1237" w:type="dxa"/>
            <w:vMerge w:val="restart"/>
            <w:tcBorders>
              <w:top w:val="single" w:sz="4" w:space="0" w:color="auto"/>
              <w:left w:val="nil"/>
              <w:bottom w:val="single" w:sz="4" w:space="0" w:color="000000"/>
              <w:right w:val="nil"/>
            </w:tcBorders>
            <w:shd w:val="clear" w:color="auto" w:fill="auto"/>
            <w:noWrap/>
            <w:vAlign w:val="center"/>
            <w:hideMark/>
          </w:tcPr>
          <w:p w14:paraId="02C07DD5" w14:textId="77777777" w:rsidR="006B5D5F" w:rsidRPr="009C2B66" w:rsidRDefault="006B5D5F" w:rsidP="004B4643">
            <w:pPr>
              <w:spacing w:after="0" w:line="240" w:lineRule="auto"/>
              <w:rPr>
                <w:rFonts w:ascii="Calibri" w:eastAsia="Times New Roman" w:hAnsi="Calibri" w:cs="Calibri"/>
                <w:color w:val="000000"/>
              </w:rPr>
            </w:pPr>
            <w:r w:rsidRPr="009C2B66">
              <w:rPr>
                <w:rFonts w:ascii="Calibri" w:eastAsia="Times New Roman" w:hAnsi="Calibri" w:cs="Calibri"/>
                <w:color w:val="000000"/>
              </w:rPr>
              <w:t>1</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096</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506</w:t>
            </w:r>
          </w:p>
        </w:tc>
        <w:tc>
          <w:tcPr>
            <w:tcW w:w="1134" w:type="dxa"/>
            <w:vMerge w:val="restart"/>
            <w:tcBorders>
              <w:top w:val="single" w:sz="4" w:space="0" w:color="auto"/>
              <w:left w:val="nil"/>
              <w:bottom w:val="single" w:sz="4" w:space="0" w:color="000000"/>
              <w:right w:val="nil"/>
            </w:tcBorders>
            <w:shd w:val="clear" w:color="auto" w:fill="D9D9D9" w:themeFill="background1" w:themeFillShade="D9"/>
            <w:noWrap/>
            <w:vAlign w:val="center"/>
            <w:hideMark/>
          </w:tcPr>
          <w:p w14:paraId="2DA7F426"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52</w:t>
            </w:r>
            <w:r w:rsidR="004B4643" w:rsidRPr="009C2B66">
              <w:rPr>
                <w:rFonts w:ascii="Calibri" w:eastAsia="Times New Roman" w:hAnsi="Calibri" w:cs="Calibri"/>
                <w:color w:val="000000"/>
              </w:rPr>
              <w:t>,</w:t>
            </w:r>
            <w:r w:rsidRPr="009C2B66">
              <w:rPr>
                <w:rFonts w:ascii="Calibri" w:eastAsia="Times New Roman" w:hAnsi="Calibri" w:cs="Calibri"/>
                <w:color w:val="000000"/>
              </w:rPr>
              <w:t>7</w:t>
            </w:r>
          </w:p>
        </w:tc>
      </w:tr>
      <w:tr w:rsidR="004B4643" w:rsidRPr="009C2B66" w14:paraId="687A80F8" w14:textId="77777777" w:rsidTr="00B10BEB">
        <w:trPr>
          <w:trHeight w:val="450"/>
        </w:trPr>
        <w:tc>
          <w:tcPr>
            <w:tcW w:w="2000" w:type="dxa"/>
            <w:gridSpan w:val="2"/>
            <w:vMerge/>
            <w:tcBorders>
              <w:top w:val="single" w:sz="4" w:space="0" w:color="auto"/>
              <w:left w:val="nil"/>
              <w:bottom w:val="single" w:sz="4" w:space="0" w:color="000000"/>
              <w:right w:val="single" w:sz="4" w:space="0" w:color="000000"/>
            </w:tcBorders>
            <w:vAlign w:val="center"/>
            <w:hideMark/>
          </w:tcPr>
          <w:p w14:paraId="159DB496" w14:textId="77777777" w:rsidR="006B5D5F" w:rsidRPr="009C2B66" w:rsidRDefault="006B5D5F" w:rsidP="006B5D5F">
            <w:pPr>
              <w:spacing w:after="0" w:line="240" w:lineRule="auto"/>
              <w:rPr>
                <w:rFonts w:ascii="Calibri" w:eastAsia="Times New Roman" w:hAnsi="Calibri" w:cs="Calibri"/>
                <w:color w:val="000000"/>
              </w:rPr>
            </w:pPr>
          </w:p>
        </w:tc>
        <w:tc>
          <w:tcPr>
            <w:tcW w:w="1119" w:type="dxa"/>
            <w:vMerge/>
            <w:tcBorders>
              <w:top w:val="nil"/>
              <w:left w:val="single" w:sz="4" w:space="0" w:color="auto"/>
              <w:bottom w:val="single" w:sz="4" w:space="0" w:color="000000"/>
              <w:right w:val="nil"/>
            </w:tcBorders>
            <w:vAlign w:val="center"/>
            <w:hideMark/>
          </w:tcPr>
          <w:p w14:paraId="5E258DD8" w14:textId="77777777" w:rsidR="006B5D5F" w:rsidRPr="009C2B66" w:rsidRDefault="006B5D5F" w:rsidP="006B5D5F">
            <w:pPr>
              <w:spacing w:after="0" w:line="240" w:lineRule="auto"/>
              <w:rPr>
                <w:rFonts w:ascii="Calibri" w:eastAsia="Times New Roman" w:hAnsi="Calibri" w:cs="Calibri"/>
                <w:color w:val="000000"/>
              </w:rPr>
            </w:pPr>
          </w:p>
        </w:tc>
        <w:tc>
          <w:tcPr>
            <w:tcW w:w="1161" w:type="dxa"/>
            <w:vMerge/>
            <w:tcBorders>
              <w:top w:val="nil"/>
              <w:left w:val="nil"/>
              <w:bottom w:val="single" w:sz="4" w:space="0" w:color="000000"/>
              <w:right w:val="single" w:sz="4" w:space="0" w:color="auto"/>
            </w:tcBorders>
            <w:shd w:val="clear" w:color="auto" w:fill="D9D9D9" w:themeFill="background1" w:themeFillShade="D9"/>
            <w:vAlign w:val="center"/>
            <w:hideMark/>
          </w:tcPr>
          <w:p w14:paraId="61BF8FE0" w14:textId="77777777" w:rsidR="006B5D5F" w:rsidRPr="009C2B66" w:rsidRDefault="006B5D5F" w:rsidP="006B5D5F">
            <w:pPr>
              <w:spacing w:after="0" w:line="240" w:lineRule="auto"/>
              <w:rPr>
                <w:rFonts w:ascii="Calibri" w:eastAsia="Times New Roman" w:hAnsi="Calibri" w:cs="Calibri"/>
                <w:color w:val="000000"/>
              </w:rPr>
            </w:pPr>
          </w:p>
        </w:tc>
        <w:tc>
          <w:tcPr>
            <w:tcW w:w="1107" w:type="dxa"/>
            <w:vMerge/>
            <w:tcBorders>
              <w:top w:val="nil"/>
              <w:left w:val="single" w:sz="4" w:space="0" w:color="auto"/>
              <w:bottom w:val="single" w:sz="4" w:space="0" w:color="000000"/>
              <w:right w:val="nil"/>
            </w:tcBorders>
            <w:vAlign w:val="center"/>
            <w:hideMark/>
          </w:tcPr>
          <w:p w14:paraId="0CFF809C" w14:textId="77777777" w:rsidR="006B5D5F" w:rsidRPr="009C2B66" w:rsidRDefault="006B5D5F" w:rsidP="006B5D5F">
            <w:pPr>
              <w:spacing w:after="0" w:line="240" w:lineRule="auto"/>
              <w:rPr>
                <w:rFonts w:ascii="Calibri" w:eastAsia="Times New Roman" w:hAnsi="Calibri" w:cs="Calibri"/>
                <w:color w:val="000000"/>
              </w:rPr>
            </w:pPr>
          </w:p>
        </w:tc>
        <w:tc>
          <w:tcPr>
            <w:tcW w:w="1173" w:type="dxa"/>
            <w:vMerge/>
            <w:tcBorders>
              <w:top w:val="nil"/>
              <w:left w:val="nil"/>
              <w:bottom w:val="single" w:sz="4" w:space="0" w:color="000000"/>
              <w:right w:val="single" w:sz="4" w:space="0" w:color="auto"/>
            </w:tcBorders>
            <w:shd w:val="clear" w:color="auto" w:fill="D9D9D9" w:themeFill="background1" w:themeFillShade="D9"/>
            <w:vAlign w:val="center"/>
            <w:hideMark/>
          </w:tcPr>
          <w:p w14:paraId="40F59A4B" w14:textId="77777777" w:rsidR="006B5D5F" w:rsidRPr="009C2B66" w:rsidRDefault="006B5D5F" w:rsidP="006B5D5F">
            <w:pPr>
              <w:spacing w:after="0" w:line="240" w:lineRule="auto"/>
              <w:rPr>
                <w:rFonts w:ascii="Calibri" w:eastAsia="Times New Roman" w:hAnsi="Calibri" w:cs="Calibri"/>
                <w:color w:val="000000"/>
              </w:rPr>
            </w:pPr>
          </w:p>
        </w:tc>
        <w:tc>
          <w:tcPr>
            <w:tcW w:w="1237" w:type="dxa"/>
            <w:vMerge/>
            <w:tcBorders>
              <w:top w:val="nil"/>
              <w:left w:val="nil"/>
              <w:bottom w:val="single" w:sz="4" w:space="0" w:color="000000"/>
              <w:right w:val="nil"/>
            </w:tcBorders>
            <w:vAlign w:val="center"/>
            <w:hideMark/>
          </w:tcPr>
          <w:p w14:paraId="292CFCE0" w14:textId="77777777" w:rsidR="006B5D5F" w:rsidRPr="009C2B66" w:rsidRDefault="006B5D5F" w:rsidP="006B5D5F">
            <w:pPr>
              <w:spacing w:after="0" w:line="240" w:lineRule="auto"/>
              <w:rPr>
                <w:rFonts w:ascii="Calibri" w:eastAsia="Times New Roman" w:hAnsi="Calibri" w:cs="Calibri"/>
                <w:color w:val="000000"/>
              </w:rPr>
            </w:pPr>
          </w:p>
        </w:tc>
        <w:tc>
          <w:tcPr>
            <w:tcW w:w="1134" w:type="dxa"/>
            <w:vMerge/>
            <w:tcBorders>
              <w:top w:val="nil"/>
              <w:left w:val="nil"/>
              <w:bottom w:val="single" w:sz="4" w:space="0" w:color="000000"/>
              <w:right w:val="nil"/>
            </w:tcBorders>
            <w:shd w:val="clear" w:color="auto" w:fill="D9D9D9" w:themeFill="background1" w:themeFillShade="D9"/>
            <w:vAlign w:val="center"/>
            <w:hideMark/>
          </w:tcPr>
          <w:p w14:paraId="3DEDD7BF" w14:textId="77777777" w:rsidR="006B5D5F" w:rsidRPr="009C2B66" w:rsidRDefault="006B5D5F" w:rsidP="006B5D5F">
            <w:pPr>
              <w:spacing w:after="0" w:line="240" w:lineRule="auto"/>
              <w:rPr>
                <w:rFonts w:ascii="Calibri" w:eastAsia="Times New Roman" w:hAnsi="Calibri" w:cs="Calibri"/>
                <w:color w:val="000000"/>
              </w:rPr>
            </w:pPr>
          </w:p>
        </w:tc>
      </w:tr>
      <w:tr w:rsidR="004B4643" w:rsidRPr="009C2B66" w14:paraId="291A3ADC" w14:textId="77777777" w:rsidTr="005E6746">
        <w:trPr>
          <w:trHeight w:val="302"/>
        </w:trPr>
        <w:tc>
          <w:tcPr>
            <w:tcW w:w="2000" w:type="dxa"/>
            <w:gridSpan w:val="2"/>
            <w:tcBorders>
              <w:top w:val="nil"/>
              <w:left w:val="nil"/>
              <w:bottom w:val="nil"/>
              <w:right w:val="single" w:sz="4" w:space="0" w:color="000000"/>
            </w:tcBorders>
            <w:shd w:val="clear" w:color="auto" w:fill="auto"/>
            <w:noWrap/>
            <w:vAlign w:val="bottom"/>
            <w:hideMark/>
          </w:tcPr>
          <w:p w14:paraId="3EB287FB"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Total</w:t>
            </w:r>
          </w:p>
        </w:tc>
        <w:tc>
          <w:tcPr>
            <w:tcW w:w="1119" w:type="dxa"/>
            <w:tcBorders>
              <w:top w:val="nil"/>
              <w:left w:val="nil"/>
              <w:bottom w:val="nil"/>
              <w:right w:val="nil"/>
            </w:tcBorders>
            <w:shd w:val="clear" w:color="auto" w:fill="auto"/>
            <w:noWrap/>
            <w:vAlign w:val="bottom"/>
            <w:hideMark/>
          </w:tcPr>
          <w:p w14:paraId="62177283"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1</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050</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802</w:t>
            </w:r>
          </w:p>
        </w:tc>
        <w:tc>
          <w:tcPr>
            <w:tcW w:w="1161" w:type="dxa"/>
            <w:tcBorders>
              <w:top w:val="nil"/>
              <w:left w:val="nil"/>
              <w:bottom w:val="nil"/>
              <w:right w:val="single" w:sz="4" w:space="0" w:color="auto"/>
            </w:tcBorders>
            <w:shd w:val="clear" w:color="auto" w:fill="D9D9D9" w:themeFill="background1" w:themeFillShade="D9"/>
            <w:noWrap/>
            <w:vAlign w:val="bottom"/>
            <w:hideMark/>
          </w:tcPr>
          <w:p w14:paraId="3890EC9F"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100</w:t>
            </w:r>
            <w:r w:rsidR="004B4643" w:rsidRPr="009C2B66">
              <w:rPr>
                <w:rFonts w:ascii="Calibri" w:eastAsia="Times New Roman" w:hAnsi="Calibri" w:cs="Calibri"/>
                <w:color w:val="000000"/>
              </w:rPr>
              <w:t>,</w:t>
            </w:r>
            <w:r w:rsidRPr="009C2B66">
              <w:rPr>
                <w:rFonts w:ascii="Calibri" w:eastAsia="Times New Roman" w:hAnsi="Calibri" w:cs="Calibri"/>
                <w:color w:val="000000"/>
              </w:rPr>
              <w:t>0</w:t>
            </w:r>
          </w:p>
        </w:tc>
        <w:tc>
          <w:tcPr>
            <w:tcW w:w="1107" w:type="dxa"/>
            <w:tcBorders>
              <w:top w:val="nil"/>
              <w:left w:val="nil"/>
              <w:bottom w:val="nil"/>
              <w:right w:val="nil"/>
            </w:tcBorders>
            <w:shd w:val="clear" w:color="auto" w:fill="auto"/>
            <w:noWrap/>
            <w:vAlign w:val="bottom"/>
            <w:hideMark/>
          </w:tcPr>
          <w:p w14:paraId="2AD27238"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1</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028</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560</w:t>
            </w:r>
          </w:p>
        </w:tc>
        <w:tc>
          <w:tcPr>
            <w:tcW w:w="1173" w:type="dxa"/>
            <w:tcBorders>
              <w:top w:val="nil"/>
              <w:left w:val="nil"/>
              <w:bottom w:val="nil"/>
              <w:right w:val="single" w:sz="4" w:space="0" w:color="auto"/>
            </w:tcBorders>
            <w:shd w:val="clear" w:color="auto" w:fill="D9D9D9" w:themeFill="background1" w:themeFillShade="D9"/>
            <w:noWrap/>
            <w:vAlign w:val="bottom"/>
            <w:hideMark/>
          </w:tcPr>
          <w:p w14:paraId="66749BBE"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100</w:t>
            </w:r>
            <w:r w:rsidR="004B4643" w:rsidRPr="009C2B66">
              <w:rPr>
                <w:rFonts w:ascii="Calibri" w:eastAsia="Times New Roman" w:hAnsi="Calibri" w:cs="Calibri"/>
                <w:color w:val="000000"/>
              </w:rPr>
              <w:t>,</w:t>
            </w:r>
            <w:r w:rsidRPr="009C2B66">
              <w:rPr>
                <w:rFonts w:ascii="Calibri" w:eastAsia="Times New Roman" w:hAnsi="Calibri" w:cs="Calibri"/>
                <w:color w:val="000000"/>
              </w:rPr>
              <w:t>0</w:t>
            </w:r>
          </w:p>
        </w:tc>
        <w:tc>
          <w:tcPr>
            <w:tcW w:w="1237" w:type="dxa"/>
            <w:tcBorders>
              <w:top w:val="nil"/>
              <w:left w:val="nil"/>
              <w:bottom w:val="nil"/>
              <w:right w:val="nil"/>
            </w:tcBorders>
            <w:shd w:val="clear" w:color="auto" w:fill="auto"/>
            <w:noWrap/>
            <w:vAlign w:val="bottom"/>
            <w:hideMark/>
          </w:tcPr>
          <w:p w14:paraId="2287BA37" w14:textId="77777777" w:rsidR="006B5D5F" w:rsidRPr="009C2B66" w:rsidRDefault="006B5D5F" w:rsidP="006B5D5F">
            <w:pPr>
              <w:spacing w:after="0" w:line="240" w:lineRule="auto"/>
              <w:rPr>
                <w:rFonts w:ascii="Calibri" w:eastAsia="Times New Roman" w:hAnsi="Calibri" w:cs="Calibri"/>
                <w:color w:val="000000"/>
              </w:rPr>
            </w:pPr>
            <w:r w:rsidRPr="009C2B66">
              <w:rPr>
                <w:rFonts w:ascii="Calibri" w:eastAsia="Times New Roman" w:hAnsi="Calibri" w:cs="Calibri"/>
                <w:color w:val="000000"/>
              </w:rPr>
              <w:t>2</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079</w:t>
            </w:r>
            <w:r w:rsidR="004B4643" w:rsidRPr="009C2B66">
              <w:rPr>
                <w:rFonts w:ascii="Calibri" w:eastAsia="Times New Roman" w:hAnsi="Calibri" w:cs="Calibri"/>
                <w:color w:val="000000"/>
              </w:rPr>
              <w:t xml:space="preserve"> </w:t>
            </w:r>
            <w:r w:rsidRPr="009C2B66">
              <w:rPr>
                <w:rFonts w:ascii="Calibri" w:eastAsia="Times New Roman" w:hAnsi="Calibri" w:cs="Calibri"/>
                <w:color w:val="000000"/>
              </w:rPr>
              <w:t>362</w:t>
            </w:r>
          </w:p>
        </w:tc>
        <w:tc>
          <w:tcPr>
            <w:tcW w:w="1134" w:type="dxa"/>
            <w:tcBorders>
              <w:top w:val="nil"/>
              <w:left w:val="nil"/>
              <w:bottom w:val="nil"/>
              <w:right w:val="nil"/>
            </w:tcBorders>
            <w:shd w:val="clear" w:color="auto" w:fill="D9D9D9" w:themeFill="background1" w:themeFillShade="D9"/>
            <w:noWrap/>
            <w:vAlign w:val="bottom"/>
            <w:hideMark/>
          </w:tcPr>
          <w:p w14:paraId="4BFFA2ED" w14:textId="77777777" w:rsidR="006B5D5F" w:rsidRPr="009C2B66" w:rsidRDefault="006B5D5F" w:rsidP="006B5D5F">
            <w:pPr>
              <w:spacing w:after="0" w:line="240" w:lineRule="auto"/>
              <w:jc w:val="center"/>
              <w:rPr>
                <w:rFonts w:ascii="Calibri" w:eastAsia="Times New Roman" w:hAnsi="Calibri" w:cs="Calibri"/>
                <w:color w:val="000000"/>
              </w:rPr>
            </w:pPr>
            <w:r w:rsidRPr="009C2B66">
              <w:rPr>
                <w:rFonts w:ascii="Calibri" w:eastAsia="Times New Roman" w:hAnsi="Calibri" w:cs="Calibri"/>
                <w:color w:val="000000"/>
              </w:rPr>
              <w:t>100</w:t>
            </w:r>
            <w:r w:rsidR="004B4643" w:rsidRPr="009C2B66">
              <w:rPr>
                <w:rFonts w:ascii="Calibri" w:eastAsia="Times New Roman" w:hAnsi="Calibri" w:cs="Calibri"/>
                <w:color w:val="000000"/>
              </w:rPr>
              <w:t>,</w:t>
            </w:r>
            <w:r w:rsidRPr="009C2B66">
              <w:rPr>
                <w:rFonts w:ascii="Calibri" w:eastAsia="Times New Roman" w:hAnsi="Calibri" w:cs="Calibri"/>
                <w:color w:val="000000"/>
              </w:rPr>
              <w:t>0</w:t>
            </w:r>
          </w:p>
        </w:tc>
      </w:tr>
    </w:tbl>
    <w:p w14:paraId="6E50DED0" w14:textId="29C4B792" w:rsidR="006B5D5F" w:rsidRPr="009C2B66" w:rsidRDefault="005E6746" w:rsidP="00207039">
      <w:pPr>
        <w:jc w:val="both"/>
        <w:rPr>
          <w:rFonts w:cstheme="minorHAnsi"/>
        </w:rPr>
      </w:pPr>
      <w:r w:rsidRPr="009C2B66">
        <w:rPr>
          <w:rFonts w:cstheme="minorHAnsi"/>
        </w:rPr>
        <w:t xml:space="preserve">Kaynak: </w:t>
      </w:r>
      <w:r>
        <w:rPr>
          <w:rFonts w:cstheme="minorHAnsi"/>
        </w:rPr>
        <w:t>Hanehalkı İşgücü Anketi, 2017; Betam hesaplamaları</w:t>
      </w:r>
    </w:p>
    <w:p w14:paraId="48AF7187" w14:textId="3732CA91" w:rsidR="000339E7" w:rsidRPr="009C2B66" w:rsidRDefault="003F135C" w:rsidP="00207039">
      <w:pPr>
        <w:jc w:val="both"/>
        <w:rPr>
          <w:rFonts w:cstheme="minorHAnsi"/>
        </w:rPr>
      </w:pPr>
      <w:r w:rsidRPr="009C2B66">
        <w:rPr>
          <w:rFonts w:cstheme="minorHAnsi"/>
        </w:rPr>
        <w:t>2017 yılında eğitimine devam etmeyen gençlerin yarısının işgücü piyasası dışında olduğu görülmektedir</w:t>
      </w:r>
      <w:r w:rsidR="000339E7" w:rsidRPr="009C2B66">
        <w:rPr>
          <w:rFonts w:cstheme="minorHAnsi"/>
        </w:rPr>
        <w:t xml:space="preserve">. </w:t>
      </w:r>
      <w:r w:rsidRPr="009C2B66">
        <w:rPr>
          <w:rFonts w:cstheme="minorHAnsi"/>
        </w:rPr>
        <w:t xml:space="preserve">İşgücü piyasasına katılımda toplumsal cinsiyet rollerinin belirleyici olduğu göze çarpmaktadır. Eğitimine devam etmeyen erkeklerin yüzde 35,9’u, kadınların ise neredeyse yüzde 70’i işgücü piyasası dışındadır. </w:t>
      </w:r>
      <w:r w:rsidR="002431D2" w:rsidRPr="009C2B66">
        <w:rPr>
          <w:rFonts w:cstheme="minorHAnsi"/>
        </w:rPr>
        <w:t>Eğitim hayatına devam etmeyip i</w:t>
      </w:r>
      <w:r w:rsidR="000339E7" w:rsidRPr="009C2B66">
        <w:rPr>
          <w:rFonts w:cstheme="minorHAnsi"/>
        </w:rPr>
        <w:t>ş</w:t>
      </w:r>
      <w:r w:rsidR="002431D2" w:rsidRPr="009C2B66">
        <w:rPr>
          <w:rFonts w:cstheme="minorHAnsi"/>
        </w:rPr>
        <w:t>gücü piyasasına girmiş</w:t>
      </w:r>
      <w:r w:rsidR="000339E7" w:rsidRPr="009C2B66">
        <w:rPr>
          <w:rFonts w:cstheme="minorHAnsi"/>
        </w:rPr>
        <w:t xml:space="preserve"> olan genç erkekler arasında işsizlik oranı yüzde 19,2 iken genç kadınlarda bu oran yüzde 21’i çıkmaktadır. </w:t>
      </w:r>
      <w:r w:rsidR="00A377DB" w:rsidRPr="009C2B66">
        <w:rPr>
          <w:rStyle w:val="FootnoteReference"/>
          <w:rFonts w:cstheme="minorHAnsi"/>
        </w:rPr>
        <w:footnoteReference w:id="3"/>
      </w:r>
    </w:p>
    <w:p w14:paraId="7AD40B31" w14:textId="77777777" w:rsidR="00351C6F" w:rsidRPr="009C2B66" w:rsidRDefault="00351C6F" w:rsidP="00207039">
      <w:pPr>
        <w:jc w:val="both"/>
        <w:rPr>
          <w:rFonts w:cstheme="minorHAnsi"/>
          <w:b/>
        </w:rPr>
      </w:pPr>
      <w:r w:rsidRPr="009C2B66">
        <w:rPr>
          <w:rFonts w:cstheme="minorHAnsi"/>
          <w:b/>
        </w:rPr>
        <w:lastRenderedPageBreak/>
        <w:t>Genç işsizliği</w:t>
      </w:r>
    </w:p>
    <w:p w14:paraId="33BE5907" w14:textId="6BE2EBF8" w:rsidR="00351C6F" w:rsidRPr="009C2B66" w:rsidRDefault="00351C6F" w:rsidP="001C7027">
      <w:pPr>
        <w:jc w:val="both"/>
        <w:rPr>
          <w:rFonts w:cstheme="minorHAnsi"/>
          <w:color w:val="FF0000"/>
        </w:rPr>
      </w:pPr>
      <w:r w:rsidRPr="009C2B66">
        <w:rPr>
          <w:rFonts w:cstheme="minorHAnsi"/>
        </w:rPr>
        <w:t xml:space="preserve">Şekil 4, 2017 yılında Türkiye ve bazı OECD ülkelerindeki </w:t>
      </w:r>
      <w:r w:rsidR="007764AB" w:rsidRPr="009C2B66">
        <w:rPr>
          <w:rFonts w:cstheme="minorHAnsi"/>
        </w:rPr>
        <w:t xml:space="preserve">15-24 yaş aralığındaki </w:t>
      </w:r>
      <w:r w:rsidRPr="009C2B66">
        <w:rPr>
          <w:rFonts w:cstheme="minorHAnsi"/>
        </w:rPr>
        <w:t xml:space="preserve">genç işsizlik oranlarını göstermektedir. </w:t>
      </w:r>
      <w:r w:rsidR="001C7027" w:rsidRPr="009C2B66">
        <w:rPr>
          <w:rFonts w:cstheme="minorHAnsi"/>
        </w:rPr>
        <w:t xml:space="preserve">Yunanistan genç işsizlikte </w:t>
      </w:r>
      <w:r w:rsidR="00DE3283" w:rsidRPr="009C2B66">
        <w:rPr>
          <w:rFonts w:cstheme="minorHAnsi"/>
        </w:rPr>
        <w:t xml:space="preserve">yüzde </w:t>
      </w:r>
      <w:r w:rsidR="001C7027" w:rsidRPr="009C2B66">
        <w:rPr>
          <w:rFonts w:cstheme="minorHAnsi"/>
        </w:rPr>
        <w:t xml:space="preserve">43,6 ile başı çekmektedir. Onu </w:t>
      </w:r>
      <w:r w:rsidR="00DE3283" w:rsidRPr="009C2B66">
        <w:rPr>
          <w:rFonts w:cstheme="minorHAnsi"/>
        </w:rPr>
        <w:t xml:space="preserve">yüzde </w:t>
      </w:r>
      <w:r w:rsidR="001C7027" w:rsidRPr="009C2B66">
        <w:rPr>
          <w:rFonts w:cstheme="minorHAnsi"/>
        </w:rPr>
        <w:t xml:space="preserve">38,7 ile İspanya ve </w:t>
      </w:r>
      <w:r w:rsidR="00DE3283" w:rsidRPr="009C2B66">
        <w:rPr>
          <w:rFonts w:cstheme="minorHAnsi"/>
        </w:rPr>
        <w:t xml:space="preserve">yüzde </w:t>
      </w:r>
      <w:r w:rsidR="001C7027" w:rsidRPr="009C2B66">
        <w:rPr>
          <w:rFonts w:cstheme="minorHAnsi"/>
        </w:rPr>
        <w:t xml:space="preserve">34,8 ile İtalya takip etmektedir. Türkiye’de ise genç işsizlik oranı </w:t>
      </w:r>
      <w:r w:rsidR="00DE3283" w:rsidRPr="009C2B66">
        <w:rPr>
          <w:rFonts w:cstheme="minorHAnsi"/>
        </w:rPr>
        <w:t xml:space="preserve">yüzde </w:t>
      </w:r>
      <w:r w:rsidR="001C7027" w:rsidRPr="009C2B66">
        <w:rPr>
          <w:rFonts w:cstheme="minorHAnsi"/>
        </w:rPr>
        <w:t xml:space="preserve">20,6 ile bu ülkelerden düşük olmasına rağmen </w:t>
      </w:r>
      <w:r w:rsidR="00DE3283" w:rsidRPr="009C2B66">
        <w:rPr>
          <w:rFonts w:cstheme="minorHAnsi"/>
        </w:rPr>
        <w:t xml:space="preserve">yüzde </w:t>
      </w:r>
      <w:r w:rsidR="001C7027" w:rsidRPr="009C2B66">
        <w:rPr>
          <w:rFonts w:cstheme="minorHAnsi"/>
        </w:rPr>
        <w:t>11,9 olan OECD ortalamasının üzerindedir.</w:t>
      </w:r>
      <w:r w:rsidR="001B6DC8" w:rsidRPr="009C2B66">
        <w:rPr>
          <w:rFonts w:cstheme="minorHAnsi"/>
        </w:rPr>
        <w:t xml:space="preserve"> </w:t>
      </w:r>
    </w:p>
    <w:p w14:paraId="286A2FB2" w14:textId="77777777" w:rsidR="007764AB" w:rsidRPr="009C2B66" w:rsidRDefault="007764AB" w:rsidP="00207039">
      <w:pPr>
        <w:jc w:val="both"/>
        <w:rPr>
          <w:rFonts w:cstheme="minorHAnsi"/>
        </w:rPr>
      </w:pPr>
      <w:r w:rsidRPr="009C2B66">
        <w:rPr>
          <w:rFonts w:cstheme="minorHAnsi"/>
        </w:rPr>
        <w:t>Şekil 4: Türkiye ve bazı OECD ülkelerinde 15-24 yaş genç işsizliği, 2017</w:t>
      </w:r>
    </w:p>
    <w:p w14:paraId="0CB48474" w14:textId="101654CF" w:rsidR="007764AB" w:rsidRPr="009C2B66" w:rsidRDefault="007764AB" w:rsidP="00207039">
      <w:pPr>
        <w:jc w:val="both"/>
        <w:rPr>
          <w:rFonts w:cstheme="minorHAnsi"/>
        </w:rPr>
      </w:pPr>
      <w:r w:rsidRPr="009C2B66">
        <w:rPr>
          <w:rFonts w:cstheme="minorHAnsi"/>
          <w:noProof/>
          <w:lang w:val="en-GB" w:eastAsia="en-GB"/>
        </w:rPr>
        <w:drawing>
          <wp:inline distT="0" distB="0" distL="0" distR="0" wp14:anchorId="0BAD668F" wp14:editId="16443C17">
            <wp:extent cx="5546785" cy="3053751"/>
            <wp:effectExtent l="0" t="0" r="1587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E6746">
        <w:rPr>
          <w:rFonts w:cstheme="minorHAnsi"/>
        </w:rPr>
        <w:br/>
        <w:t>Kaynak: OECD</w:t>
      </w:r>
    </w:p>
    <w:p w14:paraId="0449FFE1" w14:textId="77777777" w:rsidR="00840ED3" w:rsidRPr="009C2B66" w:rsidRDefault="00840ED3" w:rsidP="00207039">
      <w:pPr>
        <w:jc w:val="both"/>
        <w:rPr>
          <w:rFonts w:cstheme="minorHAnsi"/>
        </w:rPr>
      </w:pPr>
    </w:p>
    <w:p w14:paraId="25EA14E2" w14:textId="77777777" w:rsidR="00351C6F" w:rsidRPr="009C2B66" w:rsidRDefault="00D62071" w:rsidP="00207039">
      <w:pPr>
        <w:jc w:val="both"/>
        <w:rPr>
          <w:rFonts w:cstheme="minorHAnsi"/>
        </w:rPr>
      </w:pPr>
      <w:r w:rsidRPr="009C2B66">
        <w:rPr>
          <w:rFonts w:cstheme="minorHAnsi"/>
        </w:rPr>
        <w:t>OECD genç işsizliğini 15-19 yaş kırılımında vermemektedir. 2012-2017 Hanehalkı İşgücü Anketini kullanarak bu yaş grubu için hesapladığımız işsizlik oranları</w:t>
      </w:r>
      <w:r w:rsidR="00952C55" w:rsidRPr="009C2B66">
        <w:rPr>
          <w:rFonts w:cstheme="minorHAnsi"/>
        </w:rPr>
        <w:t xml:space="preserve"> seyri</w:t>
      </w:r>
      <w:r w:rsidRPr="009C2B66">
        <w:rPr>
          <w:rFonts w:cstheme="minorHAnsi"/>
        </w:rPr>
        <w:t xml:space="preserve"> Şekil 5’teki gibidir. </w:t>
      </w:r>
    </w:p>
    <w:p w14:paraId="202FFA25" w14:textId="4ABD6AA1" w:rsidR="00207039" w:rsidRPr="009C2B66" w:rsidRDefault="00D62071" w:rsidP="00207039">
      <w:pPr>
        <w:jc w:val="both"/>
        <w:rPr>
          <w:rFonts w:cstheme="minorHAnsi"/>
        </w:rPr>
      </w:pPr>
      <w:r w:rsidRPr="009C2B66">
        <w:rPr>
          <w:rFonts w:cstheme="minorHAnsi"/>
        </w:rPr>
        <w:t>Şekil 5</w:t>
      </w:r>
      <w:r w:rsidR="00207039" w:rsidRPr="009C2B66">
        <w:rPr>
          <w:rFonts w:cstheme="minorHAnsi"/>
        </w:rPr>
        <w:t>: 15- 19 yaş aralığındaki gençleri</w:t>
      </w:r>
      <w:r w:rsidR="00B10BEB" w:rsidRPr="009C2B66">
        <w:rPr>
          <w:rFonts w:cstheme="minorHAnsi"/>
        </w:rPr>
        <w:t>n</w:t>
      </w:r>
      <w:r w:rsidR="00207039" w:rsidRPr="009C2B66">
        <w:rPr>
          <w:rFonts w:cstheme="minorHAnsi"/>
        </w:rPr>
        <w:t xml:space="preserve"> işsizlik oranları</w:t>
      </w:r>
    </w:p>
    <w:p w14:paraId="6B9C2153" w14:textId="4C21E615" w:rsidR="00207039" w:rsidRPr="009C2B66" w:rsidRDefault="00207039" w:rsidP="00207039">
      <w:pPr>
        <w:jc w:val="both"/>
        <w:rPr>
          <w:rFonts w:cstheme="minorHAnsi"/>
        </w:rPr>
      </w:pPr>
      <w:r w:rsidRPr="009C2B66">
        <w:rPr>
          <w:rFonts w:cstheme="minorHAnsi"/>
          <w:noProof/>
          <w:lang w:val="en-GB" w:eastAsia="en-GB"/>
        </w:rPr>
        <w:drawing>
          <wp:inline distT="0" distB="0" distL="0" distR="0" wp14:anchorId="52C2046A" wp14:editId="783029FA">
            <wp:extent cx="5760720" cy="2383790"/>
            <wp:effectExtent l="0" t="0" r="11430" b="1651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E6746">
        <w:rPr>
          <w:rFonts w:cstheme="minorHAnsi"/>
        </w:rPr>
        <w:br/>
        <w:t>Kaynak: Hanehalkı İşgücü Anketi, 2012-2017; Betam hesaplamaları</w:t>
      </w:r>
    </w:p>
    <w:p w14:paraId="5FB75CB8" w14:textId="2969DAED" w:rsidR="00207039" w:rsidRPr="009C2B66" w:rsidRDefault="00840ED3" w:rsidP="00207039">
      <w:pPr>
        <w:jc w:val="both"/>
        <w:rPr>
          <w:rFonts w:cstheme="minorHAnsi"/>
        </w:rPr>
      </w:pPr>
      <w:r w:rsidRPr="009C2B66">
        <w:rPr>
          <w:rFonts w:cstheme="minorHAnsi"/>
        </w:rPr>
        <w:lastRenderedPageBreak/>
        <w:t xml:space="preserve">2012 yılında </w:t>
      </w:r>
      <w:r w:rsidR="00413937" w:rsidRPr="009C2B66">
        <w:rPr>
          <w:rFonts w:cstheme="minorHAnsi"/>
        </w:rPr>
        <w:t xml:space="preserve">yüzde </w:t>
      </w:r>
      <w:r w:rsidRPr="009C2B66">
        <w:rPr>
          <w:rFonts w:cstheme="minorHAnsi"/>
        </w:rPr>
        <w:t xml:space="preserve">14,9 olan hem erkek hem kadın genç işsizlik oranları inişli çıkışlı bir seyir izleyerek 2017 yılında kadınlar için </w:t>
      </w:r>
      <w:r w:rsidR="00413937" w:rsidRPr="009C2B66">
        <w:rPr>
          <w:rFonts w:cstheme="minorHAnsi"/>
        </w:rPr>
        <w:t xml:space="preserve">yüzde </w:t>
      </w:r>
      <w:r w:rsidRPr="009C2B66">
        <w:rPr>
          <w:rFonts w:cstheme="minorHAnsi"/>
        </w:rPr>
        <w:t xml:space="preserve">18,3, erkekler için ise </w:t>
      </w:r>
      <w:r w:rsidR="00413937" w:rsidRPr="009C2B66">
        <w:rPr>
          <w:rFonts w:cstheme="minorHAnsi"/>
        </w:rPr>
        <w:t xml:space="preserve">yüzde </w:t>
      </w:r>
      <w:r w:rsidRPr="009C2B66">
        <w:rPr>
          <w:rFonts w:cstheme="minorHAnsi"/>
        </w:rPr>
        <w:t xml:space="preserve">16,5 olmuştur. </w:t>
      </w:r>
      <w:r w:rsidR="00D83E8F" w:rsidRPr="009C2B66">
        <w:rPr>
          <w:rStyle w:val="FootnoteReference"/>
          <w:rFonts w:cstheme="minorHAnsi"/>
        </w:rPr>
        <w:footnoteReference w:id="4"/>
      </w:r>
      <w:r w:rsidRPr="009C2B66">
        <w:rPr>
          <w:rFonts w:cstheme="minorHAnsi"/>
        </w:rPr>
        <w:t xml:space="preserve"> </w:t>
      </w:r>
      <w:r w:rsidR="00207039" w:rsidRPr="009C2B66">
        <w:rPr>
          <w:rFonts w:cstheme="minorHAnsi"/>
        </w:rPr>
        <w:t>2017 yılında g</w:t>
      </w:r>
      <w:r w:rsidR="004F49D8" w:rsidRPr="009C2B66">
        <w:rPr>
          <w:rFonts w:cstheme="minorHAnsi"/>
        </w:rPr>
        <w:t>örülen işsizlik oranlarındaki</w:t>
      </w:r>
      <w:r w:rsidR="00207039" w:rsidRPr="009C2B66">
        <w:rPr>
          <w:rFonts w:cstheme="minorHAnsi"/>
        </w:rPr>
        <w:t xml:space="preserve"> artış, 2017 yılında eğitimine devam eden gençlerin oranlarındaki azalış ile birlikte okunduğunda, eğitimden çıkan bu gençlerin işsiz kaldığı ve 2017 yılında 15-19 yaş aralığındaki gençlerin NENİ oranını yükselttiği şeklinde yorumlanabilir. </w:t>
      </w:r>
    </w:p>
    <w:p w14:paraId="186CEA85" w14:textId="77777777" w:rsidR="001611CF" w:rsidRPr="009C2B66" w:rsidRDefault="00292BC7" w:rsidP="00207039">
      <w:pPr>
        <w:jc w:val="both"/>
        <w:rPr>
          <w:rFonts w:cstheme="minorHAnsi"/>
          <w:b/>
        </w:rPr>
      </w:pPr>
      <w:r w:rsidRPr="009C2B66">
        <w:rPr>
          <w:rFonts w:cstheme="minorHAnsi"/>
          <w:b/>
        </w:rPr>
        <w:t>Ne eğitimde ne istihdamda (NENİ)</w:t>
      </w:r>
    </w:p>
    <w:p w14:paraId="256DA478" w14:textId="77777777" w:rsidR="006261EE" w:rsidRPr="009C2B66" w:rsidRDefault="006261EE" w:rsidP="006261EE">
      <w:pPr>
        <w:jc w:val="both"/>
        <w:rPr>
          <w:rFonts w:cstheme="minorHAnsi"/>
        </w:rPr>
      </w:pPr>
      <w:r w:rsidRPr="009C2B66">
        <w:rPr>
          <w:rFonts w:cstheme="minorHAnsi"/>
        </w:rPr>
        <w:t xml:space="preserve">15-19 yaş aralığında ne eğitimde ne istihdamda olan gençlerin sayıları ve oranı </w:t>
      </w:r>
      <w:r w:rsidR="002E1939" w:rsidRPr="009C2B66">
        <w:rPr>
          <w:rFonts w:cstheme="minorHAnsi"/>
        </w:rPr>
        <w:t>Tablo 2’de</w:t>
      </w:r>
      <w:r w:rsidRPr="009C2B66">
        <w:rPr>
          <w:rFonts w:cstheme="minorHAnsi"/>
        </w:rPr>
        <w:t xml:space="preserve"> </w:t>
      </w:r>
      <w:r w:rsidR="002E1939" w:rsidRPr="009C2B66">
        <w:rPr>
          <w:rFonts w:cstheme="minorHAnsi"/>
        </w:rPr>
        <w:t>verilmektedir</w:t>
      </w:r>
      <w:r w:rsidRPr="009C2B66">
        <w:rPr>
          <w:rFonts w:cstheme="minorHAnsi"/>
        </w:rPr>
        <w:t>.</w:t>
      </w:r>
      <w:r w:rsidR="002E1939" w:rsidRPr="009C2B66">
        <w:rPr>
          <w:rFonts w:cstheme="minorHAnsi"/>
        </w:rPr>
        <w:t xml:space="preserve"> </w:t>
      </w:r>
    </w:p>
    <w:p w14:paraId="7A4B5340" w14:textId="77777777" w:rsidR="007A6CAC" w:rsidRPr="009C2B66" w:rsidRDefault="007A6CAC" w:rsidP="00207039">
      <w:pPr>
        <w:jc w:val="both"/>
        <w:rPr>
          <w:rFonts w:cstheme="minorHAnsi"/>
        </w:rPr>
      </w:pPr>
      <w:r w:rsidRPr="009C2B66">
        <w:rPr>
          <w:rFonts w:cstheme="minorHAnsi"/>
        </w:rPr>
        <w:t xml:space="preserve">Tablo 2: </w:t>
      </w:r>
      <w:r w:rsidR="00961DF7" w:rsidRPr="009C2B66">
        <w:rPr>
          <w:rFonts w:cstheme="minorHAnsi"/>
        </w:rPr>
        <w:t>Yıllara ve cinsiyete göre NENİ sayı ve oranları</w:t>
      </w:r>
    </w:p>
    <w:tbl>
      <w:tblPr>
        <w:tblW w:w="9152" w:type="dxa"/>
        <w:tblCellMar>
          <w:left w:w="70" w:type="dxa"/>
          <w:right w:w="70" w:type="dxa"/>
        </w:tblCellMar>
        <w:tblLook w:val="04A0" w:firstRow="1" w:lastRow="0" w:firstColumn="1" w:lastColumn="0" w:noHBand="0" w:noVBand="1"/>
      </w:tblPr>
      <w:tblGrid>
        <w:gridCol w:w="1046"/>
        <w:gridCol w:w="1342"/>
        <w:gridCol w:w="1360"/>
        <w:gridCol w:w="1404"/>
        <w:gridCol w:w="1298"/>
        <w:gridCol w:w="1467"/>
        <w:gridCol w:w="1235"/>
      </w:tblGrid>
      <w:tr w:rsidR="007A6CAC" w:rsidRPr="009C2B66" w14:paraId="1F6758F1" w14:textId="77777777" w:rsidTr="007A6CAC">
        <w:trPr>
          <w:trHeight w:val="301"/>
        </w:trPr>
        <w:tc>
          <w:tcPr>
            <w:tcW w:w="1046" w:type="dxa"/>
            <w:tcBorders>
              <w:top w:val="nil"/>
              <w:left w:val="nil"/>
              <w:bottom w:val="single" w:sz="4" w:space="0" w:color="auto"/>
              <w:right w:val="single" w:sz="4" w:space="0" w:color="auto"/>
            </w:tcBorders>
            <w:shd w:val="clear" w:color="auto" w:fill="auto"/>
            <w:noWrap/>
            <w:vAlign w:val="bottom"/>
            <w:hideMark/>
          </w:tcPr>
          <w:p w14:paraId="36C5BF47" w14:textId="77777777" w:rsidR="007A6CAC" w:rsidRPr="009C2B66" w:rsidRDefault="007A6CAC" w:rsidP="007A6CAC">
            <w:pPr>
              <w:spacing w:after="0" w:line="240" w:lineRule="auto"/>
              <w:rPr>
                <w:rFonts w:eastAsia="Times New Roman" w:cstheme="minorHAnsi"/>
                <w:color w:val="000000"/>
                <w:lang w:eastAsia="tr-TR"/>
              </w:rPr>
            </w:pPr>
            <w:r w:rsidRPr="009C2B66">
              <w:rPr>
                <w:rFonts w:eastAsia="Times New Roman" w:cstheme="minorHAnsi"/>
                <w:color w:val="000000"/>
                <w:lang w:eastAsia="tr-TR"/>
              </w:rPr>
              <w:t> </w:t>
            </w:r>
          </w:p>
        </w:tc>
        <w:tc>
          <w:tcPr>
            <w:tcW w:w="2702" w:type="dxa"/>
            <w:gridSpan w:val="2"/>
            <w:tcBorders>
              <w:top w:val="nil"/>
              <w:left w:val="nil"/>
              <w:bottom w:val="single" w:sz="4" w:space="0" w:color="auto"/>
              <w:right w:val="single" w:sz="4" w:space="0" w:color="000000"/>
            </w:tcBorders>
            <w:shd w:val="clear" w:color="auto" w:fill="auto"/>
            <w:noWrap/>
            <w:vAlign w:val="bottom"/>
            <w:hideMark/>
          </w:tcPr>
          <w:p w14:paraId="5B47D88A"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Erkek</w:t>
            </w:r>
          </w:p>
        </w:tc>
        <w:tc>
          <w:tcPr>
            <w:tcW w:w="2702" w:type="dxa"/>
            <w:gridSpan w:val="2"/>
            <w:tcBorders>
              <w:top w:val="nil"/>
              <w:left w:val="nil"/>
              <w:bottom w:val="single" w:sz="4" w:space="0" w:color="auto"/>
              <w:right w:val="single" w:sz="4" w:space="0" w:color="000000"/>
            </w:tcBorders>
            <w:shd w:val="clear" w:color="auto" w:fill="auto"/>
            <w:noWrap/>
            <w:vAlign w:val="bottom"/>
            <w:hideMark/>
          </w:tcPr>
          <w:p w14:paraId="6E4B067D"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Kadın</w:t>
            </w:r>
          </w:p>
        </w:tc>
        <w:tc>
          <w:tcPr>
            <w:tcW w:w="2702" w:type="dxa"/>
            <w:gridSpan w:val="2"/>
            <w:tcBorders>
              <w:top w:val="nil"/>
              <w:left w:val="nil"/>
              <w:bottom w:val="single" w:sz="4" w:space="0" w:color="auto"/>
              <w:right w:val="nil"/>
            </w:tcBorders>
            <w:shd w:val="clear" w:color="auto" w:fill="auto"/>
            <w:noWrap/>
            <w:vAlign w:val="bottom"/>
            <w:hideMark/>
          </w:tcPr>
          <w:p w14:paraId="4F44D9E0"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Toplam</w:t>
            </w:r>
          </w:p>
        </w:tc>
      </w:tr>
      <w:tr w:rsidR="007A6CAC" w:rsidRPr="009C2B66" w14:paraId="3007C873" w14:textId="77777777" w:rsidTr="007A6CAC">
        <w:trPr>
          <w:trHeight w:val="301"/>
        </w:trPr>
        <w:tc>
          <w:tcPr>
            <w:tcW w:w="1046" w:type="dxa"/>
            <w:tcBorders>
              <w:top w:val="nil"/>
              <w:left w:val="nil"/>
              <w:bottom w:val="single" w:sz="4" w:space="0" w:color="auto"/>
              <w:right w:val="single" w:sz="4" w:space="0" w:color="auto"/>
            </w:tcBorders>
            <w:shd w:val="clear" w:color="auto" w:fill="auto"/>
            <w:noWrap/>
            <w:vAlign w:val="bottom"/>
            <w:hideMark/>
          </w:tcPr>
          <w:p w14:paraId="5ACBE4F9"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Yıl</w:t>
            </w:r>
          </w:p>
        </w:tc>
        <w:tc>
          <w:tcPr>
            <w:tcW w:w="1342" w:type="dxa"/>
            <w:tcBorders>
              <w:top w:val="nil"/>
              <w:left w:val="nil"/>
              <w:bottom w:val="single" w:sz="4" w:space="0" w:color="auto"/>
              <w:right w:val="nil"/>
            </w:tcBorders>
            <w:shd w:val="clear" w:color="auto" w:fill="auto"/>
            <w:noWrap/>
            <w:vAlign w:val="bottom"/>
            <w:hideMark/>
          </w:tcPr>
          <w:p w14:paraId="5B1C12FA"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Sayı</w:t>
            </w:r>
          </w:p>
        </w:tc>
        <w:tc>
          <w:tcPr>
            <w:tcW w:w="1359" w:type="dxa"/>
            <w:tcBorders>
              <w:top w:val="nil"/>
              <w:left w:val="nil"/>
              <w:bottom w:val="single" w:sz="4" w:space="0" w:color="auto"/>
              <w:right w:val="single" w:sz="4" w:space="0" w:color="auto"/>
            </w:tcBorders>
            <w:shd w:val="clear" w:color="000000" w:fill="E7E6E6"/>
            <w:noWrap/>
            <w:vAlign w:val="bottom"/>
            <w:hideMark/>
          </w:tcPr>
          <w:p w14:paraId="5F10D796"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Yüzde</w:t>
            </w:r>
          </w:p>
        </w:tc>
        <w:tc>
          <w:tcPr>
            <w:tcW w:w="1404" w:type="dxa"/>
            <w:tcBorders>
              <w:top w:val="nil"/>
              <w:left w:val="nil"/>
              <w:bottom w:val="single" w:sz="4" w:space="0" w:color="auto"/>
              <w:right w:val="nil"/>
            </w:tcBorders>
            <w:shd w:val="clear" w:color="auto" w:fill="auto"/>
            <w:noWrap/>
            <w:vAlign w:val="bottom"/>
            <w:hideMark/>
          </w:tcPr>
          <w:p w14:paraId="242B7C5F"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Sayı</w:t>
            </w:r>
          </w:p>
        </w:tc>
        <w:tc>
          <w:tcPr>
            <w:tcW w:w="1297" w:type="dxa"/>
            <w:tcBorders>
              <w:top w:val="nil"/>
              <w:left w:val="nil"/>
              <w:bottom w:val="single" w:sz="4" w:space="0" w:color="auto"/>
              <w:right w:val="single" w:sz="4" w:space="0" w:color="auto"/>
            </w:tcBorders>
            <w:shd w:val="clear" w:color="000000" w:fill="E7E6E6"/>
            <w:noWrap/>
            <w:vAlign w:val="bottom"/>
            <w:hideMark/>
          </w:tcPr>
          <w:p w14:paraId="334F0B0D"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Yüzde</w:t>
            </w:r>
          </w:p>
        </w:tc>
        <w:tc>
          <w:tcPr>
            <w:tcW w:w="1467" w:type="dxa"/>
            <w:tcBorders>
              <w:top w:val="nil"/>
              <w:left w:val="nil"/>
              <w:bottom w:val="single" w:sz="4" w:space="0" w:color="auto"/>
              <w:right w:val="nil"/>
            </w:tcBorders>
            <w:shd w:val="clear" w:color="auto" w:fill="auto"/>
            <w:noWrap/>
            <w:vAlign w:val="bottom"/>
            <w:hideMark/>
          </w:tcPr>
          <w:p w14:paraId="7A67B096"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Sayı</w:t>
            </w:r>
          </w:p>
        </w:tc>
        <w:tc>
          <w:tcPr>
            <w:tcW w:w="1234" w:type="dxa"/>
            <w:tcBorders>
              <w:top w:val="nil"/>
              <w:left w:val="nil"/>
              <w:bottom w:val="single" w:sz="4" w:space="0" w:color="auto"/>
              <w:right w:val="nil"/>
            </w:tcBorders>
            <w:shd w:val="clear" w:color="000000" w:fill="E7E6E6"/>
            <w:noWrap/>
            <w:vAlign w:val="bottom"/>
            <w:hideMark/>
          </w:tcPr>
          <w:p w14:paraId="76EE538A"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Yüzde</w:t>
            </w:r>
          </w:p>
        </w:tc>
      </w:tr>
      <w:tr w:rsidR="007A6CAC" w:rsidRPr="009C2B66" w14:paraId="2ECA3119" w14:textId="77777777" w:rsidTr="007A6CAC">
        <w:trPr>
          <w:trHeight w:val="301"/>
        </w:trPr>
        <w:tc>
          <w:tcPr>
            <w:tcW w:w="1046" w:type="dxa"/>
            <w:tcBorders>
              <w:top w:val="nil"/>
              <w:left w:val="nil"/>
              <w:bottom w:val="nil"/>
              <w:right w:val="single" w:sz="4" w:space="0" w:color="auto"/>
            </w:tcBorders>
            <w:shd w:val="clear" w:color="auto" w:fill="auto"/>
            <w:noWrap/>
            <w:vAlign w:val="bottom"/>
            <w:hideMark/>
          </w:tcPr>
          <w:p w14:paraId="35A1AC3C"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2012</w:t>
            </w:r>
          </w:p>
        </w:tc>
        <w:tc>
          <w:tcPr>
            <w:tcW w:w="1342" w:type="dxa"/>
            <w:tcBorders>
              <w:top w:val="nil"/>
              <w:left w:val="nil"/>
              <w:bottom w:val="nil"/>
              <w:right w:val="nil"/>
            </w:tcBorders>
            <w:shd w:val="clear" w:color="auto" w:fill="auto"/>
            <w:noWrap/>
            <w:vAlign w:val="bottom"/>
            <w:hideMark/>
          </w:tcPr>
          <w:p w14:paraId="16594614"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563 578</w:t>
            </w:r>
          </w:p>
        </w:tc>
        <w:tc>
          <w:tcPr>
            <w:tcW w:w="1359" w:type="dxa"/>
            <w:tcBorders>
              <w:top w:val="nil"/>
              <w:left w:val="nil"/>
              <w:bottom w:val="nil"/>
              <w:right w:val="single" w:sz="4" w:space="0" w:color="auto"/>
            </w:tcBorders>
            <w:shd w:val="clear" w:color="000000" w:fill="E7E6E6"/>
            <w:noWrap/>
            <w:vAlign w:val="bottom"/>
            <w:hideMark/>
          </w:tcPr>
          <w:p w14:paraId="79E21D4B"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17.8%</w:t>
            </w:r>
          </w:p>
        </w:tc>
        <w:tc>
          <w:tcPr>
            <w:tcW w:w="1404" w:type="dxa"/>
            <w:tcBorders>
              <w:top w:val="nil"/>
              <w:left w:val="nil"/>
              <w:bottom w:val="nil"/>
              <w:right w:val="nil"/>
            </w:tcBorders>
            <w:shd w:val="clear" w:color="auto" w:fill="auto"/>
            <w:noWrap/>
            <w:vAlign w:val="bottom"/>
            <w:hideMark/>
          </w:tcPr>
          <w:p w14:paraId="728AB0A4"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972 405</w:t>
            </w:r>
          </w:p>
        </w:tc>
        <w:tc>
          <w:tcPr>
            <w:tcW w:w="1297" w:type="dxa"/>
            <w:tcBorders>
              <w:top w:val="nil"/>
              <w:left w:val="nil"/>
              <w:bottom w:val="nil"/>
              <w:right w:val="single" w:sz="4" w:space="0" w:color="auto"/>
            </w:tcBorders>
            <w:shd w:val="clear" w:color="000000" w:fill="E7E6E6"/>
            <w:noWrap/>
            <w:vAlign w:val="bottom"/>
            <w:hideMark/>
          </w:tcPr>
          <w:p w14:paraId="4DA78115"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32.1%</w:t>
            </w:r>
          </w:p>
        </w:tc>
        <w:tc>
          <w:tcPr>
            <w:tcW w:w="1467" w:type="dxa"/>
            <w:tcBorders>
              <w:top w:val="nil"/>
              <w:left w:val="nil"/>
              <w:bottom w:val="nil"/>
              <w:right w:val="nil"/>
            </w:tcBorders>
            <w:shd w:val="clear" w:color="auto" w:fill="auto"/>
            <w:noWrap/>
            <w:vAlign w:val="bottom"/>
            <w:hideMark/>
          </w:tcPr>
          <w:p w14:paraId="2E0FE60F"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1 535 983</w:t>
            </w:r>
          </w:p>
        </w:tc>
        <w:tc>
          <w:tcPr>
            <w:tcW w:w="1234" w:type="dxa"/>
            <w:tcBorders>
              <w:top w:val="nil"/>
              <w:left w:val="nil"/>
              <w:bottom w:val="nil"/>
              <w:right w:val="nil"/>
            </w:tcBorders>
            <w:shd w:val="clear" w:color="000000" w:fill="E7E6E6"/>
            <w:noWrap/>
            <w:vAlign w:val="bottom"/>
            <w:hideMark/>
          </w:tcPr>
          <w:p w14:paraId="32F9A8B7"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24.8%</w:t>
            </w:r>
          </w:p>
        </w:tc>
      </w:tr>
      <w:tr w:rsidR="007A6CAC" w:rsidRPr="009C2B66" w14:paraId="2598E694" w14:textId="77777777" w:rsidTr="007A6CAC">
        <w:trPr>
          <w:trHeight w:val="301"/>
        </w:trPr>
        <w:tc>
          <w:tcPr>
            <w:tcW w:w="1046" w:type="dxa"/>
            <w:tcBorders>
              <w:top w:val="nil"/>
              <w:left w:val="nil"/>
              <w:bottom w:val="nil"/>
              <w:right w:val="single" w:sz="4" w:space="0" w:color="auto"/>
            </w:tcBorders>
            <w:shd w:val="clear" w:color="auto" w:fill="auto"/>
            <w:noWrap/>
            <w:vAlign w:val="bottom"/>
            <w:hideMark/>
          </w:tcPr>
          <w:p w14:paraId="1DCA63E7"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2013</w:t>
            </w:r>
          </w:p>
        </w:tc>
        <w:tc>
          <w:tcPr>
            <w:tcW w:w="1342" w:type="dxa"/>
            <w:tcBorders>
              <w:top w:val="nil"/>
              <w:left w:val="nil"/>
              <w:bottom w:val="nil"/>
              <w:right w:val="nil"/>
            </w:tcBorders>
            <w:shd w:val="clear" w:color="auto" w:fill="auto"/>
            <w:noWrap/>
            <w:vAlign w:val="bottom"/>
            <w:hideMark/>
          </w:tcPr>
          <w:p w14:paraId="786743E5"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489 089</w:t>
            </w:r>
          </w:p>
        </w:tc>
        <w:tc>
          <w:tcPr>
            <w:tcW w:w="1359" w:type="dxa"/>
            <w:tcBorders>
              <w:top w:val="nil"/>
              <w:left w:val="nil"/>
              <w:bottom w:val="nil"/>
              <w:right w:val="single" w:sz="4" w:space="0" w:color="auto"/>
            </w:tcBorders>
            <w:shd w:val="clear" w:color="000000" w:fill="E7E6E6"/>
            <w:noWrap/>
            <w:vAlign w:val="bottom"/>
            <w:hideMark/>
          </w:tcPr>
          <w:p w14:paraId="2CA4A420"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15.3%</w:t>
            </w:r>
          </w:p>
        </w:tc>
        <w:tc>
          <w:tcPr>
            <w:tcW w:w="1404" w:type="dxa"/>
            <w:tcBorders>
              <w:top w:val="nil"/>
              <w:left w:val="nil"/>
              <w:bottom w:val="nil"/>
              <w:right w:val="nil"/>
            </w:tcBorders>
            <w:shd w:val="clear" w:color="auto" w:fill="auto"/>
            <w:noWrap/>
            <w:vAlign w:val="bottom"/>
            <w:hideMark/>
          </w:tcPr>
          <w:p w14:paraId="433923E3"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848 234</w:t>
            </w:r>
          </w:p>
        </w:tc>
        <w:tc>
          <w:tcPr>
            <w:tcW w:w="1297" w:type="dxa"/>
            <w:tcBorders>
              <w:top w:val="nil"/>
              <w:left w:val="nil"/>
              <w:bottom w:val="nil"/>
              <w:right w:val="single" w:sz="4" w:space="0" w:color="auto"/>
            </w:tcBorders>
            <w:shd w:val="clear" w:color="000000" w:fill="E7E6E6"/>
            <w:noWrap/>
            <w:vAlign w:val="bottom"/>
            <w:hideMark/>
          </w:tcPr>
          <w:p w14:paraId="02228127"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27.9%</w:t>
            </w:r>
          </w:p>
        </w:tc>
        <w:tc>
          <w:tcPr>
            <w:tcW w:w="1467" w:type="dxa"/>
            <w:tcBorders>
              <w:top w:val="nil"/>
              <w:left w:val="nil"/>
              <w:bottom w:val="nil"/>
              <w:right w:val="nil"/>
            </w:tcBorders>
            <w:shd w:val="clear" w:color="auto" w:fill="auto"/>
            <w:noWrap/>
            <w:vAlign w:val="bottom"/>
            <w:hideMark/>
          </w:tcPr>
          <w:p w14:paraId="00C165CD"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1 337 323</w:t>
            </w:r>
          </w:p>
        </w:tc>
        <w:tc>
          <w:tcPr>
            <w:tcW w:w="1234" w:type="dxa"/>
            <w:tcBorders>
              <w:top w:val="nil"/>
              <w:left w:val="nil"/>
              <w:bottom w:val="nil"/>
              <w:right w:val="nil"/>
            </w:tcBorders>
            <w:shd w:val="clear" w:color="000000" w:fill="E7E6E6"/>
            <w:noWrap/>
            <w:vAlign w:val="bottom"/>
            <w:hideMark/>
          </w:tcPr>
          <w:p w14:paraId="166B1888"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21.5%</w:t>
            </w:r>
          </w:p>
        </w:tc>
      </w:tr>
      <w:tr w:rsidR="007A6CAC" w:rsidRPr="009C2B66" w14:paraId="15E2E5E4" w14:textId="77777777" w:rsidTr="007A6CAC">
        <w:trPr>
          <w:trHeight w:val="301"/>
        </w:trPr>
        <w:tc>
          <w:tcPr>
            <w:tcW w:w="1046" w:type="dxa"/>
            <w:tcBorders>
              <w:top w:val="nil"/>
              <w:left w:val="nil"/>
              <w:bottom w:val="nil"/>
              <w:right w:val="single" w:sz="4" w:space="0" w:color="auto"/>
            </w:tcBorders>
            <w:shd w:val="clear" w:color="auto" w:fill="auto"/>
            <w:noWrap/>
            <w:vAlign w:val="bottom"/>
            <w:hideMark/>
          </w:tcPr>
          <w:p w14:paraId="75D285EC"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2014</w:t>
            </w:r>
          </w:p>
        </w:tc>
        <w:tc>
          <w:tcPr>
            <w:tcW w:w="1342" w:type="dxa"/>
            <w:tcBorders>
              <w:top w:val="nil"/>
              <w:left w:val="nil"/>
              <w:bottom w:val="nil"/>
              <w:right w:val="nil"/>
            </w:tcBorders>
            <w:shd w:val="clear" w:color="auto" w:fill="auto"/>
            <w:noWrap/>
            <w:vAlign w:val="bottom"/>
            <w:hideMark/>
          </w:tcPr>
          <w:p w14:paraId="2868B010"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491 561</w:t>
            </w:r>
          </w:p>
        </w:tc>
        <w:tc>
          <w:tcPr>
            <w:tcW w:w="1359" w:type="dxa"/>
            <w:tcBorders>
              <w:top w:val="nil"/>
              <w:left w:val="nil"/>
              <w:bottom w:val="nil"/>
              <w:right w:val="single" w:sz="4" w:space="0" w:color="auto"/>
            </w:tcBorders>
            <w:shd w:val="clear" w:color="000000" w:fill="E7E6E6"/>
            <w:noWrap/>
            <w:vAlign w:val="bottom"/>
            <w:hideMark/>
          </w:tcPr>
          <w:p w14:paraId="53371D12"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15.2%</w:t>
            </w:r>
          </w:p>
        </w:tc>
        <w:tc>
          <w:tcPr>
            <w:tcW w:w="1404" w:type="dxa"/>
            <w:tcBorders>
              <w:top w:val="nil"/>
              <w:left w:val="nil"/>
              <w:bottom w:val="nil"/>
              <w:right w:val="nil"/>
            </w:tcBorders>
            <w:shd w:val="clear" w:color="auto" w:fill="auto"/>
            <w:noWrap/>
            <w:vAlign w:val="bottom"/>
            <w:hideMark/>
          </w:tcPr>
          <w:p w14:paraId="04630B6B"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826 055</w:t>
            </w:r>
          </w:p>
        </w:tc>
        <w:tc>
          <w:tcPr>
            <w:tcW w:w="1297" w:type="dxa"/>
            <w:tcBorders>
              <w:top w:val="nil"/>
              <w:left w:val="nil"/>
              <w:bottom w:val="nil"/>
              <w:right w:val="single" w:sz="4" w:space="0" w:color="auto"/>
            </w:tcBorders>
            <w:shd w:val="clear" w:color="000000" w:fill="E7E6E6"/>
            <w:noWrap/>
            <w:vAlign w:val="bottom"/>
            <w:hideMark/>
          </w:tcPr>
          <w:p w14:paraId="66B9AD1C"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27.2%</w:t>
            </w:r>
          </w:p>
        </w:tc>
        <w:tc>
          <w:tcPr>
            <w:tcW w:w="1467" w:type="dxa"/>
            <w:tcBorders>
              <w:top w:val="nil"/>
              <w:left w:val="nil"/>
              <w:bottom w:val="nil"/>
              <w:right w:val="nil"/>
            </w:tcBorders>
            <w:shd w:val="clear" w:color="auto" w:fill="auto"/>
            <w:noWrap/>
            <w:vAlign w:val="bottom"/>
            <w:hideMark/>
          </w:tcPr>
          <w:p w14:paraId="7C32EF93"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1 317 616</w:t>
            </w:r>
          </w:p>
        </w:tc>
        <w:tc>
          <w:tcPr>
            <w:tcW w:w="1234" w:type="dxa"/>
            <w:tcBorders>
              <w:top w:val="nil"/>
              <w:left w:val="nil"/>
              <w:bottom w:val="nil"/>
              <w:right w:val="nil"/>
            </w:tcBorders>
            <w:shd w:val="clear" w:color="000000" w:fill="E7E6E6"/>
            <w:noWrap/>
            <w:vAlign w:val="bottom"/>
            <w:hideMark/>
          </w:tcPr>
          <w:p w14:paraId="491DC387"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21.0%</w:t>
            </w:r>
          </w:p>
        </w:tc>
      </w:tr>
      <w:tr w:rsidR="007A6CAC" w:rsidRPr="009C2B66" w14:paraId="6B51FDBA" w14:textId="77777777" w:rsidTr="007A6CAC">
        <w:trPr>
          <w:trHeight w:val="301"/>
        </w:trPr>
        <w:tc>
          <w:tcPr>
            <w:tcW w:w="1046" w:type="dxa"/>
            <w:tcBorders>
              <w:top w:val="nil"/>
              <w:left w:val="nil"/>
              <w:bottom w:val="nil"/>
              <w:right w:val="single" w:sz="4" w:space="0" w:color="auto"/>
            </w:tcBorders>
            <w:shd w:val="clear" w:color="auto" w:fill="auto"/>
            <w:noWrap/>
            <w:vAlign w:val="bottom"/>
            <w:hideMark/>
          </w:tcPr>
          <w:p w14:paraId="3C9A191F"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2015</w:t>
            </w:r>
          </w:p>
        </w:tc>
        <w:tc>
          <w:tcPr>
            <w:tcW w:w="1342" w:type="dxa"/>
            <w:tcBorders>
              <w:top w:val="nil"/>
              <w:left w:val="nil"/>
              <w:bottom w:val="nil"/>
              <w:right w:val="nil"/>
            </w:tcBorders>
            <w:shd w:val="clear" w:color="auto" w:fill="auto"/>
            <w:noWrap/>
            <w:vAlign w:val="bottom"/>
            <w:hideMark/>
          </w:tcPr>
          <w:p w14:paraId="7EC28410"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454 365</w:t>
            </w:r>
          </w:p>
        </w:tc>
        <w:tc>
          <w:tcPr>
            <w:tcW w:w="1359" w:type="dxa"/>
            <w:tcBorders>
              <w:top w:val="nil"/>
              <w:left w:val="nil"/>
              <w:bottom w:val="nil"/>
              <w:right w:val="single" w:sz="4" w:space="0" w:color="auto"/>
            </w:tcBorders>
            <w:shd w:val="clear" w:color="000000" w:fill="E7E6E6"/>
            <w:noWrap/>
            <w:vAlign w:val="bottom"/>
            <w:hideMark/>
          </w:tcPr>
          <w:p w14:paraId="075156CC"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14.0%</w:t>
            </w:r>
          </w:p>
        </w:tc>
        <w:tc>
          <w:tcPr>
            <w:tcW w:w="1404" w:type="dxa"/>
            <w:tcBorders>
              <w:top w:val="nil"/>
              <w:left w:val="nil"/>
              <w:bottom w:val="nil"/>
              <w:right w:val="nil"/>
            </w:tcBorders>
            <w:shd w:val="clear" w:color="auto" w:fill="auto"/>
            <w:noWrap/>
            <w:vAlign w:val="bottom"/>
            <w:hideMark/>
          </w:tcPr>
          <w:p w14:paraId="567B82AF"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779 600</w:t>
            </w:r>
          </w:p>
        </w:tc>
        <w:tc>
          <w:tcPr>
            <w:tcW w:w="1297" w:type="dxa"/>
            <w:tcBorders>
              <w:top w:val="nil"/>
              <w:left w:val="nil"/>
              <w:bottom w:val="nil"/>
              <w:right w:val="single" w:sz="4" w:space="0" w:color="auto"/>
            </w:tcBorders>
            <w:shd w:val="clear" w:color="000000" w:fill="E7E6E6"/>
            <w:noWrap/>
            <w:vAlign w:val="bottom"/>
            <w:hideMark/>
          </w:tcPr>
          <w:p w14:paraId="5B5164B7"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25.3%</w:t>
            </w:r>
          </w:p>
        </w:tc>
        <w:tc>
          <w:tcPr>
            <w:tcW w:w="1467" w:type="dxa"/>
            <w:tcBorders>
              <w:top w:val="nil"/>
              <w:left w:val="nil"/>
              <w:bottom w:val="nil"/>
              <w:right w:val="nil"/>
            </w:tcBorders>
            <w:shd w:val="clear" w:color="auto" w:fill="auto"/>
            <w:noWrap/>
            <w:vAlign w:val="bottom"/>
            <w:hideMark/>
          </w:tcPr>
          <w:p w14:paraId="5C91A4F5"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1 233 965</w:t>
            </w:r>
          </w:p>
        </w:tc>
        <w:tc>
          <w:tcPr>
            <w:tcW w:w="1234" w:type="dxa"/>
            <w:tcBorders>
              <w:top w:val="nil"/>
              <w:left w:val="nil"/>
              <w:bottom w:val="nil"/>
              <w:right w:val="nil"/>
            </w:tcBorders>
            <w:shd w:val="clear" w:color="000000" w:fill="E7E6E6"/>
            <w:noWrap/>
            <w:vAlign w:val="bottom"/>
            <w:hideMark/>
          </w:tcPr>
          <w:p w14:paraId="5A723B18"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19.5%</w:t>
            </w:r>
          </w:p>
        </w:tc>
      </w:tr>
      <w:tr w:rsidR="007A6CAC" w:rsidRPr="009C2B66" w14:paraId="7D2C4BA6" w14:textId="77777777" w:rsidTr="007A6CAC">
        <w:trPr>
          <w:trHeight w:val="301"/>
        </w:trPr>
        <w:tc>
          <w:tcPr>
            <w:tcW w:w="1046" w:type="dxa"/>
            <w:tcBorders>
              <w:top w:val="nil"/>
              <w:left w:val="nil"/>
              <w:bottom w:val="nil"/>
              <w:right w:val="single" w:sz="4" w:space="0" w:color="auto"/>
            </w:tcBorders>
            <w:shd w:val="clear" w:color="auto" w:fill="auto"/>
            <w:noWrap/>
            <w:vAlign w:val="bottom"/>
            <w:hideMark/>
          </w:tcPr>
          <w:p w14:paraId="437FCBFF"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2016</w:t>
            </w:r>
          </w:p>
        </w:tc>
        <w:tc>
          <w:tcPr>
            <w:tcW w:w="1342" w:type="dxa"/>
            <w:tcBorders>
              <w:top w:val="nil"/>
              <w:left w:val="nil"/>
              <w:bottom w:val="nil"/>
              <w:right w:val="nil"/>
            </w:tcBorders>
            <w:shd w:val="clear" w:color="auto" w:fill="auto"/>
            <w:noWrap/>
            <w:vAlign w:val="bottom"/>
            <w:hideMark/>
          </w:tcPr>
          <w:p w14:paraId="18C1C031"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458 659</w:t>
            </w:r>
          </w:p>
        </w:tc>
        <w:tc>
          <w:tcPr>
            <w:tcW w:w="1359" w:type="dxa"/>
            <w:tcBorders>
              <w:top w:val="nil"/>
              <w:left w:val="nil"/>
              <w:bottom w:val="nil"/>
              <w:right w:val="single" w:sz="4" w:space="0" w:color="auto"/>
            </w:tcBorders>
            <w:shd w:val="clear" w:color="000000" w:fill="E7E6E6"/>
            <w:noWrap/>
            <w:vAlign w:val="bottom"/>
            <w:hideMark/>
          </w:tcPr>
          <w:p w14:paraId="5BF6E760"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14.2%</w:t>
            </w:r>
          </w:p>
        </w:tc>
        <w:tc>
          <w:tcPr>
            <w:tcW w:w="1404" w:type="dxa"/>
            <w:tcBorders>
              <w:top w:val="nil"/>
              <w:left w:val="nil"/>
              <w:bottom w:val="nil"/>
              <w:right w:val="nil"/>
            </w:tcBorders>
            <w:shd w:val="clear" w:color="auto" w:fill="auto"/>
            <w:noWrap/>
            <w:vAlign w:val="bottom"/>
            <w:hideMark/>
          </w:tcPr>
          <w:p w14:paraId="2A1723F8"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762 686</w:t>
            </w:r>
          </w:p>
        </w:tc>
        <w:tc>
          <w:tcPr>
            <w:tcW w:w="1297" w:type="dxa"/>
            <w:tcBorders>
              <w:top w:val="nil"/>
              <w:left w:val="nil"/>
              <w:bottom w:val="nil"/>
              <w:right w:val="single" w:sz="4" w:space="0" w:color="auto"/>
            </w:tcBorders>
            <w:shd w:val="clear" w:color="000000" w:fill="E7E6E6"/>
            <w:noWrap/>
            <w:vAlign w:val="bottom"/>
            <w:hideMark/>
          </w:tcPr>
          <w:p w14:paraId="54CBAF9E"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24.9%</w:t>
            </w:r>
          </w:p>
        </w:tc>
        <w:tc>
          <w:tcPr>
            <w:tcW w:w="1467" w:type="dxa"/>
            <w:tcBorders>
              <w:top w:val="nil"/>
              <w:left w:val="nil"/>
              <w:bottom w:val="nil"/>
              <w:right w:val="nil"/>
            </w:tcBorders>
            <w:shd w:val="clear" w:color="auto" w:fill="auto"/>
            <w:noWrap/>
            <w:vAlign w:val="bottom"/>
            <w:hideMark/>
          </w:tcPr>
          <w:p w14:paraId="251D2807"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1 221 345</w:t>
            </w:r>
          </w:p>
        </w:tc>
        <w:tc>
          <w:tcPr>
            <w:tcW w:w="1234" w:type="dxa"/>
            <w:tcBorders>
              <w:top w:val="nil"/>
              <w:left w:val="nil"/>
              <w:bottom w:val="nil"/>
              <w:right w:val="nil"/>
            </w:tcBorders>
            <w:shd w:val="clear" w:color="000000" w:fill="E7E6E6"/>
            <w:noWrap/>
            <w:vAlign w:val="bottom"/>
            <w:hideMark/>
          </w:tcPr>
          <w:p w14:paraId="6A955009"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19.4%</w:t>
            </w:r>
          </w:p>
        </w:tc>
      </w:tr>
      <w:tr w:rsidR="007A6CAC" w:rsidRPr="009C2B66" w14:paraId="14E73E31" w14:textId="77777777" w:rsidTr="007A6CAC">
        <w:trPr>
          <w:trHeight w:val="301"/>
        </w:trPr>
        <w:tc>
          <w:tcPr>
            <w:tcW w:w="1046" w:type="dxa"/>
            <w:tcBorders>
              <w:top w:val="nil"/>
              <w:left w:val="nil"/>
              <w:bottom w:val="nil"/>
              <w:right w:val="single" w:sz="4" w:space="0" w:color="auto"/>
            </w:tcBorders>
            <w:shd w:val="clear" w:color="auto" w:fill="auto"/>
            <w:noWrap/>
            <w:vAlign w:val="bottom"/>
            <w:hideMark/>
          </w:tcPr>
          <w:p w14:paraId="275F0C1A"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2017</w:t>
            </w:r>
          </w:p>
        </w:tc>
        <w:tc>
          <w:tcPr>
            <w:tcW w:w="1342" w:type="dxa"/>
            <w:tcBorders>
              <w:top w:val="nil"/>
              <w:left w:val="nil"/>
              <w:bottom w:val="nil"/>
              <w:right w:val="nil"/>
            </w:tcBorders>
            <w:shd w:val="clear" w:color="auto" w:fill="auto"/>
            <w:noWrap/>
            <w:vAlign w:val="bottom"/>
            <w:hideMark/>
          </w:tcPr>
          <w:p w14:paraId="04601166"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506 917</w:t>
            </w:r>
          </w:p>
        </w:tc>
        <w:tc>
          <w:tcPr>
            <w:tcW w:w="1359" w:type="dxa"/>
            <w:tcBorders>
              <w:top w:val="nil"/>
              <w:left w:val="nil"/>
              <w:bottom w:val="nil"/>
              <w:right w:val="single" w:sz="4" w:space="0" w:color="auto"/>
            </w:tcBorders>
            <w:shd w:val="clear" w:color="000000" w:fill="E7E6E6"/>
            <w:noWrap/>
            <w:vAlign w:val="bottom"/>
            <w:hideMark/>
          </w:tcPr>
          <w:p w14:paraId="74882242"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15.6%</w:t>
            </w:r>
          </w:p>
        </w:tc>
        <w:tc>
          <w:tcPr>
            <w:tcW w:w="1404" w:type="dxa"/>
            <w:tcBorders>
              <w:top w:val="nil"/>
              <w:left w:val="nil"/>
              <w:bottom w:val="nil"/>
              <w:right w:val="nil"/>
            </w:tcBorders>
            <w:shd w:val="clear" w:color="auto" w:fill="auto"/>
            <w:noWrap/>
            <w:vAlign w:val="bottom"/>
            <w:hideMark/>
          </w:tcPr>
          <w:p w14:paraId="259744A0"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 xml:space="preserve"> 784 157</w:t>
            </w:r>
          </w:p>
        </w:tc>
        <w:tc>
          <w:tcPr>
            <w:tcW w:w="1297" w:type="dxa"/>
            <w:tcBorders>
              <w:top w:val="nil"/>
              <w:left w:val="nil"/>
              <w:bottom w:val="nil"/>
              <w:right w:val="single" w:sz="4" w:space="0" w:color="auto"/>
            </w:tcBorders>
            <w:shd w:val="clear" w:color="000000" w:fill="E7E6E6"/>
            <w:noWrap/>
            <w:vAlign w:val="bottom"/>
            <w:hideMark/>
          </w:tcPr>
          <w:p w14:paraId="37307156"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25.9%</w:t>
            </w:r>
          </w:p>
        </w:tc>
        <w:tc>
          <w:tcPr>
            <w:tcW w:w="1467" w:type="dxa"/>
            <w:tcBorders>
              <w:top w:val="nil"/>
              <w:left w:val="nil"/>
              <w:bottom w:val="nil"/>
              <w:right w:val="nil"/>
            </w:tcBorders>
            <w:shd w:val="clear" w:color="auto" w:fill="auto"/>
            <w:noWrap/>
            <w:vAlign w:val="bottom"/>
            <w:hideMark/>
          </w:tcPr>
          <w:p w14:paraId="5878C775"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1 291 073</w:t>
            </w:r>
          </w:p>
        </w:tc>
        <w:tc>
          <w:tcPr>
            <w:tcW w:w="1234" w:type="dxa"/>
            <w:tcBorders>
              <w:top w:val="nil"/>
              <w:left w:val="nil"/>
              <w:bottom w:val="nil"/>
              <w:right w:val="nil"/>
            </w:tcBorders>
            <w:shd w:val="clear" w:color="000000" w:fill="E7E6E6"/>
            <w:noWrap/>
            <w:vAlign w:val="bottom"/>
            <w:hideMark/>
          </w:tcPr>
          <w:p w14:paraId="2C88BDD4" w14:textId="77777777" w:rsidR="007A6CAC" w:rsidRPr="009C2B66" w:rsidRDefault="007A6CAC" w:rsidP="007A6CAC">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20.6%</w:t>
            </w:r>
          </w:p>
        </w:tc>
      </w:tr>
    </w:tbl>
    <w:p w14:paraId="06499EEB" w14:textId="4209E35C" w:rsidR="007A6CAC" w:rsidRPr="009C2B66" w:rsidRDefault="005E6746" w:rsidP="00207039">
      <w:pPr>
        <w:jc w:val="both"/>
        <w:rPr>
          <w:rFonts w:cstheme="minorHAnsi"/>
        </w:rPr>
      </w:pPr>
      <w:r>
        <w:rPr>
          <w:rFonts w:cstheme="minorHAnsi"/>
        </w:rPr>
        <w:br/>
      </w:r>
      <w:bookmarkStart w:id="3" w:name="OLE_LINK12"/>
      <w:bookmarkStart w:id="4" w:name="OLE_LINK13"/>
      <w:r>
        <w:rPr>
          <w:rFonts w:cstheme="minorHAnsi"/>
        </w:rPr>
        <w:t>Kaynak: Hanehalkı İşgücü Anketi, 2012-2017; Betam hesaplamaları</w:t>
      </w:r>
      <w:bookmarkEnd w:id="3"/>
      <w:bookmarkEnd w:id="4"/>
    </w:p>
    <w:p w14:paraId="51624AED" w14:textId="77777777" w:rsidR="007A6CAC" w:rsidRPr="009C2B66" w:rsidRDefault="00BA5170" w:rsidP="00207039">
      <w:pPr>
        <w:jc w:val="both"/>
        <w:rPr>
          <w:rFonts w:cstheme="minorHAnsi"/>
        </w:rPr>
      </w:pPr>
      <w:r w:rsidRPr="009C2B66">
        <w:rPr>
          <w:rFonts w:cstheme="minorHAnsi"/>
        </w:rPr>
        <w:t xml:space="preserve">Hem genç erkeklerde hem genç kadınlarda 2012 yılına kıyasla ne istihdamda ne de eğitimde olan gençlerin sayı ve payının düştüğü görülmektedir. </w:t>
      </w:r>
      <w:r w:rsidR="00020B77" w:rsidRPr="009C2B66">
        <w:rPr>
          <w:rFonts w:cstheme="minorHAnsi"/>
        </w:rPr>
        <w:t xml:space="preserve">Erkeklerde </w:t>
      </w:r>
      <w:r w:rsidR="00413937" w:rsidRPr="009C2B66">
        <w:rPr>
          <w:rFonts w:cstheme="minorHAnsi"/>
        </w:rPr>
        <w:t xml:space="preserve">yüzde </w:t>
      </w:r>
      <w:r w:rsidR="00020B77" w:rsidRPr="009C2B66">
        <w:rPr>
          <w:rFonts w:cstheme="minorHAnsi"/>
        </w:rPr>
        <w:t xml:space="preserve">17,8 olan oranın </w:t>
      </w:r>
      <w:r w:rsidR="00413937" w:rsidRPr="009C2B66">
        <w:rPr>
          <w:rFonts w:cstheme="minorHAnsi"/>
        </w:rPr>
        <w:t xml:space="preserve">yüzde </w:t>
      </w:r>
      <w:r w:rsidR="00020B77" w:rsidRPr="009C2B66">
        <w:rPr>
          <w:rFonts w:cstheme="minorHAnsi"/>
        </w:rPr>
        <w:t xml:space="preserve">15,6’ya, kadınlarda ise </w:t>
      </w:r>
      <w:r w:rsidR="00413937" w:rsidRPr="009C2B66">
        <w:rPr>
          <w:rFonts w:cstheme="minorHAnsi"/>
        </w:rPr>
        <w:t xml:space="preserve">yüzde </w:t>
      </w:r>
      <w:r w:rsidR="00020B77" w:rsidRPr="009C2B66">
        <w:rPr>
          <w:rFonts w:cstheme="minorHAnsi"/>
        </w:rPr>
        <w:t xml:space="preserve">32,1 olan oranın </w:t>
      </w:r>
      <w:r w:rsidR="00413937" w:rsidRPr="009C2B66">
        <w:rPr>
          <w:rFonts w:cstheme="minorHAnsi"/>
        </w:rPr>
        <w:t xml:space="preserve">yüzde </w:t>
      </w:r>
      <w:r w:rsidR="00AC5597" w:rsidRPr="009C2B66">
        <w:rPr>
          <w:rFonts w:cstheme="minorHAnsi"/>
        </w:rPr>
        <w:t xml:space="preserve">25,9’a düştüğü görülmektedir. </w:t>
      </w:r>
      <w:r w:rsidR="000A1018" w:rsidRPr="009C2B66">
        <w:rPr>
          <w:rFonts w:cstheme="minorHAnsi"/>
        </w:rPr>
        <w:t xml:space="preserve">Aynı süre zarfında kadın erkek oranları arasındaki farkın yaklaşık </w:t>
      </w:r>
      <w:r w:rsidR="00413937" w:rsidRPr="009C2B66">
        <w:rPr>
          <w:rFonts w:cstheme="minorHAnsi"/>
        </w:rPr>
        <w:t xml:space="preserve">yüzde </w:t>
      </w:r>
      <w:r w:rsidR="000A1018" w:rsidRPr="009C2B66">
        <w:rPr>
          <w:rFonts w:cstheme="minorHAnsi"/>
        </w:rPr>
        <w:t xml:space="preserve">15’ten </w:t>
      </w:r>
      <w:r w:rsidR="00413937" w:rsidRPr="009C2B66">
        <w:rPr>
          <w:rFonts w:cstheme="minorHAnsi"/>
        </w:rPr>
        <w:t xml:space="preserve">yüzde </w:t>
      </w:r>
      <w:r w:rsidR="000A1018" w:rsidRPr="009C2B66">
        <w:rPr>
          <w:rFonts w:cstheme="minorHAnsi"/>
        </w:rPr>
        <w:t xml:space="preserve">10’a indiği göze çarpmaktadır. </w:t>
      </w:r>
      <w:r w:rsidR="001E4BFF" w:rsidRPr="009C2B66">
        <w:rPr>
          <w:rFonts w:cstheme="minorHAnsi"/>
        </w:rPr>
        <w:t xml:space="preserve">Kadınlardaki azalışın hızı biraz daha fazla olmasına rağmen 2017 yılında halen 15-19 yaş aralığındaki her dört kadından biri ne istihdamda ne de eğitimdedir. </w:t>
      </w:r>
      <w:r w:rsidR="00AC5597" w:rsidRPr="009C2B66">
        <w:rPr>
          <w:rFonts w:cstheme="minorHAnsi"/>
        </w:rPr>
        <w:t xml:space="preserve">Buna karşın, yukarıdaki genel rakamlarla uyumlu olarak </w:t>
      </w:r>
      <w:r w:rsidR="00020B77" w:rsidRPr="009C2B66">
        <w:rPr>
          <w:rFonts w:cstheme="minorHAnsi"/>
        </w:rPr>
        <w:t xml:space="preserve">2016’dan 2017’ye </w:t>
      </w:r>
      <w:r w:rsidR="00AC5597" w:rsidRPr="009C2B66">
        <w:rPr>
          <w:rFonts w:cstheme="minorHAnsi"/>
        </w:rPr>
        <w:t xml:space="preserve">NENİ oranlarında </w:t>
      </w:r>
      <w:r w:rsidR="00020B77" w:rsidRPr="009C2B66">
        <w:rPr>
          <w:rFonts w:cstheme="minorHAnsi"/>
        </w:rPr>
        <w:t>hem kadınlarda he</w:t>
      </w:r>
      <w:r w:rsidR="00AC5597" w:rsidRPr="009C2B66">
        <w:rPr>
          <w:rFonts w:cstheme="minorHAnsi"/>
        </w:rPr>
        <w:t xml:space="preserve">m erkeklerde artış görülmüştür. </w:t>
      </w:r>
      <w:r w:rsidR="00FF639B" w:rsidRPr="009C2B66">
        <w:rPr>
          <w:rFonts w:cstheme="minorHAnsi"/>
        </w:rPr>
        <w:t xml:space="preserve">Erkeklerdeki artış 1,4 yüzde puan, kadınlardaki artış ise 1 yüzde puan civarındadır. </w:t>
      </w:r>
    </w:p>
    <w:p w14:paraId="42E150B9" w14:textId="77777777" w:rsidR="00616741" w:rsidRPr="009C2B66" w:rsidRDefault="00616741" w:rsidP="00207039">
      <w:pPr>
        <w:jc w:val="both"/>
        <w:rPr>
          <w:rFonts w:cstheme="minorHAnsi"/>
        </w:rPr>
      </w:pPr>
      <w:r w:rsidRPr="009C2B66">
        <w:rPr>
          <w:rFonts w:cstheme="minorHAnsi"/>
        </w:rPr>
        <w:t>Bu noktada hangi okullardan mezun olan gençlerin eğitimine devam etme veya istihdama katılma hususunda zorluk çektiğine göz atmak faydalı olabilir. 2017 yılında ne istihdamda ne eğitimde olan gençlerin son mezun olduk</w:t>
      </w:r>
      <w:r w:rsidR="0012108A" w:rsidRPr="009C2B66">
        <w:rPr>
          <w:rFonts w:cstheme="minorHAnsi"/>
        </w:rPr>
        <w:t>ları okulları Tablo 3’te özetlenmektedir</w:t>
      </w:r>
      <w:r w:rsidRPr="009C2B66">
        <w:rPr>
          <w:rFonts w:cstheme="minorHAnsi"/>
        </w:rPr>
        <w:t xml:space="preserve">. </w:t>
      </w:r>
    </w:p>
    <w:p w14:paraId="58E28EE4" w14:textId="77777777" w:rsidR="00616741" w:rsidRPr="009C2B66" w:rsidRDefault="00616741" w:rsidP="00207039">
      <w:pPr>
        <w:jc w:val="both"/>
        <w:rPr>
          <w:rFonts w:cstheme="minorHAnsi"/>
        </w:rPr>
      </w:pPr>
      <w:r w:rsidRPr="009C2B66">
        <w:rPr>
          <w:rFonts w:cstheme="minorHAnsi"/>
        </w:rPr>
        <w:t>Tablo 3: NENİ’lerin en son mezun oldukları okullar, 2017</w:t>
      </w:r>
    </w:p>
    <w:tbl>
      <w:tblPr>
        <w:tblW w:w="8931" w:type="dxa"/>
        <w:tblCellMar>
          <w:left w:w="70" w:type="dxa"/>
          <w:right w:w="70" w:type="dxa"/>
        </w:tblCellMar>
        <w:tblLook w:val="04A0" w:firstRow="1" w:lastRow="0" w:firstColumn="1" w:lastColumn="0" w:noHBand="0" w:noVBand="1"/>
      </w:tblPr>
      <w:tblGrid>
        <w:gridCol w:w="2694"/>
        <w:gridCol w:w="1134"/>
        <w:gridCol w:w="850"/>
        <w:gridCol w:w="1134"/>
        <w:gridCol w:w="992"/>
        <w:gridCol w:w="1134"/>
        <w:gridCol w:w="993"/>
      </w:tblGrid>
      <w:tr w:rsidR="00616741" w:rsidRPr="009C2B66" w14:paraId="61A04927" w14:textId="77777777" w:rsidTr="00616741">
        <w:trPr>
          <w:trHeight w:val="269"/>
        </w:trPr>
        <w:tc>
          <w:tcPr>
            <w:tcW w:w="2694" w:type="dxa"/>
            <w:tcBorders>
              <w:top w:val="nil"/>
              <w:left w:val="nil"/>
              <w:bottom w:val="single" w:sz="4" w:space="0" w:color="auto"/>
              <w:right w:val="single" w:sz="4" w:space="0" w:color="auto"/>
            </w:tcBorders>
            <w:shd w:val="clear" w:color="auto" w:fill="auto"/>
            <w:noWrap/>
            <w:vAlign w:val="bottom"/>
            <w:hideMark/>
          </w:tcPr>
          <w:p w14:paraId="069097D3"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741D28B4" w14:textId="77777777" w:rsidR="00616741" w:rsidRPr="009C2B66" w:rsidRDefault="00616741" w:rsidP="00616741">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Erkek</w:t>
            </w:r>
          </w:p>
        </w:tc>
        <w:tc>
          <w:tcPr>
            <w:tcW w:w="2126" w:type="dxa"/>
            <w:gridSpan w:val="2"/>
            <w:tcBorders>
              <w:top w:val="nil"/>
              <w:left w:val="nil"/>
              <w:bottom w:val="single" w:sz="4" w:space="0" w:color="auto"/>
              <w:right w:val="single" w:sz="4" w:space="0" w:color="000000"/>
            </w:tcBorders>
            <w:shd w:val="clear" w:color="auto" w:fill="auto"/>
            <w:noWrap/>
            <w:vAlign w:val="bottom"/>
            <w:hideMark/>
          </w:tcPr>
          <w:p w14:paraId="1DAF844B" w14:textId="77777777" w:rsidR="00616741" w:rsidRPr="009C2B66" w:rsidRDefault="00616741" w:rsidP="00616741">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Kadın</w:t>
            </w:r>
          </w:p>
        </w:tc>
        <w:tc>
          <w:tcPr>
            <w:tcW w:w="2127" w:type="dxa"/>
            <w:gridSpan w:val="2"/>
            <w:tcBorders>
              <w:top w:val="nil"/>
              <w:left w:val="nil"/>
              <w:bottom w:val="single" w:sz="4" w:space="0" w:color="auto"/>
              <w:right w:val="nil"/>
            </w:tcBorders>
            <w:shd w:val="clear" w:color="auto" w:fill="auto"/>
            <w:noWrap/>
            <w:vAlign w:val="bottom"/>
            <w:hideMark/>
          </w:tcPr>
          <w:p w14:paraId="7172F14F" w14:textId="77777777" w:rsidR="00616741" w:rsidRPr="009C2B66" w:rsidRDefault="00616741" w:rsidP="00616741">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Toplam</w:t>
            </w:r>
          </w:p>
        </w:tc>
      </w:tr>
      <w:tr w:rsidR="00616741" w:rsidRPr="009C2B66" w14:paraId="791664CB" w14:textId="77777777" w:rsidTr="00616741">
        <w:trPr>
          <w:trHeight w:val="269"/>
        </w:trPr>
        <w:tc>
          <w:tcPr>
            <w:tcW w:w="2694" w:type="dxa"/>
            <w:tcBorders>
              <w:top w:val="nil"/>
              <w:left w:val="nil"/>
              <w:bottom w:val="nil"/>
              <w:right w:val="single" w:sz="4" w:space="0" w:color="auto"/>
            </w:tcBorders>
            <w:shd w:val="clear" w:color="auto" w:fill="auto"/>
            <w:noWrap/>
            <w:vAlign w:val="bottom"/>
            <w:hideMark/>
          </w:tcPr>
          <w:p w14:paraId="5D2334E8"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Bir okul bitirmeyen</w:t>
            </w:r>
          </w:p>
        </w:tc>
        <w:tc>
          <w:tcPr>
            <w:tcW w:w="1134" w:type="dxa"/>
            <w:tcBorders>
              <w:top w:val="nil"/>
              <w:left w:val="nil"/>
              <w:bottom w:val="nil"/>
              <w:right w:val="nil"/>
            </w:tcBorders>
            <w:shd w:val="clear" w:color="auto" w:fill="auto"/>
            <w:noWrap/>
            <w:vAlign w:val="bottom"/>
            <w:hideMark/>
          </w:tcPr>
          <w:p w14:paraId="2AB19D05"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62 774</w:t>
            </w:r>
          </w:p>
        </w:tc>
        <w:tc>
          <w:tcPr>
            <w:tcW w:w="850" w:type="dxa"/>
            <w:tcBorders>
              <w:top w:val="nil"/>
              <w:left w:val="nil"/>
              <w:bottom w:val="nil"/>
              <w:right w:val="single" w:sz="4" w:space="0" w:color="auto"/>
            </w:tcBorders>
            <w:shd w:val="clear" w:color="auto" w:fill="auto"/>
            <w:noWrap/>
            <w:vAlign w:val="bottom"/>
            <w:hideMark/>
          </w:tcPr>
          <w:p w14:paraId="7AE1A281" w14:textId="77777777" w:rsidR="00616741" w:rsidRPr="009C2B66" w:rsidRDefault="00616741" w:rsidP="00616741">
            <w:pPr>
              <w:spacing w:after="0" w:line="240" w:lineRule="auto"/>
              <w:rPr>
                <w:rFonts w:eastAsia="Times New Roman" w:cstheme="minorHAnsi"/>
                <w:b/>
                <w:color w:val="000000"/>
                <w:lang w:eastAsia="tr-TR"/>
              </w:rPr>
            </w:pPr>
            <w:r w:rsidRPr="009C2B66">
              <w:rPr>
                <w:rFonts w:eastAsia="Times New Roman" w:cstheme="minorHAnsi"/>
                <w:b/>
                <w:color w:val="000000"/>
                <w:lang w:eastAsia="tr-TR"/>
              </w:rPr>
              <w:t>12.4%</w:t>
            </w:r>
          </w:p>
        </w:tc>
        <w:tc>
          <w:tcPr>
            <w:tcW w:w="1134" w:type="dxa"/>
            <w:tcBorders>
              <w:top w:val="nil"/>
              <w:left w:val="single" w:sz="4" w:space="0" w:color="auto"/>
              <w:bottom w:val="nil"/>
              <w:right w:val="nil"/>
            </w:tcBorders>
            <w:shd w:val="clear" w:color="auto" w:fill="auto"/>
            <w:noWrap/>
            <w:vAlign w:val="bottom"/>
            <w:hideMark/>
          </w:tcPr>
          <w:p w14:paraId="3D2418F6"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153 437</w:t>
            </w:r>
          </w:p>
        </w:tc>
        <w:tc>
          <w:tcPr>
            <w:tcW w:w="992" w:type="dxa"/>
            <w:tcBorders>
              <w:top w:val="nil"/>
              <w:left w:val="nil"/>
              <w:bottom w:val="nil"/>
              <w:right w:val="single" w:sz="4" w:space="0" w:color="auto"/>
            </w:tcBorders>
            <w:shd w:val="clear" w:color="auto" w:fill="auto"/>
            <w:noWrap/>
            <w:vAlign w:val="bottom"/>
            <w:hideMark/>
          </w:tcPr>
          <w:p w14:paraId="2CDE7700" w14:textId="77777777" w:rsidR="00616741" w:rsidRPr="009C2B66" w:rsidRDefault="00616741" w:rsidP="00616741">
            <w:pPr>
              <w:spacing w:after="0" w:line="240" w:lineRule="auto"/>
              <w:rPr>
                <w:rFonts w:eastAsia="Times New Roman" w:cstheme="minorHAnsi"/>
                <w:b/>
                <w:color w:val="000000"/>
                <w:lang w:eastAsia="tr-TR"/>
              </w:rPr>
            </w:pPr>
            <w:r w:rsidRPr="009C2B66">
              <w:rPr>
                <w:rFonts w:eastAsia="Times New Roman" w:cstheme="minorHAnsi"/>
                <w:b/>
                <w:color w:val="000000"/>
                <w:lang w:eastAsia="tr-TR"/>
              </w:rPr>
              <w:t>19.6%</w:t>
            </w:r>
          </w:p>
        </w:tc>
        <w:tc>
          <w:tcPr>
            <w:tcW w:w="1134" w:type="dxa"/>
            <w:tcBorders>
              <w:top w:val="nil"/>
              <w:left w:val="nil"/>
              <w:bottom w:val="nil"/>
              <w:right w:val="nil"/>
            </w:tcBorders>
            <w:shd w:val="clear" w:color="auto" w:fill="auto"/>
            <w:noWrap/>
            <w:vAlign w:val="bottom"/>
            <w:hideMark/>
          </w:tcPr>
          <w:p w14:paraId="6D880879"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216 210</w:t>
            </w:r>
          </w:p>
        </w:tc>
        <w:tc>
          <w:tcPr>
            <w:tcW w:w="993" w:type="dxa"/>
            <w:tcBorders>
              <w:top w:val="nil"/>
              <w:left w:val="nil"/>
              <w:bottom w:val="nil"/>
              <w:right w:val="nil"/>
            </w:tcBorders>
            <w:shd w:val="clear" w:color="auto" w:fill="auto"/>
            <w:noWrap/>
            <w:vAlign w:val="bottom"/>
            <w:hideMark/>
          </w:tcPr>
          <w:p w14:paraId="16BA031E" w14:textId="77777777" w:rsidR="00616741" w:rsidRPr="009C2B66" w:rsidRDefault="00616741" w:rsidP="00616741">
            <w:pPr>
              <w:spacing w:after="0" w:line="240" w:lineRule="auto"/>
              <w:rPr>
                <w:rFonts w:eastAsia="Times New Roman" w:cstheme="minorHAnsi"/>
                <w:b/>
                <w:color w:val="000000"/>
                <w:lang w:eastAsia="tr-TR"/>
              </w:rPr>
            </w:pPr>
            <w:r w:rsidRPr="009C2B66">
              <w:rPr>
                <w:rFonts w:eastAsia="Times New Roman" w:cstheme="minorHAnsi"/>
                <w:b/>
                <w:color w:val="000000"/>
                <w:lang w:eastAsia="tr-TR"/>
              </w:rPr>
              <w:t>16.7%</w:t>
            </w:r>
          </w:p>
        </w:tc>
      </w:tr>
      <w:tr w:rsidR="00616741" w:rsidRPr="009C2B66" w14:paraId="228EB6B7" w14:textId="77777777" w:rsidTr="00616741">
        <w:trPr>
          <w:trHeight w:val="269"/>
        </w:trPr>
        <w:tc>
          <w:tcPr>
            <w:tcW w:w="2694" w:type="dxa"/>
            <w:tcBorders>
              <w:top w:val="nil"/>
              <w:left w:val="nil"/>
              <w:bottom w:val="nil"/>
              <w:right w:val="single" w:sz="4" w:space="0" w:color="auto"/>
            </w:tcBorders>
            <w:shd w:val="clear" w:color="auto" w:fill="auto"/>
            <w:noWrap/>
            <w:vAlign w:val="bottom"/>
            <w:hideMark/>
          </w:tcPr>
          <w:p w14:paraId="6B25CA36"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İlköğretim</w:t>
            </w:r>
          </w:p>
        </w:tc>
        <w:tc>
          <w:tcPr>
            <w:tcW w:w="1134" w:type="dxa"/>
            <w:tcBorders>
              <w:top w:val="nil"/>
              <w:left w:val="nil"/>
              <w:bottom w:val="nil"/>
              <w:right w:val="nil"/>
            </w:tcBorders>
            <w:shd w:val="clear" w:color="auto" w:fill="auto"/>
            <w:noWrap/>
            <w:vAlign w:val="bottom"/>
            <w:hideMark/>
          </w:tcPr>
          <w:p w14:paraId="23CB6D3C"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179 422</w:t>
            </w:r>
          </w:p>
        </w:tc>
        <w:tc>
          <w:tcPr>
            <w:tcW w:w="850" w:type="dxa"/>
            <w:tcBorders>
              <w:top w:val="nil"/>
              <w:left w:val="nil"/>
              <w:bottom w:val="nil"/>
              <w:right w:val="single" w:sz="4" w:space="0" w:color="auto"/>
            </w:tcBorders>
            <w:shd w:val="clear" w:color="auto" w:fill="auto"/>
            <w:noWrap/>
            <w:vAlign w:val="bottom"/>
            <w:hideMark/>
          </w:tcPr>
          <w:p w14:paraId="4E2A54C3" w14:textId="77777777" w:rsidR="00616741" w:rsidRPr="009C2B66" w:rsidRDefault="00616741" w:rsidP="00616741">
            <w:pPr>
              <w:spacing w:after="0" w:line="240" w:lineRule="auto"/>
              <w:rPr>
                <w:rFonts w:eastAsia="Times New Roman" w:cstheme="minorHAnsi"/>
                <w:b/>
                <w:color w:val="000000"/>
                <w:lang w:eastAsia="tr-TR"/>
              </w:rPr>
            </w:pPr>
            <w:r w:rsidRPr="009C2B66">
              <w:rPr>
                <w:rFonts w:eastAsia="Times New Roman" w:cstheme="minorHAnsi"/>
                <w:b/>
                <w:color w:val="000000"/>
                <w:lang w:eastAsia="tr-TR"/>
              </w:rPr>
              <w:t>35.4%</w:t>
            </w:r>
          </w:p>
        </w:tc>
        <w:tc>
          <w:tcPr>
            <w:tcW w:w="1134" w:type="dxa"/>
            <w:tcBorders>
              <w:top w:val="nil"/>
              <w:left w:val="single" w:sz="4" w:space="0" w:color="auto"/>
              <w:bottom w:val="nil"/>
              <w:right w:val="nil"/>
            </w:tcBorders>
            <w:shd w:val="clear" w:color="auto" w:fill="auto"/>
            <w:noWrap/>
            <w:vAlign w:val="bottom"/>
            <w:hideMark/>
          </w:tcPr>
          <w:p w14:paraId="49029EFF"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321 624</w:t>
            </w:r>
          </w:p>
        </w:tc>
        <w:tc>
          <w:tcPr>
            <w:tcW w:w="992" w:type="dxa"/>
            <w:tcBorders>
              <w:top w:val="nil"/>
              <w:left w:val="nil"/>
              <w:bottom w:val="nil"/>
              <w:right w:val="single" w:sz="4" w:space="0" w:color="auto"/>
            </w:tcBorders>
            <w:shd w:val="clear" w:color="auto" w:fill="auto"/>
            <w:noWrap/>
            <w:vAlign w:val="bottom"/>
            <w:hideMark/>
          </w:tcPr>
          <w:p w14:paraId="049A7488" w14:textId="77777777" w:rsidR="00616741" w:rsidRPr="009C2B66" w:rsidRDefault="00616741" w:rsidP="00616741">
            <w:pPr>
              <w:spacing w:after="0" w:line="240" w:lineRule="auto"/>
              <w:rPr>
                <w:rFonts w:eastAsia="Times New Roman" w:cstheme="minorHAnsi"/>
                <w:b/>
                <w:color w:val="000000"/>
                <w:lang w:eastAsia="tr-TR"/>
              </w:rPr>
            </w:pPr>
            <w:r w:rsidRPr="009C2B66">
              <w:rPr>
                <w:rFonts w:eastAsia="Times New Roman" w:cstheme="minorHAnsi"/>
                <w:b/>
                <w:color w:val="000000"/>
                <w:lang w:eastAsia="tr-TR"/>
              </w:rPr>
              <w:t>41.0%</w:t>
            </w:r>
          </w:p>
        </w:tc>
        <w:tc>
          <w:tcPr>
            <w:tcW w:w="1134" w:type="dxa"/>
            <w:tcBorders>
              <w:top w:val="nil"/>
              <w:left w:val="nil"/>
              <w:bottom w:val="nil"/>
              <w:right w:val="nil"/>
            </w:tcBorders>
            <w:shd w:val="clear" w:color="auto" w:fill="auto"/>
            <w:noWrap/>
            <w:vAlign w:val="bottom"/>
            <w:hideMark/>
          </w:tcPr>
          <w:p w14:paraId="34753B5B"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501 046</w:t>
            </w:r>
          </w:p>
        </w:tc>
        <w:tc>
          <w:tcPr>
            <w:tcW w:w="993" w:type="dxa"/>
            <w:tcBorders>
              <w:top w:val="nil"/>
              <w:left w:val="nil"/>
              <w:bottom w:val="nil"/>
              <w:right w:val="nil"/>
            </w:tcBorders>
            <w:shd w:val="clear" w:color="auto" w:fill="auto"/>
            <w:noWrap/>
            <w:vAlign w:val="bottom"/>
            <w:hideMark/>
          </w:tcPr>
          <w:p w14:paraId="1072E382" w14:textId="77777777" w:rsidR="00616741" w:rsidRPr="009C2B66" w:rsidRDefault="00616741" w:rsidP="00616741">
            <w:pPr>
              <w:spacing w:after="0" w:line="240" w:lineRule="auto"/>
              <w:rPr>
                <w:rFonts w:eastAsia="Times New Roman" w:cstheme="minorHAnsi"/>
                <w:b/>
                <w:color w:val="000000"/>
                <w:lang w:eastAsia="tr-TR"/>
              </w:rPr>
            </w:pPr>
            <w:r w:rsidRPr="009C2B66">
              <w:rPr>
                <w:rFonts w:eastAsia="Times New Roman" w:cstheme="minorHAnsi"/>
                <w:b/>
                <w:color w:val="000000"/>
                <w:lang w:eastAsia="tr-TR"/>
              </w:rPr>
              <w:t>38.8%</w:t>
            </w:r>
          </w:p>
        </w:tc>
      </w:tr>
      <w:tr w:rsidR="00616741" w:rsidRPr="009C2B66" w14:paraId="07849EBD" w14:textId="77777777" w:rsidTr="00616741">
        <w:trPr>
          <w:trHeight w:val="269"/>
        </w:trPr>
        <w:tc>
          <w:tcPr>
            <w:tcW w:w="2694" w:type="dxa"/>
            <w:tcBorders>
              <w:top w:val="nil"/>
              <w:left w:val="nil"/>
              <w:bottom w:val="nil"/>
              <w:right w:val="single" w:sz="4" w:space="0" w:color="auto"/>
            </w:tcBorders>
            <w:shd w:val="clear" w:color="auto" w:fill="auto"/>
            <w:noWrap/>
            <w:vAlign w:val="bottom"/>
            <w:hideMark/>
          </w:tcPr>
          <w:p w14:paraId="58043EB4"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Genel lise</w:t>
            </w:r>
          </w:p>
        </w:tc>
        <w:tc>
          <w:tcPr>
            <w:tcW w:w="1134" w:type="dxa"/>
            <w:tcBorders>
              <w:top w:val="nil"/>
              <w:left w:val="nil"/>
              <w:bottom w:val="nil"/>
              <w:right w:val="nil"/>
            </w:tcBorders>
            <w:shd w:val="clear" w:color="auto" w:fill="auto"/>
            <w:noWrap/>
            <w:vAlign w:val="bottom"/>
            <w:hideMark/>
          </w:tcPr>
          <w:p w14:paraId="35E67062"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142 373</w:t>
            </w:r>
          </w:p>
        </w:tc>
        <w:tc>
          <w:tcPr>
            <w:tcW w:w="850" w:type="dxa"/>
            <w:tcBorders>
              <w:top w:val="nil"/>
              <w:left w:val="nil"/>
              <w:bottom w:val="nil"/>
              <w:right w:val="single" w:sz="4" w:space="0" w:color="auto"/>
            </w:tcBorders>
            <w:shd w:val="clear" w:color="auto" w:fill="auto"/>
            <w:noWrap/>
            <w:vAlign w:val="bottom"/>
            <w:hideMark/>
          </w:tcPr>
          <w:p w14:paraId="64723624"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28.1%</w:t>
            </w:r>
          </w:p>
        </w:tc>
        <w:tc>
          <w:tcPr>
            <w:tcW w:w="1134" w:type="dxa"/>
            <w:tcBorders>
              <w:top w:val="nil"/>
              <w:left w:val="single" w:sz="4" w:space="0" w:color="auto"/>
              <w:bottom w:val="nil"/>
              <w:right w:val="nil"/>
            </w:tcBorders>
            <w:shd w:val="clear" w:color="auto" w:fill="auto"/>
            <w:noWrap/>
            <w:vAlign w:val="bottom"/>
            <w:hideMark/>
          </w:tcPr>
          <w:p w14:paraId="0C93FB6B"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170 542</w:t>
            </w:r>
          </w:p>
        </w:tc>
        <w:tc>
          <w:tcPr>
            <w:tcW w:w="992" w:type="dxa"/>
            <w:tcBorders>
              <w:top w:val="nil"/>
              <w:left w:val="nil"/>
              <w:bottom w:val="nil"/>
              <w:right w:val="single" w:sz="4" w:space="0" w:color="auto"/>
            </w:tcBorders>
            <w:shd w:val="clear" w:color="auto" w:fill="auto"/>
            <w:noWrap/>
            <w:vAlign w:val="bottom"/>
            <w:hideMark/>
          </w:tcPr>
          <w:p w14:paraId="2420E069"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21.7%</w:t>
            </w:r>
          </w:p>
        </w:tc>
        <w:tc>
          <w:tcPr>
            <w:tcW w:w="1134" w:type="dxa"/>
            <w:tcBorders>
              <w:top w:val="nil"/>
              <w:left w:val="nil"/>
              <w:bottom w:val="nil"/>
              <w:right w:val="nil"/>
            </w:tcBorders>
            <w:shd w:val="clear" w:color="auto" w:fill="auto"/>
            <w:noWrap/>
            <w:vAlign w:val="bottom"/>
            <w:hideMark/>
          </w:tcPr>
          <w:p w14:paraId="1C4DD9E3"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312 915</w:t>
            </w:r>
          </w:p>
        </w:tc>
        <w:tc>
          <w:tcPr>
            <w:tcW w:w="993" w:type="dxa"/>
            <w:tcBorders>
              <w:top w:val="nil"/>
              <w:left w:val="nil"/>
              <w:bottom w:val="nil"/>
              <w:right w:val="nil"/>
            </w:tcBorders>
            <w:shd w:val="clear" w:color="auto" w:fill="auto"/>
            <w:noWrap/>
            <w:vAlign w:val="bottom"/>
            <w:hideMark/>
          </w:tcPr>
          <w:p w14:paraId="71ACA6B7"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24.2%</w:t>
            </w:r>
          </w:p>
        </w:tc>
      </w:tr>
      <w:tr w:rsidR="00616741" w:rsidRPr="009C2B66" w14:paraId="54A35BD0" w14:textId="77777777" w:rsidTr="00616741">
        <w:trPr>
          <w:trHeight w:val="269"/>
        </w:trPr>
        <w:tc>
          <w:tcPr>
            <w:tcW w:w="2694" w:type="dxa"/>
            <w:tcBorders>
              <w:top w:val="nil"/>
              <w:left w:val="nil"/>
              <w:bottom w:val="nil"/>
              <w:right w:val="single" w:sz="4" w:space="0" w:color="auto"/>
            </w:tcBorders>
            <w:shd w:val="clear" w:color="auto" w:fill="auto"/>
            <w:noWrap/>
            <w:vAlign w:val="bottom"/>
            <w:hideMark/>
          </w:tcPr>
          <w:p w14:paraId="05CA6DA3"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Mesleki veya teknik lise</w:t>
            </w:r>
          </w:p>
        </w:tc>
        <w:tc>
          <w:tcPr>
            <w:tcW w:w="1134" w:type="dxa"/>
            <w:tcBorders>
              <w:top w:val="nil"/>
              <w:left w:val="nil"/>
              <w:bottom w:val="nil"/>
              <w:right w:val="nil"/>
            </w:tcBorders>
            <w:shd w:val="clear" w:color="auto" w:fill="auto"/>
            <w:noWrap/>
            <w:vAlign w:val="bottom"/>
            <w:hideMark/>
          </w:tcPr>
          <w:p w14:paraId="41DCC9CD"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120 289</w:t>
            </w:r>
          </w:p>
        </w:tc>
        <w:tc>
          <w:tcPr>
            <w:tcW w:w="850" w:type="dxa"/>
            <w:tcBorders>
              <w:top w:val="nil"/>
              <w:left w:val="nil"/>
              <w:bottom w:val="nil"/>
              <w:right w:val="single" w:sz="4" w:space="0" w:color="auto"/>
            </w:tcBorders>
            <w:shd w:val="clear" w:color="auto" w:fill="auto"/>
            <w:noWrap/>
            <w:vAlign w:val="bottom"/>
            <w:hideMark/>
          </w:tcPr>
          <w:p w14:paraId="4E36912B"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23.7%</w:t>
            </w:r>
          </w:p>
        </w:tc>
        <w:tc>
          <w:tcPr>
            <w:tcW w:w="1134" w:type="dxa"/>
            <w:tcBorders>
              <w:top w:val="nil"/>
              <w:left w:val="single" w:sz="4" w:space="0" w:color="auto"/>
              <w:bottom w:val="nil"/>
              <w:right w:val="nil"/>
            </w:tcBorders>
            <w:shd w:val="clear" w:color="auto" w:fill="auto"/>
            <w:noWrap/>
            <w:vAlign w:val="bottom"/>
            <w:hideMark/>
          </w:tcPr>
          <w:p w14:paraId="1E6BF457"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134 721</w:t>
            </w:r>
          </w:p>
        </w:tc>
        <w:tc>
          <w:tcPr>
            <w:tcW w:w="992" w:type="dxa"/>
            <w:tcBorders>
              <w:top w:val="nil"/>
              <w:left w:val="nil"/>
              <w:bottom w:val="nil"/>
              <w:right w:val="single" w:sz="4" w:space="0" w:color="auto"/>
            </w:tcBorders>
            <w:shd w:val="clear" w:color="auto" w:fill="auto"/>
            <w:noWrap/>
            <w:vAlign w:val="bottom"/>
            <w:hideMark/>
          </w:tcPr>
          <w:p w14:paraId="2E897FA7"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17.2%</w:t>
            </w:r>
          </w:p>
        </w:tc>
        <w:tc>
          <w:tcPr>
            <w:tcW w:w="1134" w:type="dxa"/>
            <w:tcBorders>
              <w:top w:val="nil"/>
              <w:left w:val="nil"/>
              <w:bottom w:val="nil"/>
              <w:right w:val="nil"/>
            </w:tcBorders>
            <w:shd w:val="clear" w:color="auto" w:fill="auto"/>
            <w:noWrap/>
            <w:vAlign w:val="bottom"/>
            <w:hideMark/>
          </w:tcPr>
          <w:p w14:paraId="6BF2FF89"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255 010</w:t>
            </w:r>
          </w:p>
        </w:tc>
        <w:tc>
          <w:tcPr>
            <w:tcW w:w="993" w:type="dxa"/>
            <w:tcBorders>
              <w:top w:val="nil"/>
              <w:left w:val="nil"/>
              <w:bottom w:val="nil"/>
              <w:right w:val="nil"/>
            </w:tcBorders>
            <w:shd w:val="clear" w:color="auto" w:fill="auto"/>
            <w:noWrap/>
            <w:vAlign w:val="bottom"/>
            <w:hideMark/>
          </w:tcPr>
          <w:p w14:paraId="64420AC0"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19.8%</w:t>
            </w:r>
          </w:p>
        </w:tc>
      </w:tr>
      <w:tr w:rsidR="00616741" w:rsidRPr="009C2B66" w14:paraId="5AD1485E" w14:textId="77777777" w:rsidTr="00616741">
        <w:trPr>
          <w:trHeight w:val="269"/>
        </w:trPr>
        <w:tc>
          <w:tcPr>
            <w:tcW w:w="2694" w:type="dxa"/>
            <w:tcBorders>
              <w:top w:val="nil"/>
              <w:left w:val="nil"/>
              <w:bottom w:val="single" w:sz="4" w:space="0" w:color="auto"/>
              <w:right w:val="single" w:sz="4" w:space="0" w:color="auto"/>
            </w:tcBorders>
            <w:shd w:val="clear" w:color="auto" w:fill="auto"/>
            <w:noWrap/>
            <w:vAlign w:val="bottom"/>
            <w:hideMark/>
          </w:tcPr>
          <w:p w14:paraId="1A062244"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Yüksekokul, fakülte ve üzeri</w:t>
            </w:r>
          </w:p>
        </w:tc>
        <w:tc>
          <w:tcPr>
            <w:tcW w:w="1134" w:type="dxa"/>
            <w:tcBorders>
              <w:top w:val="nil"/>
              <w:left w:val="nil"/>
              <w:bottom w:val="single" w:sz="4" w:space="0" w:color="auto"/>
              <w:right w:val="nil"/>
            </w:tcBorders>
            <w:shd w:val="clear" w:color="auto" w:fill="auto"/>
            <w:noWrap/>
            <w:vAlign w:val="bottom"/>
            <w:hideMark/>
          </w:tcPr>
          <w:p w14:paraId="785D4D29"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2 060</w:t>
            </w:r>
          </w:p>
        </w:tc>
        <w:tc>
          <w:tcPr>
            <w:tcW w:w="850" w:type="dxa"/>
            <w:tcBorders>
              <w:top w:val="nil"/>
              <w:left w:val="nil"/>
              <w:bottom w:val="single" w:sz="4" w:space="0" w:color="auto"/>
              <w:right w:val="single" w:sz="4" w:space="0" w:color="auto"/>
            </w:tcBorders>
            <w:shd w:val="clear" w:color="auto" w:fill="auto"/>
            <w:noWrap/>
            <w:vAlign w:val="bottom"/>
            <w:hideMark/>
          </w:tcPr>
          <w:p w14:paraId="2E662285"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0.4%</w:t>
            </w:r>
          </w:p>
        </w:tc>
        <w:tc>
          <w:tcPr>
            <w:tcW w:w="1134" w:type="dxa"/>
            <w:tcBorders>
              <w:top w:val="nil"/>
              <w:left w:val="single" w:sz="4" w:space="0" w:color="auto"/>
              <w:bottom w:val="single" w:sz="4" w:space="0" w:color="auto"/>
              <w:right w:val="nil"/>
            </w:tcBorders>
            <w:shd w:val="clear" w:color="auto" w:fill="auto"/>
            <w:noWrap/>
            <w:vAlign w:val="bottom"/>
            <w:hideMark/>
          </w:tcPr>
          <w:p w14:paraId="1F470F47"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3 833</w:t>
            </w:r>
          </w:p>
        </w:tc>
        <w:tc>
          <w:tcPr>
            <w:tcW w:w="992" w:type="dxa"/>
            <w:tcBorders>
              <w:top w:val="nil"/>
              <w:left w:val="nil"/>
              <w:bottom w:val="single" w:sz="4" w:space="0" w:color="auto"/>
              <w:right w:val="single" w:sz="4" w:space="0" w:color="auto"/>
            </w:tcBorders>
            <w:shd w:val="clear" w:color="auto" w:fill="auto"/>
            <w:noWrap/>
            <w:vAlign w:val="bottom"/>
            <w:hideMark/>
          </w:tcPr>
          <w:p w14:paraId="0421CACC"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0.5%</w:t>
            </w:r>
          </w:p>
        </w:tc>
        <w:tc>
          <w:tcPr>
            <w:tcW w:w="1134" w:type="dxa"/>
            <w:tcBorders>
              <w:top w:val="nil"/>
              <w:left w:val="nil"/>
              <w:bottom w:val="single" w:sz="4" w:space="0" w:color="auto"/>
              <w:right w:val="nil"/>
            </w:tcBorders>
            <w:shd w:val="clear" w:color="auto" w:fill="auto"/>
            <w:noWrap/>
            <w:vAlign w:val="bottom"/>
            <w:hideMark/>
          </w:tcPr>
          <w:p w14:paraId="1F6DA9D6"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5 893</w:t>
            </w:r>
          </w:p>
        </w:tc>
        <w:tc>
          <w:tcPr>
            <w:tcW w:w="993" w:type="dxa"/>
            <w:tcBorders>
              <w:top w:val="nil"/>
              <w:left w:val="nil"/>
              <w:bottom w:val="single" w:sz="4" w:space="0" w:color="auto"/>
              <w:right w:val="nil"/>
            </w:tcBorders>
            <w:shd w:val="clear" w:color="auto" w:fill="auto"/>
            <w:noWrap/>
            <w:vAlign w:val="bottom"/>
            <w:hideMark/>
          </w:tcPr>
          <w:p w14:paraId="4D193349"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0.5%</w:t>
            </w:r>
          </w:p>
        </w:tc>
      </w:tr>
      <w:tr w:rsidR="00616741" w:rsidRPr="009C2B66" w14:paraId="2D1127D3" w14:textId="77777777" w:rsidTr="00616741">
        <w:trPr>
          <w:trHeight w:val="269"/>
        </w:trPr>
        <w:tc>
          <w:tcPr>
            <w:tcW w:w="2694" w:type="dxa"/>
            <w:tcBorders>
              <w:top w:val="nil"/>
              <w:left w:val="nil"/>
              <w:bottom w:val="nil"/>
              <w:right w:val="single" w:sz="4" w:space="0" w:color="auto"/>
            </w:tcBorders>
            <w:shd w:val="clear" w:color="auto" w:fill="auto"/>
            <w:noWrap/>
            <w:vAlign w:val="bottom"/>
            <w:hideMark/>
          </w:tcPr>
          <w:p w14:paraId="29D2179D"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Toplam</w:t>
            </w:r>
          </w:p>
        </w:tc>
        <w:tc>
          <w:tcPr>
            <w:tcW w:w="1134" w:type="dxa"/>
            <w:tcBorders>
              <w:top w:val="nil"/>
              <w:left w:val="nil"/>
              <w:bottom w:val="nil"/>
              <w:right w:val="nil"/>
            </w:tcBorders>
            <w:shd w:val="clear" w:color="auto" w:fill="auto"/>
            <w:noWrap/>
            <w:vAlign w:val="bottom"/>
            <w:hideMark/>
          </w:tcPr>
          <w:p w14:paraId="7BE0B73A"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506 917</w:t>
            </w:r>
          </w:p>
        </w:tc>
        <w:tc>
          <w:tcPr>
            <w:tcW w:w="850" w:type="dxa"/>
            <w:tcBorders>
              <w:top w:val="nil"/>
              <w:left w:val="nil"/>
              <w:bottom w:val="nil"/>
              <w:right w:val="single" w:sz="4" w:space="0" w:color="auto"/>
            </w:tcBorders>
            <w:shd w:val="clear" w:color="auto" w:fill="auto"/>
            <w:noWrap/>
            <w:vAlign w:val="bottom"/>
            <w:hideMark/>
          </w:tcPr>
          <w:p w14:paraId="76E21A10"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100.0%</w:t>
            </w:r>
          </w:p>
        </w:tc>
        <w:tc>
          <w:tcPr>
            <w:tcW w:w="1134" w:type="dxa"/>
            <w:tcBorders>
              <w:top w:val="nil"/>
              <w:left w:val="single" w:sz="4" w:space="0" w:color="auto"/>
              <w:bottom w:val="nil"/>
              <w:right w:val="nil"/>
            </w:tcBorders>
            <w:shd w:val="clear" w:color="auto" w:fill="auto"/>
            <w:noWrap/>
            <w:vAlign w:val="bottom"/>
            <w:hideMark/>
          </w:tcPr>
          <w:p w14:paraId="5B0ECA87"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784 157</w:t>
            </w:r>
          </w:p>
        </w:tc>
        <w:tc>
          <w:tcPr>
            <w:tcW w:w="992" w:type="dxa"/>
            <w:tcBorders>
              <w:top w:val="nil"/>
              <w:left w:val="nil"/>
              <w:bottom w:val="nil"/>
              <w:right w:val="single" w:sz="4" w:space="0" w:color="auto"/>
            </w:tcBorders>
            <w:shd w:val="clear" w:color="auto" w:fill="auto"/>
            <w:noWrap/>
            <w:vAlign w:val="bottom"/>
            <w:hideMark/>
          </w:tcPr>
          <w:p w14:paraId="617C7A7A"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100.0%</w:t>
            </w:r>
          </w:p>
        </w:tc>
        <w:tc>
          <w:tcPr>
            <w:tcW w:w="1134" w:type="dxa"/>
            <w:tcBorders>
              <w:top w:val="nil"/>
              <w:left w:val="nil"/>
              <w:bottom w:val="nil"/>
              <w:right w:val="nil"/>
            </w:tcBorders>
            <w:shd w:val="clear" w:color="auto" w:fill="auto"/>
            <w:noWrap/>
            <w:vAlign w:val="bottom"/>
            <w:hideMark/>
          </w:tcPr>
          <w:p w14:paraId="7F738790"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1 291 073</w:t>
            </w:r>
          </w:p>
        </w:tc>
        <w:tc>
          <w:tcPr>
            <w:tcW w:w="993" w:type="dxa"/>
            <w:tcBorders>
              <w:top w:val="nil"/>
              <w:left w:val="nil"/>
              <w:bottom w:val="nil"/>
              <w:right w:val="nil"/>
            </w:tcBorders>
            <w:shd w:val="clear" w:color="auto" w:fill="auto"/>
            <w:noWrap/>
            <w:vAlign w:val="bottom"/>
            <w:hideMark/>
          </w:tcPr>
          <w:p w14:paraId="0E249913" w14:textId="77777777" w:rsidR="00616741" w:rsidRPr="009C2B66" w:rsidRDefault="00616741" w:rsidP="00616741">
            <w:pPr>
              <w:spacing w:after="0" w:line="240" w:lineRule="auto"/>
              <w:rPr>
                <w:rFonts w:eastAsia="Times New Roman" w:cstheme="minorHAnsi"/>
                <w:color w:val="000000"/>
                <w:lang w:eastAsia="tr-TR"/>
              </w:rPr>
            </w:pPr>
            <w:r w:rsidRPr="009C2B66">
              <w:rPr>
                <w:rFonts w:eastAsia="Times New Roman" w:cstheme="minorHAnsi"/>
                <w:color w:val="000000"/>
                <w:lang w:eastAsia="tr-TR"/>
              </w:rPr>
              <w:t>100.0%</w:t>
            </w:r>
          </w:p>
        </w:tc>
      </w:tr>
    </w:tbl>
    <w:p w14:paraId="06318CCB" w14:textId="0B04FB90" w:rsidR="00616741" w:rsidRPr="009C2B66" w:rsidRDefault="005E6746" w:rsidP="00207039">
      <w:pPr>
        <w:jc w:val="both"/>
        <w:rPr>
          <w:rFonts w:cstheme="minorHAnsi"/>
        </w:rPr>
      </w:pPr>
      <w:r>
        <w:rPr>
          <w:rFonts w:cstheme="minorHAnsi"/>
        </w:rPr>
        <w:br/>
        <w:t>Kaynak: Hanehalkı İşgücü Anketi, 2017; Betam hesaplamaları</w:t>
      </w:r>
    </w:p>
    <w:p w14:paraId="35F2F1A2" w14:textId="77777777" w:rsidR="00034395" w:rsidRPr="009C2B66" w:rsidRDefault="00857889" w:rsidP="00207039">
      <w:pPr>
        <w:jc w:val="both"/>
        <w:rPr>
          <w:rFonts w:cstheme="minorHAnsi"/>
        </w:rPr>
      </w:pPr>
      <w:r w:rsidRPr="009C2B66">
        <w:rPr>
          <w:rFonts w:cstheme="minorHAnsi"/>
        </w:rPr>
        <w:lastRenderedPageBreak/>
        <w:t xml:space="preserve">2017 itibariyle ne eğitimde ne istihdamda olan 216 bin gencin hiçbir okul bitirmemiş olmaması çarpıcıdır. </w:t>
      </w:r>
      <w:r w:rsidR="00F269D3" w:rsidRPr="009C2B66">
        <w:rPr>
          <w:rFonts w:cstheme="minorHAnsi"/>
        </w:rPr>
        <w:t xml:space="preserve">500 bin genç ise ancak ilköğretim mezunudur. </w:t>
      </w:r>
      <w:r w:rsidR="00FA265F" w:rsidRPr="009C2B66">
        <w:rPr>
          <w:rFonts w:cstheme="minorHAnsi"/>
        </w:rPr>
        <w:t xml:space="preserve">Eğitim sistemine devam etmediğini belirten 15-19 yaş aralığındaki neredeyse 720 bin gencin ilköğretim mezunu olması, bu gençlerin sadece mevcut işgücü piyasasında değil, yaşamları ilerledikçe karşılaşacakları işgücü piyasası koşulları karşısında da zor durumda kalacaklarına işaret etmektedir. </w:t>
      </w:r>
      <w:r w:rsidR="00034395" w:rsidRPr="009C2B66">
        <w:rPr>
          <w:rFonts w:cstheme="minorHAnsi"/>
        </w:rPr>
        <w:t xml:space="preserve">Bu yaş grubundaki yaklaşık 560 bin gencin de lise ya da meslek lisesi mezunu olarak eğitime devam etmeyi bıraktıkları görülmektedir. </w:t>
      </w:r>
    </w:p>
    <w:p w14:paraId="442C9BEF" w14:textId="4CE5FA36" w:rsidR="00A45367" w:rsidRPr="009C2B66" w:rsidRDefault="00FE6C35" w:rsidP="00207039">
      <w:pPr>
        <w:jc w:val="both"/>
        <w:rPr>
          <w:rFonts w:cstheme="minorHAnsi"/>
        </w:rPr>
      </w:pPr>
      <w:r w:rsidRPr="009C2B66">
        <w:rPr>
          <w:rFonts w:cstheme="minorHAnsi"/>
        </w:rPr>
        <w:t>Ne istihdamda ne eğitimde olan gençlerin oranının bu denli yüksek olmasının nedenlerini sorgulamaya işgücüne neden katılmadıklarına yani neden</w:t>
      </w:r>
      <w:r w:rsidR="00C21A06" w:rsidRPr="009C2B66">
        <w:rPr>
          <w:rFonts w:cstheme="minorHAnsi"/>
        </w:rPr>
        <w:t xml:space="preserve"> iş aramadıklarına bakarak devam edilebilir</w:t>
      </w:r>
      <w:r w:rsidRPr="009C2B66">
        <w:rPr>
          <w:rFonts w:cstheme="minorHAnsi"/>
        </w:rPr>
        <w:t xml:space="preserve">. </w:t>
      </w:r>
      <w:r w:rsidR="006A1D4E" w:rsidRPr="009C2B66">
        <w:rPr>
          <w:rFonts w:cstheme="minorHAnsi"/>
        </w:rPr>
        <w:t>Tablo 4, 2017 yılında ne istihdamda ne de eğitimde olan gençlerin iş aramama sebeplerini</w:t>
      </w:r>
      <w:r w:rsidR="00F269D3" w:rsidRPr="009C2B66">
        <w:rPr>
          <w:rFonts w:cstheme="minorHAnsi"/>
        </w:rPr>
        <w:t xml:space="preserve"> cinsiyet ayrımında</w:t>
      </w:r>
      <w:r w:rsidR="006A1D4E" w:rsidRPr="009C2B66">
        <w:rPr>
          <w:rFonts w:cstheme="minorHAnsi"/>
        </w:rPr>
        <w:t xml:space="preserve"> göstermektedir. </w:t>
      </w:r>
    </w:p>
    <w:p w14:paraId="2DBCD391" w14:textId="77777777" w:rsidR="002925E9" w:rsidRPr="009C2B66" w:rsidRDefault="002925E9" w:rsidP="00207039">
      <w:pPr>
        <w:jc w:val="both"/>
        <w:rPr>
          <w:rFonts w:cstheme="minorHAnsi"/>
        </w:rPr>
      </w:pPr>
    </w:p>
    <w:p w14:paraId="7E66EF9F" w14:textId="77777777" w:rsidR="00895567" w:rsidRPr="009C2B66" w:rsidRDefault="00895567" w:rsidP="00207039">
      <w:pPr>
        <w:jc w:val="both"/>
        <w:rPr>
          <w:rFonts w:cstheme="minorHAnsi"/>
        </w:rPr>
      </w:pPr>
      <w:r w:rsidRPr="009C2B66">
        <w:rPr>
          <w:rFonts w:cstheme="minorHAnsi"/>
        </w:rPr>
        <w:t>Tablo 4: NENİ’lerin iş aramama nedenleri, 2017</w:t>
      </w:r>
      <w:r w:rsidR="006D1D71" w:rsidRPr="009C2B66">
        <w:rPr>
          <w:rFonts w:cstheme="minorHAnsi"/>
        </w:rPr>
        <w:t xml:space="preserve"> </w:t>
      </w:r>
    </w:p>
    <w:tbl>
      <w:tblPr>
        <w:tblW w:w="10297" w:type="dxa"/>
        <w:tblInd w:w="-284" w:type="dxa"/>
        <w:tblCellMar>
          <w:left w:w="70" w:type="dxa"/>
          <w:right w:w="70" w:type="dxa"/>
        </w:tblCellMar>
        <w:tblLook w:val="04A0" w:firstRow="1" w:lastRow="0" w:firstColumn="1" w:lastColumn="0" w:noHBand="0" w:noVBand="1"/>
      </w:tblPr>
      <w:tblGrid>
        <w:gridCol w:w="4679"/>
        <w:gridCol w:w="992"/>
        <w:gridCol w:w="850"/>
        <w:gridCol w:w="993"/>
        <w:gridCol w:w="850"/>
        <w:gridCol w:w="1134"/>
        <w:gridCol w:w="688"/>
        <w:gridCol w:w="111"/>
      </w:tblGrid>
      <w:tr w:rsidR="006A1D4E" w:rsidRPr="009C2B66" w14:paraId="7814A9AA" w14:textId="77777777" w:rsidTr="003B7B06">
        <w:trPr>
          <w:trHeight w:val="176"/>
        </w:trPr>
        <w:tc>
          <w:tcPr>
            <w:tcW w:w="4679" w:type="dxa"/>
            <w:tcBorders>
              <w:top w:val="nil"/>
              <w:left w:val="nil"/>
              <w:bottom w:val="single" w:sz="4" w:space="0" w:color="auto"/>
              <w:right w:val="single" w:sz="4" w:space="0" w:color="auto"/>
            </w:tcBorders>
            <w:shd w:val="clear" w:color="auto" w:fill="auto"/>
            <w:noWrap/>
            <w:vAlign w:val="bottom"/>
            <w:hideMark/>
          </w:tcPr>
          <w:p w14:paraId="4E0391C2"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İş aramama nedeni</w:t>
            </w:r>
          </w:p>
        </w:tc>
        <w:tc>
          <w:tcPr>
            <w:tcW w:w="1842" w:type="dxa"/>
            <w:gridSpan w:val="2"/>
            <w:tcBorders>
              <w:top w:val="nil"/>
              <w:left w:val="nil"/>
              <w:bottom w:val="single" w:sz="4" w:space="0" w:color="auto"/>
              <w:right w:val="single" w:sz="4" w:space="0" w:color="000000"/>
            </w:tcBorders>
            <w:shd w:val="clear" w:color="auto" w:fill="auto"/>
            <w:noWrap/>
            <w:vAlign w:val="bottom"/>
            <w:hideMark/>
          </w:tcPr>
          <w:p w14:paraId="79FBA800" w14:textId="77777777" w:rsidR="006A1D4E" w:rsidRPr="009C2B66" w:rsidRDefault="006A1D4E" w:rsidP="006A1D4E">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Erkek</w:t>
            </w:r>
          </w:p>
        </w:tc>
        <w:tc>
          <w:tcPr>
            <w:tcW w:w="1843" w:type="dxa"/>
            <w:gridSpan w:val="2"/>
            <w:tcBorders>
              <w:top w:val="nil"/>
              <w:left w:val="nil"/>
              <w:bottom w:val="single" w:sz="4" w:space="0" w:color="auto"/>
              <w:right w:val="single" w:sz="4" w:space="0" w:color="000000"/>
            </w:tcBorders>
            <w:shd w:val="clear" w:color="auto" w:fill="auto"/>
            <w:noWrap/>
            <w:vAlign w:val="bottom"/>
            <w:hideMark/>
          </w:tcPr>
          <w:p w14:paraId="4668F0C0" w14:textId="77777777" w:rsidR="006A1D4E" w:rsidRPr="009C2B66" w:rsidRDefault="006A1D4E" w:rsidP="006A1D4E">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Kadın</w:t>
            </w:r>
          </w:p>
        </w:tc>
        <w:tc>
          <w:tcPr>
            <w:tcW w:w="1933" w:type="dxa"/>
            <w:gridSpan w:val="3"/>
            <w:tcBorders>
              <w:top w:val="nil"/>
              <w:left w:val="nil"/>
              <w:bottom w:val="single" w:sz="4" w:space="0" w:color="auto"/>
              <w:right w:val="nil"/>
            </w:tcBorders>
            <w:shd w:val="clear" w:color="auto" w:fill="auto"/>
            <w:noWrap/>
            <w:vAlign w:val="bottom"/>
            <w:hideMark/>
          </w:tcPr>
          <w:p w14:paraId="42E8CD31" w14:textId="77777777" w:rsidR="006A1D4E" w:rsidRPr="009C2B66" w:rsidRDefault="006A1D4E" w:rsidP="006A1D4E">
            <w:pPr>
              <w:spacing w:after="0" w:line="240" w:lineRule="auto"/>
              <w:jc w:val="center"/>
              <w:rPr>
                <w:rFonts w:eastAsia="Times New Roman" w:cstheme="minorHAnsi"/>
                <w:color w:val="000000"/>
                <w:lang w:eastAsia="tr-TR"/>
              </w:rPr>
            </w:pPr>
            <w:r w:rsidRPr="009C2B66">
              <w:rPr>
                <w:rFonts w:eastAsia="Times New Roman" w:cstheme="minorHAnsi"/>
                <w:color w:val="000000"/>
                <w:lang w:eastAsia="tr-TR"/>
              </w:rPr>
              <w:t>Toplam</w:t>
            </w:r>
          </w:p>
        </w:tc>
      </w:tr>
      <w:tr w:rsidR="006A1D4E" w:rsidRPr="009C2B66" w14:paraId="53B1DA8D" w14:textId="77777777" w:rsidTr="003B7B06">
        <w:trPr>
          <w:trHeight w:val="176"/>
        </w:trPr>
        <w:tc>
          <w:tcPr>
            <w:tcW w:w="4679" w:type="dxa"/>
            <w:tcBorders>
              <w:top w:val="nil"/>
              <w:left w:val="nil"/>
              <w:bottom w:val="nil"/>
              <w:right w:val="single" w:sz="4" w:space="0" w:color="auto"/>
            </w:tcBorders>
            <w:shd w:val="clear" w:color="auto" w:fill="auto"/>
            <w:noWrap/>
            <w:vAlign w:val="bottom"/>
            <w:hideMark/>
          </w:tcPr>
          <w:p w14:paraId="4BBDC8EE"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İş buldu, başlamak için bekliyor</w:t>
            </w:r>
          </w:p>
        </w:tc>
        <w:tc>
          <w:tcPr>
            <w:tcW w:w="992" w:type="dxa"/>
            <w:tcBorders>
              <w:top w:val="nil"/>
              <w:left w:val="nil"/>
              <w:bottom w:val="nil"/>
              <w:right w:val="nil"/>
            </w:tcBorders>
            <w:shd w:val="clear" w:color="auto" w:fill="auto"/>
            <w:noWrap/>
            <w:vAlign w:val="bottom"/>
            <w:hideMark/>
          </w:tcPr>
          <w:p w14:paraId="4AD23B23"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7 240</w:t>
            </w:r>
          </w:p>
        </w:tc>
        <w:tc>
          <w:tcPr>
            <w:tcW w:w="850" w:type="dxa"/>
            <w:tcBorders>
              <w:top w:val="nil"/>
              <w:left w:val="nil"/>
              <w:bottom w:val="nil"/>
              <w:right w:val="single" w:sz="4" w:space="0" w:color="auto"/>
            </w:tcBorders>
            <w:shd w:val="clear" w:color="auto" w:fill="auto"/>
            <w:noWrap/>
            <w:vAlign w:val="bottom"/>
            <w:hideMark/>
          </w:tcPr>
          <w:p w14:paraId="7E337E09"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1.9%</w:t>
            </w:r>
          </w:p>
        </w:tc>
        <w:tc>
          <w:tcPr>
            <w:tcW w:w="993" w:type="dxa"/>
            <w:tcBorders>
              <w:top w:val="nil"/>
              <w:left w:val="nil"/>
              <w:bottom w:val="nil"/>
              <w:right w:val="nil"/>
            </w:tcBorders>
            <w:shd w:val="clear" w:color="auto" w:fill="auto"/>
            <w:noWrap/>
            <w:vAlign w:val="bottom"/>
            <w:hideMark/>
          </w:tcPr>
          <w:p w14:paraId="187714AF"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5 918</w:t>
            </w:r>
          </w:p>
        </w:tc>
        <w:tc>
          <w:tcPr>
            <w:tcW w:w="850" w:type="dxa"/>
            <w:tcBorders>
              <w:top w:val="nil"/>
              <w:left w:val="nil"/>
              <w:bottom w:val="nil"/>
              <w:right w:val="single" w:sz="4" w:space="0" w:color="auto"/>
            </w:tcBorders>
            <w:shd w:val="clear" w:color="auto" w:fill="auto"/>
            <w:noWrap/>
            <w:vAlign w:val="bottom"/>
            <w:hideMark/>
          </w:tcPr>
          <w:p w14:paraId="2B614954"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0.8%</w:t>
            </w:r>
          </w:p>
        </w:tc>
        <w:tc>
          <w:tcPr>
            <w:tcW w:w="1134" w:type="dxa"/>
            <w:tcBorders>
              <w:top w:val="nil"/>
              <w:left w:val="nil"/>
              <w:bottom w:val="nil"/>
              <w:right w:val="nil"/>
            </w:tcBorders>
            <w:shd w:val="clear" w:color="auto" w:fill="auto"/>
            <w:noWrap/>
            <w:vAlign w:val="bottom"/>
            <w:hideMark/>
          </w:tcPr>
          <w:p w14:paraId="4E46E77E"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13 158</w:t>
            </w:r>
          </w:p>
        </w:tc>
        <w:tc>
          <w:tcPr>
            <w:tcW w:w="799" w:type="dxa"/>
            <w:gridSpan w:val="2"/>
            <w:tcBorders>
              <w:top w:val="nil"/>
              <w:left w:val="nil"/>
              <w:bottom w:val="nil"/>
              <w:right w:val="nil"/>
            </w:tcBorders>
            <w:shd w:val="clear" w:color="auto" w:fill="auto"/>
            <w:noWrap/>
            <w:vAlign w:val="bottom"/>
            <w:hideMark/>
          </w:tcPr>
          <w:p w14:paraId="112BADA9"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1.2%</w:t>
            </w:r>
          </w:p>
        </w:tc>
      </w:tr>
      <w:tr w:rsidR="006A1D4E" w:rsidRPr="009C2B66" w14:paraId="3D027452" w14:textId="77777777" w:rsidTr="003B7B06">
        <w:trPr>
          <w:trHeight w:val="176"/>
        </w:trPr>
        <w:tc>
          <w:tcPr>
            <w:tcW w:w="4679" w:type="dxa"/>
            <w:tcBorders>
              <w:top w:val="nil"/>
              <w:left w:val="nil"/>
              <w:bottom w:val="nil"/>
              <w:right w:val="single" w:sz="4" w:space="0" w:color="auto"/>
            </w:tcBorders>
            <w:shd w:val="clear" w:color="auto" w:fill="auto"/>
            <w:noWrap/>
            <w:vAlign w:val="bottom"/>
            <w:hideMark/>
          </w:tcPr>
          <w:p w14:paraId="691A28DD"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Ümidi kırık</w:t>
            </w:r>
          </w:p>
        </w:tc>
        <w:tc>
          <w:tcPr>
            <w:tcW w:w="992" w:type="dxa"/>
            <w:tcBorders>
              <w:top w:val="nil"/>
              <w:left w:val="nil"/>
              <w:bottom w:val="nil"/>
              <w:right w:val="nil"/>
            </w:tcBorders>
            <w:shd w:val="clear" w:color="auto" w:fill="auto"/>
            <w:noWrap/>
            <w:vAlign w:val="bottom"/>
            <w:hideMark/>
          </w:tcPr>
          <w:p w14:paraId="2B9E97BA"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70 009</w:t>
            </w:r>
          </w:p>
        </w:tc>
        <w:tc>
          <w:tcPr>
            <w:tcW w:w="850" w:type="dxa"/>
            <w:tcBorders>
              <w:top w:val="nil"/>
              <w:left w:val="nil"/>
              <w:bottom w:val="nil"/>
              <w:right w:val="single" w:sz="4" w:space="0" w:color="auto"/>
            </w:tcBorders>
            <w:shd w:val="clear" w:color="auto" w:fill="auto"/>
            <w:noWrap/>
            <w:vAlign w:val="bottom"/>
            <w:hideMark/>
          </w:tcPr>
          <w:p w14:paraId="7E2F948E"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18.5%</w:t>
            </w:r>
          </w:p>
        </w:tc>
        <w:tc>
          <w:tcPr>
            <w:tcW w:w="993" w:type="dxa"/>
            <w:tcBorders>
              <w:top w:val="nil"/>
              <w:left w:val="nil"/>
              <w:bottom w:val="nil"/>
              <w:right w:val="nil"/>
            </w:tcBorders>
            <w:shd w:val="clear" w:color="auto" w:fill="auto"/>
            <w:noWrap/>
            <w:vAlign w:val="bottom"/>
            <w:hideMark/>
          </w:tcPr>
          <w:p w14:paraId="02631190"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19 897</w:t>
            </w:r>
          </w:p>
        </w:tc>
        <w:tc>
          <w:tcPr>
            <w:tcW w:w="850" w:type="dxa"/>
            <w:tcBorders>
              <w:top w:val="nil"/>
              <w:left w:val="nil"/>
              <w:bottom w:val="nil"/>
              <w:right w:val="single" w:sz="4" w:space="0" w:color="auto"/>
            </w:tcBorders>
            <w:shd w:val="clear" w:color="auto" w:fill="auto"/>
            <w:noWrap/>
            <w:vAlign w:val="bottom"/>
            <w:hideMark/>
          </w:tcPr>
          <w:p w14:paraId="2DA56C19"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2.8%</w:t>
            </w:r>
          </w:p>
        </w:tc>
        <w:tc>
          <w:tcPr>
            <w:tcW w:w="1134" w:type="dxa"/>
            <w:tcBorders>
              <w:top w:val="nil"/>
              <w:left w:val="nil"/>
              <w:bottom w:val="nil"/>
              <w:right w:val="nil"/>
            </w:tcBorders>
            <w:shd w:val="clear" w:color="auto" w:fill="auto"/>
            <w:noWrap/>
            <w:vAlign w:val="bottom"/>
            <w:hideMark/>
          </w:tcPr>
          <w:p w14:paraId="3E30CA0F"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89 906</w:t>
            </w:r>
          </w:p>
        </w:tc>
        <w:tc>
          <w:tcPr>
            <w:tcW w:w="799" w:type="dxa"/>
            <w:gridSpan w:val="2"/>
            <w:tcBorders>
              <w:top w:val="nil"/>
              <w:left w:val="nil"/>
              <w:bottom w:val="nil"/>
              <w:right w:val="nil"/>
            </w:tcBorders>
            <w:shd w:val="clear" w:color="auto" w:fill="auto"/>
            <w:noWrap/>
            <w:vAlign w:val="bottom"/>
            <w:hideMark/>
          </w:tcPr>
          <w:p w14:paraId="70C47D29"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8.2%</w:t>
            </w:r>
          </w:p>
        </w:tc>
      </w:tr>
      <w:tr w:rsidR="00895567" w:rsidRPr="009C2B66" w14:paraId="7717F3FC" w14:textId="77777777" w:rsidTr="003B7B06">
        <w:trPr>
          <w:trHeight w:val="176"/>
        </w:trPr>
        <w:tc>
          <w:tcPr>
            <w:tcW w:w="4679" w:type="dxa"/>
            <w:tcBorders>
              <w:top w:val="nil"/>
              <w:left w:val="nil"/>
              <w:bottom w:val="nil"/>
              <w:right w:val="single" w:sz="4" w:space="0" w:color="auto"/>
            </w:tcBorders>
            <w:shd w:val="clear" w:color="auto" w:fill="D0CECE" w:themeFill="background2" w:themeFillShade="E6"/>
            <w:noWrap/>
            <w:vAlign w:val="bottom"/>
            <w:hideMark/>
          </w:tcPr>
          <w:p w14:paraId="22355352"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Dershane veya kursa gidiyor</w:t>
            </w:r>
          </w:p>
        </w:tc>
        <w:tc>
          <w:tcPr>
            <w:tcW w:w="992" w:type="dxa"/>
            <w:tcBorders>
              <w:top w:val="nil"/>
              <w:left w:val="nil"/>
              <w:bottom w:val="nil"/>
              <w:right w:val="nil"/>
            </w:tcBorders>
            <w:shd w:val="clear" w:color="auto" w:fill="D0CECE" w:themeFill="background2" w:themeFillShade="E6"/>
            <w:noWrap/>
            <w:vAlign w:val="bottom"/>
            <w:hideMark/>
          </w:tcPr>
          <w:p w14:paraId="72CA28FC"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189 593</w:t>
            </w:r>
          </w:p>
        </w:tc>
        <w:tc>
          <w:tcPr>
            <w:tcW w:w="850" w:type="dxa"/>
            <w:tcBorders>
              <w:top w:val="nil"/>
              <w:left w:val="nil"/>
              <w:bottom w:val="nil"/>
              <w:right w:val="single" w:sz="4" w:space="0" w:color="auto"/>
            </w:tcBorders>
            <w:shd w:val="clear" w:color="auto" w:fill="D0CECE" w:themeFill="background2" w:themeFillShade="E6"/>
            <w:noWrap/>
            <w:vAlign w:val="bottom"/>
            <w:hideMark/>
          </w:tcPr>
          <w:p w14:paraId="50932E3A"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50.2%</w:t>
            </w:r>
          </w:p>
        </w:tc>
        <w:tc>
          <w:tcPr>
            <w:tcW w:w="993" w:type="dxa"/>
            <w:tcBorders>
              <w:top w:val="nil"/>
              <w:left w:val="nil"/>
              <w:bottom w:val="nil"/>
              <w:right w:val="nil"/>
            </w:tcBorders>
            <w:shd w:val="clear" w:color="auto" w:fill="D0CECE" w:themeFill="background2" w:themeFillShade="E6"/>
            <w:noWrap/>
            <w:vAlign w:val="bottom"/>
            <w:hideMark/>
          </w:tcPr>
          <w:p w14:paraId="39614974"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194 236</w:t>
            </w:r>
          </w:p>
        </w:tc>
        <w:tc>
          <w:tcPr>
            <w:tcW w:w="850" w:type="dxa"/>
            <w:tcBorders>
              <w:top w:val="nil"/>
              <w:left w:val="nil"/>
              <w:bottom w:val="nil"/>
              <w:right w:val="single" w:sz="4" w:space="0" w:color="auto"/>
            </w:tcBorders>
            <w:shd w:val="clear" w:color="auto" w:fill="D0CECE" w:themeFill="background2" w:themeFillShade="E6"/>
            <w:noWrap/>
            <w:vAlign w:val="bottom"/>
            <w:hideMark/>
          </w:tcPr>
          <w:p w14:paraId="644BAD92"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27.0%</w:t>
            </w:r>
          </w:p>
        </w:tc>
        <w:tc>
          <w:tcPr>
            <w:tcW w:w="1134" w:type="dxa"/>
            <w:tcBorders>
              <w:top w:val="nil"/>
              <w:left w:val="nil"/>
              <w:bottom w:val="nil"/>
              <w:right w:val="nil"/>
            </w:tcBorders>
            <w:shd w:val="clear" w:color="auto" w:fill="D0CECE" w:themeFill="background2" w:themeFillShade="E6"/>
            <w:noWrap/>
            <w:vAlign w:val="bottom"/>
            <w:hideMark/>
          </w:tcPr>
          <w:p w14:paraId="464EB05A"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383 829</w:t>
            </w:r>
          </w:p>
        </w:tc>
        <w:tc>
          <w:tcPr>
            <w:tcW w:w="799" w:type="dxa"/>
            <w:gridSpan w:val="2"/>
            <w:tcBorders>
              <w:top w:val="nil"/>
              <w:left w:val="nil"/>
              <w:bottom w:val="nil"/>
              <w:right w:val="nil"/>
            </w:tcBorders>
            <w:shd w:val="clear" w:color="auto" w:fill="D0CECE" w:themeFill="background2" w:themeFillShade="E6"/>
            <w:noWrap/>
            <w:vAlign w:val="bottom"/>
            <w:hideMark/>
          </w:tcPr>
          <w:p w14:paraId="53D03F44"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35.0%</w:t>
            </w:r>
          </w:p>
        </w:tc>
      </w:tr>
      <w:tr w:rsidR="006A1D4E" w:rsidRPr="009C2B66" w14:paraId="6D13BDBB" w14:textId="77777777" w:rsidTr="003B7B06">
        <w:trPr>
          <w:gridAfter w:val="1"/>
          <w:wAfter w:w="111" w:type="dxa"/>
          <w:trHeight w:val="176"/>
        </w:trPr>
        <w:tc>
          <w:tcPr>
            <w:tcW w:w="4679" w:type="dxa"/>
            <w:tcBorders>
              <w:top w:val="nil"/>
              <w:left w:val="nil"/>
              <w:bottom w:val="nil"/>
              <w:right w:val="single" w:sz="4" w:space="0" w:color="auto"/>
            </w:tcBorders>
            <w:shd w:val="clear" w:color="auto" w:fill="auto"/>
            <w:noWrap/>
            <w:vAlign w:val="bottom"/>
            <w:hideMark/>
          </w:tcPr>
          <w:p w14:paraId="6CF7F40B"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Ev işleriyle meşgul veya ailede baktığı kimseler var</w:t>
            </w:r>
          </w:p>
        </w:tc>
        <w:tc>
          <w:tcPr>
            <w:tcW w:w="992" w:type="dxa"/>
            <w:tcBorders>
              <w:top w:val="nil"/>
              <w:left w:val="nil"/>
              <w:bottom w:val="nil"/>
              <w:right w:val="nil"/>
            </w:tcBorders>
            <w:shd w:val="clear" w:color="auto" w:fill="auto"/>
            <w:noWrap/>
            <w:vAlign w:val="bottom"/>
            <w:hideMark/>
          </w:tcPr>
          <w:p w14:paraId="7F5A409B"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539</w:t>
            </w:r>
          </w:p>
        </w:tc>
        <w:tc>
          <w:tcPr>
            <w:tcW w:w="850" w:type="dxa"/>
            <w:tcBorders>
              <w:top w:val="nil"/>
              <w:left w:val="nil"/>
              <w:bottom w:val="nil"/>
              <w:right w:val="single" w:sz="4" w:space="0" w:color="auto"/>
            </w:tcBorders>
            <w:shd w:val="clear" w:color="auto" w:fill="auto"/>
            <w:noWrap/>
            <w:vAlign w:val="bottom"/>
            <w:hideMark/>
          </w:tcPr>
          <w:p w14:paraId="446D68D4"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0.1%</w:t>
            </w:r>
          </w:p>
        </w:tc>
        <w:tc>
          <w:tcPr>
            <w:tcW w:w="993" w:type="dxa"/>
            <w:tcBorders>
              <w:top w:val="nil"/>
              <w:left w:val="nil"/>
              <w:bottom w:val="nil"/>
              <w:right w:val="nil"/>
            </w:tcBorders>
            <w:shd w:val="clear" w:color="auto" w:fill="auto"/>
            <w:noWrap/>
            <w:vAlign w:val="bottom"/>
            <w:hideMark/>
          </w:tcPr>
          <w:p w14:paraId="345B63DC"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418 478</w:t>
            </w:r>
          </w:p>
        </w:tc>
        <w:tc>
          <w:tcPr>
            <w:tcW w:w="850" w:type="dxa"/>
            <w:tcBorders>
              <w:top w:val="nil"/>
              <w:left w:val="nil"/>
              <w:bottom w:val="nil"/>
              <w:right w:val="single" w:sz="4" w:space="0" w:color="auto"/>
            </w:tcBorders>
            <w:shd w:val="clear" w:color="auto" w:fill="auto"/>
            <w:noWrap/>
            <w:vAlign w:val="bottom"/>
            <w:hideMark/>
          </w:tcPr>
          <w:p w14:paraId="3112B668"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58.2%</w:t>
            </w:r>
          </w:p>
        </w:tc>
        <w:tc>
          <w:tcPr>
            <w:tcW w:w="1134" w:type="dxa"/>
            <w:tcBorders>
              <w:top w:val="nil"/>
              <w:left w:val="nil"/>
              <w:bottom w:val="nil"/>
              <w:right w:val="nil"/>
            </w:tcBorders>
            <w:shd w:val="clear" w:color="auto" w:fill="auto"/>
            <w:noWrap/>
            <w:vAlign w:val="bottom"/>
            <w:hideMark/>
          </w:tcPr>
          <w:p w14:paraId="35EC7233"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419 018</w:t>
            </w:r>
          </w:p>
        </w:tc>
        <w:tc>
          <w:tcPr>
            <w:tcW w:w="688" w:type="dxa"/>
            <w:tcBorders>
              <w:top w:val="nil"/>
              <w:left w:val="nil"/>
              <w:bottom w:val="nil"/>
              <w:right w:val="nil"/>
            </w:tcBorders>
            <w:shd w:val="clear" w:color="auto" w:fill="auto"/>
            <w:noWrap/>
            <w:vAlign w:val="bottom"/>
            <w:hideMark/>
          </w:tcPr>
          <w:p w14:paraId="4AE5CDC4"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38.2%</w:t>
            </w:r>
          </w:p>
        </w:tc>
      </w:tr>
      <w:tr w:rsidR="006A1D4E" w:rsidRPr="009C2B66" w14:paraId="2F3F8E1D" w14:textId="77777777" w:rsidTr="003B7B06">
        <w:trPr>
          <w:trHeight w:val="176"/>
        </w:trPr>
        <w:tc>
          <w:tcPr>
            <w:tcW w:w="4679" w:type="dxa"/>
            <w:tcBorders>
              <w:top w:val="nil"/>
              <w:left w:val="nil"/>
              <w:bottom w:val="nil"/>
              <w:right w:val="single" w:sz="4" w:space="0" w:color="auto"/>
            </w:tcBorders>
            <w:shd w:val="clear" w:color="auto" w:fill="auto"/>
            <w:noWrap/>
            <w:vAlign w:val="bottom"/>
            <w:hideMark/>
          </w:tcPr>
          <w:p w14:paraId="29628D7F"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Diğer ailevi veya kişisel sebepler</w:t>
            </w:r>
          </w:p>
        </w:tc>
        <w:tc>
          <w:tcPr>
            <w:tcW w:w="992" w:type="dxa"/>
            <w:tcBorders>
              <w:top w:val="nil"/>
              <w:left w:val="nil"/>
              <w:bottom w:val="nil"/>
              <w:right w:val="nil"/>
            </w:tcBorders>
            <w:shd w:val="clear" w:color="auto" w:fill="auto"/>
            <w:noWrap/>
            <w:vAlign w:val="bottom"/>
            <w:hideMark/>
          </w:tcPr>
          <w:p w14:paraId="44DAFD9B"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56 143</w:t>
            </w:r>
          </w:p>
        </w:tc>
        <w:tc>
          <w:tcPr>
            <w:tcW w:w="850" w:type="dxa"/>
            <w:tcBorders>
              <w:top w:val="nil"/>
              <w:left w:val="nil"/>
              <w:bottom w:val="nil"/>
              <w:right w:val="single" w:sz="4" w:space="0" w:color="auto"/>
            </w:tcBorders>
            <w:shd w:val="clear" w:color="auto" w:fill="auto"/>
            <w:noWrap/>
            <w:vAlign w:val="bottom"/>
            <w:hideMark/>
          </w:tcPr>
          <w:p w14:paraId="203FED31"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14.9%</w:t>
            </w:r>
          </w:p>
        </w:tc>
        <w:tc>
          <w:tcPr>
            <w:tcW w:w="993" w:type="dxa"/>
            <w:tcBorders>
              <w:top w:val="nil"/>
              <w:left w:val="nil"/>
              <w:bottom w:val="nil"/>
              <w:right w:val="nil"/>
            </w:tcBorders>
            <w:shd w:val="clear" w:color="auto" w:fill="auto"/>
            <w:noWrap/>
            <w:vAlign w:val="bottom"/>
            <w:hideMark/>
          </w:tcPr>
          <w:p w14:paraId="4F7B2806"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45 210</w:t>
            </w:r>
          </w:p>
        </w:tc>
        <w:tc>
          <w:tcPr>
            <w:tcW w:w="850" w:type="dxa"/>
            <w:tcBorders>
              <w:top w:val="nil"/>
              <w:left w:val="nil"/>
              <w:bottom w:val="nil"/>
              <w:right w:val="single" w:sz="4" w:space="0" w:color="auto"/>
            </w:tcBorders>
            <w:shd w:val="clear" w:color="auto" w:fill="auto"/>
            <w:noWrap/>
            <w:vAlign w:val="bottom"/>
            <w:hideMark/>
          </w:tcPr>
          <w:p w14:paraId="42BB4300"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6.3%</w:t>
            </w:r>
          </w:p>
        </w:tc>
        <w:tc>
          <w:tcPr>
            <w:tcW w:w="1134" w:type="dxa"/>
            <w:tcBorders>
              <w:top w:val="nil"/>
              <w:left w:val="nil"/>
              <w:bottom w:val="nil"/>
              <w:right w:val="nil"/>
            </w:tcBorders>
            <w:shd w:val="clear" w:color="auto" w:fill="auto"/>
            <w:noWrap/>
            <w:vAlign w:val="bottom"/>
            <w:hideMark/>
          </w:tcPr>
          <w:p w14:paraId="25062228"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101 353</w:t>
            </w:r>
          </w:p>
        </w:tc>
        <w:tc>
          <w:tcPr>
            <w:tcW w:w="799" w:type="dxa"/>
            <w:gridSpan w:val="2"/>
            <w:tcBorders>
              <w:top w:val="nil"/>
              <w:left w:val="nil"/>
              <w:bottom w:val="nil"/>
              <w:right w:val="nil"/>
            </w:tcBorders>
            <w:shd w:val="clear" w:color="auto" w:fill="auto"/>
            <w:noWrap/>
            <w:vAlign w:val="bottom"/>
            <w:hideMark/>
          </w:tcPr>
          <w:p w14:paraId="7759131F"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9.2%</w:t>
            </w:r>
          </w:p>
        </w:tc>
      </w:tr>
      <w:tr w:rsidR="006A1D4E" w:rsidRPr="009C2B66" w14:paraId="6EDE174F" w14:textId="77777777" w:rsidTr="003B7B06">
        <w:trPr>
          <w:trHeight w:val="176"/>
        </w:trPr>
        <w:tc>
          <w:tcPr>
            <w:tcW w:w="4679" w:type="dxa"/>
            <w:tcBorders>
              <w:top w:val="nil"/>
              <w:left w:val="nil"/>
              <w:bottom w:val="nil"/>
              <w:right w:val="single" w:sz="4" w:space="0" w:color="auto"/>
            </w:tcBorders>
            <w:shd w:val="clear" w:color="auto" w:fill="auto"/>
            <w:noWrap/>
            <w:vAlign w:val="bottom"/>
            <w:hideMark/>
          </w:tcPr>
          <w:p w14:paraId="343BC022"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Engelli veya hasta</w:t>
            </w:r>
          </w:p>
        </w:tc>
        <w:tc>
          <w:tcPr>
            <w:tcW w:w="992" w:type="dxa"/>
            <w:tcBorders>
              <w:top w:val="nil"/>
              <w:left w:val="nil"/>
              <w:bottom w:val="nil"/>
              <w:right w:val="nil"/>
            </w:tcBorders>
            <w:shd w:val="clear" w:color="auto" w:fill="auto"/>
            <w:noWrap/>
            <w:vAlign w:val="bottom"/>
            <w:hideMark/>
          </w:tcPr>
          <w:p w14:paraId="7346AAC5"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50 098</w:t>
            </w:r>
          </w:p>
        </w:tc>
        <w:tc>
          <w:tcPr>
            <w:tcW w:w="850" w:type="dxa"/>
            <w:tcBorders>
              <w:top w:val="nil"/>
              <w:left w:val="nil"/>
              <w:bottom w:val="nil"/>
              <w:right w:val="single" w:sz="4" w:space="0" w:color="auto"/>
            </w:tcBorders>
            <w:shd w:val="clear" w:color="auto" w:fill="auto"/>
            <w:noWrap/>
            <w:vAlign w:val="bottom"/>
            <w:hideMark/>
          </w:tcPr>
          <w:p w14:paraId="79124046"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13.3%</w:t>
            </w:r>
          </w:p>
        </w:tc>
        <w:tc>
          <w:tcPr>
            <w:tcW w:w="993" w:type="dxa"/>
            <w:tcBorders>
              <w:top w:val="nil"/>
              <w:left w:val="nil"/>
              <w:bottom w:val="nil"/>
              <w:right w:val="nil"/>
            </w:tcBorders>
            <w:shd w:val="clear" w:color="auto" w:fill="auto"/>
            <w:noWrap/>
            <w:vAlign w:val="bottom"/>
            <w:hideMark/>
          </w:tcPr>
          <w:p w14:paraId="4C38AF3F"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34 961</w:t>
            </w:r>
          </w:p>
        </w:tc>
        <w:tc>
          <w:tcPr>
            <w:tcW w:w="850" w:type="dxa"/>
            <w:tcBorders>
              <w:top w:val="nil"/>
              <w:left w:val="nil"/>
              <w:bottom w:val="nil"/>
              <w:right w:val="single" w:sz="4" w:space="0" w:color="auto"/>
            </w:tcBorders>
            <w:shd w:val="clear" w:color="auto" w:fill="auto"/>
            <w:noWrap/>
            <w:vAlign w:val="bottom"/>
            <w:hideMark/>
          </w:tcPr>
          <w:p w14:paraId="35A7DA6E"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4.9%</w:t>
            </w:r>
          </w:p>
        </w:tc>
        <w:tc>
          <w:tcPr>
            <w:tcW w:w="1134" w:type="dxa"/>
            <w:tcBorders>
              <w:top w:val="nil"/>
              <w:left w:val="nil"/>
              <w:bottom w:val="nil"/>
              <w:right w:val="nil"/>
            </w:tcBorders>
            <w:shd w:val="clear" w:color="auto" w:fill="auto"/>
            <w:noWrap/>
            <w:vAlign w:val="bottom"/>
            <w:hideMark/>
          </w:tcPr>
          <w:p w14:paraId="03737FF0"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85 059</w:t>
            </w:r>
          </w:p>
        </w:tc>
        <w:tc>
          <w:tcPr>
            <w:tcW w:w="799" w:type="dxa"/>
            <w:gridSpan w:val="2"/>
            <w:tcBorders>
              <w:top w:val="nil"/>
              <w:left w:val="nil"/>
              <w:bottom w:val="nil"/>
              <w:right w:val="nil"/>
            </w:tcBorders>
            <w:shd w:val="clear" w:color="auto" w:fill="auto"/>
            <w:noWrap/>
            <w:vAlign w:val="bottom"/>
            <w:hideMark/>
          </w:tcPr>
          <w:p w14:paraId="00FFC2BA"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7.8%</w:t>
            </w:r>
          </w:p>
        </w:tc>
      </w:tr>
      <w:tr w:rsidR="006A1D4E" w:rsidRPr="009C2B66" w14:paraId="0F266B38" w14:textId="77777777" w:rsidTr="003B7B06">
        <w:trPr>
          <w:trHeight w:val="176"/>
        </w:trPr>
        <w:tc>
          <w:tcPr>
            <w:tcW w:w="4679" w:type="dxa"/>
            <w:tcBorders>
              <w:top w:val="nil"/>
              <w:left w:val="nil"/>
              <w:bottom w:val="single" w:sz="4" w:space="0" w:color="auto"/>
              <w:right w:val="single" w:sz="4" w:space="0" w:color="auto"/>
            </w:tcBorders>
            <w:shd w:val="clear" w:color="auto" w:fill="auto"/>
            <w:noWrap/>
            <w:vAlign w:val="bottom"/>
            <w:hideMark/>
          </w:tcPr>
          <w:p w14:paraId="59312550"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Diğer</w:t>
            </w:r>
          </w:p>
        </w:tc>
        <w:tc>
          <w:tcPr>
            <w:tcW w:w="992" w:type="dxa"/>
            <w:tcBorders>
              <w:top w:val="nil"/>
              <w:left w:val="nil"/>
              <w:bottom w:val="single" w:sz="4" w:space="0" w:color="auto"/>
              <w:right w:val="nil"/>
            </w:tcBorders>
            <w:shd w:val="clear" w:color="auto" w:fill="auto"/>
            <w:noWrap/>
            <w:vAlign w:val="bottom"/>
            <w:hideMark/>
          </w:tcPr>
          <w:p w14:paraId="4D715DEE"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3 952</w:t>
            </w:r>
          </w:p>
        </w:tc>
        <w:tc>
          <w:tcPr>
            <w:tcW w:w="850" w:type="dxa"/>
            <w:tcBorders>
              <w:top w:val="nil"/>
              <w:left w:val="nil"/>
              <w:bottom w:val="single" w:sz="4" w:space="0" w:color="auto"/>
              <w:right w:val="single" w:sz="4" w:space="0" w:color="auto"/>
            </w:tcBorders>
            <w:shd w:val="clear" w:color="auto" w:fill="auto"/>
            <w:noWrap/>
            <w:vAlign w:val="bottom"/>
            <w:hideMark/>
          </w:tcPr>
          <w:p w14:paraId="112D5492"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1.0%</w:t>
            </w:r>
          </w:p>
        </w:tc>
        <w:tc>
          <w:tcPr>
            <w:tcW w:w="993" w:type="dxa"/>
            <w:tcBorders>
              <w:top w:val="nil"/>
              <w:left w:val="nil"/>
              <w:bottom w:val="single" w:sz="4" w:space="0" w:color="auto"/>
              <w:right w:val="nil"/>
            </w:tcBorders>
            <w:shd w:val="clear" w:color="auto" w:fill="auto"/>
            <w:noWrap/>
            <w:vAlign w:val="bottom"/>
            <w:hideMark/>
          </w:tcPr>
          <w:p w14:paraId="1312281A"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341</w:t>
            </w:r>
          </w:p>
        </w:tc>
        <w:tc>
          <w:tcPr>
            <w:tcW w:w="850" w:type="dxa"/>
            <w:tcBorders>
              <w:top w:val="nil"/>
              <w:left w:val="nil"/>
              <w:bottom w:val="single" w:sz="4" w:space="0" w:color="auto"/>
              <w:right w:val="single" w:sz="4" w:space="0" w:color="auto"/>
            </w:tcBorders>
            <w:shd w:val="clear" w:color="auto" w:fill="auto"/>
            <w:noWrap/>
            <w:vAlign w:val="bottom"/>
            <w:hideMark/>
          </w:tcPr>
          <w:p w14:paraId="3A9936BA"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0.0%</w:t>
            </w:r>
          </w:p>
        </w:tc>
        <w:tc>
          <w:tcPr>
            <w:tcW w:w="1134" w:type="dxa"/>
            <w:tcBorders>
              <w:top w:val="nil"/>
              <w:left w:val="nil"/>
              <w:bottom w:val="single" w:sz="4" w:space="0" w:color="auto"/>
              <w:right w:val="nil"/>
            </w:tcBorders>
            <w:shd w:val="clear" w:color="auto" w:fill="auto"/>
            <w:noWrap/>
            <w:vAlign w:val="bottom"/>
            <w:hideMark/>
          </w:tcPr>
          <w:p w14:paraId="22D549C6"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4 293</w:t>
            </w:r>
          </w:p>
        </w:tc>
        <w:tc>
          <w:tcPr>
            <w:tcW w:w="799" w:type="dxa"/>
            <w:gridSpan w:val="2"/>
            <w:tcBorders>
              <w:top w:val="nil"/>
              <w:left w:val="nil"/>
              <w:bottom w:val="single" w:sz="4" w:space="0" w:color="auto"/>
              <w:right w:val="nil"/>
            </w:tcBorders>
            <w:shd w:val="clear" w:color="auto" w:fill="auto"/>
            <w:noWrap/>
            <w:vAlign w:val="bottom"/>
            <w:hideMark/>
          </w:tcPr>
          <w:p w14:paraId="6B7C005A"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0.4%</w:t>
            </w:r>
          </w:p>
        </w:tc>
      </w:tr>
      <w:tr w:rsidR="006A1D4E" w:rsidRPr="009C2B66" w14:paraId="0D75AE02" w14:textId="77777777" w:rsidTr="003B7B06">
        <w:trPr>
          <w:trHeight w:val="176"/>
        </w:trPr>
        <w:tc>
          <w:tcPr>
            <w:tcW w:w="4679" w:type="dxa"/>
            <w:tcBorders>
              <w:top w:val="nil"/>
              <w:left w:val="nil"/>
              <w:bottom w:val="nil"/>
              <w:right w:val="single" w:sz="4" w:space="0" w:color="auto"/>
            </w:tcBorders>
            <w:shd w:val="clear" w:color="auto" w:fill="auto"/>
            <w:noWrap/>
            <w:vAlign w:val="bottom"/>
            <w:hideMark/>
          </w:tcPr>
          <w:p w14:paraId="4FEBF3D2"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Toplam</w:t>
            </w:r>
          </w:p>
        </w:tc>
        <w:tc>
          <w:tcPr>
            <w:tcW w:w="992" w:type="dxa"/>
            <w:tcBorders>
              <w:top w:val="nil"/>
              <w:left w:val="nil"/>
              <w:bottom w:val="nil"/>
              <w:right w:val="nil"/>
            </w:tcBorders>
            <w:shd w:val="clear" w:color="auto" w:fill="auto"/>
            <w:noWrap/>
            <w:vAlign w:val="bottom"/>
            <w:hideMark/>
          </w:tcPr>
          <w:p w14:paraId="29F5AD23"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377 574</w:t>
            </w:r>
          </w:p>
        </w:tc>
        <w:tc>
          <w:tcPr>
            <w:tcW w:w="850" w:type="dxa"/>
            <w:tcBorders>
              <w:top w:val="nil"/>
              <w:left w:val="nil"/>
              <w:bottom w:val="nil"/>
              <w:right w:val="single" w:sz="4" w:space="0" w:color="auto"/>
            </w:tcBorders>
            <w:shd w:val="clear" w:color="auto" w:fill="auto"/>
            <w:noWrap/>
            <w:vAlign w:val="bottom"/>
            <w:hideMark/>
          </w:tcPr>
          <w:p w14:paraId="50FFD621"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100.0%</w:t>
            </w:r>
          </w:p>
        </w:tc>
        <w:tc>
          <w:tcPr>
            <w:tcW w:w="993" w:type="dxa"/>
            <w:tcBorders>
              <w:top w:val="nil"/>
              <w:left w:val="nil"/>
              <w:bottom w:val="nil"/>
              <w:right w:val="nil"/>
            </w:tcBorders>
            <w:shd w:val="clear" w:color="auto" w:fill="auto"/>
            <w:noWrap/>
            <w:vAlign w:val="bottom"/>
            <w:hideMark/>
          </w:tcPr>
          <w:p w14:paraId="01C69598"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 xml:space="preserve"> 719 041</w:t>
            </w:r>
          </w:p>
        </w:tc>
        <w:tc>
          <w:tcPr>
            <w:tcW w:w="850" w:type="dxa"/>
            <w:tcBorders>
              <w:top w:val="nil"/>
              <w:left w:val="nil"/>
              <w:bottom w:val="nil"/>
              <w:right w:val="single" w:sz="4" w:space="0" w:color="auto"/>
            </w:tcBorders>
            <w:shd w:val="clear" w:color="auto" w:fill="auto"/>
            <w:noWrap/>
            <w:vAlign w:val="bottom"/>
            <w:hideMark/>
          </w:tcPr>
          <w:p w14:paraId="3A65A762"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100.0%</w:t>
            </w:r>
          </w:p>
        </w:tc>
        <w:tc>
          <w:tcPr>
            <w:tcW w:w="1134" w:type="dxa"/>
            <w:tcBorders>
              <w:top w:val="nil"/>
              <w:left w:val="nil"/>
              <w:bottom w:val="nil"/>
              <w:right w:val="nil"/>
            </w:tcBorders>
            <w:shd w:val="clear" w:color="auto" w:fill="auto"/>
            <w:noWrap/>
            <w:vAlign w:val="bottom"/>
            <w:hideMark/>
          </w:tcPr>
          <w:p w14:paraId="68D33929"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1 096 616</w:t>
            </w:r>
          </w:p>
        </w:tc>
        <w:tc>
          <w:tcPr>
            <w:tcW w:w="799" w:type="dxa"/>
            <w:gridSpan w:val="2"/>
            <w:tcBorders>
              <w:top w:val="nil"/>
              <w:left w:val="nil"/>
              <w:bottom w:val="nil"/>
              <w:right w:val="nil"/>
            </w:tcBorders>
            <w:shd w:val="clear" w:color="auto" w:fill="auto"/>
            <w:noWrap/>
            <w:vAlign w:val="bottom"/>
            <w:hideMark/>
          </w:tcPr>
          <w:p w14:paraId="0A44D395" w14:textId="77777777" w:rsidR="006A1D4E" w:rsidRPr="009C2B66" w:rsidRDefault="006A1D4E" w:rsidP="006A1D4E">
            <w:pPr>
              <w:spacing w:after="0" w:line="240" w:lineRule="auto"/>
              <w:rPr>
                <w:rFonts w:eastAsia="Times New Roman" w:cstheme="minorHAnsi"/>
                <w:color w:val="000000"/>
                <w:lang w:eastAsia="tr-TR"/>
              </w:rPr>
            </w:pPr>
            <w:r w:rsidRPr="009C2B66">
              <w:rPr>
                <w:rFonts w:eastAsia="Times New Roman" w:cstheme="minorHAnsi"/>
                <w:color w:val="000000"/>
                <w:lang w:eastAsia="tr-TR"/>
              </w:rPr>
              <w:t>100.0%</w:t>
            </w:r>
          </w:p>
        </w:tc>
      </w:tr>
    </w:tbl>
    <w:p w14:paraId="76A14303" w14:textId="7FC0CB73" w:rsidR="006A1D4E" w:rsidRPr="009C2B66" w:rsidRDefault="005E6746" w:rsidP="00207039">
      <w:pPr>
        <w:jc w:val="both"/>
        <w:rPr>
          <w:rFonts w:cstheme="minorHAnsi"/>
        </w:rPr>
      </w:pPr>
      <w:bookmarkStart w:id="5" w:name="OLE_LINK14"/>
      <w:bookmarkStart w:id="6" w:name="OLE_LINK15"/>
      <w:r>
        <w:rPr>
          <w:rFonts w:cstheme="minorHAnsi"/>
        </w:rPr>
        <w:br/>
        <w:t>Kaynak: Hanehalkı İşgücü Anketi, 2017; Betam hesaplamaları</w:t>
      </w:r>
    </w:p>
    <w:bookmarkEnd w:id="5"/>
    <w:bookmarkEnd w:id="6"/>
    <w:p w14:paraId="2394C473" w14:textId="1C48D48E" w:rsidR="00EE0040" w:rsidRPr="009C2B66" w:rsidRDefault="00F269D3" w:rsidP="00207039">
      <w:pPr>
        <w:jc w:val="both"/>
      </w:pPr>
      <w:r w:rsidRPr="009C2B66">
        <w:t xml:space="preserve">Erkeklerin </w:t>
      </w:r>
      <w:r w:rsidR="00413937" w:rsidRPr="009C2B66">
        <w:t xml:space="preserve">yüzde </w:t>
      </w:r>
      <w:r w:rsidRPr="009C2B66">
        <w:t xml:space="preserve">18,5’i daha önce iş aradığını ancak bulamadığını veya yeteneklerine uygun bir iş olmadığını </w:t>
      </w:r>
      <w:r w:rsidR="00EE0040" w:rsidRPr="009C2B66">
        <w:t xml:space="preserve">düşündükleri için iş aramaktan </w:t>
      </w:r>
      <w:r w:rsidR="00BE4377" w:rsidRPr="009C2B66">
        <w:t>vazgeçtiklerini, yani ümitlerinin</w:t>
      </w:r>
      <w:r w:rsidR="00EE0040" w:rsidRPr="009C2B66">
        <w:t xml:space="preserve"> kırık olduklarını belirtmiştir. Genç kadınlar arasında bu oran </w:t>
      </w:r>
      <w:r w:rsidR="00413937" w:rsidRPr="009C2B66">
        <w:t xml:space="preserve">yüzde </w:t>
      </w:r>
      <w:r w:rsidR="00EE0040" w:rsidRPr="009C2B66">
        <w:t xml:space="preserve">2,8’dir. İş aramama nedenleri arasında “dershane veya kursa gitme” sebebinin çok yaygın olduğu görülmektedir. </w:t>
      </w:r>
      <w:r w:rsidR="00045752" w:rsidRPr="009C2B66">
        <w:t>Diğer bir deyişle</w:t>
      </w:r>
      <w:r w:rsidR="00EE0040" w:rsidRPr="009C2B66">
        <w:t xml:space="preserve"> bu gençler</w:t>
      </w:r>
      <w:r w:rsidR="00045752" w:rsidRPr="009C2B66">
        <w:t>in</w:t>
      </w:r>
      <w:r w:rsidR="00EE0040" w:rsidRPr="009C2B66">
        <w:t xml:space="preserve"> resmi bir örgün eğitim kurumunda </w:t>
      </w:r>
      <w:r w:rsidR="00045752" w:rsidRPr="009C2B66">
        <w:t>olmadıkları,</w:t>
      </w:r>
      <w:r w:rsidR="00EE0040" w:rsidRPr="009C2B66">
        <w:t xml:space="preserve"> fakat başka kurumlar tarafından sağlanan (üniversiteye hazırlık veya mesleki ve teknik eğitim kursları) eğitimler</w:t>
      </w:r>
      <w:r w:rsidR="00045752" w:rsidRPr="009C2B66">
        <w:t>e katıldıkları varsayılabilir</w:t>
      </w:r>
      <w:r w:rsidR="00EE0040" w:rsidRPr="009C2B66">
        <w:t>. Ne eğitim ne istihdamdaki genç erkeklerinin yarısının bu kapsamda olduğu anlaşılmaktadır.</w:t>
      </w:r>
      <w:r w:rsidR="00B41316" w:rsidRPr="009C2B66">
        <w:t xml:space="preserve"> Kadınlar arasında ise yüzde olarak daha az yaygın görünmekle birlikte seviye olarak erkeklere benzer sayıda kadının ders</w:t>
      </w:r>
      <w:r w:rsidR="00B61830" w:rsidRPr="009C2B66">
        <w:t>h</w:t>
      </w:r>
      <w:r w:rsidR="00B41316" w:rsidRPr="009C2B66">
        <w:t xml:space="preserve">ane veya kursa gittiğini beyan ettiği görülmektedir. </w:t>
      </w:r>
      <w:r w:rsidR="00530E5E" w:rsidRPr="009C2B66">
        <w:t xml:space="preserve">Bu kategorideki gençler yaklaşık 385 bin kişidir. </w:t>
      </w:r>
    </w:p>
    <w:p w14:paraId="1D413B15" w14:textId="77777777" w:rsidR="00F269D3" w:rsidRPr="009C2B66" w:rsidRDefault="00EE0040" w:rsidP="00207039">
      <w:pPr>
        <w:jc w:val="both"/>
        <w:rPr>
          <w:rFonts w:cstheme="minorHAnsi"/>
        </w:rPr>
      </w:pPr>
      <w:r w:rsidRPr="009C2B66">
        <w:t xml:space="preserve">Tablo 4’e göre ev işleriyle meşgul olmak veya ailedeki çocuklara veya bakıma muhtaç yetişkinlere bakmak sebepleriyle iş aramadıklarını belirten genç kadınların oranının </w:t>
      </w:r>
      <w:r w:rsidR="00413937" w:rsidRPr="009C2B66">
        <w:t xml:space="preserve">yüzde </w:t>
      </w:r>
      <w:r w:rsidRPr="009C2B66">
        <w:t>58,2 olduğu görülmektedir. Başka bir deyişle, okula devam etmeyen ve işgücü piyasasında olmayan her 10 kadından yaklaşık 6’sının ev işleri veya ailevi sorumluluklar gibi gerekçelerle işgücü piyasasına girmedikleri görülmektedir. Bu da genç kadınların işgücü piyasasından uzak durmasında toplumsal cinsiyet rollerine bağlı geleneksel iş bölümünün ne kadar etkili olduğunu gö</w:t>
      </w:r>
      <w:r w:rsidR="009A55FF" w:rsidRPr="009C2B66">
        <w:t xml:space="preserve">stermektedir. Aynı sebeple iş aramadığını belirten ne eğitimdeki ne istihdamdaki erkeklerin oranı yalnızca </w:t>
      </w:r>
      <w:r w:rsidR="00413937" w:rsidRPr="009C2B66">
        <w:t xml:space="preserve">yüzde </w:t>
      </w:r>
      <w:r w:rsidR="009A55FF" w:rsidRPr="009C2B66">
        <w:t xml:space="preserve">0,1’dir. </w:t>
      </w:r>
      <w:r w:rsidRPr="009C2B66">
        <w:t xml:space="preserve">    </w:t>
      </w:r>
    </w:p>
    <w:p w14:paraId="6A845D28" w14:textId="36B067F3" w:rsidR="009A55FF" w:rsidRPr="009C2B66" w:rsidRDefault="00360C50" w:rsidP="00207039">
      <w:pPr>
        <w:jc w:val="both"/>
        <w:rPr>
          <w:rFonts w:cstheme="minorHAnsi"/>
        </w:rPr>
      </w:pPr>
      <w:r w:rsidRPr="009C2B66">
        <w:rPr>
          <w:rFonts w:cstheme="minorHAnsi"/>
        </w:rPr>
        <w:t xml:space="preserve">Bu </w:t>
      </w:r>
      <w:r w:rsidR="00413937" w:rsidRPr="009C2B66">
        <w:rPr>
          <w:rFonts w:cstheme="minorHAnsi"/>
        </w:rPr>
        <w:t>noktada</w:t>
      </w:r>
      <w:r w:rsidR="00A84884" w:rsidRPr="009C2B66">
        <w:rPr>
          <w:rFonts w:cstheme="minorHAnsi"/>
        </w:rPr>
        <w:t xml:space="preserve"> ne </w:t>
      </w:r>
      <w:r w:rsidRPr="009C2B66">
        <w:rPr>
          <w:rFonts w:cstheme="minorHAnsi"/>
        </w:rPr>
        <w:t>eğitimde</w:t>
      </w:r>
      <w:r w:rsidR="00A84884" w:rsidRPr="009C2B66">
        <w:rPr>
          <w:rFonts w:cstheme="minorHAnsi"/>
        </w:rPr>
        <w:t xml:space="preserve"> ne de </w:t>
      </w:r>
      <w:r w:rsidRPr="009C2B66">
        <w:rPr>
          <w:rFonts w:cstheme="minorHAnsi"/>
        </w:rPr>
        <w:t>istihdamda</w:t>
      </w:r>
      <w:r w:rsidR="00A84884" w:rsidRPr="009C2B66">
        <w:rPr>
          <w:rFonts w:cstheme="minorHAnsi"/>
        </w:rPr>
        <w:t xml:space="preserve"> olan </w:t>
      </w:r>
      <w:r w:rsidRPr="009C2B66">
        <w:rPr>
          <w:rFonts w:cstheme="minorHAnsi"/>
        </w:rPr>
        <w:t>gençlerin daha önce hiç ücretli çalışıp</w:t>
      </w:r>
      <w:r w:rsidR="006D593F" w:rsidRPr="009C2B66">
        <w:rPr>
          <w:rFonts w:cstheme="minorHAnsi"/>
        </w:rPr>
        <w:t xml:space="preserve"> çalışmadıkları işgücü piyasası bağlılıkları açısından önem teşkil etmektedir</w:t>
      </w:r>
      <w:r w:rsidRPr="009C2B66">
        <w:rPr>
          <w:rFonts w:cstheme="minorHAnsi"/>
        </w:rPr>
        <w:t xml:space="preserve">. Şekil 6 söz konusu yılda NENİ olan gençler arasında önceden çalışanların oranını vermektedir. 2017 yılı itibariyle ne eğitimde ne de istihdamda olan erkeklerin </w:t>
      </w:r>
      <w:r w:rsidR="00413937" w:rsidRPr="009C2B66">
        <w:rPr>
          <w:rFonts w:cstheme="minorHAnsi"/>
        </w:rPr>
        <w:t xml:space="preserve">yüzde </w:t>
      </w:r>
      <w:r w:rsidRPr="009C2B66">
        <w:rPr>
          <w:rFonts w:cstheme="minorHAnsi"/>
        </w:rPr>
        <w:t>57</w:t>
      </w:r>
      <w:r w:rsidR="005B417A" w:rsidRPr="009C2B66">
        <w:rPr>
          <w:rFonts w:cstheme="minorHAnsi"/>
        </w:rPr>
        <w:t>’si yani yaklaşık 289 bin erkek</w:t>
      </w:r>
      <w:r w:rsidRPr="009C2B66">
        <w:rPr>
          <w:rFonts w:cstheme="minorHAnsi"/>
        </w:rPr>
        <w:t xml:space="preserve">, kadınların ise </w:t>
      </w:r>
      <w:r w:rsidR="00413937" w:rsidRPr="009C2B66">
        <w:rPr>
          <w:rFonts w:cstheme="minorHAnsi"/>
        </w:rPr>
        <w:t xml:space="preserve">yüzde </w:t>
      </w:r>
      <w:r w:rsidRPr="009C2B66">
        <w:rPr>
          <w:rFonts w:cstheme="minorHAnsi"/>
        </w:rPr>
        <w:t>33,4’ü</w:t>
      </w:r>
      <w:r w:rsidR="005B417A" w:rsidRPr="009C2B66">
        <w:rPr>
          <w:rFonts w:cstheme="minorHAnsi"/>
        </w:rPr>
        <w:t xml:space="preserve"> yani yaklaşık 262 bin kadın</w:t>
      </w:r>
      <w:r w:rsidRPr="009C2B66">
        <w:rPr>
          <w:rFonts w:cstheme="minorHAnsi"/>
        </w:rPr>
        <w:t xml:space="preserve"> önceden en az bir işte ücretli </w:t>
      </w:r>
      <w:r w:rsidR="00C41824" w:rsidRPr="009C2B66">
        <w:rPr>
          <w:rFonts w:cstheme="minorHAnsi"/>
        </w:rPr>
        <w:t xml:space="preserve">çalıştıklarını beyan etmiştir. </w:t>
      </w:r>
      <w:r w:rsidRPr="009C2B66">
        <w:rPr>
          <w:rFonts w:cstheme="minorHAnsi"/>
        </w:rPr>
        <w:t xml:space="preserve"> </w:t>
      </w:r>
    </w:p>
    <w:p w14:paraId="67DF40B5" w14:textId="77777777" w:rsidR="002925E9" w:rsidRPr="009C2B66" w:rsidRDefault="002925E9" w:rsidP="00207039">
      <w:pPr>
        <w:jc w:val="both"/>
        <w:rPr>
          <w:rFonts w:cstheme="minorHAnsi"/>
        </w:rPr>
      </w:pPr>
    </w:p>
    <w:p w14:paraId="0A6A13E6" w14:textId="77777777" w:rsidR="002925E9" w:rsidRPr="009C2B66" w:rsidRDefault="002925E9" w:rsidP="00207039">
      <w:pPr>
        <w:jc w:val="both"/>
        <w:rPr>
          <w:rFonts w:cstheme="minorHAnsi"/>
        </w:rPr>
      </w:pPr>
    </w:p>
    <w:p w14:paraId="72F6C123" w14:textId="0CA66A8A" w:rsidR="00360C50" w:rsidRPr="009C2B66" w:rsidRDefault="00360C50" w:rsidP="00207039">
      <w:pPr>
        <w:jc w:val="both"/>
        <w:rPr>
          <w:rFonts w:cstheme="minorHAnsi"/>
        </w:rPr>
      </w:pPr>
      <w:r w:rsidRPr="009C2B66">
        <w:rPr>
          <w:rFonts w:cstheme="minorHAnsi"/>
        </w:rPr>
        <w:t>Şekil 6: NENİ gençler arasında geçmişte en az 1 kere çalışanların oranı</w:t>
      </w:r>
    </w:p>
    <w:p w14:paraId="7F5C5459" w14:textId="2929D4FC" w:rsidR="00360C50" w:rsidRPr="009C2B66" w:rsidRDefault="00360C50" w:rsidP="00207039">
      <w:pPr>
        <w:jc w:val="both"/>
        <w:rPr>
          <w:rFonts w:cstheme="minorHAnsi"/>
        </w:rPr>
      </w:pPr>
      <w:r w:rsidRPr="009C2B66">
        <w:rPr>
          <w:rFonts w:cstheme="minorHAnsi"/>
          <w:noProof/>
          <w:lang w:val="en-GB" w:eastAsia="en-GB"/>
        </w:rPr>
        <w:drawing>
          <wp:inline distT="0" distB="0" distL="0" distR="0" wp14:anchorId="6AC742FF" wp14:editId="79620F1E">
            <wp:extent cx="4572000" cy="2743200"/>
            <wp:effectExtent l="0" t="0" r="9525" b="0"/>
            <wp:docPr id="7" name="Chart 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E6746">
        <w:rPr>
          <w:rFonts w:cstheme="minorHAnsi"/>
        </w:rPr>
        <w:br/>
        <w:t>Kaynak: Hanehalkı İşgücü Anketi, 2012-2017; Betam hesaplamaları</w:t>
      </w:r>
    </w:p>
    <w:p w14:paraId="2D4839F5" w14:textId="77777777" w:rsidR="006E4643" w:rsidRPr="009C2B66" w:rsidRDefault="006E4643" w:rsidP="00207039">
      <w:pPr>
        <w:jc w:val="both"/>
        <w:rPr>
          <w:rFonts w:cstheme="minorHAnsi"/>
        </w:rPr>
      </w:pPr>
    </w:p>
    <w:p w14:paraId="28478FE2" w14:textId="4F1BB14B" w:rsidR="002925E9" w:rsidRPr="009C2B66" w:rsidRDefault="006E4643" w:rsidP="00207039">
      <w:pPr>
        <w:jc w:val="both"/>
        <w:rPr>
          <w:rFonts w:cstheme="minorHAnsi"/>
        </w:rPr>
      </w:pPr>
      <w:r w:rsidRPr="009C2B66">
        <w:rPr>
          <w:rFonts w:cstheme="minorHAnsi"/>
        </w:rPr>
        <w:t xml:space="preserve">2017 yılında ne eğitimde ne istihdamda olup daha önce en az bir kere çalışmış </w:t>
      </w:r>
      <w:r w:rsidR="00840AD9" w:rsidRPr="009C2B66">
        <w:rPr>
          <w:rFonts w:cstheme="minorHAnsi"/>
        </w:rPr>
        <w:t>olan gençlerin çalıştıkları son sektörlere dair veri</w:t>
      </w:r>
      <w:r w:rsidRPr="009C2B66">
        <w:rPr>
          <w:rFonts w:cstheme="minorHAnsi"/>
        </w:rPr>
        <w:t xml:space="preserve"> </w:t>
      </w:r>
      <w:r w:rsidR="005B417A" w:rsidRPr="009C2B66">
        <w:rPr>
          <w:rFonts w:cstheme="minorHAnsi"/>
        </w:rPr>
        <w:t>Tablo 5</w:t>
      </w:r>
      <w:r w:rsidR="00840AD9" w:rsidRPr="009C2B66">
        <w:rPr>
          <w:rFonts w:cstheme="minorHAnsi"/>
        </w:rPr>
        <w:t>’te</w:t>
      </w:r>
      <w:r w:rsidR="005B417A" w:rsidRPr="009C2B66">
        <w:rPr>
          <w:rFonts w:cstheme="minorHAnsi"/>
        </w:rPr>
        <w:t xml:space="preserve"> </w:t>
      </w:r>
      <w:r w:rsidR="00840AD9" w:rsidRPr="009C2B66">
        <w:rPr>
          <w:rFonts w:cstheme="minorHAnsi"/>
        </w:rPr>
        <w:t>verilmektedir</w:t>
      </w:r>
      <w:r w:rsidR="005B417A" w:rsidRPr="009C2B66">
        <w:rPr>
          <w:rFonts w:cstheme="minorHAnsi"/>
        </w:rPr>
        <w:t xml:space="preserve">. </w:t>
      </w:r>
    </w:p>
    <w:p w14:paraId="1E85D0E8" w14:textId="310F0535" w:rsidR="007273C3" w:rsidRPr="009C2B66" w:rsidRDefault="007273C3" w:rsidP="00207039">
      <w:pPr>
        <w:jc w:val="both"/>
        <w:rPr>
          <w:rFonts w:cstheme="minorHAnsi"/>
        </w:rPr>
      </w:pPr>
      <w:r w:rsidRPr="009C2B66">
        <w:rPr>
          <w:rFonts w:cstheme="minorHAnsi"/>
        </w:rPr>
        <w:t xml:space="preserve">Tablo 5: 2017 yılında NENİ olup en az bir kere çalışanların son </w:t>
      </w:r>
      <w:r w:rsidR="00566C04" w:rsidRPr="009C2B66">
        <w:rPr>
          <w:rFonts w:cstheme="minorHAnsi"/>
        </w:rPr>
        <w:t>çalıştıkları sektörler</w:t>
      </w:r>
    </w:p>
    <w:tbl>
      <w:tblPr>
        <w:tblW w:w="8584" w:type="dxa"/>
        <w:tblLook w:val="04A0" w:firstRow="1" w:lastRow="0" w:firstColumn="1" w:lastColumn="0" w:noHBand="0" w:noVBand="1"/>
      </w:tblPr>
      <w:tblGrid>
        <w:gridCol w:w="5957"/>
        <w:gridCol w:w="898"/>
        <w:gridCol w:w="842"/>
        <w:gridCol w:w="887"/>
      </w:tblGrid>
      <w:tr w:rsidR="004529A7" w:rsidRPr="009C2B66" w14:paraId="7FF188DD"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5295473D"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 </w:t>
            </w:r>
          </w:p>
        </w:tc>
        <w:tc>
          <w:tcPr>
            <w:tcW w:w="1740" w:type="dxa"/>
            <w:gridSpan w:val="2"/>
            <w:tcBorders>
              <w:top w:val="nil"/>
              <w:left w:val="nil"/>
              <w:bottom w:val="single" w:sz="4" w:space="0" w:color="auto"/>
              <w:right w:val="single" w:sz="4" w:space="0" w:color="000000"/>
            </w:tcBorders>
            <w:shd w:val="clear" w:color="auto" w:fill="auto"/>
            <w:noWrap/>
            <w:vAlign w:val="bottom"/>
            <w:hideMark/>
          </w:tcPr>
          <w:p w14:paraId="43DADB82" w14:textId="77777777" w:rsidR="004529A7" w:rsidRPr="009C2B66" w:rsidRDefault="004529A7" w:rsidP="004529A7">
            <w:pPr>
              <w:spacing w:after="0" w:line="240" w:lineRule="auto"/>
              <w:jc w:val="center"/>
              <w:rPr>
                <w:rFonts w:eastAsia="Times New Roman" w:cs="Calibri"/>
                <w:color w:val="000000"/>
              </w:rPr>
            </w:pPr>
            <w:r w:rsidRPr="009C2B66">
              <w:rPr>
                <w:rFonts w:eastAsia="Times New Roman" w:cs="Calibri"/>
                <w:color w:val="000000"/>
              </w:rPr>
              <w:t>Cinsiyet</w:t>
            </w:r>
          </w:p>
        </w:tc>
        <w:tc>
          <w:tcPr>
            <w:tcW w:w="887" w:type="dxa"/>
            <w:vMerge w:val="restart"/>
            <w:tcBorders>
              <w:top w:val="nil"/>
              <w:left w:val="nil"/>
              <w:bottom w:val="single" w:sz="4" w:space="0" w:color="000000"/>
              <w:right w:val="nil"/>
            </w:tcBorders>
            <w:shd w:val="clear" w:color="auto" w:fill="auto"/>
            <w:vAlign w:val="center"/>
            <w:hideMark/>
          </w:tcPr>
          <w:p w14:paraId="3E23D6BB"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Toplam (%)</w:t>
            </w:r>
          </w:p>
        </w:tc>
      </w:tr>
      <w:tr w:rsidR="004529A7" w:rsidRPr="009C2B66" w14:paraId="4C9C3C81" w14:textId="77777777" w:rsidTr="00866136">
        <w:trPr>
          <w:trHeight w:val="246"/>
        </w:trPr>
        <w:tc>
          <w:tcPr>
            <w:tcW w:w="5957" w:type="dxa"/>
            <w:tcBorders>
              <w:top w:val="nil"/>
              <w:left w:val="nil"/>
              <w:bottom w:val="single" w:sz="4" w:space="0" w:color="auto"/>
              <w:right w:val="single" w:sz="4" w:space="0" w:color="auto"/>
            </w:tcBorders>
            <w:shd w:val="clear" w:color="auto" w:fill="auto"/>
            <w:noWrap/>
            <w:vAlign w:val="bottom"/>
            <w:hideMark/>
          </w:tcPr>
          <w:p w14:paraId="701C8AAE"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Sektör</w:t>
            </w:r>
          </w:p>
        </w:tc>
        <w:tc>
          <w:tcPr>
            <w:tcW w:w="898" w:type="dxa"/>
            <w:tcBorders>
              <w:top w:val="nil"/>
              <w:left w:val="nil"/>
              <w:bottom w:val="single" w:sz="4" w:space="0" w:color="auto"/>
              <w:right w:val="nil"/>
            </w:tcBorders>
            <w:shd w:val="clear" w:color="auto" w:fill="auto"/>
            <w:noWrap/>
            <w:vAlign w:val="bottom"/>
            <w:hideMark/>
          </w:tcPr>
          <w:p w14:paraId="120133EB"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Erkek (%)</w:t>
            </w:r>
          </w:p>
        </w:tc>
        <w:tc>
          <w:tcPr>
            <w:tcW w:w="842" w:type="dxa"/>
            <w:tcBorders>
              <w:top w:val="nil"/>
              <w:left w:val="nil"/>
              <w:bottom w:val="single" w:sz="4" w:space="0" w:color="auto"/>
              <w:right w:val="single" w:sz="4" w:space="0" w:color="auto"/>
            </w:tcBorders>
            <w:shd w:val="clear" w:color="auto" w:fill="auto"/>
            <w:noWrap/>
            <w:vAlign w:val="bottom"/>
            <w:hideMark/>
          </w:tcPr>
          <w:p w14:paraId="533177D7"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Kadın (%)</w:t>
            </w:r>
          </w:p>
        </w:tc>
        <w:tc>
          <w:tcPr>
            <w:tcW w:w="887" w:type="dxa"/>
            <w:vMerge/>
            <w:tcBorders>
              <w:top w:val="nil"/>
              <w:left w:val="nil"/>
              <w:bottom w:val="single" w:sz="4" w:space="0" w:color="000000"/>
              <w:right w:val="nil"/>
            </w:tcBorders>
            <w:vAlign w:val="center"/>
            <w:hideMark/>
          </w:tcPr>
          <w:p w14:paraId="2BCF5929" w14:textId="77777777" w:rsidR="004529A7" w:rsidRPr="009C2B66" w:rsidRDefault="004529A7" w:rsidP="004529A7">
            <w:pPr>
              <w:spacing w:after="0" w:line="240" w:lineRule="auto"/>
              <w:rPr>
                <w:rFonts w:eastAsia="Times New Roman" w:cs="Calibri"/>
                <w:color w:val="000000"/>
              </w:rPr>
            </w:pPr>
          </w:p>
        </w:tc>
      </w:tr>
      <w:tr w:rsidR="004529A7" w:rsidRPr="009C2B66" w14:paraId="11869C10"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20CA0D10"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Tarım</w:t>
            </w:r>
          </w:p>
        </w:tc>
        <w:tc>
          <w:tcPr>
            <w:tcW w:w="898" w:type="dxa"/>
            <w:tcBorders>
              <w:top w:val="nil"/>
              <w:left w:val="nil"/>
              <w:bottom w:val="nil"/>
              <w:right w:val="nil"/>
            </w:tcBorders>
            <w:shd w:val="clear" w:color="auto" w:fill="D9D9D9" w:themeFill="background1" w:themeFillShade="D9"/>
            <w:noWrap/>
            <w:vAlign w:val="bottom"/>
            <w:hideMark/>
          </w:tcPr>
          <w:p w14:paraId="0263DD62" w14:textId="25C70E1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14,73</w:t>
            </w:r>
          </w:p>
        </w:tc>
        <w:tc>
          <w:tcPr>
            <w:tcW w:w="842" w:type="dxa"/>
            <w:tcBorders>
              <w:top w:val="nil"/>
              <w:left w:val="nil"/>
              <w:bottom w:val="nil"/>
              <w:right w:val="single" w:sz="4" w:space="0" w:color="auto"/>
            </w:tcBorders>
            <w:shd w:val="clear" w:color="auto" w:fill="D9D9D9" w:themeFill="background1" w:themeFillShade="D9"/>
            <w:noWrap/>
            <w:vAlign w:val="bottom"/>
            <w:hideMark/>
          </w:tcPr>
          <w:p w14:paraId="4C309F6A" w14:textId="69F6A035"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34,33</w:t>
            </w:r>
          </w:p>
        </w:tc>
        <w:tc>
          <w:tcPr>
            <w:tcW w:w="887" w:type="dxa"/>
            <w:tcBorders>
              <w:top w:val="nil"/>
              <w:left w:val="nil"/>
              <w:bottom w:val="nil"/>
              <w:right w:val="nil"/>
            </w:tcBorders>
            <w:shd w:val="clear" w:color="auto" w:fill="auto"/>
            <w:noWrap/>
            <w:vAlign w:val="bottom"/>
            <w:hideMark/>
          </w:tcPr>
          <w:p w14:paraId="006082CD" w14:textId="31CE0380"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24,03</w:t>
            </w:r>
          </w:p>
        </w:tc>
      </w:tr>
      <w:tr w:rsidR="004529A7" w:rsidRPr="009C2B66" w14:paraId="164C38AD"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741DBE05" w14:textId="54FCF1B8" w:rsidR="004529A7" w:rsidRPr="009C2B66" w:rsidRDefault="004529A7" w:rsidP="004529A7">
            <w:pPr>
              <w:spacing w:after="0" w:line="240" w:lineRule="auto"/>
              <w:rPr>
                <w:rFonts w:eastAsia="Times New Roman" w:cs="Calibri"/>
                <w:color w:val="000000"/>
              </w:rPr>
            </w:pPr>
            <w:bookmarkStart w:id="7" w:name="OLE_LINK3"/>
            <w:bookmarkStart w:id="8" w:name="OLE_LINK4"/>
            <w:bookmarkStart w:id="9" w:name="OLE_LINK9"/>
            <w:r w:rsidRPr="009C2B66">
              <w:rPr>
                <w:rFonts w:eastAsia="Times New Roman" w:cs="Calibri"/>
                <w:color w:val="000000"/>
              </w:rPr>
              <w:t>İmalat, madencilik ve diğer sanayi</w:t>
            </w:r>
            <w:bookmarkEnd w:id="7"/>
            <w:bookmarkEnd w:id="8"/>
            <w:bookmarkEnd w:id="9"/>
          </w:p>
        </w:tc>
        <w:tc>
          <w:tcPr>
            <w:tcW w:w="898" w:type="dxa"/>
            <w:tcBorders>
              <w:top w:val="nil"/>
              <w:left w:val="nil"/>
              <w:bottom w:val="nil"/>
              <w:right w:val="nil"/>
            </w:tcBorders>
            <w:shd w:val="clear" w:color="auto" w:fill="D9D9D9" w:themeFill="background1" w:themeFillShade="D9"/>
            <w:noWrap/>
            <w:vAlign w:val="bottom"/>
            <w:hideMark/>
          </w:tcPr>
          <w:p w14:paraId="340FB478" w14:textId="24185E7B"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19,65</w:t>
            </w:r>
          </w:p>
        </w:tc>
        <w:tc>
          <w:tcPr>
            <w:tcW w:w="842" w:type="dxa"/>
            <w:tcBorders>
              <w:top w:val="nil"/>
              <w:left w:val="nil"/>
              <w:bottom w:val="nil"/>
              <w:right w:val="single" w:sz="4" w:space="0" w:color="auto"/>
            </w:tcBorders>
            <w:shd w:val="clear" w:color="auto" w:fill="D9D9D9" w:themeFill="background1" w:themeFillShade="D9"/>
            <w:noWrap/>
            <w:vAlign w:val="bottom"/>
            <w:hideMark/>
          </w:tcPr>
          <w:p w14:paraId="598B25CD" w14:textId="2B8F2FCB"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19,40</w:t>
            </w:r>
          </w:p>
        </w:tc>
        <w:tc>
          <w:tcPr>
            <w:tcW w:w="887" w:type="dxa"/>
            <w:tcBorders>
              <w:top w:val="nil"/>
              <w:left w:val="nil"/>
              <w:bottom w:val="nil"/>
              <w:right w:val="nil"/>
            </w:tcBorders>
            <w:shd w:val="clear" w:color="auto" w:fill="auto"/>
            <w:noWrap/>
            <w:vAlign w:val="bottom"/>
            <w:hideMark/>
          </w:tcPr>
          <w:p w14:paraId="4A360AE1" w14:textId="255CC8D9"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19,54</w:t>
            </w:r>
          </w:p>
        </w:tc>
      </w:tr>
      <w:tr w:rsidR="004529A7" w:rsidRPr="009C2B66" w14:paraId="558A2AA8"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0526FDA6"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İnşaat</w:t>
            </w:r>
          </w:p>
        </w:tc>
        <w:tc>
          <w:tcPr>
            <w:tcW w:w="898" w:type="dxa"/>
            <w:tcBorders>
              <w:top w:val="nil"/>
              <w:left w:val="nil"/>
              <w:bottom w:val="nil"/>
              <w:right w:val="nil"/>
            </w:tcBorders>
            <w:shd w:val="clear" w:color="auto" w:fill="D9D9D9" w:themeFill="background1" w:themeFillShade="D9"/>
            <w:noWrap/>
            <w:vAlign w:val="bottom"/>
            <w:hideMark/>
          </w:tcPr>
          <w:p w14:paraId="43DD70A4" w14:textId="3E7C66B1"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13,68</w:t>
            </w:r>
          </w:p>
        </w:tc>
        <w:tc>
          <w:tcPr>
            <w:tcW w:w="842" w:type="dxa"/>
            <w:tcBorders>
              <w:top w:val="nil"/>
              <w:left w:val="nil"/>
              <w:bottom w:val="nil"/>
              <w:right w:val="single" w:sz="4" w:space="0" w:color="auto"/>
            </w:tcBorders>
            <w:shd w:val="clear" w:color="auto" w:fill="auto"/>
            <w:noWrap/>
            <w:vAlign w:val="bottom"/>
            <w:hideMark/>
          </w:tcPr>
          <w:p w14:paraId="21372B48" w14:textId="4F4447A6"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0,15</w:t>
            </w:r>
          </w:p>
        </w:tc>
        <w:tc>
          <w:tcPr>
            <w:tcW w:w="887" w:type="dxa"/>
            <w:tcBorders>
              <w:top w:val="nil"/>
              <w:left w:val="nil"/>
              <w:bottom w:val="nil"/>
              <w:right w:val="nil"/>
            </w:tcBorders>
            <w:shd w:val="clear" w:color="auto" w:fill="auto"/>
            <w:noWrap/>
            <w:vAlign w:val="bottom"/>
            <w:hideMark/>
          </w:tcPr>
          <w:p w14:paraId="5C842B9E" w14:textId="31525821"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7,26</w:t>
            </w:r>
          </w:p>
        </w:tc>
      </w:tr>
      <w:tr w:rsidR="004529A7" w:rsidRPr="009C2B66" w14:paraId="2C5D92F5"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30935C34" w14:textId="77777777" w:rsidR="004529A7" w:rsidRPr="009C2B66" w:rsidRDefault="004529A7" w:rsidP="004529A7">
            <w:pPr>
              <w:spacing w:after="0" w:line="240" w:lineRule="auto"/>
              <w:rPr>
                <w:rFonts w:eastAsia="Times New Roman" w:cs="Calibri"/>
                <w:color w:val="000000"/>
              </w:rPr>
            </w:pPr>
            <w:bookmarkStart w:id="10" w:name="_Hlk9803393"/>
            <w:r w:rsidRPr="009C2B66">
              <w:rPr>
                <w:rFonts w:eastAsia="Times New Roman" w:cs="Calibri"/>
                <w:color w:val="000000"/>
              </w:rPr>
              <w:t>Toptan ve perakende ticaret, ulaştırma ve depolama, konaklama ve yiyecek hizmeti</w:t>
            </w:r>
          </w:p>
        </w:tc>
        <w:tc>
          <w:tcPr>
            <w:tcW w:w="898" w:type="dxa"/>
            <w:tcBorders>
              <w:top w:val="nil"/>
              <w:left w:val="nil"/>
              <w:bottom w:val="nil"/>
              <w:right w:val="nil"/>
            </w:tcBorders>
            <w:shd w:val="clear" w:color="auto" w:fill="D9D9D9" w:themeFill="background1" w:themeFillShade="D9"/>
            <w:noWrap/>
            <w:vAlign w:val="bottom"/>
            <w:hideMark/>
          </w:tcPr>
          <w:p w14:paraId="20450352" w14:textId="3FD1FFCB"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37,97</w:t>
            </w:r>
          </w:p>
        </w:tc>
        <w:tc>
          <w:tcPr>
            <w:tcW w:w="842" w:type="dxa"/>
            <w:tcBorders>
              <w:top w:val="nil"/>
              <w:left w:val="nil"/>
              <w:bottom w:val="nil"/>
              <w:right w:val="single" w:sz="4" w:space="0" w:color="auto"/>
            </w:tcBorders>
            <w:shd w:val="clear" w:color="auto" w:fill="D9D9D9" w:themeFill="background1" w:themeFillShade="D9"/>
            <w:noWrap/>
            <w:vAlign w:val="bottom"/>
            <w:hideMark/>
          </w:tcPr>
          <w:p w14:paraId="129D1EC2" w14:textId="4C65D25A"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23,09</w:t>
            </w:r>
          </w:p>
        </w:tc>
        <w:tc>
          <w:tcPr>
            <w:tcW w:w="887" w:type="dxa"/>
            <w:tcBorders>
              <w:top w:val="nil"/>
              <w:left w:val="nil"/>
              <w:bottom w:val="nil"/>
              <w:right w:val="nil"/>
            </w:tcBorders>
            <w:shd w:val="clear" w:color="auto" w:fill="auto"/>
            <w:noWrap/>
            <w:vAlign w:val="bottom"/>
            <w:hideMark/>
          </w:tcPr>
          <w:p w14:paraId="30B1B445" w14:textId="353B595F"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30,91</w:t>
            </w:r>
          </w:p>
        </w:tc>
      </w:tr>
      <w:bookmarkEnd w:id="10"/>
      <w:tr w:rsidR="004529A7" w:rsidRPr="009C2B66" w14:paraId="6CA66437"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1CDB9D51"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Bilgi ve iletişim</w:t>
            </w:r>
          </w:p>
        </w:tc>
        <w:tc>
          <w:tcPr>
            <w:tcW w:w="898" w:type="dxa"/>
            <w:tcBorders>
              <w:top w:val="nil"/>
              <w:left w:val="nil"/>
              <w:bottom w:val="nil"/>
              <w:right w:val="nil"/>
            </w:tcBorders>
            <w:shd w:val="clear" w:color="auto" w:fill="auto"/>
            <w:noWrap/>
            <w:vAlign w:val="bottom"/>
            <w:hideMark/>
          </w:tcPr>
          <w:p w14:paraId="302EFDE0" w14:textId="78C8D84D"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0,72</w:t>
            </w:r>
          </w:p>
        </w:tc>
        <w:tc>
          <w:tcPr>
            <w:tcW w:w="842" w:type="dxa"/>
            <w:tcBorders>
              <w:top w:val="nil"/>
              <w:left w:val="nil"/>
              <w:bottom w:val="nil"/>
              <w:right w:val="single" w:sz="4" w:space="0" w:color="auto"/>
            </w:tcBorders>
            <w:shd w:val="clear" w:color="auto" w:fill="auto"/>
            <w:noWrap/>
            <w:vAlign w:val="bottom"/>
            <w:hideMark/>
          </w:tcPr>
          <w:p w14:paraId="15CE3EDD" w14:textId="5AA3A11D"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0,47</w:t>
            </w:r>
          </w:p>
        </w:tc>
        <w:tc>
          <w:tcPr>
            <w:tcW w:w="887" w:type="dxa"/>
            <w:tcBorders>
              <w:top w:val="nil"/>
              <w:left w:val="nil"/>
              <w:bottom w:val="nil"/>
              <w:right w:val="nil"/>
            </w:tcBorders>
            <w:shd w:val="clear" w:color="auto" w:fill="auto"/>
            <w:noWrap/>
            <w:vAlign w:val="bottom"/>
            <w:hideMark/>
          </w:tcPr>
          <w:p w14:paraId="244E5883" w14:textId="6032846C"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0,60</w:t>
            </w:r>
          </w:p>
        </w:tc>
      </w:tr>
      <w:tr w:rsidR="004529A7" w:rsidRPr="009C2B66" w14:paraId="2D32DC0A"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465F8EE3"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Finans ve sigorta faaliyetleri</w:t>
            </w:r>
          </w:p>
        </w:tc>
        <w:tc>
          <w:tcPr>
            <w:tcW w:w="898" w:type="dxa"/>
            <w:tcBorders>
              <w:top w:val="nil"/>
              <w:left w:val="nil"/>
              <w:bottom w:val="nil"/>
              <w:right w:val="nil"/>
            </w:tcBorders>
            <w:shd w:val="clear" w:color="auto" w:fill="auto"/>
            <w:noWrap/>
            <w:vAlign w:val="bottom"/>
            <w:hideMark/>
          </w:tcPr>
          <w:p w14:paraId="5AF96C83" w14:textId="32C656B0"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0,24</w:t>
            </w:r>
          </w:p>
        </w:tc>
        <w:tc>
          <w:tcPr>
            <w:tcW w:w="842" w:type="dxa"/>
            <w:tcBorders>
              <w:top w:val="nil"/>
              <w:left w:val="nil"/>
              <w:bottom w:val="nil"/>
              <w:right w:val="single" w:sz="4" w:space="0" w:color="auto"/>
            </w:tcBorders>
            <w:shd w:val="clear" w:color="auto" w:fill="auto"/>
            <w:noWrap/>
            <w:vAlign w:val="bottom"/>
            <w:hideMark/>
          </w:tcPr>
          <w:p w14:paraId="2DC4B376" w14:textId="3FD5C1F1"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0,68</w:t>
            </w:r>
          </w:p>
        </w:tc>
        <w:tc>
          <w:tcPr>
            <w:tcW w:w="887" w:type="dxa"/>
            <w:tcBorders>
              <w:top w:val="nil"/>
              <w:left w:val="nil"/>
              <w:bottom w:val="nil"/>
              <w:right w:val="nil"/>
            </w:tcBorders>
            <w:shd w:val="clear" w:color="auto" w:fill="auto"/>
            <w:noWrap/>
            <w:vAlign w:val="bottom"/>
            <w:hideMark/>
          </w:tcPr>
          <w:p w14:paraId="6E256F7C" w14:textId="2AC7B5B2"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0,45</w:t>
            </w:r>
          </w:p>
        </w:tc>
      </w:tr>
      <w:tr w:rsidR="004529A7" w:rsidRPr="009C2B66" w14:paraId="1A6F5E82"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13302601"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Gayrimenkul faaliyetleri</w:t>
            </w:r>
          </w:p>
        </w:tc>
        <w:tc>
          <w:tcPr>
            <w:tcW w:w="898" w:type="dxa"/>
            <w:tcBorders>
              <w:top w:val="nil"/>
              <w:left w:val="nil"/>
              <w:bottom w:val="nil"/>
              <w:right w:val="nil"/>
            </w:tcBorders>
            <w:shd w:val="clear" w:color="auto" w:fill="auto"/>
            <w:noWrap/>
            <w:vAlign w:val="bottom"/>
            <w:hideMark/>
          </w:tcPr>
          <w:p w14:paraId="392EBAF2" w14:textId="66B74996"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0,05</w:t>
            </w:r>
          </w:p>
        </w:tc>
        <w:tc>
          <w:tcPr>
            <w:tcW w:w="842" w:type="dxa"/>
            <w:tcBorders>
              <w:top w:val="nil"/>
              <w:left w:val="nil"/>
              <w:bottom w:val="nil"/>
              <w:right w:val="single" w:sz="4" w:space="0" w:color="auto"/>
            </w:tcBorders>
            <w:shd w:val="clear" w:color="auto" w:fill="auto"/>
            <w:noWrap/>
            <w:vAlign w:val="bottom"/>
            <w:hideMark/>
          </w:tcPr>
          <w:p w14:paraId="50C6B3CC" w14:textId="28C62368"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0,35</w:t>
            </w:r>
          </w:p>
        </w:tc>
        <w:tc>
          <w:tcPr>
            <w:tcW w:w="887" w:type="dxa"/>
            <w:tcBorders>
              <w:top w:val="nil"/>
              <w:left w:val="nil"/>
              <w:bottom w:val="nil"/>
              <w:right w:val="nil"/>
            </w:tcBorders>
            <w:shd w:val="clear" w:color="auto" w:fill="auto"/>
            <w:noWrap/>
            <w:vAlign w:val="bottom"/>
            <w:hideMark/>
          </w:tcPr>
          <w:p w14:paraId="71EC89CC" w14:textId="13AC46D6"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0,19</w:t>
            </w:r>
          </w:p>
        </w:tc>
      </w:tr>
      <w:tr w:rsidR="004529A7" w:rsidRPr="009C2B66" w14:paraId="6FE87874"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3D895D65"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Mesleki, bilimsel ve teknik faaliyetler, idari ve destek hizmetleri</w:t>
            </w:r>
          </w:p>
        </w:tc>
        <w:tc>
          <w:tcPr>
            <w:tcW w:w="898" w:type="dxa"/>
            <w:tcBorders>
              <w:top w:val="nil"/>
              <w:left w:val="nil"/>
              <w:bottom w:val="nil"/>
              <w:right w:val="nil"/>
            </w:tcBorders>
            <w:shd w:val="clear" w:color="auto" w:fill="auto"/>
            <w:noWrap/>
            <w:vAlign w:val="bottom"/>
            <w:hideMark/>
          </w:tcPr>
          <w:p w14:paraId="59D0C00F" w14:textId="7C1D364A"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3,39</w:t>
            </w:r>
          </w:p>
        </w:tc>
        <w:tc>
          <w:tcPr>
            <w:tcW w:w="842" w:type="dxa"/>
            <w:tcBorders>
              <w:top w:val="nil"/>
              <w:left w:val="nil"/>
              <w:bottom w:val="nil"/>
              <w:right w:val="single" w:sz="4" w:space="0" w:color="auto"/>
            </w:tcBorders>
            <w:shd w:val="clear" w:color="auto" w:fill="auto"/>
            <w:noWrap/>
            <w:vAlign w:val="bottom"/>
            <w:hideMark/>
          </w:tcPr>
          <w:p w14:paraId="3864ED85" w14:textId="50984650"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3,26</w:t>
            </w:r>
          </w:p>
        </w:tc>
        <w:tc>
          <w:tcPr>
            <w:tcW w:w="887" w:type="dxa"/>
            <w:tcBorders>
              <w:top w:val="nil"/>
              <w:left w:val="nil"/>
              <w:bottom w:val="nil"/>
              <w:right w:val="nil"/>
            </w:tcBorders>
            <w:shd w:val="clear" w:color="auto" w:fill="auto"/>
            <w:noWrap/>
            <w:vAlign w:val="bottom"/>
            <w:hideMark/>
          </w:tcPr>
          <w:p w14:paraId="12F8DAA4" w14:textId="107280E1"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3,33</w:t>
            </w:r>
          </w:p>
        </w:tc>
      </w:tr>
      <w:tr w:rsidR="004529A7" w:rsidRPr="009C2B66" w14:paraId="496A97F0"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4461E0CB" w14:textId="023A7A10" w:rsidR="004529A7" w:rsidRPr="009C2B66" w:rsidRDefault="004529A7" w:rsidP="004529A7">
            <w:pPr>
              <w:spacing w:after="0" w:line="240" w:lineRule="auto"/>
              <w:rPr>
                <w:rFonts w:eastAsia="Times New Roman" w:cs="Calibri"/>
                <w:color w:val="000000"/>
              </w:rPr>
            </w:pPr>
            <w:bookmarkStart w:id="11" w:name="OLE_LINK10"/>
            <w:bookmarkStart w:id="12" w:name="OLE_LINK11"/>
            <w:r w:rsidRPr="009C2B66">
              <w:rPr>
                <w:rFonts w:eastAsia="Times New Roman" w:cs="Calibri"/>
                <w:color w:val="000000"/>
              </w:rPr>
              <w:t>Kamu yönetimi ve savunma, eğitim hizmetleri, insan sağlığı ve sosyal hizmet</w:t>
            </w:r>
            <w:bookmarkEnd w:id="11"/>
            <w:bookmarkEnd w:id="12"/>
          </w:p>
        </w:tc>
        <w:tc>
          <w:tcPr>
            <w:tcW w:w="898" w:type="dxa"/>
            <w:tcBorders>
              <w:top w:val="nil"/>
              <w:left w:val="nil"/>
              <w:bottom w:val="nil"/>
              <w:right w:val="nil"/>
            </w:tcBorders>
            <w:shd w:val="clear" w:color="auto" w:fill="auto"/>
            <w:noWrap/>
            <w:vAlign w:val="bottom"/>
            <w:hideMark/>
          </w:tcPr>
          <w:p w14:paraId="79F99FE3" w14:textId="4FB3803D"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3,76</w:t>
            </w:r>
          </w:p>
        </w:tc>
        <w:tc>
          <w:tcPr>
            <w:tcW w:w="842" w:type="dxa"/>
            <w:tcBorders>
              <w:top w:val="nil"/>
              <w:left w:val="nil"/>
              <w:bottom w:val="nil"/>
              <w:right w:val="single" w:sz="4" w:space="0" w:color="auto"/>
            </w:tcBorders>
            <w:shd w:val="clear" w:color="auto" w:fill="D9D9D9" w:themeFill="background1" w:themeFillShade="D9"/>
            <w:noWrap/>
            <w:vAlign w:val="bottom"/>
            <w:hideMark/>
          </w:tcPr>
          <w:p w14:paraId="7877C6FD" w14:textId="2F295870"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11,90</w:t>
            </w:r>
          </w:p>
        </w:tc>
        <w:tc>
          <w:tcPr>
            <w:tcW w:w="887" w:type="dxa"/>
            <w:tcBorders>
              <w:top w:val="nil"/>
              <w:left w:val="nil"/>
              <w:bottom w:val="nil"/>
              <w:right w:val="nil"/>
            </w:tcBorders>
            <w:shd w:val="clear" w:color="auto" w:fill="auto"/>
            <w:noWrap/>
            <w:vAlign w:val="bottom"/>
            <w:hideMark/>
          </w:tcPr>
          <w:p w14:paraId="2619DE1C" w14:textId="214E8FA6"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7,63</w:t>
            </w:r>
          </w:p>
        </w:tc>
      </w:tr>
      <w:tr w:rsidR="004529A7" w:rsidRPr="009C2B66" w14:paraId="05E40258" w14:textId="77777777" w:rsidTr="00866136">
        <w:trPr>
          <w:trHeight w:val="246"/>
        </w:trPr>
        <w:tc>
          <w:tcPr>
            <w:tcW w:w="5957" w:type="dxa"/>
            <w:tcBorders>
              <w:top w:val="nil"/>
              <w:left w:val="nil"/>
              <w:bottom w:val="single" w:sz="4" w:space="0" w:color="auto"/>
              <w:right w:val="single" w:sz="4" w:space="0" w:color="auto"/>
            </w:tcBorders>
            <w:shd w:val="clear" w:color="auto" w:fill="auto"/>
            <w:noWrap/>
            <w:vAlign w:val="bottom"/>
            <w:hideMark/>
          </w:tcPr>
          <w:p w14:paraId="19539BC5"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Diğer hizmet faaliyetleri</w:t>
            </w:r>
          </w:p>
        </w:tc>
        <w:tc>
          <w:tcPr>
            <w:tcW w:w="898" w:type="dxa"/>
            <w:tcBorders>
              <w:top w:val="nil"/>
              <w:left w:val="nil"/>
              <w:bottom w:val="single" w:sz="4" w:space="0" w:color="auto"/>
              <w:right w:val="nil"/>
            </w:tcBorders>
            <w:shd w:val="clear" w:color="auto" w:fill="auto"/>
            <w:noWrap/>
            <w:vAlign w:val="bottom"/>
            <w:hideMark/>
          </w:tcPr>
          <w:p w14:paraId="378B9648" w14:textId="6609541D"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5,81</w:t>
            </w:r>
          </w:p>
        </w:tc>
        <w:tc>
          <w:tcPr>
            <w:tcW w:w="842" w:type="dxa"/>
            <w:tcBorders>
              <w:top w:val="nil"/>
              <w:left w:val="nil"/>
              <w:bottom w:val="single" w:sz="4" w:space="0" w:color="auto"/>
              <w:right w:val="single" w:sz="4" w:space="0" w:color="auto"/>
            </w:tcBorders>
            <w:shd w:val="clear" w:color="auto" w:fill="auto"/>
            <w:noWrap/>
            <w:vAlign w:val="bottom"/>
            <w:hideMark/>
          </w:tcPr>
          <w:p w14:paraId="0111071A" w14:textId="2F58D648"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6,37</w:t>
            </w:r>
          </w:p>
        </w:tc>
        <w:tc>
          <w:tcPr>
            <w:tcW w:w="887" w:type="dxa"/>
            <w:tcBorders>
              <w:top w:val="nil"/>
              <w:left w:val="nil"/>
              <w:bottom w:val="single" w:sz="4" w:space="0" w:color="auto"/>
              <w:right w:val="nil"/>
            </w:tcBorders>
            <w:shd w:val="clear" w:color="auto" w:fill="auto"/>
            <w:noWrap/>
            <w:vAlign w:val="bottom"/>
            <w:hideMark/>
          </w:tcPr>
          <w:p w14:paraId="054A13BE" w14:textId="6151C9F6"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6,07</w:t>
            </w:r>
          </w:p>
        </w:tc>
      </w:tr>
      <w:tr w:rsidR="004529A7" w:rsidRPr="009C2B66" w14:paraId="1D45A53B" w14:textId="77777777" w:rsidTr="00866136">
        <w:trPr>
          <w:trHeight w:val="246"/>
        </w:trPr>
        <w:tc>
          <w:tcPr>
            <w:tcW w:w="5957" w:type="dxa"/>
            <w:tcBorders>
              <w:top w:val="nil"/>
              <w:left w:val="nil"/>
              <w:bottom w:val="nil"/>
              <w:right w:val="single" w:sz="4" w:space="0" w:color="auto"/>
            </w:tcBorders>
            <w:shd w:val="clear" w:color="auto" w:fill="auto"/>
            <w:noWrap/>
            <w:vAlign w:val="bottom"/>
            <w:hideMark/>
          </w:tcPr>
          <w:p w14:paraId="173AB049" w14:textId="28D837AA" w:rsidR="004529A7" w:rsidRPr="009C2B66" w:rsidRDefault="004529A7" w:rsidP="004529A7">
            <w:pPr>
              <w:spacing w:after="0" w:line="240" w:lineRule="auto"/>
              <w:jc w:val="right"/>
              <w:rPr>
                <w:rFonts w:eastAsia="Times New Roman" w:cs="Calibri"/>
                <w:color w:val="000000"/>
              </w:rPr>
            </w:pPr>
            <w:r w:rsidRPr="009C2B66">
              <w:rPr>
                <w:rFonts w:eastAsia="Times New Roman" w:cs="Calibri"/>
                <w:color w:val="000000"/>
              </w:rPr>
              <w:t>Yüzde</w:t>
            </w:r>
          </w:p>
        </w:tc>
        <w:tc>
          <w:tcPr>
            <w:tcW w:w="898" w:type="dxa"/>
            <w:tcBorders>
              <w:top w:val="nil"/>
              <w:left w:val="nil"/>
              <w:bottom w:val="nil"/>
              <w:right w:val="nil"/>
            </w:tcBorders>
            <w:shd w:val="clear" w:color="auto" w:fill="auto"/>
            <w:noWrap/>
            <w:vAlign w:val="bottom"/>
            <w:hideMark/>
          </w:tcPr>
          <w:p w14:paraId="4189B192"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100</w:t>
            </w:r>
          </w:p>
        </w:tc>
        <w:tc>
          <w:tcPr>
            <w:tcW w:w="842" w:type="dxa"/>
            <w:tcBorders>
              <w:top w:val="nil"/>
              <w:left w:val="nil"/>
              <w:bottom w:val="nil"/>
              <w:right w:val="single" w:sz="4" w:space="0" w:color="auto"/>
            </w:tcBorders>
            <w:shd w:val="clear" w:color="auto" w:fill="auto"/>
            <w:noWrap/>
            <w:vAlign w:val="bottom"/>
            <w:hideMark/>
          </w:tcPr>
          <w:p w14:paraId="5A6DF645"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100</w:t>
            </w:r>
          </w:p>
        </w:tc>
        <w:tc>
          <w:tcPr>
            <w:tcW w:w="887" w:type="dxa"/>
            <w:tcBorders>
              <w:top w:val="nil"/>
              <w:left w:val="nil"/>
              <w:bottom w:val="nil"/>
              <w:right w:val="nil"/>
            </w:tcBorders>
            <w:shd w:val="clear" w:color="auto" w:fill="auto"/>
            <w:noWrap/>
            <w:vAlign w:val="bottom"/>
            <w:hideMark/>
          </w:tcPr>
          <w:p w14:paraId="478D92CD" w14:textId="77777777" w:rsidR="004529A7" w:rsidRPr="009C2B66" w:rsidRDefault="004529A7" w:rsidP="004529A7">
            <w:pPr>
              <w:spacing w:after="0" w:line="240" w:lineRule="auto"/>
              <w:rPr>
                <w:rFonts w:eastAsia="Times New Roman" w:cs="Calibri"/>
                <w:color w:val="000000"/>
              </w:rPr>
            </w:pPr>
            <w:r w:rsidRPr="009C2B66">
              <w:rPr>
                <w:rFonts w:eastAsia="Times New Roman" w:cs="Calibri"/>
                <w:color w:val="000000"/>
              </w:rPr>
              <w:t>100</w:t>
            </w:r>
          </w:p>
        </w:tc>
      </w:tr>
    </w:tbl>
    <w:p w14:paraId="04B41307" w14:textId="48D9A94B" w:rsidR="00EB3A47" w:rsidRPr="009C2B66" w:rsidRDefault="00EB3A47" w:rsidP="00EB3A47">
      <w:pPr>
        <w:jc w:val="both"/>
        <w:rPr>
          <w:rFonts w:cstheme="minorHAnsi"/>
        </w:rPr>
      </w:pPr>
      <w:r>
        <w:rPr>
          <w:rFonts w:cstheme="minorHAnsi"/>
        </w:rPr>
        <w:br/>
        <w:t>Kaynak: Hanehalkı İşgücü Anketi, 2017; Betam hesaplamaları</w:t>
      </w:r>
    </w:p>
    <w:p w14:paraId="141CC542" w14:textId="3115D025" w:rsidR="00360C50" w:rsidRPr="009C2B66" w:rsidRDefault="005B417A" w:rsidP="004529A7">
      <w:pPr>
        <w:spacing w:after="0" w:line="240" w:lineRule="auto"/>
        <w:jc w:val="both"/>
        <w:rPr>
          <w:rFonts w:ascii="Calibri" w:eastAsia="Times New Roman" w:hAnsi="Calibri" w:cs="Calibri"/>
          <w:color w:val="000000"/>
        </w:rPr>
      </w:pPr>
      <w:bookmarkStart w:id="13" w:name="OLE_LINK5"/>
      <w:bookmarkStart w:id="14" w:name="OLE_LINK6"/>
      <w:r w:rsidRPr="009C2B66">
        <w:rPr>
          <w:rFonts w:cstheme="minorHAnsi"/>
        </w:rPr>
        <w:t xml:space="preserve">2017 yılında </w:t>
      </w:r>
      <w:r w:rsidR="00066C2D" w:rsidRPr="009C2B66">
        <w:rPr>
          <w:rFonts w:cstheme="minorHAnsi"/>
        </w:rPr>
        <w:t>NENİ genç erkekler</w:t>
      </w:r>
      <w:r w:rsidR="00D90283" w:rsidRPr="009C2B66">
        <w:rPr>
          <w:rFonts w:cstheme="minorHAnsi"/>
        </w:rPr>
        <w:t xml:space="preserve"> arasında daha </w:t>
      </w:r>
      <w:r w:rsidRPr="009C2B66">
        <w:rPr>
          <w:rFonts w:cstheme="minorHAnsi"/>
        </w:rPr>
        <w:t>önceden en az bir işte ücretli çalışan</w:t>
      </w:r>
      <w:bookmarkEnd w:id="13"/>
      <w:bookmarkEnd w:id="14"/>
      <w:r w:rsidR="00066C2D" w:rsidRPr="009C2B66">
        <w:rPr>
          <w:rFonts w:cstheme="minorHAnsi"/>
        </w:rPr>
        <w:t>ların</w:t>
      </w:r>
      <w:r w:rsidR="00D90283" w:rsidRPr="009C2B66">
        <w:rPr>
          <w:rFonts w:cstheme="minorHAnsi"/>
        </w:rPr>
        <w:t xml:space="preserve"> son çalıştıkları sektörün</w:t>
      </w:r>
      <w:r w:rsidR="004529A7" w:rsidRPr="009C2B66">
        <w:rPr>
          <w:rFonts w:cstheme="minorHAnsi"/>
        </w:rPr>
        <w:t xml:space="preserve"> </w:t>
      </w:r>
      <w:r w:rsidR="009C3454" w:rsidRPr="009C2B66">
        <w:rPr>
          <w:rFonts w:cstheme="minorHAnsi"/>
        </w:rPr>
        <w:t xml:space="preserve">yüzde 38 ile </w:t>
      </w:r>
      <w:bookmarkStart w:id="15" w:name="OLE_LINK7"/>
      <w:bookmarkStart w:id="16" w:name="OLE_LINK8"/>
      <w:r w:rsidR="004529A7" w:rsidRPr="009C2B66">
        <w:rPr>
          <w:rFonts w:cstheme="minorHAnsi"/>
        </w:rPr>
        <w:t>“</w:t>
      </w:r>
      <w:r w:rsidR="004529A7" w:rsidRPr="009C2B66">
        <w:rPr>
          <w:rFonts w:ascii="Calibri" w:eastAsia="Times New Roman" w:hAnsi="Calibri" w:cs="Calibri"/>
          <w:color w:val="000000"/>
        </w:rPr>
        <w:t>Toptan ve perakende ticaret, ulaştırma ve depolama, konaklama ve yiyecek hizmeti”</w:t>
      </w:r>
      <w:r w:rsidR="009C3454" w:rsidRPr="009C2B66">
        <w:rPr>
          <w:rFonts w:ascii="Calibri" w:eastAsia="Times New Roman" w:hAnsi="Calibri" w:cs="Calibri"/>
          <w:color w:val="000000"/>
        </w:rPr>
        <w:t xml:space="preserve"> </w:t>
      </w:r>
      <w:bookmarkEnd w:id="15"/>
      <w:bookmarkEnd w:id="16"/>
      <w:r w:rsidR="00D90283" w:rsidRPr="009C2B66">
        <w:rPr>
          <w:rFonts w:ascii="Calibri" w:eastAsia="Times New Roman" w:hAnsi="Calibri" w:cs="Calibri"/>
          <w:color w:val="000000"/>
        </w:rPr>
        <w:t>sektörü olduğu görülmektedir</w:t>
      </w:r>
      <w:r w:rsidR="009C3454" w:rsidRPr="009C2B66">
        <w:rPr>
          <w:rFonts w:ascii="Calibri" w:eastAsia="Times New Roman" w:hAnsi="Calibri" w:cs="Calibri"/>
          <w:color w:val="000000"/>
        </w:rPr>
        <w:t xml:space="preserve">. </w:t>
      </w:r>
      <w:r w:rsidR="004529C7" w:rsidRPr="009C2B66">
        <w:rPr>
          <w:rFonts w:ascii="Calibri" w:eastAsia="Times New Roman" w:hAnsi="Calibri" w:cs="Calibri"/>
          <w:color w:val="000000"/>
        </w:rPr>
        <w:t>Bu sektörü</w:t>
      </w:r>
      <w:r w:rsidR="009C3454" w:rsidRPr="009C2B66">
        <w:rPr>
          <w:rFonts w:ascii="Calibri" w:eastAsia="Times New Roman" w:hAnsi="Calibri" w:cs="Calibri"/>
          <w:color w:val="000000"/>
        </w:rPr>
        <w:t xml:space="preserve"> sırasıyla “İmalat, madencilik ve diğer sanayi”, “Tarım” ve “İnşaat” sektörleri takip etmektedir. </w:t>
      </w:r>
    </w:p>
    <w:p w14:paraId="6738E696" w14:textId="1B8CEC86" w:rsidR="00B66E55" w:rsidRPr="009C2B66" w:rsidRDefault="00066C2D" w:rsidP="00207039">
      <w:pPr>
        <w:jc w:val="both"/>
        <w:rPr>
          <w:rFonts w:ascii="Calibri" w:eastAsia="Times New Roman" w:hAnsi="Calibri" w:cs="Calibri"/>
          <w:color w:val="000000"/>
        </w:rPr>
      </w:pPr>
      <w:r w:rsidRPr="009C2B66">
        <w:rPr>
          <w:rFonts w:cstheme="minorHAnsi"/>
        </w:rPr>
        <w:lastRenderedPageBreak/>
        <w:t xml:space="preserve">NENİ genç kadınlar arasında daha önceden en az bir işte ücretli çalışanların son çalıştıkları sektörün </w:t>
      </w:r>
      <w:r w:rsidR="009C3454" w:rsidRPr="009C2B66">
        <w:rPr>
          <w:rFonts w:cstheme="minorHAnsi"/>
        </w:rPr>
        <w:t>y</w:t>
      </w:r>
      <w:r w:rsidRPr="009C2B66">
        <w:rPr>
          <w:rFonts w:cstheme="minorHAnsi"/>
        </w:rPr>
        <w:t>üzde 34,3 ile “Tarım” sektörü olduğu görülmektedir</w:t>
      </w:r>
      <w:r w:rsidR="009C3454" w:rsidRPr="009C2B66">
        <w:rPr>
          <w:rFonts w:cstheme="minorHAnsi"/>
        </w:rPr>
        <w:t xml:space="preserve">. </w:t>
      </w:r>
      <w:r w:rsidRPr="009C2B66">
        <w:rPr>
          <w:rFonts w:cstheme="minorHAnsi"/>
        </w:rPr>
        <w:t>Bu sektörü</w:t>
      </w:r>
      <w:r w:rsidR="009C3454" w:rsidRPr="009C2B66">
        <w:rPr>
          <w:rFonts w:cstheme="minorHAnsi"/>
        </w:rPr>
        <w:t xml:space="preserve"> sırasıyla “</w:t>
      </w:r>
      <w:r w:rsidR="009C3454" w:rsidRPr="009C2B66">
        <w:rPr>
          <w:rFonts w:ascii="Calibri" w:eastAsia="Times New Roman" w:hAnsi="Calibri" w:cs="Calibri"/>
          <w:color w:val="000000"/>
        </w:rPr>
        <w:t xml:space="preserve">Toptan ve perakende ticaret, ulaştırma ve depolama, konaklama ve yiyecek hizmeti”, “İmalat, madencilik ve diğer sanayi” ve “Kamu yönetimi ve savunma, eğitim hizmetleri, insan sağlığı ve sosyal hizmet” sektörleri takip etmektedir. </w:t>
      </w:r>
    </w:p>
    <w:p w14:paraId="085A8489" w14:textId="11670C22" w:rsidR="004B084D" w:rsidRPr="009C2B66" w:rsidRDefault="004B084D" w:rsidP="00207039">
      <w:pPr>
        <w:jc w:val="both"/>
        <w:rPr>
          <w:rFonts w:ascii="Calibri" w:eastAsia="Times New Roman" w:hAnsi="Calibri" w:cs="Calibri"/>
          <w:color w:val="000000"/>
        </w:rPr>
      </w:pPr>
      <w:r w:rsidRPr="009C2B66">
        <w:rPr>
          <w:rFonts w:ascii="Calibri" w:eastAsia="Times New Roman" w:hAnsi="Calibri" w:cs="Calibri"/>
          <w:color w:val="000000"/>
        </w:rPr>
        <w:t xml:space="preserve">İstihdamda olan gençlerin sektörel dağılımı Tablo 6’da gösterilmektedir. Verilere göre bu yaş grubundaki genç kadınların yüzde 40’a yakını tarımda çalışmaktadır. Erkeklerde ise bu oran yüzde 21 seviyesindedir. Veriler tarım istihdamının payına kıyasla tarımdan çıkmanın nispeten daha az yaygın olduğuna işaret etmektedir. </w:t>
      </w:r>
      <w:r w:rsidR="00086A9E" w:rsidRPr="009C2B66">
        <w:rPr>
          <w:rFonts w:ascii="Calibri" w:eastAsia="Times New Roman" w:hAnsi="Calibri" w:cs="Calibri"/>
          <w:color w:val="000000"/>
        </w:rPr>
        <w:t>Eğer işgücü piyasası dışına çıkış her sektör için aynı olmuş olsaydı, istihdamın sektörel dağılımı, çıkanların son çalıştıkları sektör dağılımının aynısı olurdu. Halbuki istihdamda tarımın payı, çıkanların son çalıştıkları sektör dağılımındaki tarımın payından daha yüksek görünmektedir. Benzer şekilde, i</w:t>
      </w:r>
      <w:r w:rsidR="001D5FA2" w:rsidRPr="009C2B66">
        <w:rPr>
          <w:rFonts w:ascii="Calibri" w:eastAsia="Times New Roman" w:hAnsi="Calibri" w:cs="Calibri"/>
          <w:color w:val="000000"/>
        </w:rPr>
        <w:t>malat, madencilik ve diğer sanayide de benzer şekilde işgücü piyasasının dışına çıkmanın nispeten daha s</w:t>
      </w:r>
      <w:r w:rsidR="002908A4" w:rsidRPr="009C2B66">
        <w:rPr>
          <w:rFonts w:ascii="Calibri" w:eastAsia="Times New Roman" w:hAnsi="Calibri" w:cs="Calibri"/>
          <w:color w:val="000000"/>
        </w:rPr>
        <w:t>e</w:t>
      </w:r>
      <w:r w:rsidR="004B0504" w:rsidRPr="009C2B66">
        <w:rPr>
          <w:rFonts w:ascii="Calibri" w:eastAsia="Times New Roman" w:hAnsi="Calibri" w:cs="Calibri"/>
          <w:color w:val="000000"/>
        </w:rPr>
        <w:t xml:space="preserve">yrek olduğu söylenebilir. Buna karşın </w:t>
      </w:r>
      <w:r w:rsidR="0051107A" w:rsidRPr="009C2B66">
        <w:rPr>
          <w:rFonts w:ascii="Calibri" w:eastAsia="Times New Roman" w:hAnsi="Calibri" w:cs="Calibri"/>
          <w:color w:val="000000"/>
        </w:rPr>
        <w:t xml:space="preserve">NENİ’ler arasında </w:t>
      </w:r>
      <w:r w:rsidR="004B0504" w:rsidRPr="009C2B66">
        <w:rPr>
          <w:rFonts w:ascii="Calibri" w:eastAsia="Times New Roman" w:hAnsi="Calibri" w:cs="Calibri"/>
          <w:color w:val="000000"/>
        </w:rPr>
        <w:t>daha önce ticaret, ulaştırma, konaklama ve yiyecek sektörlerinde</w:t>
      </w:r>
      <w:r w:rsidR="0051107A" w:rsidRPr="009C2B66">
        <w:rPr>
          <w:rFonts w:ascii="Calibri" w:eastAsia="Times New Roman" w:hAnsi="Calibri" w:cs="Calibri"/>
          <w:color w:val="000000"/>
        </w:rPr>
        <w:t xml:space="preserve"> çalışmış olanların oranı mevcut çalışanlara kıyasla daha yüksektir. </w:t>
      </w:r>
      <w:r w:rsidR="004762BB" w:rsidRPr="009C2B66">
        <w:rPr>
          <w:rFonts w:ascii="Calibri" w:eastAsia="Times New Roman" w:hAnsi="Calibri" w:cs="Calibri"/>
          <w:color w:val="000000"/>
        </w:rPr>
        <w:t>Diğer ifadeyle bu sektörde çalışmış ama halen işgücü dışına çıkmış genç sayısının oldukça yüksek olduğu anlaşılmaktadır.</w:t>
      </w:r>
      <w:r w:rsidR="00505D47" w:rsidRPr="009C2B66">
        <w:rPr>
          <w:rFonts w:ascii="Calibri" w:eastAsia="Times New Roman" w:hAnsi="Calibri" w:cs="Calibri"/>
          <w:color w:val="000000"/>
        </w:rPr>
        <w:t xml:space="preserve"> Bu gözlem perakende satış elemanı, garsonluk, temizlik gibi işlere kalıcı  istihdam olanağı gözüyle bakılmadığını ima etmektedir.</w:t>
      </w:r>
    </w:p>
    <w:p w14:paraId="20326F03" w14:textId="3FA4CBBB" w:rsidR="00550EAF" w:rsidRPr="009C2B66" w:rsidRDefault="00550EAF" w:rsidP="00207039">
      <w:pPr>
        <w:jc w:val="both"/>
        <w:rPr>
          <w:rFonts w:cstheme="minorHAnsi"/>
        </w:rPr>
      </w:pPr>
      <w:r w:rsidRPr="009C2B66">
        <w:rPr>
          <w:rFonts w:ascii="Calibri" w:eastAsia="Times New Roman" w:hAnsi="Calibri" w:cs="Calibri"/>
          <w:color w:val="000000"/>
        </w:rPr>
        <w:t>Tablo 6: 2017 yılında istihdamda olan gençlerin sektörel dağılımı</w:t>
      </w:r>
    </w:p>
    <w:tbl>
      <w:tblPr>
        <w:tblW w:w="8584" w:type="dxa"/>
        <w:tblLook w:val="04A0" w:firstRow="1" w:lastRow="0" w:firstColumn="1" w:lastColumn="0" w:noHBand="0" w:noVBand="1"/>
      </w:tblPr>
      <w:tblGrid>
        <w:gridCol w:w="5957"/>
        <w:gridCol w:w="898"/>
        <w:gridCol w:w="842"/>
        <w:gridCol w:w="887"/>
      </w:tblGrid>
      <w:tr w:rsidR="004B56E6" w:rsidRPr="009C2B66" w14:paraId="326FFC72"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026C5DE5" w14:textId="77777777" w:rsidR="004B56E6" w:rsidRPr="009C2B66" w:rsidRDefault="004B56E6" w:rsidP="00F345FE">
            <w:pPr>
              <w:spacing w:after="0" w:line="240" w:lineRule="auto"/>
              <w:rPr>
                <w:rFonts w:eastAsia="Times New Roman" w:cs="Calibri"/>
                <w:color w:val="000000"/>
              </w:rPr>
            </w:pPr>
            <w:r w:rsidRPr="009C2B66">
              <w:rPr>
                <w:rFonts w:eastAsia="Times New Roman" w:cs="Calibri"/>
                <w:color w:val="000000"/>
              </w:rPr>
              <w:t> </w:t>
            </w:r>
          </w:p>
        </w:tc>
        <w:tc>
          <w:tcPr>
            <w:tcW w:w="1740" w:type="dxa"/>
            <w:gridSpan w:val="2"/>
            <w:tcBorders>
              <w:top w:val="nil"/>
              <w:left w:val="nil"/>
              <w:bottom w:val="single" w:sz="4" w:space="0" w:color="auto"/>
              <w:right w:val="single" w:sz="4" w:space="0" w:color="000000"/>
            </w:tcBorders>
            <w:shd w:val="clear" w:color="auto" w:fill="auto"/>
            <w:noWrap/>
            <w:vAlign w:val="bottom"/>
            <w:hideMark/>
          </w:tcPr>
          <w:p w14:paraId="125ABE63" w14:textId="77777777" w:rsidR="004B56E6" w:rsidRPr="009C2B66" w:rsidRDefault="004B56E6" w:rsidP="00F345FE">
            <w:pPr>
              <w:spacing w:after="0" w:line="240" w:lineRule="auto"/>
              <w:jc w:val="center"/>
              <w:rPr>
                <w:rFonts w:eastAsia="Times New Roman" w:cs="Calibri"/>
                <w:color w:val="000000"/>
              </w:rPr>
            </w:pPr>
            <w:r w:rsidRPr="009C2B66">
              <w:rPr>
                <w:rFonts w:eastAsia="Times New Roman" w:cs="Calibri"/>
                <w:color w:val="000000"/>
              </w:rPr>
              <w:t>Cinsiyet</w:t>
            </w:r>
          </w:p>
        </w:tc>
        <w:tc>
          <w:tcPr>
            <w:tcW w:w="887" w:type="dxa"/>
            <w:vMerge w:val="restart"/>
            <w:tcBorders>
              <w:top w:val="nil"/>
              <w:left w:val="nil"/>
              <w:bottom w:val="single" w:sz="4" w:space="0" w:color="000000"/>
              <w:right w:val="nil"/>
            </w:tcBorders>
            <w:shd w:val="clear" w:color="auto" w:fill="auto"/>
            <w:vAlign w:val="center"/>
            <w:hideMark/>
          </w:tcPr>
          <w:p w14:paraId="3E46852E" w14:textId="77777777" w:rsidR="004B56E6" w:rsidRPr="009C2B66" w:rsidRDefault="004B56E6" w:rsidP="00F345FE">
            <w:pPr>
              <w:spacing w:after="0" w:line="240" w:lineRule="auto"/>
              <w:rPr>
                <w:rFonts w:eastAsia="Times New Roman" w:cs="Calibri"/>
                <w:color w:val="000000"/>
              </w:rPr>
            </w:pPr>
            <w:r w:rsidRPr="009C2B66">
              <w:rPr>
                <w:rFonts w:eastAsia="Times New Roman" w:cs="Calibri"/>
                <w:color w:val="000000"/>
              </w:rPr>
              <w:t>Toplam (%)</w:t>
            </w:r>
          </w:p>
        </w:tc>
      </w:tr>
      <w:tr w:rsidR="004B56E6" w:rsidRPr="009C2B66" w14:paraId="1B7F4167" w14:textId="77777777" w:rsidTr="00F345FE">
        <w:trPr>
          <w:trHeight w:val="246"/>
        </w:trPr>
        <w:tc>
          <w:tcPr>
            <w:tcW w:w="5957" w:type="dxa"/>
            <w:tcBorders>
              <w:top w:val="nil"/>
              <w:left w:val="nil"/>
              <w:bottom w:val="single" w:sz="4" w:space="0" w:color="auto"/>
              <w:right w:val="single" w:sz="4" w:space="0" w:color="auto"/>
            </w:tcBorders>
            <w:shd w:val="clear" w:color="auto" w:fill="auto"/>
            <w:noWrap/>
            <w:vAlign w:val="bottom"/>
            <w:hideMark/>
          </w:tcPr>
          <w:p w14:paraId="0D3466E0" w14:textId="77777777" w:rsidR="004B56E6" w:rsidRPr="009C2B66" w:rsidRDefault="004B56E6" w:rsidP="00F345FE">
            <w:pPr>
              <w:spacing w:after="0" w:line="240" w:lineRule="auto"/>
              <w:rPr>
                <w:rFonts w:eastAsia="Times New Roman" w:cs="Calibri"/>
                <w:color w:val="000000"/>
              </w:rPr>
            </w:pPr>
            <w:r w:rsidRPr="009C2B66">
              <w:rPr>
                <w:rFonts w:eastAsia="Times New Roman" w:cs="Calibri"/>
                <w:color w:val="000000"/>
              </w:rPr>
              <w:t>Sektör</w:t>
            </w:r>
          </w:p>
        </w:tc>
        <w:tc>
          <w:tcPr>
            <w:tcW w:w="898" w:type="dxa"/>
            <w:tcBorders>
              <w:top w:val="nil"/>
              <w:left w:val="nil"/>
              <w:bottom w:val="single" w:sz="4" w:space="0" w:color="auto"/>
              <w:right w:val="nil"/>
            </w:tcBorders>
            <w:shd w:val="clear" w:color="auto" w:fill="auto"/>
            <w:noWrap/>
            <w:vAlign w:val="bottom"/>
            <w:hideMark/>
          </w:tcPr>
          <w:p w14:paraId="2E5B6177" w14:textId="77777777" w:rsidR="004B56E6" w:rsidRPr="009C2B66" w:rsidRDefault="004B56E6" w:rsidP="00F345FE">
            <w:pPr>
              <w:spacing w:after="0" w:line="240" w:lineRule="auto"/>
              <w:rPr>
                <w:rFonts w:eastAsia="Times New Roman" w:cs="Calibri"/>
                <w:color w:val="000000"/>
              </w:rPr>
            </w:pPr>
            <w:r w:rsidRPr="009C2B66">
              <w:rPr>
                <w:rFonts w:eastAsia="Times New Roman" w:cs="Calibri"/>
                <w:color w:val="000000"/>
              </w:rPr>
              <w:t>Erkek (%)</w:t>
            </w:r>
          </w:p>
        </w:tc>
        <w:tc>
          <w:tcPr>
            <w:tcW w:w="842" w:type="dxa"/>
            <w:tcBorders>
              <w:top w:val="nil"/>
              <w:left w:val="nil"/>
              <w:bottom w:val="single" w:sz="4" w:space="0" w:color="auto"/>
              <w:right w:val="single" w:sz="4" w:space="0" w:color="auto"/>
            </w:tcBorders>
            <w:shd w:val="clear" w:color="auto" w:fill="auto"/>
            <w:noWrap/>
            <w:vAlign w:val="bottom"/>
            <w:hideMark/>
          </w:tcPr>
          <w:p w14:paraId="02B6CDA7" w14:textId="77777777" w:rsidR="004B56E6" w:rsidRPr="009C2B66" w:rsidRDefault="004B56E6" w:rsidP="00F345FE">
            <w:pPr>
              <w:spacing w:after="0" w:line="240" w:lineRule="auto"/>
              <w:rPr>
                <w:rFonts w:eastAsia="Times New Roman" w:cs="Calibri"/>
                <w:color w:val="000000"/>
              </w:rPr>
            </w:pPr>
            <w:r w:rsidRPr="009C2B66">
              <w:rPr>
                <w:rFonts w:eastAsia="Times New Roman" w:cs="Calibri"/>
                <w:color w:val="000000"/>
              </w:rPr>
              <w:t>Kadın (%)</w:t>
            </w:r>
          </w:p>
        </w:tc>
        <w:tc>
          <w:tcPr>
            <w:tcW w:w="887" w:type="dxa"/>
            <w:vMerge/>
            <w:tcBorders>
              <w:top w:val="nil"/>
              <w:left w:val="nil"/>
              <w:bottom w:val="single" w:sz="4" w:space="0" w:color="000000"/>
              <w:right w:val="nil"/>
            </w:tcBorders>
            <w:vAlign w:val="center"/>
            <w:hideMark/>
          </w:tcPr>
          <w:p w14:paraId="39FC34B8" w14:textId="77777777" w:rsidR="004B56E6" w:rsidRPr="009C2B66" w:rsidRDefault="004B56E6" w:rsidP="00F345FE">
            <w:pPr>
              <w:spacing w:after="0" w:line="240" w:lineRule="auto"/>
              <w:rPr>
                <w:rFonts w:eastAsia="Times New Roman" w:cs="Calibri"/>
                <w:color w:val="000000"/>
              </w:rPr>
            </w:pPr>
          </w:p>
        </w:tc>
      </w:tr>
      <w:tr w:rsidR="004B56E6" w:rsidRPr="009C2B66" w14:paraId="58D12062"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7BFCCCA1" w14:textId="77777777" w:rsidR="004B56E6" w:rsidRPr="009C2B66" w:rsidRDefault="004B56E6" w:rsidP="004B56E6">
            <w:pPr>
              <w:spacing w:after="0" w:line="240" w:lineRule="auto"/>
              <w:rPr>
                <w:rFonts w:eastAsia="Times New Roman" w:cs="Calibri"/>
                <w:color w:val="000000"/>
              </w:rPr>
            </w:pPr>
            <w:r w:rsidRPr="009C2B66">
              <w:rPr>
                <w:rFonts w:eastAsia="Times New Roman" w:cs="Calibri"/>
                <w:color w:val="000000"/>
              </w:rPr>
              <w:t>Tarım</w:t>
            </w:r>
          </w:p>
        </w:tc>
        <w:tc>
          <w:tcPr>
            <w:tcW w:w="898" w:type="dxa"/>
            <w:tcBorders>
              <w:top w:val="nil"/>
              <w:left w:val="nil"/>
              <w:bottom w:val="nil"/>
              <w:right w:val="nil"/>
            </w:tcBorders>
            <w:shd w:val="clear" w:color="auto" w:fill="D9D9D9" w:themeFill="background1" w:themeFillShade="D9"/>
            <w:noWrap/>
            <w:vAlign w:val="bottom"/>
            <w:hideMark/>
          </w:tcPr>
          <w:p w14:paraId="2C432FE1" w14:textId="5A824DA9"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21.62</w:t>
            </w:r>
          </w:p>
        </w:tc>
        <w:tc>
          <w:tcPr>
            <w:tcW w:w="842" w:type="dxa"/>
            <w:tcBorders>
              <w:top w:val="nil"/>
              <w:left w:val="nil"/>
              <w:bottom w:val="nil"/>
              <w:right w:val="single" w:sz="4" w:space="0" w:color="auto"/>
            </w:tcBorders>
            <w:shd w:val="clear" w:color="auto" w:fill="D9D9D9" w:themeFill="background1" w:themeFillShade="D9"/>
            <w:noWrap/>
            <w:vAlign w:val="bottom"/>
            <w:hideMark/>
          </w:tcPr>
          <w:p w14:paraId="28909A17" w14:textId="5C19A5B4"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39.39</w:t>
            </w:r>
          </w:p>
        </w:tc>
        <w:tc>
          <w:tcPr>
            <w:tcW w:w="887" w:type="dxa"/>
            <w:tcBorders>
              <w:top w:val="nil"/>
              <w:left w:val="nil"/>
              <w:bottom w:val="nil"/>
              <w:right w:val="nil"/>
            </w:tcBorders>
            <w:shd w:val="clear" w:color="auto" w:fill="auto"/>
            <w:noWrap/>
            <w:vAlign w:val="bottom"/>
            <w:hideMark/>
          </w:tcPr>
          <w:p w14:paraId="4E74258B" w14:textId="3CD2B199"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27.08</w:t>
            </w:r>
          </w:p>
        </w:tc>
      </w:tr>
      <w:tr w:rsidR="004B56E6" w:rsidRPr="009C2B66" w14:paraId="4204C863"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69D4361A" w14:textId="77777777" w:rsidR="004B56E6" w:rsidRPr="009C2B66" w:rsidRDefault="004B56E6" w:rsidP="004B56E6">
            <w:pPr>
              <w:spacing w:after="0" w:line="240" w:lineRule="auto"/>
              <w:rPr>
                <w:rFonts w:eastAsia="Times New Roman" w:cs="Calibri"/>
                <w:color w:val="000000"/>
              </w:rPr>
            </w:pPr>
            <w:r w:rsidRPr="009C2B66">
              <w:rPr>
                <w:rFonts w:eastAsia="Times New Roman" w:cs="Calibri"/>
                <w:color w:val="000000"/>
              </w:rPr>
              <w:t>İmalat, madencilik ve diğer sanayi</w:t>
            </w:r>
          </w:p>
        </w:tc>
        <w:tc>
          <w:tcPr>
            <w:tcW w:w="898" w:type="dxa"/>
            <w:tcBorders>
              <w:top w:val="nil"/>
              <w:left w:val="nil"/>
              <w:bottom w:val="nil"/>
              <w:right w:val="nil"/>
            </w:tcBorders>
            <w:shd w:val="clear" w:color="auto" w:fill="D9D9D9" w:themeFill="background1" w:themeFillShade="D9"/>
            <w:noWrap/>
            <w:vAlign w:val="bottom"/>
            <w:hideMark/>
          </w:tcPr>
          <w:p w14:paraId="0D2C6FDF" w14:textId="20760ACD"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24.53</w:t>
            </w:r>
          </w:p>
        </w:tc>
        <w:tc>
          <w:tcPr>
            <w:tcW w:w="842" w:type="dxa"/>
            <w:tcBorders>
              <w:top w:val="nil"/>
              <w:left w:val="nil"/>
              <w:bottom w:val="nil"/>
              <w:right w:val="single" w:sz="4" w:space="0" w:color="auto"/>
            </w:tcBorders>
            <w:shd w:val="clear" w:color="auto" w:fill="D9D9D9" w:themeFill="background1" w:themeFillShade="D9"/>
            <w:noWrap/>
            <w:vAlign w:val="bottom"/>
            <w:hideMark/>
          </w:tcPr>
          <w:p w14:paraId="7CCC6B1D" w14:textId="0695162C"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19.69</w:t>
            </w:r>
          </w:p>
        </w:tc>
        <w:tc>
          <w:tcPr>
            <w:tcW w:w="887" w:type="dxa"/>
            <w:tcBorders>
              <w:top w:val="nil"/>
              <w:left w:val="nil"/>
              <w:bottom w:val="nil"/>
              <w:right w:val="nil"/>
            </w:tcBorders>
            <w:shd w:val="clear" w:color="auto" w:fill="auto"/>
            <w:noWrap/>
            <w:vAlign w:val="bottom"/>
            <w:hideMark/>
          </w:tcPr>
          <w:p w14:paraId="49364513" w14:textId="76FBE99A"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23.05</w:t>
            </w:r>
          </w:p>
        </w:tc>
      </w:tr>
      <w:tr w:rsidR="004B56E6" w:rsidRPr="009C2B66" w14:paraId="4D6CE81A"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4C8859AD" w14:textId="77777777" w:rsidR="004B56E6" w:rsidRPr="009C2B66" w:rsidRDefault="004B56E6" w:rsidP="004B56E6">
            <w:pPr>
              <w:spacing w:after="0" w:line="240" w:lineRule="auto"/>
              <w:rPr>
                <w:rFonts w:eastAsia="Times New Roman" w:cs="Calibri"/>
                <w:color w:val="000000"/>
              </w:rPr>
            </w:pPr>
            <w:r w:rsidRPr="009C2B66">
              <w:rPr>
                <w:rFonts w:eastAsia="Times New Roman" w:cs="Calibri"/>
                <w:color w:val="000000"/>
              </w:rPr>
              <w:t>İnşaat</w:t>
            </w:r>
          </w:p>
        </w:tc>
        <w:tc>
          <w:tcPr>
            <w:tcW w:w="898" w:type="dxa"/>
            <w:tcBorders>
              <w:top w:val="nil"/>
              <w:left w:val="nil"/>
              <w:bottom w:val="nil"/>
              <w:right w:val="nil"/>
            </w:tcBorders>
            <w:shd w:val="clear" w:color="auto" w:fill="D9D9D9" w:themeFill="background1" w:themeFillShade="D9"/>
            <w:noWrap/>
            <w:vAlign w:val="bottom"/>
            <w:hideMark/>
          </w:tcPr>
          <w:p w14:paraId="25E52847" w14:textId="0EB886C8"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11.97</w:t>
            </w:r>
          </w:p>
        </w:tc>
        <w:tc>
          <w:tcPr>
            <w:tcW w:w="842" w:type="dxa"/>
            <w:tcBorders>
              <w:top w:val="nil"/>
              <w:left w:val="nil"/>
              <w:bottom w:val="nil"/>
              <w:right w:val="single" w:sz="4" w:space="0" w:color="auto"/>
            </w:tcBorders>
            <w:shd w:val="clear" w:color="auto" w:fill="auto"/>
            <w:noWrap/>
            <w:vAlign w:val="bottom"/>
            <w:hideMark/>
          </w:tcPr>
          <w:p w14:paraId="6346EAE1" w14:textId="12D57CEF"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0.4</w:t>
            </w:r>
          </w:p>
        </w:tc>
        <w:tc>
          <w:tcPr>
            <w:tcW w:w="887" w:type="dxa"/>
            <w:tcBorders>
              <w:top w:val="nil"/>
              <w:left w:val="nil"/>
              <w:bottom w:val="nil"/>
              <w:right w:val="nil"/>
            </w:tcBorders>
            <w:shd w:val="clear" w:color="auto" w:fill="auto"/>
            <w:noWrap/>
            <w:vAlign w:val="bottom"/>
            <w:hideMark/>
          </w:tcPr>
          <w:p w14:paraId="32ADB7B2" w14:textId="17FC5CD9"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8.42</w:t>
            </w:r>
          </w:p>
        </w:tc>
      </w:tr>
      <w:tr w:rsidR="004B56E6" w:rsidRPr="009C2B66" w14:paraId="7FA47C25"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66110F60" w14:textId="77777777" w:rsidR="004B56E6" w:rsidRPr="009C2B66" w:rsidRDefault="004B56E6" w:rsidP="004B56E6">
            <w:pPr>
              <w:spacing w:after="0" w:line="240" w:lineRule="auto"/>
              <w:rPr>
                <w:rFonts w:eastAsia="Times New Roman" w:cs="Calibri"/>
                <w:color w:val="000000"/>
              </w:rPr>
            </w:pPr>
            <w:r w:rsidRPr="009C2B66">
              <w:rPr>
                <w:rFonts w:eastAsia="Times New Roman" w:cs="Calibri"/>
                <w:color w:val="000000"/>
              </w:rPr>
              <w:t>Toptan ve perakende ticaret, ulaştırma ve depolama, konaklama ve yiyecek hizmeti</w:t>
            </w:r>
          </w:p>
        </w:tc>
        <w:tc>
          <w:tcPr>
            <w:tcW w:w="898" w:type="dxa"/>
            <w:tcBorders>
              <w:top w:val="nil"/>
              <w:left w:val="nil"/>
              <w:bottom w:val="nil"/>
              <w:right w:val="nil"/>
            </w:tcBorders>
            <w:shd w:val="clear" w:color="auto" w:fill="D9D9D9" w:themeFill="background1" w:themeFillShade="D9"/>
            <w:noWrap/>
            <w:vAlign w:val="bottom"/>
            <w:hideMark/>
          </w:tcPr>
          <w:p w14:paraId="3787BF3A" w14:textId="7B7B8A22"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30.97</w:t>
            </w:r>
          </w:p>
        </w:tc>
        <w:tc>
          <w:tcPr>
            <w:tcW w:w="842" w:type="dxa"/>
            <w:tcBorders>
              <w:top w:val="nil"/>
              <w:left w:val="nil"/>
              <w:bottom w:val="nil"/>
              <w:right w:val="single" w:sz="4" w:space="0" w:color="auto"/>
            </w:tcBorders>
            <w:shd w:val="clear" w:color="auto" w:fill="D9D9D9" w:themeFill="background1" w:themeFillShade="D9"/>
            <w:noWrap/>
            <w:vAlign w:val="bottom"/>
            <w:hideMark/>
          </w:tcPr>
          <w:p w14:paraId="6DBFD661" w14:textId="3E3D55E2"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20.44</w:t>
            </w:r>
          </w:p>
        </w:tc>
        <w:tc>
          <w:tcPr>
            <w:tcW w:w="887" w:type="dxa"/>
            <w:tcBorders>
              <w:top w:val="nil"/>
              <w:left w:val="nil"/>
              <w:bottom w:val="nil"/>
              <w:right w:val="nil"/>
            </w:tcBorders>
            <w:shd w:val="clear" w:color="auto" w:fill="auto"/>
            <w:noWrap/>
            <w:vAlign w:val="bottom"/>
            <w:hideMark/>
          </w:tcPr>
          <w:p w14:paraId="73903DEC" w14:textId="7B89C3BA"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27.74</w:t>
            </w:r>
          </w:p>
        </w:tc>
      </w:tr>
      <w:tr w:rsidR="004B56E6" w:rsidRPr="009C2B66" w14:paraId="534CA63C"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643B898E" w14:textId="77777777" w:rsidR="004B56E6" w:rsidRPr="009C2B66" w:rsidRDefault="004B56E6" w:rsidP="004B56E6">
            <w:pPr>
              <w:spacing w:after="0" w:line="240" w:lineRule="auto"/>
              <w:rPr>
                <w:rFonts w:eastAsia="Times New Roman" w:cs="Calibri"/>
                <w:color w:val="000000"/>
              </w:rPr>
            </w:pPr>
            <w:r w:rsidRPr="009C2B66">
              <w:rPr>
                <w:rFonts w:eastAsia="Times New Roman" w:cs="Calibri"/>
                <w:color w:val="000000"/>
              </w:rPr>
              <w:t>Bilgi ve iletişim</w:t>
            </w:r>
          </w:p>
        </w:tc>
        <w:tc>
          <w:tcPr>
            <w:tcW w:w="898" w:type="dxa"/>
            <w:tcBorders>
              <w:top w:val="nil"/>
              <w:left w:val="nil"/>
              <w:bottom w:val="nil"/>
              <w:right w:val="nil"/>
            </w:tcBorders>
            <w:shd w:val="clear" w:color="auto" w:fill="auto"/>
            <w:noWrap/>
            <w:vAlign w:val="bottom"/>
            <w:hideMark/>
          </w:tcPr>
          <w:p w14:paraId="5B18FF00" w14:textId="3BBFF5C8"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0.69</w:t>
            </w:r>
          </w:p>
        </w:tc>
        <w:tc>
          <w:tcPr>
            <w:tcW w:w="842" w:type="dxa"/>
            <w:tcBorders>
              <w:top w:val="nil"/>
              <w:left w:val="nil"/>
              <w:bottom w:val="nil"/>
              <w:right w:val="single" w:sz="4" w:space="0" w:color="auto"/>
            </w:tcBorders>
            <w:shd w:val="clear" w:color="auto" w:fill="auto"/>
            <w:noWrap/>
            <w:vAlign w:val="bottom"/>
            <w:hideMark/>
          </w:tcPr>
          <w:p w14:paraId="68FB8AD9" w14:textId="42587676"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0.59</w:t>
            </w:r>
          </w:p>
        </w:tc>
        <w:tc>
          <w:tcPr>
            <w:tcW w:w="887" w:type="dxa"/>
            <w:tcBorders>
              <w:top w:val="nil"/>
              <w:left w:val="nil"/>
              <w:bottom w:val="nil"/>
              <w:right w:val="nil"/>
            </w:tcBorders>
            <w:shd w:val="clear" w:color="auto" w:fill="auto"/>
            <w:noWrap/>
            <w:vAlign w:val="bottom"/>
            <w:hideMark/>
          </w:tcPr>
          <w:p w14:paraId="150A9D99" w14:textId="7046A54D"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0.66</w:t>
            </w:r>
          </w:p>
        </w:tc>
      </w:tr>
      <w:tr w:rsidR="004B56E6" w:rsidRPr="009C2B66" w14:paraId="410B14AA"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3E9239B8" w14:textId="77777777" w:rsidR="004B56E6" w:rsidRPr="009C2B66" w:rsidRDefault="004B56E6" w:rsidP="004B56E6">
            <w:pPr>
              <w:spacing w:after="0" w:line="240" w:lineRule="auto"/>
              <w:rPr>
                <w:rFonts w:eastAsia="Times New Roman" w:cs="Calibri"/>
                <w:color w:val="000000"/>
              </w:rPr>
            </w:pPr>
            <w:r w:rsidRPr="009C2B66">
              <w:rPr>
                <w:rFonts w:eastAsia="Times New Roman" w:cs="Calibri"/>
                <w:color w:val="000000"/>
              </w:rPr>
              <w:t>Finans ve sigorta faaliyetleri</w:t>
            </w:r>
          </w:p>
        </w:tc>
        <w:tc>
          <w:tcPr>
            <w:tcW w:w="898" w:type="dxa"/>
            <w:tcBorders>
              <w:top w:val="nil"/>
              <w:left w:val="nil"/>
              <w:bottom w:val="nil"/>
              <w:right w:val="nil"/>
            </w:tcBorders>
            <w:shd w:val="clear" w:color="auto" w:fill="auto"/>
            <w:noWrap/>
            <w:vAlign w:val="bottom"/>
            <w:hideMark/>
          </w:tcPr>
          <w:p w14:paraId="0ABD0D3B" w14:textId="7DABEE2A"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0.23</w:t>
            </w:r>
          </w:p>
        </w:tc>
        <w:tc>
          <w:tcPr>
            <w:tcW w:w="842" w:type="dxa"/>
            <w:tcBorders>
              <w:top w:val="nil"/>
              <w:left w:val="nil"/>
              <w:bottom w:val="nil"/>
              <w:right w:val="single" w:sz="4" w:space="0" w:color="auto"/>
            </w:tcBorders>
            <w:shd w:val="clear" w:color="auto" w:fill="auto"/>
            <w:noWrap/>
            <w:vAlign w:val="bottom"/>
            <w:hideMark/>
          </w:tcPr>
          <w:p w14:paraId="11B14B8E" w14:textId="7C862BB6"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0.56</w:t>
            </w:r>
          </w:p>
        </w:tc>
        <w:tc>
          <w:tcPr>
            <w:tcW w:w="887" w:type="dxa"/>
            <w:tcBorders>
              <w:top w:val="nil"/>
              <w:left w:val="nil"/>
              <w:bottom w:val="nil"/>
              <w:right w:val="nil"/>
            </w:tcBorders>
            <w:shd w:val="clear" w:color="auto" w:fill="auto"/>
            <w:noWrap/>
            <w:vAlign w:val="bottom"/>
            <w:hideMark/>
          </w:tcPr>
          <w:p w14:paraId="59AC4620" w14:textId="57DF9305"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0.33</w:t>
            </w:r>
          </w:p>
        </w:tc>
      </w:tr>
      <w:tr w:rsidR="004B56E6" w:rsidRPr="009C2B66" w14:paraId="2F2E8CAD"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61248BD5" w14:textId="77777777" w:rsidR="004B56E6" w:rsidRPr="009C2B66" w:rsidRDefault="004B56E6" w:rsidP="004B56E6">
            <w:pPr>
              <w:spacing w:after="0" w:line="240" w:lineRule="auto"/>
              <w:rPr>
                <w:rFonts w:eastAsia="Times New Roman" w:cs="Calibri"/>
                <w:color w:val="000000"/>
              </w:rPr>
            </w:pPr>
            <w:r w:rsidRPr="009C2B66">
              <w:rPr>
                <w:rFonts w:eastAsia="Times New Roman" w:cs="Calibri"/>
                <w:color w:val="000000"/>
              </w:rPr>
              <w:t>Gayrimenkul faaliyetleri</w:t>
            </w:r>
          </w:p>
        </w:tc>
        <w:tc>
          <w:tcPr>
            <w:tcW w:w="898" w:type="dxa"/>
            <w:tcBorders>
              <w:top w:val="nil"/>
              <w:left w:val="nil"/>
              <w:bottom w:val="nil"/>
              <w:right w:val="nil"/>
            </w:tcBorders>
            <w:shd w:val="clear" w:color="auto" w:fill="auto"/>
            <w:noWrap/>
            <w:vAlign w:val="bottom"/>
            <w:hideMark/>
          </w:tcPr>
          <w:p w14:paraId="52154E8F" w14:textId="30568DC3"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0.21</w:t>
            </w:r>
          </w:p>
        </w:tc>
        <w:tc>
          <w:tcPr>
            <w:tcW w:w="842" w:type="dxa"/>
            <w:tcBorders>
              <w:top w:val="nil"/>
              <w:left w:val="nil"/>
              <w:bottom w:val="nil"/>
              <w:right w:val="single" w:sz="4" w:space="0" w:color="auto"/>
            </w:tcBorders>
            <w:shd w:val="clear" w:color="auto" w:fill="auto"/>
            <w:noWrap/>
            <w:vAlign w:val="bottom"/>
            <w:hideMark/>
          </w:tcPr>
          <w:p w14:paraId="1673982C" w14:textId="44AD8972"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0.21</w:t>
            </w:r>
          </w:p>
        </w:tc>
        <w:tc>
          <w:tcPr>
            <w:tcW w:w="887" w:type="dxa"/>
            <w:tcBorders>
              <w:top w:val="nil"/>
              <w:left w:val="nil"/>
              <w:bottom w:val="nil"/>
              <w:right w:val="nil"/>
            </w:tcBorders>
            <w:shd w:val="clear" w:color="auto" w:fill="auto"/>
            <w:noWrap/>
            <w:vAlign w:val="bottom"/>
            <w:hideMark/>
          </w:tcPr>
          <w:p w14:paraId="6BA189C0" w14:textId="25942D48"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0.21</w:t>
            </w:r>
          </w:p>
        </w:tc>
      </w:tr>
      <w:tr w:rsidR="004B56E6" w:rsidRPr="009C2B66" w14:paraId="2DC77A7C"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27D7A17D" w14:textId="77777777" w:rsidR="004B56E6" w:rsidRPr="009C2B66" w:rsidRDefault="004B56E6" w:rsidP="004B56E6">
            <w:pPr>
              <w:spacing w:after="0" w:line="240" w:lineRule="auto"/>
              <w:rPr>
                <w:rFonts w:eastAsia="Times New Roman" w:cs="Calibri"/>
                <w:color w:val="000000"/>
              </w:rPr>
            </w:pPr>
            <w:r w:rsidRPr="009C2B66">
              <w:rPr>
                <w:rFonts w:eastAsia="Times New Roman" w:cs="Calibri"/>
                <w:color w:val="000000"/>
              </w:rPr>
              <w:t>Mesleki, bilimsel ve teknik faaliyetler, idari ve destek hizmetleri</w:t>
            </w:r>
          </w:p>
        </w:tc>
        <w:tc>
          <w:tcPr>
            <w:tcW w:w="898" w:type="dxa"/>
            <w:tcBorders>
              <w:top w:val="nil"/>
              <w:left w:val="nil"/>
              <w:bottom w:val="nil"/>
              <w:right w:val="nil"/>
            </w:tcBorders>
            <w:shd w:val="clear" w:color="auto" w:fill="auto"/>
            <w:noWrap/>
            <w:vAlign w:val="bottom"/>
            <w:hideMark/>
          </w:tcPr>
          <w:p w14:paraId="165B0DAE" w14:textId="6C21901C"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2.22</w:t>
            </w:r>
          </w:p>
        </w:tc>
        <w:tc>
          <w:tcPr>
            <w:tcW w:w="842" w:type="dxa"/>
            <w:tcBorders>
              <w:top w:val="nil"/>
              <w:left w:val="nil"/>
              <w:bottom w:val="nil"/>
              <w:right w:val="single" w:sz="4" w:space="0" w:color="auto"/>
            </w:tcBorders>
            <w:shd w:val="clear" w:color="auto" w:fill="auto"/>
            <w:noWrap/>
            <w:vAlign w:val="bottom"/>
            <w:hideMark/>
          </w:tcPr>
          <w:p w14:paraId="3E289AD0" w14:textId="1BEC0923"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3.26</w:t>
            </w:r>
          </w:p>
        </w:tc>
        <w:tc>
          <w:tcPr>
            <w:tcW w:w="887" w:type="dxa"/>
            <w:tcBorders>
              <w:top w:val="nil"/>
              <w:left w:val="nil"/>
              <w:bottom w:val="nil"/>
              <w:right w:val="nil"/>
            </w:tcBorders>
            <w:shd w:val="clear" w:color="auto" w:fill="auto"/>
            <w:noWrap/>
            <w:vAlign w:val="bottom"/>
            <w:hideMark/>
          </w:tcPr>
          <w:p w14:paraId="36C7E5CB" w14:textId="04B313FB"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2.54</w:t>
            </w:r>
          </w:p>
        </w:tc>
      </w:tr>
      <w:tr w:rsidR="004B56E6" w:rsidRPr="009C2B66" w14:paraId="1ED47D03"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58B2A370" w14:textId="77777777" w:rsidR="004B56E6" w:rsidRPr="009C2B66" w:rsidRDefault="004B56E6" w:rsidP="004B56E6">
            <w:pPr>
              <w:spacing w:after="0" w:line="240" w:lineRule="auto"/>
              <w:rPr>
                <w:rFonts w:eastAsia="Times New Roman" w:cs="Calibri"/>
                <w:color w:val="000000"/>
              </w:rPr>
            </w:pPr>
            <w:r w:rsidRPr="009C2B66">
              <w:rPr>
                <w:rFonts w:eastAsia="Times New Roman" w:cs="Calibri"/>
                <w:color w:val="000000"/>
              </w:rPr>
              <w:t>Kamu yönetimi ve savunma, eğitim hizmetleri, insan sağlığı ve sosyal hizmet</w:t>
            </w:r>
          </w:p>
        </w:tc>
        <w:tc>
          <w:tcPr>
            <w:tcW w:w="898" w:type="dxa"/>
            <w:tcBorders>
              <w:top w:val="nil"/>
              <w:left w:val="nil"/>
              <w:bottom w:val="nil"/>
              <w:right w:val="nil"/>
            </w:tcBorders>
            <w:shd w:val="clear" w:color="auto" w:fill="auto"/>
            <w:noWrap/>
            <w:vAlign w:val="bottom"/>
            <w:hideMark/>
          </w:tcPr>
          <w:p w14:paraId="5834E8F6" w14:textId="053C1399"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2.82</w:t>
            </w:r>
          </w:p>
        </w:tc>
        <w:tc>
          <w:tcPr>
            <w:tcW w:w="842" w:type="dxa"/>
            <w:tcBorders>
              <w:top w:val="nil"/>
              <w:left w:val="nil"/>
              <w:bottom w:val="nil"/>
              <w:right w:val="single" w:sz="4" w:space="0" w:color="auto"/>
            </w:tcBorders>
            <w:shd w:val="clear" w:color="auto" w:fill="D9D9D9" w:themeFill="background1" w:themeFillShade="D9"/>
            <w:noWrap/>
            <w:vAlign w:val="bottom"/>
            <w:hideMark/>
          </w:tcPr>
          <w:p w14:paraId="00DA0714" w14:textId="654C0B48"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11.29</w:t>
            </w:r>
          </w:p>
        </w:tc>
        <w:tc>
          <w:tcPr>
            <w:tcW w:w="887" w:type="dxa"/>
            <w:tcBorders>
              <w:top w:val="nil"/>
              <w:left w:val="nil"/>
              <w:bottom w:val="nil"/>
              <w:right w:val="nil"/>
            </w:tcBorders>
            <w:shd w:val="clear" w:color="auto" w:fill="auto"/>
            <w:noWrap/>
            <w:vAlign w:val="bottom"/>
            <w:hideMark/>
          </w:tcPr>
          <w:p w14:paraId="474E3859" w14:textId="59A90175"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5.42</w:t>
            </w:r>
          </w:p>
        </w:tc>
      </w:tr>
      <w:tr w:rsidR="004B56E6" w:rsidRPr="009C2B66" w14:paraId="08A21C24" w14:textId="77777777" w:rsidTr="00F345FE">
        <w:trPr>
          <w:trHeight w:val="246"/>
        </w:trPr>
        <w:tc>
          <w:tcPr>
            <w:tcW w:w="5957" w:type="dxa"/>
            <w:tcBorders>
              <w:top w:val="nil"/>
              <w:left w:val="nil"/>
              <w:bottom w:val="single" w:sz="4" w:space="0" w:color="auto"/>
              <w:right w:val="single" w:sz="4" w:space="0" w:color="auto"/>
            </w:tcBorders>
            <w:shd w:val="clear" w:color="auto" w:fill="auto"/>
            <w:noWrap/>
            <w:vAlign w:val="bottom"/>
            <w:hideMark/>
          </w:tcPr>
          <w:p w14:paraId="58CC9063" w14:textId="77777777" w:rsidR="004B56E6" w:rsidRPr="009C2B66" w:rsidRDefault="004B56E6" w:rsidP="004B56E6">
            <w:pPr>
              <w:spacing w:after="0" w:line="240" w:lineRule="auto"/>
              <w:rPr>
                <w:rFonts w:eastAsia="Times New Roman" w:cs="Calibri"/>
                <w:color w:val="000000"/>
              </w:rPr>
            </w:pPr>
            <w:r w:rsidRPr="009C2B66">
              <w:rPr>
                <w:rFonts w:eastAsia="Times New Roman" w:cs="Calibri"/>
                <w:color w:val="000000"/>
              </w:rPr>
              <w:t>Diğer hizmet faaliyetleri</w:t>
            </w:r>
          </w:p>
        </w:tc>
        <w:tc>
          <w:tcPr>
            <w:tcW w:w="898" w:type="dxa"/>
            <w:tcBorders>
              <w:top w:val="nil"/>
              <w:left w:val="nil"/>
              <w:bottom w:val="single" w:sz="4" w:space="0" w:color="auto"/>
              <w:right w:val="nil"/>
            </w:tcBorders>
            <w:shd w:val="clear" w:color="auto" w:fill="auto"/>
            <w:noWrap/>
            <w:vAlign w:val="bottom"/>
            <w:hideMark/>
          </w:tcPr>
          <w:p w14:paraId="3ACC1DED" w14:textId="66293615"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4.74</w:t>
            </w:r>
          </w:p>
        </w:tc>
        <w:tc>
          <w:tcPr>
            <w:tcW w:w="842" w:type="dxa"/>
            <w:tcBorders>
              <w:top w:val="nil"/>
              <w:left w:val="nil"/>
              <w:bottom w:val="single" w:sz="4" w:space="0" w:color="auto"/>
              <w:right w:val="single" w:sz="4" w:space="0" w:color="auto"/>
            </w:tcBorders>
            <w:shd w:val="clear" w:color="auto" w:fill="auto"/>
            <w:noWrap/>
            <w:vAlign w:val="bottom"/>
            <w:hideMark/>
          </w:tcPr>
          <w:p w14:paraId="43A4DF85" w14:textId="3ED38151"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4.15</w:t>
            </w:r>
          </w:p>
        </w:tc>
        <w:tc>
          <w:tcPr>
            <w:tcW w:w="887" w:type="dxa"/>
            <w:tcBorders>
              <w:top w:val="nil"/>
              <w:left w:val="nil"/>
              <w:bottom w:val="single" w:sz="4" w:space="0" w:color="auto"/>
              <w:right w:val="nil"/>
            </w:tcBorders>
            <w:shd w:val="clear" w:color="auto" w:fill="auto"/>
            <w:noWrap/>
            <w:vAlign w:val="bottom"/>
            <w:hideMark/>
          </w:tcPr>
          <w:p w14:paraId="271FC3AA" w14:textId="5FA4CFCA" w:rsidR="004B56E6" w:rsidRPr="009C2B66" w:rsidRDefault="004B56E6" w:rsidP="004B56E6">
            <w:pPr>
              <w:spacing w:after="0" w:line="240" w:lineRule="auto"/>
              <w:rPr>
                <w:rFonts w:eastAsia="Times New Roman" w:cs="Calibri"/>
                <w:color w:val="000000"/>
              </w:rPr>
            </w:pPr>
            <w:r w:rsidRPr="009C2B66">
              <w:rPr>
                <w:rFonts w:ascii="Calibri" w:hAnsi="Calibri" w:cs="Calibri"/>
                <w:color w:val="000000"/>
              </w:rPr>
              <w:t>4.56</w:t>
            </w:r>
          </w:p>
        </w:tc>
      </w:tr>
      <w:tr w:rsidR="004B56E6" w:rsidRPr="009C2B66" w14:paraId="2AAE2FA7" w14:textId="77777777" w:rsidTr="00F345FE">
        <w:trPr>
          <w:trHeight w:val="246"/>
        </w:trPr>
        <w:tc>
          <w:tcPr>
            <w:tcW w:w="5957" w:type="dxa"/>
            <w:tcBorders>
              <w:top w:val="nil"/>
              <w:left w:val="nil"/>
              <w:bottom w:val="nil"/>
              <w:right w:val="single" w:sz="4" w:space="0" w:color="auto"/>
            </w:tcBorders>
            <w:shd w:val="clear" w:color="auto" w:fill="auto"/>
            <w:noWrap/>
            <w:vAlign w:val="bottom"/>
            <w:hideMark/>
          </w:tcPr>
          <w:p w14:paraId="4E1E3A37" w14:textId="77777777" w:rsidR="004B56E6" w:rsidRPr="009C2B66" w:rsidRDefault="004B56E6" w:rsidP="00F345FE">
            <w:pPr>
              <w:spacing w:after="0" w:line="240" w:lineRule="auto"/>
              <w:jc w:val="right"/>
              <w:rPr>
                <w:rFonts w:eastAsia="Times New Roman" w:cs="Calibri"/>
                <w:color w:val="000000"/>
              </w:rPr>
            </w:pPr>
            <w:r w:rsidRPr="009C2B66">
              <w:rPr>
                <w:rFonts w:eastAsia="Times New Roman" w:cs="Calibri"/>
                <w:color w:val="000000"/>
              </w:rPr>
              <w:t>Yüzde</w:t>
            </w:r>
          </w:p>
        </w:tc>
        <w:tc>
          <w:tcPr>
            <w:tcW w:w="898" w:type="dxa"/>
            <w:tcBorders>
              <w:top w:val="nil"/>
              <w:left w:val="nil"/>
              <w:bottom w:val="nil"/>
              <w:right w:val="nil"/>
            </w:tcBorders>
            <w:shd w:val="clear" w:color="auto" w:fill="auto"/>
            <w:noWrap/>
            <w:vAlign w:val="bottom"/>
            <w:hideMark/>
          </w:tcPr>
          <w:p w14:paraId="78AC1F1A" w14:textId="77777777" w:rsidR="004B56E6" w:rsidRPr="009C2B66" w:rsidRDefault="004B56E6" w:rsidP="00F345FE">
            <w:pPr>
              <w:spacing w:after="0" w:line="240" w:lineRule="auto"/>
              <w:rPr>
                <w:rFonts w:eastAsia="Times New Roman" w:cs="Calibri"/>
                <w:color w:val="000000"/>
              </w:rPr>
            </w:pPr>
            <w:r w:rsidRPr="009C2B66">
              <w:rPr>
                <w:rFonts w:eastAsia="Times New Roman" w:cs="Calibri"/>
                <w:color w:val="000000"/>
              </w:rPr>
              <w:t>100</w:t>
            </w:r>
          </w:p>
        </w:tc>
        <w:tc>
          <w:tcPr>
            <w:tcW w:w="842" w:type="dxa"/>
            <w:tcBorders>
              <w:top w:val="nil"/>
              <w:left w:val="nil"/>
              <w:bottom w:val="nil"/>
              <w:right w:val="single" w:sz="4" w:space="0" w:color="auto"/>
            </w:tcBorders>
            <w:shd w:val="clear" w:color="auto" w:fill="auto"/>
            <w:noWrap/>
            <w:vAlign w:val="bottom"/>
            <w:hideMark/>
          </w:tcPr>
          <w:p w14:paraId="7E322173" w14:textId="77777777" w:rsidR="004B56E6" w:rsidRPr="009C2B66" w:rsidRDefault="004B56E6" w:rsidP="00F345FE">
            <w:pPr>
              <w:spacing w:after="0" w:line="240" w:lineRule="auto"/>
              <w:rPr>
                <w:rFonts w:eastAsia="Times New Roman" w:cs="Calibri"/>
                <w:color w:val="000000"/>
              </w:rPr>
            </w:pPr>
            <w:r w:rsidRPr="009C2B66">
              <w:rPr>
                <w:rFonts w:eastAsia="Times New Roman" w:cs="Calibri"/>
                <w:color w:val="000000"/>
              </w:rPr>
              <w:t>100</w:t>
            </w:r>
          </w:p>
        </w:tc>
        <w:tc>
          <w:tcPr>
            <w:tcW w:w="887" w:type="dxa"/>
            <w:tcBorders>
              <w:top w:val="nil"/>
              <w:left w:val="nil"/>
              <w:bottom w:val="nil"/>
              <w:right w:val="nil"/>
            </w:tcBorders>
            <w:shd w:val="clear" w:color="auto" w:fill="auto"/>
            <w:noWrap/>
            <w:vAlign w:val="bottom"/>
            <w:hideMark/>
          </w:tcPr>
          <w:p w14:paraId="643A4677" w14:textId="77777777" w:rsidR="004B56E6" w:rsidRPr="009C2B66" w:rsidRDefault="004B56E6" w:rsidP="00F345FE">
            <w:pPr>
              <w:spacing w:after="0" w:line="240" w:lineRule="auto"/>
              <w:rPr>
                <w:rFonts w:eastAsia="Times New Roman" w:cs="Calibri"/>
                <w:color w:val="000000"/>
              </w:rPr>
            </w:pPr>
            <w:r w:rsidRPr="009C2B66">
              <w:rPr>
                <w:rFonts w:eastAsia="Times New Roman" w:cs="Calibri"/>
                <w:color w:val="000000"/>
              </w:rPr>
              <w:t>100</w:t>
            </w:r>
          </w:p>
        </w:tc>
      </w:tr>
    </w:tbl>
    <w:p w14:paraId="7FBA629F" w14:textId="2C666340" w:rsidR="00EB3A47" w:rsidRPr="009C2B66" w:rsidRDefault="00EB3A47" w:rsidP="00EB3A47">
      <w:pPr>
        <w:jc w:val="both"/>
        <w:rPr>
          <w:rFonts w:cstheme="minorHAnsi"/>
        </w:rPr>
      </w:pPr>
      <w:r>
        <w:rPr>
          <w:rFonts w:cstheme="minorHAnsi"/>
          <w:b/>
        </w:rPr>
        <w:br/>
      </w:r>
      <w:r>
        <w:rPr>
          <w:rFonts w:cstheme="minorHAnsi"/>
        </w:rPr>
        <w:t>Kaynak: Hanehalkı İşgücü Anketi, 2017; Betam hesaplamaları</w:t>
      </w:r>
    </w:p>
    <w:p w14:paraId="248B6752" w14:textId="3F7EBCDF" w:rsidR="00551EDF" w:rsidRPr="009C2B66" w:rsidRDefault="00551EDF" w:rsidP="00207039">
      <w:pPr>
        <w:jc w:val="both"/>
        <w:rPr>
          <w:rFonts w:cstheme="minorHAnsi"/>
          <w:b/>
        </w:rPr>
      </w:pPr>
      <w:r w:rsidRPr="009C2B66">
        <w:rPr>
          <w:rFonts w:cstheme="minorHAnsi"/>
          <w:b/>
        </w:rPr>
        <w:t xml:space="preserve">Sonuç </w:t>
      </w:r>
    </w:p>
    <w:p w14:paraId="60762B05" w14:textId="2429C804" w:rsidR="00551EDF" w:rsidRPr="009C2B66" w:rsidRDefault="005E18AC" w:rsidP="00207039">
      <w:pPr>
        <w:jc w:val="both"/>
        <w:rPr>
          <w:rFonts w:ascii="Calibri" w:hAnsi="Calibri" w:cs="Calibri"/>
        </w:rPr>
      </w:pPr>
      <w:r w:rsidRPr="009C2B66">
        <w:rPr>
          <w:rFonts w:ascii="Calibri" w:hAnsi="Calibri" w:cs="Calibri"/>
        </w:rPr>
        <w:t xml:space="preserve">15-19 yaş aralığında yaklaşık 1,3 milyon genç ne eğitimde ne de işgücü piyasasındadır. </w:t>
      </w:r>
      <w:r w:rsidR="00551EDF" w:rsidRPr="009C2B66">
        <w:rPr>
          <w:rFonts w:ascii="Calibri" w:hAnsi="Calibri" w:cs="Calibri"/>
        </w:rPr>
        <w:t xml:space="preserve">Bu veriler ışığında iki ana politika ekseninden bahsetmek mümkündür. (1) Eğitim politikaları: Zorunlu eğitimin 2012 yılında 4+4+4 ile birlikte 12 yıla çıkmış olmasına karşın halen </w:t>
      </w:r>
      <w:r w:rsidRPr="009C2B66">
        <w:rPr>
          <w:rFonts w:ascii="Calibri" w:hAnsi="Calibri" w:cs="Calibri"/>
        </w:rPr>
        <w:t xml:space="preserve">15-19 yaş arasındaki gençlerin üçte biri eğitim sisteminin dışında kalmaktadır. Eğitim sisteminin dışında kalan gençlerin yarısından fazlası lise mezunu değildir. Bu gençlerin eğitim sisteminden henüz çok uzaklaşmadan beşeri sermaye birikimlerinin devam etmesi özendirilmelidir. (2) İşgücü piyasası politikaları: Ne eğitimde ne işgücünde olan erkeklerin yüzde 57’si, kadınların yüzde 33’ü en az bir kere çalışmış, daha sonra işgücü piyasasının dışına çıkmıştır. Bu gençlerin işgücü piyasasından çıkmalarının nedenlerinin daha ayrıntılı araştırılması gereklidir. </w:t>
      </w:r>
    </w:p>
    <w:sectPr w:rsidR="00551EDF" w:rsidRPr="009C2B6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D5EAF" w16cid:durableId="209808CE"/>
  <w16cid:commentId w16cid:paraId="5BCC4C34" w16cid:durableId="2098099B"/>
  <w16cid:commentId w16cid:paraId="1FB6DED5" w16cid:durableId="209808CF"/>
  <w16cid:commentId w16cid:paraId="5D99036C" w16cid:durableId="209808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7D5D" w14:textId="77777777" w:rsidR="00183DDF" w:rsidRDefault="00183DDF" w:rsidP="00344AD9">
      <w:pPr>
        <w:spacing w:after="0" w:line="240" w:lineRule="auto"/>
      </w:pPr>
      <w:r>
        <w:separator/>
      </w:r>
    </w:p>
  </w:endnote>
  <w:endnote w:type="continuationSeparator" w:id="0">
    <w:p w14:paraId="2562A809" w14:textId="77777777" w:rsidR="00183DDF" w:rsidRDefault="00183DDF" w:rsidP="0034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C0184" w14:textId="77777777" w:rsidR="00183DDF" w:rsidRDefault="00183DDF" w:rsidP="00344AD9">
      <w:pPr>
        <w:spacing w:after="0" w:line="240" w:lineRule="auto"/>
      </w:pPr>
      <w:r>
        <w:separator/>
      </w:r>
    </w:p>
  </w:footnote>
  <w:footnote w:type="continuationSeparator" w:id="0">
    <w:p w14:paraId="0A82A38D" w14:textId="77777777" w:rsidR="00183DDF" w:rsidRDefault="00183DDF" w:rsidP="00344AD9">
      <w:pPr>
        <w:spacing w:after="0" w:line="240" w:lineRule="auto"/>
      </w:pPr>
      <w:r>
        <w:continuationSeparator/>
      </w:r>
    </w:p>
  </w:footnote>
  <w:footnote w:id="1">
    <w:p w14:paraId="6EBBD6AA" w14:textId="77777777" w:rsidR="004529A7" w:rsidRDefault="004529A7">
      <w:pPr>
        <w:pStyle w:val="FootnoteText"/>
      </w:pPr>
      <w:r>
        <w:rPr>
          <w:rStyle w:val="FootnoteReference"/>
        </w:rPr>
        <w:footnoteRef/>
      </w:r>
      <w:r>
        <w:t xml:space="preserve"> Doç. Dr. Gökçe Uysal Kolaşın, Betam, Direktör Yardımcısı, gokce.uysal@eas.bau.edu.tr</w:t>
      </w:r>
    </w:p>
  </w:footnote>
  <w:footnote w:id="2">
    <w:p w14:paraId="37273437" w14:textId="77777777" w:rsidR="004529A7" w:rsidRDefault="004529A7">
      <w:pPr>
        <w:pStyle w:val="FootnoteText"/>
      </w:pPr>
      <w:r>
        <w:rPr>
          <w:rStyle w:val="FootnoteReference"/>
        </w:rPr>
        <w:footnoteRef/>
      </w:r>
      <w:r>
        <w:t xml:space="preserve"> Uğurcan Acar, Betam Asistanı, ugurcan.acar@eas.bau.edu.tr</w:t>
      </w:r>
    </w:p>
  </w:footnote>
  <w:footnote w:id="3">
    <w:p w14:paraId="3291DF97" w14:textId="23317CCD" w:rsidR="00A377DB" w:rsidRDefault="00A377DB">
      <w:pPr>
        <w:pStyle w:val="FootnoteText"/>
      </w:pPr>
      <w:r>
        <w:rPr>
          <w:rStyle w:val="FootnoteReference"/>
        </w:rPr>
        <w:footnoteRef/>
      </w:r>
      <w:r>
        <w:t xml:space="preserve"> Bu oran, işgücü piyasasına girmiş, ancak eğitimine devam etmeyen gençler arasındaki işsizlik oranıdır. </w:t>
      </w:r>
    </w:p>
  </w:footnote>
  <w:footnote w:id="4">
    <w:p w14:paraId="5D006EBE" w14:textId="68D7EC26" w:rsidR="00D83E8F" w:rsidRDefault="00D83E8F">
      <w:pPr>
        <w:pStyle w:val="FootnoteText"/>
      </w:pPr>
      <w:r>
        <w:rPr>
          <w:rStyle w:val="FootnoteReference"/>
        </w:rPr>
        <w:footnoteRef/>
      </w:r>
      <w:r>
        <w:t xml:space="preserve"> Bu oran işgücü piyasasındaki tüm gençler arasındaki işsizlik oranıdır. Bu grubun içerisinde hem eğitimine devam edenler hem de etmeyenler bulunmaktadır.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2MzeyMDEyNjY3NTBX0lEKTi0uzszPAykwqgUAroFF1iwAAAA="/>
  </w:docVars>
  <w:rsids>
    <w:rsidRoot w:val="00603AC1"/>
    <w:rsid w:val="0001008E"/>
    <w:rsid w:val="000105C1"/>
    <w:rsid w:val="00020B77"/>
    <w:rsid w:val="000314E2"/>
    <w:rsid w:val="000339E7"/>
    <w:rsid w:val="00034395"/>
    <w:rsid w:val="00045752"/>
    <w:rsid w:val="00051F70"/>
    <w:rsid w:val="00052FEF"/>
    <w:rsid w:val="00066C2D"/>
    <w:rsid w:val="00086A9E"/>
    <w:rsid w:val="000953BE"/>
    <w:rsid w:val="000A1018"/>
    <w:rsid w:val="000A2257"/>
    <w:rsid w:val="000D24DE"/>
    <w:rsid w:val="000F27A2"/>
    <w:rsid w:val="00111612"/>
    <w:rsid w:val="0012108A"/>
    <w:rsid w:val="00155B94"/>
    <w:rsid w:val="001611CF"/>
    <w:rsid w:val="00165808"/>
    <w:rsid w:val="00183DDF"/>
    <w:rsid w:val="001A6489"/>
    <w:rsid w:val="001B6DC8"/>
    <w:rsid w:val="001C653F"/>
    <w:rsid w:val="001C7027"/>
    <w:rsid w:val="001D4C82"/>
    <w:rsid w:val="001D5FA2"/>
    <w:rsid w:val="001E4BFF"/>
    <w:rsid w:val="00207039"/>
    <w:rsid w:val="002431D2"/>
    <w:rsid w:val="0024389A"/>
    <w:rsid w:val="002908A4"/>
    <w:rsid w:val="002925E9"/>
    <w:rsid w:val="00292BC7"/>
    <w:rsid w:val="002C62E6"/>
    <w:rsid w:val="002C6D55"/>
    <w:rsid w:val="002C7F6B"/>
    <w:rsid w:val="002E1939"/>
    <w:rsid w:val="002F01B2"/>
    <w:rsid w:val="002F26E5"/>
    <w:rsid w:val="003126BD"/>
    <w:rsid w:val="003233DA"/>
    <w:rsid w:val="00344AD9"/>
    <w:rsid w:val="00351C6F"/>
    <w:rsid w:val="00360C50"/>
    <w:rsid w:val="00396396"/>
    <w:rsid w:val="003A6A57"/>
    <w:rsid w:val="003B7B06"/>
    <w:rsid w:val="003C563E"/>
    <w:rsid w:val="003F135C"/>
    <w:rsid w:val="003F77AD"/>
    <w:rsid w:val="00411E07"/>
    <w:rsid w:val="00413937"/>
    <w:rsid w:val="00441786"/>
    <w:rsid w:val="00450914"/>
    <w:rsid w:val="004529A7"/>
    <w:rsid w:val="004529C7"/>
    <w:rsid w:val="0047142F"/>
    <w:rsid w:val="004762BB"/>
    <w:rsid w:val="004820A7"/>
    <w:rsid w:val="00485121"/>
    <w:rsid w:val="004A0B39"/>
    <w:rsid w:val="004A58D6"/>
    <w:rsid w:val="004B0504"/>
    <w:rsid w:val="004B084D"/>
    <w:rsid w:val="004B4643"/>
    <w:rsid w:val="004B56E6"/>
    <w:rsid w:val="004F49D8"/>
    <w:rsid w:val="00505D47"/>
    <w:rsid w:val="0051107A"/>
    <w:rsid w:val="005207B5"/>
    <w:rsid w:val="00530E5E"/>
    <w:rsid w:val="00540B4A"/>
    <w:rsid w:val="00550EAF"/>
    <w:rsid w:val="00551EDF"/>
    <w:rsid w:val="00566C04"/>
    <w:rsid w:val="005A1192"/>
    <w:rsid w:val="005B417A"/>
    <w:rsid w:val="005E18AC"/>
    <w:rsid w:val="005E6746"/>
    <w:rsid w:val="005F05C9"/>
    <w:rsid w:val="005F27F2"/>
    <w:rsid w:val="00603AC1"/>
    <w:rsid w:val="00616741"/>
    <w:rsid w:val="006261EE"/>
    <w:rsid w:val="00626C31"/>
    <w:rsid w:val="00667C2A"/>
    <w:rsid w:val="00670C9F"/>
    <w:rsid w:val="0069529F"/>
    <w:rsid w:val="006A1D4E"/>
    <w:rsid w:val="006A3505"/>
    <w:rsid w:val="006B5D5F"/>
    <w:rsid w:val="006D1D71"/>
    <w:rsid w:val="006D593F"/>
    <w:rsid w:val="006E4643"/>
    <w:rsid w:val="00721AD0"/>
    <w:rsid w:val="007273C3"/>
    <w:rsid w:val="00731E5D"/>
    <w:rsid w:val="007764AB"/>
    <w:rsid w:val="007A6CAC"/>
    <w:rsid w:val="007D7217"/>
    <w:rsid w:val="007E31D7"/>
    <w:rsid w:val="00805D26"/>
    <w:rsid w:val="00840AD9"/>
    <w:rsid w:val="00840ED3"/>
    <w:rsid w:val="00857889"/>
    <w:rsid w:val="00864D96"/>
    <w:rsid w:val="00866136"/>
    <w:rsid w:val="00867AC6"/>
    <w:rsid w:val="00895567"/>
    <w:rsid w:val="008D69C0"/>
    <w:rsid w:val="009079AC"/>
    <w:rsid w:val="009374FD"/>
    <w:rsid w:val="009456B0"/>
    <w:rsid w:val="00952C55"/>
    <w:rsid w:val="00961DF7"/>
    <w:rsid w:val="009A3C5A"/>
    <w:rsid w:val="009A55FF"/>
    <w:rsid w:val="009C2B66"/>
    <w:rsid w:val="009C3454"/>
    <w:rsid w:val="009C6148"/>
    <w:rsid w:val="009F5DFD"/>
    <w:rsid w:val="00A377DB"/>
    <w:rsid w:val="00A45367"/>
    <w:rsid w:val="00A51317"/>
    <w:rsid w:val="00A830D1"/>
    <w:rsid w:val="00A84466"/>
    <w:rsid w:val="00A84884"/>
    <w:rsid w:val="00AC095A"/>
    <w:rsid w:val="00AC5597"/>
    <w:rsid w:val="00AF0ADC"/>
    <w:rsid w:val="00B10BEB"/>
    <w:rsid w:val="00B40816"/>
    <w:rsid w:val="00B41316"/>
    <w:rsid w:val="00B61830"/>
    <w:rsid w:val="00B66E55"/>
    <w:rsid w:val="00B779C0"/>
    <w:rsid w:val="00B8317E"/>
    <w:rsid w:val="00BA5170"/>
    <w:rsid w:val="00BE02E9"/>
    <w:rsid w:val="00BE4377"/>
    <w:rsid w:val="00BF0E5F"/>
    <w:rsid w:val="00BF6371"/>
    <w:rsid w:val="00C21A06"/>
    <w:rsid w:val="00C41824"/>
    <w:rsid w:val="00C91340"/>
    <w:rsid w:val="00D03702"/>
    <w:rsid w:val="00D14F53"/>
    <w:rsid w:val="00D21AF2"/>
    <w:rsid w:val="00D318C6"/>
    <w:rsid w:val="00D53C72"/>
    <w:rsid w:val="00D62071"/>
    <w:rsid w:val="00D77287"/>
    <w:rsid w:val="00D83E8F"/>
    <w:rsid w:val="00D90283"/>
    <w:rsid w:val="00D958ED"/>
    <w:rsid w:val="00D97633"/>
    <w:rsid w:val="00DC643F"/>
    <w:rsid w:val="00DD0B3D"/>
    <w:rsid w:val="00DE3283"/>
    <w:rsid w:val="00E303F3"/>
    <w:rsid w:val="00E43577"/>
    <w:rsid w:val="00EB3A47"/>
    <w:rsid w:val="00EB51A8"/>
    <w:rsid w:val="00EE0040"/>
    <w:rsid w:val="00F11D86"/>
    <w:rsid w:val="00F269D3"/>
    <w:rsid w:val="00F61DB2"/>
    <w:rsid w:val="00F73B5A"/>
    <w:rsid w:val="00FA265F"/>
    <w:rsid w:val="00FA7916"/>
    <w:rsid w:val="00FE20F7"/>
    <w:rsid w:val="00FE6C35"/>
    <w:rsid w:val="00FE73B0"/>
    <w:rsid w:val="00FF6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5C8F"/>
  <w15:chartTrackingRefBased/>
  <w15:docId w15:val="{FC0984A7-8618-4284-A18C-3D9FD1F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A6489"/>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1A6489"/>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
    <w:semiHidden/>
    <w:unhideWhenUsed/>
    <w:qFormat/>
    <w:rsid w:val="001A6489"/>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6489"/>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1A6489"/>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1A6489"/>
    <w:rPr>
      <w:rFonts w:asciiTheme="majorHAnsi" w:eastAsiaTheme="majorEastAsia" w:hAnsiTheme="majorHAnsi" w:cstheme="majorBidi"/>
      <w:color w:val="1F3763" w:themeColor="accent1" w:themeShade="7F"/>
      <w:sz w:val="24"/>
      <w:szCs w:val="24"/>
      <w:lang w:val="en-GB"/>
    </w:rPr>
  </w:style>
  <w:style w:type="paragraph" w:styleId="FootnoteText">
    <w:name w:val="footnote text"/>
    <w:basedOn w:val="Normal"/>
    <w:link w:val="FootnoteTextChar"/>
    <w:uiPriority w:val="99"/>
    <w:semiHidden/>
    <w:unhideWhenUsed/>
    <w:rsid w:val="00344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D9"/>
    <w:rPr>
      <w:sz w:val="20"/>
      <w:szCs w:val="20"/>
    </w:rPr>
  </w:style>
  <w:style w:type="character" w:styleId="FootnoteReference">
    <w:name w:val="footnote reference"/>
    <w:basedOn w:val="DefaultParagraphFont"/>
    <w:uiPriority w:val="99"/>
    <w:semiHidden/>
    <w:unhideWhenUsed/>
    <w:rsid w:val="00344AD9"/>
    <w:rPr>
      <w:vertAlign w:val="superscript"/>
    </w:rPr>
  </w:style>
  <w:style w:type="character" w:styleId="CommentReference">
    <w:name w:val="annotation reference"/>
    <w:basedOn w:val="DefaultParagraphFont"/>
    <w:uiPriority w:val="99"/>
    <w:semiHidden/>
    <w:unhideWhenUsed/>
    <w:rsid w:val="004B4643"/>
    <w:rPr>
      <w:sz w:val="16"/>
      <w:szCs w:val="16"/>
    </w:rPr>
  </w:style>
  <w:style w:type="paragraph" w:styleId="CommentText">
    <w:name w:val="annotation text"/>
    <w:basedOn w:val="Normal"/>
    <w:link w:val="CommentTextChar"/>
    <w:uiPriority w:val="99"/>
    <w:semiHidden/>
    <w:unhideWhenUsed/>
    <w:rsid w:val="004B4643"/>
    <w:pPr>
      <w:spacing w:line="240" w:lineRule="auto"/>
    </w:pPr>
    <w:rPr>
      <w:sz w:val="20"/>
      <w:szCs w:val="20"/>
    </w:rPr>
  </w:style>
  <w:style w:type="character" w:customStyle="1" w:styleId="CommentTextChar">
    <w:name w:val="Comment Text Char"/>
    <w:basedOn w:val="DefaultParagraphFont"/>
    <w:link w:val="CommentText"/>
    <w:uiPriority w:val="99"/>
    <w:semiHidden/>
    <w:rsid w:val="004B4643"/>
    <w:rPr>
      <w:sz w:val="20"/>
      <w:szCs w:val="20"/>
    </w:rPr>
  </w:style>
  <w:style w:type="paragraph" w:styleId="CommentSubject">
    <w:name w:val="annotation subject"/>
    <w:basedOn w:val="CommentText"/>
    <w:next w:val="CommentText"/>
    <w:link w:val="CommentSubjectChar"/>
    <w:uiPriority w:val="99"/>
    <w:semiHidden/>
    <w:unhideWhenUsed/>
    <w:rsid w:val="004B4643"/>
    <w:rPr>
      <w:b/>
      <w:bCs/>
    </w:rPr>
  </w:style>
  <w:style w:type="character" w:customStyle="1" w:styleId="CommentSubjectChar">
    <w:name w:val="Comment Subject Char"/>
    <w:basedOn w:val="CommentTextChar"/>
    <w:link w:val="CommentSubject"/>
    <w:uiPriority w:val="99"/>
    <w:semiHidden/>
    <w:rsid w:val="004B4643"/>
    <w:rPr>
      <w:b/>
      <w:bCs/>
      <w:sz w:val="20"/>
      <w:szCs w:val="20"/>
    </w:rPr>
  </w:style>
  <w:style w:type="paragraph" w:styleId="BalloonText">
    <w:name w:val="Balloon Text"/>
    <w:basedOn w:val="Normal"/>
    <w:link w:val="BalloonTextChar"/>
    <w:uiPriority w:val="99"/>
    <w:semiHidden/>
    <w:unhideWhenUsed/>
    <w:rsid w:val="004B4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632">
      <w:bodyDiv w:val="1"/>
      <w:marLeft w:val="0"/>
      <w:marRight w:val="0"/>
      <w:marTop w:val="0"/>
      <w:marBottom w:val="0"/>
      <w:divBdr>
        <w:top w:val="none" w:sz="0" w:space="0" w:color="auto"/>
        <w:left w:val="none" w:sz="0" w:space="0" w:color="auto"/>
        <w:bottom w:val="none" w:sz="0" w:space="0" w:color="auto"/>
        <w:right w:val="none" w:sz="0" w:space="0" w:color="auto"/>
      </w:divBdr>
    </w:div>
    <w:div w:id="136804310">
      <w:bodyDiv w:val="1"/>
      <w:marLeft w:val="0"/>
      <w:marRight w:val="0"/>
      <w:marTop w:val="0"/>
      <w:marBottom w:val="0"/>
      <w:divBdr>
        <w:top w:val="none" w:sz="0" w:space="0" w:color="auto"/>
        <w:left w:val="none" w:sz="0" w:space="0" w:color="auto"/>
        <w:bottom w:val="none" w:sz="0" w:space="0" w:color="auto"/>
        <w:right w:val="none" w:sz="0" w:space="0" w:color="auto"/>
      </w:divBdr>
    </w:div>
    <w:div w:id="160660010">
      <w:bodyDiv w:val="1"/>
      <w:marLeft w:val="0"/>
      <w:marRight w:val="0"/>
      <w:marTop w:val="0"/>
      <w:marBottom w:val="0"/>
      <w:divBdr>
        <w:top w:val="none" w:sz="0" w:space="0" w:color="auto"/>
        <w:left w:val="none" w:sz="0" w:space="0" w:color="auto"/>
        <w:bottom w:val="none" w:sz="0" w:space="0" w:color="auto"/>
        <w:right w:val="none" w:sz="0" w:space="0" w:color="auto"/>
      </w:divBdr>
    </w:div>
    <w:div w:id="397284204">
      <w:bodyDiv w:val="1"/>
      <w:marLeft w:val="0"/>
      <w:marRight w:val="0"/>
      <w:marTop w:val="0"/>
      <w:marBottom w:val="0"/>
      <w:divBdr>
        <w:top w:val="none" w:sz="0" w:space="0" w:color="auto"/>
        <w:left w:val="none" w:sz="0" w:space="0" w:color="auto"/>
        <w:bottom w:val="none" w:sz="0" w:space="0" w:color="auto"/>
        <w:right w:val="none" w:sz="0" w:space="0" w:color="auto"/>
      </w:divBdr>
    </w:div>
    <w:div w:id="403532252">
      <w:bodyDiv w:val="1"/>
      <w:marLeft w:val="0"/>
      <w:marRight w:val="0"/>
      <w:marTop w:val="0"/>
      <w:marBottom w:val="0"/>
      <w:divBdr>
        <w:top w:val="none" w:sz="0" w:space="0" w:color="auto"/>
        <w:left w:val="none" w:sz="0" w:space="0" w:color="auto"/>
        <w:bottom w:val="none" w:sz="0" w:space="0" w:color="auto"/>
        <w:right w:val="none" w:sz="0" w:space="0" w:color="auto"/>
      </w:divBdr>
    </w:div>
    <w:div w:id="461969871">
      <w:bodyDiv w:val="1"/>
      <w:marLeft w:val="0"/>
      <w:marRight w:val="0"/>
      <w:marTop w:val="0"/>
      <w:marBottom w:val="0"/>
      <w:divBdr>
        <w:top w:val="none" w:sz="0" w:space="0" w:color="auto"/>
        <w:left w:val="none" w:sz="0" w:space="0" w:color="auto"/>
        <w:bottom w:val="none" w:sz="0" w:space="0" w:color="auto"/>
        <w:right w:val="none" w:sz="0" w:space="0" w:color="auto"/>
      </w:divBdr>
    </w:div>
    <w:div w:id="782116800">
      <w:bodyDiv w:val="1"/>
      <w:marLeft w:val="0"/>
      <w:marRight w:val="0"/>
      <w:marTop w:val="0"/>
      <w:marBottom w:val="0"/>
      <w:divBdr>
        <w:top w:val="none" w:sz="0" w:space="0" w:color="auto"/>
        <w:left w:val="none" w:sz="0" w:space="0" w:color="auto"/>
        <w:bottom w:val="none" w:sz="0" w:space="0" w:color="auto"/>
        <w:right w:val="none" w:sz="0" w:space="0" w:color="auto"/>
      </w:divBdr>
    </w:div>
    <w:div w:id="849299173">
      <w:bodyDiv w:val="1"/>
      <w:marLeft w:val="0"/>
      <w:marRight w:val="0"/>
      <w:marTop w:val="0"/>
      <w:marBottom w:val="0"/>
      <w:divBdr>
        <w:top w:val="none" w:sz="0" w:space="0" w:color="auto"/>
        <w:left w:val="none" w:sz="0" w:space="0" w:color="auto"/>
        <w:bottom w:val="none" w:sz="0" w:space="0" w:color="auto"/>
        <w:right w:val="none" w:sz="0" w:space="0" w:color="auto"/>
      </w:divBdr>
    </w:div>
    <w:div w:id="911818991">
      <w:bodyDiv w:val="1"/>
      <w:marLeft w:val="0"/>
      <w:marRight w:val="0"/>
      <w:marTop w:val="0"/>
      <w:marBottom w:val="0"/>
      <w:divBdr>
        <w:top w:val="none" w:sz="0" w:space="0" w:color="auto"/>
        <w:left w:val="none" w:sz="0" w:space="0" w:color="auto"/>
        <w:bottom w:val="none" w:sz="0" w:space="0" w:color="auto"/>
        <w:right w:val="none" w:sz="0" w:space="0" w:color="auto"/>
      </w:divBdr>
    </w:div>
    <w:div w:id="1408262648">
      <w:bodyDiv w:val="1"/>
      <w:marLeft w:val="0"/>
      <w:marRight w:val="0"/>
      <w:marTop w:val="0"/>
      <w:marBottom w:val="0"/>
      <w:divBdr>
        <w:top w:val="none" w:sz="0" w:space="0" w:color="auto"/>
        <w:left w:val="none" w:sz="0" w:space="0" w:color="auto"/>
        <w:bottom w:val="none" w:sz="0" w:space="0" w:color="auto"/>
        <w:right w:val="none" w:sz="0" w:space="0" w:color="auto"/>
      </w:divBdr>
    </w:div>
    <w:div w:id="1460807562">
      <w:bodyDiv w:val="1"/>
      <w:marLeft w:val="0"/>
      <w:marRight w:val="0"/>
      <w:marTop w:val="0"/>
      <w:marBottom w:val="0"/>
      <w:divBdr>
        <w:top w:val="none" w:sz="0" w:space="0" w:color="auto"/>
        <w:left w:val="none" w:sz="0" w:space="0" w:color="auto"/>
        <w:bottom w:val="none" w:sz="0" w:space="0" w:color="auto"/>
        <w:right w:val="none" w:sz="0" w:space="0" w:color="auto"/>
      </w:divBdr>
    </w:div>
    <w:div w:id="19976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car\Dropbox%20(Personal)\betam_ua\chp\oecd-graf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ar\Dropbox%20(Personal)\betam_ua\chp\oecd-t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gurcan.acar\Dropbox%20(Personal)\BETAM_UA\chp\yeni_tablola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gurcan.acar\Dropbox%20(Personal)\BETAM_UA\chp\oecd-genc_issizli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gurcan.acar\Dropbox%20(Personal)\BETAM_UA\chp\yeni_tablola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gurcan.acar\Dropbox%20(Personal)\BETAM_UA\chp\yeni_tablolar.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Erkek</c:v>
                </c:pt>
              </c:strCache>
            </c:strRef>
          </c:tx>
          <c:spPr>
            <a:ln w="28575" cap="rnd">
              <a:noFill/>
              <a:round/>
            </a:ln>
            <a:effectLst/>
          </c:spPr>
          <c:marker>
            <c:symbol val="diamond"/>
            <c:size val="7"/>
            <c:spPr>
              <a:noFill/>
              <a:ln w="15875">
                <a:solidFill>
                  <a:schemeClr val="tx2"/>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İsveç</c:v>
                </c:pt>
                <c:pt idx="1">
                  <c:v>Almanya</c:v>
                </c:pt>
                <c:pt idx="2">
                  <c:v>Portekiz</c:v>
                </c:pt>
                <c:pt idx="3">
                  <c:v>OECD</c:v>
                </c:pt>
                <c:pt idx="4">
                  <c:v>Meksika</c:v>
                </c:pt>
                <c:pt idx="5">
                  <c:v>Fransa</c:v>
                </c:pt>
                <c:pt idx="6">
                  <c:v>ABD</c:v>
                </c:pt>
                <c:pt idx="7">
                  <c:v>İspanya</c:v>
                </c:pt>
                <c:pt idx="8">
                  <c:v>Yunanistan</c:v>
                </c:pt>
                <c:pt idx="9">
                  <c:v>Birleşik Krallık</c:v>
                </c:pt>
                <c:pt idx="10">
                  <c:v>İtalya</c:v>
                </c:pt>
                <c:pt idx="11">
                  <c:v>Türkiye</c:v>
                </c:pt>
              </c:strCache>
            </c:strRef>
          </c:cat>
          <c:val>
            <c:numRef>
              <c:f>Sheet1!$B$2:$B$13</c:f>
              <c:numCache>
                <c:formatCode>General</c:formatCode>
                <c:ptCount val="12"/>
                <c:pt idx="0">
                  <c:v>3.6727037</c:v>
                </c:pt>
                <c:pt idx="1">
                  <c:v>3.7741186999999998</c:v>
                </c:pt>
                <c:pt idx="2">
                  <c:v>4.4932952000000004</c:v>
                </c:pt>
                <c:pt idx="3">
                  <c:v>5.8667427999999999</c:v>
                </c:pt>
                <c:pt idx="4">
                  <c:v>7.6965779999999997</c:v>
                </c:pt>
                <c:pt idx="5">
                  <c:v>7.7331728999999996</c:v>
                </c:pt>
                <c:pt idx="6">
                  <c:v>7.7485312999999998</c:v>
                </c:pt>
                <c:pt idx="7">
                  <c:v>8.5733069999999998</c:v>
                </c:pt>
                <c:pt idx="8">
                  <c:v>8.6359472000000004</c:v>
                </c:pt>
                <c:pt idx="9">
                  <c:v>9.5609169000000005</c:v>
                </c:pt>
                <c:pt idx="10">
                  <c:v>10.497980999999999</c:v>
                </c:pt>
                <c:pt idx="11">
                  <c:v>11.234126</c:v>
                </c:pt>
              </c:numCache>
            </c:numRef>
          </c:val>
          <c:smooth val="0"/>
          <c:extLst>
            <c:ext xmlns:c16="http://schemas.microsoft.com/office/drawing/2014/chart" uri="{C3380CC4-5D6E-409C-BE32-E72D297353CC}">
              <c16:uniqueId val="{00000000-2513-44D5-A167-AF65688A2294}"/>
            </c:ext>
          </c:extLst>
        </c:ser>
        <c:ser>
          <c:idx val="1"/>
          <c:order val="1"/>
          <c:tx>
            <c:strRef>
              <c:f>Sheet1!$C$1</c:f>
              <c:strCache>
                <c:ptCount val="1"/>
                <c:pt idx="0">
                  <c:v>Kadın</c:v>
                </c:pt>
              </c:strCache>
            </c:strRef>
          </c:tx>
          <c:spPr>
            <a:ln w="25400" cap="rnd">
              <a:noFill/>
              <a:round/>
            </a:ln>
            <a:effectLst/>
          </c:spPr>
          <c:marker>
            <c:symbol val="circle"/>
            <c:size val="5"/>
            <c:spPr>
              <a:solidFill>
                <a:srgbClr val="FF0000"/>
              </a:solidFill>
              <a:ln w="9525">
                <a:solidFill>
                  <a:srgbClr val="FF0000"/>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İsveç</c:v>
                </c:pt>
                <c:pt idx="1">
                  <c:v>Almanya</c:v>
                </c:pt>
                <c:pt idx="2">
                  <c:v>Portekiz</c:v>
                </c:pt>
                <c:pt idx="3">
                  <c:v>OECD</c:v>
                </c:pt>
                <c:pt idx="4">
                  <c:v>Meksika</c:v>
                </c:pt>
                <c:pt idx="5">
                  <c:v>Fransa</c:v>
                </c:pt>
                <c:pt idx="6">
                  <c:v>ABD</c:v>
                </c:pt>
                <c:pt idx="7">
                  <c:v>İspanya</c:v>
                </c:pt>
                <c:pt idx="8">
                  <c:v>Yunanistan</c:v>
                </c:pt>
                <c:pt idx="9">
                  <c:v>Birleşik Krallık</c:v>
                </c:pt>
                <c:pt idx="10">
                  <c:v>İtalya</c:v>
                </c:pt>
                <c:pt idx="11">
                  <c:v>Türkiye</c:v>
                </c:pt>
              </c:strCache>
            </c:strRef>
          </c:cat>
          <c:val>
            <c:numRef>
              <c:f>Sheet1!$C$2:$C$13</c:f>
              <c:numCache>
                <c:formatCode>General</c:formatCode>
                <c:ptCount val="12"/>
                <c:pt idx="0">
                  <c:v>3.5874969999999999</c:v>
                </c:pt>
                <c:pt idx="1">
                  <c:v>3.4373692999999998</c:v>
                </c:pt>
                <c:pt idx="2">
                  <c:v>4.1898837000000002</c:v>
                </c:pt>
                <c:pt idx="3">
                  <c:v>5.7930995999999997</c:v>
                </c:pt>
                <c:pt idx="4">
                  <c:v>20.404209000000002</c:v>
                </c:pt>
                <c:pt idx="5">
                  <c:v>6.6178761000000002</c:v>
                </c:pt>
                <c:pt idx="6">
                  <c:v>6.7794508999999996</c:v>
                </c:pt>
                <c:pt idx="7">
                  <c:v>7.9283485000000002</c:v>
                </c:pt>
                <c:pt idx="8">
                  <c:v>8.3426475999999994</c:v>
                </c:pt>
                <c:pt idx="9">
                  <c:v>7.8765634999999996</c:v>
                </c:pt>
                <c:pt idx="10">
                  <c:v>9.7841729999999991</c:v>
                </c:pt>
                <c:pt idx="11">
                  <c:v>20.082815</c:v>
                </c:pt>
              </c:numCache>
            </c:numRef>
          </c:val>
          <c:smooth val="0"/>
          <c:extLst>
            <c:ext xmlns:c16="http://schemas.microsoft.com/office/drawing/2014/chart" uri="{C3380CC4-5D6E-409C-BE32-E72D297353CC}">
              <c16:uniqueId val="{00000001-2513-44D5-A167-AF65688A2294}"/>
            </c:ext>
          </c:extLst>
        </c:ser>
        <c:dLbls>
          <c:showLegendKey val="0"/>
          <c:showVal val="0"/>
          <c:showCatName val="0"/>
          <c:showSerName val="0"/>
          <c:showPercent val="0"/>
          <c:showBubbleSize val="0"/>
        </c:dLbls>
        <c:marker val="1"/>
        <c:smooth val="0"/>
        <c:axId val="287061120"/>
        <c:axId val="287054960"/>
      </c:lineChart>
      <c:catAx>
        <c:axId val="28706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054960"/>
        <c:crosses val="autoZero"/>
        <c:auto val="1"/>
        <c:lblAlgn val="ctr"/>
        <c:lblOffset val="100"/>
        <c:noMultiLvlLbl val="0"/>
      </c:catAx>
      <c:valAx>
        <c:axId val="28705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06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TUR (OECD)</c:v>
                </c:pt>
              </c:strCache>
            </c:strRef>
          </c:tx>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Sheet1!$A$13:$A$22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Sheet1!$B$13:$B$22</c:f>
              <c:numCache>
                <c:formatCode>#,#00%</c:formatCode>
                <c:ptCount val="10"/>
                <c:pt idx="0">
                  <c:v>0.37055500000000002</c:v>
                </c:pt>
                <c:pt idx="1">
                  <c:v>0.28688798999999998</c:v>
                </c:pt>
                <c:pt idx="2">
                  <c:v>0.25600527000000001</c:v>
                </c:pt>
                <c:pt idx="3">
                  <c:v>0.24779497</c:v>
                </c:pt>
                <c:pt idx="4">
                  <c:v>0.23469807500000001</c:v>
                </c:pt>
                <c:pt idx="5">
                  <c:v>0.22160118000000001</c:v>
                </c:pt>
                <c:pt idx="6">
                  <c:v>0.20970842000000001</c:v>
                </c:pt>
                <c:pt idx="7">
                  <c:v>0.18677606999999999</c:v>
                </c:pt>
                <c:pt idx="8">
                  <c:v>0.18399616000000002</c:v>
                </c:pt>
                <c:pt idx="9">
                  <c:v>0.15530239000000001</c:v>
                </c:pt>
              </c:numCache>
            </c:numRef>
          </c:val>
          <c:smooth val="0"/>
          <c:extLst>
            <c:ext xmlns:c16="http://schemas.microsoft.com/office/drawing/2014/chart" uri="{C3380CC4-5D6E-409C-BE32-E72D297353CC}">
              <c16:uniqueId val="{00000000-DE73-4D29-81C2-FC528A483412}"/>
            </c:ext>
          </c:extLst>
        </c:ser>
        <c:ser>
          <c:idx val="1"/>
          <c:order val="1"/>
          <c:tx>
            <c:strRef>
              <c:f>Sheet1!$C$1</c:f>
              <c:strCache>
                <c:ptCount val="1"/>
                <c:pt idx="0">
                  <c:v>TUR (BETAM)</c:v>
                </c:pt>
              </c:strCache>
            </c:strRef>
          </c:tx>
          <c:spPr>
            <a:ln w="28575" cap="rnd">
              <a:solidFill>
                <a:srgbClr val="FF000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Sheet1!$A$13:$A$22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Sheet1!$C$13:$C$22</c:f>
              <c:numCache>
                <c:formatCode>General</c:formatCode>
                <c:ptCount val="10"/>
                <c:pt idx="4" formatCode="#,#00%">
                  <c:v>0.248</c:v>
                </c:pt>
                <c:pt idx="5" formatCode="#,#00%">
                  <c:v>0.2145</c:v>
                </c:pt>
                <c:pt idx="6" formatCode="#,#00%">
                  <c:v>0.21010000000000001</c:v>
                </c:pt>
                <c:pt idx="7" formatCode="#,#00%">
                  <c:v>0.19520000000000001</c:v>
                </c:pt>
                <c:pt idx="8" formatCode="#,#00%">
                  <c:v>0.1938</c:v>
                </c:pt>
                <c:pt idx="9" formatCode="#,#00%">
                  <c:v>0.20549999999999999</c:v>
                </c:pt>
              </c:numCache>
            </c:numRef>
          </c:val>
          <c:smooth val="0"/>
          <c:extLst>
            <c:ext xmlns:c16="http://schemas.microsoft.com/office/drawing/2014/chart" uri="{C3380CC4-5D6E-409C-BE32-E72D297353CC}">
              <c16:uniqueId val="{00000001-DE73-4D29-81C2-FC528A483412}"/>
            </c:ext>
          </c:extLst>
        </c:ser>
        <c:ser>
          <c:idx val="2"/>
          <c:order val="2"/>
          <c:tx>
            <c:strRef>
              <c:f>Sheet1!$D$1</c:f>
              <c:strCache>
                <c:ptCount val="1"/>
                <c:pt idx="0">
                  <c:v>OECD ORT</c:v>
                </c:pt>
              </c:strCache>
            </c:strRef>
          </c:tx>
          <c:spPr>
            <a:ln w="28575" cap="rnd">
              <a:solidFill>
                <a:schemeClr val="accent3"/>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Sheet1!$A$13:$A$22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Sheet1!$D$13:$D$22</c:f>
              <c:numCache>
                <c:formatCode>#,#00%</c:formatCode>
                <c:ptCount val="10"/>
                <c:pt idx="0">
                  <c:v>7.2183149000000002E-2</c:v>
                </c:pt>
                <c:pt idx="1">
                  <c:v>8.4632140000000008E-2</c:v>
                </c:pt>
                <c:pt idx="2">
                  <c:v>8.0193969000000004E-2</c:v>
                </c:pt>
                <c:pt idx="3">
                  <c:v>7.8813902999999991E-2</c:v>
                </c:pt>
                <c:pt idx="4">
                  <c:v>7.0913449999999989E-2</c:v>
                </c:pt>
                <c:pt idx="5">
                  <c:v>7.1989468000000001E-2</c:v>
                </c:pt>
                <c:pt idx="6">
                  <c:v>6.6161380999999991E-2</c:v>
                </c:pt>
                <c:pt idx="7">
                  <c:v>6.8346710000000005E-2</c:v>
                </c:pt>
                <c:pt idx="8">
                  <c:v>6.0980329E-2</c:v>
                </c:pt>
                <c:pt idx="9">
                  <c:v>5.8667428000000001E-2</c:v>
                </c:pt>
              </c:numCache>
            </c:numRef>
          </c:val>
          <c:smooth val="0"/>
          <c:extLst>
            <c:ext xmlns:c16="http://schemas.microsoft.com/office/drawing/2014/chart" uri="{C3380CC4-5D6E-409C-BE32-E72D297353CC}">
              <c16:uniqueId val="{00000002-DE73-4D29-81C2-FC528A483412}"/>
            </c:ext>
          </c:extLst>
        </c:ser>
        <c:dLbls>
          <c:showLegendKey val="0"/>
          <c:showVal val="0"/>
          <c:showCatName val="0"/>
          <c:showSerName val="0"/>
          <c:showPercent val="0"/>
          <c:showBubbleSize val="0"/>
        </c:dLbls>
        <c:smooth val="0"/>
        <c:axId val="287063360"/>
        <c:axId val="287063920"/>
      </c:lineChart>
      <c:catAx>
        <c:axId val="28706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063920"/>
        <c:crosses val="autoZero"/>
        <c:auto val="1"/>
        <c:lblAlgn val="ctr"/>
        <c:lblOffset val="100"/>
        <c:noMultiLvlLbl val="0"/>
      </c:catAx>
      <c:valAx>
        <c:axId val="2870639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06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'gencler-okula devam'!$B$1</c:f>
              <c:strCache>
                <c:ptCount val="1"/>
                <c:pt idx="0">
                  <c:v>Erkek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'gencler-okula devam'!$A$2:$A$7</c:f>
              <c:numCache>
                <c:formatCode>General</c:formatCode>
                <c:ptCount val="6"/>
                <c:pt idx="0">
                  <c:v>2012</c:v>
                </c:pt>
                <c:pt idx="1">
                  <c:v>2013</c:v>
                </c:pt>
                <c:pt idx="2">
                  <c:v>2014</c:v>
                </c:pt>
                <c:pt idx="3">
                  <c:v>2015</c:v>
                </c:pt>
                <c:pt idx="4">
                  <c:v>2016</c:v>
                </c:pt>
                <c:pt idx="5">
                  <c:v>2017</c:v>
                </c:pt>
              </c:numCache>
            </c:numRef>
          </c:cat>
          <c:val>
            <c:numRef>
              <c:f>'gencler-okula devam'!$B$2:$B$7</c:f>
              <c:numCache>
                <c:formatCode>0.0%</c:formatCode>
                <c:ptCount val="6"/>
                <c:pt idx="0">
                  <c:v>0.61407615999999998</c:v>
                </c:pt>
                <c:pt idx="1">
                  <c:v>0.66226448000000004</c:v>
                </c:pt>
                <c:pt idx="2">
                  <c:v>0.66119366000000002</c:v>
                </c:pt>
                <c:pt idx="3">
                  <c:v>0.68953281</c:v>
                </c:pt>
                <c:pt idx="4">
                  <c:v>0.69766854</c:v>
                </c:pt>
                <c:pt idx="5">
                  <c:v>0.67668304000000001</c:v>
                </c:pt>
              </c:numCache>
            </c:numRef>
          </c:val>
          <c:smooth val="0"/>
          <c:extLst>
            <c:ext xmlns:c16="http://schemas.microsoft.com/office/drawing/2014/chart" uri="{C3380CC4-5D6E-409C-BE32-E72D297353CC}">
              <c16:uniqueId val="{00000000-3EBB-4B43-9F40-FB124F617A62}"/>
            </c:ext>
          </c:extLst>
        </c:ser>
        <c:ser>
          <c:idx val="1"/>
          <c:order val="1"/>
          <c:tx>
            <c:strRef>
              <c:f>'gencler-okula devam'!$C$1</c:f>
              <c:strCache>
                <c:ptCount val="1"/>
                <c:pt idx="0">
                  <c:v>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'gencler-okula devam'!$A$2:$A$7</c:f>
              <c:numCache>
                <c:formatCode>General</c:formatCode>
                <c:ptCount val="6"/>
                <c:pt idx="0">
                  <c:v>2012</c:v>
                </c:pt>
                <c:pt idx="1">
                  <c:v>2013</c:v>
                </c:pt>
                <c:pt idx="2">
                  <c:v>2014</c:v>
                </c:pt>
                <c:pt idx="3">
                  <c:v>2015</c:v>
                </c:pt>
                <c:pt idx="4">
                  <c:v>2016</c:v>
                </c:pt>
                <c:pt idx="5">
                  <c:v>2017</c:v>
                </c:pt>
              </c:numCache>
            </c:numRef>
          </c:cat>
          <c:val>
            <c:numRef>
              <c:f>'gencler-okula devam'!$C$2:$C$7</c:f>
              <c:numCache>
                <c:formatCode>0.0%</c:formatCode>
                <c:ptCount val="6"/>
                <c:pt idx="0">
                  <c:v>0.58403252999999999</c:v>
                </c:pt>
                <c:pt idx="1">
                  <c:v>0.63320489000000002</c:v>
                </c:pt>
                <c:pt idx="2">
                  <c:v>0.64397256000000003</c:v>
                </c:pt>
                <c:pt idx="3">
                  <c:v>0.66364957999999996</c:v>
                </c:pt>
                <c:pt idx="4">
                  <c:v>0.66947456000000005</c:v>
                </c:pt>
                <c:pt idx="5">
                  <c:v>0.66051859999999996</c:v>
                </c:pt>
              </c:numCache>
            </c:numRef>
          </c:val>
          <c:smooth val="0"/>
          <c:extLst>
            <c:ext xmlns:c16="http://schemas.microsoft.com/office/drawing/2014/chart" uri="{C3380CC4-5D6E-409C-BE32-E72D297353CC}">
              <c16:uniqueId val="{00000001-3EBB-4B43-9F40-FB124F617A62}"/>
            </c:ext>
          </c:extLst>
        </c:ser>
        <c:ser>
          <c:idx val="2"/>
          <c:order val="2"/>
          <c:tx>
            <c:strRef>
              <c:f>'gencler-okula devam'!$D$1</c:f>
              <c:strCache>
                <c:ptCount val="1"/>
                <c:pt idx="0">
                  <c:v>Toplam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'gencler-okula devam'!$A$2:$A$7</c:f>
              <c:numCache>
                <c:formatCode>General</c:formatCode>
                <c:ptCount val="6"/>
                <c:pt idx="0">
                  <c:v>2012</c:v>
                </c:pt>
                <c:pt idx="1">
                  <c:v>2013</c:v>
                </c:pt>
                <c:pt idx="2">
                  <c:v>2014</c:v>
                </c:pt>
                <c:pt idx="3">
                  <c:v>2015</c:v>
                </c:pt>
                <c:pt idx="4">
                  <c:v>2016</c:v>
                </c:pt>
                <c:pt idx="5">
                  <c:v>2017</c:v>
                </c:pt>
              </c:numCache>
            </c:numRef>
          </c:cat>
          <c:val>
            <c:numRef>
              <c:f>'gencler-okula devam'!$D$2:$D$7</c:f>
              <c:numCache>
                <c:formatCode>0.0%</c:formatCode>
                <c:ptCount val="6"/>
                <c:pt idx="0">
                  <c:v>0.59937660999999998</c:v>
                </c:pt>
                <c:pt idx="1">
                  <c:v>0.64810171999999999</c:v>
                </c:pt>
                <c:pt idx="2">
                  <c:v>0.65284861000000005</c:v>
                </c:pt>
                <c:pt idx="3">
                  <c:v>0.67692755000000004</c:v>
                </c:pt>
                <c:pt idx="4">
                  <c:v>0.68395128999999999</c:v>
                </c:pt>
                <c:pt idx="5">
                  <c:v>0.66888429999999999</c:v>
                </c:pt>
              </c:numCache>
            </c:numRef>
          </c:val>
          <c:smooth val="0"/>
          <c:extLst>
            <c:ext xmlns:c16="http://schemas.microsoft.com/office/drawing/2014/chart" uri="{C3380CC4-5D6E-409C-BE32-E72D297353CC}">
              <c16:uniqueId val="{00000002-3EBB-4B43-9F40-FB124F617A62}"/>
            </c:ext>
          </c:extLst>
        </c:ser>
        <c:dLbls>
          <c:showLegendKey val="0"/>
          <c:showVal val="0"/>
          <c:showCatName val="0"/>
          <c:showSerName val="0"/>
          <c:showPercent val="0"/>
          <c:showBubbleSize val="0"/>
        </c:dLbls>
        <c:marker val="1"/>
        <c:smooth val="0"/>
        <c:axId val="287067840"/>
        <c:axId val="287068400"/>
      </c:lineChart>
      <c:catAx>
        <c:axId val="28706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068400"/>
        <c:crosses val="autoZero"/>
        <c:auto val="1"/>
        <c:lblAlgn val="ctr"/>
        <c:lblOffset val="100"/>
        <c:noMultiLvlLbl val="0"/>
      </c:catAx>
      <c:valAx>
        <c:axId val="287068400"/>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067840"/>
        <c:crosses val="autoZero"/>
        <c:crossBetween val="between"/>
      </c:valAx>
      <c:spPr>
        <a:noFill/>
        <a:ln>
          <a:noFill/>
        </a:ln>
        <a:effectLst/>
      </c:spPr>
    </c:plotArea>
    <c:legend>
      <c:legendPos val="b"/>
      <c:layout>
        <c:manualLayout>
          <c:xMode val="edge"/>
          <c:yMode val="edge"/>
          <c:x val="0.38748535509148302"/>
          <c:y val="0.90935247670074904"/>
          <c:w val="0.33696164431399611"/>
          <c:h val="9.06475232992512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3"/>
            <c:invertIfNegative val="0"/>
            <c:bubble3D val="0"/>
            <c:spPr>
              <a:solidFill>
                <a:schemeClr val="accent3"/>
              </a:solidFill>
              <a:ln>
                <a:noFill/>
              </a:ln>
              <a:effectLst/>
            </c:spPr>
            <c:extLst>
              <c:ext xmlns:c16="http://schemas.microsoft.com/office/drawing/2014/chart" uri="{C3380CC4-5D6E-409C-BE32-E72D297353CC}">
                <c16:uniqueId val="{00000001-B2C6-42F2-8F76-EA436043F870}"/>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3-B2C6-42F2-8F76-EA436043F870}"/>
              </c:ext>
            </c:extLst>
          </c:dPt>
          <c:dPt>
            <c:idx val="6"/>
            <c:invertIfNegative val="0"/>
            <c:bubble3D val="0"/>
            <c:spPr>
              <a:solidFill>
                <a:srgbClr val="FF0000"/>
              </a:solidFill>
              <a:ln>
                <a:noFill/>
              </a:ln>
              <a:effectLst/>
            </c:spPr>
            <c:extLst>
              <c:ext xmlns:c16="http://schemas.microsoft.com/office/drawing/2014/chart" uri="{C3380CC4-5D6E-409C-BE32-E72D297353CC}">
                <c16:uniqueId val="{00000005-B2C6-42F2-8F76-EA436043F8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Almanya</c:v>
                </c:pt>
                <c:pt idx="1">
                  <c:v>Meksika</c:v>
                </c:pt>
                <c:pt idx="2">
                  <c:v>Birleşik Devletler</c:v>
                </c:pt>
                <c:pt idx="3">
                  <c:v>OECD</c:v>
                </c:pt>
                <c:pt idx="4">
                  <c:v>Birleşik Krallık</c:v>
                </c:pt>
                <c:pt idx="5">
                  <c:v>Şili</c:v>
                </c:pt>
                <c:pt idx="6">
                  <c:v>Türkiye</c:v>
                </c:pt>
                <c:pt idx="7">
                  <c:v>Fransa</c:v>
                </c:pt>
                <c:pt idx="8">
                  <c:v>Portekiz</c:v>
                </c:pt>
                <c:pt idx="9">
                  <c:v>İtalya</c:v>
                </c:pt>
                <c:pt idx="10">
                  <c:v>İspanya</c:v>
                </c:pt>
                <c:pt idx="11">
                  <c:v>Yunanistan</c:v>
                </c:pt>
              </c:strCache>
            </c:strRef>
          </c:cat>
          <c:val>
            <c:numRef>
              <c:f>Sheet1!$C$2:$C$13</c:f>
              <c:numCache>
                <c:formatCode>0.0%</c:formatCode>
                <c:ptCount val="12"/>
                <c:pt idx="0">
                  <c:v>6.7750000000000005E-2</c:v>
                </c:pt>
                <c:pt idx="1">
                  <c:v>6.9029660000000007E-2</c:v>
                </c:pt>
                <c:pt idx="2">
                  <c:v>9.2249999999999999E-2</c:v>
                </c:pt>
                <c:pt idx="3">
                  <c:v>0.1192882</c:v>
                </c:pt>
                <c:pt idx="4">
                  <c:v>0.12075</c:v>
                </c:pt>
                <c:pt idx="5">
                  <c:v>0.1685227</c:v>
                </c:pt>
                <c:pt idx="6">
                  <c:v>0.20574999999999999</c:v>
                </c:pt>
                <c:pt idx="7">
                  <c:v>0.223</c:v>
                </c:pt>
                <c:pt idx="8">
                  <c:v>0.23874999999999999</c:v>
                </c:pt>
                <c:pt idx="9">
                  <c:v>0.34749999999999998</c:v>
                </c:pt>
                <c:pt idx="10">
                  <c:v>0.38674999999999998</c:v>
                </c:pt>
                <c:pt idx="11">
                  <c:v>0.43575000000000003</c:v>
                </c:pt>
              </c:numCache>
            </c:numRef>
          </c:val>
          <c:extLst>
            <c:ext xmlns:c16="http://schemas.microsoft.com/office/drawing/2014/chart" uri="{C3380CC4-5D6E-409C-BE32-E72D297353CC}">
              <c16:uniqueId val="{00000006-B2C6-42F2-8F76-EA436043F870}"/>
            </c:ext>
          </c:extLst>
        </c:ser>
        <c:dLbls>
          <c:dLblPos val="outEnd"/>
          <c:showLegendKey val="0"/>
          <c:showVal val="1"/>
          <c:showCatName val="0"/>
          <c:showSerName val="0"/>
          <c:showPercent val="0"/>
          <c:showBubbleSize val="0"/>
        </c:dLbls>
        <c:gapWidth val="182"/>
        <c:axId val="287070640"/>
        <c:axId val="286701632"/>
      </c:barChart>
      <c:catAx>
        <c:axId val="287070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701632"/>
        <c:crosses val="autoZero"/>
        <c:auto val="1"/>
        <c:lblAlgn val="ctr"/>
        <c:lblOffset val="100"/>
        <c:noMultiLvlLbl val="0"/>
      </c:catAx>
      <c:valAx>
        <c:axId val="286701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07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'issizlik oranlari'!$B$23</c:f>
              <c:strCache>
                <c:ptCount val="1"/>
                <c:pt idx="0">
                  <c:v>Erkek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'issizlik oranlari'!$A$24:$A$29</c:f>
              <c:numCache>
                <c:formatCode>General</c:formatCode>
                <c:ptCount val="6"/>
                <c:pt idx="0">
                  <c:v>2012</c:v>
                </c:pt>
                <c:pt idx="1">
                  <c:v>2013</c:v>
                </c:pt>
                <c:pt idx="2">
                  <c:v>2014</c:v>
                </c:pt>
                <c:pt idx="3">
                  <c:v>2015</c:v>
                </c:pt>
                <c:pt idx="4">
                  <c:v>2016</c:v>
                </c:pt>
                <c:pt idx="5">
                  <c:v>2017</c:v>
                </c:pt>
              </c:numCache>
            </c:numRef>
          </c:cat>
          <c:val>
            <c:numRef>
              <c:f>'issizlik oranlari'!$B$24:$B$29</c:f>
              <c:numCache>
                <c:formatCode>0.0%</c:formatCode>
                <c:ptCount val="6"/>
                <c:pt idx="0">
                  <c:v>0.14911347</c:v>
                </c:pt>
                <c:pt idx="1">
                  <c:v>0.15906564000000001</c:v>
                </c:pt>
                <c:pt idx="2">
                  <c:v>0.16153612000000001</c:v>
                </c:pt>
                <c:pt idx="3">
                  <c:v>0.15603252000000001</c:v>
                </c:pt>
                <c:pt idx="4">
                  <c:v>0.15690035999999999</c:v>
                </c:pt>
                <c:pt idx="5">
                  <c:v>0.16462373</c:v>
                </c:pt>
              </c:numCache>
            </c:numRef>
          </c:val>
          <c:smooth val="0"/>
          <c:extLst>
            <c:ext xmlns:c16="http://schemas.microsoft.com/office/drawing/2014/chart" uri="{C3380CC4-5D6E-409C-BE32-E72D297353CC}">
              <c16:uniqueId val="{00000000-1FE7-40D4-8C4A-114FFED55E04}"/>
            </c:ext>
          </c:extLst>
        </c:ser>
        <c:ser>
          <c:idx val="1"/>
          <c:order val="1"/>
          <c:tx>
            <c:strRef>
              <c:f>'issizlik oranlari'!$C$23</c:f>
              <c:strCache>
                <c:ptCount val="1"/>
                <c:pt idx="0">
                  <c:v>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'issizlik oranlari'!$A$24:$A$29</c:f>
              <c:numCache>
                <c:formatCode>General</c:formatCode>
                <c:ptCount val="6"/>
                <c:pt idx="0">
                  <c:v>2012</c:v>
                </c:pt>
                <c:pt idx="1">
                  <c:v>2013</c:v>
                </c:pt>
                <c:pt idx="2">
                  <c:v>2014</c:v>
                </c:pt>
                <c:pt idx="3">
                  <c:v>2015</c:v>
                </c:pt>
                <c:pt idx="4">
                  <c:v>2016</c:v>
                </c:pt>
                <c:pt idx="5">
                  <c:v>2017</c:v>
                </c:pt>
              </c:numCache>
            </c:numRef>
          </c:cat>
          <c:val>
            <c:numRef>
              <c:f>'issizlik oranlari'!$C$24:$C$29</c:f>
              <c:numCache>
                <c:formatCode>0.0%</c:formatCode>
                <c:ptCount val="6"/>
                <c:pt idx="0">
                  <c:v>0.14903857000000001</c:v>
                </c:pt>
                <c:pt idx="1">
                  <c:v>0.17487965999999999</c:v>
                </c:pt>
                <c:pt idx="2">
                  <c:v>0.16075707</c:v>
                </c:pt>
                <c:pt idx="3">
                  <c:v>0.18361643</c:v>
                </c:pt>
                <c:pt idx="4">
                  <c:v>0.17195815</c:v>
                </c:pt>
                <c:pt idx="5">
                  <c:v>0.18325937</c:v>
                </c:pt>
              </c:numCache>
            </c:numRef>
          </c:val>
          <c:smooth val="0"/>
          <c:extLst>
            <c:ext xmlns:c16="http://schemas.microsoft.com/office/drawing/2014/chart" uri="{C3380CC4-5D6E-409C-BE32-E72D297353CC}">
              <c16:uniqueId val="{00000001-1FE7-40D4-8C4A-114FFED55E04}"/>
            </c:ext>
          </c:extLst>
        </c:ser>
        <c:ser>
          <c:idx val="2"/>
          <c:order val="2"/>
          <c:tx>
            <c:strRef>
              <c:f>'issizlik oranlari'!$D$23</c:f>
              <c:strCache>
                <c:ptCount val="1"/>
                <c:pt idx="0">
                  <c:v>Total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'issizlik oranlari'!$A$24:$A$29</c:f>
              <c:numCache>
                <c:formatCode>General</c:formatCode>
                <c:ptCount val="6"/>
                <c:pt idx="0">
                  <c:v>2012</c:v>
                </c:pt>
                <c:pt idx="1">
                  <c:v>2013</c:v>
                </c:pt>
                <c:pt idx="2">
                  <c:v>2014</c:v>
                </c:pt>
                <c:pt idx="3">
                  <c:v>2015</c:v>
                </c:pt>
                <c:pt idx="4">
                  <c:v>2016</c:v>
                </c:pt>
                <c:pt idx="5">
                  <c:v>2017</c:v>
                </c:pt>
              </c:numCache>
            </c:numRef>
          </c:cat>
          <c:val>
            <c:numRef>
              <c:f>'issizlik oranlari'!$D$24:$D$29</c:f>
              <c:numCache>
                <c:formatCode>0.0%</c:formatCode>
                <c:ptCount val="6"/>
                <c:pt idx="0">
                  <c:v>0.14909069999999999</c:v>
                </c:pt>
                <c:pt idx="1">
                  <c:v>0.16395937999999999</c:v>
                </c:pt>
                <c:pt idx="2">
                  <c:v>0.16130380999999999</c:v>
                </c:pt>
                <c:pt idx="3">
                  <c:v>0.16480695000000001</c:v>
                </c:pt>
                <c:pt idx="4">
                  <c:v>0.16178720999999999</c:v>
                </c:pt>
                <c:pt idx="5">
                  <c:v>0.17033588999999999</c:v>
                </c:pt>
              </c:numCache>
            </c:numRef>
          </c:val>
          <c:smooth val="0"/>
          <c:extLst>
            <c:ext xmlns:c16="http://schemas.microsoft.com/office/drawing/2014/chart" uri="{C3380CC4-5D6E-409C-BE32-E72D297353CC}">
              <c16:uniqueId val="{00000002-1FE7-40D4-8C4A-114FFED55E04}"/>
            </c:ext>
          </c:extLst>
        </c:ser>
        <c:dLbls>
          <c:showLegendKey val="0"/>
          <c:showVal val="0"/>
          <c:showCatName val="0"/>
          <c:showSerName val="0"/>
          <c:showPercent val="0"/>
          <c:showBubbleSize val="0"/>
        </c:dLbls>
        <c:marker val="1"/>
        <c:smooth val="0"/>
        <c:axId val="286696032"/>
        <c:axId val="286696592"/>
      </c:lineChart>
      <c:catAx>
        <c:axId val="28669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96592"/>
        <c:crosses val="autoZero"/>
        <c:auto val="1"/>
        <c:lblAlgn val="ctr"/>
        <c:lblOffset val="100"/>
        <c:noMultiLvlLbl val="0"/>
      </c:catAx>
      <c:valAx>
        <c:axId val="286696592"/>
        <c:scaling>
          <c:orientation val="minMax"/>
          <c:max val="0.2"/>
          <c:min val="0.1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9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'gecmis is'!$C$4</c:f>
              <c:strCache>
                <c:ptCount val="1"/>
                <c:pt idx="0">
                  <c:v>Erkek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'gecmis is'!$B$5:$B$10</c:f>
              <c:numCache>
                <c:formatCode>General</c:formatCode>
                <c:ptCount val="6"/>
                <c:pt idx="0">
                  <c:v>2012</c:v>
                </c:pt>
                <c:pt idx="1">
                  <c:v>2013</c:v>
                </c:pt>
                <c:pt idx="2">
                  <c:v>2014</c:v>
                </c:pt>
                <c:pt idx="3">
                  <c:v>2015</c:v>
                </c:pt>
                <c:pt idx="4">
                  <c:v>2016</c:v>
                </c:pt>
                <c:pt idx="5">
                  <c:v>2017</c:v>
                </c:pt>
              </c:numCache>
            </c:numRef>
          </c:cat>
          <c:val>
            <c:numRef>
              <c:f>'gecmis is'!$C$5:$C$10</c:f>
              <c:numCache>
                <c:formatCode>0.0%</c:formatCode>
                <c:ptCount val="6"/>
                <c:pt idx="0">
                  <c:v>0.42463583999999999</c:v>
                </c:pt>
                <c:pt idx="1">
                  <c:v>0.47995360999999997</c:v>
                </c:pt>
                <c:pt idx="2">
                  <c:v>0.54697724999999997</c:v>
                </c:pt>
                <c:pt idx="3">
                  <c:v>0.54821872000000005</c:v>
                </c:pt>
                <c:pt idx="4">
                  <c:v>0.57205033000000005</c:v>
                </c:pt>
                <c:pt idx="5">
                  <c:v>0.56988172000000004</c:v>
                </c:pt>
              </c:numCache>
            </c:numRef>
          </c:val>
          <c:smooth val="0"/>
          <c:extLst>
            <c:ext xmlns:c16="http://schemas.microsoft.com/office/drawing/2014/chart" uri="{C3380CC4-5D6E-409C-BE32-E72D297353CC}">
              <c16:uniqueId val="{00000000-59B1-4816-9198-73DCB37BC6DD}"/>
            </c:ext>
          </c:extLst>
        </c:ser>
        <c:ser>
          <c:idx val="1"/>
          <c:order val="1"/>
          <c:tx>
            <c:strRef>
              <c:f>'gecmis is'!$D$4</c:f>
              <c:strCache>
                <c:ptCount val="1"/>
                <c:pt idx="0">
                  <c:v>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'gecmis is'!$B$5:$B$10</c:f>
              <c:numCache>
                <c:formatCode>General</c:formatCode>
                <c:ptCount val="6"/>
                <c:pt idx="0">
                  <c:v>2012</c:v>
                </c:pt>
                <c:pt idx="1">
                  <c:v>2013</c:v>
                </c:pt>
                <c:pt idx="2">
                  <c:v>2014</c:v>
                </c:pt>
                <c:pt idx="3">
                  <c:v>2015</c:v>
                </c:pt>
                <c:pt idx="4">
                  <c:v>2016</c:v>
                </c:pt>
                <c:pt idx="5">
                  <c:v>2017</c:v>
                </c:pt>
              </c:numCache>
            </c:numRef>
          </c:cat>
          <c:val>
            <c:numRef>
              <c:f>'gecmis is'!$D$5:$D$10</c:f>
              <c:numCache>
                <c:formatCode>0.0%</c:formatCode>
                <c:ptCount val="6"/>
                <c:pt idx="0">
                  <c:v>0.20485320000000001</c:v>
                </c:pt>
                <c:pt idx="1">
                  <c:v>0.25951672999999997</c:v>
                </c:pt>
                <c:pt idx="2">
                  <c:v>0.30819781000000002</c:v>
                </c:pt>
                <c:pt idx="3">
                  <c:v>0.34019012999999998</c:v>
                </c:pt>
                <c:pt idx="4">
                  <c:v>0.34305428999999998</c:v>
                </c:pt>
                <c:pt idx="5">
                  <c:v>0.33385905999999999</c:v>
                </c:pt>
              </c:numCache>
            </c:numRef>
          </c:val>
          <c:smooth val="0"/>
          <c:extLst>
            <c:ext xmlns:c16="http://schemas.microsoft.com/office/drawing/2014/chart" uri="{C3380CC4-5D6E-409C-BE32-E72D297353CC}">
              <c16:uniqueId val="{00000001-59B1-4816-9198-73DCB37BC6DD}"/>
            </c:ext>
          </c:extLst>
        </c:ser>
        <c:ser>
          <c:idx val="2"/>
          <c:order val="2"/>
          <c:tx>
            <c:strRef>
              <c:f>'gecmis is'!$E$4</c:f>
              <c:strCache>
                <c:ptCount val="1"/>
                <c:pt idx="0">
                  <c:v>Toplam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'gecmis is'!$B$5:$B$10</c:f>
              <c:numCache>
                <c:formatCode>General</c:formatCode>
                <c:ptCount val="6"/>
                <c:pt idx="0">
                  <c:v>2012</c:v>
                </c:pt>
                <c:pt idx="1">
                  <c:v>2013</c:v>
                </c:pt>
                <c:pt idx="2">
                  <c:v>2014</c:v>
                </c:pt>
                <c:pt idx="3">
                  <c:v>2015</c:v>
                </c:pt>
                <c:pt idx="4">
                  <c:v>2016</c:v>
                </c:pt>
                <c:pt idx="5">
                  <c:v>2017</c:v>
                </c:pt>
              </c:numCache>
            </c:numRef>
          </c:cat>
          <c:val>
            <c:numRef>
              <c:f>'gecmis is'!$E$5:$E$10</c:f>
              <c:numCache>
                <c:formatCode>0.0%</c:formatCode>
                <c:ptCount val="6"/>
                <c:pt idx="0">
                  <c:v>0.28549518000000002</c:v>
                </c:pt>
                <c:pt idx="1">
                  <c:v>0.34013541000000003</c:v>
                </c:pt>
                <c:pt idx="2">
                  <c:v>0.39727890999999999</c:v>
                </c:pt>
                <c:pt idx="3">
                  <c:v>0.41678954000000001</c:v>
                </c:pt>
                <c:pt idx="4">
                  <c:v>0.42905057000000002</c:v>
                </c:pt>
                <c:pt idx="5">
                  <c:v>0.42652909</c:v>
                </c:pt>
              </c:numCache>
            </c:numRef>
          </c:val>
          <c:smooth val="0"/>
          <c:extLst>
            <c:ext xmlns:c16="http://schemas.microsoft.com/office/drawing/2014/chart" uri="{C3380CC4-5D6E-409C-BE32-E72D297353CC}">
              <c16:uniqueId val="{00000002-59B1-4816-9198-73DCB37BC6DD}"/>
            </c:ext>
          </c:extLst>
        </c:ser>
        <c:dLbls>
          <c:showLegendKey val="0"/>
          <c:showVal val="0"/>
          <c:showCatName val="0"/>
          <c:showSerName val="0"/>
          <c:showPercent val="0"/>
          <c:showBubbleSize val="0"/>
        </c:dLbls>
        <c:marker val="1"/>
        <c:smooth val="0"/>
        <c:axId val="311058912"/>
        <c:axId val="311057792"/>
      </c:lineChart>
      <c:catAx>
        <c:axId val="31105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057792"/>
        <c:crosses val="autoZero"/>
        <c:auto val="1"/>
        <c:lblAlgn val="ctr"/>
        <c:lblOffset val="100"/>
        <c:noMultiLvlLbl val="0"/>
      </c:catAx>
      <c:valAx>
        <c:axId val="3110577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05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5829-ECEA-4EC6-9681-FE0CDFEB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2933</Words>
  <Characters>16722</Characters>
  <Application>Microsoft Office Word</Application>
  <DocSecurity>0</DocSecurity>
  <Lines>139</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Uğurcan Acar</dc:creator>
  <cp:keywords/>
  <dc:description/>
  <cp:lastModifiedBy>ugurcan.acar</cp:lastModifiedBy>
  <cp:revision>9</cp:revision>
  <dcterms:created xsi:type="dcterms:W3CDTF">2019-05-31T08:58:00Z</dcterms:created>
  <dcterms:modified xsi:type="dcterms:W3CDTF">2019-05-31T12:05:00Z</dcterms:modified>
</cp:coreProperties>
</file>