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30" w:rsidRDefault="00917330">
      <w:pPr>
        <w:rPr>
          <w:rFonts w:ascii="Palatino Linotype" w:hAnsi="Palatino Linotype" w:cstheme="minorHAnsi"/>
        </w:rPr>
      </w:pPr>
    </w:p>
    <w:p w:rsidR="00D07713" w:rsidRPr="0050008F" w:rsidRDefault="00062A8A">
      <w:pPr>
        <w:rPr>
          <w:rFonts w:ascii="Palatino Linotype" w:hAnsi="Palatino Linotype" w:cstheme="minorHAnsi"/>
        </w:rPr>
      </w:pPr>
      <w:r w:rsidRPr="0050008F">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062A8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12 Mart 2019</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" stroked="f">
                <v:fill opacity="0"/>
                <v:textbox inset="0,0,0,0">
                  <w:txbxContent>
                    <w:p w:rsidR="00D07713" w:rsidRPr="00D07713" w:rsidRDefault="00062A8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12 Mart 2019</w:t>
                      </w:r>
                    </w:p>
                    <w:p w:rsidR="00D07713" w:rsidRPr="00187FA0" w:rsidRDefault="00D07713" w:rsidP="00D07713"/>
                  </w:txbxContent>
                </v:textbox>
              </v:shape>
            </w:pict>
          </mc:Fallback>
        </mc:AlternateContent>
      </w:r>
      <w:r w:rsidR="007F39BB" w:rsidRPr="0050008F">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062A8A">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062A8A">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50008F">
        <w:rPr>
          <w:rFonts w:ascii="Palatino Linotype" w:hAnsi="Palatino Linotype" w:cstheme="minorHAnsi"/>
          <w:noProof/>
          <w:lang w:val="en-GB" w:eastAsia="en-GB"/>
        </w:rPr>
        <w:drawing>
          <wp:anchor distT="0" distB="0" distL="114300" distR="114300" simplePos="0" relativeHeight="251656192"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50008F" w:rsidRDefault="00D07713">
      <w:pPr>
        <w:rPr>
          <w:rFonts w:ascii="Palatino Linotype" w:hAnsi="Palatino Linotype" w:cstheme="minorHAnsi"/>
        </w:rPr>
      </w:pPr>
    </w:p>
    <w:p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rsidR="00D34702" w:rsidRPr="0050008F" w:rsidRDefault="00F44E44" w:rsidP="00D34702">
      <w:pPr>
        <w:spacing w:line="288" w:lineRule="auto"/>
        <w:ind w:right="-319"/>
        <w:jc w:val="center"/>
        <w:outlineLvl w:val="0"/>
        <w:rPr>
          <w:rFonts w:ascii="Palatino Linotype" w:hAnsi="Palatino Linotype" w:cstheme="minorHAnsi"/>
          <w:b/>
          <w:bCs/>
          <w:sz w:val="28"/>
          <w:szCs w:val="28"/>
        </w:rPr>
      </w:pPr>
      <w:r w:rsidRPr="00F44E44">
        <w:rPr>
          <w:rFonts w:ascii="Palatino Linotype" w:hAnsi="Palatino Linotype" w:cstheme="minorHAnsi"/>
          <w:b/>
          <w:bCs/>
          <w:sz w:val="28"/>
          <w:szCs w:val="28"/>
        </w:rPr>
        <w:t xml:space="preserve">GSYH’DE </w:t>
      </w:r>
      <w:r>
        <w:rPr>
          <w:rFonts w:ascii="Palatino Linotype" w:hAnsi="Palatino Linotype" w:cstheme="minorHAnsi"/>
          <w:b/>
          <w:bCs/>
          <w:sz w:val="28"/>
          <w:szCs w:val="28"/>
        </w:rPr>
        <w:t xml:space="preserve">4. </w:t>
      </w:r>
      <w:r w:rsidRPr="00F44E44">
        <w:rPr>
          <w:rFonts w:ascii="Palatino Linotype" w:hAnsi="Palatino Linotype" w:cstheme="minorHAnsi"/>
          <w:b/>
          <w:bCs/>
          <w:sz w:val="28"/>
          <w:szCs w:val="28"/>
        </w:rPr>
        <w:t xml:space="preserve">ÇEYREKTE </w:t>
      </w:r>
      <w:r w:rsidR="0084623F" w:rsidRPr="00F44E44">
        <w:rPr>
          <w:rFonts w:ascii="Palatino Linotype" w:hAnsi="Palatino Linotype" w:cstheme="minorHAnsi"/>
          <w:b/>
          <w:bCs/>
          <w:sz w:val="28"/>
          <w:szCs w:val="28"/>
        </w:rPr>
        <w:t>SERT DÜŞÜŞ</w:t>
      </w:r>
    </w:p>
    <w:p w:rsidR="00D07713" w:rsidRPr="0050008F" w:rsidRDefault="003172DB" w:rsidP="004623F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Seyfettin Gürsel</w:t>
      </w:r>
      <w:r w:rsidRPr="0050008F">
        <w:rPr>
          <w:rStyle w:val="FootnoteReference"/>
          <w:rFonts w:ascii="Palatino Linotype" w:hAnsi="Palatino Linotype" w:cstheme="minorHAnsi"/>
          <w:b/>
          <w:bCs/>
          <w:sz w:val="22"/>
          <w:szCs w:val="22"/>
        </w:rPr>
        <w:footnoteReference w:id="1"/>
      </w:r>
      <w:r w:rsidRPr="0050008F">
        <w:rPr>
          <w:rFonts w:ascii="Palatino Linotype" w:hAnsi="Palatino Linotype" w:cstheme="minorHAnsi"/>
          <w:b/>
          <w:bCs/>
          <w:sz w:val="22"/>
          <w:szCs w:val="22"/>
        </w:rPr>
        <w:t>,</w:t>
      </w:r>
      <w:r w:rsidR="00B02D74" w:rsidRPr="0050008F">
        <w:rPr>
          <w:rFonts w:ascii="Palatino Linotype" w:hAnsi="Palatino Linotype" w:cstheme="minorHAnsi"/>
          <w:b/>
          <w:bCs/>
          <w:sz w:val="22"/>
          <w:szCs w:val="22"/>
        </w:rPr>
        <w:t xml:space="preserve"> </w:t>
      </w:r>
      <w:r w:rsidR="00D07713"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2"/>
      </w:r>
      <w:r w:rsidR="001537D8" w:rsidRPr="0050008F">
        <w:rPr>
          <w:rFonts w:ascii="Palatino Linotype" w:hAnsi="Palatino Linotype" w:cstheme="minorHAnsi"/>
          <w:b/>
          <w:bCs/>
          <w:sz w:val="22"/>
          <w:szCs w:val="22"/>
        </w:rPr>
        <w:t xml:space="preserve"> ve </w:t>
      </w:r>
      <w:r w:rsidR="009B385A">
        <w:rPr>
          <w:rFonts w:ascii="Palatino Linotype" w:hAnsi="Palatino Linotype" w:cstheme="minorHAnsi"/>
          <w:b/>
          <w:bCs/>
          <w:sz w:val="22"/>
          <w:szCs w:val="22"/>
        </w:rPr>
        <w:t>Furkan Kavuncu</w:t>
      </w:r>
      <w:r w:rsidR="001537D8" w:rsidRPr="0050008F">
        <w:rPr>
          <w:rStyle w:val="FootnoteReference"/>
          <w:rFonts w:ascii="Palatino Linotype" w:hAnsi="Palatino Linotype" w:cstheme="minorHAnsi"/>
          <w:b/>
          <w:bCs/>
          <w:sz w:val="22"/>
          <w:szCs w:val="22"/>
        </w:rPr>
        <w:footnoteReference w:id="3"/>
      </w:r>
    </w:p>
    <w:p w:rsidR="00405BD8" w:rsidRDefault="00405BD8" w:rsidP="00751F72">
      <w:pPr>
        <w:jc w:val="center"/>
        <w:rPr>
          <w:rFonts w:ascii="Palatino Linotype" w:hAnsi="Palatino Linotype" w:cstheme="minorHAnsi"/>
          <w:b/>
          <w:sz w:val="22"/>
          <w:szCs w:val="22"/>
        </w:rPr>
      </w:pPr>
    </w:p>
    <w:p w:rsidR="00405BD8" w:rsidRDefault="00405BD8" w:rsidP="00751F72">
      <w:pPr>
        <w:jc w:val="center"/>
        <w:rPr>
          <w:rFonts w:ascii="Palatino Linotype" w:hAnsi="Palatino Linotype" w:cstheme="minorHAnsi"/>
          <w:b/>
          <w:sz w:val="22"/>
          <w:szCs w:val="22"/>
        </w:rPr>
      </w:pPr>
    </w:p>
    <w:p w:rsidR="00111CED" w:rsidRPr="0050008F" w:rsidRDefault="00D257C1" w:rsidP="00405BD8">
      <w:pPr>
        <w:spacing w:line="360" w:lineRule="auto"/>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rsidR="00C73CC1" w:rsidRPr="00062A8A" w:rsidRDefault="00D257C1" w:rsidP="00062A8A">
      <w:pPr>
        <w:spacing w:line="360" w:lineRule="auto"/>
        <w:ind w:left="567" w:right="567"/>
        <w:jc w:val="both"/>
        <w:rPr>
          <w:rFonts w:ascii="Palatino Linotype" w:hAnsi="Palatino Linotype" w:cstheme="minorHAnsi"/>
          <w:sz w:val="22"/>
          <w:szCs w:val="22"/>
        </w:rPr>
      </w:pPr>
      <w:r w:rsidRPr="00914D26">
        <w:rPr>
          <w:rFonts w:ascii="Palatino Linotype" w:hAnsi="Palatino Linotype" w:cstheme="minorHAnsi"/>
          <w:sz w:val="22"/>
          <w:szCs w:val="22"/>
        </w:rPr>
        <w:t>201</w:t>
      </w:r>
      <w:r w:rsidR="00A2601A" w:rsidRPr="00914D26">
        <w:rPr>
          <w:rFonts w:ascii="Palatino Linotype" w:hAnsi="Palatino Linotype" w:cstheme="minorHAnsi"/>
          <w:sz w:val="22"/>
          <w:szCs w:val="22"/>
        </w:rPr>
        <w:t>8</w:t>
      </w:r>
      <w:r w:rsidRPr="00914D26">
        <w:rPr>
          <w:rFonts w:ascii="Palatino Linotype" w:hAnsi="Palatino Linotype" w:cstheme="minorHAnsi"/>
          <w:sz w:val="22"/>
          <w:szCs w:val="22"/>
        </w:rPr>
        <w:t xml:space="preserve"> yılının </w:t>
      </w:r>
      <w:r w:rsidR="007135FC" w:rsidRPr="00914D26">
        <w:rPr>
          <w:rFonts w:ascii="Palatino Linotype" w:hAnsi="Palatino Linotype" w:cstheme="minorHAnsi"/>
          <w:sz w:val="22"/>
          <w:szCs w:val="22"/>
        </w:rPr>
        <w:t>dördüncü</w:t>
      </w:r>
      <w:r w:rsidRPr="00914D26">
        <w:rPr>
          <w:rFonts w:ascii="Palatino Linotype" w:hAnsi="Palatino Linotype" w:cstheme="minorHAnsi"/>
          <w:sz w:val="22"/>
          <w:szCs w:val="22"/>
        </w:rPr>
        <w:t xml:space="preserve"> çeyreğinde Gayri Safi Yurtiçi </w:t>
      </w:r>
      <w:proofErr w:type="gramStart"/>
      <w:r w:rsidRPr="00914D26">
        <w:rPr>
          <w:rFonts w:ascii="Palatino Linotype" w:hAnsi="Palatino Linotype" w:cstheme="minorHAnsi"/>
          <w:sz w:val="22"/>
          <w:szCs w:val="22"/>
        </w:rPr>
        <w:t>Hasıla</w:t>
      </w:r>
      <w:proofErr w:type="gramEnd"/>
      <w:r w:rsidRPr="00914D26">
        <w:rPr>
          <w:rFonts w:ascii="Palatino Linotype" w:hAnsi="Palatino Linotype" w:cstheme="minorHAnsi"/>
          <w:sz w:val="22"/>
          <w:szCs w:val="22"/>
        </w:rPr>
        <w:t xml:space="preserve"> (GSYH) mevsim ve takvim etkilerinden arındırılmış rakamlarla bir önceki çeyreğe kıyasla yüzde </w:t>
      </w:r>
      <w:r w:rsidR="007135FC" w:rsidRPr="00914D26">
        <w:rPr>
          <w:rFonts w:ascii="Palatino Linotype" w:hAnsi="Palatino Linotype" w:cstheme="minorHAnsi"/>
          <w:sz w:val="22"/>
          <w:szCs w:val="22"/>
        </w:rPr>
        <w:t>2,4</w:t>
      </w:r>
      <w:r w:rsidR="00996151" w:rsidRPr="00914D26">
        <w:rPr>
          <w:rFonts w:ascii="Palatino Linotype" w:hAnsi="Palatino Linotype" w:cstheme="minorHAnsi"/>
          <w:sz w:val="22"/>
          <w:szCs w:val="22"/>
        </w:rPr>
        <w:t xml:space="preserve"> oranında </w:t>
      </w:r>
      <w:r w:rsidR="00BC1EF8" w:rsidRPr="00914D26">
        <w:rPr>
          <w:rFonts w:ascii="Palatino Linotype" w:hAnsi="Palatino Linotype" w:cstheme="minorHAnsi"/>
          <w:sz w:val="22"/>
          <w:szCs w:val="22"/>
        </w:rPr>
        <w:t>azalırken</w:t>
      </w:r>
      <w:r w:rsidRPr="00914D26">
        <w:rPr>
          <w:rFonts w:ascii="Palatino Linotype" w:hAnsi="Palatino Linotype" w:cstheme="minorHAnsi"/>
          <w:sz w:val="22"/>
          <w:szCs w:val="22"/>
        </w:rPr>
        <w:t xml:space="preserve"> geçen yılın </w:t>
      </w:r>
      <w:r w:rsidR="007135FC" w:rsidRPr="00914D26">
        <w:rPr>
          <w:rFonts w:ascii="Palatino Linotype" w:hAnsi="Palatino Linotype" w:cstheme="minorHAnsi"/>
          <w:sz w:val="22"/>
          <w:szCs w:val="22"/>
        </w:rPr>
        <w:t>dördüncü</w:t>
      </w:r>
      <w:r w:rsidRPr="00914D26">
        <w:rPr>
          <w:rFonts w:ascii="Palatino Linotype" w:hAnsi="Palatino Linotype" w:cstheme="minorHAnsi"/>
          <w:sz w:val="22"/>
          <w:szCs w:val="22"/>
        </w:rPr>
        <w:t xml:space="preserve"> çeyreğine kıyasla yüzde </w:t>
      </w:r>
      <w:r w:rsidR="007135FC" w:rsidRPr="00914D26">
        <w:rPr>
          <w:rFonts w:ascii="Palatino Linotype" w:hAnsi="Palatino Linotype" w:cstheme="minorHAnsi"/>
          <w:sz w:val="22"/>
          <w:szCs w:val="22"/>
        </w:rPr>
        <w:t>3,0 küçüldü</w:t>
      </w:r>
      <w:r w:rsidRPr="00914D26">
        <w:rPr>
          <w:rFonts w:ascii="Palatino Linotype" w:hAnsi="Palatino Linotype" w:cstheme="minorHAnsi"/>
          <w:sz w:val="22"/>
          <w:szCs w:val="22"/>
        </w:rPr>
        <w:t>.</w:t>
      </w:r>
      <w:r w:rsidR="00062A8A">
        <w:rPr>
          <w:rFonts w:ascii="Palatino Linotype" w:hAnsi="Palatino Linotype" w:cstheme="minorHAnsi"/>
          <w:sz w:val="22"/>
          <w:szCs w:val="22"/>
        </w:rPr>
        <w:t xml:space="preserve"> </w:t>
      </w:r>
      <w:r w:rsidR="00CC79C0" w:rsidRPr="00202302">
        <w:rPr>
          <w:rFonts w:ascii="Palatino Linotype" w:hAnsi="Palatino Linotype" w:cstheme="minorHAnsi"/>
          <w:sz w:val="22"/>
          <w:szCs w:val="22"/>
        </w:rPr>
        <w:t xml:space="preserve">Yıldan yıla büyümeye </w:t>
      </w:r>
      <w:r w:rsidR="00996151" w:rsidRPr="00202302">
        <w:rPr>
          <w:rFonts w:ascii="Palatino Linotype" w:hAnsi="Palatino Linotype" w:cstheme="minorHAnsi"/>
          <w:sz w:val="22"/>
          <w:szCs w:val="22"/>
        </w:rPr>
        <w:t xml:space="preserve">en büyük </w:t>
      </w:r>
      <w:r w:rsidR="002343A8" w:rsidRPr="00202302">
        <w:rPr>
          <w:rFonts w:ascii="Palatino Linotype" w:hAnsi="Palatino Linotype" w:cstheme="minorHAnsi"/>
          <w:sz w:val="22"/>
          <w:szCs w:val="22"/>
        </w:rPr>
        <w:t xml:space="preserve">negatif </w:t>
      </w:r>
      <w:r w:rsidR="006B0633" w:rsidRPr="00202302">
        <w:rPr>
          <w:rFonts w:ascii="Palatino Linotype" w:hAnsi="Palatino Linotype" w:cstheme="minorHAnsi"/>
          <w:sz w:val="22"/>
          <w:szCs w:val="22"/>
        </w:rPr>
        <w:t>katkı</w:t>
      </w:r>
      <w:r w:rsidR="00996151" w:rsidRPr="00202302">
        <w:rPr>
          <w:rFonts w:ascii="Palatino Linotype" w:hAnsi="Palatino Linotype" w:cstheme="minorHAnsi"/>
          <w:sz w:val="22"/>
          <w:szCs w:val="22"/>
        </w:rPr>
        <w:t xml:space="preserve"> </w:t>
      </w:r>
      <w:r w:rsidR="009E5241" w:rsidRPr="00202302">
        <w:rPr>
          <w:rFonts w:ascii="Palatino Linotype" w:hAnsi="Palatino Linotype" w:cstheme="minorHAnsi"/>
          <w:sz w:val="22"/>
          <w:szCs w:val="22"/>
        </w:rPr>
        <w:t xml:space="preserve">eksi </w:t>
      </w:r>
      <w:r w:rsidR="00914D26" w:rsidRPr="00202302">
        <w:rPr>
          <w:rFonts w:ascii="Palatino Linotype" w:hAnsi="Palatino Linotype" w:cstheme="minorHAnsi"/>
          <w:sz w:val="22"/>
          <w:szCs w:val="22"/>
        </w:rPr>
        <w:t>5,3</w:t>
      </w:r>
      <w:r w:rsidR="000978C8" w:rsidRPr="00202302">
        <w:rPr>
          <w:rFonts w:ascii="Palatino Linotype" w:hAnsi="Palatino Linotype" w:cstheme="minorHAnsi"/>
          <w:sz w:val="22"/>
          <w:szCs w:val="22"/>
        </w:rPr>
        <w:t xml:space="preserve"> yüzde puan</w:t>
      </w:r>
      <w:r w:rsidR="00914D26" w:rsidRPr="00202302">
        <w:rPr>
          <w:rFonts w:ascii="Palatino Linotype" w:hAnsi="Palatino Linotype" w:cstheme="minorHAnsi"/>
          <w:sz w:val="22"/>
          <w:szCs w:val="22"/>
        </w:rPr>
        <w:t xml:space="preserve"> ile</w:t>
      </w:r>
      <w:r w:rsidR="00830B62" w:rsidRPr="00202302">
        <w:rPr>
          <w:rFonts w:ascii="Palatino Linotype" w:hAnsi="Palatino Linotype" w:cstheme="minorHAnsi"/>
          <w:sz w:val="22"/>
          <w:szCs w:val="22"/>
        </w:rPr>
        <w:t xml:space="preserve"> </w:t>
      </w:r>
      <w:r w:rsidR="009E5241" w:rsidRPr="00202302">
        <w:rPr>
          <w:rFonts w:ascii="Palatino Linotype" w:hAnsi="Palatino Linotype" w:cstheme="minorHAnsi"/>
          <w:sz w:val="22"/>
          <w:szCs w:val="22"/>
        </w:rPr>
        <w:t>özel tüketim</w:t>
      </w:r>
      <w:r w:rsidR="008312F9" w:rsidRPr="00202302">
        <w:rPr>
          <w:rFonts w:ascii="Palatino Linotype" w:hAnsi="Palatino Linotype" w:cstheme="minorHAnsi"/>
          <w:sz w:val="22"/>
          <w:szCs w:val="22"/>
        </w:rPr>
        <w:t xml:space="preserve"> </w:t>
      </w:r>
      <w:r w:rsidR="00830B62" w:rsidRPr="00202302">
        <w:rPr>
          <w:rFonts w:ascii="Palatino Linotype" w:hAnsi="Palatino Linotype" w:cstheme="minorHAnsi"/>
          <w:sz w:val="22"/>
          <w:szCs w:val="22"/>
        </w:rPr>
        <w:t>kalem</w:t>
      </w:r>
      <w:r w:rsidR="00C271FA" w:rsidRPr="00202302">
        <w:rPr>
          <w:rFonts w:ascii="Palatino Linotype" w:hAnsi="Palatino Linotype" w:cstheme="minorHAnsi"/>
          <w:sz w:val="22"/>
          <w:szCs w:val="22"/>
        </w:rPr>
        <w:t>i</w:t>
      </w:r>
      <w:r w:rsidR="00830B62" w:rsidRPr="00202302">
        <w:rPr>
          <w:rFonts w:ascii="Palatino Linotype" w:hAnsi="Palatino Linotype" w:cstheme="minorHAnsi"/>
          <w:sz w:val="22"/>
          <w:szCs w:val="22"/>
        </w:rPr>
        <w:t>nden geldi.</w:t>
      </w:r>
      <w:r w:rsidR="00914D26" w:rsidRPr="00202302">
        <w:rPr>
          <w:rFonts w:ascii="Palatino Linotype" w:hAnsi="Palatino Linotype" w:cstheme="minorHAnsi"/>
          <w:sz w:val="22"/>
          <w:szCs w:val="22"/>
        </w:rPr>
        <w:t xml:space="preserve"> Yatırımlardaki azalma</w:t>
      </w:r>
      <w:r w:rsidR="00F00FB7" w:rsidRPr="00202302">
        <w:rPr>
          <w:rFonts w:ascii="Palatino Linotype" w:hAnsi="Palatino Linotype" w:cstheme="minorHAnsi"/>
          <w:sz w:val="22"/>
          <w:szCs w:val="22"/>
        </w:rPr>
        <w:t>nın katkısı da eksi 3,9 yüzde puana ulaştı</w:t>
      </w:r>
      <w:r w:rsidR="00A322AA" w:rsidRPr="00202302">
        <w:rPr>
          <w:rFonts w:ascii="Palatino Linotype" w:hAnsi="Palatino Linotype" w:cstheme="minorHAnsi"/>
          <w:sz w:val="22"/>
          <w:szCs w:val="22"/>
        </w:rPr>
        <w:t xml:space="preserve">. Mali disiplinde ısrar politikası ile kamu </w:t>
      </w:r>
      <w:r w:rsidR="00927D28" w:rsidRPr="00202302">
        <w:rPr>
          <w:rFonts w:ascii="Palatino Linotype" w:hAnsi="Palatino Linotype" w:cstheme="minorHAnsi"/>
          <w:sz w:val="22"/>
          <w:szCs w:val="22"/>
        </w:rPr>
        <w:t xml:space="preserve">tüketiminin katkısı sıfır civarında kaldı. Buna karşılık </w:t>
      </w:r>
      <w:proofErr w:type="gramStart"/>
      <w:r w:rsidR="00927D28" w:rsidRPr="00202302">
        <w:rPr>
          <w:rFonts w:ascii="Palatino Linotype" w:hAnsi="Palatino Linotype" w:cstheme="minorHAnsi"/>
          <w:sz w:val="22"/>
          <w:szCs w:val="22"/>
        </w:rPr>
        <w:t>yegane</w:t>
      </w:r>
      <w:proofErr w:type="gramEnd"/>
      <w:r w:rsidR="00927D28" w:rsidRPr="00202302">
        <w:rPr>
          <w:rFonts w:ascii="Palatino Linotype" w:hAnsi="Palatino Linotype" w:cstheme="minorHAnsi"/>
          <w:sz w:val="22"/>
          <w:szCs w:val="22"/>
        </w:rPr>
        <w:t xml:space="preserve"> pozitif katkı net ihracattan geldi. İhracatın katkısı 2,4 yüzde puan olurken, ithalattaki sert düşü sonucu ithalat katkısı 7,3 yüzde puana yükseldi. Böylece net ihracat katkısı 8,2 yüzde puandan dördüncü </w:t>
      </w:r>
      <w:r w:rsidR="003B2D0B" w:rsidRPr="00202302">
        <w:rPr>
          <w:rFonts w:ascii="Palatino Linotype" w:hAnsi="Palatino Linotype" w:cstheme="minorHAnsi"/>
          <w:sz w:val="22"/>
          <w:szCs w:val="22"/>
        </w:rPr>
        <w:t>çeyrekte 9,7 yüzde puana yüksel</w:t>
      </w:r>
      <w:r w:rsidR="00927D28" w:rsidRPr="00202302">
        <w:rPr>
          <w:rFonts w:ascii="Palatino Linotype" w:hAnsi="Palatino Linotype" w:cstheme="minorHAnsi"/>
          <w:sz w:val="22"/>
          <w:szCs w:val="22"/>
        </w:rPr>
        <w:t xml:space="preserve">di.  </w:t>
      </w:r>
      <w:r w:rsidR="001D420E" w:rsidRPr="00202302">
        <w:rPr>
          <w:rFonts w:ascii="Palatino Linotype" w:hAnsi="Palatino Linotype" w:cstheme="minorHAnsi"/>
          <w:sz w:val="22"/>
          <w:szCs w:val="22"/>
        </w:rPr>
        <w:t>2018 yılı büyüme oranı ise yüzde</w:t>
      </w:r>
      <w:r w:rsidR="00720250" w:rsidRPr="00202302">
        <w:rPr>
          <w:rFonts w:ascii="Palatino Linotype" w:hAnsi="Palatino Linotype" w:cstheme="minorHAnsi"/>
          <w:sz w:val="22"/>
          <w:szCs w:val="22"/>
        </w:rPr>
        <w:t xml:space="preserve"> 2,</w:t>
      </w:r>
      <w:r w:rsidR="003B2008" w:rsidRPr="00202302">
        <w:rPr>
          <w:rFonts w:ascii="Palatino Linotype" w:hAnsi="Palatino Linotype" w:cstheme="minorHAnsi"/>
          <w:sz w:val="22"/>
          <w:szCs w:val="22"/>
        </w:rPr>
        <w:t xml:space="preserve">6 </w:t>
      </w:r>
      <w:r w:rsidR="001D420E" w:rsidRPr="00202302">
        <w:rPr>
          <w:rFonts w:ascii="Palatino Linotype" w:hAnsi="Palatino Linotype" w:cstheme="minorHAnsi"/>
          <w:sz w:val="22"/>
          <w:szCs w:val="22"/>
        </w:rPr>
        <w:t xml:space="preserve">olarak açıklanmıştır. </w:t>
      </w:r>
      <w:r w:rsidR="007A0DBE" w:rsidRPr="00202302">
        <w:rPr>
          <w:rFonts w:ascii="Palatino Linotype" w:hAnsi="Palatino Linotype" w:cstheme="minorHAnsi"/>
          <w:sz w:val="22"/>
          <w:szCs w:val="22"/>
        </w:rPr>
        <w:t xml:space="preserve">Yeni Ekonomi Programı’nda öngörülen </w:t>
      </w:r>
      <w:r w:rsidR="001D420E" w:rsidRPr="00202302">
        <w:rPr>
          <w:rFonts w:ascii="Palatino Linotype" w:hAnsi="Palatino Linotype" w:cstheme="minorHAnsi"/>
          <w:sz w:val="22"/>
          <w:szCs w:val="22"/>
        </w:rPr>
        <w:t>yılsonu</w:t>
      </w:r>
      <w:r w:rsidR="007A0DBE" w:rsidRPr="00202302">
        <w:rPr>
          <w:rFonts w:ascii="Palatino Linotype" w:hAnsi="Palatino Linotype" w:cstheme="minorHAnsi"/>
          <w:sz w:val="22"/>
          <w:szCs w:val="22"/>
        </w:rPr>
        <w:t xml:space="preserve"> yüzde </w:t>
      </w:r>
      <w:r w:rsidR="00945950" w:rsidRPr="00202302">
        <w:rPr>
          <w:rFonts w:ascii="Palatino Linotype" w:hAnsi="Palatino Linotype" w:cstheme="minorHAnsi"/>
          <w:sz w:val="22"/>
          <w:szCs w:val="22"/>
        </w:rPr>
        <w:t>3,8</w:t>
      </w:r>
      <w:r w:rsidR="007A0DBE" w:rsidRPr="00202302">
        <w:rPr>
          <w:rFonts w:ascii="Palatino Linotype" w:hAnsi="Palatino Linotype" w:cstheme="minorHAnsi"/>
          <w:sz w:val="22"/>
          <w:szCs w:val="22"/>
        </w:rPr>
        <w:t xml:space="preserve"> </w:t>
      </w:r>
      <w:r w:rsidR="003B2008" w:rsidRPr="00202302">
        <w:rPr>
          <w:rFonts w:ascii="Palatino Linotype" w:hAnsi="Palatino Linotype" w:cstheme="minorHAnsi"/>
          <w:sz w:val="22"/>
          <w:szCs w:val="22"/>
        </w:rPr>
        <w:t>oranındaki</w:t>
      </w:r>
      <w:r w:rsidR="00BC1EF8" w:rsidRPr="00202302">
        <w:rPr>
          <w:rFonts w:ascii="Palatino Linotype" w:hAnsi="Palatino Linotype" w:cstheme="minorHAnsi"/>
          <w:sz w:val="22"/>
          <w:szCs w:val="22"/>
        </w:rPr>
        <w:t xml:space="preserve"> </w:t>
      </w:r>
      <w:r w:rsidR="00751F72" w:rsidRPr="00202302">
        <w:rPr>
          <w:rFonts w:ascii="Palatino Linotype" w:hAnsi="Palatino Linotype" w:cstheme="minorHAnsi"/>
          <w:sz w:val="22"/>
          <w:szCs w:val="22"/>
        </w:rPr>
        <w:t xml:space="preserve">büyüme </w:t>
      </w:r>
      <w:r w:rsidR="007A0DBE" w:rsidRPr="00202302">
        <w:rPr>
          <w:rFonts w:ascii="Palatino Linotype" w:hAnsi="Palatino Linotype" w:cstheme="minorHAnsi"/>
          <w:sz w:val="22"/>
          <w:szCs w:val="22"/>
        </w:rPr>
        <w:t>hedefi</w:t>
      </w:r>
      <w:r w:rsidR="00720250" w:rsidRPr="00202302">
        <w:rPr>
          <w:rFonts w:ascii="Palatino Linotype" w:hAnsi="Palatino Linotype" w:cstheme="minorHAnsi"/>
          <w:sz w:val="22"/>
          <w:szCs w:val="22"/>
        </w:rPr>
        <w:t xml:space="preserve"> tutturulamamıştır</w:t>
      </w:r>
      <w:r w:rsidR="00870A3F" w:rsidRPr="00202302">
        <w:rPr>
          <w:rFonts w:ascii="Palatino Linotype" w:hAnsi="Palatino Linotype" w:cstheme="minorHAnsi"/>
          <w:sz w:val="22"/>
          <w:szCs w:val="22"/>
        </w:rPr>
        <w:t>.</w:t>
      </w:r>
      <w:r w:rsidR="00720250" w:rsidRPr="00202302">
        <w:rPr>
          <w:rFonts w:ascii="Palatino Linotype" w:hAnsi="Palatino Linotype" w:cstheme="minorHAnsi"/>
          <w:sz w:val="22"/>
          <w:szCs w:val="22"/>
        </w:rPr>
        <w:t xml:space="preserve"> </w:t>
      </w:r>
    </w:p>
    <w:p w:rsidR="00062A8A" w:rsidRDefault="00062A8A" w:rsidP="00062A8A">
      <w:pPr>
        <w:spacing w:line="360" w:lineRule="auto"/>
        <w:ind w:right="567"/>
        <w:jc w:val="both"/>
        <w:rPr>
          <w:rFonts w:ascii="Palatino Linotype" w:hAnsi="Palatino Linotype" w:cstheme="minorHAnsi"/>
          <w:b/>
          <w:sz w:val="22"/>
          <w:szCs w:val="22"/>
        </w:rPr>
      </w:pPr>
    </w:p>
    <w:p w:rsidR="00C73CC1" w:rsidRPr="00C73CC1" w:rsidRDefault="00C73CC1" w:rsidP="00062A8A">
      <w:pPr>
        <w:spacing w:line="360" w:lineRule="auto"/>
        <w:ind w:right="567"/>
        <w:jc w:val="both"/>
        <w:rPr>
          <w:rFonts w:ascii="Palatino Linotype" w:hAnsi="Palatino Linotype" w:cstheme="minorHAnsi"/>
          <w:b/>
          <w:sz w:val="22"/>
          <w:szCs w:val="22"/>
        </w:rPr>
      </w:pPr>
      <w:r w:rsidRPr="00C73CC1">
        <w:rPr>
          <w:rFonts w:ascii="Palatino Linotype" w:hAnsi="Palatino Linotype" w:cstheme="minorHAnsi"/>
          <w:b/>
          <w:sz w:val="22"/>
          <w:szCs w:val="22"/>
        </w:rPr>
        <w:t xml:space="preserve">Dördüncü çeyrekte </w:t>
      </w:r>
      <w:proofErr w:type="gramStart"/>
      <w:r w:rsidRPr="00C73CC1">
        <w:rPr>
          <w:rFonts w:ascii="Palatino Linotype" w:hAnsi="Palatino Linotype" w:cstheme="minorHAnsi"/>
          <w:b/>
          <w:sz w:val="22"/>
          <w:szCs w:val="22"/>
        </w:rPr>
        <w:t>resesyon</w:t>
      </w:r>
      <w:proofErr w:type="gramEnd"/>
    </w:p>
    <w:p w:rsidR="00C73CC1" w:rsidRPr="00062A8A" w:rsidRDefault="00C73CC1" w:rsidP="00062A8A">
      <w:pPr>
        <w:spacing w:line="360" w:lineRule="auto"/>
        <w:ind w:right="567"/>
        <w:jc w:val="both"/>
        <w:rPr>
          <w:rFonts w:ascii="Palatino Linotype" w:hAnsi="Palatino Linotype" w:cstheme="minorHAnsi"/>
          <w:sz w:val="22"/>
          <w:szCs w:val="22"/>
        </w:rPr>
      </w:pPr>
      <w:r w:rsidRPr="00C73CC1">
        <w:rPr>
          <w:rFonts w:ascii="Palatino Linotype" w:hAnsi="Palatino Linotype" w:cstheme="minorHAnsi"/>
          <w:sz w:val="22"/>
          <w:szCs w:val="22"/>
        </w:rPr>
        <w:t xml:space="preserve">2018 yılının dördüncü çeyreğinde Gayri Safi Yurtiçi </w:t>
      </w:r>
      <w:proofErr w:type="gramStart"/>
      <w:r w:rsidRPr="00C73CC1">
        <w:rPr>
          <w:rFonts w:ascii="Palatino Linotype" w:hAnsi="Palatino Linotype" w:cstheme="minorHAnsi"/>
          <w:sz w:val="22"/>
          <w:szCs w:val="22"/>
        </w:rPr>
        <w:t>Hasıla</w:t>
      </w:r>
      <w:proofErr w:type="gramEnd"/>
      <w:r w:rsidRPr="00C73CC1">
        <w:rPr>
          <w:rFonts w:ascii="Palatino Linotype" w:hAnsi="Palatino Linotype" w:cstheme="minorHAnsi"/>
          <w:sz w:val="22"/>
          <w:szCs w:val="22"/>
        </w:rPr>
        <w:t xml:space="preserve"> (GSYH) mevsim ve takvim etkilerinden arındırılmış rakamlarla bir önceki çeyreğe kıyasla yüzde 2,4 </w:t>
      </w:r>
      <w:r>
        <w:rPr>
          <w:rFonts w:ascii="Palatino Linotype" w:hAnsi="Palatino Linotype" w:cstheme="minorHAnsi"/>
          <w:sz w:val="22"/>
          <w:szCs w:val="22"/>
        </w:rPr>
        <w:t xml:space="preserve">oranında azaldı. Üçüncü çeyrekteki </w:t>
      </w:r>
      <w:r w:rsidR="005B35F3">
        <w:rPr>
          <w:rFonts w:ascii="Palatino Linotype" w:hAnsi="Palatino Linotype" w:cstheme="minorHAnsi"/>
          <w:sz w:val="22"/>
          <w:szCs w:val="22"/>
        </w:rPr>
        <w:t xml:space="preserve">yüzde – 1,1’lik </w:t>
      </w:r>
      <w:r>
        <w:rPr>
          <w:rFonts w:ascii="Palatino Linotype" w:hAnsi="Palatino Linotype" w:cstheme="minorHAnsi"/>
          <w:sz w:val="22"/>
          <w:szCs w:val="22"/>
        </w:rPr>
        <w:t>daralma da TÜİK tarafından yüzde - 1,6 olarak revize edildi. Böylece iki çeyrek üst üste daralan Türkiye ekonomisi</w:t>
      </w:r>
      <w:r w:rsidR="005B35F3">
        <w:rPr>
          <w:rFonts w:ascii="Palatino Linotype" w:hAnsi="Palatino Linotype" w:cstheme="minorHAnsi"/>
          <w:sz w:val="22"/>
          <w:szCs w:val="22"/>
        </w:rPr>
        <w:t>nin</w:t>
      </w:r>
      <w:r>
        <w:rPr>
          <w:rFonts w:ascii="Palatino Linotype" w:hAnsi="Palatino Linotype" w:cstheme="minorHAnsi"/>
          <w:sz w:val="22"/>
          <w:szCs w:val="22"/>
        </w:rPr>
        <w:t xml:space="preserve"> </w:t>
      </w:r>
      <w:proofErr w:type="gramStart"/>
      <w:r>
        <w:rPr>
          <w:rFonts w:ascii="Palatino Linotype" w:hAnsi="Palatino Linotype" w:cstheme="minorHAnsi"/>
          <w:sz w:val="22"/>
          <w:szCs w:val="22"/>
        </w:rPr>
        <w:t>resesyona</w:t>
      </w:r>
      <w:proofErr w:type="gramEnd"/>
      <w:r>
        <w:rPr>
          <w:rFonts w:ascii="Palatino Linotype" w:hAnsi="Palatino Linotype" w:cstheme="minorHAnsi"/>
          <w:sz w:val="22"/>
          <w:szCs w:val="22"/>
        </w:rPr>
        <w:t xml:space="preserve"> girmiş olduğu tescil edildi. Yıllık</w:t>
      </w:r>
      <w:r w:rsidR="005B35F3">
        <w:rPr>
          <w:rFonts w:ascii="Palatino Linotype" w:hAnsi="Palatino Linotype" w:cstheme="minorHAnsi"/>
          <w:sz w:val="22"/>
          <w:szCs w:val="22"/>
        </w:rPr>
        <w:t xml:space="preserve"> </w:t>
      </w:r>
      <w:proofErr w:type="gramStart"/>
      <w:r w:rsidR="005B35F3">
        <w:rPr>
          <w:rFonts w:ascii="Palatino Linotype" w:hAnsi="Palatino Linotype" w:cstheme="minorHAnsi"/>
          <w:sz w:val="22"/>
          <w:szCs w:val="22"/>
        </w:rPr>
        <w:t>bazda</w:t>
      </w:r>
      <w:proofErr w:type="gramEnd"/>
      <w:r w:rsidR="005B35F3">
        <w:rPr>
          <w:rFonts w:ascii="Palatino Linotype" w:hAnsi="Palatino Linotype" w:cstheme="minorHAnsi"/>
          <w:sz w:val="22"/>
          <w:szCs w:val="22"/>
        </w:rPr>
        <w:t xml:space="preserve"> ise GSYH 2017’nin son üç ayına kıyasla yüzde 3 azalış sergiledi</w:t>
      </w:r>
      <w:r w:rsidR="00073415">
        <w:rPr>
          <w:rFonts w:ascii="Palatino Linotype" w:hAnsi="Palatino Linotype" w:cstheme="minorHAnsi"/>
          <w:sz w:val="22"/>
          <w:szCs w:val="22"/>
        </w:rPr>
        <w:t xml:space="preserve"> (Şeki</w:t>
      </w:r>
      <w:r w:rsidR="00FD35CE">
        <w:rPr>
          <w:rFonts w:ascii="Palatino Linotype" w:hAnsi="Palatino Linotype" w:cstheme="minorHAnsi"/>
          <w:sz w:val="22"/>
          <w:szCs w:val="22"/>
        </w:rPr>
        <w:t>l</w:t>
      </w:r>
      <w:r w:rsidR="00073415">
        <w:rPr>
          <w:rFonts w:ascii="Palatino Linotype" w:hAnsi="Palatino Linotype" w:cstheme="minorHAnsi"/>
          <w:sz w:val="22"/>
          <w:szCs w:val="22"/>
        </w:rPr>
        <w:t xml:space="preserve"> </w:t>
      </w:r>
      <w:r w:rsidR="00FD35CE">
        <w:rPr>
          <w:rFonts w:ascii="Palatino Linotype" w:hAnsi="Palatino Linotype" w:cstheme="minorHAnsi"/>
          <w:sz w:val="22"/>
          <w:szCs w:val="22"/>
        </w:rPr>
        <w:t>1)</w:t>
      </w:r>
      <w:r w:rsidR="005B35F3">
        <w:rPr>
          <w:rFonts w:ascii="Palatino Linotype" w:hAnsi="Palatino Linotype" w:cstheme="minorHAnsi"/>
          <w:sz w:val="22"/>
          <w:szCs w:val="22"/>
        </w:rPr>
        <w:t xml:space="preserve">. Bir önceki çeyrekte yıllık büyüme de yüzde 1,6’dan yüzde 1,8’e revize edildi. Yatırım </w:t>
      </w:r>
      <w:r w:rsidR="00FD35CE">
        <w:rPr>
          <w:rFonts w:ascii="Palatino Linotype" w:hAnsi="Palatino Linotype" w:cstheme="minorHAnsi"/>
          <w:sz w:val="22"/>
          <w:szCs w:val="22"/>
        </w:rPr>
        <w:t xml:space="preserve">hariç iç talebin diğer unusrları henüz artıdaydı. Ancak dördüncü </w:t>
      </w:r>
      <w:r w:rsidR="00FD35CE">
        <w:rPr>
          <w:rFonts w:ascii="Palatino Linotype" w:hAnsi="Palatino Linotype" w:cstheme="minorHAnsi"/>
          <w:sz w:val="22"/>
          <w:szCs w:val="22"/>
        </w:rPr>
        <w:lastRenderedPageBreak/>
        <w:t>çeyrekte tüm iç talep unsurlarında büyük bir azalma gözlemleniyor.</w:t>
      </w:r>
      <w:r w:rsidR="006F5E82">
        <w:rPr>
          <w:rFonts w:ascii="Palatino Linotype" w:hAnsi="Palatino Linotype" w:cstheme="minorHAnsi"/>
          <w:sz w:val="22"/>
          <w:szCs w:val="22"/>
        </w:rPr>
        <w:t xml:space="preserve"> Bu gelişmelerin sonucunda 2018 yılı ekonomik büyüme oranı yüzde 2,6 olarak açıklandı. Sonbaharda açıklanan Yeni Ekonomi Programında (YEP) 2018 büyümesi yüzde 3,8 olarak tahmin edilmişti. </w:t>
      </w:r>
    </w:p>
    <w:p w:rsidR="00E57043" w:rsidRPr="0050008F" w:rsidRDefault="00E57043" w:rsidP="00E85F3F">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Şekil</w:t>
      </w:r>
      <w:r w:rsidR="00D53424" w:rsidRPr="0050008F">
        <w:rPr>
          <w:rFonts w:ascii="Palatino Linotype" w:hAnsi="Palatino Linotype" w:cstheme="minorHAnsi"/>
          <w:b/>
          <w:bCs/>
          <w:sz w:val="22"/>
          <w:szCs w:val="22"/>
        </w:rPr>
        <w:t xml:space="preserve"> 1: GSYH alt kalemlerinin 201</w:t>
      </w:r>
      <w:r w:rsidR="0025111C" w:rsidRPr="0050008F">
        <w:rPr>
          <w:rFonts w:ascii="Palatino Linotype" w:hAnsi="Palatino Linotype" w:cstheme="minorHAnsi"/>
          <w:b/>
          <w:bCs/>
          <w:sz w:val="22"/>
          <w:szCs w:val="22"/>
        </w:rPr>
        <w:t>8</w:t>
      </w:r>
      <w:r w:rsidR="00D53424" w:rsidRPr="0050008F">
        <w:rPr>
          <w:rFonts w:ascii="Palatino Linotype" w:hAnsi="Palatino Linotype" w:cstheme="minorHAnsi"/>
          <w:b/>
          <w:bCs/>
          <w:sz w:val="22"/>
          <w:szCs w:val="22"/>
        </w:rPr>
        <w:t xml:space="preserve"> </w:t>
      </w:r>
      <w:r w:rsidR="0067693E">
        <w:rPr>
          <w:rFonts w:ascii="Palatino Linotype" w:hAnsi="Palatino Linotype" w:cstheme="minorHAnsi"/>
          <w:b/>
          <w:bCs/>
          <w:sz w:val="22"/>
          <w:szCs w:val="22"/>
        </w:rPr>
        <w:t>4</w:t>
      </w:r>
      <w:r w:rsidRPr="0050008F">
        <w:rPr>
          <w:rFonts w:ascii="Palatino Linotype" w:hAnsi="Palatino Linotype" w:cstheme="minorHAnsi"/>
          <w:b/>
          <w:bCs/>
          <w:sz w:val="22"/>
          <w:szCs w:val="22"/>
        </w:rPr>
        <w:t xml:space="preserve">. çeyrekte bir önceki yılın aynı çeyreğine göre </w:t>
      </w:r>
      <w:r w:rsidR="001A42FF" w:rsidRPr="0050008F">
        <w:rPr>
          <w:rFonts w:ascii="Palatino Linotype" w:hAnsi="Palatino Linotype" w:cstheme="minorHAnsi"/>
          <w:b/>
          <w:bCs/>
          <w:sz w:val="22"/>
          <w:szCs w:val="22"/>
        </w:rPr>
        <w:t xml:space="preserve">büyümeye katkıları (sol şekil) ve </w:t>
      </w:r>
      <w:r w:rsidRPr="0050008F">
        <w:rPr>
          <w:rFonts w:ascii="Palatino Linotype" w:hAnsi="Palatino Linotype" w:cstheme="minorHAnsi"/>
          <w:b/>
          <w:bCs/>
          <w:sz w:val="22"/>
          <w:szCs w:val="22"/>
        </w:rPr>
        <w:t xml:space="preserve">büyüme oranları </w:t>
      </w:r>
      <w:r w:rsidR="006C3EE6" w:rsidRPr="0050008F">
        <w:rPr>
          <w:rFonts w:ascii="Palatino Linotype" w:hAnsi="Palatino Linotype" w:cstheme="minorHAnsi"/>
          <w:b/>
          <w:bCs/>
          <w:sz w:val="22"/>
          <w:szCs w:val="22"/>
        </w:rPr>
        <w:t>(s</w:t>
      </w:r>
      <w:r w:rsidR="00D4574F" w:rsidRPr="0050008F">
        <w:rPr>
          <w:rFonts w:ascii="Palatino Linotype" w:hAnsi="Palatino Linotype" w:cstheme="minorHAnsi"/>
          <w:b/>
          <w:bCs/>
          <w:sz w:val="22"/>
          <w:szCs w:val="22"/>
        </w:rPr>
        <w:t>ağ</w:t>
      </w:r>
      <w:r w:rsidR="001A080D" w:rsidRPr="0050008F">
        <w:rPr>
          <w:rFonts w:ascii="Palatino Linotype" w:hAnsi="Palatino Linotype" w:cstheme="minorHAnsi"/>
          <w:b/>
          <w:bCs/>
          <w:sz w:val="22"/>
          <w:szCs w:val="22"/>
        </w:rPr>
        <w:t xml:space="preserve"> </w:t>
      </w:r>
      <w:r w:rsidR="00CB3462" w:rsidRPr="0050008F">
        <w:rPr>
          <w:rFonts w:ascii="Palatino Linotype" w:hAnsi="Palatino Linotype" w:cstheme="minorHAnsi"/>
          <w:b/>
          <w:bCs/>
          <w:sz w:val="22"/>
          <w:szCs w:val="22"/>
        </w:rPr>
        <w:t>şekil</w:t>
      </w:r>
      <w:r w:rsidR="006C3EE6" w:rsidRPr="0050008F">
        <w:rPr>
          <w:rFonts w:ascii="Palatino Linotype" w:hAnsi="Palatino Linotype" w:cstheme="minorHAnsi"/>
          <w:b/>
          <w:bCs/>
          <w:sz w:val="22"/>
          <w:szCs w:val="22"/>
        </w:rPr>
        <w:t xml:space="preserve">) </w:t>
      </w:r>
    </w:p>
    <w:p w:rsidR="00D07713" w:rsidRPr="0050008F" w:rsidRDefault="00D07713" w:rsidP="00E85F3F">
      <w:pPr>
        <w:keepNext/>
        <w:rPr>
          <w:rFonts w:ascii="Palatino Linotype" w:hAnsi="Palatino Linotype" w:cstheme="minorHAnsi"/>
        </w:rPr>
      </w:pPr>
    </w:p>
    <w:p w:rsidR="00D07713" w:rsidRPr="0050008F" w:rsidRDefault="003A4C32" w:rsidP="00544773">
      <w:pPr>
        <w:keepNext/>
        <w:ind w:left="-567" w:right="-567"/>
        <w:jc w:val="center"/>
        <w:rPr>
          <w:rFonts w:ascii="Palatino Linotype" w:hAnsi="Palatino Linotype" w:cstheme="minorHAnsi"/>
        </w:rPr>
      </w:pPr>
      <w:r>
        <w:rPr>
          <w:noProof/>
          <w:lang w:val="en-GB" w:eastAsia="en-GB"/>
        </w:rPr>
        <w:drawing>
          <wp:inline distT="0" distB="0" distL="0" distR="0" wp14:anchorId="5299B5CF" wp14:editId="7D412010">
            <wp:extent cx="3314700" cy="2292350"/>
            <wp:effectExtent l="0" t="0" r="0" b="12700"/>
            <wp:docPr id="3" name="Chart 3">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n-GB" w:eastAsia="en-GB"/>
        </w:rPr>
        <w:drawing>
          <wp:inline distT="0" distB="0" distL="0" distR="0" wp14:anchorId="3AA60A2A" wp14:editId="0E3E79CF">
            <wp:extent cx="3114675" cy="2295525"/>
            <wp:effectExtent l="0" t="0" r="9525" b="9525"/>
            <wp:docPr id="4" name="Chart 4">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50008F" w:rsidRDefault="001C2C68" w:rsidP="001C2C68">
      <w:pPr>
        <w:keepNext/>
        <w:rPr>
          <w:rFonts w:ascii="Palatino Linotype" w:hAnsi="Palatino Linotype" w:cstheme="minorHAnsi"/>
        </w:rPr>
      </w:pPr>
    </w:p>
    <w:p w:rsidR="006F615A" w:rsidRPr="00062A8A" w:rsidRDefault="004931A5" w:rsidP="00062A8A">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rsidR="00062A8A" w:rsidRDefault="00062A8A" w:rsidP="006C3EE6">
      <w:pPr>
        <w:pStyle w:val="NormalWeb"/>
        <w:spacing w:before="0" w:beforeAutospacing="0" w:after="0" w:afterAutospacing="0" w:line="360" w:lineRule="auto"/>
        <w:ind w:right="77"/>
        <w:rPr>
          <w:rFonts w:ascii="Palatino Linotype" w:hAnsi="Palatino Linotype" w:cstheme="minorHAnsi"/>
          <w:b/>
          <w:bCs/>
          <w:sz w:val="22"/>
          <w:szCs w:val="22"/>
        </w:rPr>
      </w:pPr>
    </w:p>
    <w:p w:rsidR="006C3EE6" w:rsidRPr="004B6E0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020BC">
        <w:rPr>
          <w:rFonts w:ascii="Palatino Linotype" w:hAnsi="Palatino Linotype" w:cstheme="minorHAnsi"/>
          <w:b/>
          <w:bCs/>
          <w:sz w:val="22"/>
          <w:szCs w:val="22"/>
        </w:rPr>
        <w:t>Özel</w:t>
      </w:r>
      <w:r w:rsidR="00C11B5A" w:rsidRPr="005020BC">
        <w:rPr>
          <w:rFonts w:ascii="Palatino Linotype" w:hAnsi="Palatino Linotype" w:cstheme="minorHAnsi"/>
          <w:b/>
          <w:bCs/>
          <w:sz w:val="22"/>
          <w:szCs w:val="22"/>
        </w:rPr>
        <w:t xml:space="preserve"> t</w:t>
      </w:r>
      <w:r w:rsidR="0058588C" w:rsidRPr="005020BC">
        <w:rPr>
          <w:rFonts w:ascii="Palatino Linotype" w:hAnsi="Palatino Linotype" w:cstheme="minorHAnsi"/>
          <w:b/>
          <w:bCs/>
          <w:sz w:val="22"/>
          <w:szCs w:val="22"/>
        </w:rPr>
        <w:t>üketimde</w:t>
      </w:r>
      <w:r w:rsidR="00073415">
        <w:rPr>
          <w:rFonts w:ascii="Palatino Linotype" w:hAnsi="Palatino Linotype" w:cstheme="minorHAnsi"/>
          <w:b/>
          <w:bCs/>
          <w:sz w:val="22"/>
          <w:szCs w:val="22"/>
        </w:rPr>
        <w:t xml:space="preserve"> sert düşüş</w:t>
      </w:r>
      <w:r w:rsidR="00DF44DE" w:rsidRPr="004B6E05">
        <w:rPr>
          <w:rFonts w:ascii="Palatino Linotype" w:hAnsi="Palatino Linotype" w:cstheme="minorHAnsi"/>
          <w:b/>
          <w:bCs/>
          <w:color w:val="FF0000"/>
          <w:sz w:val="22"/>
          <w:szCs w:val="22"/>
        </w:rPr>
        <w:tab/>
      </w:r>
    </w:p>
    <w:p w:rsidR="00C126FC" w:rsidRPr="00062A8A" w:rsidRDefault="00A310EA" w:rsidP="00062A8A">
      <w:pPr>
        <w:pStyle w:val="NormalWeb"/>
        <w:spacing w:before="0" w:beforeAutospacing="0" w:after="0" w:afterAutospacing="0" w:line="360" w:lineRule="auto"/>
        <w:ind w:right="77"/>
        <w:jc w:val="both"/>
        <w:rPr>
          <w:rFonts w:ascii="Palatino Linotype" w:hAnsi="Palatino Linotype" w:cstheme="minorHAnsi"/>
          <w:sz w:val="22"/>
          <w:szCs w:val="22"/>
        </w:rPr>
      </w:pPr>
      <w:r w:rsidRPr="00FD7B4A">
        <w:rPr>
          <w:rFonts w:ascii="Palatino Linotype" w:hAnsi="Palatino Linotype" w:cstheme="minorHAnsi"/>
          <w:sz w:val="22"/>
          <w:szCs w:val="22"/>
        </w:rPr>
        <w:t xml:space="preserve">Geçen yılın aynı çeyreğine göre </w:t>
      </w:r>
      <w:r w:rsidR="00A0130D">
        <w:rPr>
          <w:rFonts w:ascii="Palatino Linotype" w:hAnsi="Palatino Linotype" w:cstheme="minorHAnsi"/>
          <w:sz w:val="22"/>
          <w:szCs w:val="22"/>
        </w:rPr>
        <w:t>üçüncü</w:t>
      </w:r>
      <w:r w:rsidRPr="00FD7B4A">
        <w:rPr>
          <w:rFonts w:ascii="Palatino Linotype" w:hAnsi="Palatino Linotype" w:cstheme="minorHAnsi"/>
          <w:sz w:val="22"/>
          <w:szCs w:val="22"/>
        </w:rPr>
        <w:t xml:space="preserve"> çeyrekte </w:t>
      </w:r>
      <w:r w:rsidR="0067693E">
        <w:rPr>
          <w:rFonts w:ascii="Palatino Linotype" w:hAnsi="Palatino Linotype" w:cstheme="minorHAnsi"/>
          <w:sz w:val="22"/>
          <w:szCs w:val="22"/>
        </w:rPr>
        <w:t>durağanlaşıp yüzde 0,8</w:t>
      </w:r>
      <w:r w:rsidRPr="00FD7B4A">
        <w:rPr>
          <w:rFonts w:ascii="Palatino Linotype" w:hAnsi="Palatino Linotype" w:cstheme="minorHAnsi"/>
          <w:sz w:val="22"/>
          <w:szCs w:val="22"/>
        </w:rPr>
        <w:t xml:space="preserve"> büyüyen özel tüketim </w:t>
      </w:r>
      <w:r w:rsidR="00DD2D75" w:rsidRPr="00FD7B4A">
        <w:rPr>
          <w:rFonts w:ascii="Palatino Linotype" w:hAnsi="Palatino Linotype" w:cstheme="minorHAnsi"/>
          <w:sz w:val="22"/>
          <w:szCs w:val="22"/>
        </w:rPr>
        <w:t>üçüncü</w:t>
      </w:r>
      <w:r w:rsidR="0067693E">
        <w:rPr>
          <w:rFonts w:ascii="Palatino Linotype" w:hAnsi="Palatino Linotype" w:cstheme="minorHAnsi"/>
          <w:sz w:val="22"/>
          <w:szCs w:val="22"/>
        </w:rPr>
        <w:t xml:space="preserve"> çeyrekte yüzde 8,9 küçüldü</w:t>
      </w:r>
      <w:r w:rsidR="007F3C9B" w:rsidRPr="00FD7B4A">
        <w:rPr>
          <w:rFonts w:ascii="Palatino Linotype" w:hAnsi="Palatino Linotype" w:cstheme="minorHAnsi"/>
          <w:sz w:val="22"/>
          <w:szCs w:val="22"/>
        </w:rPr>
        <w:t xml:space="preserve">. </w:t>
      </w:r>
      <w:bookmarkStart w:id="0" w:name="OLE_LINK3"/>
      <w:bookmarkStart w:id="1" w:name="OLE_LINK4"/>
      <w:r w:rsidR="00080211" w:rsidRPr="00FD7B4A">
        <w:rPr>
          <w:rFonts w:ascii="Palatino Linotype" w:hAnsi="Palatino Linotype" w:cstheme="minorHAnsi"/>
          <w:sz w:val="22"/>
          <w:szCs w:val="22"/>
        </w:rPr>
        <w:t xml:space="preserve">Büyümeye yaptığı katkı </w:t>
      </w:r>
      <w:r w:rsidR="0067693E">
        <w:rPr>
          <w:rFonts w:ascii="Palatino Linotype" w:hAnsi="Palatino Linotype" w:cstheme="minorHAnsi"/>
          <w:sz w:val="22"/>
          <w:szCs w:val="22"/>
        </w:rPr>
        <w:t>0,5</w:t>
      </w:r>
      <w:r w:rsidR="00143F17" w:rsidRPr="00FD7B4A">
        <w:rPr>
          <w:rFonts w:ascii="Palatino Linotype" w:hAnsi="Palatino Linotype" w:cstheme="minorHAnsi"/>
          <w:sz w:val="22"/>
          <w:szCs w:val="22"/>
        </w:rPr>
        <w:t xml:space="preserve"> yüzde puandan</w:t>
      </w:r>
      <w:r w:rsidR="00080211" w:rsidRPr="00FD7B4A">
        <w:rPr>
          <w:rFonts w:ascii="Palatino Linotype" w:hAnsi="Palatino Linotype" w:cstheme="minorHAnsi"/>
          <w:sz w:val="22"/>
          <w:szCs w:val="22"/>
        </w:rPr>
        <w:t xml:space="preserve"> </w:t>
      </w:r>
      <w:r w:rsidR="0067693E">
        <w:rPr>
          <w:rFonts w:ascii="Palatino Linotype" w:hAnsi="Palatino Linotype" w:cstheme="minorHAnsi"/>
          <w:sz w:val="22"/>
          <w:szCs w:val="22"/>
        </w:rPr>
        <w:t>eksi 5,3</w:t>
      </w:r>
      <w:r w:rsidR="00143F17" w:rsidRPr="00FD7B4A">
        <w:rPr>
          <w:rFonts w:ascii="Palatino Linotype" w:hAnsi="Palatino Linotype" w:cstheme="minorHAnsi"/>
          <w:sz w:val="22"/>
          <w:szCs w:val="22"/>
        </w:rPr>
        <w:t xml:space="preserve"> yüzde puana</w:t>
      </w:r>
      <w:r w:rsidR="00DB5518" w:rsidRPr="00FD7B4A">
        <w:rPr>
          <w:rFonts w:ascii="Palatino Linotype" w:hAnsi="Palatino Linotype" w:cstheme="minorHAnsi"/>
          <w:sz w:val="22"/>
          <w:szCs w:val="22"/>
        </w:rPr>
        <w:t xml:space="preserve"> </w:t>
      </w:r>
      <w:bookmarkEnd w:id="0"/>
      <w:bookmarkEnd w:id="1"/>
      <w:r w:rsidR="00DD2D75" w:rsidRPr="00FD7B4A">
        <w:rPr>
          <w:rFonts w:ascii="Palatino Linotype" w:hAnsi="Palatino Linotype" w:cstheme="minorHAnsi"/>
          <w:sz w:val="22"/>
          <w:szCs w:val="22"/>
        </w:rPr>
        <w:t>kadar düştü</w:t>
      </w:r>
      <w:r w:rsidR="00080211" w:rsidRPr="00FD7B4A">
        <w:rPr>
          <w:rFonts w:ascii="Palatino Linotype" w:hAnsi="Palatino Linotype" w:cstheme="minorHAnsi"/>
          <w:sz w:val="22"/>
          <w:szCs w:val="22"/>
        </w:rPr>
        <w:t xml:space="preserve"> </w:t>
      </w:r>
      <w:r w:rsidR="00A6165E" w:rsidRPr="00FD7B4A">
        <w:rPr>
          <w:rFonts w:ascii="Palatino Linotype" w:hAnsi="Palatino Linotype" w:cstheme="minorHAnsi"/>
          <w:sz w:val="22"/>
          <w:szCs w:val="22"/>
        </w:rPr>
        <w:t>(</w:t>
      </w:r>
      <w:r w:rsidR="006C3EE6" w:rsidRPr="00FD7B4A">
        <w:rPr>
          <w:rFonts w:ascii="Palatino Linotype" w:hAnsi="Palatino Linotype" w:cstheme="minorHAnsi"/>
          <w:sz w:val="22"/>
          <w:szCs w:val="22"/>
        </w:rPr>
        <w:t xml:space="preserve">Tablo 1). </w:t>
      </w:r>
      <w:r w:rsidR="00080211" w:rsidRPr="00FD7B4A">
        <w:rPr>
          <w:rFonts w:ascii="Palatino Linotype" w:hAnsi="Palatino Linotype" w:cstheme="minorHAnsi"/>
          <w:sz w:val="22"/>
          <w:szCs w:val="22"/>
        </w:rPr>
        <w:t>M</w:t>
      </w:r>
      <w:r w:rsidR="004931A5" w:rsidRPr="00FD7B4A">
        <w:rPr>
          <w:rFonts w:ascii="Palatino Linotype" w:hAnsi="Palatino Linotype" w:cstheme="minorHAnsi"/>
          <w:sz w:val="22"/>
          <w:szCs w:val="22"/>
        </w:rPr>
        <w:t xml:space="preserve">evsim ve takvim etkilerinden arındırılmış rakamlara baktığımızda </w:t>
      </w:r>
      <w:r w:rsidR="00C21E02" w:rsidRPr="00FD7B4A">
        <w:rPr>
          <w:rFonts w:ascii="Palatino Linotype" w:hAnsi="Palatino Linotype" w:cstheme="minorHAnsi"/>
          <w:sz w:val="22"/>
          <w:szCs w:val="22"/>
        </w:rPr>
        <w:t xml:space="preserve">ise </w:t>
      </w:r>
      <w:r w:rsidR="00080211" w:rsidRPr="00FD7B4A">
        <w:rPr>
          <w:rFonts w:ascii="Palatino Linotype" w:hAnsi="Palatino Linotype" w:cstheme="minorHAnsi"/>
          <w:sz w:val="22"/>
          <w:szCs w:val="22"/>
        </w:rPr>
        <w:t>özel tüketim</w:t>
      </w:r>
      <w:r w:rsidR="00DD2D75" w:rsidRPr="00FD7B4A">
        <w:rPr>
          <w:rFonts w:ascii="Palatino Linotype" w:hAnsi="Palatino Linotype" w:cstheme="minorHAnsi"/>
          <w:sz w:val="22"/>
          <w:szCs w:val="22"/>
        </w:rPr>
        <w:t xml:space="preserve">in geçen yılın </w:t>
      </w:r>
      <w:r w:rsidR="00476E22">
        <w:rPr>
          <w:rFonts w:ascii="Palatino Linotype" w:hAnsi="Palatino Linotype" w:cstheme="minorHAnsi"/>
          <w:sz w:val="22"/>
          <w:szCs w:val="22"/>
        </w:rPr>
        <w:t>dördüncü çeyreğin</w:t>
      </w:r>
      <w:r w:rsidR="00073415">
        <w:rPr>
          <w:rFonts w:ascii="Palatino Linotype" w:hAnsi="Palatino Linotype" w:cstheme="minorHAnsi"/>
          <w:sz w:val="22"/>
          <w:szCs w:val="22"/>
        </w:rPr>
        <w:t>e kıyasla</w:t>
      </w:r>
      <w:r w:rsidR="00476E22">
        <w:rPr>
          <w:rFonts w:ascii="Palatino Linotype" w:hAnsi="Palatino Linotype" w:cstheme="minorHAnsi"/>
          <w:sz w:val="22"/>
          <w:szCs w:val="22"/>
        </w:rPr>
        <w:t xml:space="preserve"> yüzde 4</w:t>
      </w:r>
      <w:r w:rsidR="00DD2D75" w:rsidRPr="00FD7B4A">
        <w:rPr>
          <w:rFonts w:ascii="Palatino Linotype" w:hAnsi="Palatino Linotype" w:cstheme="minorHAnsi"/>
          <w:sz w:val="22"/>
          <w:szCs w:val="22"/>
        </w:rPr>
        <w:t xml:space="preserve">,9 küçüldüğünü görüyoruz </w:t>
      </w:r>
      <w:r w:rsidR="004931A5" w:rsidRPr="00FD7B4A">
        <w:rPr>
          <w:rFonts w:ascii="Palatino Linotype" w:hAnsi="Palatino Linotype" w:cstheme="minorHAnsi"/>
          <w:sz w:val="22"/>
          <w:szCs w:val="22"/>
        </w:rPr>
        <w:t>(Tablo 2).</w:t>
      </w:r>
      <w:r w:rsidR="004931A5" w:rsidRPr="0050008F">
        <w:rPr>
          <w:rFonts w:ascii="Palatino Linotype" w:hAnsi="Palatino Linotype" w:cstheme="minorHAnsi"/>
          <w:sz w:val="22"/>
          <w:szCs w:val="22"/>
        </w:rPr>
        <w:t xml:space="preserve"> </w:t>
      </w:r>
    </w:p>
    <w:p w:rsidR="006F615A" w:rsidRDefault="006F615A" w:rsidP="006C3EE6">
      <w:pPr>
        <w:keepNext/>
        <w:ind w:right="77"/>
        <w:jc w:val="both"/>
        <w:rPr>
          <w:rFonts w:ascii="Palatino Linotype" w:hAnsi="Palatino Linotype" w:cstheme="minorHAnsi"/>
          <w:b/>
          <w:bCs/>
          <w:sz w:val="22"/>
          <w:szCs w:val="22"/>
        </w:rPr>
      </w:pPr>
    </w:p>
    <w:p w:rsidR="003D44CE"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2" w:name="OLE_LINK1"/>
      <w:bookmarkStart w:id="3" w:name="OLE_LINK2"/>
      <w:r w:rsidR="009F2483" w:rsidRPr="0050008F">
        <w:rPr>
          <w:rFonts w:ascii="Palatino Linotype" w:hAnsi="Palatino Linotype" w:cstheme="minorHAnsi"/>
          <w:b/>
          <w:bCs/>
          <w:sz w:val="22"/>
          <w:szCs w:val="22"/>
        </w:rPr>
        <w:t xml:space="preserve">2018 </w:t>
      </w:r>
      <w:r w:rsidR="0067693E">
        <w:rPr>
          <w:rFonts w:ascii="Palatino Linotype" w:hAnsi="Palatino Linotype" w:cstheme="minorHAnsi"/>
          <w:b/>
          <w:bCs/>
          <w:sz w:val="22"/>
          <w:szCs w:val="22"/>
        </w:rPr>
        <w:t>3. ve 2018 4</w:t>
      </w:r>
      <w:r w:rsidR="009F2483" w:rsidRPr="0050008F">
        <w:rPr>
          <w:rFonts w:ascii="Palatino Linotype" w:hAnsi="Palatino Linotype" w:cstheme="minorHAnsi"/>
          <w:b/>
          <w:bCs/>
          <w:sz w:val="22"/>
          <w:szCs w:val="22"/>
        </w:rPr>
        <w:t>. çeyrekte</w:t>
      </w:r>
      <w:bookmarkEnd w:id="2"/>
      <w:bookmarkEnd w:id="3"/>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rsidR="00997713" w:rsidRPr="0050008F" w:rsidRDefault="00997713"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996151" w:rsidRPr="00A04EFA" w:rsidTr="00996151">
        <w:trPr>
          <w:trHeight w:val="282"/>
        </w:trPr>
        <w:tc>
          <w:tcPr>
            <w:tcW w:w="1480" w:type="dxa"/>
            <w:tcBorders>
              <w:top w:val="nil"/>
              <w:left w:val="nil"/>
              <w:bottom w:val="nil"/>
              <w:right w:val="nil"/>
            </w:tcBorders>
            <w:shd w:val="clear" w:color="000000" w:fill="FFFFFF"/>
            <w:noWrap/>
            <w:vAlign w:val="bottom"/>
            <w:hideMark/>
          </w:tcPr>
          <w:p w:rsidR="00996151" w:rsidRPr="00A04EFA" w:rsidRDefault="00996151" w:rsidP="00996151">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6151" w:rsidRPr="00A04EFA" w:rsidRDefault="00777AEF"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2017-</w:t>
            </w:r>
            <w:r w:rsidR="0067693E" w:rsidRPr="00A04EFA">
              <w:rPr>
                <w:rFonts w:ascii="Calibri" w:hAnsi="Calibri" w:cs="Calibri"/>
                <w:b/>
                <w:bCs/>
                <w:color w:val="000000"/>
                <w:sz w:val="20"/>
                <w:szCs w:val="20"/>
                <w:lang w:eastAsia="en-GB"/>
              </w:rPr>
              <w:t>2018</w:t>
            </w:r>
            <w:r w:rsidRPr="00A04EFA">
              <w:rPr>
                <w:rFonts w:ascii="Calibri" w:hAnsi="Calibri" w:cs="Calibri"/>
                <w:b/>
                <w:bCs/>
                <w:color w:val="000000"/>
                <w:sz w:val="20"/>
                <w:szCs w:val="20"/>
                <w:lang w:eastAsia="en-GB"/>
              </w:rPr>
              <w:t xml:space="preserve"> </w:t>
            </w:r>
            <w:r w:rsidR="0067693E" w:rsidRPr="00A04EFA">
              <w:rPr>
                <w:rFonts w:ascii="Calibri" w:hAnsi="Calibri" w:cs="Calibri"/>
                <w:b/>
                <w:bCs/>
                <w:color w:val="000000"/>
                <w:sz w:val="20"/>
                <w:szCs w:val="20"/>
                <w:lang w:eastAsia="en-GB"/>
              </w:rPr>
              <w:t>Q3</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996151" w:rsidRPr="00A04EFA" w:rsidRDefault="00777AEF"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2017-</w:t>
            </w:r>
            <w:r w:rsidR="0067693E" w:rsidRPr="00A04EFA">
              <w:rPr>
                <w:rFonts w:ascii="Calibri" w:hAnsi="Calibri" w:cs="Calibri"/>
                <w:b/>
                <w:bCs/>
                <w:color w:val="000000"/>
                <w:sz w:val="20"/>
                <w:szCs w:val="20"/>
                <w:lang w:eastAsia="en-GB"/>
              </w:rPr>
              <w:t>2018</w:t>
            </w:r>
            <w:r w:rsidRPr="00A04EFA">
              <w:rPr>
                <w:rFonts w:ascii="Calibri" w:hAnsi="Calibri" w:cs="Calibri"/>
                <w:b/>
                <w:bCs/>
                <w:color w:val="000000"/>
                <w:sz w:val="20"/>
                <w:szCs w:val="20"/>
                <w:lang w:eastAsia="en-GB"/>
              </w:rPr>
              <w:t xml:space="preserve"> </w:t>
            </w:r>
            <w:r w:rsidR="0067693E" w:rsidRPr="00A04EFA">
              <w:rPr>
                <w:rFonts w:ascii="Calibri" w:hAnsi="Calibri" w:cs="Calibri"/>
                <w:b/>
                <w:bCs/>
                <w:color w:val="000000"/>
                <w:sz w:val="20"/>
                <w:szCs w:val="20"/>
                <w:lang w:eastAsia="en-GB"/>
              </w:rPr>
              <w:t>Q4</w:t>
            </w:r>
          </w:p>
        </w:tc>
      </w:tr>
      <w:tr w:rsidR="00996151" w:rsidRPr="00A04EFA" w:rsidTr="00996151">
        <w:trPr>
          <w:trHeight w:val="282"/>
        </w:trPr>
        <w:tc>
          <w:tcPr>
            <w:tcW w:w="1480" w:type="dxa"/>
            <w:tcBorders>
              <w:top w:val="nil"/>
              <w:left w:val="nil"/>
              <w:bottom w:val="nil"/>
              <w:right w:val="nil"/>
            </w:tcBorders>
            <w:shd w:val="clear" w:color="000000" w:fill="FFFFFF"/>
            <w:noWrap/>
            <w:vAlign w:val="bottom"/>
            <w:hideMark/>
          </w:tcPr>
          <w:p w:rsidR="00996151" w:rsidRPr="00A04EFA" w:rsidRDefault="00996151" w:rsidP="00996151">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Değişim (%)</w:t>
            </w:r>
          </w:p>
        </w:tc>
        <w:tc>
          <w:tcPr>
            <w:tcW w:w="961" w:type="dxa"/>
            <w:tcBorders>
              <w:top w:val="nil"/>
              <w:left w:val="nil"/>
              <w:bottom w:val="nil"/>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Katkı (%)</w:t>
            </w:r>
          </w:p>
        </w:tc>
      </w:tr>
      <w:tr w:rsidR="003A4C32" w:rsidRPr="00A04EFA" w:rsidTr="00996151">
        <w:trPr>
          <w:trHeight w:val="282"/>
        </w:trPr>
        <w:tc>
          <w:tcPr>
            <w:tcW w:w="1480" w:type="dxa"/>
            <w:tcBorders>
              <w:top w:val="single" w:sz="4" w:space="0" w:color="auto"/>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Özel Tüketim</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lang w:eastAsia="en-GB"/>
              </w:rPr>
            </w:pPr>
            <w:r w:rsidRPr="00A04EFA">
              <w:rPr>
                <w:rFonts w:ascii="Calibri" w:hAnsi="Calibri" w:cs="Calibri"/>
                <w:color w:val="000000"/>
                <w:sz w:val="20"/>
                <w:szCs w:val="20"/>
              </w:rPr>
              <w:t>0.8</w:t>
            </w:r>
          </w:p>
        </w:tc>
        <w:tc>
          <w:tcPr>
            <w:tcW w:w="961" w:type="dxa"/>
            <w:tcBorders>
              <w:top w:val="single" w:sz="4" w:space="0" w:color="auto"/>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0.5</w:t>
            </w:r>
          </w:p>
        </w:tc>
        <w:tc>
          <w:tcPr>
            <w:tcW w:w="1259" w:type="dxa"/>
            <w:tcBorders>
              <w:top w:val="single" w:sz="4" w:space="0" w:color="auto"/>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-8.9</w:t>
            </w:r>
          </w:p>
        </w:tc>
        <w:tc>
          <w:tcPr>
            <w:tcW w:w="961" w:type="dxa"/>
            <w:tcBorders>
              <w:top w:val="single" w:sz="4" w:space="0" w:color="auto"/>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-5.3</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3.4</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0.5</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0.1</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-4.7</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-1.4</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-12.9</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-3.9</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-5.8</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-3.6</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13.6</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3.3</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10.6</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2.4</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-16.8</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4.9</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-24.4</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7.3</w:t>
            </w:r>
          </w:p>
        </w:tc>
      </w:tr>
      <w:tr w:rsidR="003A4C32" w:rsidRPr="00A04EFA" w:rsidTr="00996151">
        <w:trPr>
          <w:trHeight w:val="315"/>
        </w:trPr>
        <w:tc>
          <w:tcPr>
            <w:tcW w:w="1480" w:type="dxa"/>
            <w:tcBorders>
              <w:top w:val="nil"/>
              <w:left w:val="nil"/>
              <w:bottom w:val="double" w:sz="6" w:space="0" w:color="auto"/>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1.8</w:t>
            </w:r>
          </w:p>
        </w:tc>
        <w:tc>
          <w:tcPr>
            <w:tcW w:w="961" w:type="dxa"/>
            <w:tcBorders>
              <w:top w:val="nil"/>
              <w:left w:val="nil"/>
              <w:bottom w:val="double" w:sz="6" w:space="0" w:color="auto"/>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-3.0</w:t>
            </w:r>
          </w:p>
        </w:tc>
        <w:tc>
          <w:tcPr>
            <w:tcW w:w="961" w:type="dxa"/>
            <w:tcBorders>
              <w:top w:val="nil"/>
              <w:left w:val="nil"/>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r>
    </w:tbl>
    <w:p w:rsidR="00405BD8" w:rsidRDefault="003D44CE" w:rsidP="00405BD8">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lastRenderedPageBreak/>
        <w:t>Ka</w:t>
      </w:r>
      <w:r w:rsidR="00062A8A">
        <w:rPr>
          <w:rFonts w:ascii="Palatino Linotype" w:hAnsi="Palatino Linotype" w:cstheme="minorHAnsi"/>
          <w:sz w:val="18"/>
          <w:szCs w:val="18"/>
        </w:rPr>
        <w:t>ynak: TÜİK, Betam</w:t>
      </w:r>
    </w:p>
    <w:p w:rsidR="006C3EE6"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67693E">
        <w:rPr>
          <w:rFonts w:ascii="Palatino Linotype" w:hAnsi="Palatino Linotype" w:cstheme="minorHAnsi"/>
          <w:b/>
          <w:bCs/>
          <w:sz w:val="22"/>
          <w:szCs w:val="22"/>
        </w:rPr>
        <w:t>2018 3. ve 2018 4</w:t>
      </w:r>
      <w:r w:rsidR="006F1912" w:rsidRPr="0050008F">
        <w:rPr>
          <w:rFonts w:ascii="Palatino Linotype" w:hAnsi="Palatino Linotype" w:cstheme="minorHAnsi"/>
          <w:b/>
          <w:bCs/>
          <w:sz w:val="22"/>
          <w:szCs w:val="22"/>
        </w:rPr>
        <w:t>.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rsidR="00996151" w:rsidRDefault="00996151"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996151" w:rsidRPr="00A04EFA" w:rsidTr="00996151">
        <w:trPr>
          <w:trHeight w:val="282"/>
        </w:trPr>
        <w:tc>
          <w:tcPr>
            <w:tcW w:w="1480" w:type="dxa"/>
            <w:tcBorders>
              <w:top w:val="nil"/>
              <w:left w:val="nil"/>
              <w:bottom w:val="nil"/>
              <w:right w:val="nil"/>
            </w:tcBorders>
            <w:shd w:val="clear" w:color="000000" w:fill="FFFFFF"/>
            <w:noWrap/>
            <w:vAlign w:val="bottom"/>
            <w:hideMark/>
          </w:tcPr>
          <w:p w:rsidR="00996151" w:rsidRPr="00A04EFA" w:rsidRDefault="00996151" w:rsidP="00996151">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6151" w:rsidRPr="00A04EFA" w:rsidRDefault="0067693E" w:rsidP="00777AEF">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2018</w:t>
            </w:r>
            <w:r w:rsidR="00777AEF" w:rsidRPr="00A04EFA">
              <w:rPr>
                <w:rFonts w:ascii="Calibri" w:hAnsi="Calibri" w:cs="Calibri"/>
                <w:b/>
                <w:bCs/>
                <w:color w:val="000000"/>
                <w:sz w:val="20"/>
                <w:szCs w:val="20"/>
                <w:lang w:eastAsia="en-GB"/>
              </w:rPr>
              <w:t xml:space="preserve"> </w:t>
            </w:r>
            <w:r w:rsidRPr="00A04EFA">
              <w:rPr>
                <w:rFonts w:ascii="Calibri" w:hAnsi="Calibri" w:cs="Calibri"/>
                <w:b/>
                <w:bCs/>
                <w:color w:val="000000"/>
                <w:sz w:val="20"/>
                <w:szCs w:val="20"/>
                <w:lang w:eastAsia="en-GB"/>
              </w:rPr>
              <w:t>Q3</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996151" w:rsidRPr="00A04EFA" w:rsidRDefault="0067693E" w:rsidP="00777AEF">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2018</w:t>
            </w:r>
            <w:r w:rsidR="00777AEF" w:rsidRPr="00A04EFA">
              <w:rPr>
                <w:rFonts w:ascii="Calibri" w:hAnsi="Calibri" w:cs="Calibri"/>
                <w:b/>
                <w:bCs/>
                <w:color w:val="000000"/>
                <w:sz w:val="20"/>
                <w:szCs w:val="20"/>
                <w:lang w:eastAsia="en-GB"/>
              </w:rPr>
              <w:t xml:space="preserve"> </w:t>
            </w:r>
            <w:r w:rsidRPr="00A04EFA">
              <w:rPr>
                <w:rFonts w:ascii="Calibri" w:hAnsi="Calibri" w:cs="Calibri"/>
                <w:b/>
                <w:bCs/>
                <w:color w:val="000000"/>
                <w:sz w:val="20"/>
                <w:szCs w:val="20"/>
                <w:lang w:eastAsia="en-GB"/>
              </w:rPr>
              <w:t>Q4</w:t>
            </w:r>
          </w:p>
        </w:tc>
      </w:tr>
      <w:tr w:rsidR="00996151" w:rsidRPr="00A04EFA" w:rsidTr="00996151">
        <w:trPr>
          <w:trHeight w:val="282"/>
        </w:trPr>
        <w:tc>
          <w:tcPr>
            <w:tcW w:w="1480" w:type="dxa"/>
            <w:tcBorders>
              <w:top w:val="nil"/>
              <w:left w:val="nil"/>
              <w:bottom w:val="nil"/>
              <w:right w:val="nil"/>
            </w:tcBorders>
            <w:shd w:val="clear" w:color="000000" w:fill="FFFFFF"/>
            <w:noWrap/>
            <w:vAlign w:val="bottom"/>
            <w:hideMark/>
          </w:tcPr>
          <w:p w:rsidR="00996151" w:rsidRPr="00A04EFA" w:rsidRDefault="00996151" w:rsidP="00996151">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 </w:t>
            </w:r>
          </w:p>
        </w:tc>
        <w:tc>
          <w:tcPr>
            <w:tcW w:w="1259" w:type="dxa"/>
            <w:tcBorders>
              <w:top w:val="nil"/>
              <w:left w:val="single" w:sz="4" w:space="0" w:color="auto"/>
              <w:bottom w:val="nil"/>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Değişim (%)</w:t>
            </w:r>
          </w:p>
        </w:tc>
        <w:tc>
          <w:tcPr>
            <w:tcW w:w="961" w:type="dxa"/>
            <w:tcBorders>
              <w:top w:val="nil"/>
              <w:left w:val="nil"/>
              <w:bottom w:val="nil"/>
              <w:right w:val="nil"/>
            </w:tcBorders>
            <w:shd w:val="clear" w:color="000000" w:fill="FFFFFF"/>
            <w:noWrap/>
            <w:vAlign w:val="bottom"/>
            <w:hideMark/>
          </w:tcPr>
          <w:p w:rsidR="00996151" w:rsidRPr="00A04EFA" w:rsidRDefault="00996151" w:rsidP="00996151">
            <w:pPr>
              <w:jc w:val="cente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Katkı (%)</w:t>
            </w:r>
          </w:p>
        </w:tc>
      </w:tr>
      <w:tr w:rsidR="003A4C32" w:rsidRPr="00A04EFA" w:rsidTr="00996151">
        <w:trPr>
          <w:trHeight w:val="282"/>
        </w:trPr>
        <w:tc>
          <w:tcPr>
            <w:tcW w:w="1480" w:type="dxa"/>
            <w:tcBorders>
              <w:top w:val="single" w:sz="4" w:space="0" w:color="auto"/>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lang w:eastAsia="en-GB"/>
              </w:rPr>
            </w:pPr>
            <w:r w:rsidRPr="00A04EFA">
              <w:rPr>
                <w:rFonts w:ascii="Calibri" w:hAnsi="Calibri" w:cs="Calibri"/>
                <w:color w:val="000000"/>
                <w:sz w:val="20"/>
                <w:szCs w:val="20"/>
              </w:rPr>
              <w:t>-4.4</w:t>
            </w:r>
          </w:p>
        </w:tc>
        <w:tc>
          <w:tcPr>
            <w:tcW w:w="961" w:type="dxa"/>
            <w:tcBorders>
              <w:top w:val="single" w:sz="4" w:space="0" w:color="auto"/>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-2.6</w:t>
            </w:r>
          </w:p>
        </w:tc>
        <w:tc>
          <w:tcPr>
            <w:tcW w:w="1259" w:type="dxa"/>
            <w:tcBorders>
              <w:top w:val="single" w:sz="4" w:space="0" w:color="auto"/>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-4.9</w:t>
            </w:r>
          </w:p>
        </w:tc>
        <w:tc>
          <w:tcPr>
            <w:tcW w:w="961" w:type="dxa"/>
            <w:tcBorders>
              <w:top w:val="single" w:sz="4" w:space="0" w:color="auto"/>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-2.8</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-5.1</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-0.8</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0.0</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0.0</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-6.7</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-2.0</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-3.6</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-1.0</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-0.1</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5.3</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1.3</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1.4</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0.4</w:t>
            </w:r>
          </w:p>
        </w:tc>
      </w:tr>
      <w:tr w:rsidR="003A4C32" w:rsidRPr="00A04EFA" w:rsidTr="00996151">
        <w:trPr>
          <w:trHeight w:val="282"/>
        </w:trPr>
        <w:tc>
          <w:tcPr>
            <w:tcW w:w="1480" w:type="dxa"/>
            <w:tcBorders>
              <w:top w:val="nil"/>
              <w:left w:val="nil"/>
              <w:bottom w:val="nil"/>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-7.8</w:t>
            </w:r>
          </w:p>
        </w:tc>
        <w:tc>
          <w:tcPr>
            <w:tcW w:w="961" w:type="dxa"/>
            <w:tcBorders>
              <w:top w:val="nil"/>
              <w:left w:val="nil"/>
              <w:bottom w:val="nil"/>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2.1</w:t>
            </w:r>
          </w:p>
        </w:tc>
        <w:tc>
          <w:tcPr>
            <w:tcW w:w="1259"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-4.6</w:t>
            </w:r>
          </w:p>
        </w:tc>
        <w:tc>
          <w:tcPr>
            <w:tcW w:w="961" w:type="dxa"/>
            <w:tcBorders>
              <w:top w:val="nil"/>
              <w:left w:val="nil"/>
              <w:bottom w:val="nil"/>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1.2</w:t>
            </w:r>
          </w:p>
        </w:tc>
      </w:tr>
      <w:tr w:rsidR="003A4C32" w:rsidRPr="00A04EFA" w:rsidTr="00996151">
        <w:trPr>
          <w:trHeight w:val="315"/>
        </w:trPr>
        <w:tc>
          <w:tcPr>
            <w:tcW w:w="1480" w:type="dxa"/>
            <w:tcBorders>
              <w:top w:val="nil"/>
              <w:left w:val="nil"/>
              <w:bottom w:val="double" w:sz="6" w:space="0" w:color="auto"/>
              <w:right w:val="nil"/>
            </w:tcBorders>
            <w:shd w:val="clear" w:color="000000" w:fill="FFFFFF"/>
            <w:noWrap/>
            <w:vAlign w:val="bottom"/>
            <w:hideMark/>
          </w:tcPr>
          <w:p w:rsidR="003A4C32" w:rsidRPr="00A04EFA" w:rsidRDefault="003A4C32" w:rsidP="003A4C32">
            <w:pPr>
              <w:rPr>
                <w:rFonts w:ascii="Calibri" w:hAnsi="Calibri" w:cs="Calibri"/>
                <w:b/>
                <w:bCs/>
                <w:color w:val="000000"/>
                <w:sz w:val="20"/>
                <w:szCs w:val="20"/>
                <w:lang w:eastAsia="en-GB"/>
              </w:rPr>
            </w:pPr>
            <w:r w:rsidRPr="00A04EFA">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-1.6</w:t>
            </w:r>
          </w:p>
        </w:tc>
        <w:tc>
          <w:tcPr>
            <w:tcW w:w="961" w:type="dxa"/>
            <w:tcBorders>
              <w:top w:val="nil"/>
              <w:left w:val="nil"/>
              <w:bottom w:val="double" w:sz="6" w:space="0" w:color="auto"/>
              <w:right w:val="single" w:sz="4" w:space="0" w:color="auto"/>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-2.4</w:t>
            </w:r>
          </w:p>
        </w:tc>
        <w:tc>
          <w:tcPr>
            <w:tcW w:w="961" w:type="dxa"/>
            <w:tcBorders>
              <w:top w:val="nil"/>
              <w:left w:val="nil"/>
              <w:bottom w:val="double" w:sz="6" w:space="0" w:color="auto"/>
              <w:right w:val="nil"/>
            </w:tcBorders>
            <w:shd w:val="clear" w:color="000000" w:fill="FFFFFF"/>
            <w:noWrap/>
            <w:vAlign w:val="bottom"/>
            <w:hideMark/>
          </w:tcPr>
          <w:p w:rsidR="003A4C32" w:rsidRPr="00A04EFA" w:rsidRDefault="003A4C32" w:rsidP="003A4C32">
            <w:pPr>
              <w:jc w:val="center"/>
              <w:rPr>
                <w:rFonts w:ascii="Calibri" w:hAnsi="Calibri" w:cs="Calibri"/>
                <w:color w:val="000000"/>
                <w:sz w:val="20"/>
                <w:szCs w:val="20"/>
              </w:rPr>
            </w:pPr>
            <w:r w:rsidRPr="00A04EFA">
              <w:rPr>
                <w:rFonts w:ascii="Calibri" w:hAnsi="Calibri" w:cs="Calibri"/>
                <w:color w:val="000000"/>
                <w:sz w:val="20"/>
                <w:szCs w:val="20"/>
              </w:rPr>
              <w:t> </w:t>
            </w:r>
          </w:p>
        </w:tc>
      </w:tr>
    </w:tbl>
    <w:p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rsidR="006C3EE6" w:rsidRPr="0050008F" w:rsidRDefault="000F0B6B" w:rsidP="004931A5">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Faiz</w:t>
      </w:r>
      <w:r w:rsidR="0088270D" w:rsidRPr="0050008F">
        <w:rPr>
          <w:rFonts w:ascii="Palatino Linotype" w:hAnsi="Palatino Linotype" w:cstheme="minorHAnsi"/>
          <w:b/>
          <w:sz w:val="22"/>
          <w:szCs w:val="22"/>
        </w:rPr>
        <w:t xml:space="preserve"> artışı</w:t>
      </w:r>
      <w:r w:rsidRPr="0050008F">
        <w:rPr>
          <w:rFonts w:ascii="Palatino Linotype" w:hAnsi="Palatino Linotype" w:cstheme="minorHAnsi"/>
          <w:b/>
          <w:sz w:val="22"/>
          <w:szCs w:val="22"/>
        </w:rPr>
        <w:t xml:space="preserve"> y</w:t>
      </w:r>
      <w:r w:rsidR="006C3EE6" w:rsidRPr="0050008F">
        <w:rPr>
          <w:rFonts w:ascii="Palatino Linotype" w:hAnsi="Palatino Linotype" w:cstheme="minorHAnsi"/>
          <w:b/>
          <w:sz w:val="22"/>
          <w:szCs w:val="22"/>
        </w:rPr>
        <w:t>atırımlar</w:t>
      </w:r>
      <w:r w:rsidR="0088270D" w:rsidRPr="0050008F">
        <w:rPr>
          <w:rFonts w:ascii="Palatino Linotype" w:hAnsi="Palatino Linotype" w:cstheme="minorHAnsi"/>
          <w:b/>
          <w:sz w:val="22"/>
          <w:szCs w:val="22"/>
        </w:rPr>
        <w:t xml:space="preserve">ı </w:t>
      </w:r>
      <w:r w:rsidR="007F3B7C">
        <w:rPr>
          <w:rFonts w:ascii="Palatino Linotype" w:hAnsi="Palatino Linotype" w:cstheme="minorHAnsi"/>
          <w:b/>
          <w:sz w:val="22"/>
          <w:szCs w:val="22"/>
        </w:rPr>
        <w:t xml:space="preserve">olumsuz </w:t>
      </w:r>
      <w:r w:rsidR="0088270D" w:rsidRPr="0050008F">
        <w:rPr>
          <w:rFonts w:ascii="Palatino Linotype" w:hAnsi="Palatino Linotype" w:cstheme="minorHAnsi"/>
          <w:b/>
          <w:sz w:val="22"/>
          <w:szCs w:val="22"/>
        </w:rPr>
        <w:t>etkiledi</w:t>
      </w:r>
    </w:p>
    <w:p w:rsidR="003E1EED" w:rsidRPr="0050008F" w:rsidRDefault="00B17B6A"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7F3B7C">
        <w:rPr>
          <w:rFonts w:ascii="Palatino Linotype" w:hAnsi="Palatino Linotype" w:cstheme="minorHAnsi"/>
          <w:sz w:val="22"/>
          <w:szCs w:val="22"/>
        </w:rPr>
        <w:t>Bir önceki büyüme değerlendirmemizde geçen yıl</w:t>
      </w:r>
      <w:r w:rsidR="00C21E02" w:rsidRPr="007F3B7C">
        <w:rPr>
          <w:rFonts w:ascii="Palatino Linotype" w:hAnsi="Palatino Linotype" w:cstheme="minorHAnsi"/>
          <w:sz w:val="22"/>
          <w:szCs w:val="22"/>
        </w:rPr>
        <w:t xml:space="preserve"> yatırımlarda görülen pozitif katkıların </w:t>
      </w:r>
      <w:r w:rsidR="007F3B7C" w:rsidRPr="007F3B7C">
        <w:rPr>
          <w:rFonts w:ascii="Palatino Linotype" w:hAnsi="Palatino Linotype" w:cstheme="minorHAnsi"/>
          <w:sz w:val="22"/>
          <w:szCs w:val="22"/>
        </w:rPr>
        <w:t>2018’in</w:t>
      </w:r>
      <w:r w:rsidRPr="007F3B7C">
        <w:rPr>
          <w:rFonts w:ascii="Palatino Linotype" w:hAnsi="Palatino Linotype" w:cstheme="minorHAnsi"/>
          <w:sz w:val="22"/>
          <w:szCs w:val="22"/>
        </w:rPr>
        <w:t xml:space="preserve"> faiz artışları ile artık mümkün olamayacağını </w:t>
      </w:r>
      <w:r w:rsidR="00362359" w:rsidRPr="007F3B7C">
        <w:rPr>
          <w:rFonts w:ascii="Palatino Linotype" w:hAnsi="Palatino Linotype" w:cstheme="minorHAnsi"/>
          <w:sz w:val="22"/>
          <w:szCs w:val="22"/>
        </w:rPr>
        <w:t>belirtmiştik. Bu beklentilerle uyumlu olarak</w:t>
      </w:r>
      <w:r w:rsidR="00362359">
        <w:rPr>
          <w:rFonts w:ascii="Palatino Linotype" w:hAnsi="Palatino Linotype" w:cstheme="minorHAnsi"/>
          <w:sz w:val="22"/>
          <w:szCs w:val="22"/>
        </w:rPr>
        <w:t xml:space="preserve"> </w:t>
      </w:r>
      <w:r w:rsidR="00DF44DE">
        <w:rPr>
          <w:rFonts w:ascii="Palatino Linotype" w:hAnsi="Palatino Linotype" w:cstheme="minorHAnsi"/>
          <w:sz w:val="22"/>
          <w:szCs w:val="22"/>
        </w:rPr>
        <w:t>üçüncü</w:t>
      </w:r>
      <w:r w:rsidR="0061410A" w:rsidRPr="0061410A">
        <w:rPr>
          <w:rFonts w:ascii="Palatino Linotype" w:hAnsi="Palatino Linotype" w:cstheme="minorHAnsi"/>
          <w:sz w:val="22"/>
          <w:szCs w:val="22"/>
        </w:rPr>
        <w:t xml:space="preserve"> çeyre</w:t>
      </w:r>
      <w:r w:rsidR="00362359">
        <w:rPr>
          <w:rFonts w:ascii="Palatino Linotype" w:hAnsi="Palatino Linotype" w:cstheme="minorHAnsi"/>
          <w:sz w:val="22"/>
          <w:szCs w:val="22"/>
        </w:rPr>
        <w:t>kt</w:t>
      </w:r>
      <w:r w:rsidR="0061410A" w:rsidRPr="0061410A">
        <w:rPr>
          <w:rFonts w:ascii="Palatino Linotype" w:hAnsi="Palatino Linotype" w:cstheme="minorHAnsi"/>
          <w:sz w:val="22"/>
          <w:szCs w:val="22"/>
        </w:rPr>
        <w:t xml:space="preserve">e </w:t>
      </w:r>
      <w:r w:rsidR="00362359">
        <w:rPr>
          <w:rFonts w:ascii="Palatino Linotype" w:hAnsi="Palatino Linotype" w:cstheme="minorHAnsi"/>
          <w:sz w:val="22"/>
          <w:szCs w:val="22"/>
        </w:rPr>
        <w:t>büyümeye</w:t>
      </w:r>
      <w:r w:rsidR="0061410A" w:rsidRPr="0061410A">
        <w:rPr>
          <w:rFonts w:ascii="Palatino Linotype" w:hAnsi="Palatino Linotype" w:cstheme="minorHAnsi"/>
          <w:sz w:val="22"/>
          <w:szCs w:val="22"/>
        </w:rPr>
        <w:t xml:space="preserve"> </w:t>
      </w:r>
      <w:r w:rsidR="00DF44DE">
        <w:rPr>
          <w:rFonts w:ascii="Palatino Linotype" w:hAnsi="Palatino Linotype" w:cstheme="minorHAnsi"/>
          <w:sz w:val="22"/>
          <w:szCs w:val="22"/>
        </w:rPr>
        <w:t>eksi</w:t>
      </w:r>
      <w:r w:rsidR="00ED5E21">
        <w:rPr>
          <w:rFonts w:ascii="Palatino Linotype" w:hAnsi="Palatino Linotype" w:cstheme="minorHAnsi"/>
          <w:sz w:val="22"/>
          <w:szCs w:val="22"/>
        </w:rPr>
        <w:t xml:space="preserve"> 1,4</w:t>
      </w:r>
      <w:r w:rsidR="00DF44DE">
        <w:rPr>
          <w:rFonts w:ascii="Palatino Linotype" w:hAnsi="Palatino Linotype" w:cstheme="minorHAnsi"/>
          <w:sz w:val="22"/>
          <w:szCs w:val="22"/>
        </w:rPr>
        <w:t xml:space="preserve"> yüzde puanlık negatif</w:t>
      </w:r>
      <w:r w:rsidR="00362359">
        <w:rPr>
          <w:rFonts w:ascii="Palatino Linotype" w:hAnsi="Palatino Linotype" w:cstheme="minorHAnsi"/>
          <w:sz w:val="22"/>
          <w:szCs w:val="22"/>
        </w:rPr>
        <w:t xml:space="preserve"> katkı yapan yatırımların </w:t>
      </w:r>
      <w:r w:rsidR="00DF44DE">
        <w:rPr>
          <w:rFonts w:ascii="Palatino Linotype" w:hAnsi="Palatino Linotype" w:cstheme="minorHAnsi"/>
          <w:sz w:val="22"/>
          <w:szCs w:val="22"/>
        </w:rPr>
        <w:t>dördüncü</w:t>
      </w:r>
      <w:r w:rsidR="0061410A" w:rsidRPr="0061410A">
        <w:rPr>
          <w:rFonts w:ascii="Palatino Linotype" w:hAnsi="Palatino Linotype" w:cstheme="minorHAnsi"/>
          <w:sz w:val="22"/>
          <w:szCs w:val="22"/>
        </w:rPr>
        <w:t xml:space="preserve"> çeyrekte</w:t>
      </w:r>
      <w:r w:rsidR="00362359">
        <w:rPr>
          <w:rFonts w:ascii="Palatino Linotype" w:hAnsi="Palatino Linotype" w:cstheme="minorHAnsi"/>
          <w:sz w:val="22"/>
          <w:szCs w:val="22"/>
        </w:rPr>
        <w:t>,</w:t>
      </w:r>
      <w:r w:rsidR="0061410A" w:rsidRPr="0061410A">
        <w:rPr>
          <w:rFonts w:ascii="Palatino Linotype" w:hAnsi="Palatino Linotype" w:cstheme="minorHAnsi"/>
          <w:sz w:val="22"/>
          <w:szCs w:val="22"/>
        </w:rPr>
        <w:t xml:space="preserve"> geçen yılın </w:t>
      </w:r>
      <w:r w:rsidR="00362359">
        <w:rPr>
          <w:rFonts w:ascii="Palatino Linotype" w:hAnsi="Palatino Linotype" w:cstheme="minorHAnsi"/>
          <w:sz w:val="22"/>
          <w:szCs w:val="22"/>
        </w:rPr>
        <w:t>aynı</w:t>
      </w:r>
      <w:r w:rsidR="0061410A" w:rsidRPr="0061410A">
        <w:rPr>
          <w:rFonts w:ascii="Palatino Linotype" w:hAnsi="Palatino Linotype" w:cstheme="minorHAnsi"/>
          <w:sz w:val="22"/>
          <w:szCs w:val="22"/>
        </w:rPr>
        <w:t xml:space="preserve"> çeyreğine göre</w:t>
      </w:r>
      <w:r w:rsidR="00362359">
        <w:rPr>
          <w:rFonts w:ascii="Palatino Linotype" w:hAnsi="Palatino Linotype" w:cstheme="minorHAnsi"/>
          <w:sz w:val="22"/>
          <w:szCs w:val="22"/>
        </w:rPr>
        <w:t>,</w:t>
      </w:r>
      <w:r w:rsidR="00ED5E21">
        <w:rPr>
          <w:rFonts w:ascii="Palatino Linotype" w:hAnsi="Palatino Linotype" w:cstheme="minorHAnsi"/>
          <w:sz w:val="22"/>
          <w:szCs w:val="22"/>
        </w:rPr>
        <w:t xml:space="preserve"> yüzde 12,9</w:t>
      </w:r>
      <w:r w:rsidR="0061410A" w:rsidRPr="0061410A">
        <w:rPr>
          <w:rFonts w:ascii="Palatino Linotype" w:hAnsi="Palatino Linotype" w:cstheme="minorHAnsi"/>
          <w:sz w:val="22"/>
          <w:szCs w:val="22"/>
        </w:rPr>
        <w:t xml:space="preserve"> azal</w:t>
      </w:r>
      <w:r w:rsidR="00362359">
        <w:rPr>
          <w:rFonts w:ascii="Palatino Linotype" w:hAnsi="Palatino Linotype" w:cstheme="minorHAnsi"/>
          <w:sz w:val="22"/>
          <w:szCs w:val="22"/>
        </w:rPr>
        <w:t xml:space="preserve">arak </w:t>
      </w:r>
      <w:r w:rsidR="0061410A" w:rsidRPr="0061410A">
        <w:rPr>
          <w:rFonts w:ascii="Palatino Linotype" w:hAnsi="Palatino Linotype" w:cstheme="minorHAnsi"/>
          <w:sz w:val="22"/>
          <w:szCs w:val="22"/>
        </w:rPr>
        <w:t xml:space="preserve">GSYH büyümesine </w:t>
      </w:r>
      <w:r w:rsidR="00362359">
        <w:rPr>
          <w:rFonts w:ascii="Palatino Linotype" w:hAnsi="Palatino Linotype" w:cstheme="minorHAnsi"/>
          <w:sz w:val="22"/>
          <w:szCs w:val="22"/>
        </w:rPr>
        <w:t>ek</w:t>
      </w:r>
      <w:r w:rsidR="00ED5E21">
        <w:rPr>
          <w:rFonts w:ascii="Palatino Linotype" w:hAnsi="Palatino Linotype" w:cstheme="minorHAnsi"/>
          <w:sz w:val="22"/>
          <w:szCs w:val="22"/>
        </w:rPr>
        <w:t>si 3,9</w:t>
      </w:r>
      <w:r w:rsidR="0061410A" w:rsidRPr="0061410A">
        <w:rPr>
          <w:rFonts w:ascii="Palatino Linotype" w:hAnsi="Palatino Linotype" w:cstheme="minorHAnsi"/>
          <w:sz w:val="22"/>
          <w:szCs w:val="22"/>
        </w:rPr>
        <w:t xml:space="preserve"> yüzde puan </w:t>
      </w:r>
      <w:r w:rsidR="00ED5E21">
        <w:rPr>
          <w:rFonts w:ascii="Palatino Linotype" w:hAnsi="Palatino Linotype" w:cstheme="minorHAnsi"/>
          <w:sz w:val="22"/>
          <w:szCs w:val="22"/>
        </w:rPr>
        <w:t xml:space="preserve">negatif katkı </w:t>
      </w:r>
      <w:r w:rsidR="00362359">
        <w:rPr>
          <w:rFonts w:ascii="Palatino Linotype" w:hAnsi="Palatino Linotype" w:cstheme="minorHAnsi"/>
          <w:sz w:val="22"/>
          <w:szCs w:val="22"/>
        </w:rPr>
        <w:t>verdiğini tespit ediyoruz</w:t>
      </w:r>
      <w:r w:rsidR="0061410A" w:rsidRPr="0061410A">
        <w:rPr>
          <w:rFonts w:ascii="Palatino Linotype" w:hAnsi="Palatino Linotype" w:cstheme="minorHAnsi"/>
          <w:sz w:val="22"/>
          <w:szCs w:val="22"/>
        </w:rPr>
        <w:t xml:space="preserve"> (Tablo</w:t>
      </w:r>
      <w:r w:rsidR="0010209C">
        <w:rPr>
          <w:rFonts w:ascii="Palatino Linotype" w:hAnsi="Palatino Linotype" w:cstheme="minorHAnsi"/>
          <w:sz w:val="22"/>
          <w:szCs w:val="22"/>
        </w:rPr>
        <w:t xml:space="preserve"> </w:t>
      </w:r>
      <w:r w:rsidR="0061410A" w:rsidRPr="0061410A">
        <w:rPr>
          <w:rFonts w:ascii="Palatino Linotype" w:hAnsi="Palatino Linotype" w:cstheme="minorHAnsi"/>
          <w:sz w:val="22"/>
          <w:szCs w:val="22"/>
        </w:rPr>
        <w:t xml:space="preserve">1). </w:t>
      </w:r>
      <w:r w:rsidR="00ED5E21">
        <w:rPr>
          <w:rFonts w:ascii="Palatino Linotype" w:hAnsi="Palatino Linotype" w:cstheme="minorHAnsi"/>
          <w:sz w:val="22"/>
          <w:szCs w:val="22"/>
        </w:rPr>
        <w:t>Dördüncü</w:t>
      </w:r>
      <w:r w:rsidR="0061410A" w:rsidRPr="0061410A">
        <w:rPr>
          <w:rFonts w:ascii="Palatino Linotype" w:hAnsi="Palatino Linotype" w:cstheme="minorHAnsi"/>
          <w:sz w:val="22"/>
          <w:szCs w:val="22"/>
        </w:rPr>
        <w:t xml:space="preserve"> çeyrek büyüme tahmin</w:t>
      </w:r>
      <w:r w:rsidR="00362359">
        <w:rPr>
          <w:rFonts w:ascii="Palatino Linotype" w:hAnsi="Palatino Linotype" w:cstheme="minorHAnsi"/>
          <w:sz w:val="22"/>
          <w:szCs w:val="22"/>
        </w:rPr>
        <w:t xml:space="preserve">imizde de </w:t>
      </w:r>
      <w:r w:rsidR="0061410A" w:rsidRPr="0061410A">
        <w:rPr>
          <w:rFonts w:ascii="Palatino Linotype" w:hAnsi="Palatino Linotype" w:cstheme="minorHAnsi"/>
          <w:sz w:val="22"/>
          <w:szCs w:val="22"/>
        </w:rPr>
        <w:t xml:space="preserve">altını çizdiğimiz durgunluğun yatırımlardaki </w:t>
      </w:r>
      <w:r w:rsidR="00ED5E21">
        <w:rPr>
          <w:rFonts w:ascii="Palatino Linotype" w:hAnsi="Palatino Linotype" w:cstheme="minorHAnsi"/>
          <w:sz w:val="22"/>
          <w:szCs w:val="22"/>
        </w:rPr>
        <w:t xml:space="preserve">sert </w:t>
      </w:r>
      <w:r w:rsidR="0061410A" w:rsidRPr="0061410A">
        <w:rPr>
          <w:rFonts w:ascii="Palatino Linotype" w:hAnsi="Palatino Linotype" w:cstheme="minorHAnsi"/>
          <w:sz w:val="22"/>
          <w:szCs w:val="22"/>
        </w:rPr>
        <w:t xml:space="preserve">frenlerle kendini bariz bir şekilde gösterdiğini görüyoruz. </w:t>
      </w:r>
      <w:r w:rsidR="007F3B7C">
        <w:rPr>
          <w:rFonts w:ascii="Palatino Linotype" w:hAnsi="Palatino Linotype" w:cstheme="minorHAnsi"/>
          <w:sz w:val="22"/>
          <w:szCs w:val="22"/>
        </w:rPr>
        <w:t xml:space="preserve">Üçten dördüncü çeyreğe </w:t>
      </w:r>
      <w:r w:rsidR="000F0B6B" w:rsidRPr="0061410A">
        <w:rPr>
          <w:rFonts w:ascii="Palatino Linotype" w:hAnsi="Palatino Linotype" w:cstheme="minorHAnsi"/>
          <w:sz w:val="22"/>
          <w:szCs w:val="22"/>
        </w:rPr>
        <w:t>ise</w:t>
      </w:r>
      <w:r w:rsidR="00E83A84" w:rsidRPr="0061410A">
        <w:rPr>
          <w:rFonts w:ascii="Palatino Linotype" w:hAnsi="Palatino Linotype" w:cstheme="minorHAnsi"/>
          <w:sz w:val="22"/>
          <w:szCs w:val="22"/>
        </w:rPr>
        <w:t xml:space="preserve"> </w:t>
      </w:r>
      <w:r w:rsidR="0061410A" w:rsidRPr="0061410A">
        <w:rPr>
          <w:rFonts w:ascii="Palatino Linotype" w:hAnsi="Palatino Linotype" w:cstheme="minorHAnsi"/>
          <w:sz w:val="22"/>
          <w:szCs w:val="22"/>
        </w:rPr>
        <w:t>yatırımların yüzde 3,6</w:t>
      </w:r>
      <w:r w:rsidR="000F0B6B" w:rsidRPr="0061410A">
        <w:rPr>
          <w:rFonts w:ascii="Palatino Linotype" w:hAnsi="Palatino Linotype" w:cstheme="minorHAnsi"/>
          <w:sz w:val="22"/>
          <w:szCs w:val="22"/>
        </w:rPr>
        <w:t xml:space="preserve"> azaldığını</w:t>
      </w:r>
      <w:r w:rsidR="0061410A" w:rsidRPr="0061410A">
        <w:rPr>
          <w:rFonts w:ascii="Palatino Linotype" w:hAnsi="Palatino Linotype" w:cstheme="minorHAnsi"/>
          <w:sz w:val="22"/>
          <w:szCs w:val="22"/>
        </w:rPr>
        <w:t xml:space="preserve"> ve</w:t>
      </w:r>
      <w:r w:rsidR="0061410A">
        <w:rPr>
          <w:rFonts w:ascii="Palatino Linotype" w:hAnsi="Palatino Linotype" w:cstheme="minorHAnsi"/>
          <w:sz w:val="22"/>
          <w:szCs w:val="22"/>
        </w:rPr>
        <w:t xml:space="preserve"> </w:t>
      </w:r>
      <w:r w:rsidR="007F3B7C">
        <w:rPr>
          <w:rFonts w:ascii="Palatino Linotype" w:hAnsi="Palatino Linotype" w:cstheme="minorHAnsi"/>
          <w:sz w:val="22"/>
          <w:szCs w:val="22"/>
        </w:rPr>
        <w:t xml:space="preserve">yüzde 2,4’lük küçülmeye katkısının </w:t>
      </w:r>
      <w:r w:rsidR="0061410A">
        <w:rPr>
          <w:rFonts w:ascii="Palatino Linotype" w:hAnsi="Palatino Linotype" w:cstheme="minorHAnsi"/>
          <w:sz w:val="22"/>
          <w:szCs w:val="22"/>
        </w:rPr>
        <w:t>1,1</w:t>
      </w:r>
      <w:r w:rsidR="000F0B6B" w:rsidRPr="0050008F">
        <w:rPr>
          <w:rFonts w:ascii="Palatino Linotype" w:hAnsi="Palatino Linotype" w:cstheme="minorHAnsi"/>
          <w:sz w:val="22"/>
          <w:szCs w:val="22"/>
        </w:rPr>
        <w:t xml:space="preserve"> yüzde puan olduğunu görüyoruz </w:t>
      </w:r>
      <w:r w:rsidR="00E83A84" w:rsidRPr="0050008F">
        <w:rPr>
          <w:rFonts w:ascii="Palatino Linotype" w:hAnsi="Palatino Linotype" w:cstheme="minorHAnsi"/>
          <w:sz w:val="22"/>
          <w:szCs w:val="22"/>
        </w:rPr>
        <w:t xml:space="preserve">(Tablo 2). </w:t>
      </w:r>
      <w:r w:rsidR="00A310EA" w:rsidRPr="0050008F">
        <w:rPr>
          <w:rFonts w:ascii="Palatino Linotype" w:hAnsi="Palatino Linotype" w:cstheme="minorHAnsi"/>
          <w:sz w:val="22"/>
          <w:szCs w:val="22"/>
        </w:rPr>
        <w:t xml:space="preserve"> </w:t>
      </w:r>
    </w:p>
    <w:p w:rsidR="00D45167" w:rsidRPr="00062A8A" w:rsidRDefault="0088270D" w:rsidP="00681022">
      <w:pPr>
        <w:pStyle w:val="NormalWeb"/>
        <w:spacing w:before="0" w:beforeAutospacing="0" w:after="0" w:afterAutospacing="0" w:line="360" w:lineRule="auto"/>
        <w:ind w:right="77"/>
        <w:rPr>
          <w:rFonts w:ascii="Palatino Linotype" w:hAnsi="Palatino Linotype" w:cstheme="minorHAnsi"/>
          <w:sz w:val="22"/>
          <w:szCs w:val="22"/>
        </w:rPr>
      </w:pPr>
      <w:r w:rsidRPr="0050008F">
        <w:rPr>
          <w:rFonts w:ascii="Palatino Linotype" w:hAnsi="Palatino Linotype" w:cstheme="minorHAnsi"/>
          <w:sz w:val="22"/>
          <w:szCs w:val="22"/>
        </w:rPr>
        <w:t xml:space="preserve">Tüketim ve yatırım verileri beraber değerlendirildiğinde, iç talebin </w:t>
      </w:r>
      <w:r w:rsidR="00130D73">
        <w:rPr>
          <w:rFonts w:ascii="Palatino Linotype" w:hAnsi="Palatino Linotype" w:cstheme="minorHAnsi"/>
          <w:sz w:val="22"/>
          <w:szCs w:val="22"/>
        </w:rPr>
        <w:t xml:space="preserve">belirgin ölçüde </w:t>
      </w:r>
      <w:r w:rsidRPr="00F87405">
        <w:rPr>
          <w:rFonts w:ascii="Palatino Linotype" w:hAnsi="Palatino Linotype" w:cstheme="minorHAnsi"/>
          <w:sz w:val="22"/>
          <w:szCs w:val="22"/>
        </w:rPr>
        <w:t xml:space="preserve">daralmaya </w:t>
      </w:r>
      <w:r w:rsidR="00ED5E21" w:rsidRPr="00F87405">
        <w:rPr>
          <w:rFonts w:ascii="Palatino Linotype" w:hAnsi="Palatino Linotype" w:cstheme="minorHAnsi"/>
          <w:sz w:val="22"/>
          <w:szCs w:val="22"/>
        </w:rPr>
        <w:t>devam ettiğini ve 2018’in son çeyreğindeki küçülmeyi büyük oranda açıkladığını söyleyebiliriz</w:t>
      </w:r>
      <w:r w:rsidRPr="00F87405">
        <w:rPr>
          <w:rFonts w:ascii="Palatino Linotype" w:hAnsi="Palatino Linotype" w:cstheme="minorHAnsi"/>
          <w:sz w:val="22"/>
          <w:szCs w:val="22"/>
        </w:rPr>
        <w:t>.</w:t>
      </w:r>
      <w:r w:rsidR="001A5699">
        <w:rPr>
          <w:rFonts w:ascii="Palatino Linotype" w:hAnsi="Palatino Linotype" w:cstheme="minorHAnsi"/>
          <w:sz w:val="22"/>
          <w:szCs w:val="22"/>
        </w:rPr>
        <w:t xml:space="preserve"> </w:t>
      </w:r>
    </w:p>
    <w:p w:rsidR="00062A8A" w:rsidRDefault="00062A8A" w:rsidP="00681022">
      <w:pPr>
        <w:pStyle w:val="NormalWeb"/>
        <w:spacing w:before="0" w:beforeAutospacing="0" w:after="0" w:afterAutospacing="0" w:line="360" w:lineRule="auto"/>
        <w:ind w:right="77"/>
        <w:rPr>
          <w:rFonts w:ascii="Palatino Linotype" w:hAnsi="Palatino Linotype" w:cstheme="minorHAnsi"/>
          <w:b/>
          <w:sz w:val="22"/>
          <w:szCs w:val="22"/>
        </w:rPr>
      </w:pPr>
    </w:p>
    <w:p w:rsidR="00681AD9" w:rsidRPr="00FD7B4A"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FD7B4A">
        <w:rPr>
          <w:rFonts w:ascii="Palatino Linotype" w:hAnsi="Palatino Linotype" w:cstheme="minorHAnsi"/>
          <w:b/>
          <w:sz w:val="22"/>
          <w:szCs w:val="22"/>
        </w:rPr>
        <w:t>Stok</w:t>
      </w:r>
      <w:r w:rsidR="00FD7B4A" w:rsidRPr="00FD7B4A">
        <w:rPr>
          <w:rFonts w:ascii="Palatino Linotype" w:hAnsi="Palatino Linotype" w:cstheme="minorHAnsi"/>
          <w:b/>
          <w:sz w:val="22"/>
          <w:szCs w:val="22"/>
        </w:rPr>
        <w:t xml:space="preserve">lar </w:t>
      </w:r>
      <w:r w:rsidR="00ED5E21">
        <w:rPr>
          <w:rFonts w:ascii="Palatino Linotype" w:hAnsi="Palatino Linotype" w:cstheme="minorHAnsi"/>
          <w:b/>
          <w:sz w:val="22"/>
          <w:szCs w:val="22"/>
        </w:rPr>
        <w:t>erimeye devam ediyor</w:t>
      </w:r>
      <w:r w:rsidR="00494926" w:rsidRPr="00FD7B4A">
        <w:rPr>
          <w:rStyle w:val="FootnoteReference"/>
          <w:rFonts w:ascii="Palatino Linotype" w:hAnsi="Palatino Linotype" w:cstheme="minorHAnsi"/>
          <w:b/>
          <w:sz w:val="22"/>
          <w:szCs w:val="22"/>
        </w:rPr>
        <w:footnoteReference w:id="4"/>
      </w:r>
    </w:p>
    <w:p w:rsidR="00777AEF" w:rsidRPr="00062A8A" w:rsidRDefault="006F2CD8" w:rsidP="00062A8A">
      <w:pPr>
        <w:pStyle w:val="NormalWeb"/>
        <w:spacing w:before="0" w:beforeAutospacing="0" w:after="0" w:afterAutospacing="0" w:line="360" w:lineRule="auto"/>
        <w:ind w:right="77"/>
        <w:jc w:val="both"/>
        <w:rPr>
          <w:rFonts w:ascii="Palatino Linotype" w:hAnsi="Palatino Linotype" w:cstheme="minorHAnsi"/>
          <w:sz w:val="22"/>
          <w:szCs w:val="22"/>
        </w:rPr>
      </w:pPr>
      <w:bookmarkStart w:id="4" w:name="OLE_LINK7"/>
      <w:bookmarkStart w:id="5" w:name="OLE_LINK8"/>
      <w:r w:rsidRPr="00FD7B4A">
        <w:rPr>
          <w:rFonts w:ascii="Palatino Linotype" w:hAnsi="Palatino Linotype" w:cstheme="minorHAnsi"/>
          <w:sz w:val="22"/>
          <w:szCs w:val="22"/>
        </w:rPr>
        <w:t xml:space="preserve">2018 yılının </w:t>
      </w:r>
      <w:r w:rsidR="00ED5E21">
        <w:rPr>
          <w:rFonts w:ascii="Palatino Linotype" w:hAnsi="Palatino Linotype" w:cstheme="minorHAnsi"/>
          <w:sz w:val="22"/>
          <w:szCs w:val="22"/>
        </w:rPr>
        <w:t>üçüncü</w:t>
      </w:r>
      <w:r w:rsidRPr="00FD7B4A">
        <w:rPr>
          <w:rFonts w:ascii="Palatino Linotype" w:hAnsi="Palatino Linotype" w:cstheme="minorHAnsi"/>
          <w:sz w:val="22"/>
          <w:szCs w:val="22"/>
        </w:rPr>
        <w:t xml:space="preserve"> çeyreğ</w:t>
      </w:r>
      <w:r w:rsidR="00ED5E21">
        <w:rPr>
          <w:rFonts w:ascii="Palatino Linotype" w:hAnsi="Palatino Linotype" w:cstheme="minorHAnsi"/>
          <w:sz w:val="22"/>
          <w:szCs w:val="22"/>
        </w:rPr>
        <w:t>inde eksi 5,9</w:t>
      </w:r>
      <w:r w:rsidR="00F67B66" w:rsidRPr="00FD7B4A">
        <w:rPr>
          <w:rFonts w:ascii="Palatino Linotype" w:hAnsi="Palatino Linotype" w:cstheme="minorHAnsi"/>
          <w:sz w:val="22"/>
          <w:szCs w:val="22"/>
        </w:rPr>
        <w:t xml:space="preserve"> yüzde puan olan </w:t>
      </w:r>
      <w:r w:rsidRPr="00FD7B4A">
        <w:rPr>
          <w:rFonts w:ascii="Palatino Linotype" w:hAnsi="Palatino Linotype" w:cstheme="minorHAnsi"/>
          <w:sz w:val="22"/>
          <w:szCs w:val="22"/>
        </w:rPr>
        <w:t xml:space="preserve">stok değişimlerinin büyümeye katkısı, </w:t>
      </w:r>
      <w:r w:rsidR="00ED5E21">
        <w:rPr>
          <w:rFonts w:ascii="Palatino Linotype" w:hAnsi="Palatino Linotype" w:cstheme="minorHAnsi"/>
          <w:sz w:val="22"/>
          <w:szCs w:val="22"/>
        </w:rPr>
        <w:t>dördüncü</w:t>
      </w:r>
      <w:r w:rsidRPr="00FD7B4A">
        <w:rPr>
          <w:rFonts w:ascii="Palatino Linotype" w:hAnsi="Palatino Linotype" w:cstheme="minorHAnsi"/>
          <w:sz w:val="22"/>
          <w:szCs w:val="22"/>
        </w:rPr>
        <w:t xml:space="preserve"> çeyrekte eksi</w:t>
      </w:r>
      <w:r w:rsidR="00ED5E21">
        <w:rPr>
          <w:rFonts w:ascii="Palatino Linotype" w:hAnsi="Palatino Linotype" w:cstheme="minorHAnsi"/>
          <w:sz w:val="22"/>
          <w:szCs w:val="22"/>
        </w:rPr>
        <w:t xml:space="preserve"> 3,6</w:t>
      </w:r>
      <w:r w:rsidRPr="00FD7B4A">
        <w:rPr>
          <w:rFonts w:ascii="Palatino Linotype" w:hAnsi="Palatino Linotype" w:cstheme="minorHAnsi"/>
          <w:sz w:val="22"/>
          <w:szCs w:val="22"/>
        </w:rPr>
        <w:t xml:space="preserve"> yüzde puan olarak gerçekleşti</w:t>
      </w:r>
      <w:r w:rsidR="00492020" w:rsidRPr="00FD7B4A">
        <w:rPr>
          <w:rFonts w:ascii="Palatino Linotype" w:hAnsi="Palatino Linotype" w:cstheme="minorHAnsi"/>
          <w:sz w:val="22"/>
          <w:szCs w:val="22"/>
        </w:rPr>
        <w:t xml:space="preserve"> </w:t>
      </w:r>
      <w:bookmarkEnd w:id="4"/>
      <w:bookmarkEnd w:id="5"/>
      <w:r w:rsidR="00681022" w:rsidRPr="00FD7B4A">
        <w:rPr>
          <w:rFonts w:ascii="Palatino Linotype" w:hAnsi="Palatino Linotype" w:cstheme="minorHAnsi"/>
          <w:sz w:val="22"/>
          <w:szCs w:val="22"/>
        </w:rPr>
        <w:t xml:space="preserve">(Tablo 1). </w:t>
      </w:r>
      <w:r w:rsidR="006D02FD" w:rsidRPr="00FD7B4A">
        <w:rPr>
          <w:rFonts w:ascii="Palatino Linotype" w:hAnsi="Palatino Linotype" w:cstheme="minorHAnsi"/>
          <w:sz w:val="22"/>
          <w:szCs w:val="22"/>
        </w:rPr>
        <w:t xml:space="preserve">Çeyreklik büyümeye bakıldığında </w:t>
      </w:r>
      <w:r w:rsidR="00B95E66" w:rsidRPr="00FD7B4A">
        <w:rPr>
          <w:rFonts w:ascii="Palatino Linotype" w:hAnsi="Palatino Linotype" w:cstheme="minorHAnsi"/>
          <w:sz w:val="22"/>
          <w:szCs w:val="22"/>
        </w:rPr>
        <w:t>da</w:t>
      </w:r>
      <w:r w:rsidR="006D02FD" w:rsidRPr="00FD7B4A">
        <w:rPr>
          <w:rFonts w:ascii="Palatino Linotype" w:hAnsi="Palatino Linotype" w:cstheme="minorHAnsi"/>
          <w:sz w:val="22"/>
          <w:szCs w:val="22"/>
        </w:rPr>
        <w:t>, m</w:t>
      </w:r>
      <w:r w:rsidR="00681022" w:rsidRPr="00FD7B4A">
        <w:rPr>
          <w:rFonts w:ascii="Palatino Linotype" w:hAnsi="Palatino Linotype" w:cstheme="minorHAnsi"/>
          <w:sz w:val="22"/>
          <w:szCs w:val="22"/>
        </w:rPr>
        <w:t xml:space="preserve">evsim ve takvim etkilerinden arındırılmış stok değişiminin </w:t>
      </w:r>
      <w:r w:rsidR="00ED5E21">
        <w:rPr>
          <w:rFonts w:ascii="Palatino Linotype" w:hAnsi="Palatino Linotype" w:cstheme="minorHAnsi"/>
          <w:sz w:val="22"/>
          <w:szCs w:val="22"/>
        </w:rPr>
        <w:lastRenderedPageBreak/>
        <w:t xml:space="preserve">büyümeye eksi 0,1 yüzde puanla neredeyse </w:t>
      </w:r>
      <w:r w:rsidR="00C754E1">
        <w:rPr>
          <w:rFonts w:ascii="Palatino Linotype" w:hAnsi="Palatino Linotype" w:cstheme="minorHAnsi"/>
          <w:sz w:val="22"/>
          <w:szCs w:val="22"/>
        </w:rPr>
        <w:t>hiç katkıda bulunmadığı</w:t>
      </w:r>
      <w:r w:rsidR="00ED5E21">
        <w:rPr>
          <w:rFonts w:ascii="Palatino Linotype" w:hAnsi="Palatino Linotype" w:cstheme="minorHAnsi"/>
          <w:sz w:val="22"/>
          <w:szCs w:val="22"/>
        </w:rPr>
        <w:t xml:space="preserve"> görülmektedir</w:t>
      </w:r>
      <w:r w:rsidR="00242C10">
        <w:rPr>
          <w:rFonts w:ascii="Palatino Linotype" w:hAnsi="Palatino Linotype" w:cstheme="minorHAnsi"/>
          <w:sz w:val="22"/>
          <w:szCs w:val="22"/>
        </w:rPr>
        <w:t xml:space="preserve"> (Tablo </w:t>
      </w:r>
      <w:r w:rsidR="00681022" w:rsidRPr="00FD7B4A">
        <w:rPr>
          <w:rFonts w:ascii="Palatino Linotype" w:hAnsi="Palatino Linotype" w:cstheme="minorHAnsi"/>
          <w:sz w:val="22"/>
          <w:szCs w:val="22"/>
        </w:rPr>
        <w:t>2).</w:t>
      </w:r>
    </w:p>
    <w:p w:rsidR="00062A8A" w:rsidRDefault="00062A8A" w:rsidP="00F46A54">
      <w:pPr>
        <w:pStyle w:val="NormalWeb"/>
        <w:spacing w:before="0" w:beforeAutospacing="0" w:after="0" w:afterAutospacing="0" w:line="360" w:lineRule="auto"/>
        <w:ind w:right="77"/>
        <w:rPr>
          <w:rFonts w:ascii="Palatino Linotype" w:hAnsi="Palatino Linotype" w:cstheme="minorHAnsi"/>
          <w:b/>
          <w:sz w:val="22"/>
          <w:szCs w:val="22"/>
        </w:rPr>
      </w:pPr>
    </w:p>
    <w:p w:rsidR="00F46A54" w:rsidRPr="0050008F" w:rsidRDefault="003061DC" w:rsidP="00F46A54">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 xml:space="preserve">Net dış ticaretin </w:t>
      </w:r>
      <w:r w:rsidR="00B76782" w:rsidRPr="0050008F">
        <w:rPr>
          <w:rFonts w:ascii="Palatino Linotype" w:hAnsi="Palatino Linotype" w:cstheme="minorHAnsi"/>
          <w:b/>
          <w:sz w:val="22"/>
          <w:szCs w:val="22"/>
        </w:rPr>
        <w:t>pozitif</w:t>
      </w:r>
      <w:r w:rsidR="00B76782">
        <w:rPr>
          <w:rFonts w:ascii="Palatino Linotype" w:hAnsi="Palatino Linotype" w:cstheme="minorHAnsi"/>
          <w:b/>
          <w:sz w:val="22"/>
          <w:szCs w:val="22"/>
        </w:rPr>
        <w:t xml:space="preserve"> </w:t>
      </w:r>
      <w:r w:rsidR="00F67B66">
        <w:rPr>
          <w:rFonts w:ascii="Palatino Linotype" w:hAnsi="Palatino Linotype" w:cstheme="minorHAnsi"/>
          <w:b/>
          <w:sz w:val="22"/>
          <w:szCs w:val="22"/>
        </w:rPr>
        <w:t xml:space="preserve">katkısı </w:t>
      </w:r>
      <w:r w:rsidR="00B76782">
        <w:rPr>
          <w:rFonts w:ascii="Palatino Linotype" w:hAnsi="Palatino Linotype" w:cstheme="minorHAnsi"/>
          <w:b/>
          <w:sz w:val="22"/>
          <w:szCs w:val="22"/>
        </w:rPr>
        <w:t>devam ediyor</w:t>
      </w:r>
    </w:p>
    <w:p w:rsidR="00091F3E" w:rsidRPr="00062A8A" w:rsidRDefault="00A34DB9" w:rsidP="00062A8A">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2018 yılının </w:t>
      </w:r>
      <w:r w:rsidR="00F9530C">
        <w:rPr>
          <w:rFonts w:ascii="Palatino Linotype" w:hAnsi="Palatino Linotype" w:cstheme="minorHAnsi"/>
          <w:sz w:val="22"/>
          <w:szCs w:val="22"/>
        </w:rPr>
        <w:t>üçüncü</w:t>
      </w:r>
      <w:r w:rsidRPr="0050008F">
        <w:rPr>
          <w:rFonts w:ascii="Palatino Linotype" w:hAnsi="Palatino Linotype" w:cstheme="minorHAnsi"/>
          <w:sz w:val="22"/>
          <w:szCs w:val="22"/>
        </w:rPr>
        <w:t xml:space="preserve"> çeyreğinde </w:t>
      </w:r>
      <w:r w:rsidR="006813D8">
        <w:rPr>
          <w:rFonts w:ascii="Palatino Linotype" w:hAnsi="Palatino Linotype" w:cstheme="minorHAnsi"/>
          <w:sz w:val="22"/>
          <w:szCs w:val="22"/>
        </w:rPr>
        <w:t xml:space="preserve">yıllık </w:t>
      </w:r>
      <w:r w:rsidRPr="0050008F">
        <w:rPr>
          <w:rFonts w:ascii="Palatino Linotype" w:hAnsi="Palatino Linotype" w:cstheme="minorHAnsi"/>
          <w:sz w:val="22"/>
          <w:szCs w:val="22"/>
        </w:rPr>
        <w:t xml:space="preserve">ihracat artışının hızlanarak yüzde </w:t>
      </w:r>
      <w:r w:rsidR="00F9530C">
        <w:rPr>
          <w:rFonts w:ascii="Palatino Linotype" w:hAnsi="Palatino Linotype" w:cstheme="minorHAnsi"/>
          <w:sz w:val="22"/>
          <w:szCs w:val="22"/>
        </w:rPr>
        <w:t>13,6’ya</w:t>
      </w:r>
      <w:r w:rsidR="002A16BA">
        <w:rPr>
          <w:rFonts w:ascii="Palatino Linotype" w:hAnsi="Palatino Linotype" w:cstheme="minorHAnsi"/>
          <w:sz w:val="22"/>
          <w:szCs w:val="22"/>
        </w:rPr>
        <w:t xml:space="preserve"> yaklaştığını</w:t>
      </w:r>
      <w:r w:rsidR="00F9530C">
        <w:rPr>
          <w:rFonts w:ascii="Palatino Linotype" w:hAnsi="Palatino Linotype" w:cstheme="minorHAnsi"/>
          <w:sz w:val="22"/>
          <w:szCs w:val="22"/>
        </w:rPr>
        <w:t>, ithalat</w:t>
      </w:r>
      <w:r w:rsidR="006813D8">
        <w:rPr>
          <w:rFonts w:ascii="Palatino Linotype" w:hAnsi="Palatino Linotype" w:cstheme="minorHAnsi"/>
          <w:sz w:val="22"/>
          <w:szCs w:val="22"/>
        </w:rPr>
        <w:t>ın</w:t>
      </w:r>
      <w:r w:rsidRPr="0050008F">
        <w:rPr>
          <w:rFonts w:ascii="Palatino Linotype" w:hAnsi="Palatino Linotype" w:cstheme="minorHAnsi"/>
          <w:sz w:val="22"/>
          <w:szCs w:val="22"/>
        </w:rPr>
        <w:t xml:space="preserve"> i</w:t>
      </w:r>
      <w:r w:rsidR="00F9530C">
        <w:rPr>
          <w:rFonts w:ascii="Palatino Linotype" w:hAnsi="Palatino Linotype" w:cstheme="minorHAnsi"/>
          <w:sz w:val="22"/>
          <w:szCs w:val="22"/>
        </w:rPr>
        <w:t xml:space="preserve">se çok sert bir fren yaparak 2017’nin </w:t>
      </w:r>
      <w:r w:rsidR="00881E18" w:rsidRPr="00DE57B8">
        <w:rPr>
          <w:rFonts w:ascii="Palatino Linotype" w:hAnsi="Palatino Linotype" w:cstheme="minorHAnsi"/>
          <w:sz w:val="22"/>
          <w:szCs w:val="22"/>
        </w:rPr>
        <w:t>üçüncü</w:t>
      </w:r>
      <w:r w:rsidR="00F9530C">
        <w:rPr>
          <w:rFonts w:ascii="Palatino Linotype" w:hAnsi="Palatino Linotype" w:cstheme="minorHAnsi"/>
          <w:sz w:val="22"/>
          <w:szCs w:val="22"/>
        </w:rPr>
        <w:t xml:space="preserve"> </w:t>
      </w:r>
      <w:r w:rsidR="001527FA">
        <w:rPr>
          <w:rFonts w:ascii="Palatino Linotype" w:hAnsi="Palatino Linotype" w:cstheme="minorHAnsi"/>
          <w:sz w:val="22"/>
          <w:szCs w:val="22"/>
        </w:rPr>
        <w:t xml:space="preserve">çeyreğine </w:t>
      </w:r>
      <w:r w:rsidR="00F9530C">
        <w:rPr>
          <w:rFonts w:ascii="Palatino Linotype" w:hAnsi="Palatino Linotype" w:cstheme="minorHAnsi"/>
          <w:sz w:val="22"/>
          <w:szCs w:val="22"/>
        </w:rPr>
        <w:t>göre neredeyse yüzde 17</w:t>
      </w:r>
      <w:r w:rsidR="002A16BA">
        <w:rPr>
          <w:rFonts w:ascii="Palatino Linotype" w:hAnsi="Palatino Linotype" w:cstheme="minorHAnsi"/>
          <w:sz w:val="22"/>
          <w:szCs w:val="22"/>
        </w:rPr>
        <w:t xml:space="preserve"> civarın</w:t>
      </w:r>
      <w:r w:rsidR="00F9530C">
        <w:rPr>
          <w:rFonts w:ascii="Palatino Linotype" w:hAnsi="Palatino Linotype" w:cstheme="minorHAnsi"/>
          <w:sz w:val="22"/>
          <w:szCs w:val="22"/>
        </w:rPr>
        <w:t>d</w:t>
      </w:r>
      <w:r w:rsidR="002A16BA">
        <w:rPr>
          <w:rFonts w:ascii="Palatino Linotype" w:hAnsi="Palatino Linotype" w:cstheme="minorHAnsi"/>
          <w:sz w:val="22"/>
          <w:szCs w:val="22"/>
        </w:rPr>
        <w:t xml:space="preserve">a </w:t>
      </w:r>
      <w:r w:rsidR="00F9530C">
        <w:rPr>
          <w:rFonts w:ascii="Palatino Linotype" w:hAnsi="Palatino Linotype" w:cstheme="minorHAnsi"/>
          <w:sz w:val="22"/>
          <w:szCs w:val="22"/>
        </w:rPr>
        <w:t>azaldığını</w:t>
      </w:r>
      <w:r w:rsidRPr="0050008F">
        <w:rPr>
          <w:rFonts w:ascii="Palatino Linotype" w:hAnsi="Palatino Linotype" w:cstheme="minorHAnsi"/>
          <w:sz w:val="22"/>
          <w:szCs w:val="22"/>
        </w:rPr>
        <w:t xml:space="preserve"> </w:t>
      </w:r>
      <w:r w:rsidR="00F67B66">
        <w:rPr>
          <w:rFonts w:ascii="Palatino Linotype" w:hAnsi="Palatino Linotype" w:cstheme="minorHAnsi"/>
          <w:sz w:val="22"/>
          <w:szCs w:val="22"/>
        </w:rPr>
        <w:t>gözlemlemiştik</w:t>
      </w:r>
      <w:r w:rsidRPr="0050008F">
        <w:rPr>
          <w:rFonts w:ascii="Palatino Linotype" w:hAnsi="Palatino Linotype" w:cstheme="minorHAnsi"/>
          <w:sz w:val="22"/>
          <w:szCs w:val="22"/>
        </w:rPr>
        <w:t xml:space="preserve">. </w:t>
      </w:r>
      <w:r w:rsidR="00F67B66">
        <w:rPr>
          <w:rFonts w:ascii="Palatino Linotype" w:hAnsi="Palatino Linotype" w:cstheme="minorHAnsi"/>
          <w:sz w:val="22"/>
          <w:szCs w:val="22"/>
        </w:rPr>
        <w:t xml:space="preserve">Dış ticaretteki </w:t>
      </w:r>
      <w:r w:rsidR="00F9530C">
        <w:rPr>
          <w:rFonts w:ascii="Palatino Linotype" w:hAnsi="Palatino Linotype" w:cstheme="minorHAnsi"/>
          <w:sz w:val="22"/>
          <w:szCs w:val="22"/>
        </w:rPr>
        <w:t>bu durumun ivmelenerek</w:t>
      </w:r>
      <w:r w:rsidR="002A16BA">
        <w:rPr>
          <w:rFonts w:ascii="Palatino Linotype" w:hAnsi="Palatino Linotype" w:cstheme="minorHAnsi"/>
          <w:sz w:val="22"/>
          <w:szCs w:val="22"/>
        </w:rPr>
        <w:t xml:space="preserve"> </w:t>
      </w:r>
      <w:r w:rsidR="00F9530C">
        <w:rPr>
          <w:rFonts w:ascii="Palatino Linotype" w:hAnsi="Palatino Linotype" w:cstheme="minorHAnsi"/>
          <w:sz w:val="22"/>
          <w:szCs w:val="22"/>
        </w:rPr>
        <w:t>devam ettiğini söyleyebiliriz</w:t>
      </w:r>
      <w:r w:rsidR="00A90B4F">
        <w:rPr>
          <w:rFonts w:ascii="Palatino Linotype" w:hAnsi="Palatino Linotype" w:cstheme="minorHAnsi"/>
          <w:sz w:val="22"/>
          <w:szCs w:val="22"/>
        </w:rPr>
        <w:t>.</w:t>
      </w:r>
      <w:r w:rsidRPr="0050008F">
        <w:rPr>
          <w:rFonts w:ascii="Palatino Linotype" w:hAnsi="Palatino Linotype" w:cstheme="minorHAnsi"/>
          <w:sz w:val="22"/>
          <w:szCs w:val="22"/>
        </w:rPr>
        <w:t xml:space="preserve"> </w:t>
      </w:r>
      <w:bookmarkStart w:id="6" w:name="OLE_LINK9"/>
      <w:bookmarkStart w:id="7" w:name="OLE_LINK10"/>
      <w:r w:rsidR="005D00FB" w:rsidRPr="0050008F">
        <w:rPr>
          <w:rFonts w:ascii="Palatino Linotype" w:hAnsi="Palatino Linotype" w:cstheme="minorHAnsi"/>
          <w:sz w:val="22"/>
          <w:szCs w:val="22"/>
        </w:rPr>
        <w:t xml:space="preserve">2018 yılının </w:t>
      </w:r>
      <w:r w:rsidR="00F9530C">
        <w:rPr>
          <w:rFonts w:ascii="Palatino Linotype" w:hAnsi="Palatino Linotype" w:cstheme="minorHAnsi"/>
          <w:sz w:val="22"/>
          <w:szCs w:val="22"/>
        </w:rPr>
        <w:t>üçüncü</w:t>
      </w:r>
      <w:r w:rsidR="007B5A28">
        <w:rPr>
          <w:rFonts w:ascii="Palatino Linotype" w:hAnsi="Palatino Linotype" w:cstheme="minorHAnsi"/>
          <w:sz w:val="22"/>
          <w:szCs w:val="22"/>
        </w:rPr>
        <w:t xml:space="preserve"> çeyreğinde</w:t>
      </w:r>
      <w:r w:rsidR="002A16BA">
        <w:rPr>
          <w:rFonts w:ascii="Palatino Linotype" w:hAnsi="Palatino Linotype" w:cstheme="minorHAnsi"/>
          <w:sz w:val="22"/>
          <w:szCs w:val="22"/>
        </w:rPr>
        <w:t xml:space="preserve"> </w:t>
      </w:r>
      <w:r w:rsidR="006813D8">
        <w:rPr>
          <w:rFonts w:ascii="Palatino Linotype" w:hAnsi="Palatino Linotype" w:cstheme="minorHAnsi"/>
          <w:sz w:val="22"/>
          <w:szCs w:val="22"/>
        </w:rPr>
        <w:t>net ihracatın</w:t>
      </w:r>
      <w:r w:rsidR="00F9530C">
        <w:rPr>
          <w:rFonts w:ascii="Palatino Linotype" w:hAnsi="Palatino Linotype" w:cstheme="minorHAnsi"/>
          <w:sz w:val="22"/>
          <w:szCs w:val="22"/>
        </w:rPr>
        <w:t xml:space="preserve"> büyümeye</w:t>
      </w:r>
      <w:r w:rsidR="006813D8">
        <w:rPr>
          <w:rFonts w:ascii="Palatino Linotype" w:hAnsi="Palatino Linotype" w:cstheme="minorHAnsi"/>
          <w:sz w:val="22"/>
          <w:szCs w:val="22"/>
        </w:rPr>
        <w:t xml:space="preserve"> 8,2 yüzde puanlık</w:t>
      </w:r>
      <w:r w:rsidR="002A16BA">
        <w:rPr>
          <w:rFonts w:ascii="Palatino Linotype" w:hAnsi="Palatino Linotype" w:cstheme="minorHAnsi"/>
          <w:sz w:val="22"/>
          <w:szCs w:val="22"/>
        </w:rPr>
        <w:t xml:space="preserve"> katkısı</w:t>
      </w:r>
      <w:r w:rsidR="006813D8">
        <w:rPr>
          <w:rFonts w:ascii="Palatino Linotype" w:hAnsi="Palatino Linotype" w:cstheme="minorHAnsi"/>
          <w:sz w:val="22"/>
          <w:szCs w:val="22"/>
        </w:rPr>
        <w:t>nın</w:t>
      </w:r>
      <w:bookmarkEnd w:id="6"/>
      <w:bookmarkEnd w:id="7"/>
      <w:r w:rsidR="001F1554" w:rsidRPr="0050008F">
        <w:rPr>
          <w:rFonts w:ascii="Palatino Linotype" w:hAnsi="Palatino Linotype" w:cstheme="minorHAnsi"/>
          <w:sz w:val="22"/>
          <w:szCs w:val="22"/>
        </w:rPr>
        <w:t xml:space="preserve"> </w:t>
      </w:r>
      <w:r w:rsidR="006813D8">
        <w:rPr>
          <w:rFonts w:ascii="Palatino Linotype" w:hAnsi="Palatino Linotype" w:cstheme="minorHAnsi"/>
          <w:sz w:val="22"/>
          <w:szCs w:val="22"/>
        </w:rPr>
        <w:t>d</w:t>
      </w:r>
      <w:r w:rsidR="00F9530C">
        <w:rPr>
          <w:rFonts w:ascii="Palatino Linotype" w:hAnsi="Palatino Linotype" w:cstheme="minorHAnsi"/>
          <w:sz w:val="22"/>
          <w:szCs w:val="22"/>
        </w:rPr>
        <w:t>ördüncü</w:t>
      </w:r>
      <w:r w:rsidR="007B5A28">
        <w:rPr>
          <w:rFonts w:ascii="Palatino Linotype" w:hAnsi="Palatino Linotype" w:cstheme="minorHAnsi"/>
          <w:sz w:val="22"/>
          <w:szCs w:val="22"/>
        </w:rPr>
        <w:t xml:space="preserve"> çeyre</w:t>
      </w:r>
      <w:r w:rsidR="006813D8">
        <w:rPr>
          <w:rFonts w:ascii="Palatino Linotype" w:hAnsi="Palatino Linotype" w:cstheme="minorHAnsi"/>
          <w:sz w:val="22"/>
          <w:szCs w:val="22"/>
        </w:rPr>
        <w:t xml:space="preserve">kte </w:t>
      </w:r>
      <w:r w:rsidR="00F9530C">
        <w:rPr>
          <w:rFonts w:ascii="Palatino Linotype" w:hAnsi="Palatino Linotype" w:cstheme="minorHAnsi"/>
          <w:sz w:val="22"/>
          <w:szCs w:val="22"/>
        </w:rPr>
        <w:t>9,7</w:t>
      </w:r>
      <w:r w:rsidR="007B5A28">
        <w:rPr>
          <w:rFonts w:ascii="Palatino Linotype" w:hAnsi="Palatino Linotype" w:cstheme="minorHAnsi"/>
          <w:sz w:val="22"/>
          <w:szCs w:val="22"/>
        </w:rPr>
        <w:t xml:space="preserve"> yüzde puana </w:t>
      </w:r>
      <w:r w:rsidR="00F9530C">
        <w:rPr>
          <w:rFonts w:ascii="Palatino Linotype" w:hAnsi="Palatino Linotype" w:cstheme="minorHAnsi"/>
          <w:sz w:val="22"/>
          <w:szCs w:val="22"/>
        </w:rPr>
        <w:t xml:space="preserve">kadar </w:t>
      </w:r>
      <w:r w:rsidR="007B5A28">
        <w:rPr>
          <w:rFonts w:ascii="Palatino Linotype" w:hAnsi="Palatino Linotype" w:cstheme="minorHAnsi"/>
          <w:sz w:val="22"/>
          <w:szCs w:val="22"/>
        </w:rPr>
        <w:t>çıktığını görüyoruz</w:t>
      </w:r>
      <w:r w:rsidR="006813D8">
        <w:rPr>
          <w:rFonts w:ascii="Palatino Linotype" w:hAnsi="Palatino Linotype" w:cstheme="minorHAnsi"/>
          <w:sz w:val="22"/>
          <w:szCs w:val="22"/>
        </w:rPr>
        <w:t xml:space="preserve"> </w:t>
      </w:r>
      <w:r w:rsidR="006813D8" w:rsidRPr="0050008F">
        <w:rPr>
          <w:rFonts w:ascii="Palatino Linotype" w:hAnsi="Palatino Linotype" w:cstheme="minorHAnsi"/>
          <w:sz w:val="22"/>
          <w:szCs w:val="22"/>
        </w:rPr>
        <w:t>(Tablo 1)</w:t>
      </w:r>
      <w:r w:rsidR="007B5A28">
        <w:rPr>
          <w:rFonts w:ascii="Palatino Linotype" w:hAnsi="Palatino Linotype" w:cstheme="minorHAnsi"/>
          <w:sz w:val="22"/>
          <w:szCs w:val="22"/>
        </w:rPr>
        <w:t>.</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F5130C" w:rsidRPr="0050008F">
        <w:rPr>
          <w:rFonts w:ascii="Palatino Linotype" w:hAnsi="Palatino Linotype" w:cstheme="minorHAnsi"/>
          <w:sz w:val="22"/>
          <w:szCs w:val="22"/>
        </w:rPr>
        <w:t>çeyrekten çeyreğe değişim</w:t>
      </w:r>
      <w:r w:rsidR="00C82B14" w:rsidRPr="0050008F">
        <w:rPr>
          <w:rFonts w:ascii="Palatino Linotype" w:hAnsi="Palatino Linotype" w:cstheme="minorHAnsi"/>
          <w:sz w:val="22"/>
          <w:szCs w:val="22"/>
        </w:rPr>
        <w:t>ler</w:t>
      </w:r>
      <w:r w:rsidRPr="0050008F">
        <w:rPr>
          <w:rFonts w:ascii="Palatino Linotype" w:hAnsi="Palatino Linotype" w:cstheme="minorHAnsi"/>
          <w:sz w:val="22"/>
          <w:szCs w:val="22"/>
        </w:rPr>
        <w:t>e bakıldığında</w:t>
      </w:r>
      <w:r w:rsidR="003061DC" w:rsidRPr="0050008F">
        <w:rPr>
          <w:rFonts w:ascii="Palatino Linotype" w:hAnsi="Palatino Linotype" w:cstheme="minorHAnsi"/>
          <w:sz w:val="22"/>
          <w:szCs w:val="22"/>
        </w:rPr>
        <w:t xml:space="preserve"> </w:t>
      </w:r>
      <w:r w:rsidR="006813D8">
        <w:rPr>
          <w:rFonts w:ascii="Palatino Linotype" w:hAnsi="Palatino Linotype" w:cstheme="minorHAnsi"/>
          <w:sz w:val="22"/>
          <w:szCs w:val="22"/>
        </w:rPr>
        <w:t>net ihracatın</w:t>
      </w:r>
      <w:r w:rsidR="006D02FD" w:rsidRPr="0050008F">
        <w:rPr>
          <w:rFonts w:ascii="Palatino Linotype" w:hAnsi="Palatino Linotype" w:cstheme="minorHAnsi"/>
          <w:sz w:val="22"/>
          <w:szCs w:val="22"/>
        </w:rPr>
        <w:t xml:space="preserve"> büyümeye katkısının </w:t>
      </w:r>
      <w:r w:rsidRPr="0050008F">
        <w:rPr>
          <w:rFonts w:ascii="Palatino Linotype" w:hAnsi="Palatino Linotype" w:cstheme="minorHAnsi"/>
          <w:sz w:val="22"/>
          <w:szCs w:val="22"/>
        </w:rPr>
        <w:t xml:space="preserve">pozitif yönde </w:t>
      </w:r>
      <w:r w:rsidR="001777A4">
        <w:rPr>
          <w:rFonts w:ascii="Palatino Linotype" w:hAnsi="Palatino Linotype" w:cstheme="minorHAnsi"/>
          <w:sz w:val="22"/>
          <w:szCs w:val="22"/>
        </w:rPr>
        <w:t xml:space="preserve">devam ettiğini </w:t>
      </w:r>
      <w:r w:rsidR="006813D8">
        <w:rPr>
          <w:rFonts w:ascii="Palatino Linotype" w:hAnsi="Palatino Linotype" w:cstheme="minorHAnsi"/>
          <w:sz w:val="22"/>
          <w:szCs w:val="22"/>
        </w:rPr>
        <w:t>ancak</w:t>
      </w:r>
      <w:r w:rsidR="001777A4">
        <w:rPr>
          <w:rFonts w:ascii="Palatino Linotype" w:hAnsi="Palatino Linotype" w:cstheme="minorHAnsi"/>
          <w:sz w:val="22"/>
          <w:szCs w:val="22"/>
        </w:rPr>
        <w:t xml:space="preserve"> bir</w:t>
      </w:r>
      <w:r w:rsidR="006813D8">
        <w:rPr>
          <w:rFonts w:ascii="Palatino Linotype" w:hAnsi="Palatino Linotype" w:cstheme="minorHAnsi"/>
          <w:sz w:val="22"/>
          <w:szCs w:val="22"/>
        </w:rPr>
        <w:t xml:space="preserve"> miktar</w:t>
      </w:r>
      <w:r w:rsidR="001777A4">
        <w:rPr>
          <w:rFonts w:ascii="Palatino Linotype" w:hAnsi="Palatino Linotype" w:cstheme="minorHAnsi"/>
          <w:sz w:val="22"/>
          <w:szCs w:val="22"/>
        </w:rPr>
        <w:t xml:space="preserve"> ivme kaybettiğini</w:t>
      </w:r>
      <w:r w:rsidR="007B5A28">
        <w:rPr>
          <w:rFonts w:ascii="Palatino Linotype" w:hAnsi="Palatino Linotype" w:cstheme="minorHAnsi"/>
          <w:sz w:val="22"/>
          <w:szCs w:val="22"/>
        </w:rPr>
        <w:t xml:space="preserve"> gözlemliyoruz</w:t>
      </w:r>
      <w:r w:rsidRPr="0050008F">
        <w:rPr>
          <w:rFonts w:ascii="Palatino Linotype" w:hAnsi="Palatino Linotype" w:cstheme="minorHAnsi"/>
          <w:sz w:val="22"/>
          <w:szCs w:val="22"/>
        </w:rPr>
        <w:t xml:space="preserve">. </w:t>
      </w:r>
      <w:r w:rsidR="001777A4">
        <w:rPr>
          <w:rFonts w:ascii="Palatino Linotype" w:hAnsi="Palatino Linotype" w:cstheme="minorHAnsi"/>
          <w:sz w:val="22"/>
          <w:szCs w:val="22"/>
        </w:rPr>
        <w:t>Bir önceki notumuzda net dış ticaretin katkısının üçüncü çeyrekte</w:t>
      </w:r>
      <w:r w:rsidR="007B5A28">
        <w:rPr>
          <w:rFonts w:ascii="Palatino Linotype" w:hAnsi="Palatino Linotype" w:cstheme="minorHAnsi"/>
          <w:sz w:val="22"/>
          <w:szCs w:val="22"/>
        </w:rPr>
        <w:t xml:space="preserve"> 2,7</w:t>
      </w:r>
      <w:r w:rsidRPr="0050008F">
        <w:rPr>
          <w:rFonts w:ascii="Palatino Linotype" w:hAnsi="Palatino Linotype" w:cstheme="minorHAnsi"/>
          <w:sz w:val="22"/>
          <w:szCs w:val="22"/>
        </w:rPr>
        <w:t xml:space="preserve"> yüzde puana çıktığı</w:t>
      </w:r>
      <w:r w:rsidR="001777A4">
        <w:rPr>
          <w:rFonts w:ascii="Palatino Linotype" w:hAnsi="Palatino Linotype" w:cstheme="minorHAnsi"/>
          <w:sz w:val="22"/>
          <w:szCs w:val="22"/>
        </w:rPr>
        <w:t xml:space="preserve">nı söylemiştik; fakat TÜİK’in rakamlarda </w:t>
      </w:r>
      <w:proofErr w:type="gramStart"/>
      <w:r w:rsidR="001777A4">
        <w:rPr>
          <w:rFonts w:ascii="Palatino Linotype" w:hAnsi="Palatino Linotype" w:cstheme="minorHAnsi"/>
          <w:sz w:val="22"/>
          <w:szCs w:val="22"/>
        </w:rPr>
        <w:t>revizyona</w:t>
      </w:r>
      <w:proofErr w:type="gramEnd"/>
      <w:r w:rsidR="001777A4">
        <w:rPr>
          <w:rFonts w:ascii="Palatino Linotype" w:hAnsi="Palatino Linotype" w:cstheme="minorHAnsi"/>
          <w:sz w:val="22"/>
          <w:szCs w:val="22"/>
        </w:rPr>
        <w:t xml:space="preserve"> gitmesi sebebiyle bu katkının 3,4 yüzde puan olduğunu</w:t>
      </w:r>
      <w:r w:rsidR="006813D8">
        <w:rPr>
          <w:rFonts w:ascii="Palatino Linotype" w:hAnsi="Palatino Linotype" w:cstheme="minorHAnsi"/>
          <w:sz w:val="22"/>
          <w:szCs w:val="22"/>
        </w:rPr>
        <w:t>,</w:t>
      </w:r>
      <w:r w:rsidR="001777A4">
        <w:rPr>
          <w:rFonts w:ascii="Palatino Linotype" w:hAnsi="Palatino Linotype" w:cstheme="minorHAnsi"/>
          <w:sz w:val="22"/>
          <w:szCs w:val="22"/>
        </w:rPr>
        <w:t xml:space="preserve"> </w:t>
      </w:r>
      <w:r w:rsidR="006813D8">
        <w:rPr>
          <w:rFonts w:ascii="Palatino Linotype" w:hAnsi="Palatino Linotype" w:cstheme="minorHAnsi"/>
          <w:sz w:val="22"/>
          <w:szCs w:val="22"/>
        </w:rPr>
        <w:t>d</w:t>
      </w:r>
      <w:r w:rsidR="001777A4">
        <w:rPr>
          <w:rFonts w:ascii="Palatino Linotype" w:hAnsi="Palatino Linotype" w:cstheme="minorHAnsi"/>
          <w:sz w:val="22"/>
          <w:szCs w:val="22"/>
        </w:rPr>
        <w:t xml:space="preserve">ördüncü çeyreğe gelindiğinde ise net </w:t>
      </w:r>
      <w:r w:rsidR="006813D8">
        <w:rPr>
          <w:rFonts w:ascii="Palatino Linotype" w:hAnsi="Palatino Linotype" w:cstheme="minorHAnsi"/>
          <w:sz w:val="22"/>
          <w:szCs w:val="22"/>
        </w:rPr>
        <w:t>ihracatın</w:t>
      </w:r>
      <w:r w:rsidR="001777A4">
        <w:rPr>
          <w:rFonts w:ascii="Palatino Linotype" w:hAnsi="Palatino Linotype" w:cstheme="minorHAnsi"/>
          <w:sz w:val="22"/>
          <w:szCs w:val="22"/>
        </w:rPr>
        <w:t xml:space="preserve"> büyümeye katkısı</w:t>
      </w:r>
      <w:r w:rsidR="006813D8">
        <w:rPr>
          <w:rFonts w:ascii="Palatino Linotype" w:hAnsi="Palatino Linotype" w:cstheme="minorHAnsi"/>
          <w:sz w:val="22"/>
          <w:szCs w:val="22"/>
        </w:rPr>
        <w:t>nın</w:t>
      </w:r>
      <w:r w:rsidR="001777A4">
        <w:rPr>
          <w:rFonts w:ascii="Palatino Linotype" w:hAnsi="Palatino Linotype" w:cstheme="minorHAnsi"/>
          <w:sz w:val="22"/>
          <w:szCs w:val="22"/>
        </w:rPr>
        <w:t xml:space="preserve"> 1,6 yüzde puana gerile</w:t>
      </w:r>
      <w:r w:rsidR="006813D8">
        <w:rPr>
          <w:rFonts w:ascii="Palatino Linotype" w:hAnsi="Palatino Linotype" w:cstheme="minorHAnsi"/>
          <w:sz w:val="22"/>
          <w:szCs w:val="22"/>
        </w:rPr>
        <w:t>diği görülüyor</w:t>
      </w:r>
      <w:r w:rsidR="001F1554" w:rsidRPr="0050008F">
        <w:rPr>
          <w:rFonts w:ascii="Palatino Linotype" w:hAnsi="Palatino Linotype" w:cstheme="minorHAnsi"/>
          <w:sz w:val="22"/>
          <w:szCs w:val="22"/>
        </w:rPr>
        <w:t xml:space="preserve"> </w:t>
      </w:r>
      <w:r w:rsidR="00E565C5" w:rsidRPr="0050008F">
        <w:rPr>
          <w:rFonts w:ascii="Palatino Linotype" w:hAnsi="Palatino Linotype" w:cstheme="minorHAnsi"/>
          <w:sz w:val="22"/>
          <w:szCs w:val="22"/>
        </w:rPr>
        <w:t>(Tablo 2).</w:t>
      </w:r>
      <w:r w:rsidR="0087023B" w:rsidRPr="0050008F">
        <w:rPr>
          <w:rFonts w:ascii="Palatino Linotype" w:hAnsi="Palatino Linotype" w:cstheme="minorHAnsi"/>
          <w:sz w:val="22"/>
          <w:szCs w:val="22"/>
        </w:rPr>
        <w:t xml:space="preserve"> </w:t>
      </w:r>
    </w:p>
    <w:p w:rsidR="00062A8A" w:rsidRDefault="00062A8A" w:rsidP="008F1741">
      <w:pPr>
        <w:pStyle w:val="NormalWeb"/>
        <w:spacing w:before="0" w:beforeAutospacing="0" w:after="0" w:afterAutospacing="0" w:line="360" w:lineRule="auto"/>
        <w:ind w:right="77"/>
        <w:rPr>
          <w:rFonts w:ascii="Palatino Linotype" w:hAnsi="Palatino Linotype" w:cstheme="minorHAnsi"/>
          <w:b/>
          <w:bCs/>
          <w:sz w:val="22"/>
          <w:szCs w:val="22"/>
        </w:rPr>
      </w:pPr>
    </w:p>
    <w:p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E495B">
        <w:rPr>
          <w:rFonts w:ascii="Palatino Linotype" w:hAnsi="Palatino Linotype" w:cstheme="minorHAnsi"/>
          <w:b/>
          <w:bCs/>
          <w:sz w:val="22"/>
          <w:szCs w:val="22"/>
        </w:rPr>
        <w:t>Kamu harcamaları</w:t>
      </w:r>
      <w:r w:rsidR="002A16BA" w:rsidRPr="001E495B">
        <w:rPr>
          <w:rFonts w:ascii="Palatino Linotype" w:hAnsi="Palatino Linotype" w:cstheme="minorHAnsi"/>
          <w:b/>
          <w:bCs/>
          <w:sz w:val="22"/>
          <w:szCs w:val="22"/>
        </w:rPr>
        <w:t xml:space="preserve"> </w:t>
      </w:r>
      <w:r w:rsidR="00917330" w:rsidRPr="00DE57B8">
        <w:rPr>
          <w:rFonts w:ascii="Palatino Linotype" w:hAnsi="Palatino Linotype" w:cstheme="minorHAnsi"/>
          <w:b/>
          <w:bCs/>
          <w:sz w:val="22"/>
          <w:szCs w:val="22"/>
        </w:rPr>
        <w:t>yavaşladı</w:t>
      </w:r>
    </w:p>
    <w:p w:rsidR="00844C00" w:rsidRPr="00062A8A" w:rsidRDefault="00321D78" w:rsidP="00062A8A">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2017 </w:t>
      </w:r>
      <w:r w:rsidR="00B76782">
        <w:rPr>
          <w:rFonts w:ascii="Palatino Linotype" w:hAnsi="Palatino Linotype" w:cstheme="minorHAnsi"/>
          <w:sz w:val="22"/>
          <w:szCs w:val="22"/>
        </w:rPr>
        <w:t>yılının dördüncü çeyreğind</w:t>
      </w:r>
      <w:bookmarkStart w:id="8" w:name="_GoBack"/>
      <w:bookmarkEnd w:id="8"/>
      <w:r w:rsidR="00B76782">
        <w:rPr>
          <w:rFonts w:ascii="Palatino Linotype" w:hAnsi="Palatino Linotype" w:cstheme="minorHAnsi"/>
          <w:sz w:val="22"/>
          <w:szCs w:val="22"/>
        </w:rPr>
        <w:t>en itibaren</w:t>
      </w:r>
      <w:r w:rsidR="009B16AD" w:rsidRPr="0050008F">
        <w:rPr>
          <w:rFonts w:ascii="Palatino Linotype" w:hAnsi="Palatino Linotype" w:cstheme="minorHAnsi"/>
          <w:sz w:val="22"/>
          <w:szCs w:val="22"/>
        </w:rPr>
        <w:t xml:space="preserve"> </w:t>
      </w:r>
      <w:r w:rsidR="00B76782">
        <w:rPr>
          <w:rFonts w:ascii="Palatino Linotype" w:hAnsi="Palatino Linotype" w:cstheme="minorHAnsi"/>
          <w:sz w:val="22"/>
          <w:szCs w:val="22"/>
        </w:rPr>
        <w:t>devletin nihai tüketim harcamalarına</w:t>
      </w:r>
      <w:r w:rsidR="00BB3448">
        <w:rPr>
          <w:rFonts w:ascii="Palatino Linotype" w:hAnsi="Palatino Linotype" w:cstheme="minorHAnsi"/>
          <w:sz w:val="22"/>
          <w:szCs w:val="22"/>
        </w:rPr>
        <w:t xml:space="preserve"> gaz ver</w:t>
      </w:r>
      <w:r w:rsidR="009B16AD" w:rsidRPr="0050008F">
        <w:rPr>
          <w:rFonts w:ascii="Palatino Linotype" w:hAnsi="Palatino Linotype" w:cstheme="minorHAnsi"/>
          <w:sz w:val="22"/>
          <w:szCs w:val="22"/>
        </w:rPr>
        <w:t>diği</w:t>
      </w:r>
      <w:r w:rsidR="00BB3448">
        <w:rPr>
          <w:rFonts w:ascii="Palatino Linotype" w:hAnsi="Palatino Linotype" w:cstheme="minorHAnsi"/>
          <w:sz w:val="22"/>
          <w:szCs w:val="22"/>
        </w:rPr>
        <w:t>ni tespit etmiştik. Bu trend 2018 yılının ilk iki çeyreğinde de devam etti.</w:t>
      </w:r>
      <w:r w:rsidR="00935D6E">
        <w:rPr>
          <w:rFonts w:ascii="Palatino Linotype" w:hAnsi="Palatino Linotype" w:cstheme="minorHAnsi"/>
          <w:sz w:val="22"/>
          <w:szCs w:val="22"/>
        </w:rPr>
        <w:t xml:space="preserve"> </w:t>
      </w:r>
      <w:r w:rsidR="00D67F66" w:rsidRPr="00B01508">
        <w:rPr>
          <w:rFonts w:ascii="Palatino Linotype" w:hAnsi="Palatino Linotype" w:cstheme="minorHAnsi"/>
          <w:sz w:val="22"/>
          <w:szCs w:val="22"/>
        </w:rPr>
        <w:t>Üçüncü çeyrekte kamu harcamalarının 2017’nin üçüncü çeyreğine kıyasla yüzde 7,5 büyüyerek bu trendi devam ettirdiğini söylemişti</w:t>
      </w:r>
      <w:r w:rsidR="00B01508" w:rsidRPr="00B01508">
        <w:rPr>
          <w:rFonts w:ascii="Palatino Linotype" w:hAnsi="Palatino Linotype" w:cstheme="minorHAnsi"/>
          <w:sz w:val="22"/>
          <w:szCs w:val="22"/>
        </w:rPr>
        <w:t>k</w:t>
      </w:r>
      <w:r w:rsidR="00D67F66" w:rsidRPr="00B01508">
        <w:rPr>
          <w:rFonts w:ascii="Palatino Linotype" w:hAnsi="Palatino Linotype" w:cstheme="minorHAnsi"/>
          <w:sz w:val="22"/>
          <w:szCs w:val="22"/>
        </w:rPr>
        <w:t>. Ne var ki dördüncü çeyrek için açıklanan seride üçüncü çeyreğe ait kamu harcamaları istatistiklerinin de revize edildiğini ve geçen yılın aynı çeyreğine göre aslında yüzde 3,4 artmış olduğunu görüyoruz.</w:t>
      </w:r>
      <w:r w:rsidR="00D67F66">
        <w:rPr>
          <w:rFonts w:ascii="Palatino Linotype" w:hAnsi="Palatino Linotype" w:cstheme="minorHAnsi"/>
          <w:sz w:val="22"/>
          <w:szCs w:val="22"/>
        </w:rPr>
        <w:t xml:space="preserve"> </w:t>
      </w:r>
      <w:r w:rsidR="00D67F66" w:rsidRPr="00B01508">
        <w:rPr>
          <w:rFonts w:ascii="Palatino Linotype" w:hAnsi="Palatino Linotype" w:cstheme="minorHAnsi"/>
          <w:sz w:val="22"/>
          <w:szCs w:val="22"/>
        </w:rPr>
        <w:t>D</w:t>
      </w:r>
      <w:r w:rsidR="00443C08" w:rsidRPr="00B01508">
        <w:rPr>
          <w:rFonts w:ascii="Palatino Linotype" w:hAnsi="Palatino Linotype" w:cstheme="minorHAnsi"/>
          <w:sz w:val="22"/>
          <w:szCs w:val="22"/>
        </w:rPr>
        <w:t xml:space="preserve">ördüncü çeyrekte ise </w:t>
      </w:r>
      <w:r w:rsidR="00B01508" w:rsidRPr="00B01508">
        <w:rPr>
          <w:rFonts w:ascii="Palatino Linotype" w:hAnsi="Palatino Linotype" w:cstheme="minorHAnsi"/>
          <w:sz w:val="22"/>
          <w:szCs w:val="22"/>
        </w:rPr>
        <w:t xml:space="preserve">kamu tüketimi </w:t>
      </w:r>
      <w:r w:rsidR="00443C08" w:rsidRPr="00B01508">
        <w:rPr>
          <w:rFonts w:ascii="Palatino Linotype" w:hAnsi="Palatino Linotype" w:cstheme="minorHAnsi"/>
          <w:sz w:val="22"/>
          <w:szCs w:val="22"/>
        </w:rPr>
        <w:t xml:space="preserve">iyice durağanlaşarak </w:t>
      </w:r>
      <w:r w:rsidR="00B01508" w:rsidRPr="00B01508">
        <w:rPr>
          <w:rFonts w:ascii="Palatino Linotype" w:hAnsi="Palatino Linotype" w:cstheme="minorHAnsi"/>
          <w:sz w:val="22"/>
          <w:szCs w:val="22"/>
        </w:rPr>
        <w:t xml:space="preserve">yıllık </w:t>
      </w:r>
      <w:proofErr w:type="gramStart"/>
      <w:r w:rsidR="00B01508" w:rsidRPr="00B01508">
        <w:rPr>
          <w:rFonts w:ascii="Palatino Linotype" w:hAnsi="Palatino Linotype" w:cstheme="minorHAnsi"/>
          <w:sz w:val="22"/>
          <w:szCs w:val="22"/>
        </w:rPr>
        <w:t>bazda</w:t>
      </w:r>
      <w:proofErr w:type="gramEnd"/>
      <w:r w:rsidR="00B01508" w:rsidRPr="00B01508">
        <w:rPr>
          <w:rFonts w:ascii="Palatino Linotype" w:hAnsi="Palatino Linotype" w:cstheme="minorHAnsi"/>
          <w:sz w:val="22"/>
          <w:szCs w:val="22"/>
        </w:rPr>
        <w:t xml:space="preserve"> </w:t>
      </w:r>
      <w:r w:rsidR="00443C08" w:rsidRPr="00B01508">
        <w:rPr>
          <w:rFonts w:ascii="Palatino Linotype" w:hAnsi="Palatino Linotype" w:cstheme="minorHAnsi"/>
          <w:sz w:val="22"/>
          <w:szCs w:val="22"/>
        </w:rPr>
        <w:t>yüzde 0,5 artmıştır. Dolayısıyla 2017’nin dördüncü çeyreğinden bu yana süregelen nihai kamu tüketim harcamalarında yaşanan artışların, 2018’in üçüncü çeyreğinde yarı yarıya hız kestiğini, dördüncü çeyreğinde ise neredeyse 0’a yaklaştığını söyleyebiliriz (Tablo 1).</w:t>
      </w:r>
      <w:r w:rsidR="00935D6E" w:rsidRPr="00B01508">
        <w:rPr>
          <w:rFonts w:ascii="Palatino Linotype" w:hAnsi="Palatino Linotype" w:cstheme="minorHAnsi"/>
          <w:sz w:val="22"/>
          <w:szCs w:val="22"/>
        </w:rPr>
        <w:t xml:space="preserve"> </w:t>
      </w:r>
      <w:r w:rsidR="00D24254" w:rsidRPr="00B01508">
        <w:rPr>
          <w:rFonts w:ascii="Palatino Linotype" w:hAnsi="Palatino Linotype" w:cstheme="minorHAnsi"/>
          <w:sz w:val="22"/>
          <w:szCs w:val="22"/>
        </w:rPr>
        <w:t>Mevsim ve takvim etkilerinden arındırılmış çeyreklik büyüme rakamlarına bakt</w:t>
      </w:r>
      <w:r w:rsidR="00935D6E" w:rsidRPr="00B01508">
        <w:rPr>
          <w:rFonts w:ascii="Palatino Linotype" w:hAnsi="Palatino Linotype" w:cstheme="minorHAnsi"/>
          <w:sz w:val="22"/>
          <w:szCs w:val="22"/>
        </w:rPr>
        <w:t>ığımızda ise kamu tüketiminin üçüncü</w:t>
      </w:r>
      <w:r w:rsidR="00D24254" w:rsidRPr="00B01508">
        <w:rPr>
          <w:rFonts w:ascii="Palatino Linotype" w:hAnsi="Palatino Linotype" w:cstheme="minorHAnsi"/>
          <w:sz w:val="22"/>
          <w:szCs w:val="22"/>
        </w:rPr>
        <w:t xml:space="preserve"> çeyrekte </w:t>
      </w:r>
      <w:r w:rsidR="00935D6E" w:rsidRPr="00B01508">
        <w:rPr>
          <w:rFonts w:ascii="Palatino Linotype" w:hAnsi="Palatino Linotype" w:cstheme="minorHAnsi"/>
          <w:sz w:val="22"/>
          <w:szCs w:val="22"/>
        </w:rPr>
        <w:t>yüzde 2,9</w:t>
      </w:r>
      <w:r w:rsidR="005F7787" w:rsidRPr="00B01508">
        <w:rPr>
          <w:rFonts w:ascii="Palatino Linotype" w:hAnsi="Palatino Linotype" w:cstheme="minorHAnsi"/>
          <w:sz w:val="22"/>
          <w:szCs w:val="22"/>
        </w:rPr>
        <w:t xml:space="preserve"> azaldığını, büyümeye ise eksi 0,4 yüzde puan ile negatif</w:t>
      </w:r>
      <w:r w:rsidR="00D24254" w:rsidRPr="00B01508">
        <w:rPr>
          <w:rFonts w:ascii="Palatino Linotype" w:hAnsi="Palatino Linotype" w:cstheme="minorHAnsi"/>
          <w:sz w:val="22"/>
          <w:szCs w:val="22"/>
        </w:rPr>
        <w:t xml:space="preserve"> bir katkı </w:t>
      </w:r>
      <w:r w:rsidR="005F7787" w:rsidRPr="00B01508">
        <w:rPr>
          <w:rFonts w:ascii="Palatino Linotype" w:hAnsi="Palatino Linotype" w:cstheme="minorHAnsi"/>
          <w:sz w:val="22"/>
          <w:szCs w:val="22"/>
        </w:rPr>
        <w:t>yaptığını</w:t>
      </w:r>
      <w:r w:rsidR="00935D6E" w:rsidRPr="00B01508">
        <w:rPr>
          <w:rFonts w:ascii="Palatino Linotype" w:hAnsi="Palatino Linotype" w:cstheme="minorHAnsi"/>
          <w:sz w:val="22"/>
          <w:szCs w:val="22"/>
        </w:rPr>
        <w:t xml:space="preserve"> hesaplamıştık. Yenilenen rakamlar gösteriyor ki üçüncü çeyrekte kamu tüketim harcamaları ikinci çeyreğe göre yüzde 5,1 azalarak büyümeye eksi yüzde 0,8 puanlık negatif bir katkı yapmıştır</w:t>
      </w:r>
      <w:r w:rsidR="00D24254" w:rsidRPr="00B01508">
        <w:rPr>
          <w:rFonts w:ascii="Palatino Linotype" w:hAnsi="Palatino Linotype" w:cstheme="minorHAnsi"/>
          <w:sz w:val="22"/>
          <w:szCs w:val="22"/>
        </w:rPr>
        <w:t xml:space="preserve"> </w:t>
      </w:r>
      <w:r w:rsidR="0087023B" w:rsidRPr="00B01508">
        <w:rPr>
          <w:rFonts w:ascii="Palatino Linotype" w:hAnsi="Palatino Linotype" w:cstheme="minorHAnsi"/>
          <w:sz w:val="22"/>
          <w:szCs w:val="22"/>
        </w:rPr>
        <w:t xml:space="preserve">(Tablo </w:t>
      </w:r>
      <w:r w:rsidR="0087023B" w:rsidRPr="00B01508">
        <w:rPr>
          <w:rFonts w:ascii="Palatino Linotype" w:hAnsi="Palatino Linotype" w:cstheme="minorHAnsi"/>
          <w:sz w:val="22"/>
          <w:szCs w:val="22"/>
        </w:rPr>
        <w:lastRenderedPageBreak/>
        <w:t>2).</w:t>
      </w:r>
      <w:r w:rsidR="00935D6E" w:rsidRPr="00B01508">
        <w:rPr>
          <w:rFonts w:ascii="Palatino Linotype" w:hAnsi="Palatino Linotype" w:cstheme="minorHAnsi"/>
          <w:sz w:val="22"/>
          <w:szCs w:val="22"/>
        </w:rPr>
        <w:t xml:space="preserve"> Dördüncü çeyrek için yaptığımız hesaplar ise bu negatif trendin durduğunu, büyüme oranı ve GSYH büyümesine olan katkısının 0 olduğunu gösteriyor (Tablo 2).</w:t>
      </w:r>
    </w:p>
    <w:p w:rsidR="00062A8A" w:rsidRDefault="00062A8A" w:rsidP="00B27C9F">
      <w:pPr>
        <w:pStyle w:val="NormalWeb"/>
        <w:spacing w:before="0" w:beforeAutospacing="0" w:after="0" w:afterAutospacing="0" w:line="360" w:lineRule="auto"/>
        <w:ind w:right="77"/>
        <w:rPr>
          <w:rFonts w:ascii="Palatino Linotype" w:hAnsi="Palatino Linotype" w:cstheme="minorHAnsi"/>
          <w:b/>
          <w:bCs/>
          <w:sz w:val="22"/>
          <w:szCs w:val="22"/>
        </w:rPr>
      </w:pPr>
    </w:p>
    <w:p w:rsidR="00613D1F" w:rsidRPr="0050008F"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sidRPr="0050008F">
        <w:rPr>
          <w:rFonts w:ascii="Palatino Linotype" w:hAnsi="Palatino Linotype" w:cstheme="minorHAnsi"/>
          <w:b/>
          <w:bCs/>
          <w:sz w:val="22"/>
          <w:szCs w:val="22"/>
        </w:rPr>
        <w:t>B</w:t>
      </w:r>
      <w:r w:rsidR="00B27C9F" w:rsidRPr="0050008F">
        <w:rPr>
          <w:rFonts w:ascii="Palatino Linotype" w:hAnsi="Palatino Linotype" w:cstheme="minorHAnsi"/>
          <w:b/>
          <w:bCs/>
          <w:sz w:val="22"/>
          <w:szCs w:val="22"/>
        </w:rPr>
        <w:t>üyümenin geleceği</w:t>
      </w:r>
    </w:p>
    <w:p w:rsidR="008C56F9" w:rsidRPr="003D4627" w:rsidRDefault="00A444F9" w:rsidP="003D4627">
      <w:pPr>
        <w:pStyle w:val="NormalWeb"/>
        <w:spacing w:before="0" w:beforeAutospacing="0" w:after="0" w:afterAutospacing="0" w:line="360" w:lineRule="auto"/>
        <w:ind w:right="77"/>
        <w:jc w:val="both"/>
        <w:rPr>
          <w:rFonts w:ascii="Palatino Linotype" w:hAnsi="Palatino Linotype" w:cstheme="minorHAnsi"/>
          <w:bCs/>
          <w:sz w:val="22"/>
          <w:szCs w:val="22"/>
        </w:rPr>
      </w:pPr>
      <w:r w:rsidRPr="008914E6">
        <w:rPr>
          <w:rFonts w:ascii="Palatino Linotype" w:hAnsi="Palatino Linotype" w:cstheme="minorHAnsi"/>
          <w:bCs/>
          <w:sz w:val="22"/>
          <w:szCs w:val="22"/>
        </w:rPr>
        <w:t xml:space="preserve">2018’in </w:t>
      </w:r>
      <w:r w:rsidR="008C56F9">
        <w:rPr>
          <w:rFonts w:ascii="Palatino Linotype" w:hAnsi="Palatino Linotype" w:cstheme="minorHAnsi"/>
          <w:bCs/>
          <w:sz w:val="22"/>
          <w:szCs w:val="22"/>
        </w:rPr>
        <w:t>üçüncü</w:t>
      </w:r>
      <w:r w:rsidRPr="008914E6">
        <w:rPr>
          <w:rFonts w:ascii="Palatino Linotype" w:hAnsi="Palatino Linotype" w:cstheme="minorHAnsi"/>
          <w:bCs/>
          <w:sz w:val="22"/>
          <w:szCs w:val="22"/>
        </w:rPr>
        <w:t xml:space="preserve"> çeyreğinden itibaren </w:t>
      </w:r>
      <w:r w:rsidR="00B4685F" w:rsidRPr="008914E6">
        <w:rPr>
          <w:rFonts w:ascii="Palatino Linotype" w:hAnsi="Palatino Linotype" w:cstheme="minorHAnsi"/>
          <w:bCs/>
          <w:sz w:val="22"/>
          <w:szCs w:val="22"/>
        </w:rPr>
        <w:t xml:space="preserve">büyümede </w:t>
      </w:r>
      <w:r w:rsidRPr="008914E6">
        <w:rPr>
          <w:rFonts w:ascii="Palatino Linotype" w:hAnsi="Palatino Linotype" w:cstheme="minorHAnsi"/>
          <w:bCs/>
          <w:sz w:val="22"/>
          <w:szCs w:val="22"/>
        </w:rPr>
        <w:t xml:space="preserve">gözlemlenen </w:t>
      </w:r>
      <w:r w:rsidR="008C56F9" w:rsidRPr="008914E6">
        <w:rPr>
          <w:rFonts w:ascii="Palatino Linotype" w:hAnsi="Palatino Linotype" w:cstheme="minorHAnsi"/>
          <w:bCs/>
          <w:sz w:val="22"/>
          <w:szCs w:val="22"/>
        </w:rPr>
        <w:t xml:space="preserve">negatif yönlü </w:t>
      </w:r>
      <w:r w:rsidR="00CF365B" w:rsidRPr="008914E6">
        <w:rPr>
          <w:rFonts w:ascii="Palatino Linotype" w:hAnsi="Palatino Linotype" w:cstheme="minorHAnsi"/>
          <w:bCs/>
          <w:sz w:val="22"/>
          <w:szCs w:val="22"/>
        </w:rPr>
        <w:t xml:space="preserve">kırılma </w:t>
      </w:r>
      <w:r w:rsidR="008C56F9">
        <w:rPr>
          <w:rFonts w:ascii="Palatino Linotype" w:hAnsi="Palatino Linotype" w:cstheme="minorHAnsi"/>
          <w:bCs/>
          <w:sz w:val="22"/>
          <w:szCs w:val="22"/>
        </w:rPr>
        <w:t xml:space="preserve">dördüncü çeyrekte ivmelenerek </w:t>
      </w:r>
      <w:r w:rsidR="00CF365B" w:rsidRPr="009663D6">
        <w:rPr>
          <w:rFonts w:ascii="Palatino Linotype" w:hAnsi="Palatino Linotype" w:cstheme="minorHAnsi"/>
          <w:bCs/>
          <w:sz w:val="22"/>
          <w:szCs w:val="22"/>
        </w:rPr>
        <w:t>devam e</w:t>
      </w:r>
      <w:r w:rsidR="008C56F9">
        <w:rPr>
          <w:rFonts w:ascii="Palatino Linotype" w:hAnsi="Palatino Linotype" w:cstheme="minorHAnsi"/>
          <w:bCs/>
          <w:sz w:val="22"/>
          <w:szCs w:val="22"/>
        </w:rPr>
        <w:t>tmiştir.</w:t>
      </w:r>
      <w:r w:rsidRPr="009663D6">
        <w:rPr>
          <w:rFonts w:ascii="Palatino Linotype" w:hAnsi="Palatino Linotype" w:cstheme="minorHAnsi"/>
          <w:bCs/>
          <w:sz w:val="22"/>
          <w:szCs w:val="22"/>
        </w:rPr>
        <w:t xml:space="preserve"> Özellikle beklentilerd</w:t>
      </w:r>
      <w:r w:rsidR="00935D6E">
        <w:rPr>
          <w:rFonts w:ascii="Palatino Linotype" w:hAnsi="Palatino Linotype" w:cstheme="minorHAnsi"/>
          <w:bCs/>
          <w:sz w:val="22"/>
          <w:szCs w:val="22"/>
        </w:rPr>
        <w:t>eki bozulmalar, faiz oranları,</w:t>
      </w:r>
      <w:r w:rsidRPr="009663D6">
        <w:rPr>
          <w:rFonts w:ascii="Palatino Linotype" w:hAnsi="Palatino Linotype" w:cstheme="minorHAnsi"/>
          <w:bCs/>
          <w:sz w:val="22"/>
          <w:szCs w:val="22"/>
        </w:rPr>
        <w:t xml:space="preserve"> kurlardaki artışlar</w:t>
      </w:r>
      <w:r w:rsidR="00935D6E">
        <w:rPr>
          <w:rFonts w:ascii="Palatino Linotype" w:hAnsi="Palatino Linotype" w:cstheme="minorHAnsi"/>
          <w:bCs/>
          <w:sz w:val="22"/>
          <w:szCs w:val="22"/>
        </w:rPr>
        <w:t xml:space="preserve"> ve </w:t>
      </w:r>
      <w:r w:rsidR="00935D6E" w:rsidRPr="008C56F9">
        <w:rPr>
          <w:rFonts w:ascii="Palatino Linotype" w:hAnsi="Palatino Linotype" w:cstheme="minorHAnsi"/>
          <w:bCs/>
          <w:sz w:val="22"/>
          <w:szCs w:val="22"/>
        </w:rPr>
        <w:t>enflasyonu</w:t>
      </w:r>
      <w:r w:rsidRPr="008C56F9">
        <w:rPr>
          <w:rFonts w:ascii="Palatino Linotype" w:hAnsi="Palatino Linotype" w:cstheme="minorHAnsi"/>
          <w:bCs/>
          <w:sz w:val="22"/>
          <w:szCs w:val="22"/>
        </w:rPr>
        <w:t>n</w:t>
      </w:r>
      <w:r w:rsidRPr="009663D6">
        <w:rPr>
          <w:rFonts w:ascii="Palatino Linotype" w:hAnsi="Palatino Linotype" w:cstheme="minorHAnsi"/>
          <w:bCs/>
          <w:sz w:val="22"/>
          <w:szCs w:val="22"/>
        </w:rPr>
        <w:t xml:space="preserve"> olumsuz etkileri iç talep</w:t>
      </w:r>
      <w:r w:rsidR="008914E6" w:rsidRPr="009663D6">
        <w:rPr>
          <w:rFonts w:ascii="Palatino Linotype" w:hAnsi="Palatino Linotype" w:cstheme="minorHAnsi"/>
          <w:bCs/>
          <w:sz w:val="22"/>
          <w:szCs w:val="22"/>
        </w:rPr>
        <w:t xml:space="preserve">te bariz bir şekilde gözlemleniyor. </w:t>
      </w:r>
      <w:r w:rsidR="0064483B" w:rsidRPr="00201E79">
        <w:rPr>
          <w:rFonts w:ascii="Palatino Linotype" w:hAnsi="Palatino Linotype" w:cstheme="minorHAnsi"/>
          <w:bCs/>
          <w:sz w:val="22"/>
          <w:szCs w:val="22"/>
        </w:rPr>
        <w:t xml:space="preserve">İç talepteki </w:t>
      </w:r>
      <w:r w:rsidR="008C56F9" w:rsidRPr="00201E79">
        <w:rPr>
          <w:rFonts w:ascii="Palatino Linotype" w:hAnsi="Palatino Linotype" w:cstheme="minorHAnsi"/>
          <w:bCs/>
          <w:sz w:val="22"/>
          <w:szCs w:val="22"/>
        </w:rPr>
        <w:t>zafiyetin</w:t>
      </w:r>
      <w:r w:rsidR="0064483B" w:rsidRPr="00201E79">
        <w:rPr>
          <w:rFonts w:ascii="Palatino Linotype" w:hAnsi="Palatino Linotype" w:cstheme="minorHAnsi"/>
          <w:bCs/>
          <w:sz w:val="22"/>
          <w:szCs w:val="22"/>
        </w:rPr>
        <w:t xml:space="preserve"> </w:t>
      </w:r>
      <w:r w:rsidR="008C56F9" w:rsidRPr="00201E79">
        <w:rPr>
          <w:rFonts w:ascii="Palatino Linotype" w:hAnsi="Palatino Linotype" w:cstheme="minorHAnsi"/>
          <w:bCs/>
          <w:sz w:val="22"/>
          <w:szCs w:val="22"/>
        </w:rPr>
        <w:t xml:space="preserve">ve beklentilerdeki bozulmanın </w:t>
      </w:r>
      <w:r w:rsidR="0064483B" w:rsidRPr="00201E79">
        <w:rPr>
          <w:rFonts w:ascii="Palatino Linotype" w:hAnsi="Palatino Linotype" w:cstheme="minorHAnsi"/>
          <w:bCs/>
          <w:sz w:val="22"/>
          <w:szCs w:val="22"/>
        </w:rPr>
        <w:t xml:space="preserve">bir yansıması olarak firmaların üretimi kısarak satışları stoklardan yaptıkları anlaşılıyor. 2008 yılında küresel krizin etkisiyle yaşanan daralmada da benzer bir olgunun </w:t>
      </w:r>
      <w:r w:rsidR="00707FBD" w:rsidRPr="00201E79">
        <w:rPr>
          <w:rFonts w:ascii="Palatino Linotype" w:hAnsi="Palatino Linotype" w:cstheme="minorHAnsi"/>
          <w:bCs/>
          <w:sz w:val="22"/>
          <w:szCs w:val="22"/>
        </w:rPr>
        <w:t>gerçekleştiğini</w:t>
      </w:r>
      <w:r w:rsidR="0064483B" w:rsidRPr="00201E79">
        <w:rPr>
          <w:rFonts w:ascii="Palatino Linotype" w:hAnsi="Palatino Linotype" w:cstheme="minorHAnsi"/>
          <w:bCs/>
          <w:sz w:val="22"/>
          <w:szCs w:val="22"/>
        </w:rPr>
        <w:t xml:space="preserve"> not etmek isteriz. </w:t>
      </w:r>
      <w:r w:rsidR="008914E6" w:rsidRPr="00201E79">
        <w:rPr>
          <w:rFonts w:ascii="Palatino Linotype" w:hAnsi="Palatino Linotype" w:cstheme="minorHAnsi"/>
          <w:bCs/>
          <w:sz w:val="22"/>
          <w:szCs w:val="22"/>
        </w:rPr>
        <w:t>Buna karşılık iç talepteki daralmanın</w:t>
      </w:r>
      <w:r w:rsidRPr="00201E79">
        <w:rPr>
          <w:rFonts w:ascii="Palatino Linotype" w:hAnsi="Palatino Linotype" w:cstheme="minorHAnsi"/>
          <w:bCs/>
          <w:sz w:val="22"/>
          <w:szCs w:val="22"/>
        </w:rPr>
        <w:t xml:space="preserve"> </w:t>
      </w:r>
      <w:r w:rsidR="00DF08BD" w:rsidRPr="00201E79">
        <w:rPr>
          <w:rFonts w:ascii="Palatino Linotype" w:hAnsi="Palatino Linotype" w:cstheme="minorHAnsi"/>
          <w:bCs/>
          <w:sz w:val="22"/>
          <w:szCs w:val="22"/>
        </w:rPr>
        <w:t>ve kısmen</w:t>
      </w:r>
      <w:r w:rsidR="008914E6" w:rsidRPr="00201E79">
        <w:rPr>
          <w:rFonts w:ascii="Palatino Linotype" w:hAnsi="Palatino Linotype" w:cstheme="minorHAnsi"/>
          <w:bCs/>
          <w:sz w:val="22"/>
          <w:szCs w:val="22"/>
        </w:rPr>
        <w:t xml:space="preserve"> kurun</w:t>
      </w:r>
      <w:r w:rsidR="00DF08BD" w:rsidRPr="00201E79">
        <w:rPr>
          <w:rFonts w:ascii="Palatino Linotype" w:hAnsi="Palatino Linotype" w:cstheme="minorHAnsi"/>
          <w:bCs/>
          <w:sz w:val="22"/>
          <w:szCs w:val="22"/>
        </w:rPr>
        <w:t xml:space="preserve"> da</w:t>
      </w:r>
      <w:r w:rsidR="008914E6" w:rsidRPr="00201E79">
        <w:rPr>
          <w:rFonts w:ascii="Palatino Linotype" w:hAnsi="Palatino Linotype" w:cstheme="minorHAnsi"/>
          <w:bCs/>
          <w:sz w:val="22"/>
          <w:szCs w:val="22"/>
        </w:rPr>
        <w:t xml:space="preserve"> etkisiyle firmaların ihracata yöneldikleri görülüyor. Net ihracatın yaptığı yüksek pozitif katkı sayesinde </w:t>
      </w:r>
      <w:r w:rsidR="008C56F9" w:rsidRPr="00201E79">
        <w:rPr>
          <w:rFonts w:ascii="Palatino Linotype" w:hAnsi="Palatino Linotype" w:cstheme="minorHAnsi"/>
          <w:bCs/>
          <w:sz w:val="22"/>
          <w:szCs w:val="22"/>
        </w:rPr>
        <w:t>yılın ikinci yarısında yaşanan daralmanın dozu hafiflemiştir.</w:t>
      </w:r>
      <w:r w:rsidR="003D4627">
        <w:rPr>
          <w:rFonts w:ascii="Palatino Linotype" w:hAnsi="Palatino Linotype" w:cstheme="minorHAnsi"/>
          <w:bCs/>
          <w:sz w:val="22"/>
          <w:szCs w:val="22"/>
        </w:rPr>
        <w:t xml:space="preserve"> </w:t>
      </w:r>
      <w:r w:rsidR="008C56F9" w:rsidRPr="00201E79">
        <w:rPr>
          <w:rFonts w:ascii="Palatino Linotype" w:hAnsi="Palatino Linotype" w:cstheme="minorHAnsi"/>
          <w:bCs/>
          <w:sz w:val="22"/>
          <w:szCs w:val="22"/>
        </w:rPr>
        <w:t>Bu yılın ilk çeyreğine ilişkin i</w:t>
      </w:r>
      <w:r w:rsidR="008C56F9" w:rsidRPr="00201E79">
        <w:rPr>
          <w:rFonts w:ascii="Palatino Linotype" w:hAnsi="Palatino Linotype" w:cstheme="minorHAnsi"/>
          <w:sz w:val="22"/>
          <w:szCs w:val="22"/>
        </w:rPr>
        <w:t>lk öncü göstergeler zıt yönlerde olup bariz bir toparlanmaya işaret etmemektedir. Ocak ayı sanay</w:t>
      </w:r>
      <w:r w:rsidR="002D1797" w:rsidRPr="00201E79">
        <w:rPr>
          <w:rFonts w:ascii="Palatino Linotype" w:hAnsi="Palatino Linotype" w:cstheme="minorHAnsi"/>
          <w:sz w:val="22"/>
          <w:szCs w:val="22"/>
        </w:rPr>
        <w:t>i endeksinin ve diğer göstergele</w:t>
      </w:r>
      <w:r w:rsidR="008C56F9" w:rsidRPr="00201E79">
        <w:rPr>
          <w:rFonts w:ascii="Palatino Linotype" w:hAnsi="Palatino Linotype" w:cstheme="minorHAnsi"/>
          <w:sz w:val="22"/>
          <w:szCs w:val="22"/>
        </w:rPr>
        <w:t xml:space="preserve">rin yayınlanması ile birlikte </w:t>
      </w:r>
      <w:r w:rsidR="002D1797" w:rsidRPr="00201E79">
        <w:rPr>
          <w:rFonts w:ascii="Palatino Linotype" w:hAnsi="Palatino Linotype" w:cstheme="minorHAnsi"/>
          <w:sz w:val="22"/>
          <w:szCs w:val="22"/>
        </w:rPr>
        <w:t xml:space="preserve">Betam 2019 birinci çeyrek büyüme tahminini önümüzdeki </w:t>
      </w:r>
      <w:r w:rsidR="008C56F9" w:rsidRPr="00201E79">
        <w:rPr>
          <w:rFonts w:ascii="Palatino Linotype" w:hAnsi="Palatino Linotype" w:cstheme="minorHAnsi"/>
          <w:sz w:val="22"/>
          <w:szCs w:val="22"/>
        </w:rPr>
        <w:t xml:space="preserve">hafta yayınlayacağız. </w:t>
      </w:r>
    </w:p>
    <w:p w:rsidR="00062A8A" w:rsidRDefault="008C56F9"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Cs/>
          <w:sz w:val="22"/>
          <w:szCs w:val="22"/>
          <w:highlight w:val="yellow"/>
        </w:rPr>
        <w:t xml:space="preserve"> </w:t>
      </w:r>
      <w:r w:rsidR="003D4627">
        <w:rPr>
          <w:rFonts w:ascii="Palatino Linotype" w:hAnsi="Palatino Linotype" w:cstheme="minorHAnsi"/>
          <w:bCs/>
          <w:sz w:val="22"/>
          <w:szCs w:val="22"/>
          <w:highlight w:val="yellow"/>
        </w:rPr>
        <w:t xml:space="preserve"> </w:t>
      </w:r>
    </w:p>
    <w:p w:rsidR="00DF08BD" w:rsidRDefault="00E85F3F"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Şekil </w:t>
      </w:r>
      <w:r w:rsidR="00F22A71"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Bir önceki çeyreğe ve geçen yılın aynı çeyreğine göre GSYH büyüme oranları</w:t>
      </w:r>
    </w:p>
    <w:p w:rsidR="003A4C32" w:rsidRDefault="003A4C32"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lang w:val="en-GB" w:eastAsia="en-GB"/>
        </w:rPr>
        <w:drawing>
          <wp:inline distT="0" distB="0" distL="0" distR="0" wp14:anchorId="7FB9C234" wp14:editId="38CC7600">
            <wp:extent cx="5943600" cy="3321170"/>
            <wp:effectExtent l="0" t="0" r="0" b="12700"/>
            <wp:docPr id="8" name="Chart 8">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080D" w:rsidRPr="00062A8A"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18"/>
          <w:szCs w:val="18"/>
        </w:rPr>
        <w:t>Kaynak: TÜİK, Betam</w:t>
      </w:r>
    </w:p>
    <w:sectPr w:rsidR="001A080D" w:rsidRPr="00062A8A"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FE" w:rsidRDefault="005C00FE" w:rsidP="00DA0C5D">
      <w:r>
        <w:separator/>
      </w:r>
    </w:p>
  </w:endnote>
  <w:endnote w:type="continuationSeparator" w:id="0">
    <w:p w:rsidR="005C00FE" w:rsidRDefault="005C00FE"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FE" w:rsidRDefault="005C00FE" w:rsidP="00DA0C5D">
      <w:r>
        <w:separator/>
      </w:r>
    </w:p>
  </w:footnote>
  <w:footnote w:type="continuationSeparator" w:id="0">
    <w:p w:rsidR="005C00FE" w:rsidRDefault="005C00FE" w:rsidP="00DA0C5D">
      <w:r>
        <w:continuationSeparator/>
      </w:r>
    </w:p>
  </w:footnote>
  <w:footnote w:id="1">
    <w:p w:rsidR="003172DB" w:rsidRPr="001866FC" w:rsidRDefault="003172DB" w:rsidP="003172DB">
      <w:pPr>
        <w:pStyle w:val="FootnoteText"/>
        <w:rPr>
          <w:rFonts w:ascii="Palatino Linotype" w:hAnsi="Palatino Linotype"/>
          <w:sz w:val="18"/>
          <w:szCs w:val="18"/>
        </w:rPr>
      </w:pPr>
      <w:r>
        <w:rPr>
          <w:rStyle w:val="FootnoteReference"/>
        </w:rPr>
        <w:footnoteRef/>
      </w:r>
      <w:r>
        <w:t xml:space="preserve"> </w:t>
      </w:r>
      <w:r w:rsidRPr="001866FC">
        <w:rPr>
          <w:rFonts w:ascii="Palatino Linotype" w:hAnsi="Palatino Linotype"/>
          <w:sz w:val="18"/>
          <w:szCs w:val="18"/>
        </w:rPr>
        <w:t>Betam, Direktör, seyfettin.gursel@eas.bahcesehir.edu.tr</w:t>
      </w:r>
    </w:p>
  </w:footnote>
  <w:footnote w:id="2">
    <w:p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3">
    <w:p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9B385A">
        <w:rPr>
          <w:rFonts w:ascii="Palatino Linotype" w:hAnsi="Palatino Linotype"/>
          <w:sz w:val="18"/>
          <w:szCs w:val="18"/>
        </w:rPr>
        <w:t xml:space="preserve"> furkan.kavuncu</w:t>
      </w:r>
      <w:r w:rsidRPr="001866FC">
        <w:rPr>
          <w:rFonts w:ascii="Palatino Linotype" w:hAnsi="Palatino Linotype"/>
          <w:sz w:val="18"/>
          <w:szCs w:val="18"/>
        </w:rPr>
        <w:t>@eas.bau.edu.tr</w:t>
      </w:r>
      <w:r>
        <w:t xml:space="preserve"> </w:t>
      </w:r>
    </w:p>
  </w:footnote>
  <w:footnote w:id="4">
    <w:p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17B51"/>
    <w:rsid w:val="00036770"/>
    <w:rsid w:val="00041FB7"/>
    <w:rsid w:val="0004390D"/>
    <w:rsid w:val="0005290F"/>
    <w:rsid w:val="00052B86"/>
    <w:rsid w:val="00054943"/>
    <w:rsid w:val="00055EA1"/>
    <w:rsid w:val="00057F8E"/>
    <w:rsid w:val="00062A8A"/>
    <w:rsid w:val="000652B6"/>
    <w:rsid w:val="00073415"/>
    <w:rsid w:val="00080211"/>
    <w:rsid w:val="00080336"/>
    <w:rsid w:val="00085271"/>
    <w:rsid w:val="000905E5"/>
    <w:rsid w:val="00091F3E"/>
    <w:rsid w:val="00096CDA"/>
    <w:rsid w:val="000978C8"/>
    <w:rsid w:val="000A05ED"/>
    <w:rsid w:val="000A3019"/>
    <w:rsid w:val="000A612E"/>
    <w:rsid w:val="000B0FC1"/>
    <w:rsid w:val="000B45D6"/>
    <w:rsid w:val="000C634D"/>
    <w:rsid w:val="000D5FD3"/>
    <w:rsid w:val="000E445D"/>
    <w:rsid w:val="000F0B6B"/>
    <w:rsid w:val="000F2C7A"/>
    <w:rsid w:val="000F6529"/>
    <w:rsid w:val="0010209C"/>
    <w:rsid w:val="00111CED"/>
    <w:rsid w:val="0011613D"/>
    <w:rsid w:val="0012527F"/>
    <w:rsid w:val="00125770"/>
    <w:rsid w:val="00126200"/>
    <w:rsid w:val="00130D73"/>
    <w:rsid w:val="00132910"/>
    <w:rsid w:val="00140468"/>
    <w:rsid w:val="00143F17"/>
    <w:rsid w:val="0014542A"/>
    <w:rsid w:val="001527FA"/>
    <w:rsid w:val="001537D8"/>
    <w:rsid w:val="00160880"/>
    <w:rsid w:val="001648AB"/>
    <w:rsid w:val="001744CD"/>
    <w:rsid w:val="001777A4"/>
    <w:rsid w:val="00184174"/>
    <w:rsid w:val="001855BC"/>
    <w:rsid w:val="001866FC"/>
    <w:rsid w:val="00190944"/>
    <w:rsid w:val="001A080D"/>
    <w:rsid w:val="001A42FF"/>
    <w:rsid w:val="001A5699"/>
    <w:rsid w:val="001B3A44"/>
    <w:rsid w:val="001C2C68"/>
    <w:rsid w:val="001C65BF"/>
    <w:rsid w:val="001D0150"/>
    <w:rsid w:val="001D420E"/>
    <w:rsid w:val="001D5B02"/>
    <w:rsid w:val="001D6465"/>
    <w:rsid w:val="001E495B"/>
    <w:rsid w:val="001E514D"/>
    <w:rsid w:val="001E72E4"/>
    <w:rsid w:val="001F12E3"/>
    <w:rsid w:val="001F1554"/>
    <w:rsid w:val="001F7B1D"/>
    <w:rsid w:val="001F7BC7"/>
    <w:rsid w:val="00201E79"/>
    <w:rsid w:val="00202302"/>
    <w:rsid w:val="002106DF"/>
    <w:rsid w:val="00212579"/>
    <w:rsid w:val="00214914"/>
    <w:rsid w:val="0022673E"/>
    <w:rsid w:val="002343A8"/>
    <w:rsid w:val="00242C10"/>
    <w:rsid w:val="0025111C"/>
    <w:rsid w:val="002663FD"/>
    <w:rsid w:val="002714F9"/>
    <w:rsid w:val="00275745"/>
    <w:rsid w:val="002804E5"/>
    <w:rsid w:val="00282242"/>
    <w:rsid w:val="002847DE"/>
    <w:rsid w:val="0028498B"/>
    <w:rsid w:val="0029215C"/>
    <w:rsid w:val="00295E9A"/>
    <w:rsid w:val="0029624E"/>
    <w:rsid w:val="002A07A9"/>
    <w:rsid w:val="002A16BA"/>
    <w:rsid w:val="002C5C24"/>
    <w:rsid w:val="002C64BB"/>
    <w:rsid w:val="002D1797"/>
    <w:rsid w:val="002D4D2D"/>
    <w:rsid w:val="002F2245"/>
    <w:rsid w:val="003061DC"/>
    <w:rsid w:val="003172DB"/>
    <w:rsid w:val="00321D78"/>
    <w:rsid w:val="0032324A"/>
    <w:rsid w:val="00324C51"/>
    <w:rsid w:val="00326195"/>
    <w:rsid w:val="00327CFB"/>
    <w:rsid w:val="00334E27"/>
    <w:rsid w:val="00344A74"/>
    <w:rsid w:val="00351F12"/>
    <w:rsid w:val="00362359"/>
    <w:rsid w:val="00375EB0"/>
    <w:rsid w:val="003777B5"/>
    <w:rsid w:val="003967B5"/>
    <w:rsid w:val="003A488B"/>
    <w:rsid w:val="003A4C32"/>
    <w:rsid w:val="003A7596"/>
    <w:rsid w:val="003B2008"/>
    <w:rsid w:val="003B2D0B"/>
    <w:rsid w:val="003C2891"/>
    <w:rsid w:val="003C65A1"/>
    <w:rsid w:val="003D44CE"/>
    <w:rsid w:val="003D4627"/>
    <w:rsid w:val="003E1EED"/>
    <w:rsid w:val="003E3299"/>
    <w:rsid w:val="00405BD8"/>
    <w:rsid w:val="00407C84"/>
    <w:rsid w:val="00431C38"/>
    <w:rsid w:val="00433A75"/>
    <w:rsid w:val="00443C08"/>
    <w:rsid w:val="00447743"/>
    <w:rsid w:val="00451A8A"/>
    <w:rsid w:val="004623F2"/>
    <w:rsid w:val="00476E22"/>
    <w:rsid w:val="00477AED"/>
    <w:rsid w:val="00483EC5"/>
    <w:rsid w:val="0048774D"/>
    <w:rsid w:val="00492020"/>
    <w:rsid w:val="004931A5"/>
    <w:rsid w:val="00494926"/>
    <w:rsid w:val="004B130D"/>
    <w:rsid w:val="004B6E05"/>
    <w:rsid w:val="004B7166"/>
    <w:rsid w:val="004C548E"/>
    <w:rsid w:val="004E0098"/>
    <w:rsid w:val="004E5018"/>
    <w:rsid w:val="004F0543"/>
    <w:rsid w:val="004F10AB"/>
    <w:rsid w:val="0050008F"/>
    <w:rsid w:val="005020BC"/>
    <w:rsid w:val="00505041"/>
    <w:rsid w:val="00506253"/>
    <w:rsid w:val="00510883"/>
    <w:rsid w:val="00530B9F"/>
    <w:rsid w:val="0053582F"/>
    <w:rsid w:val="0053586E"/>
    <w:rsid w:val="0054145E"/>
    <w:rsid w:val="00542345"/>
    <w:rsid w:val="00544773"/>
    <w:rsid w:val="005600E7"/>
    <w:rsid w:val="00572FD8"/>
    <w:rsid w:val="005748A8"/>
    <w:rsid w:val="005824BD"/>
    <w:rsid w:val="0058588C"/>
    <w:rsid w:val="00586424"/>
    <w:rsid w:val="005A2246"/>
    <w:rsid w:val="005A617F"/>
    <w:rsid w:val="005B35F3"/>
    <w:rsid w:val="005C00FE"/>
    <w:rsid w:val="005C08B0"/>
    <w:rsid w:val="005C6245"/>
    <w:rsid w:val="005D00FB"/>
    <w:rsid w:val="005D2979"/>
    <w:rsid w:val="005D4126"/>
    <w:rsid w:val="005D72F5"/>
    <w:rsid w:val="005E2717"/>
    <w:rsid w:val="005E49F0"/>
    <w:rsid w:val="005F0C29"/>
    <w:rsid w:val="005F69B2"/>
    <w:rsid w:val="005F7787"/>
    <w:rsid w:val="00613D1F"/>
    <w:rsid w:val="0061410A"/>
    <w:rsid w:val="00625B95"/>
    <w:rsid w:val="00631D5B"/>
    <w:rsid w:val="00632221"/>
    <w:rsid w:val="0064012D"/>
    <w:rsid w:val="00643113"/>
    <w:rsid w:val="006432C9"/>
    <w:rsid w:val="006439C5"/>
    <w:rsid w:val="00643F5D"/>
    <w:rsid w:val="0064483B"/>
    <w:rsid w:val="00645147"/>
    <w:rsid w:val="00647318"/>
    <w:rsid w:val="00650BB3"/>
    <w:rsid w:val="006549E3"/>
    <w:rsid w:val="00655938"/>
    <w:rsid w:val="006761BB"/>
    <w:rsid w:val="0067693E"/>
    <w:rsid w:val="00681022"/>
    <w:rsid w:val="006813D8"/>
    <w:rsid w:val="00681AD9"/>
    <w:rsid w:val="00694B4D"/>
    <w:rsid w:val="00694F52"/>
    <w:rsid w:val="006A201E"/>
    <w:rsid w:val="006B0633"/>
    <w:rsid w:val="006C3EE6"/>
    <w:rsid w:val="006C49A7"/>
    <w:rsid w:val="006D02FD"/>
    <w:rsid w:val="006D1DD6"/>
    <w:rsid w:val="006D32A0"/>
    <w:rsid w:val="006F1912"/>
    <w:rsid w:val="006F2CD8"/>
    <w:rsid w:val="006F5E82"/>
    <w:rsid w:val="006F615A"/>
    <w:rsid w:val="00707FBD"/>
    <w:rsid w:val="00711A8A"/>
    <w:rsid w:val="007135FC"/>
    <w:rsid w:val="00720250"/>
    <w:rsid w:val="00724E7C"/>
    <w:rsid w:val="0074205B"/>
    <w:rsid w:val="00751F72"/>
    <w:rsid w:val="00761711"/>
    <w:rsid w:val="00765445"/>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7A10"/>
    <w:rsid w:val="00830B62"/>
    <w:rsid w:val="008312F9"/>
    <w:rsid w:val="00832402"/>
    <w:rsid w:val="00841E4C"/>
    <w:rsid w:val="00844C00"/>
    <w:rsid w:val="0084500C"/>
    <w:rsid w:val="00845A54"/>
    <w:rsid w:val="0084623F"/>
    <w:rsid w:val="008469D3"/>
    <w:rsid w:val="00856B55"/>
    <w:rsid w:val="0086495E"/>
    <w:rsid w:val="00865CE6"/>
    <w:rsid w:val="0087023B"/>
    <w:rsid w:val="00870A3F"/>
    <w:rsid w:val="00881E18"/>
    <w:rsid w:val="0088270D"/>
    <w:rsid w:val="00884819"/>
    <w:rsid w:val="0089048A"/>
    <w:rsid w:val="008914E6"/>
    <w:rsid w:val="008945AE"/>
    <w:rsid w:val="008B29F8"/>
    <w:rsid w:val="008C51CA"/>
    <w:rsid w:val="008C56F9"/>
    <w:rsid w:val="008C70C5"/>
    <w:rsid w:val="008F1741"/>
    <w:rsid w:val="008F2BCD"/>
    <w:rsid w:val="00914D26"/>
    <w:rsid w:val="00916533"/>
    <w:rsid w:val="00917330"/>
    <w:rsid w:val="009247BA"/>
    <w:rsid w:val="00924CD9"/>
    <w:rsid w:val="00927D28"/>
    <w:rsid w:val="00935D6E"/>
    <w:rsid w:val="00940DA9"/>
    <w:rsid w:val="00945950"/>
    <w:rsid w:val="00957FE5"/>
    <w:rsid w:val="00961F5B"/>
    <w:rsid w:val="00963B04"/>
    <w:rsid w:val="009663D6"/>
    <w:rsid w:val="0098310A"/>
    <w:rsid w:val="00983612"/>
    <w:rsid w:val="00996151"/>
    <w:rsid w:val="00997694"/>
    <w:rsid w:val="00997713"/>
    <w:rsid w:val="009A71AF"/>
    <w:rsid w:val="009B1546"/>
    <w:rsid w:val="009B16AD"/>
    <w:rsid w:val="009B2E56"/>
    <w:rsid w:val="009B385A"/>
    <w:rsid w:val="009B651F"/>
    <w:rsid w:val="009C66C3"/>
    <w:rsid w:val="009D71BF"/>
    <w:rsid w:val="009E0348"/>
    <w:rsid w:val="009E25DA"/>
    <w:rsid w:val="009E5241"/>
    <w:rsid w:val="009E68C6"/>
    <w:rsid w:val="009F2483"/>
    <w:rsid w:val="009F603E"/>
    <w:rsid w:val="00A0130D"/>
    <w:rsid w:val="00A03316"/>
    <w:rsid w:val="00A04EFA"/>
    <w:rsid w:val="00A15DC3"/>
    <w:rsid w:val="00A2601A"/>
    <w:rsid w:val="00A303D5"/>
    <w:rsid w:val="00A3095F"/>
    <w:rsid w:val="00A310EA"/>
    <w:rsid w:val="00A322AA"/>
    <w:rsid w:val="00A34DB9"/>
    <w:rsid w:val="00A444F9"/>
    <w:rsid w:val="00A46C4A"/>
    <w:rsid w:val="00A50FB7"/>
    <w:rsid w:val="00A6165E"/>
    <w:rsid w:val="00A675D3"/>
    <w:rsid w:val="00A719DB"/>
    <w:rsid w:val="00A842EA"/>
    <w:rsid w:val="00A8572B"/>
    <w:rsid w:val="00A86808"/>
    <w:rsid w:val="00A874DA"/>
    <w:rsid w:val="00A90B4F"/>
    <w:rsid w:val="00A90F77"/>
    <w:rsid w:val="00A92286"/>
    <w:rsid w:val="00A9270B"/>
    <w:rsid w:val="00AB1006"/>
    <w:rsid w:val="00AB36F7"/>
    <w:rsid w:val="00AD7ADC"/>
    <w:rsid w:val="00AE59EE"/>
    <w:rsid w:val="00B01508"/>
    <w:rsid w:val="00B02D74"/>
    <w:rsid w:val="00B17241"/>
    <w:rsid w:val="00B17B6A"/>
    <w:rsid w:val="00B24D13"/>
    <w:rsid w:val="00B27C9F"/>
    <w:rsid w:val="00B34132"/>
    <w:rsid w:val="00B36BFA"/>
    <w:rsid w:val="00B45DFF"/>
    <w:rsid w:val="00B4685F"/>
    <w:rsid w:val="00B56D03"/>
    <w:rsid w:val="00B703DE"/>
    <w:rsid w:val="00B76782"/>
    <w:rsid w:val="00B82B92"/>
    <w:rsid w:val="00B9319A"/>
    <w:rsid w:val="00B95E66"/>
    <w:rsid w:val="00BA3C62"/>
    <w:rsid w:val="00BB3448"/>
    <w:rsid w:val="00BB5725"/>
    <w:rsid w:val="00BC1EF8"/>
    <w:rsid w:val="00BD51DF"/>
    <w:rsid w:val="00BD6621"/>
    <w:rsid w:val="00BE06CE"/>
    <w:rsid w:val="00BE7C49"/>
    <w:rsid w:val="00BF1EC4"/>
    <w:rsid w:val="00C11B5A"/>
    <w:rsid w:val="00C126FC"/>
    <w:rsid w:val="00C21E02"/>
    <w:rsid w:val="00C271FA"/>
    <w:rsid w:val="00C32789"/>
    <w:rsid w:val="00C34C5C"/>
    <w:rsid w:val="00C35660"/>
    <w:rsid w:val="00C5056E"/>
    <w:rsid w:val="00C53444"/>
    <w:rsid w:val="00C57749"/>
    <w:rsid w:val="00C60221"/>
    <w:rsid w:val="00C6130D"/>
    <w:rsid w:val="00C73CC1"/>
    <w:rsid w:val="00C754E1"/>
    <w:rsid w:val="00C82B14"/>
    <w:rsid w:val="00C850EC"/>
    <w:rsid w:val="00C86475"/>
    <w:rsid w:val="00C9036E"/>
    <w:rsid w:val="00C97FD1"/>
    <w:rsid w:val="00CA234B"/>
    <w:rsid w:val="00CB3462"/>
    <w:rsid w:val="00CB767C"/>
    <w:rsid w:val="00CC3EAD"/>
    <w:rsid w:val="00CC79C0"/>
    <w:rsid w:val="00CF365B"/>
    <w:rsid w:val="00CF5053"/>
    <w:rsid w:val="00CF7798"/>
    <w:rsid w:val="00D07713"/>
    <w:rsid w:val="00D10C44"/>
    <w:rsid w:val="00D136A7"/>
    <w:rsid w:val="00D24254"/>
    <w:rsid w:val="00D257C1"/>
    <w:rsid w:val="00D34702"/>
    <w:rsid w:val="00D45167"/>
    <w:rsid w:val="00D4574F"/>
    <w:rsid w:val="00D463B7"/>
    <w:rsid w:val="00D50220"/>
    <w:rsid w:val="00D53424"/>
    <w:rsid w:val="00D60AAF"/>
    <w:rsid w:val="00D63430"/>
    <w:rsid w:val="00D67F66"/>
    <w:rsid w:val="00D732A9"/>
    <w:rsid w:val="00D803A1"/>
    <w:rsid w:val="00D90931"/>
    <w:rsid w:val="00D94A3B"/>
    <w:rsid w:val="00D9649B"/>
    <w:rsid w:val="00DA0C5D"/>
    <w:rsid w:val="00DB5518"/>
    <w:rsid w:val="00DB6C1E"/>
    <w:rsid w:val="00DC0B1C"/>
    <w:rsid w:val="00DD2D75"/>
    <w:rsid w:val="00DD4D85"/>
    <w:rsid w:val="00DE57B8"/>
    <w:rsid w:val="00DF08BD"/>
    <w:rsid w:val="00DF1057"/>
    <w:rsid w:val="00DF44DE"/>
    <w:rsid w:val="00E05DE7"/>
    <w:rsid w:val="00E122C5"/>
    <w:rsid w:val="00E23E54"/>
    <w:rsid w:val="00E25A25"/>
    <w:rsid w:val="00E306CB"/>
    <w:rsid w:val="00E3778C"/>
    <w:rsid w:val="00E40CBC"/>
    <w:rsid w:val="00E41840"/>
    <w:rsid w:val="00E4681E"/>
    <w:rsid w:val="00E540BC"/>
    <w:rsid w:val="00E565C5"/>
    <w:rsid w:val="00E57043"/>
    <w:rsid w:val="00E5723B"/>
    <w:rsid w:val="00E667CB"/>
    <w:rsid w:val="00E67DCD"/>
    <w:rsid w:val="00E750CC"/>
    <w:rsid w:val="00E82940"/>
    <w:rsid w:val="00E83A84"/>
    <w:rsid w:val="00E85F3F"/>
    <w:rsid w:val="00EA0ED2"/>
    <w:rsid w:val="00EA7527"/>
    <w:rsid w:val="00EB2C83"/>
    <w:rsid w:val="00EB476F"/>
    <w:rsid w:val="00EB52B3"/>
    <w:rsid w:val="00EC136E"/>
    <w:rsid w:val="00EC2814"/>
    <w:rsid w:val="00EC37CB"/>
    <w:rsid w:val="00ED0762"/>
    <w:rsid w:val="00ED5E21"/>
    <w:rsid w:val="00EE0633"/>
    <w:rsid w:val="00EE150B"/>
    <w:rsid w:val="00EF09A7"/>
    <w:rsid w:val="00EF29EC"/>
    <w:rsid w:val="00F0076E"/>
    <w:rsid w:val="00F00FB7"/>
    <w:rsid w:val="00F0654E"/>
    <w:rsid w:val="00F118B1"/>
    <w:rsid w:val="00F136EE"/>
    <w:rsid w:val="00F22A71"/>
    <w:rsid w:val="00F27D86"/>
    <w:rsid w:val="00F31726"/>
    <w:rsid w:val="00F41E19"/>
    <w:rsid w:val="00F441A2"/>
    <w:rsid w:val="00F44E44"/>
    <w:rsid w:val="00F46A54"/>
    <w:rsid w:val="00F50705"/>
    <w:rsid w:val="00F5130C"/>
    <w:rsid w:val="00F65C09"/>
    <w:rsid w:val="00F676BF"/>
    <w:rsid w:val="00F67B66"/>
    <w:rsid w:val="00F70EC7"/>
    <w:rsid w:val="00F87405"/>
    <w:rsid w:val="00F9160B"/>
    <w:rsid w:val="00F94113"/>
    <w:rsid w:val="00F9530C"/>
    <w:rsid w:val="00FA206C"/>
    <w:rsid w:val="00FA63BA"/>
    <w:rsid w:val="00FB3FBF"/>
    <w:rsid w:val="00FD2267"/>
    <w:rsid w:val="00FD35CE"/>
    <w:rsid w:val="00FD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20(Furk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Q4 (F) '!$F$3</c:f>
              <c:strCache>
                <c:ptCount val="1"/>
                <c:pt idx="0">
                  <c:v>Katkı (%)</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3-6E80-45B5-9B4E-428B6C855DB9}"/>
              </c:ext>
            </c:extLst>
          </c:dPt>
          <c:dPt>
            <c:idx val="2"/>
            <c:invertIfNegative val="0"/>
            <c:bubble3D val="0"/>
            <c:spPr>
              <a:solidFill>
                <a:srgbClr val="C00000"/>
              </a:solidFill>
              <a:ln>
                <a:noFill/>
              </a:ln>
              <a:effectLst/>
            </c:spPr>
            <c:extLst>
              <c:ext xmlns:c16="http://schemas.microsoft.com/office/drawing/2014/chart" uri="{C3380CC4-5D6E-409C-BE32-E72D297353CC}">
                <c16:uniqueId val="{00000002-6E80-45B5-9B4E-428B6C855DB9}"/>
              </c:ext>
            </c:extLst>
          </c:dPt>
          <c:dPt>
            <c:idx val="3"/>
            <c:invertIfNegative val="0"/>
            <c:bubble3D val="0"/>
            <c:spPr>
              <a:solidFill>
                <a:srgbClr val="C00000"/>
              </a:solidFill>
              <a:ln>
                <a:noFill/>
              </a:ln>
              <a:effectLst/>
            </c:spPr>
            <c:extLst>
              <c:ext xmlns:c16="http://schemas.microsoft.com/office/drawing/2014/chart" uri="{C3380CC4-5D6E-409C-BE32-E72D297353CC}">
                <c16:uniqueId val="{00000001-6E80-45B5-9B4E-428B6C855D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'2018 Q4 (F) '!$F$4:$F$9</c:f>
              <c:numCache>
                <c:formatCode>0.0</c:formatCode>
                <c:ptCount val="6"/>
                <c:pt idx="0">
                  <c:v>-5.2807517880245696</c:v>
                </c:pt>
                <c:pt idx="1">
                  <c:v>7.3408384190071396E-2</c:v>
                </c:pt>
                <c:pt idx="2">
                  <c:v>-3.8910425832945701</c:v>
                </c:pt>
                <c:pt idx="3">
                  <c:v>-3.59759271221326</c:v>
                </c:pt>
                <c:pt idx="4">
                  <c:v>2.3682611903726101</c:v>
                </c:pt>
                <c:pt idx="5">
                  <c:v>7.3457743364319796</c:v>
                </c:pt>
              </c:numCache>
            </c:numRef>
          </c:val>
          <c:extLst>
            <c:ext xmlns:c16="http://schemas.microsoft.com/office/drawing/2014/chart" uri="{C3380CC4-5D6E-409C-BE32-E72D297353CC}">
              <c16:uniqueId val="{00000000-6E80-45B5-9B4E-428B6C855DB9}"/>
            </c:ext>
          </c:extLst>
        </c:ser>
        <c:dLbls>
          <c:dLblPos val="outEnd"/>
          <c:showLegendKey val="0"/>
          <c:showVal val="1"/>
          <c:showCatName val="0"/>
          <c:showSerName val="0"/>
          <c:showPercent val="0"/>
          <c:showBubbleSize val="0"/>
        </c:dLbls>
        <c:gapWidth val="219"/>
        <c:overlap val="-27"/>
        <c:axId val="285294352"/>
        <c:axId val="285292672"/>
      </c:barChart>
      <c:catAx>
        <c:axId val="285294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92672"/>
        <c:crosses val="autoZero"/>
        <c:auto val="1"/>
        <c:lblAlgn val="ctr"/>
        <c:lblOffset val="100"/>
        <c:noMultiLvlLbl val="0"/>
      </c:catAx>
      <c:valAx>
        <c:axId val="2852926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9435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Q4 (F) '!$E$3</c:f>
              <c:strCache>
                <c:ptCount val="1"/>
                <c:pt idx="0">
                  <c:v>Değişim (%)</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5398-43B6-854B-9BAB6768CB9C}"/>
              </c:ext>
            </c:extLst>
          </c:dPt>
          <c:dPt>
            <c:idx val="2"/>
            <c:invertIfNegative val="0"/>
            <c:bubble3D val="0"/>
            <c:spPr>
              <a:solidFill>
                <a:srgbClr val="C00000"/>
              </a:solidFill>
              <a:ln>
                <a:noFill/>
              </a:ln>
              <a:effectLst/>
            </c:spPr>
            <c:extLst>
              <c:ext xmlns:c16="http://schemas.microsoft.com/office/drawing/2014/chart" uri="{C3380CC4-5D6E-409C-BE32-E72D297353CC}">
                <c16:uniqueId val="{00000002-5398-43B6-854B-9BAB6768CB9C}"/>
              </c:ext>
            </c:extLst>
          </c:dPt>
          <c:dPt>
            <c:idx val="4"/>
            <c:invertIfNegative val="0"/>
            <c:bubble3D val="0"/>
            <c:spPr>
              <a:solidFill>
                <a:srgbClr val="C00000"/>
              </a:solidFill>
              <a:ln>
                <a:noFill/>
              </a:ln>
              <a:effectLst/>
            </c:spPr>
            <c:extLst>
              <c:ext xmlns:c16="http://schemas.microsoft.com/office/drawing/2014/chart" uri="{C3380CC4-5D6E-409C-BE32-E72D297353CC}">
                <c16:uniqueId val="{00000003-5398-43B6-854B-9BAB6768CB9C}"/>
              </c:ext>
            </c:extLst>
          </c:dPt>
          <c:dPt>
            <c:idx val="5"/>
            <c:invertIfNegative val="0"/>
            <c:bubble3D val="0"/>
            <c:spPr>
              <a:solidFill>
                <a:srgbClr val="C00000"/>
              </a:solidFill>
              <a:ln>
                <a:noFill/>
              </a:ln>
              <a:effectLst/>
            </c:spPr>
            <c:extLst>
              <c:ext xmlns:c16="http://schemas.microsoft.com/office/drawing/2014/chart" uri="{C3380CC4-5D6E-409C-BE32-E72D297353CC}">
                <c16:uniqueId val="{00000004-5398-43B6-854B-9BAB6768C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'2018 Q4 (F) '!$E$4:$E$10</c:f>
              <c:numCache>
                <c:formatCode>0.0</c:formatCode>
                <c:ptCount val="6"/>
                <c:pt idx="0">
                  <c:v>-8.8966694785644673</c:v>
                </c:pt>
                <c:pt idx="1">
                  <c:v>0.46176005348339544</c:v>
                </c:pt>
                <c:pt idx="2">
                  <c:v>-12.901047619685679</c:v>
                </c:pt>
                <c:pt idx="3">
                  <c:v>10.560271303703672</c:v>
                </c:pt>
                <c:pt idx="4">
                  <c:v>-24.397121910336928</c:v>
                </c:pt>
                <c:pt idx="5">
                  <c:v>-2.9819431725377266</c:v>
                </c:pt>
              </c:numCache>
              <c:extLst/>
            </c:numRef>
          </c:val>
          <c:extLst>
            <c:ext xmlns:c16="http://schemas.microsoft.com/office/drawing/2014/chart" uri="{C3380CC4-5D6E-409C-BE32-E72D297353CC}">
              <c16:uniqueId val="{00000000-5398-43B6-854B-9BAB6768CB9C}"/>
            </c:ext>
          </c:extLst>
        </c:ser>
        <c:dLbls>
          <c:dLblPos val="outEnd"/>
          <c:showLegendKey val="0"/>
          <c:showVal val="1"/>
          <c:showCatName val="0"/>
          <c:showSerName val="0"/>
          <c:showPercent val="0"/>
          <c:showBubbleSize val="0"/>
        </c:dLbls>
        <c:gapWidth val="219"/>
        <c:overlap val="-27"/>
        <c:axId val="277387280"/>
        <c:axId val="277385040"/>
      </c:barChart>
      <c:catAx>
        <c:axId val="277387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385040"/>
        <c:crosses val="autoZero"/>
        <c:auto val="1"/>
        <c:lblAlgn val="ctr"/>
        <c:lblOffset val="100"/>
        <c:noMultiLvlLbl val="0"/>
      </c:catAx>
      <c:valAx>
        <c:axId val="277385040"/>
        <c:scaling>
          <c:orientation val="minMax"/>
          <c:max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38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Q4 (F) '!$E$29</c:f>
              <c:strCache>
                <c:ptCount val="1"/>
                <c:pt idx="0">
                  <c:v>Yıllık değişim</c:v>
                </c:pt>
              </c:strCache>
            </c:strRef>
          </c:tx>
          <c:spPr>
            <a:solidFill>
              <a:schemeClr val="accent1"/>
            </a:solidFill>
            <a:ln>
              <a:noFill/>
            </a:ln>
            <a:effectLst/>
          </c:spPr>
          <c:invertIfNegative val="0"/>
          <c:cat>
            <c:strRef>
              <c:f>'2018 Q4 (F) '!$A$34:$A$57</c:f>
              <c:strCache>
                <c:ptCount val="24"/>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strCache>
            </c:strRef>
          </c:cat>
          <c:val>
            <c:numRef>
              <c:f>'2018 Q4 (F) '!$E$34:$E$57</c:f>
              <c:numCache>
                <c:formatCode>0.0</c:formatCode>
                <c:ptCount val="24"/>
                <c:pt idx="0">
                  <c:v>8.4909431903980259</c:v>
                </c:pt>
                <c:pt idx="1">
                  <c:v>9.8066583993321679</c:v>
                </c:pt>
                <c:pt idx="2">
                  <c:v>8.9226688185641834</c:v>
                </c:pt>
                <c:pt idx="3">
                  <c:v>6.8804097448097012</c:v>
                </c:pt>
                <c:pt idx="4">
                  <c:v>8.679514433077685</c:v>
                </c:pt>
                <c:pt idx="5">
                  <c:v>2.8975438907233864</c:v>
                </c:pt>
                <c:pt idx="6">
                  <c:v>3.6662593748295391</c:v>
                </c:pt>
                <c:pt idx="7">
                  <c:v>5.9302729224654627</c:v>
                </c:pt>
                <c:pt idx="8">
                  <c:v>3.6016444988062446</c:v>
                </c:pt>
                <c:pt idx="9">
                  <c:v>7.1600269167206632</c:v>
                </c:pt>
                <c:pt idx="10">
                  <c:v>5.7850603678571977</c:v>
                </c:pt>
                <c:pt idx="11">
                  <c:v>7.4964855651153073</c:v>
                </c:pt>
                <c:pt idx="12">
                  <c:v>4.8088368037152884</c:v>
                </c:pt>
                <c:pt idx="13">
                  <c:v>4.9296739692042513</c:v>
                </c:pt>
                <c:pt idx="14">
                  <c:v>-0.81201901704391899</c:v>
                </c:pt>
                <c:pt idx="15">
                  <c:v>4.2392839151392803</c:v>
                </c:pt>
                <c:pt idx="16">
                  <c:v>5.2650794795255695</c:v>
                </c:pt>
                <c:pt idx="17">
                  <c:v>5.3007189170621638</c:v>
                </c:pt>
                <c:pt idx="18">
                  <c:v>11.493733635725434</c:v>
                </c:pt>
                <c:pt idx="19">
                  <c:v>7.3402777621066173</c:v>
                </c:pt>
                <c:pt idx="20">
                  <c:v>7.3595983802974274</c:v>
                </c:pt>
                <c:pt idx="21">
                  <c:v>5.3470747779079453</c:v>
                </c:pt>
                <c:pt idx="22">
                  <c:v>1.8431156434429941</c:v>
                </c:pt>
                <c:pt idx="23">
                  <c:v>-2.9819431725377266</c:v>
                </c:pt>
              </c:numCache>
            </c:numRef>
          </c:val>
          <c:extLst>
            <c:ext xmlns:c16="http://schemas.microsoft.com/office/drawing/2014/chart" uri="{C3380CC4-5D6E-409C-BE32-E72D297353CC}">
              <c16:uniqueId val="{00000000-EA59-4524-9609-CB8137562F36}"/>
            </c:ext>
          </c:extLst>
        </c:ser>
        <c:dLbls>
          <c:showLegendKey val="0"/>
          <c:showVal val="0"/>
          <c:showCatName val="0"/>
          <c:showSerName val="0"/>
          <c:showPercent val="0"/>
          <c:showBubbleSize val="0"/>
        </c:dLbls>
        <c:gapWidth val="75"/>
        <c:overlap val="-25"/>
        <c:axId val="144118416"/>
        <c:axId val="144115616"/>
      </c:barChart>
      <c:lineChart>
        <c:grouping val="standard"/>
        <c:varyColors val="0"/>
        <c:ser>
          <c:idx val="1"/>
          <c:order val="1"/>
          <c:tx>
            <c:strRef>
              <c:f>'2018 Q4 (F) '!$F$29</c:f>
              <c:strCache>
                <c:ptCount val="1"/>
                <c:pt idx="0">
                  <c:v>Çeyreklik değişim</c:v>
                </c:pt>
              </c:strCache>
            </c:strRef>
          </c:tx>
          <c:spPr>
            <a:ln w="25400" cap="rnd">
              <a:solidFill>
                <a:schemeClr val="tx1"/>
              </a:solidFill>
              <a:round/>
            </a:ln>
            <a:effectLst/>
          </c:spPr>
          <c:marker>
            <c:symbol val="none"/>
          </c:marker>
          <c:cat>
            <c:strRef>
              <c:f>'2018 Q4 (F) '!$A$34:$A$57</c:f>
              <c:strCache>
                <c:ptCount val="24"/>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strCache>
            </c:strRef>
          </c:cat>
          <c:val>
            <c:numRef>
              <c:f>'2018 Q4 (F) '!$F$34:$F$57</c:f>
              <c:numCache>
                <c:formatCode>0.0</c:formatCode>
                <c:ptCount val="24"/>
                <c:pt idx="0">
                  <c:v>3.6208473646581751</c:v>
                </c:pt>
                <c:pt idx="1">
                  <c:v>2.6178718123111455</c:v>
                </c:pt>
                <c:pt idx="2">
                  <c:v>1.3467776239150187</c:v>
                </c:pt>
                <c:pt idx="3">
                  <c:v>0.7323027398944415</c:v>
                </c:pt>
                <c:pt idx="4">
                  <c:v>2.6644199701995719</c:v>
                </c:pt>
                <c:pt idx="5">
                  <c:v>-1.5498061972216148</c:v>
                </c:pt>
                <c:pt idx="6">
                  <c:v>2.3568373716194246</c:v>
                </c:pt>
                <c:pt idx="7">
                  <c:v>1.4948925124467438</c:v>
                </c:pt>
                <c:pt idx="8">
                  <c:v>1.8589673319550526</c:v>
                </c:pt>
                <c:pt idx="9">
                  <c:v>1.4981017111983297</c:v>
                </c:pt>
                <c:pt idx="10">
                  <c:v>1.180776871342748</c:v>
                </c:pt>
                <c:pt idx="11">
                  <c:v>1.3846224922384742</c:v>
                </c:pt>
                <c:pt idx="12">
                  <c:v>0.3993967031380663</c:v>
                </c:pt>
                <c:pt idx="13">
                  <c:v>1.1467715746786844</c:v>
                </c:pt>
                <c:pt idx="14">
                  <c:v>-2.8155583220313751</c:v>
                </c:pt>
                <c:pt idx="15">
                  <c:v>5.4781543929074861</c:v>
                </c:pt>
                <c:pt idx="16">
                  <c:v>1.4298783377244551</c:v>
                </c:pt>
                <c:pt idx="17">
                  <c:v>1.9546251515511592</c:v>
                </c:pt>
                <c:pt idx="18">
                  <c:v>1.5899017780522051</c:v>
                </c:pt>
                <c:pt idx="19">
                  <c:v>2.471158914413607</c:v>
                </c:pt>
                <c:pt idx="20">
                  <c:v>0.91909887721526307</c:v>
                </c:pt>
                <c:pt idx="21">
                  <c:v>4.5691456917063E-2</c:v>
                </c:pt>
                <c:pt idx="22">
                  <c:v>-1.5741832195134253</c:v>
                </c:pt>
                <c:pt idx="23">
                  <c:v>-2.4480734714396823</c:v>
                </c:pt>
              </c:numCache>
            </c:numRef>
          </c:val>
          <c:smooth val="0"/>
          <c:extLst>
            <c:ext xmlns:c16="http://schemas.microsoft.com/office/drawing/2014/chart" uri="{C3380CC4-5D6E-409C-BE32-E72D297353CC}">
              <c16:uniqueId val="{00000001-EA59-4524-9609-CB8137562F36}"/>
            </c:ext>
          </c:extLst>
        </c:ser>
        <c:dLbls>
          <c:showLegendKey val="0"/>
          <c:showVal val="0"/>
          <c:showCatName val="0"/>
          <c:showSerName val="0"/>
          <c:showPercent val="0"/>
          <c:showBubbleSize val="0"/>
        </c:dLbls>
        <c:marker val="1"/>
        <c:smooth val="0"/>
        <c:axId val="144118416"/>
        <c:axId val="144115616"/>
      </c:lineChart>
      <c:catAx>
        <c:axId val="14411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4115616"/>
        <c:crosses val="autoZero"/>
        <c:auto val="1"/>
        <c:lblAlgn val="ctr"/>
        <c:lblOffset val="100"/>
        <c:noMultiLvlLbl val="0"/>
      </c:catAx>
      <c:valAx>
        <c:axId val="144115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1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6755-716C-40D9-B6DE-F370C3B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Furkan KAVUNCU</cp:lastModifiedBy>
  <cp:revision>32</cp:revision>
  <cp:lastPrinted>2017-12-14T09:18:00Z</cp:lastPrinted>
  <dcterms:created xsi:type="dcterms:W3CDTF">2019-03-12T10:48:00Z</dcterms:created>
  <dcterms:modified xsi:type="dcterms:W3CDTF">2019-03-18T09:03:00Z</dcterms:modified>
</cp:coreProperties>
</file>