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B7A44" w14:textId="77777777" w:rsidR="008A0C5D" w:rsidRPr="00C80404" w:rsidRDefault="00D72728" w:rsidP="00E066EE">
      <w:pPr>
        <w:rPr>
          <w:rFonts w:eastAsiaTheme="minorHAnsi"/>
          <w:lang w:eastAsia="en-US"/>
        </w:rPr>
      </w:pPr>
      <w:r w:rsidRPr="00C80404">
        <w:rPr>
          <w:noProof/>
          <w:szCs w:val="22"/>
          <w:lang w:val="en-GB" w:eastAsia="en-GB"/>
        </w:rPr>
        <mc:AlternateContent>
          <mc:Choice Requires="wps">
            <w:drawing>
              <wp:anchor distT="0" distB="0" distL="114935" distR="114935" simplePos="0" relativeHeight="251656704" behindDoc="0" locked="0" layoutInCell="1" allowOverlap="1" wp14:anchorId="594E3A03" wp14:editId="2914599C">
                <wp:simplePos x="0" y="0"/>
                <wp:positionH relativeFrom="column">
                  <wp:posOffset>1528216</wp:posOffset>
                </wp:positionH>
                <wp:positionV relativeFrom="paragraph">
                  <wp:posOffset>-622452</wp:posOffset>
                </wp:positionV>
                <wp:extent cx="3774644" cy="621792"/>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644" cy="62179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725FF" w14:textId="77777777" w:rsidR="00EB496C" w:rsidRPr="00E066EE" w:rsidRDefault="00EB496C" w:rsidP="00E066EE">
                            <w:pPr>
                              <w:pStyle w:val="Heading1"/>
                              <w:jc w:val="left"/>
                              <w:rPr>
                                <w:rFonts w:ascii="Palatino Linotype" w:hAnsi="Palatino Linotype"/>
                                <w:b/>
                                <w:sz w:val="52"/>
                                <w:szCs w:val="52"/>
                              </w:rPr>
                            </w:pPr>
                            <w:r w:rsidRPr="00E066EE">
                              <w:rPr>
                                <w:rFonts w:ascii="Palatino Linotype" w:hAnsi="Palatino Linotype"/>
                                <w:b/>
                                <w:color w:val="auto"/>
                                <w:sz w:val="52"/>
                                <w:szCs w:val="52"/>
                              </w:rPr>
                              <w:t xml:space="preserve">Araştırma </w:t>
                            </w:r>
                            <w:r w:rsidRPr="0018126D">
                              <w:rPr>
                                <w:rFonts w:ascii="Palatino Linotype" w:hAnsi="Palatino Linotype"/>
                                <w:b/>
                                <w:color w:val="auto"/>
                                <w:sz w:val="52"/>
                                <w:szCs w:val="52"/>
                              </w:rPr>
                              <w:t>Notu 1</w:t>
                            </w:r>
                            <w:r>
                              <w:rPr>
                                <w:rFonts w:ascii="Palatino Linotype" w:hAnsi="Palatino Linotype"/>
                                <w:b/>
                                <w:color w:val="auto"/>
                                <w:sz w:val="52"/>
                                <w:szCs w:val="52"/>
                              </w:rPr>
                              <w:t>9</w:t>
                            </w:r>
                            <w:r w:rsidRPr="0018126D">
                              <w:rPr>
                                <w:rFonts w:ascii="Palatino Linotype" w:hAnsi="Palatino Linotype"/>
                                <w:b/>
                                <w:color w:val="auto"/>
                                <w:sz w:val="52"/>
                                <w:szCs w:val="52"/>
                              </w:rPr>
                              <w:t>/</w:t>
                            </w:r>
                            <w:r>
                              <w:rPr>
                                <w:rFonts w:ascii="Palatino Linotype" w:hAnsi="Palatino Linotype"/>
                                <w:b/>
                                <w:color w:val="auto"/>
                                <w:sz w:val="52"/>
                                <w:szCs w:val="52"/>
                              </w:rPr>
                              <w:t>238</w:t>
                            </w:r>
                          </w:p>
                          <w:p w14:paraId="2BA995A2" w14:textId="77777777" w:rsidR="00EB496C" w:rsidRPr="00B54C13" w:rsidRDefault="00EB496C" w:rsidP="00E066EE">
                            <w:pPr>
                              <w:pStyle w:val="Heading2"/>
                              <w:rPr>
                                <w:b w:val="0"/>
                                <w:bCs w:val="0"/>
                                <w:i/>
                                <w:iCs w:val="0"/>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E3A03" id="_x0000_t202" coordsize="21600,21600" o:spt="202" path="m,l,21600r21600,l21600,xe">
                <v:stroke joinstyle="miter"/>
                <v:path gradientshapeok="t" o:connecttype="rect"/>
              </v:shapetype>
              <v:shape id="Text Box 3" o:spid="_x0000_s1026" type="#_x0000_t202" style="position:absolute;left:0;text-align:left;margin-left:120.35pt;margin-top:-49pt;width:297.2pt;height:48.9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" stroked="f">
                <v:fill opacity="0"/>
                <v:textbox inset="0,0,0,0">
                  <w:txbxContent>
                    <w:p w14:paraId="51E725FF" w14:textId="77777777" w:rsidR="00EB496C" w:rsidRPr="00E066EE" w:rsidRDefault="00EB496C" w:rsidP="00E066EE">
                      <w:pPr>
                        <w:pStyle w:val="Heading1"/>
                        <w:jc w:val="left"/>
                        <w:rPr>
                          <w:rFonts w:ascii="Palatino Linotype" w:hAnsi="Palatino Linotype"/>
                          <w:b/>
                          <w:sz w:val="52"/>
                          <w:szCs w:val="52"/>
                        </w:rPr>
                      </w:pPr>
                      <w:r w:rsidRPr="00E066EE">
                        <w:rPr>
                          <w:rFonts w:ascii="Palatino Linotype" w:hAnsi="Palatino Linotype"/>
                          <w:b/>
                          <w:color w:val="auto"/>
                          <w:sz w:val="52"/>
                          <w:szCs w:val="52"/>
                        </w:rPr>
                        <w:t xml:space="preserve">Araştırma </w:t>
                      </w:r>
                      <w:r w:rsidRPr="0018126D">
                        <w:rPr>
                          <w:rFonts w:ascii="Palatino Linotype" w:hAnsi="Palatino Linotype"/>
                          <w:b/>
                          <w:color w:val="auto"/>
                          <w:sz w:val="52"/>
                          <w:szCs w:val="52"/>
                        </w:rPr>
                        <w:t>Notu 1</w:t>
                      </w:r>
                      <w:r>
                        <w:rPr>
                          <w:rFonts w:ascii="Palatino Linotype" w:hAnsi="Palatino Linotype"/>
                          <w:b/>
                          <w:color w:val="auto"/>
                          <w:sz w:val="52"/>
                          <w:szCs w:val="52"/>
                        </w:rPr>
                        <w:t>9</w:t>
                      </w:r>
                      <w:r w:rsidRPr="0018126D">
                        <w:rPr>
                          <w:rFonts w:ascii="Palatino Linotype" w:hAnsi="Palatino Linotype"/>
                          <w:b/>
                          <w:color w:val="auto"/>
                          <w:sz w:val="52"/>
                          <w:szCs w:val="52"/>
                        </w:rPr>
                        <w:t>/</w:t>
                      </w:r>
                      <w:r>
                        <w:rPr>
                          <w:rFonts w:ascii="Palatino Linotype" w:hAnsi="Palatino Linotype"/>
                          <w:b/>
                          <w:color w:val="auto"/>
                          <w:sz w:val="52"/>
                          <w:szCs w:val="52"/>
                        </w:rPr>
                        <w:t>238</w:t>
                      </w:r>
                    </w:p>
                    <w:p w14:paraId="2BA995A2" w14:textId="77777777" w:rsidR="00EB496C" w:rsidRPr="00B54C13" w:rsidRDefault="00EB496C" w:rsidP="00E066EE">
                      <w:pPr>
                        <w:pStyle w:val="Heading2"/>
                        <w:rPr>
                          <w:b w:val="0"/>
                          <w:bCs w:val="0"/>
                          <w:i/>
                          <w:iCs w:val="0"/>
                          <w:lang w:val="tr-TR"/>
                        </w:rPr>
                      </w:pPr>
                    </w:p>
                  </w:txbxContent>
                </v:textbox>
              </v:shape>
            </w:pict>
          </mc:Fallback>
        </mc:AlternateContent>
      </w:r>
      <w:r w:rsidR="008A0C5D" w:rsidRPr="00C80404">
        <w:rPr>
          <w:noProof/>
          <w:szCs w:val="22"/>
          <w:lang w:val="en-GB" w:eastAsia="en-GB"/>
        </w:rPr>
        <w:drawing>
          <wp:anchor distT="0" distB="0" distL="114300" distR="114300" simplePos="0" relativeHeight="251655680" behindDoc="1" locked="0" layoutInCell="1" allowOverlap="1" wp14:anchorId="0CBE8B52" wp14:editId="04F36D82">
            <wp:simplePos x="0" y="0"/>
            <wp:positionH relativeFrom="column">
              <wp:posOffset>-746150</wp:posOffset>
            </wp:positionH>
            <wp:positionV relativeFrom="paragraph">
              <wp:posOffset>-776046</wp:posOffset>
            </wp:positionV>
            <wp:extent cx="7229475" cy="1322213"/>
            <wp:effectExtent l="19050" t="0" r="9525" b="0"/>
            <wp:wrapNone/>
            <wp:docPr id="18"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229475" cy="1322213"/>
                    </a:xfrm>
                    <a:prstGeom prst="rect">
                      <a:avLst/>
                    </a:prstGeom>
                    <a:noFill/>
                  </pic:spPr>
                </pic:pic>
              </a:graphicData>
            </a:graphic>
          </wp:anchor>
        </w:drawing>
      </w:r>
      <w:r w:rsidR="00D37932" w:rsidRPr="00C80404">
        <w:rPr>
          <w:rFonts w:eastAsiaTheme="minorHAnsi"/>
          <w:lang w:eastAsia="en-US"/>
        </w:rPr>
        <w:tab/>
      </w:r>
    </w:p>
    <w:p w14:paraId="6DFE30A2" w14:textId="77777777" w:rsidR="008A0C5D" w:rsidRPr="00C80404" w:rsidRDefault="00E066EE" w:rsidP="00E066EE">
      <w:pPr>
        <w:jc w:val="right"/>
        <w:rPr>
          <w:rFonts w:ascii="Arial" w:eastAsiaTheme="minorHAnsi" w:hAnsi="Arial"/>
          <w:b/>
          <w:color w:val="FFFFFF" w:themeColor="background1"/>
          <w:lang w:eastAsia="en-US"/>
        </w:rPr>
      </w:pPr>
      <w:r w:rsidRPr="00C80404">
        <w:rPr>
          <w:rFonts w:ascii="Arial" w:eastAsiaTheme="minorHAnsi" w:hAnsi="Arial"/>
          <w:b/>
          <w:color w:val="FFFFFF" w:themeColor="background1"/>
          <w:lang w:eastAsia="en-US"/>
        </w:rPr>
        <w:tab/>
      </w:r>
      <w:r w:rsidRPr="00C80404">
        <w:rPr>
          <w:rFonts w:ascii="Arial" w:eastAsiaTheme="minorHAnsi" w:hAnsi="Arial"/>
          <w:b/>
          <w:color w:val="FFFFFF" w:themeColor="background1"/>
          <w:lang w:eastAsia="en-US"/>
        </w:rPr>
        <w:tab/>
        <w:t xml:space="preserve">     </w:t>
      </w:r>
      <w:r w:rsidR="001B371D" w:rsidRPr="00C80404">
        <w:rPr>
          <w:rFonts w:ascii="Arial" w:eastAsiaTheme="minorHAnsi" w:hAnsi="Arial"/>
          <w:b/>
          <w:color w:val="FFFFFF" w:themeColor="background1"/>
          <w:lang w:eastAsia="en-US"/>
        </w:rPr>
        <w:tab/>
      </w:r>
      <w:r w:rsidR="001B371D" w:rsidRPr="00C80404">
        <w:rPr>
          <w:rFonts w:ascii="Arial" w:eastAsiaTheme="minorHAnsi" w:hAnsi="Arial"/>
          <w:b/>
          <w:color w:val="FFFFFF" w:themeColor="background1"/>
          <w:lang w:eastAsia="en-US"/>
        </w:rPr>
        <w:tab/>
        <w:t xml:space="preserve">      </w:t>
      </w:r>
      <w:r w:rsidR="00BD6F96" w:rsidRPr="00C80404">
        <w:rPr>
          <w:rFonts w:ascii="Arial" w:eastAsiaTheme="minorHAnsi" w:hAnsi="Arial"/>
          <w:b/>
          <w:color w:val="FFFFFF" w:themeColor="background1"/>
          <w:lang w:eastAsia="en-US"/>
        </w:rPr>
        <w:t xml:space="preserve"> </w:t>
      </w:r>
      <w:r w:rsidR="001B371D" w:rsidRPr="00C80404">
        <w:rPr>
          <w:rFonts w:ascii="Arial" w:eastAsiaTheme="minorHAnsi" w:hAnsi="Arial"/>
          <w:b/>
          <w:color w:val="FFFFFF" w:themeColor="background1"/>
          <w:lang w:eastAsia="en-US"/>
        </w:rPr>
        <w:t>8</w:t>
      </w:r>
      <w:r w:rsidR="0018126D" w:rsidRPr="00C80404">
        <w:rPr>
          <w:rFonts w:ascii="Arial" w:eastAsiaTheme="minorHAnsi" w:hAnsi="Arial"/>
          <w:b/>
          <w:color w:val="FFFFFF" w:themeColor="background1"/>
          <w:lang w:eastAsia="en-US"/>
        </w:rPr>
        <w:t xml:space="preserve"> </w:t>
      </w:r>
      <w:r w:rsidR="00F663B5" w:rsidRPr="00C80404">
        <w:rPr>
          <w:rFonts w:ascii="Arial" w:eastAsiaTheme="minorHAnsi" w:hAnsi="Arial"/>
          <w:b/>
          <w:color w:val="FFFFFF" w:themeColor="background1"/>
          <w:lang w:eastAsia="en-US"/>
        </w:rPr>
        <w:t>Mart</w:t>
      </w:r>
      <w:r w:rsidR="0018126D" w:rsidRPr="00C80404">
        <w:rPr>
          <w:rFonts w:ascii="Arial" w:eastAsiaTheme="minorHAnsi" w:hAnsi="Arial"/>
          <w:b/>
          <w:color w:val="FFFFFF" w:themeColor="background1"/>
          <w:lang w:eastAsia="en-US"/>
        </w:rPr>
        <w:t xml:space="preserve"> </w:t>
      </w:r>
      <w:r w:rsidRPr="00C80404">
        <w:rPr>
          <w:rFonts w:ascii="Arial" w:eastAsiaTheme="minorHAnsi" w:hAnsi="Arial"/>
          <w:b/>
          <w:color w:val="FFFFFF" w:themeColor="background1"/>
          <w:lang w:eastAsia="en-US"/>
        </w:rPr>
        <w:t>201</w:t>
      </w:r>
      <w:r w:rsidR="00F663B5" w:rsidRPr="00C80404">
        <w:rPr>
          <w:rFonts w:ascii="Arial" w:eastAsiaTheme="minorHAnsi" w:hAnsi="Arial"/>
          <w:b/>
          <w:color w:val="FFFFFF" w:themeColor="background1"/>
          <w:lang w:eastAsia="en-US"/>
        </w:rPr>
        <w:t>9</w:t>
      </w:r>
    </w:p>
    <w:p w14:paraId="4B9C9DF4" w14:textId="77777777" w:rsidR="008A0C5D" w:rsidRPr="00C80404" w:rsidRDefault="000F28F7" w:rsidP="008A0C5D">
      <w:pPr>
        <w:jc w:val="center"/>
        <w:rPr>
          <w:b/>
          <w:color w:val="FF0000"/>
          <w:sz w:val="32"/>
          <w:szCs w:val="32"/>
        </w:rPr>
      </w:pPr>
      <w:r w:rsidRPr="00C80404">
        <w:rPr>
          <w:b/>
          <w:sz w:val="32"/>
          <w:szCs w:val="32"/>
        </w:rPr>
        <w:t xml:space="preserve">Tanzim satış uygulaması </w:t>
      </w:r>
      <w:r w:rsidR="00635108" w:rsidRPr="00C80404">
        <w:rPr>
          <w:b/>
          <w:sz w:val="32"/>
          <w:szCs w:val="32"/>
        </w:rPr>
        <w:t>enflasyonu</w:t>
      </w:r>
      <w:r w:rsidRPr="00C80404">
        <w:rPr>
          <w:b/>
          <w:sz w:val="32"/>
          <w:szCs w:val="32"/>
        </w:rPr>
        <w:t xml:space="preserve"> düşürdü</w:t>
      </w:r>
    </w:p>
    <w:p w14:paraId="52647115" w14:textId="77777777" w:rsidR="008A0C5D" w:rsidRPr="00C80404" w:rsidRDefault="000F28F7" w:rsidP="008A0C5D">
      <w:pPr>
        <w:spacing w:before="120"/>
        <w:jc w:val="center"/>
        <w:rPr>
          <w:b/>
          <w:bCs/>
          <w:szCs w:val="22"/>
        </w:rPr>
      </w:pPr>
      <w:r w:rsidRPr="00C80404">
        <w:rPr>
          <w:b/>
          <w:bCs/>
          <w:szCs w:val="22"/>
        </w:rPr>
        <w:t>Ozan Bakış</w:t>
      </w:r>
      <w:r w:rsidRPr="00C80404">
        <w:rPr>
          <w:rStyle w:val="FootnoteReference"/>
          <w:b/>
          <w:bCs/>
          <w:szCs w:val="22"/>
        </w:rPr>
        <w:footnoteReference w:customMarkFollows="1" w:id="1"/>
        <w:t>*</w:t>
      </w:r>
      <w:r w:rsidRPr="00C80404">
        <w:rPr>
          <w:b/>
          <w:bCs/>
          <w:szCs w:val="22"/>
        </w:rPr>
        <w:t xml:space="preserve"> ve Uğurcan Acar</w:t>
      </w:r>
      <w:r w:rsidRPr="00C80404">
        <w:rPr>
          <w:rStyle w:val="FootnoteReference"/>
          <w:b/>
          <w:bCs/>
          <w:szCs w:val="22"/>
        </w:rPr>
        <w:footnoteReference w:customMarkFollows="1" w:id="2"/>
        <w:t>**</w:t>
      </w:r>
    </w:p>
    <w:p w14:paraId="72530B7E" w14:textId="77777777" w:rsidR="0058733F" w:rsidRPr="00C80404" w:rsidRDefault="008A0C5D" w:rsidP="001941F4">
      <w:pPr>
        <w:pStyle w:val="Heading2"/>
        <w:jc w:val="center"/>
        <w:rPr>
          <w:lang w:val="tr-TR"/>
        </w:rPr>
      </w:pPr>
      <w:r w:rsidRPr="00C80404">
        <w:rPr>
          <w:lang w:val="tr-TR"/>
        </w:rPr>
        <w:t>Yönetici Özeti</w:t>
      </w:r>
    </w:p>
    <w:p w14:paraId="76ECCAF2" w14:textId="77777777" w:rsidR="00C5182E" w:rsidRPr="00C80404" w:rsidRDefault="00C5182E" w:rsidP="00C5182E">
      <w:pPr>
        <w:ind w:left="567" w:right="567"/>
        <w:rPr>
          <w:szCs w:val="22"/>
        </w:rPr>
      </w:pPr>
      <w:r w:rsidRPr="00C80404">
        <w:rPr>
          <w:szCs w:val="22"/>
        </w:rPr>
        <w:t xml:space="preserve">Tanzim satış yıllar sonra tekrar Türkiye’nin gündeminde. Kur şokuyla beraber başlayan tüketici fiyatlarındaki artışlar </w:t>
      </w:r>
      <w:r w:rsidR="00AF23A0" w:rsidRPr="00C80404">
        <w:rPr>
          <w:szCs w:val="22"/>
        </w:rPr>
        <w:t>kademeli olarak yükselip 2</w:t>
      </w:r>
      <w:r w:rsidRPr="00C80404">
        <w:rPr>
          <w:szCs w:val="22"/>
        </w:rPr>
        <w:t>019</w:t>
      </w:r>
      <w:r w:rsidR="00AF23A0" w:rsidRPr="00C80404">
        <w:rPr>
          <w:szCs w:val="22"/>
        </w:rPr>
        <w:t xml:space="preserve"> yılı Ocak</w:t>
      </w:r>
      <w:r w:rsidRPr="00C80404">
        <w:rPr>
          <w:szCs w:val="22"/>
        </w:rPr>
        <w:t xml:space="preserve"> </w:t>
      </w:r>
      <w:r w:rsidR="00AF23A0" w:rsidRPr="00C80404">
        <w:rPr>
          <w:szCs w:val="22"/>
        </w:rPr>
        <w:t>itibarı ile g</w:t>
      </w:r>
      <w:r w:rsidRPr="00C80404">
        <w:rPr>
          <w:szCs w:val="22"/>
        </w:rPr>
        <w:t>ıda</w:t>
      </w:r>
      <w:r w:rsidR="00AF23A0" w:rsidRPr="00C80404">
        <w:rPr>
          <w:szCs w:val="22"/>
        </w:rPr>
        <w:t>da aylık olarak yüzde</w:t>
      </w:r>
      <w:r w:rsidRPr="00C80404">
        <w:rPr>
          <w:szCs w:val="22"/>
        </w:rPr>
        <w:t xml:space="preserve"> %6, yıllık </w:t>
      </w:r>
      <w:r w:rsidR="00AF23A0" w:rsidRPr="00C80404">
        <w:rPr>
          <w:szCs w:val="22"/>
        </w:rPr>
        <w:t>olarak yüzde</w:t>
      </w:r>
      <w:r w:rsidRPr="00C80404">
        <w:rPr>
          <w:szCs w:val="22"/>
        </w:rPr>
        <w:t xml:space="preserve"> %30 seviyesini geçince hükümet eski bir uygulama olan tanzim satışları 11 Şubat’ta ilk olarak İstanbul ve Ankara’da tekrar başlattı. Tartışmalar da satışlarla beraber başladı. Bir uçta tanzim satışın yapıldığı bölgelerde bile enflasyonu düşüremeyeceğini düşünenler, diğer uçta tanzimle beraber fiyat düşüşlerinin tanzim bölgelerden tüm ülkeye yayılacağını iddia edenler var. </w:t>
      </w:r>
    </w:p>
    <w:p w14:paraId="75328E96" w14:textId="77777777" w:rsidR="00C5182E" w:rsidRPr="00C80404" w:rsidRDefault="00C5182E" w:rsidP="00C5182E">
      <w:pPr>
        <w:ind w:left="567" w:right="567"/>
        <w:rPr>
          <w:szCs w:val="22"/>
        </w:rPr>
      </w:pPr>
      <w:r w:rsidRPr="00C80404">
        <w:rPr>
          <w:szCs w:val="22"/>
        </w:rPr>
        <w:t xml:space="preserve">Yaptığımız analiz tanzim satışların, </w:t>
      </w:r>
      <w:r w:rsidR="008102FF" w:rsidRPr="00C80404">
        <w:rPr>
          <w:szCs w:val="22"/>
        </w:rPr>
        <w:t xml:space="preserve">Ankara ve İstanbul’da </w:t>
      </w:r>
      <w:r w:rsidRPr="00C80404">
        <w:rPr>
          <w:szCs w:val="22"/>
        </w:rPr>
        <w:t xml:space="preserve">tanzime konu olan ürünlerde </w:t>
      </w:r>
      <w:r w:rsidR="008102FF" w:rsidRPr="00C80404">
        <w:rPr>
          <w:szCs w:val="22"/>
        </w:rPr>
        <w:t xml:space="preserve">anlamlı </w:t>
      </w:r>
      <w:r w:rsidRPr="00C80404">
        <w:rPr>
          <w:szCs w:val="22"/>
        </w:rPr>
        <w:t>bir fiyat düşüşüne sebep olduğunu ortaya koyuyor. Fiyat düşüşlerinin tanzim</w:t>
      </w:r>
      <w:r w:rsidR="008102FF" w:rsidRPr="00C80404">
        <w:rPr>
          <w:szCs w:val="22"/>
        </w:rPr>
        <w:t>e konu olmayan</w:t>
      </w:r>
      <w:r w:rsidRPr="00C80404">
        <w:rPr>
          <w:szCs w:val="22"/>
        </w:rPr>
        <w:t xml:space="preserve"> ürünlere veya tanzim satışın yapılmadığı bölgelere yayıldığı</w:t>
      </w:r>
      <w:r w:rsidR="008102FF" w:rsidRPr="00C80404">
        <w:rPr>
          <w:szCs w:val="22"/>
        </w:rPr>
        <w:t xml:space="preserve"> konusunda bir bulgu şimdilik yoktur</w:t>
      </w:r>
      <w:r w:rsidRPr="00C80404">
        <w:rPr>
          <w:szCs w:val="22"/>
        </w:rPr>
        <w:t xml:space="preserve">.  İstanbul ve Ankara’daki tanzimler sayesinde, bu illerdeki tanzim ürünlerin enflasyonunun diğer bölgelere </w:t>
      </w:r>
      <w:r w:rsidR="008102FF" w:rsidRPr="00C80404">
        <w:rPr>
          <w:szCs w:val="22"/>
        </w:rPr>
        <w:t>kıyasla</w:t>
      </w:r>
      <w:r w:rsidRPr="00C80404">
        <w:rPr>
          <w:szCs w:val="22"/>
        </w:rPr>
        <w:t xml:space="preserve"> </w:t>
      </w:r>
      <w:r w:rsidR="00A15D17" w:rsidRPr="00C80404">
        <w:rPr>
          <w:szCs w:val="22"/>
        </w:rPr>
        <w:t xml:space="preserve">yaklaşık </w:t>
      </w:r>
      <w:r w:rsidRPr="00C80404">
        <w:rPr>
          <w:szCs w:val="22"/>
        </w:rPr>
        <w:t xml:space="preserve">6 yüzde puan daha az </w:t>
      </w:r>
      <w:r w:rsidR="008102FF" w:rsidRPr="00C80404">
        <w:rPr>
          <w:szCs w:val="22"/>
        </w:rPr>
        <w:t xml:space="preserve">çıktığını </w:t>
      </w:r>
      <w:r w:rsidR="00645AC5" w:rsidRPr="00C80404">
        <w:rPr>
          <w:szCs w:val="22"/>
        </w:rPr>
        <w:t>tespit ediy</w:t>
      </w:r>
      <w:r w:rsidR="008102FF" w:rsidRPr="00C80404">
        <w:rPr>
          <w:szCs w:val="22"/>
        </w:rPr>
        <w:t>oruz.</w:t>
      </w:r>
      <w:r w:rsidRPr="00C80404">
        <w:rPr>
          <w:szCs w:val="22"/>
        </w:rPr>
        <w:t xml:space="preserve"> </w:t>
      </w:r>
    </w:p>
    <w:p w14:paraId="2F950741" w14:textId="77777777" w:rsidR="00C5182E" w:rsidRPr="00C80404" w:rsidRDefault="00A15D17" w:rsidP="00DC77C2">
      <w:pPr>
        <w:ind w:left="567" w:right="567"/>
        <w:rPr>
          <w:szCs w:val="22"/>
        </w:rPr>
      </w:pPr>
      <w:r w:rsidRPr="00C80404">
        <w:rPr>
          <w:szCs w:val="22"/>
        </w:rPr>
        <w:t>T</w:t>
      </w:r>
      <w:r w:rsidR="00DC77C2" w:rsidRPr="00C80404">
        <w:rPr>
          <w:szCs w:val="22"/>
        </w:rPr>
        <w:t>anzim satış</w:t>
      </w:r>
      <w:r w:rsidR="00DA5C1D" w:rsidRPr="00C80404">
        <w:rPr>
          <w:szCs w:val="22"/>
        </w:rPr>
        <w:t>lar</w:t>
      </w:r>
      <w:r w:rsidR="00DC77C2" w:rsidRPr="00C80404">
        <w:rPr>
          <w:szCs w:val="22"/>
        </w:rPr>
        <w:t xml:space="preserve">ın tanzim bölgesi </w:t>
      </w:r>
      <w:r w:rsidR="008102FF" w:rsidRPr="00C80404">
        <w:rPr>
          <w:szCs w:val="22"/>
        </w:rPr>
        <w:t xml:space="preserve">(Ankara ve İstanbul) </w:t>
      </w:r>
      <w:r w:rsidR="00DC77C2" w:rsidRPr="00C80404">
        <w:rPr>
          <w:szCs w:val="22"/>
        </w:rPr>
        <w:t>aylık enflasyon</w:t>
      </w:r>
      <w:r w:rsidR="008102FF" w:rsidRPr="00C80404">
        <w:rPr>
          <w:szCs w:val="22"/>
        </w:rPr>
        <w:t>una</w:t>
      </w:r>
      <w:r w:rsidR="00DC77C2" w:rsidRPr="00C80404">
        <w:rPr>
          <w:szCs w:val="22"/>
        </w:rPr>
        <w:t xml:space="preserve"> etkisi</w:t>
      </w:r>
      <w:r w:rsidRPr="00C80404">
        <w:rPr>
          <w:szCs w:val="22"/>
        </w:rPr>
        <w:t xml:space="preserve"> </w:t>
      </w:r>
      <w:r w:rsidR="00DC77C2" w:rsidRPr="00C80404">
        <w:rPr>
          <w:szCs w:val="22"/>
        </w:rPr>
        <w:t>0,144 yüzde puan</w:t>
      </w:r>
      <w:r w:rsidRPr="00C80404">
        <w:rPr>
          <w:szCs w:val="22"/>
        </w:rPr>
        <w:t xml:space="preserve"> olarak hesaplanmıştır</w:t>
      </w:r>
      <w:r w:rsidR="00DC77C2" w:rsidRPr="00C80404">
        <w:rPr>
          <w:szCs w:val="22"/>
        </w:rPr>
        <w:t xml:space="preserve">. Türkiye’nin aylık enflasyonuna katkısı </w:t>
      </w:r>
      <w:r w:rsidR="00156611" w:rsidRPr="00C80404">
        <w:rPr>
          <w:szCs w:val="22"/>
        </w:rPr>
        <w:t xml:space="preserve">ise </w:t>
      </w:r>
      <w:r w:rsidR="00DC77C2" w:rsidRPr="00C80404">
        <w:rPr>
          <w:szCs w:val="22"/>
        </w:rPr>
        <w:t xml:space="preserve">0,06 yüzde puandır. </w:t>
      </w:r>
      <w:r w:rsidR="00156611" w:rsidRPr="00C80404">
        <w:rPr>
          <w:szCs w:val="22"/>
        </w:rPr>
        <w:t xml:space="preserve">TÜİK, 2019 Şubat ayı aylık enflasyonunu yüzde </w:t>
      </w:r>
      <w:r w:rsidR="00DC77C2" w:rsidRPr="00C80404">
        <w:rPr>
          <w:szCs w:val="22"/>
        </w:rPr>
        <w:t xml:space="preserve">0,16 </w:t>
      </w:r>
      <w:r w:rsidR="00156611" w:rsidRPr="00C80404">
        <w:rPr>
          <w:szCs w:val="22"/>
        </w:rPr>
        <w:t>olarak açıklamıştı. Hesaplarımıza göre tanzim satışların etkisi olmasaydı bu oran yüzde</w:t>
      </w:r>
      <w:r w:rsidR="00DC77C2" w:rsidRPr="00C80404">
        <w:rPr>
          <w:szCs w:val="22"/>
        </w:rPr>
        <w:t xml:space="preserve"> 0,22 olacaktı</w:t>
      </w:r>
      <w:r w:rsidR="00156611" w:rsidRPr="00C80404">
        <w:rPr>
          <w:szCs w:val="22"/>
        </w:rPr>
        <w:t>.</w:t>
      </w:r>
      <w:r w:rsidR="00531DA4" w:rsidRPr="00C80404">
        <w:rPr>
          <w:szCs w:val="22"/>
        </w:rPr>
        <w:t xml:space="preserve"> </w:t>
      </w:r>
    </w:p>
    <w:p w14:paraId="03441EB6" w14:textId="77777777" w:rsidR="00816AC3" w:rsidRPr="00C80404" w:rsidRDefault="0058733F" w:rsidP="00621CD7">
      <w:pPr>
        <w:pStyle w:val="Heading2"/>
        <w:rPr>
          <w:rFonts w:eastAsiaTheme="minorHAnsi"/>
          <w:lang w:val="tr-TR" w:eastAsia="en-US"/>
        </w:rPr>
      </w:pPr>
      <w:r w:rsidRPr="00C80404">
        <w:rPr>
          <w:rFonts w:eastAsiaTheme="minorHAnsi"/>
          <w:lang w:val="tr-TR" w:eastAsia="en-US"/>
        </w:rPr>
        <w:t>Giriş</w:t>
      </w:r>
    </w:p>
    <w:p w14:paraId="675AD447" w14:textId="77777777" w:rsidR="002815E1" w:rsidRPr="00C80404" w:rsidRDefault="002815E1" w:rsidP="002815E1">
      <w:pPr>
        <w:rPr>
          <w:rFonts w:eastAsiaTheme="minorHAnsi"/>
          <w:lang w:eastAsia="en-US"/>
        </w:rPr>
      </w:pPr>
      <w:r w:rsidRPr="00C80404">
        <w:rPr>
          <w:rFonts w:eastAsiaTheme="minorHAnsi"/>
          <w:lang w:eastAsia="en-US"/>
        </w:rPr>
        <w:t>2019 yılının Şubat ayında TÜFE bir önceki aya kıyasla %0,16, bir önceki yılın aynı ayına kıyasla ise %19,67 oranında artış gösterdi. Böylelikle TÜFE yıllık bazda 5 ayın ardından %20’nin altına inmiş oldu. Tek haneli son artış ise 2017 yılının Temmuz ayında (%9,79) görülmüştü. Bakan Albayrak yaptığı açıklamada</w:t>
      </w:r>
      <w:r w:rsidR="00EB3BE4" w:rsidRPr="00C80404">
        <w:rPr>
          <w:rStyle w:val="FootnoteReference"/>
        </w:rPr>
        <w:footnoteReference w:id="3"/>
      </w:r>
      <w:r w:rsidRPr="00C80404">
        <w:rPr>
          <w:rFonts w:eastAsiaTheme="minorHAnsi"/>
          <w:lang w:eastAsia="en-US"/>
        </w:rPr>
        <w:t xml:space="preserve"> alınan tedbirlerin etkisini gösterdiğini, ÜFE’deki düşüşle beraber enflasyon artışındaki düşüşün güçlenerek devam edeceğini belirtti. Bakan ayrıca </w:t>
      </w:r>
      <w:r w:rsidRPr="00C80404">
        <w:rPr>
          <w:rFonts w:eastAsiaTheme="minorHAnsi"/>
          <w:lang w:eastAsia="en-US"/>
        </w:rPr>
        <w:lastRenderedPageBreak/>
        <w:t xml:space="preserve">kamuoyunda çokça tartışılan tanzim satış uygulamasına da değinerek, uygulamanın gıda fiyatlarını baskılamada başarılı olduğunu yazdı. </w:t>
      </w:r>
    </w:p>
    <w:p w14:paraId="228E8F6C" w14:textId="76B58BD4" w:rsidR="002815E1" w:rsidRPr="00C80404" w:rsidRDefault="002815E1" w:rsidP="002815E1">
      <w:pPr>
        <w:rPr>
          <w:rFonts w:eastAsiaTheme="minorHAnsi"/>
          <w:lang w:eastAsia="en-US"/>
        </w:rPr>
      </w:pPr>
      <w:r w:rsidRPr="00C80404">
        <w:rPr>
          <w:rFonts w:eastAsiaTheme="minorHAnsi"/>
          <w:lang w:eastAsia="en-US"/>
        </w:rPr>
        <w:t xml:space="preserve">Hatırlatmak </w:t>
      </w:r>
      <w:r w:rsidR="00373BD4" w:rsidRPr="00C80404">
        <w:rPr>
          <w:rFonts w:eastAsiaTheme="minorHAnsi"/>
          <w:lang w:eastAsia="en-US"/>
        </w:rPr>
        <w:t>gerekirse</w:t>
      </w:r>
      <w:r w:rsidRPr="00C80404">
        <w:rPr>
          <w:rFonts w:eastAsiaTheme="minorHAnsi"/>
          <w:lang w:eastAsia="en-US"/>
        </w:rPr>
        <w:t xml:space="preserve"> fiyat artışlarında %20’ler seviyesinin üzerine çıkılmasıyla Hükümet ilk olarak Enflasyonla </w:t>
      </w:r>
      <w:r w:rsidR="00373BD4" w:rsidRPr="00C80404">
        <w:rPr>
          <w:rFonts w:eastAsiaTheme="minorHAnsi"/>
          <w:lang w:eastAsia="en-US"/>
        </w:rPr>
        <w:t>Topyekûn</w:t>
      </w:r>
      <w:r w:rsidRPr="00C80404">
        <w:rPr>
          <w:rFonts w:eastAsiaTheme="minorHAnsi"/>
          <w:lang w:eastAsia="en-US"/>
        </w:rPr>
        <w:t xml:space="preserve"> Mücadele adını verdiği programı başlatmıştı. Bu </w:t>
      </w:r>
      <w:r w:rsidR="00EB496C">
        <w:rPr>
          <w:rFonts w:eastAsiaTheme="minorHAnsi"/>
          <w:lang w:eastAsia="en-US"/>
        </w:rPr>
        <w:t>programda fiyat artışlarına kar</w:t>
      </w:r>
      <w:r w:rsidRPr="00C80404">
        <w:rPr>
          <w:rFonts w:eastAsiaTheme="minorHAnsi"/>
          <w:lang w:eastAsia="en-US"/>
        </w:rPr>
        <w:t>şı bir dizi önlem açıklandı. Özel sektörden baz</w:t>
      </w:r>
      <w:r w:rsidR="008922F3" w:rsidRPr="00C80404">
        <w:rPr>
          <w:rFonts w:eastAsiaTheme="minorHAnsi"/>
          <w:lang w:eastAsia="en-US"/>
        </w:rPr>
        <w:t xml:space="preserve">ı firmalar programa seçili </w:t>
      </w:r>
      <w:r w:rsidRPr="00C80404">
        <w:rPr>
          <w:rFonts w:eastAsiaTheme="minorHAnsi"/>
          <w:lang w:eastAsia="en-US"/>
        </w:rPr>
        <w:t>ürünlerinde %10 indirim yaparak destek oldu. Program bilhassa sebze fiyatlarında istenen etkiyi yapamayınca, hükümet bu kez tanzim satış uygulamasını devreye soktu. Ocak ayı enflasyonunda gıda kaleminin aylık artışı %6</w:t>
      </w:r>
      <w:r w:rsidR="00373BD4" w:rsidRPr="00C80404">
        <w:rPr>
          <w:rFonts w:eastAsiaTheme="minorHAnsi"/>
          <w:lang w:eastAsia="en-US"/>
        </w:rPr>
        <w:t>, yıllık</w:t>
      </w:r>
      <w:r w:rsidRPr="00C80404">
        <w:rPr>
          <w:rFonts w:eastAsiaTheme="minorHAnsi"/>
          <w:lang w:eastAsia="en-US"/>
        </w:rPr>
        <w:t xml:space="preserve"> artışı da %30 seviyesini g</w:t>
      </w:r>
      <w:r w:rsidR="00373BD4" w:rsidRPr="00C80404">
        <w:rPr>
          <w:rFonts w:eastAsiaTheme="minorHAnsi"/>
          <w:lang w:eastAsia="en-US"/>
        </w:rPr>
        <w:t>eçince</w:t>
      </w:r>
      <w:r w:rsidRPr="00C80404">
        <w:rPr>
          <w:rFonts w:eastAsiaTheme="minorHAnsi"/>
          <w:lang w:eastAsia="en-US"/>
        </w:rPr>
        <w:t xml:space="preserve">, </w:t>
      </w:r>
      <w:r w:rsidR="00C80404" w:rsidRPr="00C80404">
        <w:rPr>
          <w:rFonts w:eastAsiaTheme="minorHAnsi"/>
          <w:lang w:eastAsia="en-US"/>
        </w:rPr>
        <w:t>Cumhurbaşkanı</w:t>
      </w:r>
      <w:r w:rsidRPr="00C80404">
        <w:rPr>
          <w:rFonts w:eastAsiaTheme="minorHAnsi"/>
          <w:lang w:eastAsia="en-US"/>
        </w:rPr>
        <w:t xml:space="preserve"> Erdoğan 5 Şubat’ta yaptığı açıklamada</w:t>
      </w:r>
      <w:r w:rsidR="00EB496C">
        <w:rPr>
          <w:rStyle w:val="FootnoteReference"/>
          <w:rFonts w:eastAsiaTheme="minorHAnsi"/>
          <w:lang w:eastAsia="en-US"/>
        </w:rPr>
        <w:footnoteReference w:id="4"/>
      </w:r>
      <w:r w:rsidRPr="00C80404">
        <w:rPr>
          <w:rFonts w:eastAsiaTheme="minorHAnsi"/>
          <w:lang w:eastAsia="en-US"/>
        </w:rPr>
        <w:t>, fiyatlara “ayar çekmek” için belediyeler vasıtasıyla tanzim satışı başlatacaklarını söyledi.</w:t>
      </w:r>
    </w:p>
    <w:p w14:paraId="5220F4BB" w14:textId="77777777" w:rsidR="002815E1" w:rsidRPr="00C80404" w:rsidRDefault="002815E1" w:rsidP="002815E1">
      <w:pPr>
        <w:rPr>
          <w:rFonts w:eastAsiaTheme="minorHAnsi"/>
          <w:lang w:eastAsia="en-US"/>
        </w:rPr>
      </w:pPr>
      <w:r w:rsidRPr="00C80404">
        <w:rPr>
          <w:rFonts w:eastAsiaTheme="minorHAnsi"/>
          <w:lang w:eastAsia="en-US"/>
        </w:rPr>
        <w:t xml:space="preserve">Nitekim tanzim satışlar 11 Şubat tarihinde İstanbul’da 50, Ankara’da 15 noktada başladı. Tanzim satış noktalarında ilk aşamada </w:t>
      </w:r>
      <w:r w:rsidR="00E36F57" w:rsidRPr="00C80404">
        <w:rPr>
          <w:szCs w:val="22"/>
          <w:lang w:eastAsia="tr-TR"/>
        </w:rPr>
        <w:t>domates, salatalık, ıspanak, patates, soğan, patlıcan ve biber</w:t>
      </w:r>
      <w:r w:rsidRPr="00C80404">
        <w:rPr>
          <w:rFonts w:eastAsiaTheme="minorHAnsi"/>
          <w:lang w:eastAsia="en-US"/>
        </w:rPr>
        <w:t xml:space="preserve"> satışı yapıldı</w:t>
      </w:r>
      <w:r w:rsidR="00E36F57" w:rsidRPr="00C80404">
        <w:rPr>
          <w:rStyle w:val="FootnoteReference"/>
          <w:szCs w:val="22"/>
          <w:lang w:eastAsia="tr-TR"/>
        </w:rPr>
        <w:footnoteReference w:id="5"/>
      </w:r>
      <w:r w:rsidRPr="00C80404">
        <w:rPr>
          <w:rFonts w:eastAsiaTheme="minorHAnsi"/>
          <w:lang w:eastAsia="en-US"/>
        </w:rPr>
        <w:t xml:space="preserve">. </w:t>
      </w:r>
      <w:r w:rsidR="00E36F57" w:rsidRPr="00C80404">
        <w:rPr>
          <w:rFonts w:eastAsiaTheme="minorHAnsi"/>
          <w:lang w:eastAsia="en-US"/>
        </w:rPr>
        <w:t>Daha sonra meyve, bakliyat ve temizlik ürünlerinin kapsama alınacağı söylendi</w:t>
      </w:r>
      <w:r w:rsidR="00E36F57" w:rsidRPr="00C80404">
        <w:rPr>
          <w:rStyle w:val="FootnoteReference"/>
          <w:rFonts w:eastAsiaTheme="minorHAnsi"/>
          <w:lang w:eastAsia="en-US"/>
        </w:rPr>
        <w:footnoteReference w:id="6"/>
      </w:r>
      <w:r w:rsidRPr="00C80404">
        <w:rPr>
          <w:rFonts w:eastAsiaTheme="minorHAnsi"/>
          <w:lang w:eastAsia="en-US"/>
        </w:rPr>
        <w:t>. İstanbul ve Ankara’daki tanzim satış mağazalarını Bursa, Elazığ, Balıkesir, Adana, Antep, Samsun, Trabzon illerinde açılanlar izledi</w:t>
      </w:r>
      <w:r w:rsidR="00ED29E2" w:rsidRPr="00C80404">
        <w:rPr>
          <w:rStyle w:val="FootnoteReference"/>
          <w:szCs w:val="22"/>
          <w:lang w:eastAsia="tr-TR"/>
        </w:rPr>
        <w:footnoteReference w:id="7"/>
      </w:r>
      <w:r w:rsidRPr="00C80404">
        <w:rPr>
          <w:rFonts w:eastAsiaTheme="minorHAnsi"/>
          <w:lang w:eastAsia="en-US"/>
        </w:rPr>
        <w:t>. Cumhurbaşkanı</w:t>
      </w:r>
      <w:r w:rsidR="00ED29E2" w:rsidRPr="00C80404">
        <w:rPr>
          <w:rFonts w:eastAsiaTheme="minorHAnsi"/>
          <w:lang w:eastAsia="en-US"/>
        </w:rPr>
        <w:t xml:space="preserve"> Erdoğan</w:t>
      </w:r>
      <w:r w:rsidRPr="00C80404">
        <w:rPr>
          <w:rFonts w:eastAsiaTheme="minorHAnsi"/>
          <w:lang w:eastAsia="en-US"/>
        </w:rPr>
        <w:t xml:space="preserve"> fiyatlar düzene girmezse, tanzim satışın 81 ile yaygınlaştırılacağını belirtti.</w:t>
      </w:r>
    </w:p>
    <w:p w14:paraId="5559833F" w14:textId="77777777" w:rsidR="000F28F7" w:rsidRPr="00C80404" w:rsidRDefault="000F28F7" w:rsidP="000F28F7">
      <w:pPr>
        <w:rPr>
          <w:szCs w:val="22"/>
          <w:lang w:eastAsia="tr-TR"/>
        </w:rPr>
      </w:pPr>
      <w:r w:rsidRPr="00C80404">
        <w:rPr>
          <w:szCs w:val="22"/>
          <w:lang w:eastAsia="tr-TR"/>
        </w:rPr>
        <w:t xml:space="preserve">Tanzim satış merkezlerinin devreye girmesiyle beraber sıcak bir tartışmaya şahit oluyoruz. Kimi çevreler tanzim satış aracılığıyla belli ürünlerin ucuza satılmasının tanzim satış bölgelerinde bile enflasyonu düşüremeyeceğini söylerken, diğer bir kesim </w:t>
      </w:r>
      <w:r w:rsidR="00DC4B55" w:rsidRPr="00C80404">
        <w:rPr>
          <w:szCs w:val="22"/>
          <w:lang w:eastAsia="tr-TR"/>
        </w:rPr>
        <w:t>ise</w:t>
      </w:r>
      <w:r w:rsidRPr="00C80404">
        <w:rPr>
          <w:szCs w:val="22"/>
          <w:lang w:eastAsia="tr-TR"/>
        </w:rPr>
        <w:t xml:space="preserve"> </w:t>
      </w:r>
      <w:r w:rsidR="00A57CAC" w:rsidRPr="00C80404">
        <w:rPr>
          <w:szCs w:val="22"/>
          <w:lang w:eastAsia="tr-TR"/>
        </w:rPr>
        <w:t>enflasyon</w:t>
      </w:r>
      <w:r w:rsidRPr="00C80404">
        <w:rPr>
          <w:szCs w:val="22"/>
          <w:lang w:eastAsia="tr-TR"/>
        </w:rPr>
        <w:t xml:space="preserve"> düşüş</w:t>
      </w:r>
      <w:r w:rsidR="00A57CAC" w:rsidRPr="00C80404">
        <w:rPr>
          <w:szCs w:val="22"/>
          <w:lang w:eastAsia="tr-TR"/>
        </w:rPr>
        <w:t>ünün</w:t>
      </w:r>
      <w:r w:rsidRPr="00C80404">
        <w:rPr>
          <w:szCs w:val="22"/>
          <w:lang w:eastAsia="tr-TR"/>
        </w:rPr>
        <w:t xml:space="preserve"> sadece tanzim satışın yapıldığı yerlerle sınırlı kalmayıp tüm Türkiye’ye yayılacağını iddia ediyor. Ortada veri olmadığı için bugüne kadar bazı temel soruların cevabı bilinemiyordu.  </w:t>
      </w:r>
      <w:r w:rsidR="00635108" w:rsidRPr="00C80404">
        <w:rPr>
          <w:szCs w:val="22"/>
          <w:lang w:eastAsia="tr-TR"/>
        </w:rPr>
        <w:t xml:space="preserve">Merak edilen esas soru tanzim satış uygulamasının enflasyonu düşürüp düşürmediği. Bu tartışmada bir konunun muğlak kaldığı göze çarpıyor. Düşmesi beklenen enflasyon hangisidir: TÜFE mi, gıda enflasyonu mu, yoksa tanzim satışa konu olan ürünlerin enflasyonu mu? </w:t>
      </w:r>
    </w:p>
    <w:p w14:paraId="660CF581" w14:textId="685688B7" w:rsidR="00A57CAC" w:rsidRPr="00C80404" w:rsidRDefault="00635108" w:rsidP="00A57CAC">
      <w:pPr>
        <w:rPr>
          <w:szCs w:val="22"/>
          <w:lang w:eastAsia="tr-TR"/>
        </w:rPr>
      </w:pPr>
      <w:r w:rsidRPr="00C80404">
        <w:rPr>
          <w:szCs w:val="22"/>
          <w:lang w:eastAsia="tr-TR"/>
        </w:rPr>
        <w:t xml:space="preserve">Görece en zayıf iddiadan, yani tanzim satışa konu olan ürünlerin enflasyonunun nasıl etkilendiğini tartışıyor olalım. </w:t>
      </w:r>
      <w:r w:rsidR="00A57CAC" w:rsidRPr="00C80404">
        <w:rPr>
          <w:szCs w:val="22"/>
          <w:lang w:eastAsia="tr-TR"/>
        </w:rPr>
        <w:t>Tanzim satış merkezlerinde satılan ürün sayısı göz önüne alındığında 20 milyondan fazla insanın yaşadığı iki kentte sadece 65 satış noktasında</w:t>
      </w:r>
      <w:r w:rsidR="00514E3A" w:rsidRPr="00C80404">
        <w:rPr>
          <w:rStyle w:val="FootnoteReference"/>
          <w:szCs w:val="22"/>
          <w:lang w:eastAsia="tr-TR"/>
        </w:rPr>
        <w:footnoteReference w:id="8"/>
      </w:r>
      <w:r w:rsidR="00A57CAC" w:rsidRPr="00C80404">
        <w:rPr>
          <w:szCs w:val="22"/>
          <w:lang w:eastAsia="tr-TR"/>
        </w:rPr>
        <w:t xml:space="preserve"> yapılan tanzim satışın </w:t>
      </w:r>
      <w:r w:rsidRPr="00C80404">
        <w:rPr>
          <w:szCs w:val="22"/>
          <w:lang w:eastAsia="tr-TR"/>
        </w:rPr>
        <w:t xml:space="preserve">söz konusu </w:t>
      </w:r>
      <w:r w:rsidR="00A57CAC" w:rsidRPr="00C80404">
        <w:rPr>
          <w:szCs w:val="22"/>
          <w:lang w:eastAsia="tr-TR"/>
        </w:rPr>
        <w:t xml:space="preserve">fiyatları tek başına düşürmesi mümkün değildir. Tanzim satış merkezlerinde satılan ürünlerin bile o ildeki fiyatının düşmesi için tanzim satış dışında kalan </w:t>
      </w:r>
      <w:r w:rsidR="00A57CAC" w:rsidRPr="00C80404">
        <w:rPr>
          <w:szCs w:val="22"/>
          <w:lang w:eastAsia="tr-TR"/>
        </w:rPr>
        <w:lastRenderedPageBreak/>
        <w:t xml:space="preserve">market ve bakkaliyelerde de fiyat </w:t>
      </w:r>
      <w:r w:rsidR="00DC4B55" w:rsidRPr="00C80404">
        <w:rPr>
          <w:szCs w:val="22"/>
          <w:lang w:eastAsia="tr-TR"/>
        </w:rPr>
        <w:t>d</w:t>
      </w:r>
      <w:r w:rsidR="00A57CAC" w:rsidRPr="00C80404">
        <w:rPr>
          <w:szCs w:val="22"/>
          <w:lang w:eastAsia="tr-TR"/>
        </w:rPr>
        <w:t xml:space="preserve">üşüşüne yol açması gerekir. </w:t>
      </w:r>
      <w:r w:rsidRPr="00C80404">
        <w:rPr>
          <w:szCs w:val="22"/>
          <w:lang w:eastAsia="tr-TR"/>
        </w:rPr>
        <w:t>Dolayısı</w:t>
      </w:r>
      <w:r w:rsidR="00514E3A">
        <w:rPr>
          <w:szCs w:val="22"/>
          <w:lang w:eastAsia="tr-TR"/>
        </w:rPr>
        <w:t>yla</w:t>
      </w:r>
      <w:r w:rsidRPr="00C80404">
        <w:rPr>
          <w:szCs w:val="22"/>
          <w:lang w:eastAsia="tr-TR"/>
        </w:rPr>
        <w:t xml:space="preserve"> ilk soru</w:t>
      </w:r>
      <w:r w:rsidR="00514E3A">
        <w:rPr>
          <w:szCs w:val="22"/>
          <w:lang w:eastAsia="tr-TR"/>
        </w:rPr>
        <w:t>m</w:t>
      </w:r>
      <w:r w:rsidRPr="00C80404">
        <w:rPr>
          <w:szCs w:val="22"/>
          <w:lang w:eastAsia="tr-TR"/>
        </w:rPr>
        <w:t xml:space="preserve">uz </w:t>
      </w:r>
      <w:r w:rsidR="00A57CAC" w:rsidRPr="00C80404">
        <w:rPr>
          <w:szCs w:val="22"/>
          <w:lang w:eastAsia="tr-TR"/>
        </w:rPr>
        <w:t>bu</w:t>
      </w:r>
      <w:r w:rsidRPr="00C80404">
        <w:rPr>
          <w:szCs w:val="22"/>
          <w:lang w:eastAsia="tr-TR"/>
        </w:rPr>
        <w:t xml:space="preserve">nun gerçekleşip gerçekleşmediği, </w:t>
      </w:r>
      <w:r w:rsidR="00514E3A">
        <w:rPr>
          <w:szCs w:val="22"/>
          <w:lang w:eastAsia="tr-TR"/>
        </w:rPr>
        <w:t>gerçekleştiyse</w:t>
      </w:r>
      <w:r w:rsidRPr="00C80404">
        <w:rPr>
          <w:szCs w:val="22"/>
          <w:lang w:eastAsia="tr-TR"/>
        </w:rPr>
        <w:t xml:space="preserve"> hangi oranda gerçekleştiği.</w:t>
      </w:r>
    </w:p>
    <w:p w14:paraId="1A334C1A" w14:textId="24D3C607" w:rsidR="00A57CAC" w:rsidRDefault="00635108" w:rsidP="000F28F7">
      <w:pPr>
        <w:rPr>
          <w:szCs w:val="22"/>
          <w:lang w:eastAsia="tr-TR"/>
        </w:rPr>
      </w:pPr>
      <w:r w:rsidRPr="00C80404">
        <w:rPr>
          <w:szCs w:val="22"/>
          <w:lang w:eastAsia="tr-TR"/>
        </w:rPr>
        <w:t xml:space="preserve">Daha güçlü olan iddia ise </w:t>
      </w:r>
      <w:r w:rsidR="002A392C" w:rsidRPr="00C80404">
        <w:rPr>
          <w:szCs w:val="22"/>
          <w:lang w:eastAsia="tr-TR"/>
        </w:rPr>
        <w:t>“</w:t>
      </w:r>
      <w:r w:rsidRPr="00C80404">
        <w:rPr>
          <w:szCs w:val="22"/>
          <w:lang w:eastAsia="tr-TR"/>
        </w:rPr>
        <w:t>fırsatçıların</w:t>
      </w:r>
      <w:r w:rsidR="002A392C" w:rsidRPr="00C80404">
        <w:rPr>
          <w:szCs w:val="22"/>
          <w:lang w:eastAsia="tr-TR"/>
        </w:rPr>
        <w:t xml:space="preserve">” (fiyatları yapay olarak yükselten stokçuların) </w:t>
      </w:r>
      <w:r w:rsidRPr="00C80404">
        <w:rPr>
          <w:szCs w:val="22"/>
          <w:lang w:eastAsia="tr-TR"/>
        </w:rPr>
        <w:t xml:space="preserve">mevcut düzeni </w:t>
      </w:r>
      <w:r w:rsidR="002A392C" w:rsidRPr="00C80404">
        <w:rPr>
          <w:szCs w:val="22"/>
          <w:lang w:eastAsia="tr-TR"/>
        </w:rPr>
        <w:t xml:space="preserve">kırılacağı için sadece tanzim </w:t>
      </w:r>
      <w:r w:rsidR="00BB3969" w:rsidRPr="00C80404">
        <w:rPr>
          <w:szCs w:val="22"/>
          <w:lang w:eastAsia="tr-TR"/>
        </w:rPr>
        <w:t xml:space="preserve">bölgelerinde değil </w:t>
      </w:r>
      <w:r w:rsidR="00514E3A">
        <w:rPr>
          <w:szCs w:val="22"/>
          <w:lang w:eastAsia="tr-TR"/>
        </w:rPr>
        <w:t>tüm Türkiye’de enflasyonun</w:t>
      </w:r>
      <w:r w:rsidR="002A392C" w:rsidRPr="00C80404">
        <w:rPr>
          <w:szCs w:val="22"/>
          <w:lang w:eastAsia="tr-TR"/>
        </w:rPr>
        <w:t xml:space="preserve"> </w:t>
      </w:r>
      <w:r w:rsidR="00A57CAC" w:rsidRPr="00C80404">
        <w:rPr>
          <w:szCs w:val="22"/>
          <w:lang w:eastAsia="tr-TR"/>
        </w:rPr>
        <w:t xml:space="preserve">düşeceğini </w:t>
      </w:r>
      <w:r w:rsidR="005C66AA" w:rsidRPr="00C80404">
        <w:rPr>
          <w:szCs w:val="22"/>
          <w:lang w:eastAsia="tr-TR"/>
        </w:rPr>
        <w:t>iddia</w:t>
      </w:r>
      <w:r w:rsidR="00514E3A">
        <w:rPr>
          <w:szCs w:val="22"/>
          <w:lang w:eastAsia="tr-TR"/>
        </w:rPr>
        <w:t>sı</w:t>
      </w:r>
      <w:r w:rsidR="005C66AA" w:rsidRPr="00C80404">
        <w:rPr>
          <w:szCs w:val="22"/>
          <w:lang w:eastAsia="tr-TR"/>
        </w:rPr>
        <w:t>. T</w:t>
      </w:r>
      <w:r w:rsidR="00A57CAC" w:rsidRPr="00C80404">
        <w:rPr>
          <w:szCs w:val="22"/>
          <w:lang w:eastAsia="tr-TR"/>
        </w:rPr>
        <w:t>anzim satış</w:t>
      </w:r>
      <w:r w:rsidR="005C66AA" w:rsidRPr="00C80404">
        <w:rPr>
          <w:szCs w:val="22"/>
          <w:lang w:eastAsia="tr-TR"/>
        </w:rPr>
        <w:t xml:space="preserve"> ile beraber acaba hangi ürünlerin fiyat artışları sınırlı kaldı (veya azaldı) ve bu etki </w:t>
      </w:r>
      <w:r w:rsidR="00A57CAC" w:rsidRPr="00C80404">
        <w:rPr>
          <w:szCs w:val="22"/>
          <w:lang w:eastAsia="tr-TR"/>
        </w:rPr>
        <w:t>hangi bölgeler</w:t>
      </w:r>
      <w:r w:rsidR="005C66AA" w:rsidRPr="00C80404">
        <w:rPr>
          <w:szCs w:val="22"/>
          <w:lang w:eastAsia="tr-TR"/>
        </w:rPr>
        <w:t>de gözlemlendi</w:t>
      </w:r>
      <w:r w:rsidR="00A57CAC" w:rsidRPr="00C80404">
        <w:rPr>
          <w:szCs w:val="22"/>
          <w:lang w:eastAsia="tr-TR"/>
        </w:rPr>
        <w:t>?</w:t>
      </w:r>
    </w:p>
    <w:p w14:paraId="3CFB4D0C" w14:textId="77777777" w:rsidR="004B72CD" w:rsidRPr="00E734A5" w:rsidRDefault="004B72CD" w:rsidP="00E734A5">
      <w:pPr>
        <w:pStyle w:val="Heading2"/>
        <w:rPr>
          <w:rFonts w:eastAsiaTheme="minorHAnsi"/>
          <w:lang w:val="tr-TR" w:eastAsia="en-US"/>
        </w:rPr>
      </w:pPr>
      <w:r>
        <w:rPr>
          <w:rFonts w:eastAsiaTheme="minorHAnsi"/>
          <w:lang w:val="tr-TR" w:eastAsia="en-US"/>
        </w:rPr>
        <w:t>Tanzim satış</w:t>
      </w:r>
      <w:r w:rsidR="002B055E">
        <w:rPr>
          <w:rFonts w:eastAsiaTheme="minorHAnsi"/>
          <w:lang w:val="tr-TR" w:eastAsia="en-US"/>
        </w:rPr>
        <w:t>:</w:t>
      </w:r>
      <w:r>
        <w:rPr>
          <w:rFonts w:eastAsiaTheme="minorHAnsi"/>
          <w:lang w:val="tr-TR" w:eastAsia="en-US"/>
        </w:rPr>
        <w:t xml:space="preserve"> </w:t>
      </w:r>
      <w:r w:rsidR="00E734A5">
        <w:rPr>
          <w:rFonts w:eastAsiaTheme="minorHAnsi"/>
          <w:lang w:val="tr-TR" w:eastAsia="en-US"/>
        </w:rPr>
        <w:t xml:space="preserve">veri </w:t>
      </w:r>
      <w:r w:rsidR="002B055E">
        <w:rPr>
          <w:rFonts w:eastAsiaTheme="minorHAnsi"/>
          <w:lang w:val="tr-TR" w:eastAsia="en-US"/>
        </w:rPr>
        <w:t>ve tanımlar</w:t>
      </w:r>
      <w:r w:rsidRPr="00C80404">
        <w:rPr>
          <w:rFonts w:eastAsiaTheme="minorHAnsi"/>
          <w:lang w:val="tr-TR" w:eastAsia="en-US"/>
        </w:rPr>
        <w:t xml:space="preserve"> </w:t>
      </w:r>
    </w:p>
    <w:p w14:paraId="0FC7A9C4" w14:textId="6958A34C" w:rsidR="00E734A5" w:rsidRPr="00C80404" w:rsidRDefault="00A315FE" w:rsidP="00E734A5">
      <w:pPr>
        <w:rPr>
          <w:rFonts w:cstheme="minorHAnsi"/>
        </w:rPr>
      </w:pPr>
      <w:r w:rsidRPr="00C80404">
        <w:rPr>
          <w:szCs w:val="22"/>
          <w:lang w:eastAsia="tr-TR"/>
        </w:rPr>
        <w:t>Herhangi bir hesaba girmeden evvel sepetin bileşimi hakkındaki bilgilerimiz</w:t>
      </w:r>
      <w:r w:rsidR="00514E3A">
        <w:rPr>
          <w:szCs w:val="22"/>
          <w:lang w:eastAsia="tr-TR"/>
        </w:rPr>
        <w:t>i</w:t>
      </w:r>
      <w:r w:rsidRPr="00C80404">
        <w:rPr>
          <w:szCs w:val="22"/>
          <w:lang w:eastAsia="tr-TR"/>
        </w:rPr>
        <w:t xml:space="preserve"> tazelememiz gerekiyor. Tüketici enflasyonunun hesaplandığı sepette 400’ün üzerinde ürün yer alıyor. Bunların yaklaşık üçte biri gıda ve alkolsüz içeceklerden oluşuyor.</w:t>
      </w:r>
      <w:r w:rsidR="0007239A" w:rsidRPr="00C80404">
        <w:rPr>
          <w:szCs w:val="22"/>
          <w:lang w:eastAsia="tr-TR"/>
        </w:rPr>
        <w:t xml:space="preserve"> Enflasyon sepetinde</w:t>
      </w:r>
      <w:r w:rsidR="002640B4" w:rsidRPr="00C80404">
        <w:rPr>
          <w:szCs w:val="22"/>
          <w:lang w:eastAsia="tr-TR"/>
        </w:rPr>
        <w:t xml:space="preserve"> </w:t>
      </w:r>
      <w:r w:rsidR="00C80404" w:rsidRPr="00C80404">
        <w:rPr>
          <w:szCs w:val="22"/>
          <w:lang w:eastAsia="tr-TR"/>
        </w:rPr>
        <w:t>gıda ve</w:t>
      </w:r>
      <w:r w:rsidR="0007239A" w:rsidRPr="00C80404">
        <w:rPr>
          <w:szCs w:val="22"/>
          <w:lang w:eastAsia="tr-TR"/>
        </w:rPr>
        <w:t xml:space="preserve"> alkolsüz içecekle</w:t>
      </w:r>
      <w:r w:rsidR="00514E3A">
        <w:rPr>
          <w:szCs w:val="22"/>
          <w:lang w:eastAsia="tr-TR"/>
        </w:rPr>
        <w:t>r</w:t>
      </w:r>
      <w:r w:rsidR="002640B4" w:rsidRPr="00C80404">
        <w:rPr>
          <w:szCs w:val="22"/>
          <w:lang w:eastAsia="tr-TR"/>
        </w:rPr>
        <w:t xml:space="preserve"> payı </w:t>
      </w:r>
      <w:r w:rsidR="0007239A" w:rsidRPr="00C80404">
        <w:rPr>
          <w:szCs w:val="22"/>
          <w:lang w:eastAsia="tr-TR"/>
        </w:rPr>
        <w:t>yüzde 23</w:t>
      </w:r>
      <w:r w:rsidR="002640B4" w:rsidRPr="00C80404">
        <w:rPr>
          <w:szCs w:val="22"/>
          <w:lang w:eastAsia="tr-TR"/>
        </w:rPr>
        <w:t>’ün biraz üzerindedir.</w:t>
      </w:r>
      <w:r w:rsidRPr="00C80404">
        <w:rPr>
          <w:szCs w:val="22"/>
          <w:lang w:eastAsia="tr-TR"/>
        </w:rPr>
        <w:t xml:space="preserve"> Son 4 yıllık dönemde </w:t>
      </w:r>
      <w:bookmarkStart w:id="0" w:name="_Hlk2847600"/>
      <w:r w:rsidRPr="00C80404">
        <w:rPr>
          <w:szCs w:val="22"/>
          <w:lang w:eastAsia="tr-TR"/>
        </w:rPr>
        <w:t>sepetteki yaş sebze adedi 27, yaş meyve adedi ise 17</w:t>
      </w:r>
      <w:bookmarkEnd w:id="0"/>
      <w:r w:rsidRPr="00C80404">
        <w:rPr>
          <w:szCs w:val="22"/>
          <w:lang w:eastAsia="tr-TR"/>
        </w:rPr>
        <w:t xml:space="preserve">. Geçen ay, 11 Şubat’ta İstanbul (50 satış noktası) ve Ankara’da (15 satış noktası) devreye giren tanzim satış merkezlerinde satılan ürün adedi </w:t>
      </w:r>
      <w:r w:rsidR="00FE3775" w:rsidRPr="00C80404">
        <w:rPr>
          <w:szCs w:val="22"/>
          <w:lang w:eastAsia="tr-TR"/>
        </w:rPr>
        <w:t xml:space="preserve">ilk </w:t>
      </w:r>
      <w:r w:rsidR="00514E3A">
        <w:rPr>
          <w:szCs w:val="22"/>
          <w:lang w:eastAsia="tr-TR"/>
        </w:rPr>
        <w:t>etapta</w:t>
      </w:r>
      <w:r w:rsidR="00FE3775" w:rsidRPr="00C80404">
        <w:rPr>
          <w:szCs w:val="22"/>
          <w:lang w:eastAsia="tr-TR"/>
        </w:rPr>
        <w:t xml:space="preserve"> </w:t>
      </w:r>
      <w:r w:rsidR="00420E5F" w:rsidRPr="00C80404">
        <w:rPr>
          <w:szCs w:val="22"/>
          <w:lang w:eastAsia="tr-TR"/>
        </w:rPr>
        <w:t>9</w:t>
      </w:r>
      <w:r w:rsidR="00FE3775" w:rsidRPr="00C80404">
        <w:rPr>
          <w:szCs w:val="22"/>
          <w:lang w:eastAsia="tr-TR"/>
        </w:rPr>
        <w:t xml:space="preserve"> </w:t>
      </w:r>
      <w:r w:rsidR="00420E5F" w:rsidRPr="00C80404">
        <w:rPr>
          <w:szCs w:val="22"/>
          <w:lang w:eastAsia="tr-TR"/>
        </w:rPr>
        <w:t>ile sınırlıydı:</w:t>
      </w:r>
      <w:r w:rsidR="00FE3775" w:rsidRPr="00C80404">
        <w:rPr>
          <w:szCs w:val="22"/>
          <w:lang w:eastAsia="tr-TR"/>
        </w:rPr>
        <w:t xml:space="preserve"> domates, salatalık, ıspanak, patates, soğan, patlıcan ve </w:t>
      </w:r>
      <w:r w:rsidR="00420E5F" w:rsidRPr="00C80404">
        <w:rPr>
          <w:szCs w:val="22"/>
          <w:lang w:eastAsia="tr-TR"/>
        </w:rPr>
        <w:t xml:space="preserve">üç </w:t>
      </w:r>
      <w:r w:rsidR="00FE3775" w:rsidRPr="00C80404">
        <w:rPr>
          <w:szCs w:val="22"/>
          <w:lang w:eastAsia="tr-TR"/>
        </w:rPr>
        <w:t>biber</w:t>
      </w:r>
      <w:r w:rsidR="00420E5F" w:rsidRPr="00C80404">
        <w:rPr>
          <w:szCs w:val="22"/>
          <w:lang w:eastAsia="tr-TR"/>
        </w:rPr>
        <w:t xml:space="preserve"> çeşidi (çarliston, sivri, dolmalık)</w:t>
      </w:r>
      <w:r w:rsidR="00FE3775" w:rsidRPr="00C80404">
        <w:rPr>
          <w:rStyle w:val="FootnoteReference"/>
          <w:szCs w:val="22"/>
          <w:lang w:eastAsia="tr-TR"/>
        </w:rPr>
        <w:footnoteReference w:id="9"/>
      </w:r>
      <w:r w:rsidR="00FE3775" w:rsidRPr="00C80404">
        <w:rPr>
          <w:szCs w:val="22"/>
          <w:lang w:eastAsia="tr-TR"/>
        </w:rPr>
        <w:t>.  Ayrıca kişi başı tek seferde en fazla 3 kilo sebze ya da meyve satın alınabiliyordu.</w:t>
      </w:r>
      <w:r w:rsidR="00EF1C87" w:rsidRPr="00C80404">
        <w:rPr>
          <w:szCs w:val="22"/>
          <w:lang w:eastAsia="tr-TR"/>
        </w:rPr>
        <w:t xml:space="preserve">  </w:t>
      </w:r>
      <w:r w:rsidR="00E734A5" w:rsidRPr="00C80404">
        <w:rPr>
          <w:rFonts w:cstheme="minorHAnsi"/>
        </w:rPr>
        <w:t>Tanzim satıştaki ürünlere Şubat ayının sonuna doğru seçili sebzeler dışında nohut ve mercimek de eklendi.</w:t>
      </w:r>
      <w:r w:rsidR="00E734A5" w:rsidRPr="00C80404">
        <w:rPr>
          <w:rStyle w:val="FootnoteReference"/>
          <w:rFonts w:cstheme="minorHAnsi"/>
        </w:rPr>
        <w:footnoteReference w:id="10"/>
      </w:r>
      <w:r w:rsidR="00E734A5" w:rsidRPr="00C80404">
        <w:rPr>
          <w:rFonts w:cstheme="minorHAnsi"/>
        </w:rPr>
        <w:t xml:space="preserve">  Mart ayıyla birlikte pirinç de tanzimdeki yerini aldı</w:t>
      </w:r>
      <w:r w:rsidR="00E734A5" w:rsidRPr="00C80404">
        <w:rPr>
          <w:rStyle w:val="FootnoteReference"/>
          <w:rFonts w:cstheme="minorHAnsi"/>
        </w:rPr>
        <w:footnoteReference w:id="11"/>
      </w:r>
      <w:r w:rsidR="00E734A5" w:rsidRPr="00C80404">
        <w:rPr>
          <w:rFonts w:cstheme="minorHAnsi"/>
        </w:rPr>
        <w:t xml:space="preserve">. Tanzimdeki ürün çeşidi illere, satış noktasına ve hatta günlere göre değişmekle birlikte </w:t>
      </w:r>
      <w:r w:rsidR="00E734A5">
        <w:rPr>
          <w:rFonts w:cstheme="minorHAnsi"/>
        </w:rPr>
        <w:t xml:space="preserve">tanzim satış ağırlıklı olarak </w:t>
      </w:r>
      <w:r w:rsidR="00E734A5" w:rsidRPr="00C80404">
        <w:rPr>
          <w:rFonts w:cstheme="minorHAnsi"/>
        </w:rPr>
        <w:t>İstanbul ve Ankara</w:t>
      </w:r>
      <w:r w:rsidR="00E734A5">
        <w:rPr>
          <w:rFonts w:cstheme="minorHAnsi"/>
        </w:rPr>
        <w:t>’da gerçekleştiği için Şubat ayı sonuna kadar bu bölgelerde yoğun olarak satılan 9 ürünü</w:t>
      </w:r>
      <w:r w:rsidR="00E734A5" w:rsidRPr="00C80404">
        <w:rPr>
          <w:szCs w:val="22"/>
          <w:lang w:eastAsia="tr-TR"/>
        </w:rPr>
        <w:t xml:space="preserve"> </w:t>
      </w:r>
      <w:r w:rsidR="00E734A5">
        <w:rPr>
          <w:szCs w:val="22"/>
          <w:lang w:eastAsia="tr-TR"/>
        </w:rPr>
        <w:t>“</w:t>
      </w:r>
      <w:r w:rsidR="00E734A5" w:rsidRPr="00C80404">
        <w:rPr>
          <w:szCs w:val="22"/>
          <w:lang w:eastAsia="tr-TR"/>
        </w:rPr>
        <w:t>tanzim ürün</w:t>
      </w:r>
      <w:r w:rsidR="00E734A5">
        <w:rPr>
          <w:szCs w:val="22"/>
          <w:lang w:eastAsia="tr-TR"/>
        </w:rPr>
        <w:t>” olarak tanımlayacağız</w:t>
      </w:r>
      <w:r w:rsidR="00E734A5" w:rsidRPr="00C80404">
        <w:rPr>
          <w:szCs w:val="22"/>
          <w:lang w:eastAsia="tr-TR"/>
        </w:rPr>
        <w:t xml:space="preserve">. </w:t>
      </w:r>
    </w:p>
    <w:p w14:paraId="79C886F6" w14:textId="507361DF" w:rsidR="00E734A5" w:rsidRPr="002B055E" w:rsidRDefault="002B055E" w:rsidP="008963F6">
      <w:pPr>
        <w:rPr>
          <w:rFonts w:cstheme="minorHAnsi"/>
        </w:rPr>
      </w:pPr>
      <w:r w:rsidRPr="00C80404">
        <w:rPr>
          <w:rFonts w:cstheme="minorHAnsi"/>
        </w:rPr>
        <w:t xml:space="preserve">İlk olarak tanzimde satılan sebzelerin fiyatlarının seyrine bakalım. Bunun için İBBS Düzey 2 bölgelerini (tam liste </w:t>
      </w:r>
      <w:r w:rsidR="00745821">
        <w:rPr>
          <w:rFonts w:cstheme="minorHAnsi"/>
        </w:rPr>
        <w:t xml:space="preserve">için bkz. </w:t>
      </w:r>
      <w:r w:rsidRPr="00C80404">
        <w:rPr>
          <w:rFonts w:cstheme="minorHAnsi"/>
        </w:rPr>
        <w:t>notun sonundaki Ek) ikiye ayırıyoruz</w:t>
      </w:r>
      <w:r w:rsidR="00514E3A">
        <w:rPr>
          <w:rFonts w:cstheme="minorHAnsi"/>
        </w:rPr>
        <w:t>:</w:t>
      </w:r>
      <w:r w:rsidRPr="00C80404">
        <w:rPr>
          <w:rFonts w:cstheme="minorHAnsi"/>
        </w:rPr>
        <w:t xml:space="preserve"> </w:t>
      </w:r>
      <w:r w:rsidR="00514E3A">
        <w:rPr>
          <w:rFonts w:cstheme="minorHAnsi"/>
        </w:rPr>
        <w:t>t</w:t>
      </w:r>
      <w:r w:rsidRPr="00C80404">
        <w:rPr>
          <w:rFonts w:cstheme="minorHAnsi"/>
        </w:rPr>
        <w:t>anzim bölgeleri</w:t>
      </w:r>
      <w:r w:rsidR="00514E3A">
        <w:rPr>
          <w:rFonts w:cstheme="minorHAnsi"/>
        </w:rPr>
        <w:t xml:space="preserve"> (İstanbul ve Ankara)</w:t>
      </w:r>
      <w:r w:rsidRPr="00C80404">
        <w:rPr>
          <w:rFonts w:cstheme="minorHAnsi"/>
        </w:rPr>
        <w:t xml:space="preserve"> ve diğer bölgeler. Yukarıda da değindiğimiz gibi Şubat ortasından itibaren Balıkesir, Samsun, Adana gibi yerlerde de tanzim satışların başladığını bilmekle birlikte hem bu illeri diğer İBBS Düzey 2 illerinden ayrı ele almanın zorluğu hem </w:t>
      </w:r>
      <w:r w:rsidRPr="00C80404">
        <w:rPr>
          <w:szCs w:val="22"/>
          <w:lang w:eastAsia="tr-TR"/>
        </w:rPr>
        <w:t>de çok az sayıda noktada satış yapılması sebebiyle esas olarak tanzim illerinin Ankara ve İstanbul olduğu söylenebilir.</w:t>
      </w:r>
      <w:r w:rsidRPr="00C80404">
        <w:rPr>
          <w:rFonts w:cstheme="minorHAnsi"/>
        </w:rPr>
        <w:t xml:space="preserve"> </w:t>
      </w:r>
    </w:p>
    <w:p w14:paraId="1CEE8581" w14:textId="77777777" w:rsidR="00B13D92" w:rsidRPr="00C80404" w:rsidRDefault="005675B0" w:rsidP="00AF7A9E">
      <w:pPr>
        <w:pStyle w:val="Heading2"/>
        <w:rPr>
          <w:rFonts w:eastAsiaTheme="minorHAnsi"/>
          <w:lang w:val="tr-TR" w:eastAsia="en-US"/>
        </w:rPr>
      </w:pPr>
      <w:r w:rsidRPr="00C80404">
        <w:rPr>
          <w:rFonts w:eastAsiaTheme="minorHAnsi"/>
          <w:lang w:val="tr-TR" w:eastAsia="en-US"/>
        </w:rPr>
        <w:t>Fiyatların seyri</w:t>
      </w:r>
      <w:r w:rsidR="00C85D75" w:rsidRPr="00C80404">
        <w:rPr>
          <w:rFonts w:eastAsiaTheme="minorHAnsi"/>
          <w:lang w:val="tr-TR" w:eastAsia="en-US"/>
        </w:rPr>
        <w:t xml:space="preserve"> </w:t>
      </w:r>
    </w:p>
    <w:p w14:paraId="05845C57" w14:textId="77777777" w:rsidR="00130094" w:rsidRPr="00130094" w:rsidRDefault="00130094" w:rsidP="005675B0">
      <w:r w:rsidRPr="00C80404">
        <w:rPr>
          <w:szCs w:val="22"/>
          <w:lang w:eastAsia="tr-TR"/>
        </w:rPr>
        <w:t xml:space="preserve">Şekil 1 tanzime konu olan seçili ürünlerde fiyat seviyesinin son 14 aylık seyrini vermektedir. Tüm ürünlerde çarpıcı olan şey </w:t>
      </w:r>
      <w:r w:rsidRPr="00C80404">
        <w:rPr>
          <w:szCs w:val="22"/>
          <w:u w:val="single"/>
          <w:lang w:eastAsia="tr-TR"/>
        </w:rPr>
        <w:t>Şubat 2019 hariç</w:t>
      </w:r>
      <w:r w:rsidRPr="00C80404">
        <w:rPr>
          <w:szCs w:val="22"/>
          <w:lang w:eastAsia="tr-TR"/>
        </w:rPr>
        <w:t xml:space="preserve"> fiyat serilerinde büyük bir paralellik olduğudur. Şubat 2019’da tanzim bölgeleri olan Ankara ve İstanbul’da fiyat seviyeleri Türkiye’nin diğer bölge ortalamasının altına düşmüştür. İncelenen 14 ay boyunca bu ilk kez olmaktadır. Kuvvetle muhtemeldir ki istisnai durumlar hariç pek beklenen bir durum değildir. Beklentilere uygun olan ürün grafikleri daha çok dolmalık biber, domates, sivri biber </w:t>
      </w:r>
      <w:r w:rsidRPr="00C80404">
        <w:rPr>
          <w:szCs w:val="22"/>
          <w:lang w:eastAsia="tr-TR"/>
        </w:rPr>
        <w:lastRenderedPageBreak/>
        <w:t>ve salatalık örneklerinde olduğu gibi paralel bir harekete rağmen fiyat seviyesinin daha gelişmiş olan Ankara ve İstanbul’da daha yüksek seyretmesidir.  Kuru soğan ve patates örnekleri ise her iki grupta da 14 ay boyunca neredeyse aynı fiyatların gözlemlenmesi sebebiyle ilginçtir. Yine, bu iki üründe de Şubat 2019’da tanzim bölgelerinde görülen fiyat düşüşleri dikkat çekicidir.</w:t>
      </w:r>
    </w:p>
    <w:p w14:paraId="41D72B1B" w14:textId="77777777" w:rsidR="005675B0" w:rsidRPr="00C80404" w:rsidRDefault="005675B0" w:rsidP="00476B68">
      <w:pPr>
        <w:pStyle w:val="Caption"/>
        <w:keepNext/>
        <w:rPr>
          <w:sz w:val="22"/>
        </w:rPr>
      </w:pPr>
      <w:r w:rsidRPr="00C80404">
        <w:rPr>
          <w:sz w:val="22"/>
        </w:rPr>
        <w:t>Şekil</w:t>
      </w:r>
      <w:r w:rsidR="00FC7D5A">
        <w:rPr>
          <w:sz w:val="22"/>
        </w:rPr>
        <w:t xml:space="preserve"> 1</w:t>
      </w:r>
      <w:r w:rsidRPr="00C80404">
        <w:rPr>
          <w:sz w:val="22"/>
        </w:rPr>
        <w:t>: Seçili ürünlerde fiyatların seyri 2018(1)-2019(2)</w:t>
      </w:r>
    </w:p>
    <w:p w14:paraId="769D78CE" w14:textId="77777777" w:rsidR="005675B0" w:rsidRPr="00C80404" w:rsidRDefault="005675B0" w:rsidP="00476B68">
      <w:pPr>
        <w:keepNext/>
        <w:rPr>
          <w:rFonts w:cstheme="minorHAnsi"/>
        </w:rPr>
      </w:pPr>
      <w:r w:rsidRPr="00C80404">
        <w:rPr>
          <w:rFonts w:cstheme="minorHAnsi"/>
          <w:noProof/>
          <w:lang w:val="en-GB" w:eastAsia="en-GB"/>
        </w:rPr>
        <w:drawing>
          <wp:inline distT="0" distB="0" distL="0" distR="0" wp14:anchorId="09BCC7DB" wp14:editId="2A4BD5CE">
            <wp:extent cx="5731510" cy="4870313"/>
            <wp:effectExtent l="0" t="0" r="2540" b="6985"/>
            <wp:docPr id="28" name="Resim 28" descr="C:\Users\ozan\Dropbox\betam_tanzim\tanzim_urunleri_graf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zan\Dropbox\betam_tanzim\tanzim_urunleri_grafi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870313"/>
                    </a:xfrm>
                    <a:prstGeom prst="rect">
                      <a:avLst/>
                    </a:prstGeom>
                    <a:noFill/>
                    <a:ln>
                      <a:noFill/>
                    </a:ln>
                  </pic:spPr>
                </pic:pic>
              </a:graphicData>
            </a:graphic>
          </wp:inline>
        </w:drawing>
      </w:r>
    </w:p>
    <w:p w14:paraId="12307A6A" w14:textId="136A814C" w:rsidR="005675B0" w:rsidRPr="00C80404" w:rsidRDefault="005675B0" w:rsidP="00476B68">
      <w:pPr>
        <w:keepNext/>
        <w:rPr>
          <w:rFonts w:cstheme="minorHAnsi"/>
        </w:rPr>
      </w:pPr>
      <w:r w:rsidRPr="00C80404">
        <w:rPr>
          <w:b/>
          <w:sz w:val="20"/>
          <w:szCs w:val="20"/>
          <w:lang w:eastAsia="tr-TR"/>
        </w:rPr>
        <w:t>Kaynak</w:t>
      </w:r>
      <w:r w:rsidRPr="00C80404">
        <w:rPr>
          <w:sz w:val="20"/>
          <w:szCs w:val="20"/>
          <w:lang w:eastAsia="tr-TR"/>
        </w:rPr>
        <w:t>: T</w:t>
      </w:r>
      <w:r w:rsidR="00514E3A">
        <w:rPr>
          <w:sz w:val="20"/>
          <w:szCs w:val="20"/>
          <w:lang w:eastAsia="tr-TR"/>
        </w:rPr>
        <w:t>Ü</w:t>
      </w:r>
      <w:r w:rsidRPr="00C80404">
        <w:rPr>
          <w:sz w:val="20"/>
          <w:szCs w:val="20"/>
          <w:lang w:eastAsia="tr-TR"/>
        </w:rPr>
        <w:t xml:space="preserve">İK, </w:t>
      </w:r>
      <w:r w:rsidR="00747456" w:rsidRPr="00C80404">
        <w:rPr>
          <w:sz w:val="20"/>
          <w:szCs w:val="20"/>
          <w:lang w:eastAsia="tr-TR"/>
        </w:rPr>
        <w:t>Betam. TÜFE Tüketici Madde Fiyatları, İstatistiksel Tablolar ve Dinamik Sorgulama, http://www.tuik.gov.tr, Erişim tarihi 05.03.2019.</w:t>
      </w:r>
      <w:r w:rsidRPr="00C80404">
        <w:rPr>
          <w:sz w:val="20"/>
          <w:szCs w:val="20"/>
          <w:lang w:eastAsia="tr-TR"/>
        </w:rPr>
        <w:t xml:space="preserve"> </w:t>
      </w:r>
      <w:r w:rsidR="00747456" w:rsidRPr="00C80404">
        <w:rPr>
          <w:b/>
          <w:sz w:val="20"/>
          <w:szCs w:val="20"/>
          <w:lang w:eastAsia="tr-TR"/>
        </w:rPr>
        <w:t>Not: 26 İBBS Düzey 2 bölgesini “tanzim” bölgeleri (Ankara-TR51 ve İstanbul-TR10) ve “diğer” bölgeler olacak şekilde iki gruba ayırdık ve her bir grupta seçilen ürünlerin ortalama fiyatını hesapladık.</w:t>
      </w:r>
      <w:r w:rsidRPr="00C80404">
        <w:rPr>
          <w:sz w:val="20"/>
          <w:szCs w:val="20"/>
          <w:lang w:eastAsia="tr-TR"/>
        </w:rPr>
        <w:t xml:space="preserve"> </w:t>
      </w:r>
    </w:p>
    <w:p w14:paraId="68D4E67C" w14:textId="77777777" w:rsidR="00B55335" w:rsidRPr="00C80404" w:rsidRDefault="00BE06EC" w:rsidP="00C63218">
      <w:r w:rsidRPr="00C80404">
        <w:rPr>
          <w:szCs w:val="22"/>
          <w:lang w:eastAsia="tr-TR"/>
        </w:rPr>
        <w:t>Şekil</w:t>
      </w:r>
      <w:r w:rsidR="0074759F">
        <w:rPr>
          <w:szCs w:val="22"/>
          <w:lang w:eastAsia="tr-TR"/>
        </w:rPr>
        <w:t>ler</w:t>
      </w:r>
      <w:r w:rsidRPr="00C80404">
        <w:rPr>
          <w:szCs w:val="22"/>
          <w:lang w:eastAsia="tr-TR"/>
        </w:rPr>
        <w:t xml:space="preserve"> </w:t>
      </w:r>
      <w:r w:rsidR="00130094">
        <w:rPr>
          <w:szCs w:val="22"/>
          <w:lang w:eastAsia="tr-TR"/>
        </w:rPr>
        <w:t>2</w:t>
      </w:r>
      <w:r w:rsidR="0074759F">
        <w:rPr>
          <w:szCs w:val="22"/>
          <w:lang w:eastAsia="tr-TR"/>
        </w:rPr>
        <w:t>-4</w:t>
      </w:r>
      <w:r w:rsidR="00130094">
        <w:rPr>
          <w:szCs w:val="22"/>
          <w:lang w:eastAsia="tr-TR"/>
        </w:rPr>
        <w:t xml:space="preserve"> </w:t>
      </w:r>
      <w:r w:rsidR="0074759F">
        <w:rPr>
          <w:szCs w:val="22"/>
          <w:lang w:eastAsia="tr-TR"/>
        </w:rPr>
        <w:t>seçilen ürün için</w:t>
      </w:r>
      <w:r w:rsidR="00130094">
        <w:rPr>
          <w:szCs w:val="22"/>
          <w:lang w:eastAsia="tr-TR"/>
        </w:rPr>
        <w:t xml:space="preserve"> İBBS Düzey 2 bölgesi aylık şubat enflasyonundan İstanbul’un </w:t>
      </w:r>
      <w:r w:rsidR="0074759F">
        <w:rPr>
          <w:szCs w:val="22"/>
          <w:lang w:eastAsia="tr-TR"/>
        </w:rPr>
        <w:t xml:space="preserve">enflasyonunu </w:t>
      </w:r>
      <w:r w:rsidR="00130094">
        <w:rPr>
          <w:szCs w:val="22"/>
          <w:lang w:eastAsia="tr-TR"/>
        </w:rPr>
        <w:t>çıkarmaktadır. Böylece, diğer bölgelerin İstanbul’a kıyasla fiyat artışı son üç yılda nasıl olmuştur onu görüyoruz.  Kuru soğan, patates, sivri biberde 2019’da 25 bölgedeki aylık enflasyon</w:t>
      </w:r>
      <w:r w:rsidR="002B055E">
        <w:rPr>
          <w:szCs w:val="22"/>
          <w:lang w:eastAsia="tr-TR"/>
        </w:rPr>
        <w:t>un İstanbul enflasyonuna göre çok daha yüksek olduğu görülmektedir. Bekleneceği gibi ayva ve elma için böyle bir durum yoktur. Tanzim kapsamında olmasına rağmen domateste de İs</w:t>
      </w:r>
      <w:r w:rsidR="0074759F">
        <w:rPr>
          <w:szCs w:val="22"/>
          <w:lang w:eastAsia="tr-TR"/>
        </w:rPr>
        <w:t>tanbul ile diğer 25 bölge arasında pek bir fark olmadığı anlaşılıyor.</w:t>
      </w:r>
    </w:p>
    <w:p w14:paraId="4A9B02CE" w14:textId="77777777" w:rsidR="00AE77EC" w:rsidRPr="00C80404" w:rsidRDefault="00AE77EC" w:rsidP="00476B68">
      <w:pPr>
        <w:pStyle w:val="Caption"/>
        <w:keepNext/>
        <w:rPr>
          <w:sz w:val="22"/>
        </w:rPr>
      </w:pPr>
      <w:r w:rsidRPr="00C80404">
        <w:rPr>
          <w:sz w:val="22"/>
        </w:rPr>
        <w:lastRenderedPageBreak/>
        <w:t>Şekil</w:t>
      </w:r>
      <w:r w:rsidR="00FC7D5A">
        <w:rPr>
          <w:sz w:val="22"/>
        </w:rPr>
        <w:t xml:space="preserve"> 2</w:t>
      </w:r>
      <w:r w:rsidRPr="00C80404">
        <w:rPr>
          <w:sz w:val="22"/>
        </w:rPr>
        <w:t>:</w:t>
      </w:r>
      <w:r w:rsidR="00B13D92" w:rsidRPr="00C80404">
        <w:rPr>
          <w:sz w:val="22"/>
        </w:rPr>
        <w:t xml:space="preserve"> </w:t>
      </w:r>
      <w:r w:rsidR="00B55335" w:rsidRPr="00C80404">
        <w:rPr>
          <w:sz w:val="22"/>
        </w:rPr>
        <w:t>Kuru soğan (üstte) ve patates (altta) enflasyonu</w:t>
      </w:r>
    </w:p>
    <w:p w14:paraId="37C777EC" w14:textId="77777777" w:rsidR="00B55335" w:rsidRPr="00C80404" w:rsidRDefault="00B55335" w:rsidP="00476B68">
      <w:pPr>
        <w:keepNext/>
      </w:pPr>
      <w:r w:rsidRPr="00C80404">
        <w:rPr>
          <w:noProof/>
          <w:lang w:val="en-GB" w:eastAsia="en-GB"/>
        </w:rPr>
        <w:drawing>
          <wp:inline distT="0" distB="0" distL="0" distR="0" wp14:anchorId="3A5610FC" wp14:editId="12D66286">
            <wp:extent cx="5136543" cy="3870903"/>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55840" cy="3885445"/>
                    </a:xfrm>
                    <a:prstGeom prst="rect">
                      <a:avLst/>
                    </a:prstGeom>
                  </pic:spPr>
                </pic:pic>
              </a:graphicData>
            </a:graphic>
          </wp:inline>
        </w:drawing>
      </w:r>
    </w:p>
    <w:p w14:paraId="7A505F77" w14:textId="77777777" w:rsidR="00B55335" w:rsidRPr="00C80404" w:rsidRDefault="00B55335" w:rsidP="00476B68">
      <w:pPr>
        <w:keepNext/>
      </w:pPr>
      <w:r w:rsidRPr="00C80404">
        <w:rPr>
          <w:noProof/>
          <w:lang w:val="en-GB" w:eastAsia="en-GB"/>
        </w:rPr>
        <w:drawing>
          <wp:inline distT="0" distB="0" distL="0" distR="0" wp14:anchorId="458E7364" wp14:editId="04ED8C76">
            <wp:extent cx="5216056" cy="3880547"/>
            <wp:effectExtent l="0" t="0" r="381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38575" cy="3897300"/>
                    </a:xfrm>
                    <a:prstGeom prst="rect">
                      <a:avLst/>
                    </a:prstGeom>
                  </pic:spPr>
                </pic:pic>
              </a:graphicData>
            </a:graphic>
          </wp:inline>
        </w:drawing>
      </w:r>
    </w:p>
    <w:p w14:paraId="786B440D" w14:textId="77777777" w:rsidR="00B55335" w:rsidRPr="00C80404" w:rsidRDefault="00130094" w:rsidP="00476B68">
      <w:pPr>
        <w:keepNext/>
        <w:rPr>
          <w:sz w:val="20"/>
          <w:szCs w:val="20"/>
          <w:lang w:eastAsia="tr-TR"/>
        </w:rPr>
      </w:pPr>
      <w:r w:rsidRPr="00130094">
        <w:rPr>
          <w:b/>
          <w:sz w:val="20"/>
          <w:szCs w:val="20"/>
          <w:lang w:eastAsia="tr-TR"/>
        </w:rPr>
        <w:t xml:space="preserve">Kaynak: </w:t>
      </w:r>
      <w:r w:rsidRPr="00130094">
        <w:rPr>
          <w:sz w:val="20"/>
          <w:szCs w:val="20"/>
          <w:lang w:eastAsia="tr-TR"/>
        </w:rPr>
        <w:t>TUİK, Betam. TÜFE Tüketici Madde Fiyatları, İstatistiksel Tablolar ve Dinamik Sorgulama, http://www.tuik.gov.tr, Erişim tarihi 05.03.2019.</w:t>
      </w:r>
    </w:p>
    <w:p w14:paraId="461E8F3F" w14:textId="77777777" w:rsidR="00FB2A2A" w:rsidRPr="00C80404" w:rsidRDefault="00FB2A2A" w:rsidP="00476B68">
      <w:pPr>
        <w:pStyle w:val="Caption"/>
        <w:keepNext/>
        <w:rPr>
          <w:sz w:val="22"/>
        </w:rPr>
      </w:pPr>
      <w:r w:rsidRPr="00C80404">
        <w:rPr>
          <w:sz w:val="22"/>
        </w:rPr>
        <w:lastRenderedPageBreak/>
        <w:t>Şekil</w:t>
      </w:r>
      <w:r w:rsidR="00FC7D5A">
        <w:rPr>
          <w:sz w:val="22"/>
        </w:rPr>
        <w:t xml:space="preserve"> 3</w:t>
      </w:r>
      <w:r w:rsidRPr="00C80404">
        <w:rPr>
          <w:sz w:val="22"/>
        </w:rPr>
        <w:t>: Sivri biber (üstte) ve domates (altta) enflasyonu</w:t>
      </w:r>
    </w:p>
    <w:p w14:paraId="1D6A4CB7" w14:textId="77777777" w:rsidR="00FB2A2A" w:rsidRPr="00C80404" w:rsidRDefault="00FB2A2A" w:rsidP="00476B68">
      <w:pPr>
        <w:keepNext/>
      </w:pPr>
      <w:r w:rsidRPr="00C80404">
        <w:rPr>
          <w:noProof/>
          <w:lang w:val="en-GB" w:eastAsia="en-GB"/>
        </w:rPr>
        <w:drawing>
          <wp:inline distT="0" distB="0" distL="0" distR="0" wp14:anchorId="28324922" wp14:editId="2C2C7505">
            <wp:extent cx="5080635" cy="3754469"/>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93748" cy="3764159"/>
                    </a:xfrm>
                    <a:prstGeom prst="rect">
                      <a:avLst/>
                    </a:prstGeom>
                  </pic:spPr>
                </pic:pic>
              </a:graphicData>
            </a:graphic>
          </wp:inline>
        </w:drawing>
      </w:r>
    </w:p>
    <w:p w14:paraId="120DC061" w14:textId="77777777" w:rsidR="00FB2A2A" w:rsidRPr="00C80404" w:rsidRDefault="00FB2A2A" w:rsidP="00476B68">
      <w:pPr>
        <w:keepNext/>
      </w:pPr>
      <w:r w:rsidRPr="00C80404">
        <w:rPr>
          <w:noProof/>
          <w:lang w:val="en-GB" w:eastAsia="en-GB"/>
        </w:rPr>
        <w:drawing>
          <wp:inline distT="0" distB="0" distL="0" distR="0" wp14:anchorId="40920839" wp14:editId="3D525085">
            <wp:extent cx="5080959" cy="3830703"/>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00748" cy="3845622"/>
                    </a:xfrm>
                    <a:prstGeom prst="rect">
                      <a:avLst/>
                    </a:prstGeom>
                  </pic:spPr>
                </pic:pic>
              </a:graphicData>
            </a:graphic>
          </wp:inline>
        </w:drawing>
      </w:r>
    </w:p>
    <w:p w14:paraId="349A100C" w14:textId="77777777" w:rsidR="00CB2E1F" w:rsidRPr="00C80404" w:rsidRDefault="00CB2E1F" w:rsidP="00CB2E1F">
      <w:pPr>
        <w:keepNext/>
        <w:rPr>
          <w:sz w:val="20"/>
          <w:szCs w:val="20"/>
          <w:lang w:eastAsia="tr-TR"/>
        </w:rPr>
      </w:pPr>
      <w:r w:rsidRPr="00130094">
        <w:rPr>
          <w:b/>
          <w:sz w:val="20"/>
          <w:szCs w:val="20"/>
          <w:lang w:eastAsia="tr-TR"/>
        </w:rPr>
        <w:t xml:space="preserve">Kaynak: </w:t>
      </w:r>
      <w:r w:rsidRPr="00130094">
        <w:rPr>
          <w:sz w:val="20"/>
          <w:szCs w:val="20"/>
          <w:lang w:eastAsia="tr-TR"/>
        </w:rPr>
        <w:t>TUİK, Betam. TÜFE Tüketici Madde Fiyatları, İstatistiksel Tablolar ve Dinamik Sorgulama, http://www.tuik.gov.tr, Erişim tarihi 05.03.2019.</w:t>
      </w:r>
    </w:p>
    <w:p w14:paraId="156668CA" w14:textId="77777777" w:rsidR="00FB2A2A" w:rsidRPr="00C80404" w:rsidRDefault="00FB2A2A" w:rsidP="00476B68">
      <w:pPr>
        <w:pStyle w:val="Caption"/>
        <w:keepNext/>
        <w:rPr>
          <w:sz w:val="22"/>
        </w:rPr>
      </w:pPr>
      <w:r w:rsidRPr="00C80404">
        <w:rPr>
          <w:sz w:val="22"/>
        </w:rPr>
        <w:lastRenderedPageBreak/>
        <w:t>Şekil</w:t>
      </w:r>
      <w:r w:rsidR="00FC7D5A">
        <w:rPr>
          <w:sz w:val="22"/>
        </w:rPr>
        <w:t xml:space="preserve"> 4</w:t>
      </w:r>
      <w:r w:rsidRPr="00C80404">
        <w:rPr>
          <w:sz w:val="22"/>
        </w:rPr>
        <w:t>: Elma (üstte) ve ayva (altta) enflasyonu</w:t>
      </w:r>
    </w:p>
    <w:p w14:paraId="14CECB5A" w14:textId="77777777" w:rsidR="00FB2A2A" w:rsidRPr="00C80404" w:rsidRDefault="00FB2A2A" w:rsidP="00476B68">
      <w:pPr>
        <w:keepNext/>
      </w:pPr>
      <w:r w:rsidRPr="00C80404">
        <w:rPr>
          <w:noProof/>
          <w:lang w:val="en-GB" w:eastAsia="en-GB"/>
        </w:rPr>
        <w:drawing>
          <wp:inline distT="0" distB="0" distL="0" distR="0" wp14:anchorId="19E7C1AE" wp14:editId="6AFDEF00">
            <wp:extent cx="5071412" cy="3776870"/>
            <wp:effectExtent l="0" t="0" r="0"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73334" cy="3778301"/>
                    </a:xfrm>
                    <a:prstGeom prst="rect">
                      <a:avLst/>
                    </a:prstGeom>
                  </pic:spPr>
                </pic:pic>
              </a:graphicData>
            </a:graphic>
          </wp:inline>
        </w:drawing>
      </w:r>
    </w:p>
    <w:p w14:paraId="5C5BF77D" w14:textId="77777777" w:rsidR="00FB2A2A" w:rsidRPr="00C80404" w:rsidRDefault="00FB2A2A" w:rsidP="00476B68">
      <w:pPr>
        <w:keepNext/>
      </w:pPr>
      <w:r w:rsidRPr="00C80404">
        <w:rPr>
          <w:noProof/>
          <w:lang w:val="en-GB" w:eastAsia="en-GB"/>
        </w:rPr>
        <w:drawing>
          <wp:inline distT="0" distB="0" distL="0" distR="0" wp14:anchorId="2AC6B515" wp14:editId="241DB7A1">
            <wp:extent cx="5055079" cy="376190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82680" cy="3782447"/>
                    </a:xfrm>
                    <a:prstGeom prst="rect">
                      <a:avLst/>
                    </a:prstGeom>
                  </pic:spPr>
                </pic:pic>
              </a:graphicData>
            </a:graphic>
          </wp:inline>
        </w:drawing>
      </w:r>
    </w:p>
    <w:p w14:paraId="4F324E4D" w14:textId="77777777" w:rsidR="00CB2E1F" w:rsidRPr="00C80404" w:rsidRDefault="00CB2E1F" w:rsidP="00CB2E1F">
      <w:pPr>
        <w:keepNext/>
        <w:rPr>
          <w:sz w:val="20"/>
          <w:szCs w:val="20"/>
          <w:lang w:eastAsia="tr-TR"/>
        </w:rPr>
      </w:pPr>
      <w:r w:rsidRPr="00130094">
        <w:rPr>
          <w:b/>
          <w:sz w:val="20"/>
          <w:szCs w:val="20"/>
          <w:lang w:eastAsia="tr-TR"/>
        </w:rPr>
        <w:t xml:space="preserve">Kaynak: </w:t>
      </w:r>
      <w:r w:rsidRPr="00130094">
        <w:rPr>
          <w:sz w:val="20"/>
          <w:szCs w:val="20"/>
          <w:lang w:eastAsia="tr-TR"/>
        </w:rPr>
        <w:t>TUİK, Betam. TÜFE Tüketici Madde Fiyatları, İstatistiksel Tablolar ve Dinamik Sorgulama, http://www.tuik.gov.tr, Erişim tarihi 05.03.2019.</w:t>
      </w:r>
    </w:p>
    <w:p w14:paraId="57F2BC48" w14:textId="77777777" w:rsidR="00CE661F" w:rsidRPr="00C80404" w:rsidRDefault="00FB2A2A" w:rsidP="00CE661F">
      <w:pPr>
        <w:pStyle w:val="Heading2"/>
        <w:rPr>
          <w:rFonts w:eastAsiaTheme="minorHAnsi"/>
          <w:lang w:val="tr-TR" w:eastAsia="en-US"/>
        </w:rPr>
      </w:pPr>
      <w:r w:rsidRPr="00C80404">
        <w:rPr>
          <w:rFonts w:eastAsiaTheme="minorHAnsi"/>
          <w:lang w:val="tr-TR" w:eastAsia="en-US"/>
        </w:rPr>
        <w:lastRenderedPageBreak/>
        <w:t>Farkların farkı tahmincisi</w:t>
      </w:r>
      <w:r w:rsidR="00B21EB1" w:rsidRPr="00C80404">
        <w:rPr>
          <w:rFonts w:eastAsiaTheme="minorHAnsi"/>
          <w:lang w:val="tr-TR" w:eastAsia="en-US"/>
        </w:rPr>
        <w:t xml:space="preserve"> </w:t>
      </w:r>
    </w:p>
    <w:p w14:paraId="162E0DF8" w14:textId="77777777" w:rsidR="008B21D5" w:rsidRPr="00C80404" w:rsidRDefault="00FB2A2A" w:rsidP="00FB2A2A">
      <w:pPr>
        <w:pStyle w:val="Heading2"/>
        <w:rPr>
          <w:b w:val="0"/>
          <w:sz w:val="22"/>
          <w:szCs w:val="22"/>
          <w:lang w:val="tr-TR"/>
        </w:rPr>
      </w:pPr>
      <w:r w:rsidRPr="00C80404">
        <w:rPr>
          <w:b w:val="0"/>
          <w:sz w:val="22"/>
          <w:szCs w:val="22"/>
          <w:lang w:val="tr-TR"/>
        </w:rPr>
        <w:t xml:space="preserve">Ekonometrik analizde </w:t>
      </w:r>
      <w:r w:rsidR="008B21D5" w:rsidRPr="00C80404">
        <w:rPr>
          <w:b w:val="0"/>
          <w:sz w:val="22"/>
          <w:szCs w:val="22"/>
          <w:lang w:val="tr-TR"/>
        </w:rPr>
        <w:t>esas olarak “</w:t>
      </w:r>
      <w:r w:rsidRPr="00C80404">
        <w:rPr>
          <w:b w:val="0"/>
          <w:sz w:val="22"/>
          <w:szCs w:val="22"/>
          <w:lang w:val="tr-TR"/>
        </w:rPr>
        <w:t>farkların farkı</w:t>
      </w:r>
      <w:r w:rsidR="008B21D5" w:rsidRPr="00C80404">
        <w:rPr>
          <w:b w:val="0"/>
          <w:sz w:val="22"/>
          <w:szCs w:val="22"/>
          <w:lang w:val="tr-TR"/>
        </w:rPr>
        <w:t>”</w:t>
      </w:r>
      <w:r w:rsidR="0084355D" w:rsidRPr="00C80404">
        <w:rPr>
          <w:b w:val="0"/>
          <w:sz w:val="22"/>
          <w:szCs w:val="22"/>
          <w:lang w:val="tr-TR"/>
        </w:rPr>
        <w:t xml:space="preserve"> (</w:t>
      </w:r>
      <w:r w:rsidRPr="00C80404">
        <w:rPr>
          <w:b w:val="0"/>
          <w:i/>
          <w:sz w:val="22"/>
          <w:szCs w:val="22"/>
          <w:lang w:val="tr-TR"/>
        </w:rPr>
        <w:t>difference in differences</w:t>
      </w:r>
      <w:r w:rsidRPr="00C80404">
        <w:rPr>
          <w:b w:val="0"/>
          <w:sz w:val="22"/>
          <w:szCs w:val="22"/>
          <w:lang w:val="tr-TR"/>
        </w:rPr>
        <w:t xml:space="preserve">) yaklaşımını kullanıyoruz. </w:t>
      </w:r>
      <w:r w:rsidR="008B21D5" w:rsidRPr="00C80404">
        <w:rPr>
          <w:b w:val="0"/>
          <w:sz w:val="22"/>
          <w:szCs w:val="22"/>
          <w:lang w:val="tr-TR"/>
        </w:rPr>
        <w:t>Farkların farkı (bundan sonra kısaca FF) yaklaşımının dayandığı varsayımları test etmek için “plasebo testi” yaklaşımını ve tanzim bölgelerine has etkileri kontrol etmek için ise “farkların farkının farkı” (</w:t>
      </w:r>
      <w:r w:rsidR="008B21D5" w:rsidRPr="00C80404">
        <w:rPr>
          <w:b w:val="0"/>
          <w:i/>
          <w:sz w:val="22"/>
          <w:szCs w:val="22"/>
          <w:lang w:val="tr-TR"/>
        </w:rPr>
        <w:t>difference in differences in differences</w:t>
      </w:r>
      <w:r w:rsidR="008B21D5" w:rsidRPr="00C80404">
        <w:rPr>
          <w:b w:val="0"/>
          <w:sz w:val="22"/>
          <w:szCs w:val="22"/>
          <w:lang w:val="tr-TR"/>
        </w:rPr>
        <w:t>) yaklaşımını kullanıyoruz.</w:t>
      </w:r>
    </w:p>
    <w:p w14:paraId="7FDAA793" w14:textId="3BC65AF6" w:rsidR="00FB2A2A" w:rsidRPr="00C80404" w:rsidRDefault="008B21D5" w:rsidP="00FB2A2A">
      <w:pPr>
        <w:pStyle w:val="Heading2"/>
        <w:rPr>
          <w:b w:val="0"/>
          <w:sz w:val="22"/>
          <w:szCs w:val="22"/>
          <w:lang w:val="tr-TR"/>
        </w:rPr>
      </w:pPr>
      <w:r w:rsidRPr="00C80404">
        <w:rPr>
          <w:b w:val="0"/>
          <w:sz w:val="22"/>
          <w:szCs w:val="22"/>
          <w:lang w:val="tr-TR"/>
        </w:rPr>
        <w:t xml:space="preserve"> </w:t>
      </w:r>
      <w:r w:rsidR="00FB2A2A" w:rsidRPr="00C80404">
        <w:rPr>
          <w:b w:val="0"/>
          <w:sz w:val="22"/>
          <w:szCs w:val="22"/>
          <w:lang w:val="tr-TR"/>
        </w:rPr>
        <w:t xml:space="preserve">Ders kitaplarına da giren tipik örnek, iki grup ve iki dönem kıyasına dayanmaktadır. Tipik yaklaşımı örneğimize uygularsak, </w:t>
      </w:r>
      <w:r w:rsidR="00854B38" w:rsidRPr="00C80404">
        <w:rPr>
          <w:b w:val="0"/>
          <w:sz w:val="22"/>
          <w:szCs w:val="22"/>
          <w:lang w:val="tr-TR"/>
        </w:rPr>
        <w:t>tanzim satış m</w:t>
      </w:r>
      <w:r w:rsidR="00445436">
        <w:rPr>
          <w:b w:val="0"/>
          <w:sz w:val="22"/>
          <w:szCs w:val="22"/>
          <w:lang w:val="tr-TR"/>
        </w:rPr>
        <w:t>ağazalarının bulunduğu bölgeler</w:t>
      </w:r>
      <w:r w:rsidR="00854B38" w:rsidRPr="00C80404">
        <w:rPr>
          <w:b w:val="0"/>
          <w:sz w:val="22"/>
          <w:szCs w:val="22"/>
          <w:lang w:val="tr-TR"/>
        </w:rPr>
        <w:t xml:space="preserve"> </w:t>
      </w:r>
      <w:r w:rsidR="00FB2A2A" w:rsidRPr="00C80404">
        <w:rPr>
          <w:b w:val="0"/>
          <w:sz w:val="22"/>
          <w:szCs w:val="22"/>
          <w:lang w:val="tr-TR"/>
        </w:rPr>
        <w:t>müdahale (</w:t>
      </w:r>
      <w:r w:rsidR="00FB2A2A" w:rsidRPr="00C80404">
        <w:rPr>
          <w:b w:val="0"/>
          <w:i/>
          <w:sz w:val="22"/>
          <w:szCs w:val="22"/>
          <w:lang w:val="tr-TR"/>
        </w:rPr>
        <w:t>treatment</w:t>
      </w:r>
      <w:r w:rsidR="00FB2A2A" w:rsidRPr="00C80404">
        <w:rPr>
          <w:b w:val="0"/>
          <w:sz w:val="22"/>
          <w:szCs w:val="22"/>
          <w:lang w:val="tr-TR"/>
        </w:rPr>
        <w:t xml:space="preserve">) grubu, diğer </w:t>
      </w:r>
      <w:r w:rsidR="00854B38" w:rsidRPr="00C80404">
        <w:rPr>
          <w:b w:val="0"/>
          <w:sz w:val="22"/>
          <w:szCs w:val="22"/>
          <w:lang w:val="tr-TR"/>
        </w:rPr>
        <w:t>bölgeler</w:t>
      </w:r>
      <w:r w:rsidR="00FB2A2A" w:rsidRPr="00C80404">
        <w:rPr>
          <w:b w:val="0"/>
          <w:sz w:val="22"/>
          <w:szCs w:val="22"/>
          <w:lang w:val="tr-TR"/>
        </w:rPr>
        <w:t xml:space="preserve"> kontrol grubu olarak değerlendirilebilir. Bu iki grubun </w:t>
      </w:r>
      <w:r w:rsidR="00854B38" w:rsidRPr="00C80404">
        <w:rPr>
          <w:b w:val="0"/>
          <w:sz w:val="22"/>
          <w:szCs w:val="22"/>
          <w:lang w:val="tr-TR"/>
        </w:rPr>
        <w:t xml:space="preserve">tanzim satış merkezlerinde satışı yapılan ürünlerin 2019 </w:t>
      </w:r>
      <w:r w:rsidR="001D698A" w:rsidRPr="00C80404">
        <w:rPr>
          <w:b w:val="0"/>
          <w:sz w:val="22"/>
          <w:szCs w:val="22"/>
          <w:lang w:val="tr-TR"/>
        </w:rPr>
        <w:t>Ş</w:t>
      </w:r>
      <w:r w:rsidR="006B1AE1" w:rsidRPr="00C80404">
        <w:rPr>
          <w:b w:val="0"/>
          <w:sz w:val="22"/>
          <w:szCs w:val="22"/>
          <w:lang w:val="tr-TR"/>
        </w:rPr>
        <w:t xml:space="preserve">ubat </w:t>
      </w:r>
      <w:r w:rsidR="00854B38" w:rsidRPr="00C80404">
        <w:rPr>
          <w:b w:val="0"/>
          <w:sz w:val="22"/>
          <w:szCs w:val="22"/>
          <w:lang w:val="tr-TR"/>
        </w:rPr>
        <w:t xml:space="preserve">enflasyonu </w:t>
      </w:r>
      <w:r w:rsidR="006B1AE1" w:rsidRPr="00C80404">
        <w:rPr>
          <w:b w:val="0"/>
          <w:sz w:val="22"/>
          <w:szCs w:val="22"/>
          <w:lang w:val="tr-TR"/>
        </w:rPr>
        <w:t xml:space="preserve">(ocak ayından şubata olan aylık enflasyon) </w:t>
      </w:r>
      <w:r w:rsidR="00854B38" w:rsidRPr="00C80404">
        <w:rPr>
          <w:b w:val="0"/>
          <w:sz w:val="22"/>
          <w:szCs w:val="22"/>
          <w:lang w:val="tr-TR"/>
        </w:rPr>
        <w:t>2019</w:t>
      </w:r>
      <w:r w:rsidR="00FB2A2A" w:rsidRPr="00C80404">
        <w:rPr>
          <w:b w:val="0"/>
          <w:sz w:val="22"/>
          <w:szCs w:val="22"/>
          <w:lang w:val="tr-TR"/>
        </w:rPr>
        <w:t xml:space="preserve"> öncesi</w:t>
      </w:r>
      <w:r w:rsidR="006B1AE1" w:rsidRPr="00C80404">
        <w:rPr>
          <w:b w:val="0"/>
          <w:sz w:val="22"/>
          <w:szCs w:val="22"/>
          <w:lang w:val="tr-TR"/>
        </w:rPr>
        <w:t xml:space="preserve"> şubat enflasyonu</w:t>
      </w:r>
      <w:r w:rsidR="00FB2A2A" w:rsidRPr="00C80404">
        <w:rPr>
          <w:b w:val="0"/>
          <w:sz w:val="22"/>
          <w:szCs w:val="22"/>
          <w:lang w:val="tr-TR"/>
        </w:rPr>
        <w:t xml:space="preserve"> </w:t>
      </w:r>
      <w:r w:rsidR="00854B38" w:rsidRPr="00C80404">
        <w:rPr>
          <w:b w:val="0"/>
          <w:sz w:val="22"/>
          <w:szCs w:val="22"/>
          <w:lang w:val="tr-TR"/>
        </w:rPr>
        <w:t>ile</w:t>
      </w:r>
      <w:r w:rsidR="00FB2A2A" w:rsidRPr="00C80404">
        <w:rPr>
          <w:b w:val="0"/>
          <w:sz w:val="22"/>
          <w:szCs w:val="22"/>
          <w:lang w:val="tr-TR"/>
        </w:rPr>
        <w:t xml:space="preserve"> kıyaslanacaktır. Birçok nedenle iki grup arasında </w:t>
      </w:r>
      <w:r w:rsidR="00854B38" w:rsidRPr="00C80404">
        <w:rPr>
          <w:b w:val="0"/>
          <w:sz w:val="22"/>
          <w:szCs w:val="22"/>
          <w:lang w:val="tr-TR"/>
        </w:rPr>
        <w:t>fiyat seviyeleri arasında</w:t>
      </w:r>
      <w:r w:rsidR="00FB2A2A" w:rsidRPr="00C80404">
        <w:rPr>
          <w:b w:val="0"/>
          <w:sz w:val="22"/>
          <w:szCs w:val="22"/>
          <w:lang w:val="tr-TR"/>
        </w:rPr>
        <w:t xml:space="preserve"> bir farklılık ol</w:t>
      </w:r>
      <w:r w:rsidR="006B1AE1" w:rsidRPr="00C80404">
        <w:rPr>
          <w:b w:val="0"/>
          <w:sz w:val="22"/>
          <w:szCs w:val="22"/>
          <w:lang w:val="tr-TR"/>
        </w:rPr>
        <w:t>duğunu biliyoruz</w:t>
      </w:r>
      <w:r w:rsidR="00FB2A2A" w:rsidRPr="00C80404">
        <w:rPr>
          <w:b w:val="0"/>
          <w:sz w:val="22"/>
          <w:szCs w:val="22"/>
          <w:lang w:val="tr-TR"/>
        </w:rPr>
        <w:t>.</w:t>
      </w:r>
      <w:r w:rsidR="006B1AE1" w:rsidRPr="00C80404">
        <w:rPr>
          <w:b w:val="0"/>
          <w:sz w:val="22"/>
          <w:szCs w:val="22"/>
          <w:lang w:val="tr-TR"/>
        </w:rPr>
        <w:t xml:space="preserve"> Her bölgenin kendine has dinamikleri sebebiyle şubat enflasyon oranlarının farklı olması da muhtemeldir. </w:t>
      </w:r>
      <w:r w:rsidR="00FB2A2A" w:rsidRPr="00C80404">
        <w:rPr>
          <w:b w:val="0"/>
          <w:sz w:val="22"/>
          <w:szCs w:val="22"/>
          <w:lang w:val="tr-TR"/>
        </w:rPr>
        <w:t xml:space="preserve">Yine </w:t>
      </w:r>
      <w:r w:rsidR="00854B38" w:rsidRPr="00C80404">
        <w:rPr>
          <w:b w:val="0"/>
          <w:sz w:val="22"/>
          <w:szCs w:val="22"/>
          <w:lang w:val="tr-TR"/>
        </w:rPr>
        <w:t xml:space="preserve">mevsim şartlarına bağlı </w:t>
      </w:r>
      <w:r w:rsidR="006B1AE1" w:rsidRPr="00C80404">
        <w:rPr>
          <w:b w:val="0"/>
          <w:sz w:val="22"/>
          <w:szCs w:val="22"/>
          <w:lang w:val="tr-TR"/>
        </w:rPr>
        <w:t xml:space="preserve">arz şokları sonucu </w:t>
      </w:r>
      <w:r w:rsidR="00854B38" w:rsidRPr="00C80404">
        <w:rPr>
          <w:b w:val="0"/>
          <w:sz w:val="22"/>
          <w:szCs w:val="22"/>
          <w:lang w:val="tr-TR"/>
        </w:rPr>
        <w:t xml:space="preserve">olarak sebze ve meyve fiyatlarında önemli dalgalanmalar olduğunu </w:t>
      </w:r>
      <w:r w:rsidR="00FB2A2A" w:rsidRPr="00C80404">
        <w:rPr>
          <w:b w:val="0"/>
          <w:sz w:val="22"/>
          <w:szCs w:val="22"/>
          <w:lang w:val="tr-TR"/>
        </w:rPr>
        <w:t xml:space="preserve">biliyoruz. </w:t>
      </w:r>
      <w:r w:rsidR="006B1AE1" w:rsidRPr="00C80404">
        <w:rPr>
          <w:b w:val="0"/>
          <w:sz w:val="22"/>
          <w:szCs w:val="22"/>
          <w:lang w:val="tr-TR"/>
        </w:rPr>
        <w:t>FF yaklaşımında temel varsayım b</w:t>
      </w:r>
      <w:r w:rsidR="00854B38" w:rsidRPr="00C80404">
        <w:rPr>
          <w:b w:val="0"/>
          <w:sz w:val="22"/>
          <w:szCs w:val="22"/>
          <w:lang w:val="tr-TR"/>
        </w:rPr>
        <w:t>u</w:t>
      </w:r>
      <w:r w:rsidR="006B1AE1" w:rsidRPr="00C80404">
        <w:rPr>
          <w:b w:val="0"/>
          <w:sz w:val="22"/>
          <w:szCs w:val="22"/>
          <w:lang w:val="tr-TR"/>
        </w:rPr>
        <w:t xml:space="preserve"> (ve diğer makroekonomik)</w:t>
      </w:r>
      <w:r w:rsidR="00854B38" w:rsidRPr="00C80404">
        <w:rPr>
          <w:b w:val="0"/>
          <w:sz w:val="22"/>
          <w:szCs w:val="22"/>
          <w:lang w:val="tr-TR"/>
        </w:rPr>
        <w:t xml:space="preserve"> şokları</w:t>
      </w:r>
      <w:r w:rsidR="006B1AE1" w:rsidRPr="00C80404">
        <w:rPr>
          <w:b w:val="0"/>
          <w:sz w:val="22"/>
          <w:szCs w:val="22"/>
          <w:lang w:val="tr-TR"/>
        </w:rPr>
        <w:t>n</w:t>
      </w:r>
      <w:r w:rsidR="00854B38" w:rsidRPr="00C80404">
        <w:rPr>
          <w:b w:val="0"/>
          <w:sz w:val="22"/>
          <w:szCs w:val="22"/>
          <w:lang w:val="tr-TR"/>
        </w:rPr>
        <w:t xml:space="preserve"> </w:t>
      </w:r>
      <w:r w:rsidR="00FB2A2A" w:rsidRPr="00C80404">
        <w:rPr>
          <w:b w:val="0"/>
          <w:sz w:val="22"/>
          <w:szCs w:val="22"/>
          <w:lang w:val="tr-TR"/>
        </w:rPr>
        <w:t>her iki grubu da benzer şekilde etkile</w:t>
      </w:r>
      <w:r w:rsidR="006B1AE1" w:rsidRPr="00C80404">
        <w:rPr>
          <w:b w:val="0"/>
          <w:sz w:val="22"/>
          <w:szCs w:val="22"/>
          <w:lang w:val="tr-TR"/>
        </w:rPr>
        <w:t xml:space="preserve">diğidir. Somut olarak, eğer arz şoku İstanbul’da gıda enflasyonunu 5 puan arttırıyorsa, diğer bölgelerde de aynı artışa yol açtığı varsayılmaktadır. </w:t>
      </w:r>
      <w:r w:rsidR="00FB2A2A" w:rsidRPr="00C80404">
        <w:rPr>
          <w:b w:val="0"/>
          <w:sz w:val="22"/>
          <w:szCs w:val="22"/>
          <w:u w:val="single"/>
          <w:lang w:val="tr-TR"/>
        </w:rPr>
        <w:t>Temel varsayım</w:t>
      </w:r>
      <w:r w:rsidR="000F19EB" w:rsidRPr="00C80404">
        <w:rPr>
          <w:b w:val="0"/>
          <w:sz w:val="22"/>
          <w:szCs w:val="22"/>
          <w:u w:val="single"/>
          <w:lang w:val="tr-TR"/>
        </w:rPr>
        <w:t>ım</w:t>
      </w:r>
      <w:r w:rsidR="00FB2A2A" w:rsidRPr="00C80404">
        <w:rPr>
          <w:b w:val="0"/>
          <w:sz w:val="22"/>
          <w:szCs w:val="22"/>
          <w:u w:val="single"/>
          <w:lang w:val="tr-TR"/>
        </w:rPr>
        <w:t xml:space="preserve">ız doğru </w:t>
      </w:r>
      <w:r w:rsidR="000F19EB" w:rsidRPr="00C80404">
        <w:rPr>
          <w:b w:val="0"/>
          <w:sz w:val="22"/>
          <w:szCs w:val="22"/>
          <w:u w:val="single"/>
          <w:lang w:val="tr-TR"/>
        </w:rPr>
        <w:t>ve tanzim satış dışında kalan market ile bakkaliyelerin de rekabet etkisiyle fiyat düşürdükleri</w:t>
      </w:r>
      <w:r w:rsidR="00074049">
        <w:rPr>
          <w:b w:val="0"/>
          <w:sz w:val="22"/>
          <w:szCs w:val="22"/>
          <w:u w:val="single"/>
          <w:lang w:val="tr-TR"/>
        </w:rPr>
        <w:t>ni</w:t>
      </w:r>
      <w:r w:rsidR="000F19EB" w:rsidRPr="00C80404">
        <w:rPr>
          <w:b w:val="0"/>
          <w:sz w:val="22"/>
          <w:szCs w:val="22"/>
          <w:u w:val="single"/>
          <w:lang w:val="tr-TR"/>
        </w:rPr>
        <w:t xml:space="preserve"> varsayarsak </w:t>
      </w:r>
      <w:r w:rsidR="006B1AE1" w:rsidRPr="00C80404">
        <w:rPr>
          <w:b w:val="0"/>
          <w:sz w:val="22"/>
          <w:szCs w:val="22"/>
          <w:u w:val="single"/>
          <w:lang w:val="tr-TR"/>
        </w:rPr>
        <w:t xml:space="preserve">Ankara ve İstanbul’da satışı yapılan ürünlerin fiyatının </w:t>
      </w:r>
      <w:r w:rsidR="00332813" w:rsidRPr="00C80404">
        <w:rPr>
          <w:b w:val="0"/>
          <w:sz w:val="22"/>
          <w:szCs w:val="22"/>
          <w:u w:val="single"/>
          <w:lang w:val="tr-TR"/>
        </w:rPr>
        <w:t>ya daha az artması ya da düşmesi beklenir.</w:t>
      </w:r>
      <w:r w:rsidR="00332813" w:rsidRPr="00C80404">
        <w:rPr>
          <w:b w:val="0"/>
          <w:sz w:val="22"/>
          <w:szCs w:val="22"/>
          <w:lang w:val="tr-TR"/>
        </w:rPr>
        <w:t xml:space="preserve"> </w:t>
      </w:r>
      <w:r w:rsidR="000F19EB" w:rsidRPr="00C80404">
        <w:rPr>
          <w:b w:val="0"/>
          <w:sz w:val="22"/>
          <w:szCs w:val="22"/>
          <w:lang w:val="tr-TR"/>
        </w:rPr>
        <w:t>Eğer sonuçlar bu yönde değilse bu, öncelikli olarak tanzim satış dışında kalan market ile bakkaliyelerin fiyat düşürmedikleri olarak yorumlanacaktır</w:t>
      </w:r>
      <w:r w:rsidR="004B4BA0" w:rsidRPr="00C80404">
        <w:rPr>
          <w:rStyle w:val="FootnoteReference"/>
          <w:b w:val="0"/>
          <w:sz w:val="22"/>
          <w:szCs w:val="22"/>
          <w:lang w:val="tr-TR"/>
        </w:rPr>
        <w:footnoteReference w:id="12"/>
      </w:r>
      <w:r w:rsidR="000F19EB" w:rsidRPr="00C80404">
        <w:rPr>
          <w:b w:val="0"/>
          <w:sz w:val="22"/>
          <w:szCs w:val="22"/>
          <w:lang w:val="tr-TR"/>
        </w:rPr>
        <w:t xml:space="preserve">. </w:t>
      </w:r>
      <w:r w:rsidR="00173ADD" w:rsidRPr="00C80404">
        <w:rPr>
          <w:b w:val="0"/>
          <w:sz w:val="22"/>
          <w:szCs w:val="22"/>
          <w:lang w:val="tr-TR"/>
        </w:rPr>
        <w:t xml:space="preserve">Tanzim satış etkisi (TE) için FF tahmincisi şu şekilde yazılabilir: </w:t>
      </w:r>
    </w:p>
    <w:p w14:paraId="025BB35C" w14:textId="77777777" w:rsidR="007A492D" w:rsidRPr="00C80404" w:rsidRDefault="00173ADD" w:rsidP="007A492D">
      <m:oMathPara>
        <m:oMath>
          <m:r>
            <m:rPr>
              <m:sty m:val="p"/>
            </m:rPr>
            <w:rPr>
              <w:rFonts w:ascii="Cambria Math" w:hAnsi="Cambria Math"/>
            </w:rPr>
            <m:t>TE= Δ</m:t>
          </m:r>
          <m:sSubSup>
            <m:sSubSupPr>
              <m:ctrlPr>
                <w:rPr>
                  <w:rFonts w:ascii="Cambria Math" w:hAnsi="Cambria Math"/>
                  <w:i/>
                </w:rPr>
              </m:ctrlPr>
            </m:sSubSupPr>
            <m:e>
              <m:r>
                <w:rPr>
                  <w:rFonts w:ascii="Cambria Math" w:hAnsi="Cambria Math"/>
                </w:rPr>
                <m:t>Enf</m:t>
              </m:r>
            </m:e>
            <m:sub>
              <m:r>
                <w:rPr>
                  <w:rFonts w:ascii="Cambria Math" w:hAnsi="Cambria Math"/>
                </w:rPr>
                <m:t>tanzim ürün</m:t>
              </m:r>
            </m:sub>
            <m:sup>
              <m:r>
                <w:rPr>
                  <w:rFonts w:ascii="Cambria Math" w:hAnsi="Cambria Math"/>
                </w:rPr>
                <m:t>tanzim bölge</m:t>
              </m:r>
            </m:sup>
          </m:sSubSup>
          <m:r>
            <w:rPr>
              <w:rFonts w:ascii="Cambria Math" w:hAnsi="Cambria Math"/>
            </w:rPr>
            <m:t>-</m:t>
          </m:r>
          <m:r>
            <m:rPr>
              <m:sty m:val="p"/>
            </m:rPr>
            <w:rPr>
              <w:rFonts w:ascii="Cambria Math" w:hAnsi="Cambria Math"/>
            </w:rPr>
            <m:t>Δ</m:t>
          </m:r>
          <m:sSubSup>
            <m:sSubSupPr>
              <m:ctrlPr>
                <w:rPr>
                  <w:rFonts w:ascii="Cambria Math" w:hAnsi="Cambria Math"/>
                  <w:i/>
                </w:rPr>
              </m:ctrlPr>
            </m:sSubSupPr>
            <m:e>
              <m:r>
                <w:rPr>
                  <w:rFonts w:ascii="Cambria Math" w:hAnsi="Cambria Math"/>
                </w:rPr>
                <m:t>Enf</m:t>
              </m:r>
            </m:e>
            <m:sub>
              <m:r>
                <w:rPr>
                  <w:rFonts w:ascii="Cambria Math" w:hAnsi="Cambria Math"/>
                </w:rPr>
                <m:t>tanzim ürün</m:t>
              </m:r>
            </m:sub>
            <m:sup>
              <m:r>
                <w:rPr>
                  <w:rFonts w:ascii="Cambria Math" w:hAnsi="Cambria Math"/>
                </w:rPr>
                <m:t>diğer bölge</m:t>
              </m:r>
            </m:sup>
          </m:sSubSup>
        </m:oMath>
      </m:oMathPara>
    </w:p>
    <w:p w14:paraId="12FC74C4" w14:textId="77777777" w:rsidR="00014871" w:rsidRPr="00C80404" w:rsidRDefault="00014871" w:rsidP="00014871">
      <w:r w:rsidRPr="00C80404">
        <w:t xml:space="preserve">Farkların farkı yaklaşımında hayati nokta “paralel trend” hipotezidir.  Bu hipotezi test etmek için literatürde plasebo testi olarak adlandırılan yaklaşımı kullanıyoruz. Buradaki esas fikir şöyle özetlenebilir: eğer Tanzim satış merkezlerinin devreye girmesi bu merkezlerde satılan ürünlerin fiyatını etkiliyorsa bu etki sadece 2019 yılı ile sınırlı olmalıdır. Eğer daha önceki yıllarda da benzer şekilde Şubat enflasyonu Ankara ve İstanbul’da daha düşük çıkıyorsa bu durum 2019’da gözlemlenen düşüşün tanzim satış ile ilgili olmadığı anlamına gelecektir. </w:t>
      </w:r>
    </w:p>
    <w:p w14:paraId="7A183A59" w14:textId="77777777" w:rsidR="008B21D5" w:rsidRPr="00C80404" w:rsidRDefault="008B21D5" w:rsidP="008B21D5">
      <w:pPr>
        <w:pStyle w:val="Heading2"/>
        <w:rPr>
          <w:rFonts w:eastAsiaTheme="minorHAnsi"/>
          <w:lang w:val="tr-TR" w:eastAsia="en-US"/>
        </w:rPr>
      </w:pPr>
      <w:r w:rsidRPr="00C80404">
        <w:rPr>
          <w:rFonts w:eastAsiaTheme="minorHAnsi"/>
          <w:lang w:val="tr-TR" w:eastAsia="en-US"/>
        </w:rPr>
        <w:t xml:space="preserve">Farkların farkının farkı tahmincisi </w:t>
      </w:r>
    </w:p>
    <w:p w14:paraId="0E83738D" w14:textId="7FD5DF26" w:rsidR="00FB2A2A" w:rsidRPr="00C80404" w:rsidRDefault="0084355D" w:rsidP="00FB2A2A">
      <w:pPr>
        <w:rPr>
          <w:rFonts w:cstheme="minorHAnsi"/>
        </w:rPr>
      </w:pPr>
      <w:r w:rsidRPr="00C80404">
        <w:rPr>
          <w:rFonts w:eastAsiaTheme="minorHAnsi"/>
          <w:lang w:eastAsia="en-US"/>
        </w:rPr>
        <w:t>Plasebo testinin uygun olmadığı durumlar mevcuttur. Örneğin, e</w:t>
      </w:r>
      <w:r w:rsidR="00FB2A2A" w:rsidRPr="00C80404">
        <w:rPr>
          <w:rFonts w:cstheme="minorHAnsi"/>
        </w:rPr>
        <w:t xml:space="preserve">ğer </w:t>
      </w:r>
      <w:r w:rsidRPr="00C80404">
        <w:rPr>
          <w:rFonts w:cstheme="minorHAnsi"/>
        </w:rPr>
        <w:t xml:space="preserve">tanzim satış yapılan Ankara ve </w:t>
      </w:r>
      <w:r w:rsidR="00FB2A2A" w:rsidRPr="00C80404">
        <w:rPr>
          <w:rFonts w:cstheme="minorHAnsi"/>
        </w:rPr>
        <w:t>İstanbul’a</w:t>
      </w:r>
      <w:r w:rsidR="00272F35" w:rsidRPr="00C80404">
        <w:rPr>
          <w:rFonts w:cstheme="minorHAnsi"/>
        </w:rPr>
        <w:t xml:space="preserve"> (tanzim bölgeleri) </w:t>
      </w:r>
      <w:r w:rsidR="00FB2A2A" w:rsidRPr="00C80404">
        <w:rPr>
          <w:rFonts w:cstheme="minorHAnsi"/>
        </w:rPr>
        <w:t xml:space="preserve">özgü birtakım nedenlerle tüm ürünlerin fiyatı </w:t>
      </w:r>
      <w:r w:rsidR="00FB2A2A" w:rsidRPr="00C80404">
        <w:rPr>
          <w:rFonts w:cstheme="minorHAnsi"/>
        </w:rPr>
        <w:lastRenderedPageBreak/>
        <w:t>düşüyorsa, bu</w:t>
      </w:r>
      <w:r w:rsidRPr="00C80404">
        <w:rPr>
          <w:rFonts w:cstheme="minorHAnsi"/>
        </w:rPr>
        <w:t>,</w:t>
      </w:r>
      <w:r w:rsidR="00FB2A2A" w:rsidRPr="00C80404">
        <w:rPr>
          <w:rFonts w:cstheme="minorHAnsi"/>
        </w:rPr>
        <w:t xml:space="preserve"> </w:t>
      </w:r>
      <w:r w:rsidRPr="00C80404">
        <w:rPr>
          <w:rFonts w:cstheme="minorHAnsi"/>
        </w:rPr>
        <w:t>“</w:t>
      </w:r>
      <w:r w:rsidR="00FB2A2A" w:rsidRPr="00C80404">
        <w:rPr>
          <w:rFonts w:cstheme="minorHAnsi"/>
        </w:rPr>
        <w:t>paralel trend</w:t>
      </w:r>
      <w:r w:rsidRPr="00C80404">
        <w:rPr>
          <w:rFonts w:cstheme="minorHAnsi"/>
        </w:rPr>
        <w:t>”</w:t>
      </w:r>
      <w:r w:rsidR="00FB2A2A" w:rsidRPr="00C80404">
        <w:rPr>
          <w:rFonts w:cstheme="minorHAnsi"/>
        </w:rPr>
        <w:t xml:space="preserve"> varsayımının doğru olmayacağını, dolayısı</w:t>
      </w:r>
      <w:r w:rsidR="00074049">
        <w:rPr>
          <w:rFonts w:cstheme="minorHAnsi"/>
        </w:rPr>
        <w:t>yla</w:t>
      </w:r>
      <w:r w:rsidR="00FB2A2A" w:rsidRPr="00C80404">
        <w:rPr>
          <w:rFonts w:cstheme="minorHAnsi"/>
        </w:rPr>
        <w:t xml:space="preserve"> FF tahmincisinin yanlı olacağını ima etmektedir.  Çünkü </w:t>
      </w:r>
      <w:r w:rsidR="00272F35" w:rsidRPr="00C80404">
        <w:rPr>
          <w:rFonts w:cstheme="minorHAnsi"/>
        </w:rPr>
        <w:t>tanzim bölgelerine</w:t>
      </w:r>
      <w:r w:rsidR="00FB2A2A" w:rsidRPr="00C80404">
        <w:rPr>
          <w:rFonts w:cstheme="minorHAnsi"/>
        </w:rPr>
        <w:t xml:space="preserve"> özgü enflasyon düşürücü faktörler de tanzim satış etkilerinin içinde yer alacaktır. Başka bir deyişle tanzim satışın etkisi olduğundan daha yüksek ölçülecektir. Bunu ortadan kaldırmak için önerilen yollardan biri </w:t>
      </w:r>
      <w:r w:rsidR="00074049">
        <w:rPr>
          <w:rFonts w:cstheme="minorHAnsi"/>
        </w:rPr>
        <w:t>“</w:t>
      </w:r>
      <w:r w:rsidR="00074049">
        <w:t>f</w:t>
      </w:r>
      <w:r w:rsidR="00FB2A2A" w:rsidRPr="00C80404">
        <w:t>arkların farkının farkı</w:t>
      </w:r>
      <w:r w:rsidR="00074049">
        <w:t>”</w:t>
      </w:r>
      <w:r w:rsidR="00FB2A2A" w:rsidRPr="00C80404">
        <w:t xml:space="preserve"> </w:t>
      </w:r>
      <w:r w:rsidR="00E502D9" w:rsidRPr="00C80404">
        <w:t xml:space="preserve">(bundan sonra kısaca FFF) </w:t>
      </w:r>
      <w:r w:rsidR="00FB2A2A" w:rsidRPr="00C80404">
        <w:t xml:space="preserve">yaklaşımıdır. Burada, tanzim dışında kalan ve tanzim ile ilgisi olmayan bir ürün grubu için </w:t>
      </w:r>
      <w:r w:rsidR="00FB2A2A" w:rsidRPr="00C80404">
        <w:rPr>
          <w:rFonts w:cstheme="minorHAnsi"/>
        </w:rPr>
        <w:t xml:space="preserve">FF </w:t>
      </w:r>
      <w:r w:rsidR="00420E5F" w:rsidRPr="00C80404">
        <w:t xml:space="preserve">(diğer ürün için FF) </w:t>
      </w:r>
      <w:r w:rsidR="00FB2A2A" w:rsidRPr="00C80404">
        <w:rPr>
          <w:rFonts w:cstheme="minorHAnsi"/>
        </w:rPr>
        <w:t xml:space="preserve">hesaplanarak tanzim dışındaki sebeplerle İstanbul’un diğer bölgelerden ne kadar ayrıştığı ortaya konmaktadır. </w:t>
      </w:r>
      <w:r w:rsidR="00420E5F" w:rsidRPr="00C80404">
        <w:rPr>
          <w:rFonts w:cstheme="minorHAnsi"/>
        </w:rPr>
        <w:t xml:space="preserve">Daha sonra bu etki </w:t>
      </w:r>
      <w:r w:rsidR="00420E5F" w:rsidRPr="00C80404">
        <w:t>tanzim bölgeleri ile diğer bölgeler arasındaki enflasyon farkından (tanzim ürün için FF) çıkarıl</w:t>
      </w:r>
      <w:r w:rsidR="00FB2A2A" w:rsidRPr="00C80404">
        <w:rPr>
          <w:rFonts w:cstheme="minorHAnsi"/>
        </w:rPr>
        <w:t>mak suretiyle tanzim satışın saf etkisi</w:t>
      </w:r>
      <w:r w:rsidR="00BF0C85" w:rsidRPr="00C80404">
        <w:rPr>
          <w:rFonts w:cstheme="minorHAnsi"/>
        </w:rPr>
        <w:t xml:space="preserve"> (TE)</w:t>
      </w:r>
      <w:r w:rsidR="00FB2A2A" w:rsidRPr="00C80404">
        <w:rPr>
          <w:rFonts w:cstheme="minorHAnsi"/>
        </w:rPr>
        <w:t xml:space="preserve"> hesaplanabilmektedir. </w:t>
      </w:r>
      <w:r w:rsidR="008B21D5" w:rsidRPr="00C80404">
        <w:t>F</w:t>
      </w:r>
      <w:r w:rsidR="00E502D9" w:rsidRPr="00C80404">
        <w:t xml:space="preserve">FF </w:t>
      </w:r>
      <w:r w:rsidR="008B21D5" w:rsidRPr="00C80404">
        <w:rPr>
          <w:rFonts w:cstheme="minorHAnsi"/>
        </w:rPr>
        <w:t>m</w:t>
      </w:r>
      <w:r w:rsidR="00FB2A2A" w:rsidRPr="00C80404">
        <w:rPr>
          <w:rFonts w:cstheme="minorHAnsi"/>
        </w:rPr>
        <w:t>atematiksel olarak şu şekilde ifade edilebilir:</w:t>
      </w:r>
    </w:p>
    <w:p w14:paraId="63F4AE94" w14:textId="77777777" w:rsidR="00FB2A2A" w:rsidRPr="00C80404" w:rsidRDefault="00FB2A2A" w:rsidP="00FB2A2A">
      <w:pPr>
        <w:rPr>
          <w:rFonts w:eastAsiaTheme="minorEastAsia"/>
        </w:rPr>
      </w:pPr>
      <m:oMathPara>
        <m:oMath>
          <m:r>
            <m:rPr>
              <m:sty m:val="p"/>
            </m:rPr>
            <w:rPr>
              <w:rFonts w:ascii="Cambria Math" w:hAnsi="Cambria Math"/>
            </w:rPr>
            <m:t>TE=(Δ</m:t>
          </m:r>
          <m:sSubSup>
            <m:sSubSupPr>
              <m:ctrlPr>
                <w:rPr>
                  <w:rFonts w:ascii="Cambria Math" w:hAnsi="Cambria Math"/>
                  <w:i/>
                </w:rPr>
              </m:ctrlPr>
            </m:sSubSupPr>
            <m:e>
              <m:r>
                <w:rPr>
                  <w:rFonts w:ascii="Cambria Math" w:hAnsi="Cambria Math"/>
                </w:rPr>
                <m:t>Enf</m:t>
              </m:r>
            </m:e>
            <m:sub>
              <m:r>
                <w:rPr>
                  <w:rFonts w:ascii="Cambria Math" w:hAnsi="Cambria Math"/>
                </w:rPr>
                <m:t>tanzim ürün</m:t>
              </m:r>
            </m:sub>
            <m:sup>
              <m:r>
                <w:rPr>
                  <w:rFonts w:ascii="Cambria Math" w:hAnsi="Cambria Math"/>
                </w:rPr>
                <m:t>tanzim bölge</m:t>
              </m:r>
            </m:sup>
          </m:sSubSup>
          <m:r>
            <w:rPr>
              <w:rFonts w:ascii="Cambria Math" w:hAnsi="Cambria Math"/>
            </w:rPr>
            <m:t>-</m:t>
          </m:r>
          <m:r>
            <m:rPr>
              <m:sty m:val="p"/>
            </m:rPr>
            <w:rPr>
              <w:rFonts w:ascii="Cambria Math" w:hAnsi="Cambria Math"/>
            </w:rPr>
            <m:t>Δ</m:t>
          </m:r>
          <m:sSubSup>
            <m:sSubSupPr>
              <m:ctrlPr>
                <w:rPr>
                  <w:rFonts w:ascii="Cambria Math" w:hAnsi="Cambria Math"/>
                  <w:i/>
                </w:rPr>
              </m:ctrlPr>
            </m:sSubSupPr>
            <m:e>
              <m:r>
                <w:rPr>
                  <w:rFonts w:ascii="Cambria Math" w:hAnsi="Cambria Math"/>
                </w:rPr>
                <m:t>Enf</m:t>
              </m:r>
            </m:e>
            <m:sub>
              <m:r>
                <w:rPr>
                  <w:rFonts w:ascii="Cambria Math" w:hAnsi="Cambria Math"/>
                </w:rPr>
                <m:t>tanzim ürün</m:t>
              </m:r>
            </m:sub>
            <m:sup>
              <m:r>
                <w:rPr>
                  <w:rFonts w:ascii="Cambria Math" w:hAnsi="Cambria Math"/>
                </w:rPr>
                <m:t>diğer bölge</m:t>
              </m:r>
            </m:sup>
          </m:sSubSup>
          <m:r>
            <w:rPr>
              <w:rFonts w:ascii="Cambria Math" w:hAnsi="Cambria Math"/>
            </w:rPr>
            <m:t>)-(</m:t>
          </m:r>
          <m:r>
            <m:rPr>
              <m:sty m:val="p"/>
            </m:rPr>
            <w:rPr>
              <w:rFonts w:ascii="Cambria Math" w:hAnsi="Cambria Math"/>
            </w:rPr>
            <m:t>Δ</m:t>
          </m:r>
          <m:sSubSup>
            <m:sSubSupPr>
              <m:ctrlPr>
                <w:rPr>
                  <w:rFonts w:ascii="Cambria Math" w:hAnsi="Cambria Math"/>
                  <w:i/>
                </w:rPr>
              </m:ctrlPr>
            </m:sSubSupPr>
            <m:e>
              <m:r>
                <w:rPr>
                  <w:rFonts w:ascii="Cambria Math" w:hAnsi="Cambria Math"/>
                </w:rPr>
                <m:t>Enf</m:t>
              </m:r>
            </m:e>
            <m:sub>
              <m:r>
                <w:rPr>
                  <w:rFonts w:ascii="Cambria Math" w:hAnsi="Cambria Math"/>
                </w:rPr>
                <m:t>diğer ürün</m:t>
              </m:r>
            </m:sub>
            <m:sup>
              <m:r>
                <w:rPr>
                  <w:rFonts w:ascii="Cambria Math" w:hAnsi="Cambria Math"/>
                </w:rPr>
                <m:t>tanzim bölge</m:t>
              </m:r>
            </m:sup>
          </m:sSubSup>
          <m:r>
            <w:rPr>
              <w:rFonts w:ascii="Cambria Math" w:hAnsi="Cambria Math"/>
            </w:rPr>
            <m:t>-</m:t>
          </m:r>
          <m:r>
            <m:rPr>
              <m:sty m:val="p"/>
            </m:rPr>
            <w:rPr>
              <w:rFonts w:ascii="Cambria Math" w:hAnsi="Cambria Math"/>
            </w:rPr>
            <m:t>Δ</m:t>
          </m:r>
          <m:sSubSup>
            <m:sSubSupPr>
              <m:ctrlPr>
                <w:rPr>
                  <w:rFonts w:ascii="Cambria Math" w:hAnsi="Cambria Math"/>
                  <w:i/>
                </w:rPr>
              </m:ctrlPr>
            </m:sSubSupPr>
            <m:e>
              <m:r>
                <w:rPr>
                  <w:rFonts w:ascii="Cambria Math" w:hAnsi="Cambria Math"/>
                </w:rPr>
                <m:t>Enf</m:t>
              </m:r>
            </m:e>
            <m:sub>
              <m:r>
                <w:rPr>
                  <w:rFonts w:ascii="Cambria Math" w:hAnsi="Cambria Math"/>
                </w:rPr>
                <m:t>diğer ürün</m:t>
              </m:r>
            </m:sub>
            <m:sup>
              <m:r>
                <w:rPr>
                  <w:rFonts w:ascii="Cambria Math" w:hAnsi="Cambria Math"/>
                </w:rPr>
                <m:t>diğer bölge</m:t>
              </m:r>
            </m:sup>
          </m:sSubSup>
          <m:r>
            <w:rPr>
              <w:rFonts w:ascii="Cambria Math" w:hAnsi="Cambria Math"/>
            </w:rPr>
            <m:t>)</m:t>
          </m:r>
        </m:oMath>
      </m:oMathPara>
    </w:p>
    <w:p w14:paraId="3CDA531C" w14:textId="77777777" w:rsidR="00FB2A2A" w:rsidRPr="00C80404" w:rsidRDefault="00FB2A2A" w:rsidP="00FB2A2A">
      <w:pPr>
        <w:rPr>
          <w:rFonts w:ascii="Cambria Math" w:hAnsi="Cambria Math" w:cs="Times New Roman"/>
          <w:b/>
        </w:rPr>
      </w:pPr>
      <w:r w:rsidRPr="00C80404">
        <w:rPr>
          <w:rFonts w:eastAsiaTheme="minorEastAsia"/>
        </w:rPr>
        <w:t xml:space="preserve">FF tahmincisi için sadece tanzim merkezlerinde satılan ürün verileri kullanılırken FFF tahmincisi için buna ek olarak “diğer ürün” (aşağıda hem et ve süt ürünleri ile meyve gibi uzak ürünler ile raf ömrü olan diğer ürünler ayrı ayrı </w:t>
      </w:r>
      <w:r w:rsidR="0084355D" w:rsidRPr="00C80404">
        <w:rPr>
          <w:rFonts w:eastAsiaTheme="minorEastAsia"/>
        </w:rPr>
        <w:t>verilmiştir) verisini</w:t>
      </w:r>
      <w:r w:rsidRPr="00C80404">
        <w:rPr>
          <w:rFonts w:eastAsiaTheme="minorEastAsia"/>
        </w:rPr>
        <w:t xml:space="preserve"> de gerektirmektedir.</w:t>
      </w:r>
    </w:p>
    <w:p w14:paraId="1EB32FDE" w14:textId="77777777" w:rsidR="004F06AD" w:rsidRPr="00C80404" w:rsidRDefault="00456D56" w:rsidP="00456D56">
      <w:pPr>
        <w:pStyle w:val="Heading2"/>
        <w:rPr>
          <w:rFonts w:eastAsiaTheme="minorHAnsi"/>
          <w:lang w:val="tr-TR" w:eastAsia="en-US"/>
        </w:rPr>
      </w:pPr>
      <w:r w:rsidRPr="00C80404">
        <w:rPr>
          <w:rFonts w:eastAsiaTheme="minorHAnsi"/>
          <w:lang w:val="tr-TR" w:eastAsia="en-US"/>
        </w:rPr>
        <w:t xml:space="preserve">Sonuçlar </w:t>
      </w:r>
    </w:p>
    <w:p w14:paraId="5B401131" w14:textId="77777777" w:rsidR="00420E5F" w:rsidRPr="00C80404" w:rsidRDefault="00420E5F" w:rsidP="00420E5F">
      <w:pPr>
        <w:rPr>
          <w:rFonts w:eastAsiaTheme="minorHAnsi"/>
          <w:lang w:eastAsia="en-US"/>
        </w:rPr>
      </w:pPr>
      <w:r w:rsidRPr="00C80404">
        <w:rPr>
          <w:rFonts w:eastAsiaTheme="minorHAnsi"/>
          <w:lang w:eastAsia="en-US"/>
        </w:rPr>
        <w:t>Tablo 1</w:t>
      </w:r>
      <w:r w:rsidR="00D82B58" w:rsidRPr="00C80404">
        <w:rPr>
          <w:rFonts w:eastAsiaTheme="minorHAnsi"/>
          <w:lang w:eastAsia="en-US"/>
        </w:rPr>
        <w:t>,</w:t>
      </w:r>
      <w:r w:rsidRPr="00C80404">
        <w:rPr>
          <w:rFonts w:eastAsiaTheme="minorHAnsi"/>
          <w:lang w:eastAsia="en-US"/>
        </w:rPr>
        <w:t xml:space="preserve"> FF ve FFF ile hesapladığımız sonuçları vermektedir. 26 İBBS Düzey 2 bölgesini “tanzim</w:t>
      </w:r>
      <w:r w:rsidR="003F579E" w:rsidRPr="00C80404">
        <w:rPr>
          <w:rFonts w:eastAsiaTheme="minorHAnsi"/>
          <w:lang w:eastAsia="en-US"/>
        </w:rPr>
        <w:t>”</w:t>
      </w:r>
      <w:r w:rsidRPr="00C80404">
        <w:rPr>
          <w:rFonts w:eastAsiaTheme="minorHAnsi"/>
          <w:lang w:eastAsia="en-US"/>
        </w:rPr>
        <w:t xml:space="preserve"> bölgeleri (Ankara-TR51 ve İstanbul-TR10) ve “diğer</w:t>
      </w:r>
      <w:r w:rsidR="003F579E" w:rsidRPr="00C80404">
        <w:rPr>
          <w:rFonts w:eastAsiaTheme="minorHAnsi"/>
          <w:lang w:eastAsia="en-US"/>
        </w:rPr>
        <w:t>”</w:t>
      </w:r>
      <w:r w:rsidRPr="00C80404">
        <w:rPr>
          <w:rFonts w:eastAsiaTheme="minorHAnsi"/>
          <w:lang w:eastAsia="en-US"/>
        </w:rPr>
        <w:t xml:space="preserve"> bölgeler olacak şekilde iki gruba ayırdık</w:t>
      </w:r>
      <w:r w:rsidR="00EA1B21" w:rsidRPr="00C80404">
        <w:rPr>
          <w:rFonts w:eastAsiaTheme="minorHAnsi"/>
          <w:lang w:eastAsia="en-US"/>
        </w:rPr>
        <w:t xml:space="preserve"> (Tablo 1’de “</w:t>
      </w:r>
      <w:r w:rsidR="003F579E" w:rsidRPr="00C80404">
        <w:rPr>
          <w:rFonts w:eastAsiaTheme="minorHAnsi"/>
          <w:lang w:eastAsia="en-US"/>
        </w:rPr>
        <w:t>Bölge</w:t>
      </w:r>
      <w:r w:rsidR="00EA1B21" w:rsidRPr="00C80404">
        <w:rPr>
          <w:rFonts w:eastAsiaTheme="minorHAnsi"/>
          <w:lang w:eastAsia="en-US"/>
        </w:rPr>
        <w:t>” sütunu)</w:t>
      </w:r>
      <w:r w:rsidRPr="00C80404">
        <w:rPr>
          <w:rFonts w:eastAsiaTheme="minorHAnsi"/>
          <w:lang w:eastAsia="en-US"/>
        </w:rPr>
        <w:t>. 2016-2019 yılları TÜFE endeksi hesabına giren 437 ürünü 4 gruba ayırdık</w:t>
      </w:r>
      <w:r w:rsidR="00EA1B21" w:rsidRPr="00C80404">
        <w:rPr>
          <w:rFonts w:eastAsiaTheme="minorHAnsi"/>
          <w:lang w:eastAsia="en-US"/>
        </w:rPr>
        <w:t xml:space="preserve"> (Tablo 1’de “Ürün Tipi” sütunu)</w:t>
      </w:r>
      <w:r w:rsidRPr="00C80404">
        <w:rPr>
          <w:rFonts w:eastAsiaTheme="minorHAnsi"/>
          <w:lang w:eastAsia="en-US"/>
        </w:rPr>
        <w:t>:</w:t>
      </w:r>
    </w:p>
    <w:p w14:paraId="43E071D2" w14:textId="77777777" w:rsidR="00420E5F" w:rsidRPr="00C80404" w:rsidRDefault="00420E5F" w:rsidP="00420E5F">
      <w:pPr>
        <w:pStyle w:val="ListParagraph"/>
        <w:numPr>
          <w:ilvl w:val="0"/>
          <w:numId w:val="2"/>
        </w:numPr>
        <w:rPr>
          <w:rFonts w:ascii="Palatino Linotype" w:eastAsiaTheme="minorHAnsi" w:hAnsi="Palatino Linotype"/>
          <w:lang w:eastAsia="en-US"/>
        </w:rPr>
      </w:pPr>
      <w:r w:rsidRPr="00C80404">
        <w:rPr>
          <w:rFonts w:ascii="Palatino Linotype" w:eastAsiaTheme="minorHAnsi" w:hAnsi="Palatino Linotype"/>
          <w:lang w:eastAsia="en-US"/>
        </w:rPr>
        <w:t xml:space="preserve">“tanzim”: tanzim satış merkezlerinde satışı yapılan 9 ürün (çarliston biber, sivri biber, dolmalık biber, </w:t>
      </w:r>
      <w:r w:rsidRPr="00C80404">
        <w:rPr>
          <w:rFonts w:ascii="Palatino Linotype" w:hAnsi="Palatino Linotype"/>
        </w:rPr>
        <w:t>domates, salatalık, ıspanak, patates, soğan</w:t>
      </w:r>
      <w:r w:rsidR="00EA1B21" w:rsidRPr="00C80404">
        <w:rPr>
          <w:rFonts w:ascii="Palatino Linotype" w:hAnsi="Palatino Linotype"/>
        </w:rPr>
        <w:t xml:space="preserve"> ve</w:t>
      </w:r>
      <w:r w:rsidRPr="00C80404">
        <w:rPr>
          <w:rFonts w:ascii="Palatino Linotype" w:hAnsi="Palatino Linotype"/>
        </w:rPr>
        <w:t xml:space="preserve"> patlıcan</w:t>
      </w:r>
      <w:r w:rsidRPr="00C80404">
        <w:rPr>
          <w:rFonts w:ascii="Palatino Linotype" w:eastAsiaTheme="minorHAnsi" w:hAnsi="Palatino Linotype"/>
          <w:lang w:eastAsia="en-US"/>
        </w:rPr>
        <w:t>)</w:t>
      </w:r>
    </w:p>
    <w:p w14:paraId="147B6A25" w14:textId="77777777" w:rsidR="00420E5F" w:rsidRPr="00C80404" w:rsidRDefault="00420E5F" w:rsidP="00420E5F">
      <w:pPr>
        <w:pStyle w:val="ListParagraph"/>
        <w:numPr>
          <w:ilvl w:val="0"/>
          <w:numId w:val="2"/>
        </w:numPr>
        <w:rPr>
          <w:rFonts w:ascii="Palatino Linotype" w:eastAsiaTheme="minorHAnsi" w:hAnsi="Palatino Linotype"/>
          <w:lang w:eastAsia="en-US"/>
        </w:rPr>
      </w:pPr>
      <w:r w:rsidRPr="00C80404">
        <w:rPr>
          <w:rFonts w:ascii="Palatino Linotype" w:eastAsiaTheme="minorHAnsi" w:hAnsi="Palatino Linotype"/>
          <w:lang w:eastAsia="en-US"/>
        </w:rPr>
        <w:t xml:space="preserve">“yakın”: </w:t>
      </w:r>
      <w:r w:rsidR="00EA1B21" w:rsidRPr="00C80404">
        <w:rPr>
          <w:rFonts w:ascii="Palatino Linotype" w:eastAsiaTheme="minorHAnsi" w:hAnsi="Palatino Linotype"/>
          <w:lang w:eastAsia="en-US"/>
        </w:rPr>
        <w:t>TÜFE sepetine giren diğer yaş sebzeler (18 ürün)</w:t>
      </w:r>
    </w:p>
    <w:p w14:paraId="5DA3D3A6" w14:textId="77777777" w:rsidR="00EA1B21" w:rsidRPr="00C80404" w:rsidRDefault="00EA1B21" w:rsidP="00420E5F">
      <w:pPr>
        <w:pStyle w:val="ListParagraph"/>
        <w:numPr>
          <w:ilvl w:val="0"/>
          <w:numId w:val="2"/>
        </w:numPr>
        <w:rPr>
          <w:rFonts w:ascii="Palatino Linotype" w:eastAsiaTheme="minorHAnsi" w:hAnsi="Palatino Linotype"/>
          <w:lang w:eastAsia="en-US"/>
        </w:rPr>
      </w:pPr>
      <w:r w:rsidRPr="00C80404">
        <w:rPr>
          <w:rFonts w:ascii="Palatino Linotype" w:eastAsiaTheme="minorHAnsi" w:hAnsi="Palatino Linotype"/>
          <w:lang w:eastAsia="en-US"/>
        </w:rPr>
        <w:t>“uzak”: Raf ömrü kısa olan ve taze tüketilmesi gereken yaş meyveler ile et ve süt ürünleri (38 ürün).</w:t>
      </w:r>
    </w:p>
    <w:p w14:paraId="70FB68B5" w14:textId="77777777" w:rsidR="00EA1B21" w:rsidRPr="00C80404" w:rsidRDefault="00EA1B21" w:rsidP="00420E5F">
      <w:pPr>
        <w:pStyle w:val="ListParagraph"/>
        <w:numPr>
          <w:ilvl w:val="0"/>
          <w:numId w:val="2"/>
        </w:numPr>
        <w:rPr>
          <w:rFonts w:ascii="Palatino Linotype" w:eastAsiaTheme="minorHAnsi" w:hAnsi="Palatino Linotype"/>
          <w:lang w:eastAsia="en-US"/>
        </w:rPr>
      </w:pPr>
      <w:r w:rsidRPr="00C80404">
        <w:rPr>
          <w:rFonts w:ascii="Palatino Linotype" w:eastAsiaTheme="minorHAnsi" w:hAnsi="Palatino Linotype"/>
          <w:lang w:eastAsia="en-US"/>
        </w:rPr>
        <w:t xml:space="preserve"> “diğer”: Raf ömrü uzun olan diğer tüm ürünler (372 ürün)</w:t>
      </w:r>
    </w:p>
    <w:p w14:paraId="77ECED0C" w14:textId="77777777" w:rsidR="005B6CEC" w:rsidRPr="00C80404" w:rsidRDefault="00EA1B21" w:rsidP="00EA1B21">
      <w:pPr>
        <w:rPr>
          <w:rFonts w:eastAsiaTheme="minorHAnsi"/>
          <w:lang w:eastAsia="en-US"/>
        </w:rPr>
      </w:pPr>
      <w:r w:rsidRPr="00C80404">
        <w:rPr>
          <w:rFonts w:eastAsiaTheme="minorHAnsi"/>
          <w:lang w:eastAsia="en-US"/>
        </w:rPr>
        <w:t>Daha sonra her bir ürün tipi ve bölge için son 4 yılın ortalama şubat enflasyonunu (ocak ayından şubat ayına olan aylık enflasyon) hesapladık</w:t>
      </w:r>
      <w:r w:rsidR="00D82B58" w:rsidRPr="00C80404">
        <w:rPr>
          <w:rFonts w:eastAsiaTheme="minorHAnsi"/>
          <w:lang w:eastAsia="en-US"/>
        </w:rPr>
        <w:t xml:space="preserve"> (Tablo 1’de “Enf.” sütunu)</w:t>
      </w:r>
      <w:r w:rsidRPr="00C80404">
        <w:rPr>
          <w:rFonts w:eastAsiaTheme="minorHAnsi"/>
          <w:lang w:eastAsia="en-US"/>
        </w:rPr>
        <w:t>.</w:t>
      </w:r>
      <w:r w:rsidR="00D82B58" w:rsidRPr="00C80404">
        <w:rPr>
          <w:rFonts w:eastAsiaTheme="minorHAnsi"/>
          <w:lang w:eastAsia="en-US"/>
        </w:rPr>
        <w:t xml:space="preserve"> “Enf. Farkı” sütunu her bir yılın şubat enflasyonu ile bir önceki yılın şubat enflasyonu arasında olan enflasyon farkını vermektedir.</w:t>
      </w:r>
      <w:r w:rsidR="00BA2EE0" w:rsidRPr="00C80404">
        <w:rPr>
          <w:rFonts w:eastAsiaTheme="minorHAnsi"/>
          <w:lang w:eastAsia="en-US"/>
        </w:rPr>
        <w:t xml:space="preserve"> </w:t>
      </w:r>
      <w:r w:rsidR="003F579E" w:rsidRPr="00C80404">
        <w:rPr>
          <w:rFonts w:eastAsiaTheme="minorHAnsi"/>
          <w:lang w:eastAsia="en-US"/>
        </w:rPr>
        <w:t xml:space="preserve">Diğer </w:t>
      </w:r>
      <w:r w:rsidR="00301309" w:rsidRPr="00C80404">
        <w:rPr>
          <w:rFonts w:eastAsiaTheme="minorHAnsi"/>
          <w:lang w:eastAsia="en-US"/>
        </w:rPr>
        <w:t xml:space="preserve">bölgelerde tanzim ürünleri enflasyonu 2018’de yüzde 6,6 iken 2019’da yüzde 0,9’a düşmüştür, böylece enflasyon farkı 2019’da </w:t>
      </w:r>
      <w:r w:rsidR="00CE372D" w:rsidRPr="00C80404">
        <w:rPr>
          <w:rFonts w:eastAsiaTheme="minorHAnsi"/>
          <w:lang w:eastAsia="en-US"/>
        </w:rPr>
        <w:t>eksi yüzde</w:t>
      </w:r>
      <w:r w:rsidR="00301309" w:rsidRPr="00C80404">
        <w:rPr>
          <w:rFonts w:eastAsiaTheme="minorHAnsi"/>
          <w:lang w:eastAsia="en-US"/>
        </w:rPr>
        <w:t xml:space="preserve"> 5,6’dır.  Tanzim bölgelerinde tanzim ürünleri enflasyonu 2018 ve 2019’da sırası ile yüzde 5,7 ve </w:t>
      </w:r>
      <w:r w:rsidR="00CE372D" w:rsidRPr="00C80404">
        <w:rPr>
          <w:rFonts w:eastAsiaTheme="minorHAnsi"/>
          <w:lang w:eastAsia="en-US"/>
        </w:rPr>
        <w:t>eksi yüzde</w:t>
      </w:r>
      <w:r w:rsidR="00301309" w:rsidRPr="00C80404">
        <w:rPr>
          <w:rFonts w:eastAsiaTheme="minorHAnsi"/>
          <w:lang w:eastAsia="en-US"/>
        </w:rPr>
        <w:t xml:space="preserve"> 6,4 olmuş, enflasyon farkı ise 2019 yılı için </w:t>
      </w:r>
      <w:r w:rsidR="00CE372D" w:rsidRPr="00C80404">
        <w:rPr>
          <w:rFonts w:eastAsiaTheme="minorHAnsi"/>
          <w:lang w:eastAsia="en-US"/>
        </w:rPr>
        <w:t>eksi yüzde</w:t>
      </w:r>
      <w:r w:rsidR="00E857B6" w:rsidRPr="00C80404">
        <w:rPr>
          <w:rFonts w:eastAsiaTheme="minorHAnsi"/>
          <w:lang w:eastAsia="en-US"/>
        </w:rPr>
        <w:t xml:space="preserve"> </w:t>
      </w:r>
      <w:r w:rsidR="00301309" w:rsidRPr="00C80404">
        <w:rPr>
          <w:rFonts w:eastAsiaTheme="minorHAnsi"/>
          <w:lang w:eastAsia="en-US"/>
        </w:rPr>
        <w:t>12,1 olarak gerçekleşmiştir.</w:t>
      </w:r>
      <w:r w:rsidR="00C91D08" w:rsidRPr="00C80404">
        <w:rPr>
          <w:rFonts w:eastAsiaTheme="minorHAnsi"/>
          <w:lang w:eastAsia="en-US"/>
        </w:rPr>
        <w:t xml:space="preserve">  </w:t>
      </w:r>
    </w:p>
    <w:p w14:paraId="574EEAF5" w14:textId="77777777" w:rsidR="00602F69" w:rsidRPr="00C80404" w:rsidRDefault="00602F69" w:rsidP="00EA1B21">
      <w:pPr>
        <w:rPr>
          <w:rFonts w:eastAsiaTheme="minorHAnsi"/>
          <w:lang w:eastAsia="en-US"/>
        </w:rPr>
      </w:pPr>
    </w:p>
    <w:p w14:paraId="09988DC0" w14:textId="77777777" w:rsidR="00602F69" w:rsidRPr="00C80404" w:rsidRDefault="00602F69" w:rsidP="00EA1B21">
      <w:pPr>
        <w:rPr>
          <w:rFonts w:eastAsiaTheme="minorHAnsi"/>
          <w:lang w:eastAsia="en-US"/>
        </w:rPr>
      </w:pPr>
    </w:p>
    <w:p w14:paraId="3C82C2EF" w14:textId="77777777" w:rsidR="00602F69" w:rsidRPr="00C80404" w:rsidRDefault="00602F69" w:rsidP="00EA1B21">
      <w:pPr>
        <w:rPr>
          <w:rFonts w:eastAsiaTheme="minorHAnsi"/>
          <w:lang w:eastAsia="en-US"/>
        </w:rPr>
      </w:pPr>
    </w:p>
    <w:p w14:paraId="7F7D2FE6" w14:textId="77777777" w:rsidR="004F06AD" w:rsidRPr="00C80404" w:rsidRDefault="004F06AD" w:rsidP="004F06AD">
      <w:pPr>
        <w:rPr>
          <w:rFonts w:cstheme="minorHAnsi"/>
          <w:b/>
        </w:rPr>
      </w:pPr>
      <w:r w:rsidRPr="00C80404">
        <w:rPr>
          <w:rFonts w:cstheme="minorHAnsi"/>
          <w:b/>
        </w:rPr>
        <w:lastRenderedPageBreak/>
        <w:t xml:space="preserve">Tablo 1. </w:t>
      </w:r>
      <w:r w:rsidR="004242F3" w:rsidRPr="00C80404">
        <w:rPr>
          <w:rFonts w:cstheme="minorHAnsi"/>
          <w:b/>
        </w:rPr>
        <w:t xml:space="preserve">Şubat Ayı Aylık Enflasyonu </w:t>
      </w:r>
      <w:r w:rsidRPr="00C80404">
        <w:rPr>
          <w:rFonts w:cstheme="minorHAnsi"/>
          <w:b/>
        </w:rPr>
        <w:t>Farklar Tablosu</w:t>
      </w:r>
    </w:p>
    <w:tbl>
      <w:tblPr>
        <w:tblW w:w="8420" w:type="dxa"/>
        <w:tblCellMar>
          <w:left w:w="70" w:type="dxa"/>
          <w:right w:w="70" w:type="dxa"/>
        </w:tblCellMar>
        <w:tblLook w:val="04A0" w:firstRow="1" w:lastRow="0" w:firstColumn="1" w:lastColumn="0" w:noHBand="0" w:noVBand="1"/>
      </w:tblPr>
      <w:tblGrid>
        <w:gridCol w:w="380"/>
        <w:gridCol w:w="880"/>
        <w:gridCol w:w="840"/>
        <w:gridCol w:w="580"/>
        <w:gridCol w:w="580"/>
        <w:gridCol w:w="980"/>
        <w:gridCol w:w="1300"/>
        <w:gridCol w:w="1460"/>
        <w:gridCol w:w="1420"/>
      </w:tblGrid>
      <w:tr w:rsidR="00602F69" w:rsidRPr="00602F69" w14:paraId="24EF32A6" w14:textId="77777777" w:rsidTr="00602F69">
        <w:trPr>
          <w:trHeight w:val="240"/>
        </w:trPr>
        <w:tc>
          <w:tcPr>
            <w:tcW w:w="380" w:type="dxa"/>
            <w:tcBorders>
              <w:top w:val="nil"/>
              <w:left w:val="nil"/>
              <w:bottom w:val="nil"/>
              <w:right w:val="nil"/>
            </w:tcBorders>
            <w:shd w:val="clear" w:color="auto" w:fill="auto"/>
            <w:noWrap/>
            <w:vAlign w:val="bottom"/>
            <w:hideMark/>
          </w:tcPr>
          <w:p w14:paraId="00A38C09" w14:textId="77777777" w:rsidR="00602F69" w:rsidRPr="00602F69" w:rsidRDefault="00602F69" w:rsidP="00602F69">
            <w:pPr>
              <w:suppressAutoHyphens w:val="0"/>
              <w:spacing w:after="0" w:line="240" w:lineRule="auto"/>
              <w:jc w:val="left"/>
              <w:rPr>
                <w:rFonts w:ascii="Times New Roman" w:hAnsi="Times New Roman" w:cs="Times New Roman"/>
                <w:sz w:val="18"/>
                <w:szCs w:val="18"/>
                <w:lang w:eastAsia="tr-TR"/>
              </w:rPr>
            </w:pPr>
          </w:p>
        </w:tc>
        <w:tc>
          <w:tcPr>
            <w:tcW w:w="880" w:type="dxa"/>
            <w:tcBorders>
              <w:top w:val="nil"/>
              <w:left w:val="nil"/>
              <w:bottom w:val="nil"/>
              <w:right w:val="nil"/>
            </w:tcBorders>
            <w:shd w:val="clear" w:color="000000" w:fill="FFFFFF"/>
            <w:noWrap/>
            <w:vAlign w:val="bottom"/>
            <w:hideMark/>
          </w:tcPr>
          <w:p w14:paraId="1D3FE3F4" w14:textId="77777777" w:rsidR="00602F69" w:rsidRPr="00602F69" w:rsidRDefault="00602F69" w:rsidP="00602F69">
            <w:pPr>
              <w:suppressAutoHyphens w:val="0"/>
              <w:spacing w:after="0" w:line="240" w:lineRule="auto"/>
              <w:jc w:val="center"/>
              <w:rPr>
                <w:rFonts w:ascii="Calibri" w:hAnsi="Calibri" w:cs="Calibri"/>
                <w:color w:val="000000"/>
                <w:sz w:val="18"/>
                <w:szCs w:val="18"/>
                <w:lang w:eastAsia="tr-TR"/>
              </w:rPr>
            </w:pPr>
            <w:r w:rsidRPr="00602F69">
              <w:rPr>
                <w:rFonts w:ascii="Calibri" w:hAnsi="Calibri" w:cs="Calibri"/>
                <w:color w:val="000000"/>
                <w:sz w:val="18"/>
                <w:szCs w:val="18"/>
                <w:lang w:eastAsia="tr-TR"/>
              </w:rPr>
              <w:t>A</w:t>
            </w:r>
          </w:p>
        </w:tc>
        <w:tc>
          <w:tcPr>
            <w:tcW w:w="840" w:type="dxa"/>
            <w:tcBorders>
              <w:top w:val="nil"/>
              <w:left w:val="nil"/>
              <w:bottom w:val="nil"/>
              <w:right w:val="nil"/>
            </w:tcBorders>
            <w:shd w:val="clear" w:color="000000" w:fill="FFFFFF"/>
            <w:noWrap/>
            <w:vAlign w:val="bottom"/>
            <w:hideMark/>
          </w:tcPr>
          <w:p w14:paraId="3718C156" w14:textId="77777777" w:rsidR="00602F69" w:rsidRPr="00602F69" w:rsidRDefault="00602F69" w:rsidP="00602F69">
            <w:pPr>
              <w:suppressAutoHyphens w:val="0"/>
              <w:spacing w:after="0" w:line="240" w:lineRule="auto"/>
              <w:jc w:val="center"/>
              <w:rPr>
                <w:rFonts w:ascii="Calibri" w:hAnsi="Calibri" w:cs="Calibri"/>
                <w:color w:val="000000"/>
                <w:sz w:val="18"/>
                <w:szCs w:val="18"/>
                <w:lang w:eastAsia="tr-TR"/>
              </w:rPr>
            </w:pPr>
            <w:r w:rsidRPr="00602F69">
              <w:rPr>
                <w:rFonts w:ascii="Calibri" w:hAnsi="Calibri" w:cs="Calibri"/>
                <w:color w:val="000000"/>
                <w:sz w:val="18"/>
                <w:szCs w:val="18"/>
                <w:lang w:eastAsia="tr-TR"/>
              </w:rPr>
              <w:t>B</w:t>
            </w:r>
          </w:p>
        </w:tc>
        <w:tc>
          <w:tcPr>
            <w:tcW w:w="580" w:type="dxa"/>
            <w:tcBorders>
              <w:top w:val="nil"/>
              <w:left w:val="nil"/>
              <w:bottom w:val="nil"/>
              <w:right w:val="nil"/>
            </w:tcBorders>
            <w:shd w:val="clear" w:color="000000" w:fill="FFFFFF"/>
            <w:noWrap/>
            <w:vAlign w:val="bottom"/>
            <w:hideMark/>
          </w:tcPr>
          <w:p w14:paraId="4BBDE056" w14:textId="77777777" w:rsidR="00602F69" w:rsidRPr="00602F69" w:rsidRDefault="00602F69" w:rsidP="00602F69">
            <w:pPr>
              <w:suppressAutoHyphens w:val="0"/>
              <w:spacing w:after="0" w:line="240" w:lineRule="auto"/>
              <w:jc w:val="center"/>
              <w:rPr>
                <w:rFonts w:ascii="Calibri" w:hAnsi="Calibri" w:cs="Calibri"/>
                <w:color w:val="000000"/>
                <w:sz w:val="18"/>
                <w:szCs w:val="18"/>
                <w:lang w:eastAsia="tr-TR"/>
              </w:rPr>
            </w:pPr>
            <w:r w:rsidRPr="00602F69">
              <w:rPr>
                <w:rFonts w:ascii="Calibri" w:hAnsi="Calibri" w:cs="Calibri"/>
                <w:color w:val="000000"/>
                <w:sz w:val="18"/>
                <w:szCs w:val="18"/>
                <w:lang w:eastAsia="tr-TR"/>
              </w:rPr>
              <w:t>C</w:t>
            </w:r>
          </w:p>
        </w:tc>
        <w:tc>
          <w:tcPr>
            <w:tcW w:w="580" w:type="dxa"/>
            <w:tcBorders>
              <w:top w:val="nil"/>
              <w:left w:val="nil"/>
              <w:bottom w:val="nil"/>
              <w:right w:val="nil"/>
            </w:tcBorders>
            <w:shd w:val="clear" w:color="000000" w:fill="FFFFFF"/>
            <w:noWrap/>
            <w:vAlign w:val="bottom"/>
            <w:hideMark/>
          </w:tcPr>
          <w:p w14:paraId="4E542E8A" w14:textId="77777777" w:rsidR="00602F69" w:rsidRPr="00602F69" w:rsidRDefault="00602F69" w:rsidP="00602F69">
            <w:pPr>
              <w:suppressAutoHyphens w:val="0"/>
              <w:spacing w:after="0" w:line="240" w:lineRule="auto"/>
              <w:jc w:val="center"/>
              <w:rPr>
                <w:rFonts w:ascii="Calibri" w:hAnsi="Calibri" w:cs="Calibri"/>
                <w:color w:val="000000"/>
                <w:sz w:val="18"/>
                <w:szCs w:val="18"/>
                <w:lang w:eastAsia="tr-TR"/>
              </w:rPr>
            </w:pPr>
            <w:r w:rsidRPr="00602F69">
              <w:rPr>
                <w:rFonts w:ascii="Calibri" w:hAnsi="Calibri" w:cs="Calibri"/>
                <w:color w:val="000000"/>
                <w:sz w:val="18"/>
                <w:szCs w:val="18"/>
                <w:lang w:eastAsia="tr-TR"/>
              </w:rPr>
              <w:t>D</w:t>
            </w:r>
          </w:p>
        </w:tc>
        <w:tc>
          <w:tcPr>
            <w:tcW w:w="980" w:type="dxa"/>
            <w:tcBorders>
              <w:top w:val="nil"/>
              <w:left w:val="nil"/>
              <w:bottom w:val="nil"/>
              <w:right w:val="nil"/>
            </w:tcBorders>
            <w:shd w:val="clear" w:color="000000" w:fill="FFFFFF"/>
            <w:noWrap/>
            <w:vAlign w:val="bottom"/>
            <w:hideMark/>
          </w:tcPr>
          <w:p w14:paraId="0E8A422C" w14:textId="77777777" w:rsidR="00602F69" w:rsidRPr="00602F69" w:rsidRDefault="00602F69" w:rsidP="00602F69">
            <w:pPr>
              <w:suppressAutoHyphens w:val="0"/>
              <w:spacing w:after="0" w:line="240" w:lineRule="auto"/>
              <w:jc w:val="center"/>
              <w:rPr>
                <w:rFonts w:ascii="Calibri" w:hAnsi="Calibri" w:cs="Calibri"/>
                <w:color w:val="000000"/>
                <w:sz w:val="18"/>
                <w:szCs w:val="18"/>
                <w:lang w:eastAsia="tr-TR"/>
              </w:rPr>
            </w:pPr>
            <w:r w:rsidRPr="00602F69">
              <w:rPr>
                <w:rFonts w:ascii="Calibri" w:hAnsi="Calibri" w:cs="Calibri"/>
                <w:color w:val="000000"/>
                <w:sz w:val="18"/>
                <w:szCs w:val="18"/>
                <w:lang w:eastAsia="tr-TR"/>
              </w:rPr>
              <w:t xml:space="preserve">E </w:t>
            </w:r>
          </w:p>
        </w:tc>
        <w:tc>
          <w:tcPr>
            <w:tcW w:w="1300" w:type="dxa"/>
            <w:tcBorders>
              <w:top w:val="nil"/>
              <w:left w:val="nil"/>
              <w:bottom w:val="nil"/>
              <w:right w:val="nil"/>
            </w:tcBorders>
            <w:shd w:val="clear" w:color="000000" w:fill="FFFFFF"/>
            <w:noWrap/>
            <w:vAlign w:val="bottom"/>
            <w:hideMark/>
          </w:tcPr>
          <w:p w14:paraId="691943E2" w14:textId="77777777" w:rsidR="00602F69" w:rsidRPr="00602F69" w:rsidRDefault="00602F69" w:rsidP="00602F69">
            <w:pPr>
              <w:suppressAutoHyphens w:val="0"/>
              <w:spacing w:after="0" w:line="240" w:lineRule="auto"/>
              <w:jc w:val="center"/>
              <w:rPr>
                <w:rFonts w:ascii="Calibri" w:hAnsi="Calibri" w:cs="Calibri"/>
                <w:color w:val="000000"/>
                <w:sz w:val="18"/>
                <w:szCs w:val="18"/>
                <w:lang w:eastAsia="tr-TR"/>
              </w:rPr>
            </w:pPr>
            <w:r w:rsidRPr="00602F69">
              <w:rPr>
                <w:rFonts w:ascii="Calibri" w:hAnsi="Calibri" w:cs="Calibri"/>
                <w:color w:val="000000"/>
                <w:sz w:val="18"/>
                <w:szCs w:val="18"/>
                <w:lang w:eastAsia="tr-TR"/>
              </w:rPr>
              <w:t>F</w:t>
            </w:r>
          </w:p>
        </w:tc>
        <w:tc>
          <w:tcPr>
            <w:tcW w:w="1460" w:type="dxa"/>
            <w:tcBorders>
              <w:top w:val="nil"/>
              <w:left w:val="nil"/>
              <w:bottom w:val="nil"/>
              <w:right w:val="nil"/>
            </w:tcBorders>
            <w:shd w:val="clear" w:color="000000" w:fill="FFFFFF"/>
            <w:noWrap/>
            <w:vAlign w:val="bottom"/>
            <w:hideMark/>
          </w:tcPr>
          <w:p w14:paraId="094E3442" w14:textId="77777777" w:rsidR="00602F69" w:rsidRPr="00602F69" w:rsidRDefault="00602F69" w:rsidP="00602F69">
            <w:pPr>
              <w:suppressAutoHyphens w:val="0"/>
              <w:spacing w:after="0" w:line="240" w:lineRule="auto"/>
              <w:jc w:val="center"/>
              <w:rPr>
                <w:rFonts w:ascii="Calibri" w:hAnsi="Calibri" w:cs="Calibri"/>
                <w:color w:val="000000"/>
                <w:sz w:val="18"/>
                <w:szCs w:val="18"/>
                <w:lang w:eastAsia="tr-TR"/>
              </w:rPr>
            </w:pPr>
            <w:r w:rsidRPr="00602F69">
              <w:rPr>
                <w:rFonts w:ascii="Calibri" w:hAnsi="Calibri" w:cs="Calibri"/>
                <w:color w:val="000000"/>
                <w:sz w:val="18"/>
                <w:szCs w:val="18"/>
                <w:lang w:eastAsia="tr-TR"/>
              </w:rPr>
              <w:t>G</w:t>
            </w:r>
          </w:p>
        </w:tc>
        <w:tc>
          <w:tcPr>
            <w:tcW w:w="1420" w:type="dxa"/>
            <w:tcBorders>
              <w:top w:val="nil"/>
              <w:left w:val="nil"/>
              <w:bottom w:val="nil"/>
              <w:right w:val="nil"/>
            </w:tcBorders>
            <w:shd w:val="clear" w:color="000000" w:fill="FFFFFF"/>
            <w:noWrap/>
            <w:vAlign w:val="bottom"/>
            <w:hideMark/>
          </w:tcPr>
          <w:p w14:paraId="183784D2" w14:textId="77777777" w:rsidR="00602F69" w:rsidRPr="00602F69" w:rsidRDefault="00602F69" w:rsidP="00602F69">
            <w:pPr>
              <w:suppressAutoHyphens w:val="0"/>
              <w:spacing w:after="0" w:line="240" w:lineRule="auto"/>
              <w:jc w:val="center"/>
              <w:rPr>
                <w:rFonts w:ascii="Calibri" w:hAnsi="Calibri" w:cs="Calibri"/>
                <w:color w:val="000000"/>
                <w:sz w:val="18"/>
                <w:szCs w:val="18"/>
                <w:lang w:eastAsia="tr-TR"/>
              </w:rPr>
            </w:pPr>
            <w:r w:rsidRPr="00602F69">
              <w:rPr>
                <w:rFonts w:ascii="Calibri" w:hAnsi="Calibri" w:cs="Calibri"/>
                <w:color w:val="000000"/>
                <w:sz w:val="18"/>
                <w:szCs w:val="18"/>
                <w:lang w:eastAsia="tr-TR"/>
              </w:rPr>
              <w:t>H</w:t>
            </w:r>
          </w:p>
        </w:tc>
      </w:tr>
      <w:tr w:rsidR="00602F69" w:rsidRPr="00602F69" w14:paraId="55303EAE" w14:textId="77777777" w:rsidTr="00602F69">
        <w:trPr>
          <w:trHeight w:val="510"/>
        </w:trPr>
        <w:tc>
          <w:tcPr>
            <w:tcW w:w="380" w:type="dxa"/>
            <w:tcBorders>
              <w:top w:val="nil"/>
              <w:left w:val="nil"/>
              <w:bottom w:val="nil"/>
              <w:right w:val="nil"/>
            </w:tcBorders>
            <w:shd w:val="clear" w:color="auto" w:fill="auto"/>
            <w:noWrap/>
            <w:vAlign w:val="bottom"/>
            <w:hideMark/>
          </w:tcPr>
          <w:p w14:paraId="0776D34A" w14:textId="77777777" w:rsidR="00602F69" w:rsidRPr="00602F69" w:rsidRDefault="00602F69" w:rsidP="00602F69">
            <w:pPr>
              <w:suppressAutoHyphens w:val="0"/>
              <w:spacing w:after="0" w:line="240" w:lineRule="auto"/>
              <w:jc w:val="center"/>
              <w:rPr>
                <w:rFonts w:ascii="Calibri" w:hAnsi="Calibri" w:cs="Calibri"/>
                <w:color w:val="000000"/>
                <w:sz w:val="18"/>
                <w:szCs w:val="18"/>
                <w:lang w:eastAsia="tr-TR"/>
              </w:rPr>
            </w:pPr>
          </w:p>
        </w:tc>
        <w:tc>
          <w:tcPr>
            <w:tcW w:w="880" w:type="dxa"/>
            <w:tcBorders>
              <w:top w:val="single" w:sz="4" w:space="0" w:color="auto"/>
              <w:left w:val="nil"/>
              <w:bottom w:val="single" w:sz="4" w:space="0" w:color="auto"/>
              <w:right w:val="nil"/>
            </w:tcBorders>
            <w:shd w:val="clear" w:color="000000" w:fill="FFFFFF"/>
            <w:noWrap/>
            <w:vAlign w:val="bottom"/>
            <w:hideMark/>
          </w:tcPr>
          <w:p w14:paraId="74946E35"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Bölge</w:t>
            </w:r>
          </w:p>
        </w:tc>
        <w:tc>
          <w:tcPr>
            <w:tcW w:w="840" w:type="dxa"/>
            <w:tcBorders>
              <w:top w:val="single" w:sz="4" w:space="0" w:color="auto"/>
              <w:left w:val="nil"/>
              <w:bottom w:val="single" w:sz="4" w:space="0" w:color="auto"/>
              <w:right w:val="nil"/>
            </w:tcBorders>
            <w:shd w:val="clear" w:color="000000" w:fill="FFFFFF"/>
            <w:noWrap/>
            <w:vAlign w:val="bottom"/>
            <w:hideMark/>
          </w:tcPr>
          <w:p w14:paraId="7D54ED86"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Ürün Tipi</w:t>
            </w:r>
          </w:p>
        </w:tc>
        <w:tc>
          <w:tcPr>
            <w:tcW w:w="580" w:type="dxa"/>
            <w:tcBorders>
              <w:top w:val="single" w:sz="4" w:space="0" w:color="auto"/>
              <w:left w:val="nil"/>
              <w:bottom w:val="single" w:sz="4" w:space="0" w:color="auto"/>
              <w:right w:val="nil"/>
            </w:tcBorders>
            <w:shd w:val="clear" w:color="000000" w:fill="FFFFFF"/>
            <w:noWrap/>
            <w:vAlign w:val="bottom"/>
            <w:hideMark/>
          </w:tcPr>
          <w:p w14:paraId="3E291AB3"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Yıl</w:t>
            </w:r>
          </w:p>
        </w:tc>
        <w:tc>
          <w:tcPr>
            <w:tcW w:w="580" w:type="dxa"/>
            <w:tcBorders>
              <w:top w:val="single" w:sz="4" w:space="0" w:color="auto"/>
              <w:left w:val="nil"/>
              <w:bottom w:val="single" w:sz="4" w:space="0" w:color="auto"/>
              <w:right w:val="nil"/>
            </w:tcBorders>
            <w:shd w:val="clear" w:color="000000" w:fill="FFFFFF"/>
            <w:noWrap/>
            <w:vAlign w:val="bottom"/>
            <w:hideMark/>
          </w:tcPr>
          <w:p w14:paraId="49F229F5"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Enf.</w:t>
            </w:r>
          </w:p>
        </w:tc>
        <w:tc>
          <w:tcPr>
            <w:tcW w:w="980" w:type="dxa"/>
            <w:tcBorders>
              <w:top w:val="single" w:sz="4" w:space="0" w:color="auto"/>
              <w:left w:val="nil"/>
              <w:bottom w:val="single" w:sz="4" w:space="0" w:color="auto"/>
              <w:right w:val="nil"/>
            </w:tcBorders>
            <w:shd w:val="clear" w:color="000000" w:fill="FFFFFF"/>
            <w:noWrap/>
            <w:vAlign w:val="bottom"/>
            <w:hideMark/>
          </w:tcPr>
          <w:p w14:paraId="6A40692E"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Enf. Farkı</w:t>
            </w:r>
          </w:p>
        </w:tc>
        <w:tc>
          <w:tcPr>
            <w:tcW w:w="1300" w:type="dxa"/>
            <w:tcBorders>
              <w:top w:val="single" w:sz="4" w:space="0" w:color="auto"/>
              <w:left w:val="nil"/>
              <w:bottom w:val="single" w:sz="4" w:space="0" w:color="auto"/>
              <w:right w:val="nil"/>
            </w:tcBorders>
            <w:shd w:val="clear" w:color="000000" w:fill="FFFFFF"/>
            <w:vAlign w:val="bottom"/>
            <w:hideMark/>
          </w:tcPr>
          <w:p w14:paraId="440FE6FF"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Enf. Farklarının Farkı</w:t>
            </w:r>
          </w:p>
        </w:tc>
        <w:tc>
          <w:tcPr>
            <w:tcW w:w="1460" w:type="dxa"/>
            <w:tcBorders>
              <w:top w:val="single" w:sz="4" w:space="0" w:color="auto"/>
              <w:left w:val="nil"/>
              <w:bottom w:val="single" w:sz="4" w:space="0" w:color="auto"/>
              <w:right w:val="nil"/>
            </w:tcBorders>
            <w:shd w:val="clear" w:color="000000" w:fill="FFFFFF"/>
            <w:vAlign w:val="bottom"/>
            <w:hideMark/>
          </w:tcPr>
          <w:p w14:paraId="311DA3F2"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Enf. Farklarının Farkının Farkı (1)</w:t>
            </w:r>
          </w:p>
        </w:tc>
        <w:tc>
          <w:tcPr>
            <w:tcW w:w="1420" w:type="dxa"/>
            <w:tcBorders>
              <w:top w:val="single" w:sz="4" w:space="0" w:color="auto"/>
              <w:left w:val="nil"/>
              <w:bottom w:val="single" w:sz="4" w:space="0" w:color="auto"/>
              <w:right w:val="nil"/>
            </w:tcBorders>
            <w:shd w:val="clear" w:color="000000" w:fill="FFFFFF"/>
            <w:vAlign w:val="bottom"/>
            <w:hideMark/>
          </w:tcPr>
          <w:p w14:paraId="5927568D"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Enf. Farklarının Farkının Farkı (2)</w:t>
            </w:r>
          </w:p>
        </w:tc>
      </w:tr>
      <w:tr w:rsidR="00602F69" w:rsidRPr="00602F69" w14:paraId="71EC7BAB" w14:textId="77777777" w:rsidTr="00602F69">
        <w:trPr>
          <w:trHeight w:val="240"/>
        </w:trPr>
        <w:tc>
          <w:tcPr>
            <w:tcW w:w="380" w:type="dxa"/>
            <w:tcBorders>
              <w:top w:val="single" w:sz="4" w:space="0" w:color="auto"/>
              <w:left w:val="nil"/>
              <w:bottom w:val="nil"/>
              <w:right w:val="single" w:sz="4" w:space="0" w:color="auto"/>
            </w:tcBorders>
            <w:shd w:val="clear" w:color="000000" w:fill="FFFFFF"/>
            <w:noWrap/>
            <w:vAlign w:val="bottom"/>
            <w:hideMark/>
          </w:tcPr>
          <w:p w14:paraId="36E182C9"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1</w:t>
            </w:r>
          </w:p>
        </w:tc>
        <w:tc>
          <w:tcPr>
            <w:tcW w:w="880" w:type="dxa"/>
            <w:tcBorders>
              <w:top w:val="nil"/>
              <w:left w:val="nil"/>
              <w:bottom w:val="nil"/>
              <w:right w:val="nil"/>
            </w:tcBorders>
            <w:shd w:val="clear" w:color="000000" w:fill="FFFFFF"/>
            <w:noWrap/>
            <w:vAlign w:val="bottom"/>
            <w:hideMark/>
          </w:tcPr>
          <w:p w14:paraId="0463303D"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diğer</w:t>
            </w:r>
          </w:p>
        </w:tc>
        <w:tc>
          <w:tcPr>
            <w:tcW w:w="840" w:type="dxa"/>
            <w:tcBorders>
              <w:top w:val="nil"/>
              <w:left w:val="nil"/>
              <w:bottom w:val="nil"/>
              <w:right w:val="nil"/>
            </w:tcBorders>
            <w:shd w:val="clear" w:color="000000" w:fill="FFFFFF"/>
            <w:noWrap/>
            <w:vAlign w:val="bottom"/>
            <w:hideMark/>
          </w:tcPr>
          <w:p w14:paraId="6C3E581E"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tanzim</w:t>
            </w:r>
          </w:p>
        </w:tc>
        <w:tc>
          <w:tcPr>
            <w:tcW w:w="580" w:type="dxa"/>
            <w:tcBorders>
              <w:top w:val="nil"/>
              <w:left w:val="nil"/>
              <w:bottom w:val="nil"/>
              <w:right w:val="nil"/>
            </w:tcBorders>
            <w:shd w:val="clear" w:color="000000" w:fill="FFFFFF"/>
            <w:noWrap/>
            <w:vAlign w:val="bottom"/>
            <w:hideMark/>
          </w:tcPr>
          <w:p w14:paraId="2EC76D70"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2016</w:t>
            </w:r>
          </w:p>
        </w:tc>
        <w:tc>
          <w:tcPr>
            <w:tcW w:w="580" w:type="dxa"/>
            <w:tcBorders>
              <w:top w:val="nil"/>
              <w:left w:val="nil"/>
              <w:bottom w:val="nil"/>
              <w:right w:val="nil"/>
            </w:tcBorders>
            <w:shd w:val="clear" w:color="000000" w:fill="FFFFFF"/>
            <w:noWrap/>
            <w:vAlign w:val="bottom"/>
            <w:hideMark/>
          </w:tcPr>
          <w:p w14:paraId="33BE22F3"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0,1</w:t>
            </w:r>
          </w:p>
        </w:tc>
        <w:tc>
          <w:tcPr>
            <w:tcW w:w="980" w:type="dxa"/>
            <w:tcBorders>
              <w:top w:val="nil"/>
              <w:left w:val="nil"/>
              <w:bottom w:val="nil"/>
              <w:right w:val="nil"/>
            </w:tcBorders>
            <w:shd w:val="clear" w:color="000000" w:fill="FFFFFF"/>
            <w:noWrap/>
            <w:vAlign w:val="bottom"/>
            <w:hideMark/>
          </w:tcPr>
          <w:p w14:paraId="204FA623"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300" w:type="dxa"/>
            <w:tcBorders>
              <w:top w:val="nil"/>
              <w:left w:val="nil"/>
              <w:bottom w:val="nil"/>
              <w:right w:val="nil"/>
            </w:tcBorders>
            <w:shd w:val="clear" w:color="000000" w:fill="FFFFFF"/>
            <w:noWrap/>
            <w:vAlign w:val="bottom"/>
            <w:hideMark/>
          </w:tcPr>
          <w:p w14:paraId="2AA548BC"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60" w:type="dxa"/>
            <w:tcBorders>
              <w:top w:val="nil"/>
              <w:left w:val="nil"/>
              <w:bottom w:val="nil"/>
              <w:right w:val="nil"/>
            </w:tcBorders>
            <w:shd w:val="clear" w:color="000000" w:fill="FFFFFF"/>
            <w:noWrap/>
            <w:vAlign w:val="bottom"/>
            <w:hideMark/>
          </w:tcPr>
          <w:p w14:paraId="21E41ABB"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nil"/>
              <w:right w:val="nil"/>
            </w:tcBorders>
            <w:shd w:val="clear" w:color="000000" w:fill="FFFFFF"/>
            <w:noWrap/>
            <w:vAlign w:val="bottom"/>
            <w:hideMark/>
          </w:tcPr>
          <w:p w14:paraId="46E247E2"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1BD8950F"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185155C5"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2</w:t>
            </w:r>
          </w:p>
        </w:tc>
        <w:tc>
          <w:tcPr>
            <w:tcW w:w="880" w:type="dxa"/>
            <w:tcBorders>
              <w:top w:val="nil"/>
              <w:left w:val="nil"/>
              <w:bottom w:val="nil"/>
              <w:right w:val="nil"/>
            </w:tcBorders>
            <w:shd w:val="clear" w:color="000000" w:fill="FFFFFF"/>
            <w:noWrap/>
            <w:vAlign w:val="bottom"/>
            <w:hideMark/>
          </w:tcPr>
          <w:p w14:paraId="035429C8"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diğer</w:t>
            </w:r>
          </w:p>
        </w:tc>
        <w:tc>
          <w:tcPr>
            <w:tcW w:w="840" w:type="dxa"/>
            <w:tcBorders>
              <w:top w:val="nil"/>
              <w:left w:val="nil"/>
              <w:bottom w:val="nil"/>
              <w:right w:val="nil"/>
            </w:tcBorders>
            <w:shd w:val="clear" w:color="000000" w:fill="FFFFFF"/>
            <w:noWrap/>
            <w:vAlign w:val="bottom"/>
            <w:hideMark/>
          </w:tcPr>
          <w:p w14:paraId="4ED38E82"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tanzim</w:t>
            </w:r>
          </w:p>
        </w:tc>
        <w:tc>
          <w:tcPr>
            <w:tcW w:w="580" w:type="dxa"/>
            <w:tcBorders>
              <w:top w:val="nil"/>
              <w:left w:val="nil"/>
              <w:bottom w:val="nil"/>
              <w:right w:val="nil"/>
            </w:tcBorders>
            <w:shd w:val="clear" w:color="000000" w:fill="FFFFFF"/>
            <w:noWrap/>
            <w:vAlign w:val="bottom"/>
            <w:hideMark/>
          </w:tcPr>
          <w:p w14:paraId="250EFB8E"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2017</w:t>
            </w:r>
          </w:p>
        </w:tc>
        <w:tc>
          <w:tcPr>
            <w:tcW w:w="580" w:type="dxa"/>
            <w:tcBorders>
              <w:top w:val="nil"/>
              <w:left w:val="nil"/>
              <w:bottom w:val="nil"/>
              <w:right w:val="nil"/>
            </w:tcBorders>
            <w:shd w:val="clear" w:color="000000" w:fill="FFFFFF"/>
            <w:noWrap/>
            <w:vAlign w:val="bottom"/>
            <w:hideMark/>
          </w:tcPr>
          <w:p w14:paraId="4AD53766"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-4,0</w:t>
            </w:r>
          </w:p>
        </w:tc>
        <w:tc>
          <w:tcPr>
            <w:tcW w:w="980" w:type="dxa"/>
            <w:tcBorders>
              <w:top w:val="nil"/>
              <w:left w:val="nil"/>
              <w:bottom w:val="nil"/>
              <w:right w:val="nil"/>
            </w:tcBorders>
            <w:shd w:val="clear" w:color="000000" w:fill="FFFFFF"/>
            <w:noWrap/>
            <w:vAlign w:val="bottom"/>
            <w:hideMark/>
          </w:tcPr>
          <w:p w14:paraId="70BB2276"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-4,0</w:t>
            </w:r>
          </w:p>
        </w:tc>
        <w:tc>
          <w:tcPr>
            <w:tcW w:w="1300" w:type="dxa"/>
            <w:tcBorders>
              <w:top w:val="nil"/>
              <w:left w:val="nil"/>
              <w:bottom w:val="nil"/>
              <w:right w:val="nil"/>
            </w:tcBorders>
            <w:shd w:val="clear" w:color="000000" w:fill="FFFFFF"/>
            <w:noWrap/>
            <w:vAlign w:val="bottom"/>
            <w:hideMark/>
          </w:tcPr>
          <w:p w14:paraId="562603F9"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60" w:type="dxa"/>
            <w:tcBorders>
              <w:top w:val="nil"/>
              <w:left w:val="nil"/>
              <w:bottom w:val="nil"/>
              <w:right w:val="nil"/>
            </w:tcBorders>
            <w:shd w:val="clear" w:color="000000" w:fill="FFFFFF"/>
            <w:noWrap/>
            <w:vAlign w:val="bottom"/>
            <w:hideMark/>
          </w:tcPr>
          <w:p w14:paraId="0B735215"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nil"/>
              <w:right w:val="nil"/>
            </w:tcBorders>
            <w:shd w:val="clear" w:color="000000" w:fill="FFFFFF"/>
            <w:noWrap/>
            <w:vAlign w:val="bottom"/>
            <w:hideMark/>
          </w:tcPr>
          <w:p w14:paraId="6220B54F"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6132A759"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5EDB0F81"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3</w:t>
            </w:r>
          </w:p>
        </w:tc>
        <w:tc>
          <w:tcPr>
            <w:tcW w:w="880" w:type="dxa"/>
            <w:tcBorders>
              <w:top w:val="nil"/>
              <w:left w:val="nil"/>
              <w:bottom w:val="nil"/>
              <w:right w:val="nil"/>
            </w:tcBorders>
            <w:shd w:val="clear" w:color="000000" w:fill="FFFFFF"/>
            <w:noWrap/>
            <w:vAlign w:val="bottom"/>
            <w:hideMark/>
          </w:tcPr>
          <w:p w14:paraId="14EEA467"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diğer</w:t>
            </w:r>
          </w:p>
        </w:tc>
        <w:tc>
          <w:tcPr>
            <w:tcW w:w="840" w:type="dxa"/>
            <w:tcBorders>
              <w:top w:val="nil"/>
              <w:left w:val="nil"/>
              <w:bottom w:val="nil"/>
              <w:right w:val="nil"/>
            </w:tcBorders>
            <w:shd w:val="clear" w:color="000000" w:fill="FFFFFF"/>
            <w:noWrap/>
            <w:vAlign w:val="bottom"/>
            <w:hideMark/>
          </w:tcPr>
          <w:p w14:paraId="2225C369"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tanzim</w:t>
            </w:r>
          </w:p>
        </w:tc>
        <w:tc>
          <w:tcPr>
            <w:tcW w:w="580" w:type="dxa"/>
            <w:tcBorders>
              <w:top w:val="nil"/>
              <w:left w:val="nil"/>
              <w:bottom w:val="nil"/>
              <w:right w:val="nil"/>
            </w:tcBorders>
            <w:shd w:val="clear" w:color="000000" w:fill="FFFFFF"/>
            <w:noWrap/>
            <w:vAlign w:val="bottom"/>
            <w:hideMark/>
          </w:tcPr>
          <w:p w14:paraId="1DC64B45"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2018</w:t>
            </w:r>
          </w:p>
        </w:tc>
        <w:tc>
          <w:tcPr>
            <w:tcW w:w="580" w:type="dxa"/>
            <w:tcBorders>
              <w:top w:val="nil"/>
              <w:left w:val="nil"/>
              <w:bottom w:val="nil"/>
              <w:right w:val="nil"/>
            </w:tcBorders>
            <w:shd w:val="clear" w:color="000000" w:fill="FFFFFF"/>
            <w:noWrap/>
            <w:vAlign w:val="bottom"/>
            <w:hideMark/>
          </w:tcPr>
          <w:p w14:paraId="5B424B6A"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6,6</w:t>
            </w:r>
          </w:p>
        </w:tc>
        <w:tc>
          <w:tcPr>
            <w:tcW w:w="980" w:type="dxa"/>
            <w:tcBorders>
              <w:top w:val="nil"/>
              <w:left w:val="nil"/>
              <w:bottom w:val="nil"/>
              <w:right w:val="nil"/>
            </w:tcBorders>
            <w:shd w:val="clear" w:color="000000" w:fill="FFFFFF"/>
            <w:noWrap/>
            <w:vAlign w:val="bottom"/>
            <w:hideMark/>
          </w:tcPr>
          <w:p w14:paraId="195407F0"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10,6</w:t>
            </w:r>
          </w:p>
        </w:tc>
        <w:tc>
          <w:tcPr>
            <w:tcW w:w="1300" w:type="dxa"/>
            <w:tcBorders>
              <w:top w:val="nil"/>
              <w:left w:val="nil"/>
              <w:bottom w:val="nil"/>
              <w:right w:val="nil"/>
            </w:tcBorders>
            <w:shd w:val="clear" w:color="000000" w:fill="FFFFFF"/>
            <w:noWrap/>
            <w:vAlign w:val="bottom"/>
            <w:hideMark/>
          </w:tcPr>
          <w:p w14:paraId="47C14147"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60" w:type="dxa"/>
            <w:tcBorders>
              <w:top w:val="nil"/>
              <w:left w:val="nil"/>
              <w:bottom w:val="nil"/>
              <w:right w:val="nil"/>
            </w:tcBorders>
            <w:shd w:val="clear" w:color="000000" w:fill="FFFFFF"/>
            <w:noWrap/>
            <w:vAlign w:val="bottom"/>
            <w:hideMark/>
          </w:tcPr>
          <w:p w14:paraId="5BF21862"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nil"/>
              <w:right w:val="nil"/>
            </w:tcBorders>
            <w:shd w:val="clear" w:color="000000" w:fill="FFFFFF"/>
            <w:noWrap/>
            <w:vAlign w:val="bottom"/>
            <w:hideMark/>
          </w:tcPr>
          <w:p w14:paraId="719E4E67"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5FCC1C1C"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6F4AEAC1"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4</w:t>
            </w:r>
          </w:p>
        </w:tc>
        <w:tc>
          <w:tcPr>
            <w:tcW w:w="880" w:type="dxa"/>
            <w:tcBorders>
              <w:top w:val="nil"/>
              <w:left w:val="nil"/>
              <w:bottom w:val="nil"/>
              <w:right w:val="nil"/>
            </w:tcBorders>
            <w:shd w:val="clear" w:color="000000" w:fill="FFFFFF"/>
            <w:noWrap/>
            <w:vAlign w:val="bottom"/>
            <w:hideMark/>
          </w:tcPr>
          <w:p w14:paraId="281CDDC2"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diğer</w:t>
            </w:r>
          </w:p>
        </w:tc>
        <w:tc>
          <w:tcPr>
            <w:tcW w:w="840" w:type="dxa"/>
            <w:tcBorders>
              <w:top w:val="nil"/>
              <w:left w:val="nil"/>
              <w:bottom w:val="nil"/>
              <w:right w:val="nil"/>
            </w:tcBorders>
            <w:shd w:val="clear" w:color="000000" w:fill="FFFFFF"/>
            <w:noWrap/>
            <w:vAlign w:val="bottom"/>
            <w:hideMark/>
          </w:tcPr>
          <w:p w14:paraId="767427D3"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tanzim</w:t>
            </w:r>
          </w:p>
        </w:tc>
        <w:tc>
          <w:tcPr>
            <w:tcW w:w="580" w:type="dxa"/>
            <w:tcBorders>
              <w:top w:val="nil"/>
              <w:left w:val="nil"/>
              <w:bottom w:val="nil"/>
              <w:right w:val="nil"/>
            </w:tcBorders>
            <w:shd w:val="clear" w:color="000000" w:fill="FFFFFF"/>
            <w:noWrap/>
            <w:vAlign w:val="bottom"/>
            <w:hideMark/>
          </w:tcPr>
          <w:p w14:paraId="6128CD60"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2019</w:t>
            </w:r>
          </w:p>
        </w:tc>
        <w:tc>
          <w:tcPr>
            <w:tcW w:w="580" w:type="dxa"/>
            <w:tcBorders>
              <w:top w:val="nil"/>
              <w:left w:val="nil"/>
              <w:bottom w:val="nil"/>
              <w:right w:val="nil"/>
            </w:tcBorders>
            <w:shd w:val="clear" w:color="000000" w:fill="FFFFFF"/>
            <w:noWrap/>
            <w:vAlign w:val="bottom"/>
            <w:hideMark/>
          </w:tcPr>
          <w:p w14:paraId="755BC24D"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0,9</w:t>
            </w:r>
          </w:p>
        </w:tc>
        <w:tc>
          <w:tcPr>
            <w:tcW w:w="980" w:type="dxa"/>
            <w:tcBorders>
              <w:top w:val="nil"/>
              <w:left w:val="nil"/>
              <w:bottom w:val="nil"/>
              <w:right w:val="nil"/>
            </w:tcBorders>
            <w:shd w:val="clear" w:color="000000" w:fill="FFFFFF"/>
            <w:noWrap/>
            <w:vAlign w:val="bottom"/>
            <w:hideMark/>
          </w:tcPr>
          <w:p w14:paraId="5C39E96D"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highlight w:val="yellow"/>
                <w:lang w:eastAsia="tr-TR"/>
              </w:rPr>
              <w:t>-5,6</w:t>
            </w:r>
          </w:p>
        </w:tc>
        <w:tc>
          <w:tcPr>
            <w:tcW w:w="1300" w:type="dxa"/>
            <w:tcBorders>
              <w:top w:val="nil"/>
              <w:left w:val="nil"/>
              <w:bottom w:val="nil"/>
              <w:right w:val="nil"/>
            </w:tcBorders>
            <w:shd w:val="clear" w:color="000000" w:fill="FFFFFF"/>
            <w:noWrap/>
            <w:vAlign w:val="bottom"/>
            <w:hideMark/>
          </w:tcPr>
          <w:p w14:paraId="34BCD257"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60" w:type="dxa"/>
            <w:tcBorders>
              <w:top w:val="nil"/>
              <w:left w:val="nil"/>
              <w:bottom w:val="nil"/>
              <w:right w:val="nil"/>
            </w:tcBorders>
            <w:shd w:val="clear" w:color="000000" w:fill="FFFFFF"/>
            <w:noWrap/>
            <w:vAlign w:val="bottom"/>
            <w:hideMark/>
          </w:tcPr>
          <w:p w14:paraId="4ADE21FB"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nil"/>
              <w:right w:val="nil"/>
            </w:tcBorders>
            <w:shd w:val="clear" w:color="000000" w:fill="FFFFFF"/>
            <w:noWrap/>
            <w:vAlign w:val="bottom"/>
            <w:hideMark/>
          </w:tcPr>
          <w:p w14:paraId="46CA73DF"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708A8795"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345F3FCE"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5</w:t>
            </w:r>
          </w:p>
        </w:tc>
        <w:tc>
          <w:tcPr>
            <w:tcW w:w="880" w:type="dxa"/>
            <w:tcBorders>
              <w:top w:val="nil"/>
              <w:left w:val="nil"/>
              <w:bottom w:val="nil"/>
              <w:right w:val="nil"/>
            </w:tcBorders>
            <w:shd w:val="clear" w:color="000000" w:fill="FFFFFF"/>
            <w:noWrap/>
            <w:vAlign w:val="bottom"/>
            <w:hideMark/>
          </w:tcPr>
          <w:p w14:paraId="451F8F50"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diğer</w:t>
            </w:r>
          </w:p>
        </w:tc>
        <w:tc>
          <w:tcPr>
            <w:tcW w:w="840" w:type="dxa"/>
            <w:tcBorders>
              <w:top w:val="nil"/>
              <w:left w:val="nil"/>
              <w:bottom w:val="nil"/>
              <w:right w:val="nil"/>
            </w:tcBorders>
            <w:shd w:val="clear" w:color="000000" w:fill="FFFFFF"/>
            <w:noWrap/>
            <w:vAlign w:val="bottom"/>
            <w:hideMark/>
          </w:tcPr>
          <w:p w14:paraId="66C9C2DB"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yakın</w:t>
            </w:r>
          </w:p>
        </w:tc>
        <w:tc>
          <w:tcPr>
            <w:tcW w:w="580" w:type="dxa"/>
            <w:tcBorders>
              <w:top w:val="nil"/>
              <w:left w:val="nil"/>
              <w:bottom w:val="nil"/>
              <w:right w:val="nil"/>
            </w:tcBorders>
            <w:shd w:val="clear" w:color="000000" w:fill="FFFFFF"/>
            <w:noWrap/>
            <w:vAlign w:val="bottom"/>
            <w:hideMark/>
          </w:tcPr>
          <w:p w14:paraId="654540BF"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2016</w:t>
            </w:r>
          </w:p>
        </w:tc>
        <w:tc>
          <w:tcPr>
            <w:tcW w:w="580" w:type="dxa"/>
            <w:tcBorders>
              <w:top w:val="nil"/>
              <w:left w:val="nil"/>
              <w:bottom w:val="nil"/>
              <w:right w:val="nil"/>
            </w:tcBorders>
            <w:shd w:val="clear" w:color="000000" w:fill="FFFFFF"/>
            <w:noWrap/>
            <w:vAlign w:val="bottom"/>
            <w:hideMark/>
          </w:tcPr>
          <w:p w14:paraId="2CD1BC86"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-2,1</w:t>
            </w:r>
          </w:p>
        </w:tc>
        <w:tc>
          <w:tcPr>
            <w:tcW w:w="980" w:type="dxa"/>
            <w:tcBorders>
              <w:top w:val="nil"/>
              <w:left w:val="nil"/>
              <w:bottom w:val="nil"/>
              <w:right w:val="nil"/>
            </w:tcBorders>
            <w:shd w:val="clear" w:color="000000" w:fill="FFFFFF"/>
            <w:noWrap/>
            <w:vAlign w:val="bottom"/>
            <w:hideMark/>
          </w:tcPr>
          <w:p w14:paraId="053A320E"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300" w:type="dxa"/>
            <w:tcBorders>
              <w:top w:val="nil"/>
              <w:left w:val="nil"/>
              <w:bottom w:val="nil"/>
              <w:right w:val="nil"/>
            </w:tcBorders>
            <w:shd w:val="clear" w:color="000000" w:fill="FFFFFF"/>
            <w:noWrap/>
            <w:vAlign w:val="bottom"/>
            <w:hideMark/>
          </w:tcPr>
          <w:p w14:paraId="249F009B"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60" w:type="dxa"/>
            <w:tcBorders>
              <w:top w:val="nil"/>
              <w:left w:val="nil"/>
              <w:bottom w:val="nil"/>
              <w:right w:val="nil"/>
            </w:tcBorders>
            <w:shd w:val="clear" w:color="000000" w:fill="FFFFFF"/>
            <w:noWrap/>
            <w:vAlign w:val="bottom"/>
            <w:hideMark/>
          </w:tcPr>
          <w:p w14:paraId="02E6F2A9"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nil"/>
              <w:right w:val="nil"/>
            </w:tcBorders>
            <w:shd w:val="clear" w:color="000000" w:fill="FFFFFF"/>
            <w:noWrap/>
            <w:vAlign w:val="bottom"/>
            <w:hideMark/>
          </w:tcPr>
          <w:p w14:paraId="70F7E148"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57D15F84"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0D805CC9"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6</w:t>
            </w:r>
          </w:p>
        </w:tc>
        <w:tc>
          <w:tcPr>
            <w:tcW w:w="880" w:type="dxa"/>
            <w:tcBorders>
              <w:top w:val="nil"/>
              <w:left w:val="nil"/>
              <w:bottom w:val="nil"/>
              <w:right w:val="nil"/>
            </w:tcBorders>
            <w:shd w:val="clear" w:color="000000" w:fill="FFFFFF"/>
            <w:noWrap/>
            <w:vAlign w:val="bottom"/>
            <w:hideMark/>
          </w:tcPr>
          <w:p w14:paraId="10745607"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diğer</w:t>
            </w:r>
          </w:p>
        </w:tc>
        <w:tc>
          <w:tcPr>
            <w:tcW w:w="840" w:type="dxa"/>
            <w:tcBorders>
              <w:top w:val="nil"/>
              <w:left w:val="nil"/>
              <w:bottom w:val="nil"/>
              <w:right w:val="nil"/>
            </w:tcBorders>
            <w:shd w:val="clear" w:color="000000" w:fill="FFFFFF"/>
            <w:noWrap/>
            <w:vAlign w:val="bottom"/>
            <w:hideMark/>
          </w:tcPr>
          <w:p w14:paraId="5A14F733"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yakın</w:t>
            </w:r>
          </w:p>
        </w:tc>
        <w:tc>
          <w:tcPr>
            <w:tcW w:w="580" w:type="dxa"/>
            <w:tcBorders>
              <w:top w:val="nil"/>
              <w:left w:val="nil"/>
              <w:bottom w:val="nil"/>
              <w:right w:val="nil"/>
            </w:tcBorders>
            <w:shd w:val="clear" w:color="000000" w:fill="FFFFFF"/>
            <w:noWrap/>
            <w:vAlign w:val="bottom"/>
            <w:hideMark/>
          </w:tcPr>
          <w:p w14:paraId="715C4341"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2017</w:t>
            </w:r>
          </w:p>
        </w:tc>
        <w:tc>
          <w:tcPr>
            <w:tcW w:w="580" w:type="dxa"/>
            <w:tcBorders>
              <w:top w:val="nil"/>
              <w:left w:val="nil"/>
              <w:bottom w:val="nil"/>
              <w:right w:val="nil"/>
            </w:tcBorders>
            <w:shd w:val="clear" w:color="000000" w:fill="FFFFFF"/>
            <w:noWrap/>
            <w:vAlign w:val="bottom"/>
            <w:hideMark/>
          </w:tcPr>
          <w:p w14:paraId="7B8D0BBF"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-0,1</w:t>
            </w:r>
          </w:p>
        </w:tc>
        <w:tc>
          <w:tcPr>
            <w:tcW w:w="980" w:type="dxa"/>
            <w:tcBorders>
              <w:top w:val="nil"/>
              <w:left w:val="nil"/>
              <w:bottom w:val="nil"/>
              <w:right w:val="nil"/>
            </w:tcBorders>
            <w:shd w:val="clear" w:color="000000" w:fill="FFFFFF"/>
            <w:noWrap/>
            <w:vAlign w:val="bottom"/>
            <w:hideMark/>
          </w:tcPr>
          <w:p w14:paraId="6D089765"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w:t>
            </w:r>
          </w:p>
        </w:tc>
        <w:tc>
          <w:tcPr>
            <w:tcW w:w="1300" w:type="dxa"/>
            <w:tcBorders>
              <w:top w:val="nil"/>
              <w:left w:val="nil"/>
              <w:bottom w:val="nil"/>
              <w:right w:val="nil"/>
            </w:tcBorders>
            <w:shd w:val="clear" w:color="000000" w:fill="FFFFFF"/>
            <w:noWrap/>
            <w:vAlign w:val="bottom"/>
            <w:hideMark/>
          </w:tcPr>
          <w:p w14:paraId="7DA4E504"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60" w:type="dxa"/>
            <w:tcBorders>
              <w:top w:val="nil"/>
              <w:left w:val="nil"/>
              <w:bottom w:val="nil"/>
              <w:right w:val="nil"/>
            </w:tcBorders>
            <w:shd w:val="clear" w:color="000000" w:fill="FFFFFF"/>
            <w:noWrap/>
            <w:vAlign w:val="bottom"/>
            <w:hideMark/>
          </w:tcPr>
          <w:p w14:paraId="39F2B6E0"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nil"/>
              <w:right w:val="nil"/>
            </w:tcBorders>
            <w:shd w:val="clear" w:color="000000" w:fill="FFFFFF"/>
            <w:noWrap/>
            <w:vAlign w:val="bottom"/>
            <w:hideMark/>
          </w:tcPr>
          <w:p w14:paraId="2F5E82EC"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4D4A9EA6"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164A253F"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7</w:t>
            </w:r>
          </w:p>
        </w:tc>
        <w:tc>
          <w:tcPr>
            <w:tcW w:w="880" w:type="dxa"/>
            <w:tcBorders>
              <w:top w:val="nil"/>
              <w:left w:val="nil"/>
              <w:bottom w:val="nil"/>
              <w:right w:val="nil"/>
            </w:tcBorders>
            <w:shd w:val="clear" w:color="000000" w:fill="FFFFFF"/>
            <w:noWrap/>
            <w:vAlign w:val="bottom"/>
            <w:hideMark/>
          </w:tcPr>
          <w:p w14:paraId="358390A5"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diğer</w:t>
            </w:r>
          </w:p>
        </w:tc>
        <w:tc>
          <w:tcPr>
            <w:tcW w:w="840" w:type="dxa"/>
            <w:tcBorders>
              <w:top w:val="nil"/>
              <w:left w:val="nil"/>
              <w:bottom w:val="nil"/>
              <w:right w:val="nil"/>
            </w:tcBorders>
            <w:shd w:val="clear" w:color="000000" w:fill="FFFFFF"/>
            <w:noWrap/>
            <w:vAlign w:val="bottom"/>
            <w:hideMark/>
          </w:tcPr>
          <w:p w14:paraId="1350CA9C"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yakın</w:t>
            </w:r>
          </w:p>
        </w:tc>
        <w:tc>
          <w:tcPr>
            <w:tcW w:w="580" w:type="dxa"/>
            <w:tcBorders>
              <w:top w:val="nil"/>
              <w:left w:val="nil"/>
              <w:bottom w:val="nil"/>
              <w:right w:val="nil"/>
            </w:tcBorders>
            <w:shd w:val="clear" w:color="000000" w:fill="FFFFFF"/>
            <w:noWrap/>
            <w:vAlign w:val="bottom"/>
            <w:hideMark/>
          </w:tcPr>
          <w:p w14:paraId="1D796CC9"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2018</w:t>
            </w:r>
          </w:p>
        </w:tc>
        <w:tc>
          <w:tcPr>
            <w:tcW w:w="580" w:type="dxa"/>
            <w:tcBorders>
              <w:top w:val="nil"/>
              <w:left w:val="nil"/>
              <w:bottom w:val="nil"/>
              <w:right w:val="nil"/>
            </w:tcBorders>
            <w:shd w:val="clear" w:color="000000" w:fill="FFFFFF"/>
            <w:noWrap/>
            <w:vAlign w:val="bottom"/>
            <w:hideMark/>
          </w:tcPr>
          <w:p w14:paraId="564F11A4"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6,2</w:t>
            </w:r>
          </w:p>
        </w:tc>
        <w:tc>
          <w:tcPr>
            <w:tcW w:w="980" w:type="dxa"/>
            <w:tcBorders>
              <w:top w:val="nil"/>
              <w:left w:val="nil"/>
              <w:bottom w:val="nil"/>
              <w:right w:val="nil"/>
            </w:tcBorders>
            <w:shd w:val="clear" w:color="000000" w:fill="FFFFFF"/>
            <w:noWrap/>
            <w:vAlign w:val="bottom"/>
            <w:hideMark/>
          </w:tcPr>
          <w:p w14:paraId="3264AA61"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6,4</w:t>
            </w:r>
          </w:p>
        </w:tc>
        <w:tc>
          <w:tcPr>
            <w:tcW w:w="1300" w:type="dxa"/>
            <w:tcBorders>
              <w:top w:val="nil"/>
              <w:left w:val="nil"/>
              <w:bottom w:val="nil"/>
              <w:right w:val="nil"/>
            </w:tcBorders>
            <w:shd w:val="clear" w:color="000000" w:fill="FFFFFF"/>
            <w:noWrap/>
            <w:vAlign w:val="bottom"/>
            <w:hideMark/>
          </w:tcPr>
          <w:p w14:paraId="5AE910FF"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60" w:type="dxa"/>
            <w:tcBorders>
              <w:top w:val="nil"/>
              <w:left w:val="nil"/>
              <w:bottom w:val="nil"/>
              <w:right w:val="nil"/>
            </w:tcBorders>
            <w:shd w:val="clear" w:color="000000" w:fill="FFFFFF"/>
            <w:noWrap/>
            <w:vAlign w:val="bottom"/>
            <w:hideMark/>
          </w:tcPr>
          <w:p w14:paraId="3A3DE499"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nil"/>
              <w:right w:val="nil"/>
            </w:tcBorders>
            <w:shd w:val="clear" w:color="000000" w:fill="FFFFFF"/>
            <w:noWrap/>
            <w:vAlign w:val="bottom"/>
            <w:hideMark/>
          </w:tcPr>
          <w:p w14:paraId="737792E0"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5BA4AF29"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42B52923"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8</w:t>
            </w:r>
          </w:p>
        </w:tc>
        <w:tc>
          <w:tcPr>
            <w:tcW w:w="880" w:type="dxa"/>
            <w:tcBorders>
              <w:top w:val="nil"/>
              <w:left w:val="nil"/>
              <w:bottom w:val="nil"/>
              <w:right w:val="nil"/>
            </w:tcBorders>
            <w:shd w:val="clear" w:color="000000" w:fill="FFFFFF"/>
            <w:noWrap/>
            <w:vAlign w:val="bottom"/>
            <w:hideMark/>
          </w:tcPr>
          <w:p w14:paraId="3AF7ED98"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diğer</w:t>
            </w:r>
          </w:p>
        </w:tc>
        <w:tc>
          <w:tcPr>
            <w:tcW w:w="840" w:type="dxa"/>
            <w:tcBorders>
              <w:top w:val="nil"/>
              <w:left w:val="nil"/>
              <w:bottom w:val="nil"/>
              <w:right w:val="nil"/>
            </w:tcBorders>
            <w:shd w:val="clear" w:color="000000" w:fill="FFFFFF"/>
            <w:noWrap/>
            <w:vAlign w:val="bottom"/>
            <w:hideMark/>
          </w:tcPr>
          <w:p w14:paraId="5462BDCE"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yakın</w:t>
            </w:r>
          </w:p>
        </w:tc>
        <w:tc>
          <w:tcPr>
            <w:tcW w:w="580" w:type="dxa"/>
            <w:tcBorders>
              <w:top w:val="nil"/>
              <w:left w:val="nil"/>
              <w:bottom w:val="nil"/>
              <w:right w:val="nil"/>
            </w:tcBorders>
            <w:shd w:val="clear" w:color="000000" w:fill="FFFFFF"/>
            <w:noWrap/>
            <w:vAlign w:val="bottom"/>
            <w:hideMark/>
          </w:tcPr>
          <w:p w14:paraId="6B185CA7"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2019</w:t>
            </w:r>
          </w:p>
        </w:tc>
        <w:tc>
          <w:tcPr>
            <w:tcW w:w="580" w:type="dxa"/>
            <w:tcBorders>
              <w:top w:val="nil"/>
              <w:left w:val="nil"/>
              <w:bottom w:val="nil"/>
              <w:right w:val="nil"/>
            </w:tcBorders>
            <w:shd w:val="clear" w:color="000000" w:fill="FFFFFF"/>
            <w:noWrap/>
            <w:vAlign w:val="bottom"/>
            <w:hideMark/>
          </w:tcPr>
          <w:p w14:paraId="20A76430"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11,9</w:t>
            </w:r>
          </w:p>
        </w:tc>
        <w:tc>
          <w:tcPr>
            <w:tcW w:w="980" w:type="dxa"/>
            <w:tcBorders>
              <w:top w:val="nil"/>
              <w:left w:val="nil"/>
              <w:bottom w:val="nil"/>
              <w:right w:val="nil"/>
            </w:tcBorders>
            <w:shd w:val="clear" w:color="000000" w:fill="FFFFFF"/>
            <w:noWrap/>
            <w:vAlign w:val="bottom"/>
            <w:hideMark/>
          </w:tcPr>
          <w:p w14:paraId="50BB401B"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5,7</w:t>
            </w:r>
          </w:p>
        </w:tc>
        <w:tc>
          <w:tcPr>
            <w:tcW w:w="1300" w:type="dxa"/>
            <w:tcBorders>
              <w:top w:val="nil"/>
              <w:left w:val="nil"/>
              <w:bottom w:val="nil"/>
              <w:right w:val="nil"/>
            </w:tcBorders>
            <w:shd w:val="clear" w:color="000000" w:fill="FFFFFF"/>
            <w:noWrap/>
            <w:vAlign w:val="bottom"/>
            <w:hideMark/>
          </w:tcPr>
          <w:p w14:paraId="3A972E44"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60" w:type="dxa"/>
            <w:tcBorders>
              <w:top w:val="nil"/>
              <w:left w:val="nil"/>
              <w:bottom w:val="nil"/>
              <w:right w:val="nil"/>
            </w:tcBorders>
            <w:shd w:val="clear" w:color="000000" w:fill="FFFFFF"/>
            <w:noWrap/>
            <w:vAlign w:val="bottom"/>
            <w:hideMark/>
          </w:tcPr>
          <w:p w14:paraId="54D6B41A"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nil"/>
              <w:right w:val="nil"/>
            </w:tcBorders>
            <w:shd w:val="clear" w:color="000000" w:fill="FFFFFF"/>
            <w:noWrap/>
            <w:vAlign w:val="bottom"/>
            <w:hideMark/>
          </w:tcPr>
          <w:p w14:paraId="4BC83BA3"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4EB48CB7"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57E094A8"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9</w:t>
            </w:r>
          </w:p>
        </w:tc>
        <w:tc>
          <w:tcPr>
            <w:tcW w:w="880" w:type="dxa"/>
            <w:tcBorders>
              <w:top w:val="nil"/>
              <w:left w:val="nil"/>
              <w:bottom w:val="nil"/>
              <w:right w:val="nil"/>
            </w:tcBorders>
            <w:shd w:val="clear" w:color="000000" w:fill="FFFFFF"/>
            <w:noWrap/>
            <w:vAlign w:val="bottom"/>
            <w:hideMark/>
          </w:tcPr>
          <w:p w14:paraId="5DB3C5EC"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diğer</w:t>
            </w:r>
          </w:p>
        </w:tc>
        <w:tc>
          <w:tcPr>
            <w:tcW w:w="840" w:type="dxa"/>
            <w:tcBorders>
              <w:top w:val="nil"/>
              <w:left w:val="nil"/>
              <w:bottom w:val="nil"/>
              <w:right w:val="nil"/>
            </w:tcBorders>
            <w:shd w:val="clear" w:color="000000" w:fill="FFFFFF"/>
            <w:noWrap/>
            <w:vAlign w:val="bottom"/>
            <w:hideMark/>
          </w:tcPr>
          <w:p w14:paraId="54BCE738"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uzak</w:t>
            </w:r>
          </w:p>
        </w:tc>
        <w:tc>
          <w:tcPr>
            <w:tcW w:w="580" w:type="dxa"/>
            <w:tcBorders>
              <w:top w:val="nil"/>
              <w:left w:val="nil"/>
              <w:bottom w:val="nil"/>
              <w:right w:val="nil"/>
            </w:tcBorders>
            <w:shd w:val="clear" w:color="000000" w:fill="FFFFFF"/>
            <w:noWrap/>
            <w:vAlign w:val="bottom"/>
            <w:hideMark/>
          </w:tcPr>
          <w:p w14:paraId="6DFF2C2D"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2016</w:t>
            </w:r>
          </w:p>
        </w:tc>
        <w:tc>
          <w:tcPr>
            <w:tcW w:w="580" w:type="dxa"/>
            <w:tcBorders>
              <w:top w:val="nil"/>
              <w:left w:val="nil"/>
              <w:bottom w:val="nil"/>
              <w:right w:val="nil"/>
            </w:tcBorders>
            <w:shd w:val="clear" w:color="000000" w:fill="FFFFFF"/>
            <w:noWrap/>
            <w:vAlign w:val="bottom"/>
            <w:hideMark/>
          </w:tcPr>
          <w:p w14:paraId="714EBC92"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2,7</w:t>
            </w:r>
          </w:p>
        </w:tc>
        <w:tc>
          <w:tcPr>
            <w:tcW w:w="980" w:type="dxa"/>
            <w:tcBorders>
              <w:top w:val="nil"/>
              <w:left w:val="nil"/>
              <w:bottom w:val="nil"/>
              <w:right w:val="nil"/>
            </w:tcBorders>
            <w:shd w:val="clear" w:color="000000" w:fill="FFFFFF"/>
            <w:noWrap/>
            <w:vAlign w:val="bottom"/>
            <w:hideMark/>
          </w:tcPr>
          <w:p w14:paraId="74A5218D"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300" w:type="dxa"/>
            <w:tcBorders>
              <w:top w:val="nil"/>
              <w:left w:val="nil"/>
              <w:bottom w:val="nil"/>
              <w:right w:val="nil"/>
            </w:tcBorders>
            <w:shd w:val="clear" w:color="000000" w:fill="FFFFFF"/>
            <w:noWrap/>
            <w:vAlign w:val="bottom"/>
            <w:hideMark/>
          </w:tcPr>
          <w:p w14:paraId="7E050971"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60" w:type="dxa"/>
            <w:tcBorders>
              <w:top w:val="nil"/>
              <w:left w:val="nil"/>
              <w:bottom w:val="nil"/>
              <w:right w:val="nil"/>
            </w:tcBorders>
            <w:shd w:val="clear" w:color="000000" w:fill="FFFFFF"/>
            <w:noWrap/>
            <w:vAlign w:val="bottom"/>
            <w:hideMark/>
          </w:tcPr>
          <w:p w14:paraId="2248318F"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nil"/>
              <w:right w:val="nil"/>
            </w:tcBorders>
            <w:shd w:val="clear" w:color="000000" w:fill="FFFFFF"/>
            <w:noWrap/>
            <w:vAlign w:val="bottom"/>
            <w:hideMark/>
          </w:tcPr>
          <w:p w14:paraId="46A1F804"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02BB3BC8"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7F872B75"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10</w:t>
            </w:r>
          </w:p>
        </w:tc>
        <w:tc>
          <w:tcPr>
            <w:tcW w:w="880" w:type="dxa"/>
            <w:tcBorders>
              <w:top w:val="nil"/>
              <w:left w:val="nil"/>
              <w:bottom w:val="nil"/>
              <w:right w:val="nil"/>
            </w:tcBorders>
            <w:shd w:val="clear" w:color="000000" w:fill="FFFFFF"/>
            <w:noWrap/>
            <w:vAlign w:val="bottom"/>
            <w:hideMark/>
          </w:tcPr>
          <w:p w14:paraId="7F9B25AE"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diğer</w:t>
            </w:r>
          </w:p>
        </w:tc>
        <w:tc>
          <w:tcPr>
            <w:tcW w:w="840" w:type="dxa"/>
            <w:tcBorders>
              <w:top w:val="nil"/>
              <w:left w:val="nil"/>
              <w:bottom w:val="nil"/>
              <w:right w:val="nil"/>
            </w:tcBorders>
            <w:shd w:val="clear" w:color="000000" w:fill="FFFFFF"/>
            <w:noWrap/>
            <w:vAlign w:val="bottom"/>
            <w:hideMark/>
          </w:tcPr>
          <w:p w14:paraId="7E017FEA"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uzak</w:t>
            </w:r>
          </w:p>
        </w:tc>
        <w:tc>
          <w:tcPr>
            <w:tcW w:w="580" w:type="dxa"/>
            <w:tcBorders>
              <w:top w:val="nil"/>
              <w:left w:val="nil"/>
              <w:bottom w:val="nil"/>
              <w:right w:val="nil"/>
            </w:tcBorders>
            <w:shd w:val="clear" w:color="000000" w:fill="FFFFFF"/>
            <w:noWrap/>
            <w:vAlign w:val="bottom"/>
            <w:hideMark/>
          </w:tcPr>
          <w:p w14:paraId="1A953004"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2017</w:t>
            </w:r>
          </w:p>
        </w:tc>
        <w:tc>
          <w:tcPr>
            <w:tcW w:w="580" w:type="dxa"/>
            <w:tcBorders>
              <w:top w:val="nil"/>
              <w:left w:val="nil"/>
              <w:bottom w:val="nil"/>
              <w:right w:val="nil"/>
            </w:tcBorders>
            <w:shd w:val="clear" w:color="000000" w:fill="FFFFFF"/>
            <w:noWrap/>
            <w:vAlign w:val="bottom"/>
            <w:hideMark/>
          </w:tcPr>
          <w:p w14:paraId="685FD49B"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5,1</w:t>
            </w:r>
          </w:p>
        </w:tc>
        <w:tc>
          <w:tcPr>
            <w:tcW w:w="980" w:type="dxa"/>
            <w:tcBorders>
              <w:top w:val="nil"/>
              <w:left w:val="nil"/>
              <w:bottom w:val="nil"/>
              <w:right w:val="nil"/>
            </w:tcBorders>
            <w:shd w:val="clear" w:color="000000" w:fill="FFFFFF"/>
            <w:noWrap/>
            <w:vAlign w:val="bottom"/>
            <w:hideMark/>
          </w:tcPr>
          <w:p w14:paraId="3F6C1F44"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2,4</w:t>
            </w:r>
          </w:p>
        </w:tc>
        <w:tc>
          <w:tcPr>
            <w:tcW w:w="1300" w:type="dxa"/>
            <w:tcBorders>
              <w:top w:val="nil"/>
              <w:left w:val="nil"/>
              <w:bottom w:val="nil"/>
              <w:right w:val="nil"/>
            </w:tcBorders>
            <w:shd w:val="clear" w:color="000000" w:fill="FFFFFF"/>
            <w:noWrap/>
            <w:vAlign w:val="bottom"/>
            <w:hideMark/>
          </w:tcPr>
          <w:p w14:paraId="31F84F31"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60" w:type="dxa"/>
            <w:tcBorders>
              <w:top w:val="nil"/>
              <w:left w:val="nil"/>
              <w:bottom w:val="nil"/>
              <w:right w:val="nil"/>
            </w:tcBorders>
            <w:shd w:val="clear" w:color="000000" w:fill="FFFFFF"/>
            <w:noWrap/>
            <w:vAlign w:val="bottom"/>
            <w:hideMark/>
          </w:tcPr>
          <w:p w14:paraId="1E02DC53"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nil"/>
              <w:right w:val="nil"/>
            </w:tcBorders>
            <w:shd w:val="clear" w:color="000000" w:fill="FFFFFF"/>
            <w:noWrap/>
            <w:vAlign w:val="bottom"/>
            <w:hideMark/>
          </w:tcPr>
          <w:p w14:paraId="6ECB279A"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486E967D"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63F10C72"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11</w:t>
            </w:r>
          </w:p>
        </w:tc>
        <w:tc>
          <w:tcPr>
            <w:tcW w:w="880" w:type="dxa"/>
            <w:tcBorders>
              <w:top w:val="nil"/>
              <w:left w:val="nil"/>
              <w:bottom w:val="nil"/>
              <w:right w:val="nil"/>
            </w:tcBorders>
            <w:shd w:val="clear" w:color="000000" w:fill="FFFFFF"/>
            <w:noWrap/>
            <w:vAlign w:val="bottom"/>
            <w:hideMark/>
          </w:tcPr>
          <w:p w14:paraId="31775260"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diğer</w:t>
            </w:r>
          </w:p>
        </w:tc>
        <w:tc>
          <w:tcPr>
            <w:tcW w:w="840" w:type="dxa"/>
            <w:tcBorders>
              <w:top w:val="nil"/>
              <w:left w:val="nil"/>
              <w:bottom w:val="nil"/>
              <w:right w:val="nil"/>
            </w:tcBorders>
            <w:shd w:val="clear" w:color="000000" w:fill="FFFFFF"/>
            <w:noWrap/>
            <w:vAlign w:val="bottom"/>
            <w:hideMark/>
          </w:tcPr>
          <w:p w14:paraId="499FF900"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uzak</w:t>
            </w:r>
          </w:p>
        </w:tc>
        <w:tc>
          <w:tcPr>
            <w:tcW w:w="580" w:type="dxa"/>
            <w:tcBorders>
              <w:top w:val="nil"/>
              <w:left w:val="nil"/>
              <w:bottom w:val="nil"/>
              <w:right w:val="nil"/>
            </w:tcBorders>
            <w:shd w:val="clear" w:color="000000" w:fill="FFFFFF"/>
            <w:noWrap/>
            <w:vAlign w:val="bottom"/>
            <w:hideMark/>
          </w:tcPr>
          <w:p w14:paraId="192063D2"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2018</w:t>
            </w:r>
          </w:p>
        </w:tc>
        <w:tc>
          <w:tcPr>
            <w:tcW w:w="580" w:type="dxa"/>
            <w:tcBorders>
              <w:top w:val="nil"/>
              <w:left w:val="nil"/>
              <w:bottom w:val="nil"/>
              <w:right w:val="nil"/>
            </w:tcBorders>
            <w:shd w:val="clear" w:color="000000" w:fill="FFFFFF"/>
            <w:noWrap/>
            <w:vAlign w:val="bottom"/>
            <w:hideMark/>
          </w:tcPr>
          <w:p w14:paraId="0AA23B92"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4,0</w:t>
            </w:r>
          </w:p>
        </w:tc>
        <w:tc>
          <w:tcPr>
            <w:tcW w:w="980" w:type="dxa"/>
            <w:tcBorders>
              <w:top w:val="nil"/>
              <w:left w:val="nil"/>
              <w:bottom w:val="nil"/>
              <w:right w:val="nil"/>
            </w:tcBorders>
            <w:shd w:val="clear" w:color="000000" w:fill="FFFFFF"/>
            <w:noWrap/>
            <w:vAlign w:val="bottom"/>
            <w:hideMark/>
          </w:tcPr>
          <w:p w14:paraId="0CD40012"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-1,0</w:t>
            </w:r>
          </w:p>
        </w:tc>
        <w:tc>
          <w:tcPr>
            <w:tcW w:w="1300" w:type="dxa"/>
            <w:tcBorders>
              <w:top w:val="nil"/>
              <w:left w:val="nil"/>
              <w:bottom w:val="nil"/>
              <w:right w:val="nil"/>
            </w:tcBorders>
            <w:shd w:val="clear" w:color="000000" w:fill="FFFFFF"/>
            <w:noWrap/>
            <w:vAlign w:val="bottom"/>
            <w:hideMark/>
          </w:tcPr>
          <w:p w14:paraId="3C137693"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60" w:type="dxa"/>
            <w:tcBorders>
              <w:top w:val="nil"/>
              <w:left w:val="nil"/>
              <w:bottom w:val="nil"/>
              <w:right w:val="nil"/>
            </w:tcBorders>
            <w:shd w:val="clear" w:color="000000" w:fill="FFFFFF"/>
            <w:noWrap/>
            <w:vAlign w:val="bottom"/>
            <w:hideMark/>
          </w:tcPr>
          <w:p w14:paraId="51B8BC8B"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nil"/>
              <w:right w:val="nil"/>
            </w:tcBorders>
            <w:shd w:val="clear" w:color="000000" w:fill="FFFFFF"/>
            <w:noWrap/>
            <w:vAlign w:val="bottom"/>
            <w:hideMark/>
          </w:tcPr>
          <w:p w14:paraId="372603DA"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4F9E1B13"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55902083"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12</w:t>
            </w:r>
          </w:p>
        </w:tc>
        <w:tc>
          <w:tcPr>
            <w:tcW w:w="880" w:type="dxa"/>
            <w:tcBorders>
              <w:top w:val="nil"/>
              <w:left w:val="nil"/>
              <w:bottom w:val="nil"/>
              <w:right w:val="nil"/>
            </w:tcBorders>
            <w:shd w:val="clear" w:color="000000" w:fill="FFFFFF"/>
            <w:noWrap/>
            <w:vAlign w:val="bottom"/>
            <w:hideMark/>
          </w:tcPr>
          <w:p w14:paraId="153C1909"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diğer</w:t>
            </w:r>
          </w:p>
        </w:tc>
        <w:tc>
          <w:tcPr>
            <w:tcW w:w="840" w:type="dxa"/>
            <w:tcBorders>
              <w:top w:val="nil"/>
              <w:left w:val="nil"/>
              <w:bottom w:val="nil"/>
              <w:right w:val="nil"/>
            </w:tcBorders>
            <w:shd w:val="clear" w:color="000000" w:fill="FFFFFF"/>
            <w:noWrap/>
            <w:vAlign w:val="bottom"/>
            <w:hideMark/>
          </w:tcPr>
          <w:p w14:paraId="3D9920C6"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uzak</w:t>
            </w:r>
          </w:p>
        </w:tc>
        <w:tc>
          <w:tcPr>
            <w:tcW w:w="580" w:type="dxa"/>
            <w:tcBorders>
              <w:top w:val="nil"/>
              <w:left w:val="nil"/>
              <w:bottom w:val="nil"/>
              <w:right w:val="nil"/>
            </w:tcBorders>
            <w:shd w:val="clear" w:color="000000" w:fill="FFFFFF"/>
            <w:noWrap/>
            <w:vAlign w:val="bottom"/>
            <w:hideMark/>
          </w:tcPr>
          <w:p w14:paraId="368B0FBE"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2019</w:t>
            </w:r>
          </w:p>
        </w:tc>
        <w:tc>
          <w:tcPr>
            <w:tcW w:w="580" w:type="dxa"/>
            <w:tcBorders>
              <w:top w:val="nil"/>
              <w:left w:val="nil"/>
              <w:bottom w:val="nil"/>
              <w:right w:val="nil"/>
            </w:tcBorders>
            <w:shd w:val="clear" w:color="000000" w:fill="FFFFFF"/>
            <w:noWrap/>
            <w:vAlign w:val="bottom"/>
            <w:hideMark/>
          </w:tcPr>
          <w:p w14:paraId="0FE7AE43"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2,2</w:t>
            </w:r>
          </w:p>
        </w:tc>
        <w:tc>
          <w:tcPr>
            <w:tcW w:w="980" w:type="dxa"/>
            <w:tcBorders>
              <w:top w:val="nil"/>
              <w:left w:val="nil"/>
              <w:bottom w:val="nil"/>
              <w:right w:val="nil"/>
            </w:tcBorders>
            <w:shd w:val="clear" w:color="000000" w:fill="FFFFFF"/>
            <w:noWrap/>
            <w:vAlign w:val="bottom"/>
            <w:hideMark/>
          </w:tcPr>
          <w:p w14:paraId="461509B2"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-1,8</w:t>
            </w:r>
          </w:p>
        </w:tc>
        <w:tc>
          <w:tcPr>
            <w:tcW w:w="1300" w:type="dxa"/>
            <w:tcBorders>
              <w:top w:val="nil"/>
              <w:left w:val="nil"/>
              <w:bottom w:val="nil"/>
              <w:right w:val="nil"/>
            </w:tcBorders>
            <w:shd w:val="clear" w:color="000000" w:fill="FFFFFF"/>
            <w:noWrap/>
            <w:vAlign w:val="bottom"/>
            <w:hideMark/>
          </w:tcPr>
          <w:p w14:paraId="3021C4D6"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60" w:type="dxa"/>
            <w:tcBorders>
              <w:top w:val="nil"/>
              <w:left w:val="nil"/>
              <w:bottom w:val="nil"/>
              <w:right w:val="nil"/>
            </w:tcBorders>
            <w:shd w:val="clear" w:color="000000" w:fill="FFFFFF"/>
            <w:noWrap/>
            <w:vAlign w:val="bottom"/>
            <w:hideMark/>
          </w:tcPr>
          <w:p w14:paraId="1A89110C"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nil"/>
              <w:right w:val="nil"/>
            </w:tcBorders>
            <w:shd w:val="clear" w:color="000000" w:fill="FFFFFF"/>
            <w:noWrap/>
            <w:vAlign w:val="bottom"/>
            <w:hideMark/>
          </w:tcPr>
          <w:p w14:paraId="175FC1E5"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2A657F5C"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7F817A2C"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13</w:t>
            </w:r>
          </w:p>
        </w:tc>
        <w:tc>
          <w:tcPr>
            <w:tcW w:w="880" w:type="dxa"/>
            <w:tcBorders>
              <w:top w:val="nil"/>
              <w:left w:val="nil"/>
              <w:bottom w:val="nil"/>
              <w:right w:val="nil"/>
            </w:tcBorders>
            <w:shd w:val="clear" w:color="000000" w:fill="FFFFFF"/>
            <w:noWrap/>
            <w:vAlign w:val="bottom"/>
            <w:hideMark/>
          </w:tcPr>
          <w:p w14:paraId="2538D4C2"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diğer</w:t>
            </w:r>
          </w:p>
        </w:tc>
        <w:tc>
          <w:tcPr>
            <w:tcW w:w="840" w:type="dxa"/>
            <w:tcBorders>
              <w:top w:val="nil"/>
              <w:left w:val="nil"/>
              <w:bottom w:val="nil"/>
              <w:right w:val="nil"/>
            </w:tcBorders>
            <w:shd w:val="clear" w:color="000000" w:fill="FFFFFF"/>
            <w:noWrap/>
            <w:vAlign w:val="bottom"/>
            <w:hideMark/>
          </w:tcPr>
          <w:p w14:paraId="1046EA2D"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diğer</w:t>
            </w:r>
          </w:p>
        </w:tc>
        <w:tc>
          <w:tcPr>
            <w:tcW w:w="580" w:type="dxa"/>
            <w:tcBorders>
              <w:top w:val="nil"/>
              <w:left w:val="nil"/>
              <w:bottom w:val="nil"/>
              <w:right w:val="nil"/>
            </w:tcBorders>
            <w:shd w:val="clear" w:color="000000" w:fill="FFFFFF"/>
            <w:noWrap/>
            <w:vAlign w:val="bottom"/>
            <w:hideMark/>
          </w:tcPr>
          <w:p w14:paraId="0B926FB5"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2016</w:t>
            </w:r>
          </w:p>
        </w:tc>
        <w:tc>
          <w:tcPr>
            <w:tcW w:w="580" w:type="dxa"/>
            <w:tcBorders>
              <w:top w:val="nil"/>
              <w:left w:val="nil"/>
              <w:bottom w:val="nil"/>
              <w:right w:val="nil"/>
            </w:tcBorders>
            <w:shd w:val="clear" w:color="000000" w:fill="FFFFFF"/>
            <w:noWrap/>
            <w:vAlign w:val="bottom"/>
            <w:hideMark/>
          </w:tcPr>
          <w:p w14:paraId="0BD41E71"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-0,1</w:t>
            </w:r>
          </w:p>
        </w:tc>
        <w:tc>
          <w:tcPr>
            <w:tcW w:w="980" w:type="dxa"/>
            <w:tcBorders>
              <w:top w:val="nil"/>
              <w:left w:val="nil"/>
              <w:bottom w:val="nil"/>
              <w:right w:val="nil"/>
            </w:tcBorders>
            <w:shd w:val="clear" w:color="000000" w:fill="FFFFFF"/>
            <w:noWrap/>
            <w:vAlign w:val="bottom"/>
            <w:hideMark/>
          </w:tcPr>
          <w:p w14:paraId="63A0848E"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300" w:type="dxa"/>
            <w:tcBorders>
              <w:top w:val="nil"/>
              <w:left w:val="nil"/>
              <w:bottom w:val="nil"/>
              <w:right w:val="nil"/>
            </w:tcBorders>
            <w:shd w:val="clear" w:color="000000" w:fill="FFFFFF"/>
            <w:noWrap/>
            <w:vAlign w:val="bottom"/>
            <w:hideMark/>
          </w:tcPr>
          <w:p w14:paraId="200A1B92"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60" w:type="dxa"/>
            <w:tcBorders>
              <w:top w:val="nil"/>
              <w:left w:val="nil"/>
              <w:bottom w:val="nil"/>
              <w:right w:val="nil"/>
            </w:tcBorders>
            <w:shd w:val="clear" w:color="000000" w:fill="FFFFFF"/>
            <w:noWrap/>
            <w:vAlign w:val="bottom"/>
            <w:hideMark/>
          </w:tcPr>
          <w:p w14:paraId="3ED07DAA"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nil"/>
              <w:right w:val="nil"/>
            </w:tcBorders>
            <w:shd w:val="clear" w:color="000000" w:fill="FFFFFF"/>
            <w:noWrap/>
            <w:vAlign w:val="bottom"/>
            <w:hideMark/>
          </w:tcPr>
          <w:p w14:paraId="5F71C37D"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182319A8"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12D3A3F2"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14</w:t>
            </w:r>
          </w:p>
        </w:tc>
        <w:tc>
          <w:tcPr>
            <w:tcW w:w="880" w:type="dxa"/>
            <w:tcBorders>
              <w:top w:val="nil"/>
              <w:left w:val="nil"/>
              <w:bottom w:val="nil"/>
              <w:right w:val="nil"/>
            </w:tcBorders>
            <w:shd w:val="clear" w:color="000000" w:fill="FFFFFF"/>
            <w:noWrap/>
            <w:vAlign w:val="bottom"/>
            <w:hideMark/>
          </w:tcPr>
          <w:p w14:paraId="5C45453E"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diğer</w:t>
            </w:r>
          </w:p>
        </w:tc>
        <w:tc>
          <w:tcPr>
            <w:tcW w:w="840" w:type="dxa"/>
            <w:tcBorders>
              <w:top w:val="nil"/>
              <w:left w:val="nil"/>
              <w:bottom w:val="nil"/>
              <w:right w:val="nil"/>
            </w:tcBorders>
            <w:shd w:val="clear" w:color="000000" w:fill="FFFFFF"/>
            <w:noWrap/>
            <w:vAlign w:val="bottom"/>
            <w:hideMark/>
          </w:tcPr>
          <w:p w14:paraId="687E3C8E"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diğer</w:t>
            </w:r>
          </w:p>
        </w:tc>
        <w:tc>
          <w:tcPr>
            <w:tcW w:w="580" w:type="dxa"/>
            <w:tcBorders>
              <w:top w:val="nil"/>
              <w:left w:val="nil"/>
              <w:bottom w:val="nil"/>
              <w:right w:val="nil"/>
            </w:tcBorders>
            <w:shd w:val="clear" w:color="000000" w:fill="FFFFFF"/>
            <w:noWrap/>
            <w:vAlign w:val="bottom"/>
            <w:hideMark/>
          </w:tcPr>
          <w:p w14:paraId="4DE5F60B"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2017</w:t>
            </w:r>
          </w:p>
        </w:tc>
        <w:tc>
          <w:tcPr>
            <w:tcW w:w="580" w:type="dxa"/>
            <w:tcBorders>
              <w:top w:val="nil"/>
              <w:left w:val="nil"/>
              <w:bottom w:val="nil"/>
              <w:right w:val="nil"/>
            </w:tcBorders>
            <w:shd w:val="clear" w:color="000000" w:fill="FFFFFF"/>
            <w:noWrap/>
            <w:vAlign w:val="bottom"/>
            <w:hideMark/>
          </w:tcPr>
          <w:p w14:paraId="0A1CD167"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0,6</w:t>
            </w:r>
          </w:p>
        </w:tc>
        <w:tc>
          <w:tcPr>
            <w:tcW w:w="980" w:type="dxa"/>
            <w:tcBorders>
              <w:top w:val="nil"/>
              <w:left w:val="nil"/>
              <w:bottom w:val="nil"/>
              <w:right w:val="nil"/>
            </w:tcBorders>
            <w:shd w:val="clear" w:color="000000" w:fill="FFFFFF"/>
            <w:noWrap/>
            <w:vAlign w:val="bottom"/>
            <w:hideMark/>
          </w:tcPr>
          <w:p w14:paraId="0E9A01E3"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0,7</w:t>
            </w:r>
          </w:p>
        </w:tc>
        <w:tc>
          <w:tcPr>
            <w:tcW w:w="1300" w:type="dxa"/>
            <w:tcBorders>
              <w:top w:val="nil"/>
              <w:left w:val="nil"/>
              <w:bottom w:val="nil"/>
              <w:right w:val="nil"/>
            </w:tcBorders>
            <w:shd w:val="clear" w:color="000000" w:fill="FFFFFF"/>
            <w:noWrap/>
            <w:vAlign w:val="bottom"/>
            <w:hideMark/>
          </w:tcPr>
          <w:p w14:paraId="45470E0C"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60" w:type="dxa"/>
            <w:tcBorders>
              <w:top w:val="nil"/>
              <w:left w:val="nil"/>
              <w:bottom w:val="nil"/>
              <w:right w:val="nil"/>
            </w:tcBorders>
            <w:shd w:val="clear" w:color="000000" w:fill="FFFFFF"/>
            <w:noWrap/>
            <w:vAlign w:val="bottom"/>
            <w:hideMark/>
          </w:tcPr>
          <w:p w14:paraId="51F2BF1F"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nil"/>
              <w:right w:val="nil"/>
            </w:tcBorders>
            <w:shd w:val="clear" w:color="000000" w:fill="FFFFFF"/>
            <w:noWrap/>
            <w:vAlign w:val="bottom"/>
            <w:hideMark/>
          </w:tcPr>
          <w:p w14:paraId="689ADD27"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0F78582C"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159BF882"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15</w:t>
            </w:r>
          </w:p>
        </w:tc>
        <w:tc>
          <w:tcPr>
            <w:tcW w:w="880" w:type="dxa"/>
            <w:tcBorders>
              <w:top w:val="nil"/>
              <w:left w:val="nil"/>
              <w:bottom w:val="nil"/>
              <w:right w:val="nil"/>
            </w:tcBorders>
            <w:shd w:val="clear" w:color="000000" w:fill="FFFFFF"/>
            <w:noWrap/>
            <w:vAlign w:val="bottom"/>
            <w:hideMark/>
          </w:tcPr>
          <w:p w14:paraId="1B9948BA"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diğer</w:t>
            </w:r>
          </w:p>
        </w:tc>
        <w:tc>
          <w:tcPr>
            <w:tcW w:w="840" w:type="dxa"/>
            <w:tcBorders>
              <w:top w:val="nil"/>
              <w:left w:val="nil"/>
              <w:bottom w:val="nil"/>
              <w:right w:val="nil"/>
            </w:tcBorders>
            <w:shd w:val="clear" w:color="000000" w:fill="FFFFFF"/>
            <w:noWrap/>
            <w:vAlign w:val="bottom"/>
            <w:hideMark/>
          </w:tcPr>
          <w:p w14:paraId="6287D592"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diğer</w:t>
            </w:r>
          </w:p>
        </w:tc>
        <w:tc>
          <w:tcPr>
            <w:tcW w:w="580" w:type="dxa"/>
            <w:tcBorders>
              <w:top w:val="nil"/>
              <w:left w:val="nil"/>
              <w:bottom w:val="nil"/>
              <w:right w:val="nil"/>
            </w:tcBorders>
            <w:shd w:val="clear" w:color="000000" w:fill="FFFFFF"/>
            <w:noWrap/>
            <w:vAlign w:val="bottom"/>
            <w:hideMark/>
          </w:tcPr>
          <w:p w14:paraId="10191F41"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2018</w:t>
            </w:r>
          </w:p>
        </w:tc>
        <w:tc>
          <w:tcPr>
            <w:tcW w:w="580" w:type="dxa"/>
            <w:tcBorders>
              <w:top w:val="nil"/>
              <w:left w:val="nil"/>
              <w:bottom w:val="nil"/>
              <w:right w:val="nil"/>
            </w:tcBorders>
            <w:shd w:val="clear" w:color="000000" w:fill="FFFFFF"/>
            <w:noWrap/>
            <w:vAlign w:val="bottom"/>
            <w:hideMark/>
          </w:tcPr>
          <w:p w14:paraId="2ED0B298"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0,3</w:t>
            </w:r>
          </w:p>
        </w:tc>
        <w:tc>
          <w:tcPr>
            <w:tcW w:w="980" w:type="dxa"/>
            <w:tcBorders>
              <w:top w:val="nil"/>
              <w:left w:val="nil"/>
              <w:bottom w:val="nil"/>
              <w:right w:val="nil"/>
            </w:tcBorders>
            <w:shd w:val="clear" w:color="000000" w:fill="FFFFFF"/>
            <w:noWrap/>
            <w:vAlign w:val="bottom"/>
            <w:hideMark/>
          </w:tcPr>
          <w:p w14:paraId="17602A9E"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-0,3</w:t>
            </w:r>
          </w:p>
        </w:tc>
        <w:tc>
          <w:tcPr>
            <w:tcW w:w="1300" w:type="dxa"/>
            <w:tcBorders>
              <w:top w:val="nil"/>
              <w:left w:val="nil"/>
              <w:bottom w:val="nil"/>
              <w:right w:val="nil"/>
            </w:tcBorders>
            <w:shd w:val="clear" w:color="000000" w:fill="FFFFFF"/>
            <w:noWrap/>
            <w:vAlign w:val="bottom"/>
            <w:hideMark/>
          </w:tcPr>
          <w:p w14:paraId="5F4FA81E"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60" w:type="dxa"/>
            <w:tcBorders>
              <w:top w:val="nil"/>
              <w:left w:val="nil"/>
              <w:bottom w:val="nil"/>
              <w:right w:val="nil"/>
            </w:tcBorders>
            <w:shd w:val="clear" w:color="000000" w:fill="FFFFFF"/>
            <w:noWrap/>
            <w:vAlign w:val="bottom"/>
            <w:hideMark/>
          </w:tcPr>
          <w:p w14:paraId="0DF173FF"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nil"/>
              <w:right w:val="nil"/>
            </w:tcBorders>
            <w:shd w:val="clear" w:color="000000" w:fill="FFFFFF"/>
            <w:noWrap/>
            <w:vAlign w:val="bottom"/>
            <w:hideMark/>
          </w:tcPr>
          <w:p w14:paraId="02FBC319"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2160F73E" w14:textId="77777777" w:rsidTr="00602F69">
        <w:trPr>
          <w:trHeight w:val="240"/>
        </w:trPr>
        <w:tc>
          <w:tcPr>
            <w:tcW w:w="380" w:type="dxa"/>
            <w:tcBorders>
              <w:top w:val="nil"/>
              <w:left w:val="nil"/>
              <w:bottom w:val="single" w:sz="4" w:space="0" w:color="auto"/>
              <w:right w:val="single" w:sz="4" w:space="0" w:color="auto"/>
            </w:tcBorders>
            <w:shd w:val="clear" w:color="000000" w:fill="FFFFFF"/>
            <w:noWrap/>
            <w:vAlign w:val="bottom"/>
            <w:hideMark/>
          </w:tcPr>
          <w:p w14:paraId="16DB4B68"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16</w:t>
            </w:r>
          </w:p>
        </w:tc>
        <w:tc>
          <w:tcPr>
            <w:tcW w:w="880" w:type="dxa"/>
            <w:tcBorders>
              <w:top w:val="nil"/>
              <w:left w:val="nil"/>
              <w:bottom w:val="nil"/>
              <w:right w:val="nil"/>
            </w:tcBorders>
            <w:shd w:val="clear" w:color="000000" w:fill="FFFFFF"/>
            <w:noWrap/>
            <w:vAlign w:val="bottom"/>
            <w:hideMark/>
          </w:tcPr>
          <w:p w14:paraId="75E8A0D5"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diğer</w:t>
            </w:r>
          </w:p>
        </w:tc>
        <w:tc>
          <w:tcPr>
            <w:tcW w:w="840" w:type="dxa"/>
            <w:tcBorders>
              <w:top w:val="nil"/>
              <w:left w:val="nil"/>
              <w:bottom w:val="nil"/>
              <w:right w:val="nil"/>
            </w:tcBorders>
            <w:shd w:val="clear" w:color="000000" w:fill="FFFFFF"/>
            <w:noWrap/>
            <w:vAlign w:val="bottom"/>
            <w:hideMark/>
          </w:tcPr>
          <w:p w14:paraId="786EF33A"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diğer</w:t>
            </w:r>
          </w:p>
        </w:tc>
        <w:tc>
          <w:tcPr>
            <w:tcW w:w="580" w:type="dxa"/>
            <w:tcBorders>
              <w:top w:val="nil"/>
              <w:left w:val="nil"/>
              <w:bottom w:val="nil"/>
              <w:right w:val="nil"/>
            </w:tcBorders>
            <w:shd w:val="clear" w:color="000000" w:fill="FFFFFF"/>
            <w:noWrap/>
            <w:vAlign w:val="bottom"/>
            <w:hideMark/>
          </w:tcPr>
          <w:p w14:paraId="5375EEFB"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2019</w:t>
            </w:r>
          </w:p>
        </w:tc>
        <w:tc>
          <w:tcPr>
            <w:tcW w:w="580" w:type="dxa"/>
            <w:tcBorders>
              <w:top w:val="nil"/>
              <w:left w:val="nil"/>
              <w:bottom w:val="nil"/>
              <w:right w:val="nil"/>
            </w:tcBorders>
            <w:shd w:val="clear" w:color="000000" w:fill="FFFFFF"/>
            <w:noWrap/>
            <w:vAlign w:val="bottom"/>
            <w:hideMark/>
          </w:tcPr>
          <w:p w14:paraId="6E5DF736"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-0,2</w:t>
            </w:r>
          </w:p>
        </w:tc>
        <w:tc>
          <w:tcPr>
            <w:tcW w:w="980" w:type="dxa"/>
            <w:tcBorders>
              <w:top w:val="nil"/>
              <w:left w:val="nil"/>
              <w:bottom w:val="nil"/>
              <w:right w:val="nil"/>
            </w:tcBorders>
            <w:shd w:val="clear" w:color="000000" w:fill="FFFFFF"/>
            <w:noWrap/>
            <w:vAlign w:val="bottom"/>
            <w:hideMark/>
          </w:tcPr>
          <w:p w14:paraId="25E1BF44"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-0,5</w:t>
            </w:r>
          </w:p>
        </w:tc>
        <w:tc>
          <w:tcPr>
            <w:tcW w:w="1300" w:type="dxa"/>
            <w:tcBorders>
              <w:top w:val="nil"/>
              <w:left w:val="nil"/>
              <w:bottom w:val="nil"/>
              <w:right w:val="nil"/>
            </w:tcBorders>
            <w:shd w:val="clear" w:color="000000" w:fill="FFFFFF"/>
            <w:noWrap/>
            <w:vAlign w:val="bottom"/>
            <w:hideMark/>
          </w:tcPr>
          <w:p w14:paraId="607355DD"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60" w:type="dxa"/>
            <w:tcBorders>
              <w:top w:val="nil"/>
              <w:left w:val="nil"/>
              <w:bottom w:val="nil"/>
              <w:right w:val="nil"/>
            </w:tcBorders>
            <w:shd w:val="clear" w:color="000000" w:fill="FFFFFF"/>
            <w:noWrap/>
            <w:vAlign w:val="bottom"/>
            <w:hideMark/>
          </w:tcPr>
          <w:p w14:paraId="43B1E809"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nil"/>
              <w:right w:val="nil"/>
            </w:tcBorders>
            <w:shd w:val="clear" w:color="000000" w:fill="FFFFFF"/>
            <w:noWrap/>
            <w:vAlign w:val="bottom"/>
            <w:hideMark/>
          </w:tcPr>
          <w:p w14:paraId="1B1F7890"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3583B113"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1FF9D194"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17</w:t>
            </w:r>
          </w:p>
        </w:tc>
        <w:tc>
          <w:tcPr>
            <w:tcW w:w="880" w:type="dxa"/>
            <w:tcBorders>
              <w:top w:val="single" w:sz="4" w:space="0" w:color="auto"/>
              <w:left w:val="nil"/>
              <w:bottom w:val="nil"/>
              <w:right w:val="nil"/>
            </w:tcBorders>
            <w:shd w:val="clear" w:color="000000" w:fill="FFFFFF"/>
            <w:noWrap/>
            <w:vAlign w:val="bottom"/>
            <w:hideMark/>
          </w:tcPr>
          <w:p w14:paraId="4DE9DC41"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tanzim</w:t>
            </w:r>
          </w:p>
        </w:tc>
        <w:tc>
          <w:tcPr>
            <w:tcW w:w="840" w:type="dxa"/>
            <w:tcBorders>
              <w:top w:val="single" w:sz="4" w:space="0" w:color="auto"/>
              <w:left w:val="nil"/>
              <w:bottom w:val="nil"/>
              <w:right w:val="nil"/>
            </w:tcBorders>
            <w:shd w:val="clear" w:color="000000" w:fill="FFFFFF"/>
            <w:noWrap/>
            <w:vAlign w:val="bottom"/>
            <w:hideMark/>
          </w:tcPr>
          <w:p w14:paraId="1FB37A03"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tanzim</w:t>
            </w:r>
          </w:p>
        </w:tc>
        <w:tc>
          <w:tcPr>
            <w:tcW w:w="580" w:type="dxa"/>
            <w:tcBorders>
              <w:top w:val="single" w:sz="4" w:space="0" w:color="auto"/>
              <w:left w:val="nil"/>
              <w:bottom w:val="nil"/>
              <w:right w:val="nil"/>
            </w:tcBorders>
            <w:shd w:val="clear" w:color="000000" w:fill="FFFFFF"/>
            <w:noWrap/>
            <w:vAlign w:val="bottom"/>
            <w:hideMark/>
          </w:tcPr>
          <w:p w14:paraId="435C9B1C"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2016</w:t>
            </w:r>
          </w:p>
        </w:tc>
        <w:tc>
          <w:tcPr>
            <w:tcW w:w="580" w:type="dxa"/>
            <w:tcBorders>
              <w:top w:val="single" w:sz="4" w:space="0" w:color="auto"/>
              <w:left w:val="nil"/>
              <w:bottom w:val="nil"/>
              <w:right w:val="nil"/>
            </w:tcBorders>
            <w:shd w:val="clear" w:color="000000" w:fill="FFFFFF"/>
            <w:noWrap/>
            <w:vAlign w:val="bottom"/>
            <w:hideMark/>
          </w:tcPr>
          <w:p w14:paraId="52B748BA"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-0,8</w:t>
            </w:r>
          </w:p>
        </w:tc>
        <w:tc>
          <w:tcPr>
            <w:tcW w:w="980" w:type="dxa"/>
            <w:tcBorders>
              <w:top w:val="single" w:sz="4" w:space="0" w:color="auto"/>
              <w:left w:val="nil"/>
              <w:bottom w:val="nil"/>
              <w:right w:val="nil"/>
            </w:tcBorders>
            <w:shd w:val="clear" w:color="000000" w:fill="FFFFFF"/>
            <w:noWrap/>
            <w:vAlign w:val="bottom"/>
            <w:hideMark/>
          </w:tcPr>
          <w:p w14:paraId="5C6DF351"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300" w:type="dxa"/>
            <w:tcBorders>
              <w:top w:val="single" w:sz="4" w:space="0" w:color="auto"/>
              <w:left w:val="nil"/>
              <w:bottom w:val="nil"/>
              <w:right w:val="nil"/>
            </w:tcBorders>
            <w:shd w:val="clear" w:color="000000" w:fill="FFFFFF"/>
            <w:noWrap/>
            <w:vAlign w:val="bottom"/>
            <w:hideMark/>
          </w:tcPr>
          <w:p w14:paraId="011C4BE9"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60" w:type="dxa"/>
            <w:tcBorders>
              <w:top w:val="single" w:sz="4" w:space="0" w:color="auto"/>
              <w:left w:val="nil"/>
              <w:bottom w:val="nil"/>
              <w:right w:val="nil"/>
            </w:tcBorders>
            <w:shd w:val="clear" w:color="000000" w:fill="FFFFFF"/>
            <w:noWrap/>
            <w:vAlign w:val="bottom"/>
            <w:hideMark/>
          </w:tcPr>
          <w:p w14:paraId="3598E92F"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single" w:sz="4" w:space="0" w:color="auto"/>
              <w:left w:val="nil"/>
              <w:bottom w:val="nil"/>
              <w:right w:val="nil"/>
            </w:tcBorders>
            <w:shd w:val="clear" w:color="000000" w:fill="FFFFFF"/>
            <w:noWrap/>
            <w:vAlign w:val="bottom"/>
            <w:hideMark/>
          </w:tcPr>
          <w:p w14:paraId="46368B1D"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28841764"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182D0211"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18</w:t>
            </w:r>
          </w:p>
        </w:tc>
        <w:tc>
          <w:tcPr>
            <w:tcW w:w="880" w:type="dxa"/>
            <w:tcBorders>
              <w:top w:val="nil"/>
              <w:left w:val="nil"/>
              <w:bottom w:val="nil"/>
              <w:right w:val="nil"/>
            </w:tcBorders>
            <w:shd w:val="clear" w:color="000000" w:fill="FFFFFF"/>
            <w:noWrap/>
            <w:vAlign w:val="bottom"/>
            <w:hideMark/>
          </w:tcPr>
          <w:p w14:paraId="11B509B0"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tanzim</w:t>
            </w:r>
          </w:p>
        </w:tc>
        <w:tc>
          <w:tcPr>
            <w:tcW w:w="840" w:type="dxa"/>
            <w:tcBorders>
              <w:top w:val="nil"/>
              <w:left w:val="nil"/>
              <w:bottom w:val="nil"/>
              <w:right w:val="nil"/>
            </w:tcBorders>
            <w:shd w:val="clear" w:color="000000" w:fill="FFFFFF"/>
            <w:noWrap/>
            <w:vAlign w:val="bottom"/>
            <w:hideMark/>
          </w:tcPr>
          <w:p w14:paraId="694171A9"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tanzim</w:t>
            </w:r>
          </w:p>
        </w:tc>
        <w:tc>
          <w:tcPr>
            <w:tcW w:w="580" w:type="dxa"/>
            <w:tcBorders>
              <w:top w:val="nil"/>
              <w:left w:val="nil"/>
              <w:bottom w:val="nil"/>
              <w:right w:val="nil"/>
            </w:tcBorders>
            <w:shd w:val="clear" w:color="000000" w:fill="FFFFFF"/>
            <w:noWrap/>
            <w:vAlign w:val="bottom"/>
            <w:hideMark/>
          </w:tcPr>
          <w:p w14:paraId="0EB2609A"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2017</w:t>
            </w:r>
          </w:p>
        </w:tc>
        <w:tc>
          <w:tcPr>
            <w:tcW w:w="580" w:type="dxa"/>
            <w:tcBorders>
              <w:top w:val="nil"/>
              <w:left w:val="nil"/>
              <w:bottom w:val="nil"/>
              <w:right w:val="nil"/>
            </w:tcBorders>
            <w:shd w:val="clear" w:color="000000" w:fill="FFFFFF"/>
            <w:noWrap/>
            <w:vAlign w:val="bottom"/>
            <w:hideMark/>
          </w:tcPr>
          <w:p w14:paraId="6C309F40"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-3,7</w:t>
            </w:r>
          </w:p>
        </w:tc>
        <w:tc>
          <w:tcPr>
            <w:tcW w:w="980" w:type="dxa"/>
            <w:tcBorders>
              <w:top w:val="nil"/>
              <w:left w:val="nil"/>
              <w:bottom w:val="nil"/>
              <w:right w:val="nil"/>
            </w:tcBorders>
            <w:shd w:val="clear" w:color="000000" w:fill="FFFFFF"/>
            <w:noWrap/>
            <w:vAlign w:val="bottom"/>
            <w:hideMark/>
          </w:tcPr>
          <w:p w14:paraId="205A5A01"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-2,9</w:t>
            </w:r>
          </w:p>
        </w:tc>
        <w:tc>
          <w:tcPr>
            <w:tcW w:w="1300" w:type="dxa"/>
            <w:tcBorders>
              <w:top w:val="nil"/>
              <w:left w:val="nil"/>
              <w:bottom w:val="nil"/>
              <w:right w:val="nil"/>
            </w:tcBorders>
            <w:shd w:val="clear" w:color="000000" w:fill="FFFFFF"/>
            <w:noWrap/>
            <w:vAlign w:val="bottom"/>
            <w:hideMark/>
          </w:tcPr>
          <w:p w14:paraId="453BA6AA"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1,2</w:t>
            </w:r>
          </w:p>
        </w:tc>
        <w:tc>
          <w:tcPr>
            <w:tcW w:w="1460" w:type="dxa"/>
            <w:tcBorders>
              <w:top w:val="nil"/>
              <w:left w:val="nil"/>
              <w:bottom w:val="nil"/>
              <w:right w:val="nil"/>
            </w:tcBorders>
            <w:shd w:val="clear" w:color="000000" w:fill="FFFFFF"/>
            <w:noWrap/>
            <w:vAlign w:val="bottom"/>
            <w:hideMark/>
          </w:tcPr>
          <w:p w14:paraId="1C759A7B"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0,7</w:t>
            </w:r>
          </w:p>
        </w:tc>
        <w:tc>
          <w:tcPr>
            <w:tcW w:w="1420" w:type="dxa"/>
            <w:tcBorders>
              <w:top w:val="nil"/>
              <w:left w:val="nil"/>
              <w:bottom w:val="nil"/>
              <w:right w:val="nil"/>
            </w:tcBorders>
            <w:shd w:val="clear" w:color="000000" w:fill="FFFFFF"/>
            <w:noWrap/>
            <w:vAlign w:val="bottom"/>
            <w:hideMark/>
          </w:tcPr>
          <w:p w14:paraId="66B4288A"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2,1</w:t>
            </w:r>
          </w:p>
        </w:tc>
      </w:tr>
      <w:tr w:rsidR="00602F69" w:rsidRPr="00602F69" w14:paraId="79AA9EA5"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6E822853"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19</w:t>
            </w:r>
          </w:p>
        </w:tc>
        <w:tc>
          <w:tcPr>
            <w:tcW w:w="880" w:type="dxa"/>
            <w:tcBorders>
              <w:top w:val="nil"/>
              <w:left w:val="nil"/>
              <w:bottom w:val="nil"/>
              <w:right w:val="nil"/>
            </w:tcBorders>
            <w:shd w:val="clear" w:color="000000" w:fill="FFFFFF"/>
            <w:noWrap/>
            <w:vAlign w:val="bottom"/>
            <w:hideMark/>
          </w:tcPr>
          <w:p w14:paraId="1251DF8E"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tanzim</w:t>
            </w:r>
          </w:p>
        </w:tc>
        <w:tc>
          <w:tcPr>
            <w:tcW w:w="840" w:type="dxa"/>
            <w:tcBorders>
              <w:top w:val="nil"/>
              <w:left w:val="nil"/>
              <w:bottom w:val="nil"/>
              <w:right w:val="nil"/>
            </w:tcBorders>
            <w:shd w:val="clear" w:color="000000" w:fill="FFFFFF"/>
            <w:noWrap/>
            <w:vAlign w:val="bottom"/>
            <w:hideMark/>
          </w:tcPr>
          <w:p w14:paraId="69FA1789"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tanzim</w:t>
            </w:r>
          </w:p>
        </w:tc>
        <w:tc>
          <w:tcPr>
            <w:tcW w:w="580" w:type="dxa"/>
            <w:tcBorders>
              <w:top w:val="nil"/>
              <w:left w:val="nil"/>
              <w:bottom w:val="nil"/>
              <w:right w:val="nil"/>
            </w:tcBorders>
            <w:shd w:val="clear" w:color="000000" w:fill="FFFFFF"/>
            <w:noWrap/>
            <w:vAlign w:val="bottom"/>
            <w:hideMark/>
          </w:tcPr>
          <w:p w14:paraId="3A65D184"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2018</w:t>
            </w:r>
          </w:p>
        </w:tc>
        <w:tc>
          <w:tcPr>
            <w:tcW w:w="580" w:type="dxa"/>
            <w:tcBorders>
              <w:top w:val="nil"/>
              <w:left w:val="nil"/>
              <w:bottom w:val="nil"/>
              <w:right w:val="nil"/>
            </w:tcBorders>
            <w:shd w:val="clear" w:color="000000" w:fill="FFFFFF"/>
            <w:noWrap/>
            <w:vAlign w:val="bottom"/>
            <w:hideMark/>
          </w:tcPr>
          <w:p w14:paraId="6F237A42"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5,7</w:t>
            </w:r>
          </w:p>
        </w:tc>
        <w:tc>
          <w:tcPr>
            <w:tcW w:w="980" w:type="dxa"/>
            <w:tcBorders>
              <w:top w:val="nil"/>
              <w:left w:val="nil"/>
              <w:bottom w:val="nil"/>
              <w:right w:val="nil"/>
            </w:tcBorders>
            <w:shd w:val="clear" w:color="000000" w:fill="FFFFFF"/>
            <w:noWrap/>
            <w:vAlign w:val="bottom"/>
            <w:hideMark/>
          </w:tcPr>
          <w:p w14:paraId="3F1636DB"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9,4</w:t>
            </w:r>
          </w:p>
        </w:tc>
        <w:tc>
          <w:tcPr>
            <w:tcW w:w="1300" w:type="dxa"/>
            <w:tcBorders>
              <w:top w:val="nil"/>
              <w:left w:val="nil"/>
              <w:bottom w:val="nil"/>
              <w:right w:val="nil"/>
            </w:tcBorders>
            <w:shd w:val="clear" w:color="000000" w:fill="FFFFFF"/>
            <w:noWrap/>
            <w:vAlign w:val="bottom"/>
            <w:hideMark/>
          </w:tcPr>
          <w:p w14:paraId="52433338"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-1,2</w:t>
            </w:r>
          </w:p>
        </w:tc>
        <w:tc>
          <w:tcPr>
            <w:tcW w:w="1460" w:type="dxa"/>
            <w:tcBorders>
              <w:top w:val="nil"/>
              <w:left w:val="nil"/>
              <w:bottom w:val="nil"/>
              <w:right w:val="nil"/>
            </w:tcBorders>
            <w:shd w:val="clear" w:color="000000" w:fill="FFFFFF"/>
            <w:noWrap/>
            <w:vAlign w:val="bottom"/>
            <w:hideMark/>
          </w:tcPr>
          <w:p w14:paraId="7710C601"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-1,1</w:t>
            </w:r>
          </w:p>
        </w:tc>
        <w:tc>
          <w:tcPr>
            <w:tcW w:w="1420" w:type="dxa"/>
            <w:tcBorders>
              <w:top w:val="nil"/>
              <w:left w:val="nil"/>
              <w:bottom w:val="nil"/>
              <w:right w:val="nil"/>
            </w:tcBorders>
            <w:shd w:val="clear" w:color="000000" w:fill="FFFFFF"/>
            <w:noWrap/>
            <w:vAlign w:val="bottom"/>
            <w:hideMark/>
          </w:tcPr>
          <w:p w14:paraId="59890C52"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-1,9</w:t>
            </w:r>
          </w:p>
        </w:tc>
      </w:tr>
      <w:tr w:rsidR="00602F69" w:rsidRPr="00602F69" w14:paraId="2381CB0A"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21951F9F"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20</w:t>
            </w:r>
          </w:p>
        </w:tc>
        <w:tc>
          <w:tcPr>
            <w:tcW w:w="880" w:type="dxa"/>
            <w:tcBorders>
              <w:top w:val="nil"/>
              <w:left w:val="nil"/>
              <w:bottom w:val="nil"/>
              <w:right w:val="nil"/>
            </w:tcBorders>
            <w:shd w:val="clear" w:color="000000" w:fill="FFFFFF"/>
            <w:noWrap/>
            <w:vAlign w:val="bottom"/>
            <w:hideMark/>
          </w:tcPr>
          <w:p w14:paraId="70EADE04"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tanzim</w:t>
            </w:r>
          </w:p>
        </w:tc>
        <w:tc>
          <w:tcPr>
            <w:tcW w:w="840" w:type="dxa"/>
            <w:tcBorders>
              <w:top w:val="nil"/>
              <w:left w:val="nil"/>
              <w:bottom w:val="nil"/>
              <w:right w:val="nil"/>
            </w:tcBorders>
            <w:shd w:val="clear" w:color="000000" w:fill="FFFFFF"/>
            <w:noWrap/>
            <w:vAlign w:val="bottom"/>
            <w:hideMark/>
          </w:tcPr>
          <w:p w14:paraId="7D5435B0"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tanzim</w:t>
            </w:r>
          </w:p>
        </w:tc>
        <w:tc>
          <w:tcPr>
            <w:tcW w:w="580" w:type="dxa"/>
            <w:tcBorders>
              <w:top w:val="nil"/>
              <w:left w:val="nil"/>
              <w:bottom w:val="nil"/>
              <w:right w:val="nil"/>
            </w:tcBorders>
            <w:shd w:val="clear" w:color="000000" w:fill="FFFFFF"/>
            <w:noWrap/>
            <w:vAlign w:val="bottom"/>
            <w:hideMark/>
          </w:tcPr>
          <w:p w14:paraId="229C930E"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2019</w:t>
            </w:r>
          </w:p>
        </w:tc>
        <w:tc>
          <w:tcPr>
            <w:tcW w:w="580" w:type="dxa"/>
            <w:tcBorders>
              <w:top w:val="nil"/>
              <w:left w:val="nil"/>
              <w:bottom w:val="nil"/>
              <w:right w:val="nil"/>
            </w:tcBorders>
            <w:shd w:val="clear" w:color="000000" w:fill="FFFFFF"/>
            <w:noWrap/>
            <w:vAlign w:val="bottom"/>
            <w:hideMark/>
          </w:tcPr>
          <w:p w14:paraId="6BC24C23"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-6,4</w:t>
            </w:r>
          </w:p>
        </w:tc>
        <w:tc>
          <w:tcPr>
            <w:tcW w:w="980" w:type="dxa"/>
            <w:tcBorders>
              <w:top w:val="nil"/>
              <w:left w:val="nil"/>
              <w:bottom w:val="nil"/>
              <w:right w:val="nil"/>
            </w:tcBorders>
            <w:shd w:val="clear" w:color="000000" w:fill="FFFFFF"/>
            <w:noWrap/>
            <w:vAlign w:val="bottom"/>
            <w:hideMark/>
          </w:tcPr>
          <w:p w14:paraId="17EFC291" w14:textId="77777777" w:rsidR="00602F69" w:rsidRPr="00602F69" w:rsidRDefault="00602F69" w:rsidP="00602F69">
            <w:pPr>
              <w:suppressAutoHyphens w:val="0"/>
              <w:spacing w:after="0" w:line="240" w:lineRule="auto"/>
              <w:jc w:val="right"/>
              <w:rPr>
                <w:rFonts w:ascii="Calibri" w:hAnsi="Calibri" w:cs="Calibri"/>
                <w:b/>
                <w:bCs/>
                <w:color w:val="000000"/>
                <w:sz w:val="18"/>
                <w:szCs w:val="18"/>
                <w:highlight w:val="yellow"/>
                <w:lang w:eastAsia="tr-TR"/>
              </w:rPr>
            </w:pPr>
            <w:r w:rsidRPr="00602F69">
              <w:rPr>
                <w:rFonts w:ascii="Calibri" w:hAnsi="Calibri" w:cs="Calibri"/>
                <w:b/>
                <w:bCs/>
                <w:color w:val="000000"/>
                <w:sz w:val="18"/>
                <w:szCs w:val="18"/>
                <w:highlight w:val="yellow"/>
                <w:lang w:eastAsia="tr-TR"/>
              </w:rPr>
              <w:t>-12,1</w:t>
            </w:r>
          </w:p>
        </w:tc>
        <w:tc>
          <w:tcPr>
            <w:tcW w:w="1300" w:type="dxa"/>
            <w:tcBorders>
              <w:top w:val="nil"/>
              <w:left w:val="nil"/>
              <w:bottom w:val="nil"/>
              <w:right w:val="nil"/>
            </w:tcBorders>
            <w:shd w:val="clear" w:color="000000" w:fill="FFFFFF"/>
            <w:noWrap/>
            <w:vAlign w:val="bottom"/>
            <w:hideMark/>
          </w:tcPr>
          <w:p w14:paraId="64080539" w14:textId="77777777" w:rsidR="00602F69" w:rsidRPr="00602F69" w:rsidRDefault="00602F69" w:rsidP="00602F69">
            <w:pPr>
              <w:suppressAutoHyphens w:val="0"/>
              <w:spacing w:after="0" w:line="240" w:lineRule="auto"/>
              <w:jc w:val="right"/>
              <w:rPr>
                <w:rFonts w:ascii="Calibri" w:hAnsi="Calibri" w:cs="Calibri"/>
                <w:b/>
                <w:bCs/>
                <w:color w:val="000000"/>
                <w:sz w:val="18"/>
                <w:szCs w:val="18"/>
                <w:highlight w:val="yellow"/>
                <w:lang w:eastAsia="tr-TR"/>
              </w:rPr>
            </w:pPr>
            <w:r w:rsidRPr="00602F69">
              <w:rPr>
                <w:rFonts w:ascii="Calibri" w:hAnsi="Calibri" w:cs="Calibri"/>
                <w:b/>
                <w:bCs/>
                <w:color w:val="000000"/>
                <w:sz w:val="18"/>
                <w:szCs w:val="18"/>
                <w:highlight w:val="yellow"/>
                <w:lang w:eastAsia="tr-TR"/>
              </w:rPr>
              <w:t>-6,5</w:t>
            </w:r>
          </w:p>
        </w:tc>
        <w:tc>
          <w:tcPr>
            <w:tcW w:w="1460" w:type="dxa"/>
            <w:tcBorders>
              <w:top w:val="nil"/>
              <w:left w:val="nil"/>
              <w:bottom w:val="nil"/>
              <w:right w:val="nil"/>
            </w:tcBorders>
            <w:shd w:val="clear" w:color="000000" w:fill="FFFFFF"/>
            <w:noWrap/>
            <w:vAlign w:val="bottom"/>
            <w:hideMark/>
          </w:tcPr>
          <w:p w14:paraId="22BD3FAA"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-6,2</w:t>
            </w:r>
          </w:p>
        </w:tc>
        <w:tc>
          <w:tcPr>
            <w:tcW w:w="1420" w:type="dxa"/>
            <w:tcBorders>
              <w:top w:val="nil"/>
              <w:left w:val="nil"/>
              <w:bottom w:val="nil"/>
              <w:right w:val="nil"/>
            </w:tcBorders>
            <w:shd w:val="clear" w:color="000000" w:fill="FFFFFF"/>
            <w:noWrap/>
            <w:vAlign w:val="bottom"/>
            <w:hideMark/>
          </w:tcPr>
          <w:p w14:paraId="51401C12"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-5,8</w:t>
            </w:r>
          </w:p>
        </w:tc>
      </w:tr>
      <w:tr w:rsidR="00602F69" w:rsidRPr="00602F69" w14:paraId="00659028"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4556F2B5"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21</w:t>
            </w:r>
          </w:p>
        </w:tc>
        <w:tc>
          <w:tcPr>
            <w:tcW w:w="880" w:type="dxa"/>
            <w:tcBorders>
              <w:top w:val="nil"/>
              <w:left w:val="nil"/>
              <w:bottom w:val="nil"/>
              <w:right w:val="nil"/>
            </w:tcBorders>
            <w:shd w:val="clear" w:color="000000" w:fill="FFFFFF"/>
            <w:noWrap/>
            <w:vAlign w:val="bottom"/>
            <w:hideMark/>
          </w:tcPr>
          <w:p w14:paraId="33A9ECCF"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tanzim</w:t>
            </w:r>
          </w:p>
        </w:tc>
        <w:tc>
          <w:tcPr>
            <w:tcW w:w="840" w:type="dxa"/>
            <w:tcBorders>
              <w:top w:val="nil"/>
              <w:left w:val="nil"/>
              <w:bottom w:val="nil"/>
              <w:right w:val="nil"/>
            </w:tcBorders>
            <w:shd w:val="clear" w:color="000000" w:fill="FFFFFF"/>
            <w:noWrap/>
            <w:vAlign w:val="bottom"/>
            <w:hideMark/>
          </w:tcPr>
          <w:p w14:paraId="18EE9FFC"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yakın</w:t>
            </w:r>
          </w:p>
        </w:tc>
        <w:tc>
          <w:tcPr>
            <w:tcW w:w="580" w:type="dxa"/>
            <w:tcBorders>
              <w:top w:val="nil"/>
              <w:left w:val="nil"/>
              <w:bottom w:val="nil"/>
              <w:right w:val="nil"/>
            </w:tcBorders>
            <w:shd w:val="clear" w:color="000000" w:fill="FFFFFF"/>
            <w:noWrap/>
            <w:vAlign w:val="bottom"/>
            <w:hideMark/>
          </w:tcPr>
          <w:p w14:paraId="157C57C6"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2016</w:t>
            </w:r>
          </w:p>
        </w:tc>
        <w:tc>
          <w:tcPr>
            <w:tcW w:w="580" w:type="dxa"/>
            <w:tcBorders>
              <w:top w:val="nil"/>
              <w:left w:val="nil"/>
              <w:bottom w:val="nil"/>
              <w:right w:val="nil"/>
            </w:tcBorders>
            <w:shd w:val="clear" w:color="000000" w:fill="FFFFFF"/>
            <w:noWrap/>
            <w:vAlign w:val="bottom"/>
            <w:hideMark/>
          </w:tcPr>
          <w:p w14:paraId="5E3FF682"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-3,6</w:t>
            </w:r>
          </w:p>
        </w:tc>
        <w:tc>
          <w:tcPr>
            <w:tcW w:w="980" w:type="dxa"/>
            <w:tcBorders>
              <w:top w:val="nil"/>
              <w:left w:val="nil"/>
              <w:bottom w:val="nil"/>
              <w:right w:val="nil"/>
            </w:tcBorders>
            <w:shd w:val="clear" w:color="000000" w:fill="FFFFFF"/>
            <w:noWrap/>
            <w:vAlign w:val="bottom"/>
            <w:hideMark/>
          </w:tcPr>
          <w:p w14:paraId="56E0C02D"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300" w:type="dxa"/>
            <w:tcBorders>
              <w:top w:val="nil"/>
              <w:left w:val="nil"/>
              <w:bottom w:val="nil"/>
              <w:right w:val="nil"/>
            </w:tcBorders>
            <w:shd w:val="clear" w:color="000000" w:fill="FFFFFF"/>
            <w:noWrap/>
            <w:vAlign w:val="bottom"/>
            <w:hideMark/>
          </w:tcPr>
          <w:p w14:paraId="07396E38"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60" w:type="dxa"/>
            <w:tcBorders>
              <w:top w:val="nil"/>
              <w:left w:val="nil"/>
              <w:bottom w:val="nil"/>
              <w:right w:val="nil"/>
            </w:tcBorders>
            <w:shd w:val="clear" w:color="000000" w:fill="FFFFFF"/>
            <w:noWrap/>
            <w:vAlign w:val="bottom"/>
            <w:hideMark/>
          </w:tcPr>
          <w:p w14:paraId="41461516"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nil"/>
              <w:right w:val="nil"/>
            </w:tcBorders>
            <w:shd w:val="clear" w:color="000000" w:fill="FFFFFF"/>
            <w:noWrap/>
            <w:vAlign w:val="bottom"/>
            <w:hideMark/>
          </w:tcPr>
          <w:p w14:paraId="38A3D66B"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73747263"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5357F45F"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22</w:t>
            </w:r>
          </w:p>
        </w:tc>
        <w:tc>
          <w:tcPr>
            <w:tcW w:w="880" w:type="dxa"/>
            <w:tcBorders>
              <w:top w:val="nil"/>
              <w:left w:val="nil"/>
              <w:bottom w:val="nil"/>
              <w:right w:val="nil"/>
            </w:tcBorders>
            <w:shd w:val="clear" w:color="000000" w:fill="FFFFFF"/>
            <w:noWrap/>
            <w:vAlign w:val="bottom"/>
            <w:hideMark/>
          </w:tcPr>
          <w:p w14:paraId="7046AFEF"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tanzim</w:t>
            </w:r>
          </w:p>
        </w:tc>
        <w:tc>
          <w:tcPr>
            <w:tcW w:w="840" w:type="dxa"/>
            <w:tcBorders>
              <w:top w:val="nil"/>
              <w:left w:val="nil"/>
              <w:bottom w:val="nil"/>
              <w:right w:val="nil"/>
            </w:tcBorders>
            <w:shd w:val="clear" w:color="000000" w:fill="FFFFFF"/>
            <w:noWrap/>
            <w:vAlign w:val="bottom"/>
            <w:hideMark/>
          </w:tcPr>
          <w:p w14:paraId="62D860BA"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yakın</w:t>
            </w:r>
          </w:p>
        </w:tc>
        <w:tc>
          <w:tcPr>
            <w:tcW w:w="580" w:type="dxa"/>
            <w:tcBorders>
              <w:top w:val="nil"/>
              <w:left w:val="nil"/>
              <w:bottom w:val="nil"/>
              <w:right w:val="nil"/>
            </w:tcBorders>
            <w:shd w:val="clear" w:color="000000" w:fill="FFFFFF"/>
            <w:noWrap/>
            <w:vAlign w:val="bottom"/>
            <w:hideMark/>
          </w:tcPr>
          <w:p w14:paraId="2203B7FB"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2017</w:t>
            </w:r>
          </w:p>
        </w:tc>
        <w:tc>
          <w:tcPr>
            <w:tcW w:w="580" w:type="dxa"/>
            <w:tcBorders>
              <w:top w:val="nil"/>
              <w:left w:val="nil"/>
              <w:bottom w:val="nil"/>
              <w:right w:val="nil"/>
            </w:tcBorders>
            <w:shd w:val="clear" w:color="000000" w:fill="FFFFFF"/>
            <w:noWrap/>
            <w:vAlign w:val="bottom"/>
            <w:hideMark/>
          </w:tcPr>
          <w:p w14:paraId="03B5EE0E"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1,4</w:t>
            </w:r>
          </w:p>
        </w:tc>
        <w:tc>
          <w:tcPr>
            <w:tcW w:w="980" w:type="dxa"/>
            <w:tcBorders>
              <w:top w:val="nil"/>
              <w:left w:val="nil"/>
              <w:bottom w:val="nil"/>
              <w:right w:val="nil"/>
            </w:tcBorders>
            <w:shd w:val="clear" w:color="000000" w:fill="FFFFFF"/>
            <w:noWrap/>
            <w:vAlign w:val="bottom"/>
            <w:hideMark/>
          </w:tcPr>
          <w:p w14:paraId="757A48B4"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5,0</w:t>
            </w:r>
          </w:p>
        </w:tc>
        <w:tc>
          <w:tcPr>
            <w:tcW w:w="1300" w:type="dxa"/>
            <w:tcBorders>
              <w:top w:val="nil"/>
              <w:left w:val="nil"/>
              <w:bottom w:val="nil"/>
              <w:right w:val="nil"/>
            </w:tcBorders>
            <w:shd w:val="clear" w:color="000000" w:fill="FFFFFF"/>
            <w:noWrap/>
            <w:vAlign w:val="bottom"/>
            <w:hideMark/>
          </w:tcPr>
          <w:p w14:paraId="6F441561"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3,0</w:t>
            </w:r>
          </w:p>
        </w:tc>
        <w:tc>
          <w:tcPr>
            <w:tcW w:w="1460" w:type="dxa"/>
            <w:tcBorders>
              <w:top w:val="nil"/>
              <w:left w:val="nil"/>
              <w:bottom w:val="nil"/>
              <w:right w:val="nil"/>
            </w:tcBorders>
            <w:shd w:val="clear" w:color="000000" w:fill="FFFFFF"/>
            <w:noWrap/>
            <w:vAlign w:val="bottom"/>
            <w:hideMark/>
          </w:tcPr>
          <w:p w14:paraId="21F50AF9"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nil"/>
              <w:right w:val="nil"/>
            </w:tcBorders>
            <w:shd w:val="clear" w:color="000000" w:fill="FFFFFF"/>
            <w:noWrap/>
            <w:vAlign w:val="bottom"/>
            <w:hideMark/>
          </w:tcPr>
          <w:p w14:paraId="50B2B91D"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42ED8D01"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55552C89"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23</w:t>
            </w:r>
          </w:p>
        </w:tc>
        <w:tc>
          <w:tcPr>
            <w:tcW w:w="880" w:type="dxa"/>
            <w:tcBorders>
              <w:top w:val="nil"/>
              <w:left w:val="nil"/>
              <w:bottom w:val="nil"/>
              <w:right w:val="nil"/>
            </w:tcBorders>
            <w:shd w:val="clear" w:color="000000" w:fill="FFFFFF"/>
            <w:noWrap/>
            <w:vAlign w:val="bottom"/>
            <w:hideMark/>
          </w:tcPr>
          <w:p w14:paraId="3F9A6540"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tanzim</w:t>
            </w:r>
          </w:p>
        </w:tc>
        <w:tc>
          <w:tcPr>
            <w:tcW w:w="840" w:type="dxa"/>
            <w:tcBorders>
              <w:top w:val="nil"/>
              <w:left w:val="nil"/>
              <w:bottom w:val="nil"/>
              <w:right w:val="nil"/>
            </w:tcBorders>
            <w:shd w:val="clear" w:color="000000" w:fill="FFFFFF"/>
            <w:noWrap/>
            <w:vAlign w:val="bottom"/>
            <w:hideMark/>
          </w:tcPr>
          <w:p w14:paraId="212B2E28"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yakın</w:t>
            </w:r>
          </w:p>
        </w:tc>
        <w:tc>
          <w:tcPr>
            <w:tcW w:w="580" w:type="dxa"/>
            <w:tcBorders>
              <w:top w:val="nil"/>
              <w:left w:val="nil"/>
              <w:bottom w:val="nil"/>
              <w:right w:val="nil"/>
            </w:tcBorders>
            <w:shd w:val="clear" w:color="000000" w:fill="FFFFFF"/>
            <w:noWrap/>
            <w:vAlign w:val="bottom"/>
            <w:hideMark/>
          </w:tcPr>
          <w:p w14:paraId="10966936"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2018</w:t>
            </w:r>
          </w:p>
        </w:tc>
        <w:tc>
          <w:tcPr>
            <w:tcW w:w="580" w:type="dxa"/>
            <w:tcBorders>
              <w:top w:val="nil"/>
              <w:left w:val="nil"/>
              <w:bottom w:val="nil"/>
              <w:right w:val="nil"/>
            </w:tcBorders>
            <w:shd w:val="clear" w:color="000000" w:fill="FFFFFF"/>
            <w:noWrap/>
            <w:vAlign w:val="bottom"/>
            <w:hideMark/>
          </w:tcPr>
          <w:p w14:paraId="754EE454"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5,6</w:t>
            </w:r>
          </w:p>
        </w:tc>
        <w:tc>
          <w:tcPr>
            <w:tcW w:w="980" w:type="dxa"/>
            <w:tcBorders>
              <w:top w:val="nil"/>
              <w:left w:val="nil"/>
              <w:bottom w:val="nil"/>
              <w:right w:val="nil"/>
            </w:tcBorders>
            <w:shd w:val="clear" w:color="000000" w:fill="FFFFFF"/>
            <w:noWrap/>
            <w:vAlign w:val="bottom"/>
            <w:hideMark/>
          </w:tcPr>
          <w:p w14:paraId="6E9A4EB1"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4,2</w:t>
            </w:r>
          </w:p>
        </w:tc>
        <w:tc>
          <w:tcPr>
            <w:tcW w:w="1300" w:type="dxa"/>
            <w:tcBorders>
              <w:top w:val="nil"/>
              <w:left w:val="nil"/>
              <w:bottom w:val="nil"/>
              <w:right w:val="nil"/>
            </w:tcBorders>
            <w:shd w:val="clear" w:color="000000" w:fill="FFFFFF"/>
            <w:noWrap/>
            <w:vAlign w:val="bottom"/>
            <w:hideMark/>
          </w:tcPr>
          <w:p w14:paraId="30C9D6F6"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-2,1</w:t>
            </w:r>
          </w:p>
        </w:tc>
        <w:tc>
          <w:tcPr>
            <w:tcW w:w="1460" w:type="dxa"/>
            <w:tcBorders>
              <w:top w:val="nil"/>
              <w:left w:val="nil"/>
              <w:bottom w:val="nil"/>
              <w:right w:val="nil"/>
            </w:tcBorders>
            <w:shd w:val="clear" w:color="000000" w:fill="FFFFFF"/>
            <w:noWrap/>
            <w:vAlign w:val="bottom"/>
            <w:hideMark/>
          </w:tcPr>
          <w:p w14:paraId="4A485C2E"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nil"/>
              <w:right w:val="nil"/>
            </w:tcBorders>
            <w:shd w:val="clear" w:color="000000" w:fill="FFFFFF"/>
            <w:noWrap/>
            <w:vAlign w:val="bottom"/>
            <w:hideMark/>
          </w:tcPr>
          <w:p w14:paraId="55052F1F"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3077471B"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2E4749EA"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24</w:t>
            </w:r>
          </w:p>
        </w:tc>
        <w:tc>
          <w:tcPr>
            <w:tcW w:w="880" w:type="dxa"/>
            <w:tcBorders>
              <w:top w:val="nil"/>
              <w:left w:val="nil"/>
              <w:bottom w:val="nil"/>
              <w:right w:val="nil"/>
            </w:tcBorders>
            <w:shd w:val="clear" w:color="000000" w:fill="FFFFFF"/>
            <w:noWrap/>
            <w:vAlign w:val="bottom"/>
            <w:hideMark/>
          </w:tcPr>
          <w:p w14:paraId="7FEB54B8"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tanzim</w:t>
            </w:r>
          </w:p>
        </w:tc>
        <w:tc>
          <w:tcPr>
            <w:tcW w:w="840" w:type="dxa"/>
            <w:tcBorders>
              <w:top w:val="nil"/>
              <w:left w:val="nil"/>
              <w:bottom w:val="nil"/>
              <w:right w:val="nil"/>
            </w:tcBorders>
            <w:shd w:val="clear" w:color="000000" w:fill="FFFFFF"/>
            <w:noWrap/>
            <w:vAlign w:val="bottom"/>
            <w:hideMark/>
          </w:tcPr>
          <w:p w14:paraId="021E1853"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yakın</w:t>
            </w:r>
          </w:p>
        </w:tc>
        <w:tc>
          <w:tcPr>
            <w:tcW w:w="580" w:type="dxa"/>
            <w:tcBorders>
              <w:top w:val="nil"/>
              <w:left w:val="nil"/>
              <w:bottom w:val="nil"/>
              <w:right w:val="nil"/>
            </w:tcBorders>
            <w:shd w:val="clear" w:color="000000" w:fill="FFFFFF"/>
            <w:noWrap/>
            <w:vAlign w:val="bottom"/>
            <w:hideMark/>
          </w:tcPr>
          <w:p w14:paraId="5797D6D5"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2019</w:t>
            </w:r>
          </w:p>
        </w:tc>
        <w:tc>
          <w:tcPr>
            <w:tcW w:w="580" w:type="dxa"/>
            <w:tcBorders>
              <w:top w:val="nil"/>
              <w:left w:val="nil"/>
              <w:bottom w:val="nil"/>
              <w:right w:val="nil"/>
            </w:tcBorders>
            <w:shd w:val="clear" w:color="000000" w:fill="FFFFFF"/>
            <w:noWrap/>
            <w:vAlign w:val="bottom"/>
            <w:hideMark/>
          </w:tcPr>
          <w:p w14:paraId="77198970"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8,1</w:t>
            </w:r>
          </w:p>
        </w:tc>
        <w:tc>
          <w:tcPr>
            <w:tcW w:w="980" w:type="dxa"/>
            <w:tcBorders>
              <w:top w:val="nil"/>
              <w:left w:val="nil"/>
              <w:bottom w:val="nil"/>
              <w:right w:val="nil"/>
            </w:tcBorders>
            <w:shd w:val="clear" w:color="000000" w:fill="FFFFFF"/>
            <w:noWrap/>
            <w:vAlign w:val="bottom"/>
            <w:hideMark/>
          </w:tcPr>
          <w:p w14:paraId="29BA7949"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2,5</w:t>
            </w:r>
          </w:p>
        </w:tc>
        <w:tc>
          <w:tcPr>
            <w:tcW w:w="1300" w:type="dxa"/>
            <w:tcBorders>
              <w:top w:val="nil"/>
              <w:left w:val="nil"/>
              <w:bottom w:val="nil"/>
              <w:right w:val="nil"/>
            </w:tcBorders>
            <w:shd w:val="clear" w:color="000000" w:fill="FFFFFF"/>
            <w:noWrap/>
            <w:vAlign w:val="bottom"/>
            <w:hideMark/>
          </w:tcPr>
          <w:p w14:paraId="71CBB910"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-3,2</w:t>
            </w:r>
          </w:p>
        </w:tc>
        <w:tc>
          <w:tcPr>
            <w:tcW w:w="1460" w:type="dxa"/>
            <w:tcBorders>
              <w:top w:val="nil"/>
              <w:left w:val="nil"/>
              <w:bottom w:val="nil"/>
              <w:right w:val="nil"/>
            </w:tcBorders>
            <w:shd w:val="clear" w:color="000000" w:fill="FFFFFF"/>
            <w:noWrap/>
            <w:vAlign w:val="bottom"/>
            <w:hideMark/>
          </w:tcPr>
          <w:p w14:paraId="2F8788F5"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nil"/>
              <w:right w:val="nil"/>
            </w:tcBorders>
            <w:shd w:val="clear" w:color="000000" w:fill="FFFFFF"/>
            <w:noWrap/>
            <w:vAlign w:val="bottom"/>
            <w:hideMark/>
          </w:tcPr>
          <w:p w14:paraId="7D9DF970"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661AF78D"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6AEFB5BE"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25</w:t>
            </w:r>
          </w:p>
        </w:tc>
        <w:tc>
          <w:tcPr>
            <w:tcW w:w="880" w:type="dxa"/>
            <w:tcBorders>
              <w:top w:val="nil"/>
              <w:left w:val="nil"/>
              <w:bottom w:val="nil"/>
              <w:right w:val="nil"/>
            </w:tcBorders>
            <w:shd w:val="clear" w:color="000000" w:fill="FFFFFF"/>
            <w:noWrap/>
            <w:vAlign w:val="bottom"/>
            <w:hideMark/>
          </w:tcPr>
          <w:p w14:paraId="091C1930"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tanzim</w:t>
            </w:r>
          </w:p>
        </w:tc>
        <w:tc>
          <w:tcPr>
            <w:tcW w:w="840" w:type="dxa"/>
            <w:tcBorders>
              <w:top w:val="nil"/>
              <w:left w:val="nil"/>
              <w:bottom w:val="nil"/>
              <w:right w:val="nil"/>
            </w:tcBorders>
            <w:shd w:val="clear" w:color="000000" w:fill="FFFFFF"/>
            <w:noWrap/>
            <w:vAlign w:val="bottom"/>
            <w:hideMark/>
          </w:tcPr>
          <w:p w14:paraId="15FEEDED"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uzak</w:t>
            </w:r>
          </w:p>
        </w:tc>
        <w:tc>
          <w:tcPr>
            <w:tcW w:w="580" w:type="dxa"/>
            <w:tcBorders>
              <w:top w:val="nil"/>
              <w:left w:val="nil"/>
              <w:bottom w:val="nil"/>
              <w:right w:val="nil"/>
            </w:tcBorders>
            <w:shd w:val="clear" w:color="000000" w:fill="FFFFFF"/>
            <w:noWrap/>
            <w:vAlign w:val="bottom"/>
            <w:hideMark/>
          </w:tcPr>
          <w:p w14:paraId="6FFA6C5F"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2016</w:t>
            </w:r>
          </w:p>
        </w:tc>
        <w:tc>
          <w:tcPr>
            <w:tcW w:w="580" w:type="dxa"/>
            <w:tcBorders>
              <w:top w:val="nil"/>
              <w:left w:val="nil"/>
              <w:bottom w:val="nil"/>
              <w:right w:val="nil"/>
            </w:tcBorders>
            <w:shd w:val="clear" w:color="000000" w:fill="FFFFFF"/>
            <w:noWrap/>
            <w:vAlign w:val="bottom"/>
            <w:hideMark/>
          </w:tcPr>
          <w:p w14:paraId="751C5917"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2,6</w:t>
            </w:r>
          </w:p>
        </w:tc>
        <w:tc>
          <w:tcPr>
            <w:tcW w:w="980" w:type="dxa"/>
            <w:tcBorders>
              <w:top w:val="nil"/>
              <w:left w:val="nil"/>
              <w:bottom w:val="nil"/>
              <w:right w:val="nil"/>
            </w:tcBorders>
            <w:shd w:val="clear" w:color="000000" w:fill="FFFFFF"/>
            <w:noWrap/>
            <w:vAlign w:val="bottom"/>
            <w:hideMark/>
          </w:tcPr>
          <w:p w14:paraId="5B92CCCD"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300" w:type="dxa"/>
            <w:tcBorders>
              <w:top w:val="nil"/>
              <w:left w:val="nil"/>
              <w:bottom w:val="nil"/>
              <w:right w:val="nil"/>
            </w:tcBorders>
            <w:shd w:val="clear" w:color="000000" w:fill="FFFFFF"/>
            <w:noWrap/>
            <w:vAlign w:val="bottom"/>
            <w:hideMark/>
          </w:tcPr>
          <w:p w14:paraId="29C7C1A5"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60" w:type="dxa"/>
            <w:tcBorders>
              <w:top w:val="nil"/>
              <w:left w:val="nil"/>
              <w:bottom w:val="nil"/>
              <w:right w:val="nil"/>
            </w:tcBorders>
            <w:shd w:val="clear" w:color="000000" w:fill="FFFFFF"/>
            <w:noWrap/>
            <w:vAlign w:val="bottom"/>
            <w:hideMark/>
          </w:tcPr>
          <w:p w14:paraId="6F5CA35E"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nil"/>
              <w:right w:val="nil"/>
            </w:tcBorders>
            <w:shd w:val="clear" w:color="000000" w:fill="FFFFFF"/>
            <w:noWrap/>
            <w:vAlign w:val="bottom"/>
            <w:hideMark/>
          </w:tcPr>
          <w:p w14:paraId="4FF4317A"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44823E57"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3397BB15"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26</w:t>
            </w:r>
          </w:p>
        </w:tc>
        <w:tc>
          <w:tcPr>
            <w:tcW w:w="880" w:type="dxa"/>
            <w:tcBorders>
              <w:top w:val="nil"/>
              <w:left w:val="nil"/>
              <w:bottom w:val="nil"/>
              <w:right w:val="nil"/>
            </w:tcBorders>
            <w:shd w:val="clear" w:color="000000" w:fill="FFFFFF"/>
            <w:noWrap/>
            <w:vAlign w:val="bottom"/>
            <w:hideMark/>
          </w:tcPr>
          <w:p w14:paraId="5EF0ECD1"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tanzim</w:t>
            </w:r>
          </w:p>
        </w:tc>
        <w:tc>
          <w:tcPr>
            <w:tcW w:w="840" w:type="dxa"/>
            <w:tcBorders>
              <w:top w:val="nil"/>
              <w:left w:val="nil"/>
              <w:bottom w:val="nil"/>
              <w:right w:val="nil"/>
            </w:tcBorders>
            <w:shd w:val="clear" w:color="000000" w:fill="FFFFFF"/>
            <w:noWrap/>
            <w:vAlign w:val="bottom"/>
            <w:hideMark/>
          </w:tcPr>
          <w:p w14:paraId="5BBA061C"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uzak</w:t>
            </w:r>
          </w:p>
        </w:tc>
        <w:tc>
          <w:tcPr>
            <w:tcW w:w="580" w:type="dxa"/>
            <w:tcBorders>
              <w:top w:val="nil"/>
              <w:left w:val="nil"/>
              <w:bottom w:val="nil"/>
              <w:right w:val="nil"/>
            </w:tcBorders>
            <w:shd w:val="clear" w:color="000000" w:fill="FFFFFF"/>
            <w:noWrap/>
            <w:vAlign w:val="bottom"/>
            <w:hideMark/>
          </w:tcPr>
          <w:p w14:paraId="0A894780"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2017</w:t>
            </w:r>
          </w:p>
        </w:tc>
        <w:tc>
          <w:tcPr>
            <w:tcW w:w="580" w:type="dxa"/>
            <w:tcBorders>
              <w:top w:val="nil"/>
              <w:left w:val="nil"/>
              <w:bottom w:val="nil"/>
              <w:right w:val="nil"/>
            </w:tcBorders>
            <w:shd w:val="clear" w:color="000000" w:fill="FFFFFF"/>
            <w:noWrap/>
            <w:vAlign w:val="bottom"/>
            <w:hideMark/>
          </w:tcPr>
          <w:p w14:paraId="4F88BF7B"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4,0</w:t>
            </w:r>
          </w:p>
        </w:tc>
        <w:tc>
          <w:tcPr>
            <w:tcW w:w="980" w:type="dxa"/>
            <w:tcBorders>
              <w:top w:val="nil"/>
              <w:left w:val="nil"/>
              <w:bottom w:val="nil"/>
              <w:right w:val="nil"/>
            </w:tcBorders>
            <w:shd w:val="clear" w:color="000000" w:fill="FFFFFF"/>
            <w:noWrap/>
            <w:vAlign w:val="bottom"/>
            <w:hideMark/>
          </w:tcPr>
          <w:p w14:paraId="4C26C48C"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1,4</w:t>
            </w:r>
          </w:p>
        </w:tc>
        <w:tc>
          <w:tcPr>
            <w:tcW w:w="1300" w:type="dxa"/>
            <w:tcBorders>
              <w:top w:val="nil"/>
              <w:left w:val="nil"/>
              <w:bottom w:val="nil"/>
              <w:right w:val="nil"/>
            </w:tcBorders>
            <w:shd w:val="clear" w:color="000000" w:fill="FFFFFF"/>
            <w:noWrap/>
            <w:vAlign w:val="bottom"/>
            <w:hideMark/>
          </w:tcPr>
          <w:p w14:paraId="064F1A29"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-1,0</w:t>
            </w:r>
          </w:p>
        </w:tc>
        <w:tc>
          <w:tcPr>
            <w:tcW w:w="1460" w:type="dxa"/>
            <w:tcBorders>
              <w:top w:val="nil"/>
              <w:left w:val="nil"/>
              <w:bottom w:val="nil"/>
              <w:right w:val="nil"/>
            </w:tcBorders>
            <w:shd w:val="clear" w:color="000000" w:fill="FFFFFF"/>
            <w:noWrap/>
            <w:vAlign w:val="bottom"/>
            <w:hideMark/>
          </w:tcPr>
          <w:p w14:paraId="23AB4E91"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nil"/>
              <w:right w:val="nil"/>
            </w:tcBorders>
            <w:shd w:val="clear" w:color="000000" w:fill="FFFFFF"/>
            <w:noWrap/>
            <w:vAlign w:val="bottom"/>
            <w:hideMark/>
          </w:tcPr>
          <w:p w14:paraId="7DF1E8F0"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619F6B7B"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539E72E2"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27</w:t>
            </w:r>
          </w:p>
        </w:tc>
        <w:tc>
          <w:tcPr>
            <w:tcW w:w="880" w:type="dxa"/>
            <w:tcBorders>
              <w:top w:val="nil"/>
              <w:left w:val="nil"/>
              <w:bottom w:val="nil"/>
              <w:right w:val="nil"/>
            </w:tcBorders>
            <w:shd w:val="clear" w:color="000000" w:fill="FFFFFF"/>
            <w:noWrap/>
            <w:vAlign w:val="bottom"/>
            <w:hideMark/>
          </w:tcPr>
          <w:p w14:paraId="00AA3BCC"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tanzim</w:t>
            </w:r>
          </w:p>
        </w:tc>
        <w:tc>
          <w:tcPr>
            <w:tcW w:w="840" w:type="dxa"/>
            <w:tcBorders>
              <w:top w:val="nil"/>
              <w:left w:val="nil"/>
              <w:bottom w:val="nil"/>
              <w:right w:val="nil"/>
            </w:tcBorders>
            <w:shd w:val="clear" w:color="000000" w:fill="FFFFFF"/>
            <w:noWrap/>
            <w:vAlign w:val="bottom"/>
            <w:hideMark/>
          </w:tcPr>
          <w:p w14:paraId="1DC49F9C"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uzak</w:t>
            </w:r>
          </w:p>
        </w:tc>
        <w:tc>
          <w:tcPr>
            <w:tcW w:w="580" w:type="dxa"/>
            <w:tcBorders>
              <w:top w:val="nil"/>
              <w:left w:val="nil"/>
              <w:bottom w:val="nil"/>
              <w:right w:val="nil"/>
            </w:tcBorders>
            <w:shd w:val="clear" w:color="000000" w:fill="FFFFFF"/>
            <w:noWrap/>
            <w:vAlign w:val="bottom"/>
            <w:hideMark/>
          </w:tcPr>
          <w:p w14:paraId="1B2BD461"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2018</w:t>
            </w:r>
          </w:p>
        </w:tc>
        <w:tc>
          <w:tcPr>
            <w:tcW w:w="580" w:type="dxa"/>
            <w:tcBorders>
              <w:top w:val="nil"/>
              <w:left w:val="nil"/>
              <w:bottom w:val="nil"/>
              <w:right w:val="nil"/>
            </w:tcBorders>
            <w:shd w:val="clear" w:color="000000" w:fill="FFFFFF"/>
            <w:noWrap/>
            <w:vAlign w:val="bottom"/>
            <w:hideMark/>
          </w:tcPr>
          <w:p w14:paraId="7B7F4EC3"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3,7</w:t>
            </w:r>
          </w:p>
        </w:tc>
        <w:tc>
          <w:tcPr>
            <w:tcW w:w="980" w:type="dxa"/>
            <w:tcBorders>
              <w:top w:val="nil"/>
              <w:left w:val="nil"/>
              <w:bottom w:val="nil"/>
              <w:right w:val="nil"/>
            </w:tcBorders>
            <w:shd w:val="clear" w:color="000000" w:fill="FFFFFF"/>
            <w:noWrap/>
            <w:vAlign w:val="bottom"/>
            <w:hideMark/>
          </w:tcPr>
          <w:p w14:paraId="5DFD75E7"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-0,3</w:t>
            </w:r>
          </w:p>
        </w:tc>
        <w:tc>
          <w:tcPr>
            <w:tcW w:w="1300" w:type="dxa"/>
            <w:tcBorders>
              <w:top w:val="nil"/>
              <w:left w:val="nil"/>
              <w:bottom w:val="nil"/>
              <w:right w:val="nil"/>
            </w:tcBorders>
            <w:shd w:val="clear" w:color="000000" w:fill="FFFFFF"/>
            <w:noWrap/>
            <w:vAlign w:val="bottom"/>
            <w:hideMark/>
          </w:tcPr>
          <w:p w14:paraId="5FA10618"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0,7</w:t>
            </w:r>
          </w:p>
        </w:tc>
        <w:tc>
          <w:tcPr>
            <w:tcW w:w="1460" w:type="dxa"/>
            <w:tcBorders>
              <w:top w:val="nil"/>
              <w:left w:val="nil"/>
              <w:bottom w:val="nil"/>
              <w:right w:val="nil"/>
            </w:tcBorders>
            <w:shd w:val="clear" w:color="000000" w:fill="FFFFFF"/>
            <w:noWrap/>
            <w:vAlign w:val="bottom"/>
            <w:hideMark/>
          </w:tcPr>
          <w:p w14:paraId="3F73A521"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nil"/>
              <w:right w:val="nil"/>
            </w:tcBorders>
            <w:shd w:val="clear" w:color="000000" w:fill="FFFFFF"/>
            <w:noWrap/>
            <w:vAlign w:val="bottom"/>
            <w:hideMark/>
          </w:tcPr>
          <w:p w14:paraId="5292B7BB"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33F82EAB"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3BEB32C3"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28</w:t>
            </w:r>
          </w:p>
        </w:tc>
        <w:tc>
          <w:tcPr>
            <w:tcW w:w="880" w:type="dxa"/>
            <w:tcBorders>
              <w:top w:val="nil"/>
              <w:left w:val="nil"/>
              <w:bottom w:val="nil"/>
              <w:right w:val="nil"/>
            </w:tcBorders>
            <w:shd w:val="clear" w:color="000000" w:fill="FFFFFF"/>
            <w:noWrap/>
            <w:vAlign w:val="bottom"/>
            <w:hideMark/>
          </w:tcPr>
          <w:p w14:paraId="49073DF4"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tanzim</w:t>
            </w:r>
          </w:p>
        </w:tc>
        <w:tc>
          <w:tcPr>
            <w:tcW w:w="840" w:type="dxa"/>
            <w:tcBorders>
              <w:top w:val="nil"/>
              <w:left w:val="nil"/>
              <w:bottom w:val="nil"/>
              <w:right w:val="nil"/>
            </w:tcBorders>
            <w:shd w:val="clear" w:color="000000" w:fill="FFFFFF"/>
            <w:noWrap/>
            <w:vAlign w:val="bottom"/>
            <w:hideMark/>
          </w:tcPr>
          <w:p w14:paraId="35E08EAF"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uzak</w:t>
            </w:r>
          </w:p>
        </w:tc>
        <w:tc>
          <w:tcPr>
            <w:tcW w:w="580" w:type="dxa"/>
            <w:tcBorders>
              <w:top w:val="nil"/>
              <w:left w:val="nil"/>
              <w:bottom w:val="nil"/>
              <w:right w:val="nil"/>
            </w:tcBorders>
            <w:shd w:val="clear" w:color="000000" w:fill="FFFFFF"/>
            <w:noWrap/>
            <w:vAlign w:val="bottom"/>
            <w:hideMark/>
          </w:tcPr>
          <w:p w14:paraId="02CEAFA3"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2019</w:t>
            </w:r>
          </w:p>
        </w:tc>
        <w:tc>
          <w:tcPr>
            <w:tcW w:w="580" w:type="dxa"/>
            <w:tcBorders>
              <w:top w:val="nil"/>
              <w:left w:val="nil"/>
              <w:bottom w:val="nil"/>
              <w:right w:val="nil"/>
            </w:tcBorders>
            <w:shd w:val="clear" w:color="000000" w:fill="FFFFFF"/>
            <w:noWrap/>
            <w:vAlign w:val="bottom"/>
            <w:hideMark/>
          </w:tcPr>
          <w:p w14:paraId="4E34AE72"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1,1</w:t>
            </w:r>
          </w:p>
        </w:tc>
        <w:tc>
          <w:tcPr>
            <w:tcW w:w="980" w:type="dxa"/>
            <w:tcBorders>
              <w:top w:val="nil"/>
              <w:left w:val="nil"/>
              <w:bottom w:val="nil"/>
              <w:right w:val="nil"/>
            </w:tcBorders>
            <w:shd w:val="clear" w:color="000000" w:fill="FFFFFF"/>
            <w:noWrap/>
            <w:vAlign w:val="bottom"/>
            <w:hideMark/>
          </w:tcPr>
          <w:p w14:paraId="56152807"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-2,5</w:t>
            </w:r>
          </w:p>
        </w:tc>
        <w:tc>
          <w:tcPr>
            <w:tcW w:w="1300" w:type="dxa"/>
            <w:tcBorders>
              <w:top w:val="nil"/>
              <w:left w:val="nil"/>
              <w:bottom w:val="nil"/>
              <w:right w:val="nil"/>
            </w:tcBorders>
            <w:shd w:val="clear" w:color="000000" w:fill="FFFFFF"/>
            <w:noWrap/>
            <w:vAlign w:val="bottom"/>
            <w:hideMark/>
          </w:tcPr>
          <w:p w14:paraId="04AD7282"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-0,7</w:t>
            </w:r>
          </w:p>
        </w:tc>
        <w:tc>
          <w:tcPr>
            <w:tcW w:w="1460" w:type="dxa"/>
            <w:tcBorders>
              <w:top w:val="nil"/>
              <w:left w:val="nil"/>
              <w:bottom w:val="nil"/>
              <w:right w:val="nil"/>
            </w:tcBorders>
            <w:shd w:val="clear" w:color="000000" w:fill="FFFFFF"/>
            <w:noWrap/>
            <w:vAlign w:val="bottom"/>
            <w:hideMark/>
          </w:tcPr>
          <w:p w14:paraId="0D0E902A"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nil"/>
              <w:right w:val="nil"/>
            </w:tcBorders>
            <w:shd w:val="clear" w:color="000000" w:fill="FFFFFF"/>
            <w:noWrap/>
            <w:vAlign w:val="bottom"/>
            <w:hideMark/>
          </w:tcPr>
          <w:p w14:paraId="02BD51CF"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5FAFF686"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53232000"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29</w:t>
            </w:r>
          </w:p>
        </w:tc>
        <w:tc>
          <w:tcPr>
            <w:tcW w:w="880" w:type="dxa"/>
            <w:tcBorders>
              <w:top w:val="nil"/>
              <w:left w:val="nil"/>
              <w:bottom w:val="nil"/>
              <w:right w:val="nil"/>
            </w:tcBorders>
            <w:shd w:val="clear" w:color="000000" w:fill="FFFFFF"/>
            <w:noWrap/>
            <w:vAlign w:val="bottom"/>
            <w:hideMark/>
          </w:tcPr>
          <w:p w14:paraId="058F9498"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tanzim</w:t>
            </w:r>
          </w:p>
        </w:tc>
        <w:tc>
          <w:tcPr>
            <w:tcW w:w="840" w:type="dxa"/>
            <w:tcBorders>
              <w:top w:val="nil"/>
              <w:left w:val="nil"/>
              <w:bottom w:val="nil"/>
              <w:right w:val="nil"/>
            </w:tcBorders>
            <w:shd w:val="clear" w:color="000000" w:fill="FFFFFF"/>
            <w:noWrap/>
            <w:vAlign w:val="bottom"/>
            <w:hideMark/>
          </w:tcPr>
          <w:p w14:paraId="7044309B"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diğer</w:t>
            </w:r>
          </w:p>
        </w:tc>
        <w:tc>
          <w:tcPr>
            <w:tcW w:w="580" w:type="dxa"/>
            <w:tcBorders>
              <w:top w:val="nil"/>
              <w:left w:val="nil"/>
              <w:bottom w:val="nil"/>
              <w:right w:val="nil"/>
            </w:tcBorders>
            <w:shd w:val="clear" w:color="000000" w:fill="FFFFFF"/>
            <w:noWrap/>
            <w:vAlign w:val="bottom"/>
            <w:hideMark/>
          </w:tcPr>
          <w:p w14:paraId="03099CA7"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2016</w:t>
            </w:r>
          </w:p>
        </w:tc>
        <w:tc>
          <w:tcPr>
            <w:tcW w:w="580" w:type="dxa"/>
            <w:tcBorders>
              <w:top w:val="nil"/>
              <w:left w:val="nil"/>
              <w:bottom w:val="nil"/>
              <w:right w:val="nil"/>
            </w:tcBorders>
            <w:shd w:val="clear" w:color="000000" w:fill="FFFFFF"/>
            <w:noWrap/>
            <w:vAlign w:val="bottom"/>
            <w:hideMark/>
          </w:tcPr>
          <w:p w14:paraId="22CB6D57"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-0,3</w:t>
            </w:r>
          </w:p>
        </w:tc>
        <w:tc>
          <w:tcPr>
            <w:tcW w:w="980" w:type="dxa"/>
            <w:tcBorders>
              <w:top w:val="nil"/>
              <w:left w:val="nil"/>
              <w:bottom w:val="nil"/>
              <w:right w:val="nil"/>
            </w:tcBorders>
            <w:shd w:val="clear" w:color="000000" w:fill="FFFFFF"/>
            <w:noWrap/>
            <w:vAlign w:val="bottom"/>
            <w:hideMark/>
          </w:tcPr>
          <w:p w14:paraId="712E5EB3"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300" w:type="dxa"/>
            <w:tcBorders>
              <w:top w:val="nil"/>
              <w:left w:val="nil"/>
              <w:bottom w:val="nil"/>
              <w:right w:val="nil"/>
            </w:tcBorders>
            <w:shd w:val="clear" w:color="000000" w:fill="FFFFFF"/>
            <w:noWrap/>
            <w:vAlign w:val="bottom"/>
            <w:hideMark/>
          </w:tcPr>
          <w:p w14:paraId="1AF3DD6F"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60" w:type="dxa"/>
            <w:tcBorders>
              <w:top w:val="nil"/>
              <w:left w:val="nil"/>
              <w:bottom w:val="nil"/>
              <w:right w:val="nil"/>
            </w:tcBorders>
            <w:shd w:val="clear" w:color="000000" w:fill="FFFFFF"/>
            <w:noWrap/>
            <w:vAlign w:val="bottom"/>
            <w:hideMark/>
          </w:tcPr>
          <w:p w14:paraId="1882AE17"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nil"/>
              <w:right w:val="nil"/>
            </w:tcBorders>
            <w:shd w:val="clear" w:color="000000" w:fill="FFFFFF"/>
            <w:noWrap/>
            <w:vAlign w:val="bottom"/>
            <w:hideMark/>
          </w:tcPr>
          <w:p w14:paraId="685D55C3"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49300A84"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7C9166F7"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30</w:t>
            </w:r>
          </w:p>
        </w:tc>
        <w:tc>
          <w:tcPr>
            <w:tcW w:w="880" w:type="dxa"/>
            <w:tcBorders>
              <w:top w:val="nil"/>
              <w:left w:val="nil"/>
              <w:bottom w:val="nil"/>
              <w:right w:val="nil"/>
            </w:tcBorders>
            <w:shd w:val="clear" w:color="000000" w:fill="FFFFFF"/>
            <w:noWrap/>
            <w:vAlign w:val="bottom"/>
            <w:hideMark/>
          </w:tcPr>
          <w:p w14:paraId="71280E55"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tanzim</w:t>
            </w:r>
          </w:p>
        </w:tc>
        <w:tc>
          <w:tcPr>
            <w:tcW w:w="840" w:type="dxa"/>
            <w:tcBorders>
              <w:top w:val="nil"/>
              <w:left w:val="nil"/>
              <w:bottom w:val="nil"/>
              <w:right w:val="nil"/>
            </w:tcBorders>
            <w:shd w:val="clear" w:color="000000" w:fill="FFFFFF"/>
            <w:noWrap/>
            <w:vAlign w:val="bottom"/>
            <w:hideMark/>
          </w:tcPr>
          <w:p w14:paraId="28BAD5C8"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diğer</w:t>
            </w:r>
          </w:p>
        </w:tc>
        <w:tc>
          <w:tcPr>
            <w:tcW w:w="580" w:type="dxa"/>
            <w:tcBorders>
              <w:top w:val="nil"/>
              <w:left w:val="nil"/>
              <w:bottom w:val="nil"/>
              <w:right w:val="nil"/>
            </w:tcBorders>
            <w:shd w:val="clear" w:color="000000" w:fill="FFFFFF"/>
            <w:noWrap/>
            <w:vAlign w:val="bottom"/>
            <w:hideMark/>
          </w:tcPr>
          <w:p w14:paraId="22A819B9"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2017</w:t>
            </w:r>
          </w:p>
        </w:tc>
        <w:tc>
          <w:tcPr>
            <w:tcW w:w="580" w:type="dxa"/>
            <w:tcBorders>
              <w:top w:val="nil"/>
              <w:left w:val="nil"/>
              <w:bottom w:val="nil"/>
              <w:right w:val="nil"/>
            </w:tcBorders>
            <w:shd w:val="clear" w:color="000000" w:fill="FFFFFF"/>
            <w:noWrap/>
            <w:vAlign w:val="bottom"/>
            <w:hideMark/>
          </w:tcPr>
          <w:p w14:paraId="25EF8D4C"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0,9</w:t>
            </w:r>
          </w:p>
        </w:tc>
        <w:tc>
          <w:tcPr>
            <w:tcW w:w="980" w:type="dxa"/>
            <w:tcBorders>
              <w:top w:val="nil"/>
              <w:left w:val="nil"/>
              <w:bottom w:val="nil"/>
              <w:right w:val="nil"/>
            </w:tcBorders>
            <w:shd w:val="clear" w:color="000000" w:fill="FFFFFF"/>
            <w:noWrap/>
            <w:vAlign w:val="bottom"/>
            <w:hideMark/>
          </w:tcPr>
          <w:p w14:paraId="720C7433"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1,1</w:t>
            </w:r>
          </w:p>
        </w:tc>
        <w:tc>
          <w:tcPr>
            <w:tcW w:w="1300" w:type="dxa"/>
            <w:tcBorders>
              <w:top w:val="nil"/>
              <w:left w:val="nil"/>
              <w:bottom w:val="nil"/>
              <w:right w:val="nil"/>
            </w:tcBorders>
            <w:shd w:val="clear" w:color="000000" w:fill="FFFFFF"/>
            <w:noWrap/>
            <w:vAlign w:val="bottom"/>
            <w:hideMark/>
          </w:tcPr>
          <w:p w14:paraId="62D2AF54"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0,4</w:t>
            </w:r>
          </w:p>
        </w:tc>
        <w:tc>
          <w:tcPr>
            <w:tcW w:w="1460" w:type="dxa"/>
            <w:tcBorders>
              <w:top w:val="nil"/>
              <w:left w:val="nil"/>
              <w:bottom w:val="nil"/>
              <w:right w:val="nil"/>
            </w:tcBorders>
            <w:shd w:val="clear" w:color="000000" w:fill="FFFFFF"/>
            <w:noWrap/>
            <w:vAlign w:val="bottom"/>
            <w:hideMark/>
          </w:tcPr>
          <w:p w14:paraId="479D0B72"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nil"/>
              <w:right w:val="nil"/>
            </w:tcBorders>
            <w:shd w:val="clear" w:color="000000" w:fill="FFFFFF"/>
            <w:noWrap/>
            <w:vAlign w:val="bottom"/>
            <w:hideMark/>
          </w:tcPr>
          <w:p w14:paraId="6ECCFDC3"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3ABB2A44" w14:textId="77777777" w:rsidTr="00602F69">
        <w:trPr>
          <w:trHeight w:val="240"/>
        </w:trPr>
        <w:tc>
          <w:tcPr>
            <w:tcW w:w="380" w:type="dxa"/>
            <w:tcBorders>
              <w:top w:val="nil"/>
              <w:left w:val="nil"/>
              <w:bottom w:val="nil"/>
              <w:right w:val="single" w:sz="4" w:space="0" w:color="auto"/>
            </w:tcBorders>
            <w:shd w:val="clear" w:color="000000" w:fill="FFFFFF"/>
            <w:noWrap/>
            <w:vAlign w:val="bottom"/>
            <w:hideMark/>
          </w:tcPr>
          <w:p w14:paraId="53103A5A"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31</w:t>
            </w:r>
          </w:p>
        </w:tc>
        <w:tc>
          <w:tcPr>
            <w:tcW w:w="880" w:type="dxa"/>
            <w:tcBorders>
              <w:top w:val="nil"/>
              <w:left w:val="nil"/>
              <w:bottom w:val="nil"/>
              <w:right w:val="nil"/>
            </w:tcBorders>
            <w:shd w:val="clear" w:color="000000" w:fill="FFFFFF"/>
            <w:noWrap/>
            <w:vAlign w:val="bottom"/>
            <w:hideMark/>
          </w:tcPr>
          <w:p w14:paraId="309B64B7"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tanzim</w:t>
            </w:r>
          </w:p>
        </w:tc>
        <w:tc>
          <w:tcPr>
            <w:tcW w:w="840" w:type="dxa"/>
            <w:tcBorders>
              <w:top w:val="nil"/>
              <w:left w:val="nil"/>
              <w:bottom w:val="nil"/>
              <w:right w:val="nil"/>
            </w:tcBorders>
            <w:shd w:val="clear" w:color="000000" w:fill="FFFFFF"/>
            <w:noWrap/>
            <w:vAlign w:val="bottom"/>
            <w:hideMark/>
          </w:tcPr>
          <w:p w14:paraId="54738809"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diğer</w:t>
            </w:r>
          </w:p>
        </w:tc>
        <w:tc>
          <w:tcPr>
            <w:tcW w:w="580" w:type="dxa"/>
            <w:tcBorders>
              <w:top w:val="nil"/>
              <w:left w:val="nil"/>
              <w:bottom w:val="nil"/>
              <w:right w:val="nil"/>
            </w:tcBorders>
            <w:shd w:val="clear" w:color="000000" w:fill="FFFFFF"/>
            <w:noWrap/>
            <w:vAlign w:val="bottom"/>
            <w:hideMark/>
          </w:tcPr>
          <w:p w14:paraId="6F36AD04"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2018</w:t>
            </w:r>
          </w:p>
        </w:tc>
        <w:tc>
          <w:tcPr>
            <w:tcW w:w="580" w:type="dxa"/>
            <w:tcBorders>
              <w:top w:val="nil"/>
              <w:left w:val="nil"/>
              <w:bottom w:val="nil"/>
              <w:right w:val="nil"/>
            </w:tcBorders>
            <w:shd w:val="clear" w:color="000000" w:fill="FFFFFF"/>
            <w:noWrap/>
            <w:vAlign w:val="bottom"/>
            <w:hideMark/>
          </w:tcPr>
          <w:p w14:paraId="1F9853F0"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0,5</w:t>
            </w:r>
          </w:p>
        </w:tc>
        <w:tc>
          <w:tcPr>
            <w:tcW w:w="980" w:type="dxa"/>
            <w:tcBorders>
              <w:top w:val="nil"/>
              <w:left w:val="nil"/>
              <w:bottom w:val="nil"/>
              <w:right w:val="nil"/>
            </w:tcBorders>
            <w:shd w:val="clear" w:color="000000" w:fill="FFFFFF"/>
            <w:noWrap/>
            <w:vAlign w:val="bottom"/>
            <w:hideMark/>
          </w:tcPr>
          <w:p w14:paraId="31D8DDCE"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-0,3</w:t>
            </w:r>
          </w:p>
        </w:tc>
        <w:tc>
          <w:tcPr>
            <w:tcW w:w="1300" w:type="dxa"/>
            <w:tcBorders>
              <w:top w:val="nil"/>
              <w:left w:val="nil"/>
              <w:bottom w:val="nil"/>
              <w:right w:val="nil"/>
            </w:tcBorders>
            <w:shd w:val="clear" w:color="000000" w:fill="FFFFFF"/>
            <w:noWrap/>
            <w:vAlign w:val="bottom"/>
            <w:hideMark/>
          </w:tcPr>
          <w:p w14:paraId="67C1E37A"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0,0</w:t>
            </w:r>
          </w:p>
        </w:tc>
        <w:tc>
          <w:tcPr>
            <w:tcW w:w="1460" w:type="dxa"/>
            <w:tcBorders>
              <w:top w:val="nil"/>
              <w:left w:val="nil"/>
              <w:bottom w:val="nil"/>
              <w:right w:val="nil"/>
            </w:tcBorders>
            <w:shd w:val="clear" w:color="000000" w:fill="FFFFFF"/>
            <w:noWrap/>
            <w:vAlign w:val="bottom"/>
            <w:hideMark/>
          </w:tcPr>
          <w:p w14:paraId="1440AFA4"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nil"/>
              <w:right w:val="nil"/>
            </w:tcBorders>
            <w:shd w:val="clear" w:color="000000" w:fill="FFFFFF"/>
            <w:noWrap/>
            <w:vAlign w:val="bottom"/>
            <w:hideMark/>
          </w:tcPr>
          <w:p w14:paraId="109EE4C6"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r w:rsidR="00602F69" w:rsidRPr="00602F69" w14:paraId="4AA82E0D" w14:textId="77777777" w:rsidTr="00602F69">
        <w:trPr>
          <w:trHeight w:val="240"/>
        </w:trPr>
        <w:tc>
          <w:tcPr>
            <w:tcW w:w="380" w:type="dxa"/>
            <w:tcBorders>
              <w:top w:val="nil"/>
              <w:left w:val="nil"/>
              <w:bottom w:val="double" w:sz="6" w:space="0" w:color="auto"/>
              <w:right w:val="single" w:sz="4" w:space="0" w:color="auto"/>
            </w:tcBorders>
            <w:shd w:val="clear" w:color="000000" w:fill="FFFFFF"/>
            <w:noWrap/>
            <w:vAlign w:val="bottom"/>
            <w:hideMark/>
          </w:tcPr>
          <w:p w14:paraId="39513E3B" w14:textId="77777777" w:rsidR="00602F69" w:rsidRPr="00602F69" w:rsidRDefault="00602F69" w:rsidP="00602F69">
            <w:pPr>
              <w:suppressAutoHyphens w:val="0"/>
              <w:spacing w:after="0" w:line="240" w:lineRule="auto"/>
              <w:jc w:val="left"/>
              <w:rPr>
                <w:rFonts w:ascii="Calibri" w:hAnsi="Calibri" w:cs="Calibri"/>
                <w:color w:val="000000"/>
                <w:sz w:val="18"/>
                <w:szCs w:val="18"/>
                <w:lang w:eastAsia="tr-TR"/>
              </w:rPr>
            </w:pPr>
            <w:r w:rsidRPr="00602F69">
              <w:rPr>
                <w:rFonts w:ascii="Calibri" w:hAnsi="Calibri" w:cs="Calibri"/>
                <w:color w:val="000000"/>
                <w:sz w:val="18"/>
                <w:szCs w:val="18"/>
                <w:lang w:eastAsia="tr-TR"/>
              </w:rPr>
              <w:t>32</w:t>
            </w:r>
          </w:p>
        </w:tc>
        <w:tc>
          <w:tcPr>
            <w:tcW w:w="880" w:type="dxa"/>
            <w:tcBorders>
              <w:top w:val="nil"/>
              <w:left w:val="nil"/>
              <w:bottom w:val="double" w:sz="6" w:space="0" w:color="auto"/>
              <w:right w:val="nil"/>
            </w:tcBorders>
            <w:shd w:val="clear" w:color="000000" w:fill="FFFFFF"/>
            <w:noWrap/>
            <w:vAlign w:val="bottom"/>
            <w:hideMark/>
          </w:tcPr>
          <w:p w14:paraId="7CCD3ADE"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tanzim</w:t>
            </w:r>
          </w:p>
        </w:tc>
        <w:tc>
          <w:tcPr>
            <w:tcW w:w="840" w:type="dxa"/>
            <w:tcBorders>
              <w:top w:val="nil"/>
              <w:left w:val="nil"/>
              <w:bottom w:val="double" w:sz="6" w:space="0" w:color="auto"/>
              <w:right w:val="nil"/>
            </w:tcBorders>
            <w:shd w:val="clear" w:color="000000" w:fill="FFFFFF"/>
            <w:noWrap/>
            <w:vAlign w:val="bottom"/>
            <w:hideMark/>
          </w:tcPr>
          <w:p w14:paraId="685843E4" w14:textId="77777777" w:rsidR="00602F69" w:rsidRPr="00602F69" w:rsidRDefault="00602F69" w:rsidP="00602F69">
            <w:pPr>
              <w:suppressAutoHyphens w:val="0"/>
              <w:spacing w:after="0" w:line="240" w:lineRule="auto"/>
              <w:jc w:val="lef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diğer</w:t>
            </w:r>
          </w:p>
        </w:tc>
        <w:tc>
          <w:tcPr>
            <w:tcW w:w="580" w:type="dxa"/>
            <w:tcBorders>
              <w:top w:val="nil"/>
              <w:left w:val="nil"/>
              <w:bottom w:val="double" w:sz="6" w:space="0" w:color="auto"/>
              <w:right w:val="nil"/>
            </w:tcBorders>
            <w:shd w:val="clear" w:color="000000" w:fill="FFFFFF"/>
            <w:noWrap/>
            <w:vAlign w:val="bottom"/>
            <w:hideMark/>
          </w:tcPr>
          <w:p w14:paraId="1D317BBD" w14:textId="77777777" w:rsidR="00602F69" w:rsidRPr="00602F69" w:rsidRDefault="00602F69" w:rsidP="00602F69">
            <w:pPr>
              <w:suppressAutoHyphens w:val="0"/>
              <w:spacing w:after="0" w:line="240" w:lineRule="auto"/>
              <w:jc w:val="center"/>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2019</w:t>
            </w:r>
          </w:p>
        </w:tc>
        <w:tc>
          <w:tcPr>
            <w:tcW w:w="580" w:type="dxa"/>
            <w:tcBorders>
              <w:top w:val="nil"/>
              <w:left w:val="nil"/>
              <w:bottom w:val="double" w:sz="6" w:space="0" w:color="auto"/>
              <w:right w:val="nil"/>
            </w:tcBorders>
            <w:shd w:val="clear" w:color="000000" w:fill="FFFFFF"/>
            <w:noWrap/>
            <w:vAlign w:val="bottom"/>
            <w:hideMark/>
          </w:tcPr>
          <w:p w14:paraId="0E64C972"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-0,2</w:t>
            </w:r>
          </w:p>
        </w:tc>
        <w:tc>
          <w:tcPr>
            <w:tcW w:w="980" w:type="dxa"/>
            <w:tcBorders>
              <w:top w:val="nil"/>
              <w:left w:val="nil"/>
              <w:bottom w:val="double" w:sz="6" w:space="0" w:color="auto"/>
              <w:right w:val="nil"/>
            </w:tcBorders>
            <w:shd w:val="clear" w:color="000000" w:fill="FFFFFF"/>
            <w:noWrap/>
            <w:vAlign w:val="bottom"/>
            <w:hideMark/>
          </w:tcPr>
          <w:p w14:paraId="4B90CE57"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-0,7</w:t>
            </w:r>
          </w:p>
        </w:tc>
        <w:tc>
          <w:tcPr>
            <w:tcW w:w="1300" w:type="dxa"/>
            <w:tcBorders>
              <w:top w:val="nil"/>
              <w:left w:val="nil"/>
              <w:bottom w:val="double" w:sz="6" w:space="0" w:color="auto"/>
              <w:right w:val="nil"/>
            </w:tcBorders>
            <w:shd w:val="clear" w:color="000000" w:fill="FFFFFF"/>
            <w:noWrap/>
            <w:vAlign w:val="bottom"/>
            <w:hideMark/>
          </w:tcPr>
          <w:p w14:paraId="0D48B4BA"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-0,2</w:t>
            </w:r>
          </w:p>
        </w:tc>
        <w:tc>
          <w:tcPr>
            <w:tcW w:w="1460" w:type="dxa"/>
            <w:tcBorders>
              <w:top w:val="nil"/>
              <w:left w:val="nil"/>
              <w:bottom w:val="double" w:sz="6" w:space="0" w:color="auto"/>
              <w:right w:val="nil"/>
            </w:tcBorders>
            <w:shd w:val="clear" w:color="000000" w:fill="FFFFFF"/>
            <w:noWrap/>
            <w:vAlign w:val="bottom"/>
            <w:hideMark/>
          </w:tcPr>
          <w:p w14:paraId="394A043C"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c>
          <w:tcPr>
            <w:tcW w:w="1420" w:type="dxa"/>
            <w:tcBorders>
              <w:top w:val="nil"/>
              <w:left w:val="nil"/>
              <w:bottom w:val="double" w:sz="6" w:space="0" w:color="auto"/>
              <w:right w:val="nil"/>
            </w:tcBorders>
            <w:shd w:val="clear" w:color="000000" w:fill="FFFFFF"/>
            <w:noWrap/>
            <w:vAlign w:val="bottom"/>
            <w:hideMark/>
          </w:tcPr>
          <w:p w14:paraId="67914245" w14:textId="77777777" w:rsidR="00602F69" w:rsidRPr="00602F69" w:rsidRDefault="00602F69" w:rsidP="00602F69">
            <w:pPr>
              <w:suppressAutoHyphens w:val="0"/>
              <w:spacing w:after="0" w:line="240" w:lineRule="auto"/>
              <w:jc w:val="right"/>
              <w:rPr>
                <w:rFonts w:ascii="Calibri" w:hAnsi="Calibri" w:cs="Calibri"/>
                <w:b/>
                <w:bCs/>
                <w:color w:val="000000"/>
                <w:sz w:val="18"/>
                <w:szCs w:val="18"/>
                <w:lang w:eastAsia="tr-TR"/>
              </w:rPr>
            </w:pPr>
            <w:r w:rsidRPr="00602F69">
              <w:rPr>
                <w:rFonts w:ascii="Calibri" w:hAnsi="Calibri" w:cs="Calibri"/>
                <w:b/>
                <w:bCs/>
                <w:color w:val="000000"/>
                <w:sz w:val="18"/>
                <w:szCs w:val="18"/>
                <w:lang w:eastAsia="tr-TR"/>
              </w:rPr>
              <w:t> </w:t>
            </w:r>
          </w:p>
        </w:tc>
      </w:tr>
    </w:tbl>
    <w:p w14:paraId="30FB9286" w14:textId="77777777" w:rsidR="00D23B7D" w:rsidRPr="00C80404" w:rsidRDefault="00602F69" w:rsidP="00D23B7D">
      <w:pPr>
        <w:rPr>
          <w:sz w:val="20"/>
          <w:szCs w:val="20"/>
          <w:lang w:eastAsia="tr-TR"/>
        </w:rPr>
      </w:pPr>
      <w:r w:rsidRPr="00C80404">
        <w:rPr>
          <w:b/>
          <w:sz w:val="20"/>
          <w:szCs w:val="20"/>
          <w:lang w:eastAsia="tr-TR"/>
        </w:rPr>
        <w:t>Ka</w:t>
      </w:r>
      <w:r w:rsidR="00D23B7D" w:rsidRPr="00C80404">
        <w:rPr>
          <w:b/>
          <w:sz w:val="20"/>
          <w:szCs w:val="20"/>
          <w:lang w:eastAsia="tr-TR"/>
        </w:rPr>
        <w:t>ynak</w:t>
      </w:r>
      <w:r w:rsidR="00D23B7D" w:rsidRPr="00C80404">
        <w:rPr>
          <w:sz w:val="20"/>
          <w:szCs w:val="20"/>
          <w:lang w:eastAsia="tr-TR"/>
        </w:rPr>
        <w:t>: Betam, TUİK. T</w:t>
      </w:r>
      <w:r w:rsidR="004E00B0" w:rsidRPr="00C80404">
        <w:rPr>
          <w:sz w:val="20"/>
          <w:szCs w:val="20"/>
          <w:lang w:eastAsia="tr-TR"/>
        </w:rPr>
        <w:t>ÜFE T</w:t>
      </w:r>
      <w:r w:rsidR="00D23B7D" w:rsidRPr="00C80404">
        <w:rPr>
          <w:sz w:val="20"/>
          <w:szCs w:val="20"/>
          <w:lang w:eastAsia="tr-TR"/>
        </w:rPr>
        <w:t xml:space="preserve">üketici </w:t>
      </w:r>
      <w:r w:rsidR="004E00B0" w:rsidRPr="00C80404">
        <w:rPr>
          <w:sz w:val="20"/>
          <w:szCs w:val="20"/>
          <w:lang w:eastAsia="tr-TR"/>
        </w:rPr>
        <w:t xml:space="preserve">Madde </w:t>
      </w:r>
      <w:r w:rsidR="00D23B7D" w:rsidRPr="00C80404">
        <w:rPr>
          <w:sz w:val="20"/>
          <w:szCs w:val="20"/>
          <w:lang w:eastAsia="tr-TR"/>
        </w:rPr>
        <w:t>Fiyatları, İstatistiksel Tablolar ve Dinamik Sorgulama</w:t>
      </w:r>
      <w:r w:rsidR="004E00B0" w:rsidRPr="00C80404">
        <w:rPr>
          <w:sz w:val="20"/>
          <w:szCs w:val="20"/>
          <w:lang w:eastAsia="tr-TR"/>
        </w:rPr>
        <w:t>,</w:t>
      </w:r>
      <w:r w:rsidR="00D23B7D" w:rsidRPr="00C80404">
        <w:rPr>
          <w:sz w:val="20"/>
          <w:szCs w:val="20"/>
          <w:lang w:eastAsia="tr-TR"/>
        </w:rPr>
        <w:t xml:space="preserve"> http://www.tuik.gov.tr, Erişim tarihi 05.03.2019</w:t>
      </w:r>
      <w:r w:rsidR="004E00B0" w:rsidRPr="00C80404">
        <w:rPr>
          <w:sz w:val="20"/>
          <w:szCs w:val="20"/>
          <w:lang w:eastAsia="tr-TR"/>
        </w:rPr>
        <w:t xml:space="preserve">. </w:t>
      </w:r>
      <w:r w:rsidR="004E00B0" w:rsidRPr="00C80404">
        <w:rPr>
          <w:b/>
          <w:sz w:val="20"/>
          <w:szCs w:val="20"/>
          <w:lang w:eastAsia="tr-TR"/>
        </w:rPr>
        <w:t>Not:</w:t>
      </w:r>
      <w:r w:rsidR="005974FA" w:rsidRPr="00C80404">
        <w:rPr>
          <w:sz w:val="20"/>
          <w:szCs w:val="20"/>
          <w:lang w:eastAsia="tr-TR"/>
        </w:rPr>
        <w:t xml:space="preserve"> </w:t>
      </w:r>
      <w:r w:rsidR="003212C6" w:rsidRPr="00C80404">
        <w:rPr>
          <w:sz w:val="20"/>
          <w:szCs w:val="20"/>
          <w:lang w:eastAsia="tr-TR"/>
        </w:rPr>
        <w:t>“</w:t>
      </w:r>
      <w:r w:rsidR="005974FA" w:rsidRPr="00C80404">
        <w:rPr>
          <w:b/>
          <w:sz w:val="20"/>
          <w:szCs w:val="20"/>
          <w:lang w:eastAsia="tr-TR"/>
        </w:rPr>
        <w:t>Enf.</w:t>
      </w:r>
      <w:r w:rsidR="003212C6" w:rsidRPr="00C80404">
        <w:rPr>
          <w:b/>
          <w:sz w:val="20"/>
          <w:szCs w:val="20"/>
          <w:lang w:eastAsia="tr-TR"/>
        </w:rPr>
        <w:t>”</w:t>
      </w:r>
      <w:r w:rsidR="005974FA" w:rsidRPr="00C80404">
        <w:rPr>
          <w:b/>
          <w:sz w:val="20"/>
          <w:szCs w:val="20"/>
          <w:lang w:eastAsia="tr-TR"/>
        </w:rPr>
        <w:t xml:space="preserve"> </w:t>
      </w:r>
      <w:r w:rsidR="003212C6" w:rsidRPr="00C80404">
        <w:rPr>
          <w:b/>
          <w:sz w:val="20"/>
          <w:szCs w:val="20"/>
          <w:lang w:eastAsia="tr-TR"/>
        </w:rPr>
        <w:t>s</w:t>
      </w:r>
      <w:r w:rsidR="005974FA" w:rsidRPr="00C80404">
        <w:rPr>
          <w:b/>
          <w:sz w:val="20"/>
          <w:szCs w:val="20"/>
          <w:lang w:eastAsia="tr-TR"/>
        </w:rPr>
        <w:t>ütunu her yılın şubat ayı aylık enflasyon rakamını vermektedir. “Enf. Farkı” sütunu her yılın aylık şubat enflasyonundan bir önceki yılın şubat ayı enflasyonunu çıkarmak suretiyle elde edilmiştir</w:t>
      </w:r>
      <w:r w:rsidR="006954A7" w:rsidRPr="00C80404">
        <w:rPr>
          <w:b/>
          <w:sz w:val="20"/>
          <w:szCs w:val="20"/>
          <w:lang w:eastAsia="tr-TR"/>
        </w:rPr>
        <w:t xml:space="preserve"> [örnek: E20 = D20 – D19]</w:t>
      </w:r>
      <w:r w:rsidR="005974FA" w:rsidRPr="00C80404">
        <w:rPr>
          <w:b/>
          <w:sz w:val="20"/>
          <w:szCs w:val="20"/>
          <w:lang w:eastAsia="tr-TR"/>
        </w:rPr>
        <w:t>. “Enf. Farklarının Farkı” sütunu her bir ürün tipi için tanzim bölgesi enflasyon farkından diğer bölge enflasyon farkını çıkararak hesaplan</w:t>
      </w:r>
      <w:r w:rsidR="008B3BD7" w:rsidRPr="00C80404">
        <w:rPr>
          <w:b/>
          <w:sz w:val="20"/>
          <w:szCs w:val="20"/>
          <w:lang w:eastAsia="tr-TR"/>
        </w:rPr>
        <w:t>an FF tahmincisini vermektedir</w:t>
      </w:r>
      <w:r w:rsidR="006954A7" w:rsidRPr="00C80404">
        <w:rPr>
          <w:b/>
          <w:sz w:val="20"/>
          <w:szCs w:val="20"/>
          <w:lang w:eastAsia="tr-TR"/>
        </w:rPr>
        <w:t xml:space="preserve"> [örnek: F20 = E20 – E4]</w:t>
      </w:r>
      <w:r w:rsidR="005974FA" w:rsidRPr="00C80404">
        <w:rPr>
          <w:b/>
          <w:sz w:val="20"/>
          <w:szCs w:val="20"/>
          <w:lang w:eastAsia="tr-TR"/>
        </w:rPr>
        <w:t xml:space="preserve">.  </w:t>
      </w:r>
      <w:r w:rsidR="006954A7" w:rsidRPr="00C80404">
        <w:rPr>
          <w:b/>
          <w:sz w:val="20"/>
          <w:szCs w:val="20"/>
          <w:lang w:eastAsia="tr-TR"/>
        </w:rPr>
        <w:t>“Enf. Farklarının Farkının Farkı (1)” ve “Enf. Farklarının Farkının Farkı (2)” sadece tanzim ürünler için hesaplan</w:t>
      </w:r>
      <w:r w:rsidR="008B3BD7" w:rsidRPr="00C80404">
        <w:rPr>
          <w:b/>
          <w:sz w:val="20"/>
          <w:szCs w:val="20"/>
          <w:lang w:eastAsia="tr-TR"/>
        </w:rPr>
        <w:t xml:space="preserve">an FFF tahmincileridir. İlki </w:t>
      </w:r>
      <w:r w:rsidR="006954A7" w:rsidRPr="00C80404">
        <w:rPr>
          <w:b/>
          <w:sz w:val="20"/>
          <w:szCs w:val="20"/>
          <w:lang w:eastAsia="tr-TR"/>
        </w:rPr>
        <w:t xml:space="preserve">tanzim ürünler için hesaplanan </w:t>
      </w:r>
      <w:r w:rsidR="008B3BD7" w:rsidRPr="00C80404">
        <w:rPr>
          <w:b/>
          <w:sz w:val="20"/>
          <w:szCs w:val="20"/>
          <w:lang w:eastAsia="tr-TR"/>
        </w:rPr>
        <w:t xml:space="preserve">FF değerinden “diğer” ürün için hesaplanan FF değerini </w:t>
      </w:r>
      <w:r w:rsidR="00684754" w:rsidRPr="00C80404">
        <w:rPr>
          <w:b/>
          <w:sz w:val="20"/>
          <w:szCs w:val="20"/>
          <w:lang w:eastAsia="tr-TR"/>
        </w:rPr>
        <w:t>çıkarırken [</w:t>
      </w:r>
      <w:r w:rsidR="008B3BD7" w:rsidRPr="00C80404">
        <w:rPr>
          <w:b/>
          <w:sz w:val="20"/>
          <w:szCs w:val="20"/>
          <w:lang w:eastAsia="tr-TR"/>
        </w:rPr>
        <w:t>G20 = F20 – F32] ikincisi “uzak” ürün FF değerini çıkarmaktadır [H20 = F20 – F28]</w:t>
      </w:r>
      <w:r w:rsidR="006954A7" w:rsidRPr="00C80404">
        <w:rPr>
          <w:b/>
          <w:sz w:val="20"/>
          <w:szCs w:val="20"/>
          <w:lang w:eastAsia="tr-TR"/>
        </w:rPr>
        <w:t>.</w:t>
      </w:r>
    </w:p>
    <w:p w14:paraId="3E30E470" w14:textId="4ADEA951" w:rsidR="00602F69" w:rsidRPr="00C80404" w:rsidRDefault="00602F69" w:rsidP="00602F69">
      <w:pPr>
        <w:rPr>
          <w:rFonts w:eastAsiaTheme="minorHAnsi"/>
          <w:lang w:eastAsia="en-US"/>
        </w:rPr>
      </w:pPr>
      <w:r w:rsidRPr="00C80404">
        <w:rPr>
          <w:rFonts w:eastAsiaTheme="minorHAnsi"/>
          <w:lang w:eastAsia="en-US"/>
        </w:rPr>
        <w:t xml:space="preserve">“Enf. Farklarının Farkı” sütunu adından da anlaşılacağı </w:t>
      </w:r>
      <w:r w:rsidR="00074049">
        <w:rPr>
          <w:rFonts w:eastAsiaTheme="minorHAnsi"/>
          <w:lang w:eastAsia="en-US"/>
        </w:rPr>
        <w:t>ü</w:t>
      </w:r>
      <w:r w:rsidRPr="00C80404">
        <w:rPr>
          <w:rFonts w:eastAsiaTheme="minorHAnsi"/>
          <w:lang w:eastAsia="en-US"/>
        </w:rPr>
        <w:t xml:space="preserve">zere bu iki bölge (tanzim ve diğer) enflasyon farkı arasındaki farktan ibarettir.  FF yaklaşımı ile hesaplanan tanzim satış etkisi eksi 6,5 yüzde puandır. Yukarıda tam listesini verdiğimiz tanzim ürünleri için tanzim satış etkisi fiyatların 6,5 yüzde puan kadar daha düşmesine sebep olmuştur. Tanzim ürünleri için </w:t>
      </w:r>
      <w:r w:rsidRPr="00C80404">
        <w:rPr>
          <w:rFonts w:eastAsiaTheme="minorHAnsi"/>
          <w:lang w:eastAsia="en-US"/>
        </w:rPr>
        <w:lastRenderedPageBreak/>
        <w:t>2017 ve 2018 için hesaplanan FF etkileri sırası ile artı ve eksi 1,2 yüzde puandır. Plasebo testine göre FF tahmincisinin etkisinden bahsedebilmek için daha önceki yıllarda hesaplanan etkilerin anlamsız olması gerekmektedir. Yukarıdaki sayılar bu durumu doğrulamaktadır</w:t>
      </w:r>
      <w:r w:rsidRPr="00C80404">
        <w:rPr>
          <w:rStyle w:val="FootnoteReference"/>
          <w:rFonts w:eastAsiaTheme="minorHAnsi"/>
          <w:lang w:eastAsia="en-US"/>
        </w:rPr>
        <w:footnoteReference w:id="13"/>
      </w:r>
      <w:r w:rsidRPr="00C80404">
        <w:rPr>
          <w:rFonts w:eastAsiaTheme="minorHAnsi"/>
          <w:lang w:eastAsia="en-US"/>
        </w:rPr>
        <w:t xml:space="preserve">. </w:t>
      </w:r>
    </w:p>
    <w:p w14:paraId="74B87AA5" w14:textId="77777777" w:rsidR="00CF6ABC" w:rsidRPr="00C80404" w:rsidRDefault="005B6CEC" w:rsidP="00CF6ABC">
      <w:r w:rsidRPr="00C80404">
        <w:t>Son olarak, paralel trend varsayımının geçersiz olduğu durumlar için FFF tahmincisi hesaplanmıştır. Bunun için “tanzim” ürün için hesaplanan FF tahmincisinden (eksi 6,5) “diğer” ürün için hesaplanan FF tahmincisi (eksi 0,2</w:t>
      </w:r>
      <w:r w:rsidR="000103F3" w:rsidRPr="00C80404">
        <w:t>) çıkarılarak</w:t>
      </w:r>
      <w:r w:rsidRPr="00C80404">
        <w:t xml:space="preserve"> tazim etkisi muhtemel  lokal şoklardan arındırılmış ve tanzim satış etkisi eksi 6,2 </w:t>
      </w:r>
      <w:r w:rsidR="00BE3529" w:rsidRPr="00C80404">
        <w:t xml:space="preserve">yüzde puan </w:t>
      </w:r>
      <w:r w:rsidRPr="00C80404">
        <w:t>olarak hesaplanmıştır. “diğer” ürün yerine “uzak” ürünlerin kullanılması FFF tahmincisini bir miktar daha aşağı çekerek eksi 5,8</w:t>
      </w:r>
      <w:r w:rsidR="00BE3529" w:rsidRPr="00C80404">
        <w:t xml:space="preserve"> yüzde puan</w:t>
      </w:r>
      <w:r w:rsidRPr="00C80404">
        <w:t xml:space="preserve"> yapmaktadır. </w:t>
      </w:r>
    </w:p>
    <w:p w14:paraId="6446039A" w14:textId="77777777" w:rsidR="00CF6ABC" w:rsidRPr="00C80404" w:rsidRDefault="00CF6ABC" w:rsidP="00CF6ABC">
      <w:pPr>
        <w:pStyle w:val="Heading2"/>
        <w:rPr>
          <w:rFonts w:eastAsiaTheme="minorHAnsi"/>
          <w:lang w:val="tr-TR" w:eastAsia="en-US"/>
        </w:rPr>
      </w:pPr>
      <w:r w:rsidRPr="00C80404">
        <w:rPr>
          <w:rFonts w:eastAsiaTheme="minorHAnsi"/>
          <w:lang w:val="tr-TR" w:eastAsia="en-US"/>
        </w:rPr>
        <w:t xml:space="preserve">Tanzim satışın </w:t>
      </w:r>
      <w:r w:rsidR="008678B0" w:rsidRPr="00C80404">
        <w:rPr>
          <w:rFonts w:eastAsiaTheme="minorHAnsi"/>
          <w:lang w:val="tr-TR" w:eastAsia="en-US"/>
        </w:rPr>
        <w:t>Türkiye</w:t>
      </w:r>
      <w:r w:rsidRPr="00C80404">
        <w:rPr>
          <w:rFonts w:eastAsiaTheme="minorHAnsi"/>
          <w:lang w:val="tr-TR" w:eastAsia="en-US"/>
        </w:rPr>
        <w:t xml:space="preserve"> </w:t>
      </w:r>
      <w:r w:rsidR="008678B0" w:rsidRPr="00C80404">
        <w:rPr>
          <w:rFonts w:eastAsiaTheme="minorHAnsi"/>
          <w:lang w:val="tr-TR" w:eastAsia="en-US"/>
        </w:rPr>
        <w:t xml:space="preserve">aylık </w:t>
      </w:r>
      <w:r w:rsidRPr="00C80404">
        <w:rPr>
          <w:rFonts w:eastAsiaTheme="minorHAnsi"/>
          <w:lang w:val="tr-TR" w:eastAsia="en-US"/>
        </w:rPr>
        <w:t>enflasyon</w:t>
      </w:r>
      <w:r w:rsidR="008678B0" w:rsidRPr="00C80404">
        <w:rPr>
          <w:rFonts w:eastAsiaTheme="minorHAnsi"/>
          <w:lang w:val="tr-TR" w:eastAsia="en-US"/>
        </w:rPr>
        <w:t>un</w:t>
      </w:r>
      <w:r w:rsidRPr="00C80404">
        <w:rPr>
          <w:rFonts w:eastAsiaTheme="minorHAnsi"/>
          <w:lang w:val="tr-TR" w:eastAsia="en-US"/>
        </w:rPr>
        <w:t xml:space="preserve">a etkisi </w:t>
      </w:r>
    </w:p>
    <w:p w14:paraId="6D0507EE" w14:textId="51EF93E4" w:rsidR="00CF6ABC" w:rsidRPr="00C80404" w:rsidRDefault="0085447A" w:rsidP="005B6CEC">
      <w:r w:rsidRPr="00C80404">
        <w:t>Akla gelen sorulardan biri, belki ilki, bunun genel enflasyon oranına etkisidir. Bunu kesin olarak bilmenin imkânı yok. Ancak birtakım güçlü varsayımlar altında bir şeyler söylenebilir. 2019 Şubat ayı aylık enflasyonu yüzde 0,16 olarak açıklandı. Bunu tanzim bölgeleri (Ankara ve İstanbul) ile diğer bölgelerin ağırlıklı ortalaması olarak düşünebiliriz. Ağırlık olarak GSYH paylarının kullanılması uygundur. Bölge düzeyinde en güncel GSYH rakamları 2017 yılına ait. Buna göre Ankara’nın payı yüzde 9, İstanbul’un payı yüzde 31,2, dolayısıyla tanzim bölgelerinin GSYH içindeki payı yüzde 40,2</w:t>
      </w:r>
      <w:r w:rsidR="00930FB0" w:rsidRPr="00C80404">
        <w:t xml:space="preserve">, </w:t>
      </w:r>
      <w:r w:rsidR="00074049">
        <w:t>yuvarlayarak</w:t>
      </w:r>
      <w:r w:rsidR="00930FB0" w:rsidRPr="00C80404">
        <w:t xml:space="preserve"> yüzde 40 diyelim</w:t>
      </w:r>
      <w:r w:rsidRPr="00C80404">
        <w:t xml:space="preserve">. </w:t>
      </w:r>
      <w:r w:rsidR="00930FB0" w:rsidRPr="00C80404">
        <w:t xml:space="preserve">Tanzim satış olmasaydı gözlemlenecek enflasyon rakamının tanzim bölgelerinde ve diğer bölgelerde aynı olacağını varsayalım. Buna INF diyelim. </w:t>
      </w:r>
      <w:r w:rsidR="00E1019B" w:rsidRPr="00C80404">
        <w:t xml:space="preserve">Tanzim </w:t>
      </w:r>
      <w:r w:rsidR="002E3E2C" w:rsidRPr="00C80404">
        <w:t xml:space="preserve">satışın tanzim bölgesi aylık enflasyonuna olan </w:t>
      </w:r>
      <w:r w:rsidR="00E1019B" w:rsidRPr="00C80404">
        <w:t xml:space="preserve">etkisini </w:t>
      </w:r>
      <m:oMath>
        <m:r>
          <w:rPr>
            <w:rFonts w:ascii="Cambria Math" w:hAnsi="Cambria Math"/>
          </w:rPr>
          <m:t>x</m:t>
        </m:r>
      </m:oMath>
      <w:r w:rsidR="00E1019B" w:rsidRPr="00C80404">
        <w:t xml:space="preserve"> ile gösterirsek g</w:t>
      </w:r>
      <w:r w:rsidR="00930FB0" w:rsidRPr="00C80404">
        <w:t>enel formülü şöyle özetleyebiliriz</w:t>
      </w:r>
      <w:r w:rsidR="00E1019B" w:rsidRPr="00C80404">
        <w:t>:</w:t>
      </w:r>
    </w:p>
    <w:p w14:paraId="750E1F42" w14:textId="77777777" w:rsidR="00E1019B" w:rsidRPr="00C80404" w:rsidRDefault="00E1019B" w:rsidP="005B6CEC">
      <m:oMathPara>
        <m:oMath>
          <m:r>
            <w:rPr>
              <w:rFonts w:ascii="Cambria Math" w:hAnsi="Cambria Math"/>
            </w:rPr>
            <m:t>0,16= 0,4*</m:t>
          </m:r>
          <m:d>
            <m:dPr>
              <m:ctrlPr>
                <w:rPr>
                  <w:rFonts w:ascii="Cambria Math" w:hAnsi="Cambria Math"/>
                  <w:i/>
                </w:rPr>
              </m:ctrlPr>
            </m:dPr>
            <m:e>
              <m:r>
                <w:rPr>
                  <w:rFonts w:ascii="Cambria Math" w:hAnsi="Cambria Math"/>
                </w:rPr>
                <m:t>INF-x</m:t>
              </m:r>
            </m:e>
          </m:d>
          <m:r>
            <w:rPr>
              <w:rFonts w:ascii="Cambria Math" w:hAnsi="Cambria Math"/>
            </w:rPr>
            <m:t>+0,6*INF=INF-0,4*x</m:t>
          </m:r>
        </m:oMath>
      </m:oMathPara>
    </w:p>
    <w:p w14:paraId="39D21319" w14:textId="7287BA88" w:rsidR="00930FB0" w:rsidRPr="00C80404" w:rsidRDefault="00E1019B" w:rsidP="002E3E2C">
      <w:pPr>
        <w:suppressAutoHyphens w:val="0"/>
        <w:spacing w:after="200"/>
      </w:pPr>
      <w:r w:rsidRPr="00C80404">
        <w:t xml:space="preserve">O halde tanzim olmasaydı gözlemlenecek enflasyon </w:t>
      </w:r>
      <m:oMath>
        <m:r>
          <w:rPr>
            <w:rFonts w:ascii="Cambria Math" w:hAnsi="Cambria Math"/>
          </w:rPr>
          <m:t>0,16+0,4*x</m:t>
        </m:r>
      </m:oMath>
      <w:r w:rsidR="002E3E2C" w:rsidRPr="00C80404">
        <w:t xml:space="preserve">  olurdu</w:t>
      </w:r>
      <w:r w:rsidRPr="00C80404">
        <w:t>.</w:t>
      </w:r>
      <w:r w:rsidR="00554D7F" w:rsidRPr="00C80404">
        <w:t xml:space="preserve"> Türkiye için hesaplanan aylık enflasyon oranı yaklaşık </w:t>
      </w:r>
      <m:oMath>
        <m:r>
          <w:rPr>
            <w:rFonts w:ascii="Cambria Math" w:hAnsi="Cambria Math"/>
          </w:rPr>
          <m:t>0,4*x</m:t>
        </m:r>
      </m:oMath>
      <w:r w:rsidR="00554D7F" w:rsidRPr="00C80404">
        <w:t xml:space="preserve"> yüzde puan kadar daha yüksek olacaktı.</w:t>
      </w:r>
      <w:r w:rsidRPr="00C80404">
        <w:t xml:space="preserve"> Geriye </w:t>
      </w:r>
      <m:oMath>
        <m:r>
          <w:rPr>
            <w:rFonts w:ascii="Cambria Math" w:hAnsi="Cambria Math"/>
          </w:rPr>
          <m:t>x</m:t>
        </m:r>
      </m:oMath>
      <w:r w:rsidR="002E3E2C" w:rsidRPr="00C80404">
        <w:t xml:space="preserve">’i (tanzim satışın tanzim bölgesi aylık enflasyonuna olan etkisi) </w:t>
      </w:r>
      <w:r w:rsidRPr="00C80404">
        <w:t xml:space="preserve">bulmak kalıyor. Tablo 1’de görüleceği üzere tanzim satış etkisinin tanzim ürünlerine olan etkisi tanzim bölgesi için yaklaşık 6 </w:t>
      </w:r>
      <w:r w:rsidR="00D82316" w:rsidRPr="00C80404">
        <w:t xml:space="preserve">yüzde puan </w:t>
      </w:r>
      <w:r w:rsidRPr="00C80404">
        <w:t>olarak hesaplanmıştı. Tanzim ürünlerinin TÜFE sepeti içindeki payı TÜİK web sayfasında yer alan “Tüketici Fiyat Endeksi Ana Grup ve Madde Ağırlıkları (Türkiye)” tablosundan elde edilebilir</w:t>
      </w:r>
      <w:r w:rsidR="002E3E2C" w:rsidRPr="00C80404">
        <w:rPr>
          <w:rStyle w:val="FootnoteReference"/>
        </w:rPr>
        <w:footnoteReference w:id="14"/>
      </w:r>
      <w:r w:rsidRPr="00C80404">
        <w:t xml:space="preserve">. Bu tabloya göre tanzim ürünlerinin ağırlığı yüzde 2,4’tür. </w:t>
      </w:r>
      <w:r w:rsidR="00554D7F" w:rsidRPr="00C80404">
        <w:t xml:space="preserve">O halde, </w:t>
      </w:r>
      <m:oMath>
        <m:r>
          <w:rPr>
            <w:rFonts w:ascii="Cambria Math" w:hAnsi="Cambria Math"/>
          </w:rPr>
          <m:t>x</m:t>
        </m:r>
      </m:oMath>
      <w:r w:rsidR="00AC7807" w:rsidRPr="00C80404">
        <w:t xml:space="preserve">, </w:t>
      </w:r>
      <w:r w:rsidR="00554D7F" w:rsidRPr="00C80404">
        <w:t>t</w:t>
      </w:r>
      <w:r w:rsidRPr="00C80404">
        <w:t xml:space="preserve">anzim satışın </w:t>
      </w:r>
      <w:r w:rsidR="0096105E" w:rsidRPr="00C80404">
        <w:t xml:space="preserve">tanzim bölgesi </w:t>
      </w:r>
      <w:r w:rsidRPr="00C80404">
        <w:t>aylık enflasyon oranına etkisi</w:t>
      </w:r>
      <w:r w:rsidR="00AC7807" w:rsidRPr="00C80404">
        <w:t>,</w:t>
      </w:r>
      <w:r w:rsidRPr="00C80404">
        <w:t xml:space="preserve"> </w:t>
      </w:r>
      <m:oMath>
        <m:r>
          <w:rPr>
            <w:rFonts w:ascii="Cambria Math" w:hAnsi="Cambria Math"/>
          </w:rPr>
          <m:t>0,024*6=0,144</m:t>
        </m:r>
      </m:oMath>
      <w:r w:rsidR="00583032" w:rsidRPr="00C80404">
        <w:t xml:space="preserve"> yüzde puandır. </w:t>
      </w:r>
      <w:r w:rsidRPr="00C80404">
        <w:t xml:space="preserve"> </w:t>
      </w:r>
      <w:r w:rsidR="0075495A" w:rsidRPr="00C80404">
        <w:t xml:space="preserve">Türkiye’nin aylık enflasyonuna katkısı </w:t>
      </w:r>
      <m:oMath>
        <m:r>
          <w:rPr>
            <w:rFonts w:ascii="Cambria Math" w:hAnsi="Cambria Math"/>
          </w:rPr>
          <m:t>0,4*0,144=0,06</m:t>
        </m:r>
      </m:oMath>
      <w:r w:rsidR="0075495A" w:rsidRPr="00C80404">
        <w:t xml:space="preserve"> yüzde puandır. </w:t>
      </w:r>
      <w:r w:rsidR="002F7773" w:rsidRPr="00C80404">
        <w:t xml:space="preserve"> Tanzim satış etkisi olmasaydı </w:t>
      </w:r>
      <w:r w:rsidR="00FE3275">
        <w:t xml:space="preserve">Şubat ayı </w:t>
      </w:r>
      <w:r w:rsidR="002F7773" w:rsidRPr="00C80404">
        <w:t>aylık enflasyon</w:t>
      </w:r>
      <w:r w:rsidR="00FE3275">
        <w:t xml:space="preserve"> oranı</w:t>
      </w:r>
      <w:r w:rsidR="002F7773" w:rsidRPr="00C80404">
        <w:t xml:space="preserve"> yüze 0,16 yerine </w:t>
      </w:r>
      <w:r w:rsidR="008A089F">
        <w:t xml:space="preserve">yüzde </w:t>
      </w:r>
      <w:r w:rsidR="002F7773" w:rsidRPr="00C80404">
        <w:t>0,22 olacaktı.</w:t>
      </w:r>
    </w:p>
    <w:p w14:paraId="4B33841E" w14:textId="77777777" w:rsidR="00930FB0" w:rsidRPr="00C80404" w:rsidRDefault="00930FB0" w:rsidP="005B6CEC"/>
    <w:p w14:paraId="12604B2B" w14:textId="77777777" w:rsidR="00C5182E" w:rsidRPr="00C80404" w:rsidRDefault="00C5182E" w:rsidP="00C5182E">
      <w:r w:rsidRPr="00C80404">
        <w:rPr>
          <w:b/>
        </w:rPr>
        <w:lastRenderedPageBreak/>
        <w:t>Ek: İBBS Düzey 2 Sınıflandırması</w:t>
      </w:r>
      <w:r w:rsidRPr="00C80404">
        <w:t xml:space="preserve"> </w:t>
      </w:r>
    </w:p>
    <w:tbl>
      <w:tblPr>
        <w:tblW w:w="6265" w:type="dxa"/>
        <w:tblLook w:val="04A0" w:firstRow="1" w:lastRow="0" w:firstColumn="1" w:lastColumn="0" w:noHBand="0" w:noVBand="1"/>
      </w:tblPr>
      <w:tblGrid>
        <w:gridCol w:w="1093"/>
        <w:gridCol w:w="5172"/>
      </w:tblGrid>
      <w:tr w:rsidR="00C5182E" w:rsidRPr="00C80404" w14:paraId="4486CF09" w14:textId="77777777" w:rsidTr="00930FB0">
        <w:trPr>
          <w:trHeight w:val="300"/>
        </w:trPr>
        <w:tc>
          <w:tcPr>
            <w:tcW w:w="1093" w:type="dxa"/>
            <w:tcBorders>
              <w:top w:val="nil"/>
              <w:left w:val="nil"/>
              <w:bottom w:val="single" w:sz="4" w:space="0" w:color="auto"/>
              <w:right w:val="single" w:sz="4" w:space="0" w:color="auto"/>
            </w:tcBorders>
            <w:shd w:val="clear" w:color="auto" w:fill="auto"/>
            <w:noWrap/>
            <w:vAlign w:val="bottom"/>
            <w:hideMark/>
          </w:tcPr>
          <w:p w14:paraId="1330630D" w14:textId="77777777" w:rsidR="00C5182E" w:rsidRPr="00E15D15" w:rsidRDefault="00C5182E" w:rsidP="00930FB0">
            <w:pPr>
              <w:suppressAutoHyphens w:val="0"/>
              <w:spacing w:after="0" w:line="240" w:lineRule="auto"/>
              <w:jc w:val="left"/>
              <w:rPr>
                <w:szCs w:val="20"/>
              </w:rPr>
            </w:pPr>
            <w:r w:rsidRPr="00E15D15">
              <w:rPr>
                <w:szCs w:val="20"/>
              </w:rPr>
              <w:t>Kodu</w:t>
            </w:r>
          </w:p>
        </w:tc>
        <w:tc>
          <w:tcPr>
            <w:tcW w:w="5172" w:type="dxa"/>
            <w:tcBorders>
              <w:top w:val="nil"/>
              <w:left w:val="nil"/>
              <w:bottom w:val="single" w:sz="4" w:space="0" w:color="auto"/>
              <w:right w:val="nil"/>
            </w:tcBorders>
            <w:shd w:val="clear" w:color="auto" w:fill="auto"/>
            <w:noWrap/>
            <w:vAlign w:val="bottom"/>
            <w:hideMark/>
          </w:tcPr>
          <w:p w14:paraId="4254A691" w14:textId="77777777" w:rsidR="00C5182E" w:rsidRPr="00E15D15" w:rsidRDefault="00C5182E" w:rsidP="00930FB0">
            <w:pPr>
              <w:suppressAutoHyphens w:val="0"/>
              <w:spacing w:after="0" w:line="240" w:lineRule="auto"/>
              <w:jc w:val="left"/>
              <w:rPr>
                <w:szCs w:val="20"/>
              </w:rPr>
            </w:pPr>
            <w:r w:rsidRPr="00E15D15">
              <w:rPr>
                <w:szCs w:val="20"/>
              </w:rPr>
              <w:t>İller</w:t>
            </w:r>
          </w:p>
        </w:tc>
      </w:tr>
      <w:tr w:rsidR="00C5182E" w:rsidRPr="00C80404" w14:paraId="17115377" w14:textId="77777777" w:rsidTr="00930FB0">
        <w:trPr>
          <w:trHeight w:val="300"/>
        </w:trPr>
        <w:tc>
          <w:tcPr>
            <w:tcW w:w="1093" w:type="dxa"/>
            <w:tcBorders>
              <w:top w:val="nil"/>
              <w:left w:val="nil"/>
              <w:bottom w:val="nil"/>
              <w:right w:val="single" w:sz="4" w:space="0" w:color="auto"/>
            </w:tcBorders>
            <w:shd w:val="clear" w:color="auto" w:fill="auto"/>
            <w:noWrap/>
            <w:vAlign w:val="bottom"/>
            <w:hideMark/>
          </w:tcPr>
          <w:p w14:paraId="02C15541" w14:textId="77777777" w:rsidR="00C5182E" w:rsidRPr="00E15D15" w:rsidRDefault="00C5182E" w:rsidP="00930FB0">
            <w:pPr>
              <w:suppressAutoHyphens w:val="0"/>
              <w:spacing w:after="0" w:line="240" w:lineRule="auto"/>
              <w:jc w:val="left"/>
              <w:rPr>
                <w:szCs w:val="20"/>
              </w:rPr>
            </w:pPr>
            <w:r w:rsidRPr="00E15D15">
              <w:rPr>
                <w:szCs w:val="20"/>
              </w:rPr>
              <w:t>TR62</w:t>
            </w:r>
          </w:p>
        </w:tc>
        <w:tc>
          <w:tcPr>
            <w:tcW w:w="5172" w:type="dxa"/>
            <w:tcBorders>
              <w:top w:val="nil"/>
              <w:left w:val="nil"/>
              <w:bottom w:val="nil"/>
              <w:right w:val="nil"/>
            </w:tcBorders>
            <w:shd w:val="clear" w:color="auto" w:fill="auto"/>
            <w:noWrap/>
            <w:vAlign w:val="bottom"/>
            <w:hideMark/>
          </w:tcPr>
          <w:p w14:paraId="4DF04EF1" w14:textId="77777777" w:rsidR="00C5182E" w:rsidRPr="00E15D15" w:rsidRDefault="00C5182E" w:rsidP="00930FB0">
            <w:pPr>
              <w:suppressAutoHyphens w:val="0"/>
              <w:spacing w:after="0" w:line="240" w:lineRule="auto"/>
              <w:jc w:val="left"/>
              <w:rPr>
                <w:szCs w:val="20"/>
              </w:rPr>
            </w:pPr>
            <w:r w:rsidRPr="00E15D15">
              <w:rPr>
                <w:szCs w:val="20"/>
              </w:rPr>
              <w:t>Adana, Mersin</w:t>
            </w:r>
          </w:p>
        </w:tc>
      </w:tr>
      <w:tr w:rsidR="00C5182E" w:rsidRPr="00C80404" w14:paraId="10FC3B6A" w14:textId="77777777" w:rsidTr="00930FB0">
        <w:trPr>
          <w:trHeight w:val="300"/>
        </w:trPr>
        <w:tc>
          <w:tcPr>
            <w:tcW w:w="1093" w:type="dxa"/>
            <w:tcBorders>
              <w:top w:val="nil"/>
              <w:left w:val="nil"/>
              <w:bottom w:val="nil"/>
              <w:right w:val="single" w:sz="4" w:space="0" w:color="auto"/>
            </w:tcBorders>
            <w:shd w:val="clear" w:color="auto" w:fill="auto"/>
            <w:noWrap/>
            <w:vAlign w:val="bottom"/>
            <w:hideMark/>
          </w:tcPr>
          <w:p w14:paraId="0EBBB388" w14:textId="77777777" w:rsidR="00C5182E" w:rsidRPr="00E15D15" w:rsidRDefault="00C5182E" w:rsidP="00930FB0">
            <w:pPr>
              <w:suppressAutoHyphens w:val="0"/>
              <w:spacing w:after="0" w:line="240" w:lineRule="auto"/>
              <w:jc w:val="left"/>
              <w:rPr>
                <w:szCs w:val="20"/>
              </w:rPr>
            </w:pPr>
            <w:r w:rsidRPr="00E15D15">
              <w:rPr>
                <w:szCs w:val="20"/>
              </w:rPr>
              <w:t>TRA2</w:t>
            </w:r>
          </w:p>
        </w:tc>
        <w:tc>
          <w:tcPr>
            <w:tcW w:w="5172" w:type="dxa"/>
            <w:tcBorders>
              <w:top w:val="nil"/>
              <w:left w:val="nil"/>
              <w:bottom w:val="nil"/>
              <w:right w:val="nil"/>
            </w:tcBorders>
            <w:shd w:val="clear" w:color="auto" w:fill="auto"/>
            <w:noWrap/>
            <w:vAlign w:val="bottom"/>
            <w:hideMark/>
          </w:tcPr>
          <w:p w14:paraId="51E31DD4" w14:textId="77777777" w:rsidR="00C5182E" w:rsidRPr="00E15D15" w:rsidRDefault="00C5182E" w:rsidP="00930FB0">
            <w:pPr>
              <w:suppressAutoHyphens w:val="0"/>
              <w:spacing w:after="0" w:line="240" w:lineRule="auto"/>
              <w:jc w:val="left"/>
              <w:rPr>
                <w:szCs w:val="20"/>
              </w:rPr>
            </w:pPr>
            <w:r w:rsidRPr="00E15D15">
              <w:rPr>
                <w:szCs w:val="20"/>
              </w:rPr>
              <w:t>Ağrı, Kars, Iğdır, Ardahan</w:t>
            </w:r>
          </w:p>
        </w:tc>
      </w:tr>
      <w:tr w:rsidR="00C5182E" w:rsidRPr="00C80404" w14:paraId="248BDFCD" w14:textId="77777777" w:rsidTr="00930FB0">
        <w:trPr>
          <w:trHeight w:val="300"/>
        </w:trPr>
        <w:tc>
          <w:tcPr>
            <w:tcW w:w="1093" w:type="dxa"/>
            <w:tcBorders>
              <w:top w:val="nil"/>
              <w:left w:val="nil"/>
              <w:bottom w:val="nil"/>
              <w:right w:val="single" w:sz="4" w:space="0" w:color="auto"/>
            </w:tcBorders>
            <w:shd w:val="clear" w:color="auto" w:fill="auto"/>
            <w:noWrap/>
            <w:vAlign w:val="bottom"/>
            <w:hideMark/>
          </w:tcPr>
          <w:p w14:paraId="37800C7A" w14:textId="77777777" w:rsidR="00C5182E" w:rsidRPr="00E15D15" w:rsidRDefault="00C5182E" w:rsidP="00930FB0">
            <w:pPr>
              <w:suppressAutoHyphens w:val="0"/>
              <w:spacing w:after="0" w:line="240" w:lineRule="auto"/>
              <w:jc w:val="left"/>
              <w:rPr>
                <w:szCs w:val="20"/>
              </w:rPr>
            </w:pPr>
            <w:r w:rsidRPr="00E15D15">
              <w:rPr>
                <w:szCs w:val="20"/>
              </w:rPr>
              <w:t>TR51</w:t>
            </w:r>
          </w:p>
        </w:tc>
        <w:tc>
          <w:tcPr>
            <w:tcW w:w="5172" w:type="dxa"/>
            <w:tcBorders>
              <w:top w:val="nil"/>
              <w:left w:val="nil"/>
              <w:bottom w:val="nil"/>
              <w:right w:val="nil"/>
            </w:tcBorders>
            <w:shd w:val="clear" w:color="auto" w:fill="auto"/>
            <w:noWrap/>
            <w:vAlign w:val="bottom"/>
            <w:hideMark/>
          </w:tcPr>
          <w:p w14:paraId="466B7C49" w14:textId="77777777" w:rsidR="00C5182E" w:rsidRPr="00E15D15" w:rsidRDefault="00C5182E" w:rsidP="00930FB0">
            <w:pPr>
              <w:suppressAutoHyphens w:val="0"/>
              <w:spacing w:after="0" w:line="240" w:lineRule="auto"/>
              <w:jc w:val="left"/>
              <w:rPr>
                <w:szCs w:val="20"/>
              </w:rPr>
            </w:pPr>
            <w:r w:rsidRPr="00E15D15">
              <w:rPr>
                <w:szCs w:val="20"/>
              </w:rPr>
              <w:t>Ankara</w:t>
            </w:r>
          </w:p>
        </w:tc>
      </w:tr>
      <w:tr w:rsidR="00C5182E" w:rsidRPr="00C80404" w14:paraId="69C3C4F1" w14:textId="77777777" w:rsidTr="00930FB0">
        <w:trPr>
          <w:trHeight w:val="300"/>
        </w:trPr>
        <w:tc>
          <w:tcPr>
            <w:tcW w:w="1093" w:type="dxa"/>
            <w:tcBorders>
              <w:top w:val="nil"/>
              <w:left w:val="nil"/>
              <w:bottom w:val="nil"/>
              <w:right w:val="single" w:sz="4" w:space="0" w:color="auto"/>
            </w:tcBorders>
            <w:shd w:val="clear" w:color="auto" w:fill="auto"/>
            <w:noWrap/>
            <w:vAlign w:val="bottom"/>
            <w:hideMark/>
          </w:tcPr>
          <w:p w14:paraId="251588CD" w14:textId="77777777" w:rsidR="00C5182E" w:rsidRPr="00E15D15" w:rsidRDefault="00C5182E" w:rsidP="00930FB0">
            <w:pPr>
              <w:suppressAutoHyphens w:val="0"/>
              <w:spacing w:after="0" w:line="240" w:lineRule="auto"/>
              <w:jc w:val="left"/>
              <w:rPr>
                <w:szCs w:val="20"/>
              </w:rPr>
            </w:pPr>
            <w:r w:rsidRPr="00E15D15">
              <w:rPr>
                <w:szCs w:val="20"/>
              </w:rPr>
              <w:t>TR61</w:t>
            </w:r>
          </w:p>
        </w:tc>
        <w:tc>
          <w:tcPr>
            <w:tcW w:w="5172" w:type="dxa"/>
            <w:tcBorders>
              <w:top w:val="nil"/>
              <w:left w:val="nil"/>
              <w:bottom w:val="nil"/>
              <w:right w:val="nil"/>
            </w:tcBorders>
            <w:shd w:val="clear" w:color="auto" w:fill="auto"/>
            <w:noWrap/>
            <w:vAlign w:val="bottom"/>
            <w:hideMark/>
          </w:tcPr>
          <w:p w14:paraId="462DE555" w14:textId="77777777" w:rsidR="00C5182E" w:rsidRPr="00E15D15" w:rsidRDefault="00C5182E" w:rsidP="00930FB0">
            <w:pPr>
              <w:suppressAutoHyphens w:val="0"/>
              <w:spacing w:after="0" w:line="240" w:lineRule="auto"/>
              <w:jc w:val="left"/>
              <w:rPr>
                <w:szCs w:val="20"/>
              </w:rPr>
            </w:pPr>
            <w:r w:rsidRPr="00E15D15">
              <w:rPr>
                <w:szCs w:val="20"/>
              </w:rPr>
              <w:t>Antalya, Isparta, Burdur</w:t>
            </w:r>
          </w:p>
        </w:tc>
      </w:tr>
      <w:tr w:rsidR="00C5182E" w:rsidRPr="00C80404" w14:paraId="1DA84AB2" w14:textId="77777777" w:rsidTr="00930FB0">
        <w:trPr>
          <w:trHeight w:val="300"/>
        </w:trPr>
        <w:tc>
          <w:tcPr>
            <w:tcW w:w="1093" w:type="dxa"/>
            <w:tcBorders>
              <w:top w:val="nil"/>
              <w:left w:val="nil"/>
              <w:bottom w:val="nil"/>
              <w:right w:val="single" w:sz="4" w:space="0" w:color="auto"/>
            </w:tcBorders>
            <w:shd w:val="clear" w:color="auto" w:fill="auto"/>
            <w:noWrap/>
            <w:vAlign w:val="bottom"/>
            <w:hideMark/>
          </w:tcPr>
          <w:p w14:paraId="1667544E" w14:textId="77777777" w:rsidR="00C5182E" w:rsidRPr="00E15D15" w:rsidRDefault="00C5182E" w:rsidP="00930FB0">
            <w:pPr>
              <w:suppressAutoHyphens w:val="0"/>
              <w:spacing w:after="0" w:line="240" w:lineRule="auto"/>
              <w:jc w:val="left"/>
              <w:rPr>
                <w:szCs w:val="20"/>
              </w:rPr>
            </w:pPr>
            <w:r w:rsidRPr="00E15D15">
              <w:rPr>
                <w:szCs w:val="20"/>
              </w:rPr>
              <w:t>TR32</w:t>
            </w:r>
          </w:p>
        </w:tc>
        <w:tc>
          <w:tcPr>
            <w:tcW w:w="5172" w:type="dxa"/>
            <w:tcBorders>
              <w:top w:val="nil"/>
              <w:left w:val="nil"/>
              <w:bottom w:val="nil"/>
              <w:right w:val="nil"/>
            </w:tcBorders>
            <w:shd w:val="clear" w:color="auto" w:fill="auto"/>
            <w:noWrap/>
            <w:vAlign w:val="bottom"/>
            <w:hideMark/>
          </w:tcPr>
          <w:p w14:paraId="1519E664" w14:textId="77777777" w:rsidR="00C5182E" w:rsidRPr="00E15D15" w:rsidRDefault="00C5182E" w:rsidP="00930FB0">
            <w:pPr>
              <w:suppressAutoHyphens w:val="0"/>
              <w:spacing w:after="0" w:line="240" w:lineRule="auto"/>
              <w:jc w:val="left"/>
              <w:rPr>
                <w:szCs w:val="20"/>
              </w:rPr>
            </w:pPr>
            <w:r w:rsidRPr="00E15D15">
              <w:rPr>
                <w:szCs w:val="20"/>
              </w:rPr>
              <w:t>Aydın, Denizli, Muğla</w:t>
            </w:r>
          </w:p>
        </w:tc>
      </w:tr>
      <w:tr w:rsidR="00C5182E" w:rsidRPr="00C80404" w14:paraId="2ACF4380" w14:textId="77777777" w:rsidTr="00930FB0">
        <w:trPr>
          <w:trHeight w:val="300"/>
        </w:trPr>
        <w:tc>
          <w:tcPr>
            <w:tcW w:w="1093" w:type="dxa"/>
            <w:tcBorders>
              <w:top w:val="nil"/>
              <w:left w:val="nil"/>
              <w:bottom w:val="nil"/>
              <w:right w:val="single" w:sz="4" w:space="0" w:color="auto"/>
            </w:tcBorders>
            <w:shd w:val="clear" w:color="auto" w:fill="auto"/>
            <w:noWrap/>
            <w:vAlign w:val="bottom"/>
            <w:hideMark/>
          </w:tcPr>
          <w:p w14:paraId="5C464343" w14:textId="77777777" w:rsidR="00C5182E" w:rsidRPr="00E15D15" w:rsidRDefault="00C5182E" w:rsidP="00930FB0">
            <w:pPr>
              <w:suppressAutoHyphens w:val="0"/>
              <w:spacing w:after="0" w:line="240" w:lineRule="auto"/>
              <w:jc w:val="left"/>
              <w:rPr>
                <w:szCs w:val="20"/>
              </w:rPr>
            </w:pPr>
            <w:r w:rsidRPr="00E15D15">
              <w:rPr>
                <w:szCs w:val="20"/>
              </w:rPr>
              <w:t>TR22</w:t>
            </w:r>
          </w:p>
        </w:tc>
        <w:tc>
          <w:tcPr>
            <w:tcW w:w="5172" w:type="dxa"/>
            <w:tcBorders>
              <w:top w:val="nil"/>
              <w:left w:val="nil"/>
              <w:bottom w:val="nil"/>
              <w:right w:val="nil"/>
            </w:tcBorders>
            <w:shd w:val="clear" w:color="auto" w:fill="auto"/>
            <w:noWrap/>
            <w:vAlign w:val="bottom"/>
            <w:hideMark/>
          </w:tcPr>
          <w:p w14:paraId="0E8F4ED0" w14:textId="77777777" w:rsidR="00C5182E" w:rsidRPr="00E15D15" w:rsidRDefault="00C5182E" w:rsidP="00930FB0">
            <w:pPr>
              <w:suppressAutoHyphens w:val="0"/>
              <w:spacing w:after="0" w:line="240" w:lineRule="auto"/>
              <w:jc w:val="left"/>
              <w:rPr>
                <w:szCs w:val="20"/>
              </w:rPr>
            </w:pPr>
            <w:r w:rsidRPr="00E15D15">
              <w:rPr>
                <w:szCs w:val="20"/>
              </w:rPr>
              <w:t>Balıkesir, Çanakkale</w:t>
            </w:r>
          </w:p>
        </w:tc>
      </w:tr>
      <w:tr w:rsidR="00C5182E" w:rsidRPr="00C80404" w14:paraId="396F8C14" w14:textId="77777777" w:rsidTr="00930FB0">
        <w:trPr>
          <w:trHeight w:val="300"/>
        </w:trPr>
        <w:tc>
          <w:tcPr>
            <w:tcW w:w="1093" w:type="dxa"/>
            <w:tcBorders>
              <w:top w:val="nil"/>
              <w:left w:val="nil"/>
              <w:bottom w:val="nil"/>
              <w:right w:val="single" w:sz="4" w:space="0" w:color="auto"/>
            </w:tcBorders>
            <w:shd w:val="clear" w:color="auto" w:fill="auto"/>
            <w:noWrap/>
            <w:vAlign w:val="bottom"/>
            <w:hideMark/>
          </w:tcPr>
          <w:p w14:paraId="6C5D5958" w14:textId="77777777" w:rsidR="00C5182E" w:rsidRPr="00E15D15" w:rsidRDefault="00C5182E" w:rsidP="00930FB0">
            <w:pPr>
              <w:suppressAutoHyphens w:val="0"/>
              <w:spacing w:after="0" w:line="240" w:lineRule="auto"/>
              <w:jc w:val="left"/>
              <w:rPr>
                <w:szCs w:val="20"/>
              </w:rPr>
            </w:pPr>
            <w:r w:rsidRPr="00E15D15">
              <w:rPr>
                <w:szCs w:val="20"/>
              </w:rPr>
              <w:t>TR41</w:t>
            </w:r>
          </w:p>
        </w:tc>
        <w:tc>
          <w:tcPr>
            <w:tcW w:w="5172" w:type="dxa"/>
            <w:tcBorders>
              <w:top w:val="nil"/>
              <w:left w:val="nil"/>
              <w:bottom w:val="nil"/>
              <w:right w:val="nil"/>
            </w:tcBorders>
            <w:shd w:val="clear" w:color="auto" w:fill="auto"/>
            <w:noWrap/>
            <w:vAlign w:val="bottom"/>
            <w:hideMark/>
          </w:tcPr>
          <w:p w14:paraId="5439689F" w14:textId="77777777" w:rsidR="00C5182E" w:rsidRPr="00E15D15" w:rsidRDefault="00C5182E" w:rsidP="00930FB0">
            <w:pPr>
              <w:suppressAutoHyphens w:val="0"/>
              <w:spacing w:after="0" w:line="240" w:lineRule="auto"/>
              <w:jc w:val="left"/>
              <w:rPr>
                <w:szCs w:val="20"/>
              </w:rPr>
            </w:pPr>
            <w:r w:rsidRPr="00E15D15">
              <w:rPr>
                <w:szCs w:val="20"/>
              </w:rPr>
              <w:t>Bursa, Eskişehir, Bilecik</w:t>
            </w:r>
          </w:p>
        </w:tc>
      </w:tr>
      <w:tr w:rsidR="00C5182E" w:rsidRPr="00C80404" w14:paraId="0C96D471" w14:textId="77777777" w:rsidTr="00930FB0">
        <w:trPr>
          <w:trHeight w:val="300"/>
        </w:trPr>
        <w:tc>
          <w:tcPr>
            <w:tcW w:w="1093" w:type="dxa"/>
            <w:tcBorders>
              <w:top w:val="nil"/>
              <w:left w:val="nil"/>
              <w:bottom w:val="nil"/>
              <w:right w:val="single" w:sz="4" w:space="0" w:color="auto"/>
            </w:tcBorders>
            <w:shd w:val="clear" w:color="auto" w:fill="auto"/>
            <w:noWrap/>
            <w:vAlign w:val="bottom"/>
            <w:hideMark/>
          </w:tcPr>
          <w:p w14:paraId="075DBFD3" w14:textId="77777777" w:rsidR="00C5182E" w:rsidRPr="00E15D15" w:rsidRDefault="00C5182E" w:rsidP="00930FB0">
            <w:pPr>
              <w:suppressAutoHyphens w:val="0"/>
              <w:spacing w:after="0" w:line="240" w:lineRule="auto"/>
              <w:jc w:val="left"/>
              <w:rPr>
                <w:szCs w:val="20"/>
              </w:rPr>
            </w:pPr>
            <w:r w:rsidRPr="00E15D15">
              <w:rPr>
                <w:szCs w:val="20"/>
              </w:rPr>
              <w:t>TRA1</w:t>
            </w:r>
          </w:p>
        </w:tc>
        <w:tc>
          <w:tcPr>
            <w:tcW w:w="5172" w:type="dxa"/>
            <w:tcBorders>
              <w:top w:val="nil"/>
              <w:left w:val="nil"/>
              <w:bottom w:val="nil"/>
              <w:right w:val="nil"/>
            </w:tcBorders>
            <w:shd w:val="clear" w:color="auto" w:fill="auto"/>
            <w:noWrap/>
            <w:vAlign w:val="bottom"/>
            <w:hideMark/>
          </w:tcPr>
          <w:p w14:paraId="3294ABFD" w14:textId="77777777" w:rsidR="00C5182E" w:rsidRPr="00E15D15" w:rsidRDefault="00C5182E" w:rsidP="00930FB0">
            <w:pPr>
              <w:suppressAutoHyphens w:val="0"/>
              <w:spacing w:after="0" w:line="240" w:lineRule="auto"/>
              <w:jc w:val="left"/>
              <w:rPr>
                <w:szCs w:val="20"/>
              </w:rPr>
            </w:pPr>
            <w:r w:rsidRPr="00E15D15">
              <w:rPr>
                <w:szCs w:val="20"/>
              </w:rPr>
              <w:t>Erzurum, Erzincan, Bayburt</w:t>
            </w:r>
          </w:p>
        </w:tc>
      </w:tr>
      <w:tr w:rsidR="00C5182E" w:rsidRPr="00C80404" w14:paraId="6495D29F" w14:textId="77777777" w:rsidTr="00930FB0">
        <w:trPr>
          <w:trHeight w:val="300"/>
        </w:trPr>
        <w:tc>
          <w:tcPr>
            <w:tcW w:w="1093" w:type="dxa"/>
            <w:tcBorders>
              <w:top w:val="nil"/>
              <w:left w:val="nil"/>
              <w:bottom w:val="nil"/>
              <w:right w:val="single" w:sz="4" w:space="0" w:color="auto"/>
            </w:tcBorders>
            <w:shd w:val="clear" w:color="auto" w:fill="auto"/>
            <w:noWrap/>
            <w:vAlign w:val="bottom"/>
            <w:hideMark/>
          </w:tcPr>
          <w:p w14:paraId="1160AA20" w14:textId="77777777" w:rsidR="00C5182E" w:rsidRPr="00E15D15" w:rsidRDefault="00C5182E" w:rsidP="00930FB0">
            <w:pPr>
              <w:suppressAutoHyphens w:val="0"/>
              <w:spacing w:after="0" w:line="240" w:lineRule="auto"/>
              <w:jc w:val="left"/>
              <w:rPr>
                <w:szCs w:val="20"/>
              </w:rPr>
            </w:pPr>
            <w:r w:rsidRPr="00E15D15">
              <w:rPr>
                <w:szCs w:val="20"/>
              </w:rPr>
              <w:t>TRC1</w:t>
            </w:r>
          </w:p>
        </w:tc>
        <w:tc>
          <w:tcPr>
            <w:tcW w:w="5172" w:type="dxa"/>
            <w:tcBorders>
              <w:top w:val="nil"/>
              <w:left w:val="nil"/>
              <w:bottom w:val="nil"/>
              <w:right w:val="nil"/>
            </w:tcBorders>
            <w:shd w:val="clear" w:color="auto" w:fill="auto"/>
            <w:noWrap/>
            <w:vAlign w:val="bottom"/>
            <w:hideMark/>
          </w:tcPr>
          <w:p w14:paraId="446B5482" w14:textId="77777777" w:rsidR="00C5182E" w:rsidRPr="00E15D15" w:rsidRDefault="00C5182E" w:rsidP="00930FB0">
            <w:pPr>
              <w:suppressAutoHyphens w:val="0"/>
              <w:spacing w:after="0" w:line="240" w:lineRule="auto"/>
              <w:jc w:val="left"/>
              <w:rPr>
                <w:szCs w:val="20"/>
              </w:rPr>
            </w:pPr>
            <w:r w:rsidRPr="00E15D15">
              <w:rPr>
                <w:szCs w:val="20"/>
              </w:rPr>
              <w:t>Gaziantep, Adıyaman, Kilis</w:t>
            </w:r>
          </w:p>
        </w:tc>
      </w:tr>
      <w:tr w:rsidR="00C5182E" w:rsidRPr="00C80404" w14:paraId="780FCF7E" w14:textId="77777777" w:rsidTr="00930FB0">
        <w:trPr>
          <w:trHeight w:val="300"/>
        </w:trPr>
        <w:tc>
          <w:tcPr>
            <w:tcW w:w="1093" w:type="dxa"/>
            <w:tcBorders>
              <w:top w:val="nil"/>
              <w:left w:val="nil"/>
              <w:bottom w:val="nil"/>
              <w:right w:val="single" w:sz="4" w:space="0" w:color="auto"/>
            </w:tcBorders>
            <w:shd w:val="clear" w:color="auto" w:fill="auto"/>
            <w:noWrap/>
            <w:vAlign w:val="bottom"/>
            <w:hideMark/>
          </w:tcPr>
          <w:p w14:paraId="62BDFDF8" w14:textId="77777777" w:rsidR="00C5182E" w:rsidRPr="00E15D15" w:rsidRDefault="00C5182E" w:rsidP="00930FB0">
            <w:pPr>
              <w:suppressAutoHyphens w:val="0"/>
              <w:spacing w:after="0" w:line="240" w:lineRule="auto"/>
              <w:jc w:val="left"/>
              <w:rPr>
                <w:szCs w:val="20"/>
              </w:rPr>
            </w:pPr>
            <w:r w:rsidRPr="00E15D15">
              <w:rPr>
                <w:szCs w:val="20"/>
              </w:rPr>
              <w:t>TR63</w:t>
            </w:r>
          </w:p>
        </w:tc>
        <w:tc>
          <w:tcPr>
            <w:tcW w:w="5172" w:type="dxa"/>
            <w:tcBorders>
              <w:top w:val="nil"/>
              <w:left w:val="nil"/>
              <w:bottom w:val="nil"/>
              <w:right w:val="nil"/>
            </w:tcBorders>
            <w:shd w:val="clear" w:color="auto" w:fill="auto"/>
            <w:noWrap/>
            <w:vAlign w:val="bottom"/>
            <w:hideMark/>
          </w:tcPr>
          <w:p w14:paraId="2DC4F5A0" w14:textId="77777777" w:rsidR="00C5182E" w:rsidRPr="00E15D15" w:rsidRDefault="00C5182E" w:rsidP="00930FB0">
            <w:pPr>
              <w:suppressAutoHyphens w:val="0"/>
              <w:spacing w:after="0" w:line="240" w:lineRule="auto"/>
              <w:jc w:val="left"/>
              <w:rPr>
                <w:szCs w:val="20"/>
              </w:rPr>
            </w:pPr>
            <w:r w:rsidRPr="00E15D15">
              <w:rPr>
                <w:szCs w:val="20"/>
              </w:rPr>
              <w:t>Hatay, Kahramanmaraş, Osmaniye</w:t>
            </w:r>
          </w:p>
        </w:tc>
      </w:tr>
      <w:tr w:rsidR="00C5182E" w:rsidRPr="00C80404" w14:paraId="37B25D7E" w14:textId="77777777" w:rsidTr="00930FB0">
        <w:trPr>
          <w:trHeight w:val="300"/>
        </w:trPr>
        <w:tc>
          <w:tcPr>
            <w:tcW w:w="1093" w:type="dxa"/>
            <w:tcBorders>
              <w:top w:val="nil"/>
              <w:left w:val="nil"/>
              <w:bottom w:val="nil"/>
              <w:right w:val="single" w:sz="4" w:space="0" w:color="auto"/>
            </w:tcBorders>
            <w:shd w:val="clear" w:color="auto" w:fill="auto"/>
            <w:noWrap/>
            <w:vAlign w:val="bottom"/>
            <w:hideMark/>
          </w:tcPr>
          <w:p w14:paraId="119802D9" w14:textId="77777777" w:rsidR="00C5182E" w:rsidRPr="00E15D15" w:rsidRDefault="00C5182E" w:rsidP="00930FB0">
            <w:pPr>
              <w:suppressAutoHyphens w:val="0"/>
              <w:spacing w:after="0" w:line="240" w:lineRule="auto"/>
              <w:jc w:val="left"/>
              <w:rPr>
                <w:szCs w:val="20"/>
              </w:rPr>
            </w:pPr>
            <w:r w:rsidRPr="00E15D15">
              <w:rPr>
                <w:szCs w:val="20"/>
              </w:rPr>
              <w:t>TR10</w:t>
            </w:r>
          </w:p>
        </w:tc>
        <w:tc>
          <w:tcPr>
            <w:tcW w:w="5172" w:type="dxa"/>
            <w:tcBorders>
              <w:top w:val="nil"/>
              <w:left w:val="nil"/>
              <w:bottom w:val="nil"/>
              <w:right w:val="nil"/>
            </w:tcBorders>
            <w:shd w:val="clear" w:color="auto" w:fill="auto"/>
            <w:noWrap/>
            <w:vAlign w:val="bottom"/>
            <w:hideMark/>
          </w:tcPr>
          <w:p w14:paraId="0FB1EBDE" w14:textId="77777777" w:rsidR="00C5182E" w:rsidRPr="00E15D15" w:rsidRDefault="00C5182E" w:rsidP="00930FB0">
            <w:pPr>
              <w:suppressAutoHyphens w:val="0"/>
              <w:spacing w:after="0" w:line="240" w:lineRule="auto"/>
              <w:jc w:val="left"/>
              <w:rPr>
                <w:szCs w:val="20"/>
              </w:rPr>
            </w:pPr>
            <w:r w:rsidRPr="00E15D15">
              <w:rPr>
                <w:szCs w:val="20"/>
              </w:rPr>
              <w:t>İstanbul</w:t>
            </w:r>
          </w:p>
        </w:tc>
      </w:tr>
      <w:tr w:rsidR="00C5182E" w:rsidRPr="00C80404" w14:paraId="28709076" w14:textId="77777777" w:rsidTr="00930FB0">
        <w:trPr>
          <w:trHeight w:val="300"/>
        </w:trPr>
        <w:tc>
          <w:tcPr>
            <w:tcW w:w="1093" w:type="dxa"/>
            <w:tcBorders>
              <w:top w:val="nil"/>
              <w:left w:val="nil"/>
              <w:bottom w:val="nil"/>
              <w:right w:val="single" w:sz="4" w:space="0" w:color="auto"/>
            </w:tcBorders>
            <w:shd w:val="clear" w:color="auto" w:fill="auto"/>
            <w:noWrap/>
            <w:vAlign w:val="bottom"/>
            <w:hideMark/>
          </w:tcPr>
          <w:p w14:paraId="50B98D4E" w14:textId="77777777" w:rsidR="00C5182E" w:rsidRPr="00E15D15" w:rsidRDefault="00C5182E" w:rsidP="00930FB0">
            <w:pPr>
              <w:suppressAutoHyphens w:val="0"/>
              <w:spacing w:after="0" w:line="240" w:lineRule="auto"/>
              <w:jc w:val="left"/>
              <w:rPr>
                <w:szCs w:val="20"/>
              </w:rPr>
            </w:pPr>
            <w:r w:rsidRPr="00E15D15">
              <w:rPr>
                <w:szCs w:val="20"/>
              </w:rPr>
              <w:t>TR31</w:t>
            </w:r>
          </w:p>
        </w:tc>
        <w:tc>
          <w:tcPr>
            <w:tcW w:w="5172" w:type="dxa"/>
            <w:tcBorders>
              <w:top w:val="nil"/>
              <w:left w:val="nil"/>
              <w:bottom w:val="nil"/>
              <w:right w:val="nil"/>
            </w:tcBorders>
            <w:shd w:val="clear" w:color="auto" w:fill="auto"/>
            <w:noWrap/>
            <w:vAlign w:val="bottom"/>
            <w:hideMark/>
          </w:tcPr>
          <w:p w14:paraId="796EBDB4" w14:textId="77777777" w:rsidR="00C5182E" w:rsidRPr="00E15D15" w:rsidRDefault="00C5182E" w:rsidP="00930FB0">
            <w:pPr>
              <w:suppressAutoHyphens w:val="0"/>
              <w:spacing w:after="0" w:line="240" w:lineRule="auto"/>
              <w:jc w:val="left"/>
              <w:rPr>
                <w:szCs w:val="20"/>
              </w:rPr>
            </w:pPr>
            <w:r w:rsidRPr="00E15D15">
              <w:rPr>
                <w:szCs w:val="20"/>
              </w:rPr>
              <w:t>İzmir</w:t>
            </w:r>
          </w:p>
        </w:tc>
      </w:tr>
      <w:tr w:rsidR="00C5182E" w:rsidRPr="00C80404" w14:paraId="12D1C165" w14:textId="77777777" w:rsidTr="00930FB0">
        <w:trPr>
          <w:trHeight w:val="300"/>
        </w:trPr>
        <w:tc>
          <w:tcPr>
            <w:tcW w:w="1093" w:type="dxa"/>
            <w:tcBorders>
              <w:top w:val="nil"/>
              <w:left w:val="nil"/>
              <w:bottom w:val="nil"/>
              <w:right w:val="single" w:sz="4" w:space="0" w:color="auto"/>
            </w:tcBorders>
            <w:shd w:val="clear" w:color="auto" w:fill="auto"/>
            <w:noWrap/>
            <w:vAlign w:val="bottom"/>
            <w:hideMark/>
          </w:tcPr>
          <w:p w14:paraId="0162D244" w14:textId="77777777" w:rsidR="00C5182E" w:rsidRPr="00E15D15" w:rsidRDefault="00C5182E" w:rsidP="00930FB0">
            <w:pPr>
              <w:suppressAutoHyphens w:val="0"/>
              <w:spacing w:after="0" w:line="240" w:lineRule="auto"/>
              <w:jc w:val="left"/>
              <w:rPr>
                <w:szCs w:val="20"/>
              </w:rPr>
            </w:pPr>
            <w:r w:rsidRPr="00E15D15">
              <w:rPr>
                <w:szCs w:val="20"/>
              </w:rPr>
              <w:t>TR82</w:t>
            </w:r>
          </w:p>
        </w:tc>
        <w:tc>
          <w:tcPr>
            <w:tcW w:w="5172" w:type="dxa"/>
            <w:tcBorders>
              <w:top w:val="nil"/>
              <w:left w:val="nil"/>
              <w:bottom w:val="nil"/>
              <w:right w:val="nil"/>
            </w:tcBorders>
            <w:shd w:val="clear" w:color="auto" w:fill="auto"/>
            <w:noWrap/>
            <w:vAlign w:val="bottom"/>
            <w:hideMark/>
          </w:tcPr>
          <w:p w14:paraId="4729348C" w14:textId="77777777" w:rsidR="00C5182E" w:rsidRPr="00E15D15" w:rsidRDefault="00C5182E" w:rsidP="00930FB0">
            <w:pPr>
              <w:suppressAutoHyphens w:val="0"/>
              <w:spacing w:after="0" w:line="240" w:lineRule="auto"/>
              <w:jc w:val="left"/>
              <w:rPr>
                <w:szCs w:val="20"/>
              </w:rPr>
            </w:pPr>
            <w:r w:rsidRPr="00E15D15">
              <w:rPr>
                <w:szCs w:val="20"/>
              </w:rPr>
              <w:t>Kastamonu, Çankırı, Sinop</w:t>
            </w:r>
          </w:p>
        </w:tc>
      </w:tr>
      <w:tr w:rsidR="00C5182E" w:rsidRPr="00C80404" w14:paraId="12C44FE4" w14:textId="77777777" w:rsidTr="00930FB0">
        <w:trPr>
          <w:trHeight w:val="300"/>
        </w:trPr>
        <w:tc>
          <w:tcPr>
            <w:tcW w:w="1093" w:type="dxa"/>
            <w:tcBorders>
              <w:top w:val="nil"/>
              <w:left w:val="nil"/>
              <w:bottom w:val="nil"/>
              <w:right w:val="single" w:sz="4" w:space="0" w:color="auto"/>
            </w:tcBorders>
            <w:shd w:val="clear" w:color="auto" w:fill="auto"/>
            <w:noWrap/>
            <w:vAlign w:val="bottom"/>
            <w:hideMark/>
          </w:tcPr>
          <w:p w14:paraId="13F4F92A" w14:textId="77777777" w:rsidR="00C5182E" w:rsidRPr="00E15D15" w:rsidRDefault="00C5182E" w:rsidP="00930FB0">
            <w:pPr>
              <w:suppressAutoHyphens w:val="0"/>
              <w:spacing w:after="0" w:line="240" w:lineRule="auto"/>
              <w:jc w:val="left"/>
              <w:rPr>
                <w:szCs w:val="20"/>
              </w:rPr>
            </w:pPr>
            <w:r w:rsidRPr="00E15D15">
              <w:rPr>
                <w:szCs w:val="20"/>
              </w:rPr>
              <w:t>TR72</w:t>
            </w:r>
          </w:p>
        </w:tc>
        <w:tc>
          <w:tcPr>
            <w:tcW w:w="5172" w:type="dxa"/>
            <w:tcBorders>
              <w:top w:val="nil"/>
              <w:left w:val="nil"/>
              <w:bottom w:val="nil"/>
              <w:right w:val="nil"/>
            </w:tcBorders>
            <w:shd w:val="clear" w:color="auto" w:fill="auto"/>
            <w:noWrap/>
            <w:vAlign w:val="bottom"/>
            <w:hideMark/>
          </w:tcPr>
          <w:p w14:paraId="38077FF3" w14:textId="77777777" w:rsidR="00C5182E" w:rsidRPr="00E15D15" w:rsidRDefault="00C5182E" w:rsidP="00930FB0">
            <w:pPr>
              <w:suppressAutoHyphens w:val="0"/>
              <w:spacing w:after="0" w:line="240" w:lineRule="auto"/>
              <w:jc w:val="left"/>
              <w:rPr>
                <w:szCs w:val="20"/>
              </w:rPr>
            </w:pPr>
            <w:r w:rsidRPr="00E15D15">
              <w:rPr>
                <w:szCs w:val="20"/>
              </w:rPr>
              <w:t>Kayseri, Sivas, Yozgat</w:t>
            </w:r>
          </w:p>
        </w:tc>
      </w:tr>
      <w:tr w:rsidR="00C5182E" w:rsidRPr="00C80404" w14:paraId="0BE39055" w14:textId="77777777" w:rsidTr="00930FB0">
        <w:trPr>
          <w:trHeight w:val="300"/>
        </w:trPr>
        <w:tc>
          <w:tcPr>
            <w:tcW w:w="1093" w:type="dxa"/>
            <w:tcBorders>
              <w:top w:val="nil"/>
              <w:left w:val="nil"/>
              <w:bottom w:val="nil"/>
              <w:right w:val="single" w:sz="4" w:space="0" w:color="auto"/>
            </w:tcBorders>
            <w:shd w:val="clear" w:color="auto" w:fill="auto"/>
            <w:noWrap/>
            <w:vAlign w:val="bottom"/>
            <w:hideMark/>
          </w:tcPr>
          <w:p w14:paraId="1039A3AA" w14:textId="77777777" w:rsidR="00C5182E" w:rsidRPr="00E15D15" w:rsidRDefault="00C5182E" w:rsidP="00930FB0">
            <w:pPr>
              <w:suppressAutoHyphens w:val="0"/>
              <w:spacing w:after="0" w:line="240" w:lineRule="auto"/>
              <w:jc w:val="left"/>
              <w:rPr>
                <w:szCs w:val="20"/>
              </w:rPr>
            </w:pPr>
            <w:r w:rsidRPr="00E15D15">
              <w:rPr>
                <w:szCs w:val="20"/>
              </w:rPr>
              <w:t>TR71</w:t>
            </w:r>
          </w:p>
        </w:tc>
        <w:tc>
          <w:tcPr>
            <w:tcW w:w="5172" w:type="dxa"/>
            <w:tcBorders>
              <w:top w:val="nil"/>
              <w:left w:val="nil"/>
              <w:bottom w:val="nil"/>
              <w:right w:val="nil"/>
            </w:tcBorders>
            <w:shd w:val="clear" w:color="auto" w:fill="auto"/>
            <w:noWrap/>
            <w:vAlign w:val="bottom"/>
            <w:hideMark/>
          </w:tcPr>
          <w:p w14:paraId="0E486F54" w14:textId="77777777" w:rsidR="00C5182E" w:rsidRPr="00E15D15" w:rsidRDefault="00C5182E" w:rsidP="00930FB0">
            <w:pPr>
              <w:suppressAutoHyphens w:val="0"/>
              <w:spacing w:after="0" w:line="240" w:lineRule="auto"/>
              <w:jc w:val="left"/>
              <w:rPr>
                <w:szCs w:val="20"/>
              </w:rPr>
            </w:pPr>
            <w:r w:rsidRPr="00E15D15">
              <w:rPr>
                <w:szCs w:val="20"/>
              </w:rPr>
              <w:t>Kırıkkale, Aksaray, Niğde, Nevşehir, Kırşehir</w:t>
            </w:r>
          </w:p>
        </w:tc>
      </w:tr>
      <w:tr w:rsidR="00C5182E" w:rsidRPr="00C80404" w14:paraId="043ECA4C" w14:textId="77777777" w:rsidTr="00930FB0">
        <w:trPr>
          <w:trHeight w:val="300"/>
        </w:trPr>
        <w:tc>
          <w:tcPr>
            <w:tcW w:w="1093" w:type="dxa"/>
            <w:tcBorders>
              <w:top w:val="nil"/>
              <w:left w:val="nil"/>
              <w:bottom w:val="nil"/>
              <w:right w:val="single" w:sz="4" w:space="0" w:color="auto"/>
            </w:tcBorders>
            <w:shd w:val="clear" w:color="auto" w:fill="auto"/>
            <w:noWrap/>
            <w:vAlign w:val="bottom"/>
            <w:hideMark/>
          </w:tcPr>
          <w:p w14:paraId="3424C3CD" w14:textId="77777777" w:rsidR="00C5182E" w:rsidRPr="00E15D15" w:rsidRDefault="00C5182E" w:rsidP="00930FB0">
            <w:pPr>
              <w:suppressAutoHyphens w:val="0"/>
              <w:spacing w:after="0" w:line="240" w:lineRule="auto"/>
              <w:jc w:val="left"/>
              <w:rPr>
                <w:szCs w:val="20"/>
              </w:rPr>
            </w:pPr>
            <w:r w:rsidRPr="00E15D15">
              <w:rPr>
                <w:szCs w:val="20"/>
              </w:rPr>
              <w:t>TR42</w:t>
            </w:r>
          </w:p>
        </w:tc>
        <w:tc>
          <w:tcPr>
            <w:tcW w:w="5172" w:type="dxa"/>
            <w:tcBorders>
              <w:top w:val="nil"/>
              <w:left w:val="nil"/>
              <w:bottom w:val="nil"/>
              <w:right w:val="nil"/>
            </w:tcBorders>
            <w:shd w:val="clear" w:color="auto" w:fill="auto"/>
            <w:noWrap/>
            <w:vAlign w:val="bottom"/>
            <w:hideMark/>
          </w:tcPr>
          <w:p w14:paraId="01786EC9" w14:textId="77777777" w:rsidR="00C5182E" w:rsidRPr="00E15D15" w:rsidRDefault="00C5182E" w:rsidP="00930FB0">
            <w:pPr>
              <w:suppressAutoHyphens w:val="0"/>
              <w:spacing w:after="0" w:line="240" w:lineRule="auto"/>
              <w:jc w:val="left"/>
              <w:rPr>
                <w:szCs w:val="20"/>
              </w:rPr>
            </w:pPr>
            <w:r w:rsidRPr="00E15D15">
              <w:rPr>
                <w:szCs w:val="20"/>
              </w:rPr>
              <w:t>Kocaeli, Sakarya, Düzce, Bolu, Yalova</w:t>
            </w:r>
          </w:p>
        </w:tc>
      </w:tr>
      <w:tr w:rsidR="00C5182E" w:rsidRPr="00C80404" w14:paraId="7D97F133" w14:textId="77777777" w:rsidTr="00930FB0">
        <w:trPr>
          <w:trHeight w:val="300"/>
        </w:trPr>
        <w:tc>
          <w:tcPr>
            <w:tcW w:w="1093" w:type="dxa"/>
            <w:tcBorders>
              <w:top w:val="nil"/>
              <w:left w:val="nil"/>
              <w:bottom w:val="nil"/>
              <w:right w:val="single" w:sz="4" w:space="0" w:color="auto"/>
            </w:tcBorders>
            <w:shd w:val="clear" w:color="auto" w:fill="auto"/>
            <w:noWrap/>
            <w:vAlign w:val="bottom"/>
            <w:hideMark/>
          </w:tcPr>
          <w:p w14:paraId="77E37EB4" w14:textId="77777777" w:rsidR="00C5182E" w:rsidRPr="00E15D15" w:rsidRDefault="00C5182E" w:rsidP="00930FB0">
            <w:pPr>
              <w:suppressAutoHyphens w:val="0"/>
              <w:spacing w:after="0" w:line="240" w:lineRule="auto"/>
              <w:jc w:val="left"/>
              <w:rPr>
                <w:szCs w:val="20"/>
              </w:rPr>
            </w:pPr>
            <w:r w:rsidRPr="00E15D15">
              <w:rPr>
                <w:szCs w:val="20"/>
              </w:rPr>
              <w:t>TR52</w:t>
            </w:r>
          </w:p>
        </w:tc>
        <w:tc>
          <w:tcPr>
            <w:tcW w:w="5172" w:type="dxa"/>
            <w:tcBorders>
              <w:top w:val="nil"/>
              <w:left w:val="nil"/>
              <w:bottom w:val="nil"/>
              <w:right w:val="nil"/>
            </w:tcBorders>
            <w:shd w:val="clear" w:color="auto" w:fill="auto"/>
            <w:noWrap/>
            <w:vAlign w:val="bottom"/>
            <w:hideMark/>
          </w:tcPr>
          <w:p w14:paraId="6D80B475" w14:textId="77777777" w:rsidR="00C5182E" w:rsidRPr="00E15D15" w:rsidRDefault="00C5182E" w:rsidP="00930FB0">
            <w:pPr>
              <w:suppressAutoHyphens w:val="0"/>
              <w:spacing w:after="0" w:line="240" w:lineRule="auto"/>
              <w:jc w:val="left"/>
              <w:rPr>
                <w:szCs w:val="20"/>
              </w:rPr>
            </w:pPr>
            <w:r w:rsidRPr="00E15D15">
              <w:rPr>
                <w:szCs w:val="20"/>
              </w:rPr>
              <w:t xml:space="preserve">Konya, Karaman </w:t>
            </w:r>
          </w:p>
        </w:tc>
      </w:tr>
      <w:tr w:rsidR="00C5182E" w:rsidRPr="00C80404" w14:paraId="446D5910" w14:textId="77777777" w:rsidTr="00930FB0">
        <w:trPr>
          <w:trHeight w:val="300"/>
        </w:trPr>
        <w:tc>
          <w:tcPr>
            <w:tcW w:w="1093" w:type="dxa"/>
            <w:tcBorders>
              <w:top w:val="nil"/>
              <w:left w:val="nil"/>
              <w:bottom w:val="nil"/>
              <w:right w:val="single" w:sz="4" w:space="0" w:color="auto"/>
            </w:tcBorders>
            <w:shd w:val="clear" w:color="auto" w:fill="auto"/>
            <w:noWrap/>
            <w:vAlign w:val="bottom"/>
            <w:hideMark/>
          </w:tcPr>
          <w:p w14:paraId="490D25BE" w14:textId="77777777" w:rsidR="00C5182E" w:rsidRPr="00E15D15" w:rsidRDefault="00C5182E" w:rsidP="00930FB0">
            <w:pPr>
              <w:suppressAutoHyphens w:val="0"/>
              <w:spacing w:after="0" w:line="240" w:lineRule="auto"/>
              <w:jc w:val="left"/>
              <w:rPr>
                <w:szCs w:val="20"/>
              </w:rPr>
            </w:pPr>
            <w:r w:rsidRPr="00E15D15">
              <w:rPr>
                <w:szCs w:val="20"/>
              </w:rPr>
              <w:t>TRB1</w:t>
            </w:r>
          </w:p>
        </w:tc>
        <w:tc>
          <w:tcPr>
            <w:tcW w:w="5172" w:type="dxa"/>
            <w:tcBorders>
              <w:top w:val="nil"/>
              <w:left w:val="nil"/>
              <w:bottom w:val="nil"/>
              <w:right w:val="nil"/>
            </w:tcBorders>
            <w:shd w:val="clear" w:color="auto" w:fill="auto"/>
            <w:noWrap/>
            <w:vAlign w:val="bottom"/>
            <w:hideMark/>
          </w:tcPr>
          <w:p w14:paraId="186DB960" w14:textId="77777777" w:rsidR="00C5182E" w:rsidRPr="00E15D15" w:rsidRDefault="00C5182E" w:rsidP="00930FB0">
            <w:pPr>
              <w:suppressAutoHyphens w:val="0"/>
              <w:spacing w:after="0" w:line="240" w:lineRule="auto"/>
              <w:jc w:val="left"/>
              <w:rPr>
                <w:szCs w:val="20"/>
              </w:rPr>
            </w:pPr>
            <w:r w:rsidRPr="00E15D15">
              <w:rPr>
                <w:szCs w:val="20"/>
              </w:rPr>
              <w:t>Malatya, Elazığ, Bingöl, Tunceli</w:t>
            </w:r>
          </w:p>
        </w:tc>
      </w:tr>
      <w:tr w:rsidR="00C5182E" w:rsidRPr="00C80404" w14:paraId="3DE95977" w14:textId="77777777" w:rsidTr="00930FB0">
        <w:trPr>
          <w:trHeight w:val="300"/>
        </w:trPr>
        <w:tc>
          <w:tcPr>
            <w:tcW w:w="1093" w:type="dxa"/>
            <w:tcBorders>
              <w:top w:val="nil"/>
              <w:left w:val="nil"/>
              <w:bottom w:val="nil"/>
              <w:right w:val="single" w:sz="4" w:space="0" w:color="auto"/>
            </w:tcBorders>
            <w:shd w:val="clear" w:color="auto" w:fill="auto"/>
            <w:noWrap/>
            <w:vAlign w:val="bottom"/>
            <w:hideMark/>
          </w:tcPr>
          <w:p w14:paraId="31FE95B4" w14:textId="77777777" w:rsidR="00C5182E" w:rsidRPr="00E15D15" w:rsidRDefault="00C5182E" w:rsidP="00930FB0">
            <w:pPr>
              <w:suppressAutoHyphens w:val="0"/>
              <w:spacing w:after="0" w:line="240" w:lineRule="auto"/>
              <w:jc w:val="left"/>
              <w:rPr>
                <w:szCs w:val="20"/>
              </w:rPr>
            </w:pPr>
            <w:r w:rsidRPr="00E15D15">
              <w:rPr>
                <w:szCs w:val="20"/>
              </w:rPr>
              <w:t>TR33</w:t>
            </w:r>
          </w:p>
        </w:tc>
        <w:tc>
          <w:tcPr>
            <w:tcW w:w="5172" w:type="dxa"/>
            <w:tcBorders>
              <w:top w:val="nil"/>
              <w:left w:val="nil"/>
              <w:bottom w:val="nil"/>
              <w:right w:val="nil"/>
            </w:tcBorders>
            <w:shd w:val="clear" w:color="auto" w:fill="auto"/>
            <w:noWrap/>
            <w:vAlign w:val="bottom"/>
            <w:hideMark/>
          </w:tcPr>
          <w:p w14:paraId="0EC1DA88" w14:textId="77777777" w:rsidR="00C5182E" w:rsidRPr="00E15D15" w:rsidRDefault="00C5182E" w:rsidP="00930FB0">
            <w:pPr>
              <w:suppressAutoHyphens w:val="0"/>
              <w:spacing w:after="0" w:line="240" w:lineRule="auto"/>
              <w:jc w:val="left"/>
              <w:rPr>
                <w:szCs w:val="20"/>
              </w:rPr>
            </w:pPr>
            <w:r w:rsidRPr="00E15D15">
              <w:rPr>
                <w:szCs w:val="20"/>
              </w:rPr>
              <w:t>Manisa, Afyonkarahisar, Kütahya, Uşak</w:t>
            </w:r>
          </w:p>
        </w:tc>
      </w:tr>
      <w:tr w:rsidR="00C5182E" w:rsidRPr="00C80404" w14:paraId="014FE04E" w14:textId="77777777" w:rsidTr="00930FB0">
        <w:trPr>
          <w:trHeight w:val="300"/>
        </w:trPr>
        <w:tc>
          <w:tcPr>
            <w:tcW w:w="1093" w:type="dxa"/>
            <w:tcBorders>
              <w:top w:val="nil"/>
              <w:left w:val="nil"/>
              <w:bottom w:val="nil"/>
              <w:right w:val="single" w:sz="4" w:space="0" w:color="auto"/>
            </w:tcBorders>
            <w:shd w:val="clear" w:color="auto" w:fill="auto"/>
            <w:noWrap/>
            <w:vAlign w:val="bottom"/>
            <w:hideMark/>
          </w:tcPr>
          <w:p w14:paraId="3C19FDB3" w14:textId="77777777" w:rsidR="00C5182E" w:rsidRPr="00E15D15" w:rsidRDefault="00C5182E" w:rsidP="00930FB0">
            <w:pPr>
              <w:suppressAutoHyphens w:val="0"/>
              <w:spacing w:after="0" w:line="240" w:lineRule="auto"/>
              <w:jc w:val="left"/>
              <w:rPr>
                <w:szCs w:val="20"/>
              </w:rPr>
            </w:pPr>
            <w:r w:rsidRPr="00E15D15">
              <w:rPr>
                <w:szCs w:val="20"/>
              </w:rPr>
              <w:t>TRC3</w:t>
            </w:r>
          </w:p>
        </w:tc>
        <w:tc>
          <w:tcPr>
            <w:tcW w:w="5172" w:type="dxa"/>
            <w:tcBorders>
              <w:top w:val="nil"/>
              <w:left w:val="nil"/>
              <w:bottom w:val="nil"/>
              <w:right w:val="nil"/>
            </w:tcBorders>
            <w:shd w:val="clear" w:color="auto" w:fill="auto"/>
            <w:noWrap/>
            <w:vAlign w:val="bottom"/>
            <w:hideMark/>
          </w:tcPr>
          <w:p w14:paraId="4C26A334" w14:textId="77777777" w:rsidR="00C5182E" w:rsidRPr="00E15D15" w:rsidRDefault="00C5182E" w:rsidP="00930FB0">
            <w:pPr>
              <w:suppressAutoHyphens w:val="0"/>
              <w:spacing w:after="0" w:line="240" w:lineRule="auto"/>
              <w:jc w:val="left"/>
              <w:rPr>
                <w:szCs w:val="20"/>
              </w:rPr>
            </w:pPr>
            <w:r w:rsidRPr="00E15D15">
              <w:rPr>
                <w:szCs w:val="20"/>
              </w:rPr>
              <w:t>Mardin, Batman, Şırnak, Siirt</w:t>
            </w:r>
          </w:p>
        </w:tc>
      </w:tr>
      <w:tr w:rsidR="00C5182E" w:rsidRPr="00C80404" w14:paraId="68B6C628" w14:textId="77777777" w:rsidTr="00930FB0">
        <w:trPr>
          <w:trHeight w:val="300"/>
        </w:trPr>
        <w:tc>
          <w:tcPr>
            <w:tcW w:w="1093" w:type="dxa"/>
            <w:tcBorders>
              <w:top w:val="nil"/>
              <w:left w:val="nil"/>
              <w:bottom w:val="nil"/>
              <w:right w:val="single" w:sz="4" w:space="0" w:color="auto"/>
            </w:tcBorders>
            <w:shd w:val="clear" w:color="auto" w:fill="auto"/>
            <w:noWrap/>
            <w:vAlign w:val="bottom"/>
            <w:hideMark/>
          </w:tcPr>
          <w:p w14:paraId="705CBEB7" w14:textId="77777777" w:rsidR="00C5182E" w:rsidRPr="00E15D15" w:rsidRDefault="00C5182E" w:rsidP="00930FB0">
            <w:pPr>
              <w:suppressAutoHyphens w:val="0"/>
              <w:spacing w:after="0" w:line="240" w:lineRule="auto"/>
              <w:jc w:val="left"/>
              <w:rPr>
                <w:szCs w:val="20"/>
              </w:rPr>
            </w:pPr>
            <w:r w:rsidRPr="00E15D15">
              <w:rPr>
                <w:szCs w:val="20"/>
              </w:rPr>
              <w:t>TR83</w:t>
            </w:r>
          </w:p>
        </w:tc>
        <w:tc>
          <w:tcPr>
            <w:tcW w:w="5172" w:type="dxa"/>
            <w:tcBorders>
              <w:top w:val="nil"/>
              <w:left w:val="nil"/>
              <w:bottom w:val="nil"/>
              <w:right w:val="nil"/>
            </w:tcBorders>
            <w:shd w:val="clear" w:color="auto" w:fill="auto"/>
            <w:noWrap/>
            <w:vAlign w:val="bottom"/>
            <w:hideMark/>
          </w:tcPr>
          <w:p w14:paraId="310D5D08" w14:textId="77777777" w:rsidR="00C5182E" w:rsidRPr="00E15D15" w:rsidRDefault="00C5182E" w:rsidP="00930FB0">
            <w:pPr>
              <w:suppressAutoHyphens w:val="0"/>
              <w:spacing w:after="0" w:line="240" w:lineRule="auto"/>
              <w:jc w:val="left"/>
              <w:rPr>
                <w:szCs w:val="20"/>
              </w:rPr>
            </w:pPr>
            <w:r w:rsidRPr="00E15D15">
              <w:rPr>
                <w:szCs w:val="20"/>
              </w:rPr>
              <w:t>Samsun, Tokat, Çorum, Amasya</w:t>
            </w:r>
          </w:p>
        </w:tc>
        <w:bookmarkStart w:id="1" w:name="_GoBack"/>
        <w:bookmarkEnd w:id="1"/>
      </w:tr>
      <w:tr w:rsidR="00C5182E" w:rsidRPr="00C80404" w14:paraId="2B287628" w14:textId="77777777" w:rsidTr="00930FB0">
        <w:trPr>
          <w:trHeight w:val="300"/>
        </w:trPr>
        <w:tc>
          <w:tcPr>
            <w:tcW w:w="1093" w:type="dxa"/>
            <w:tcBorders>
              <w:top w:val="nil"/>
              <w:left w:val="nil"/>
              <w:bottom w:val="nil"/>
              <w:right w:val="single" w:sz="4" w:space="0" w:color="auto"/>
            </w:tcBorders>
            <w:shd w:val="clear" w:color="auto" w:fill="auto"/>
            <w:noWrap/>
            <w:vAlign w:val="bottom"/>
            <w:hideMark/>
          </w:tcPr>
          <w:p w14:paraId="46DCECF5" w14:textId="77777777" w:rsidR="00C5182E" w:rsidRPr="00E15D15" w:rsidRDefault="00C5182E" w:rsidP="00930FB0">
            <w:pPr>
              <w:suppressAutoHyphens w:val="0"/>
              <w:spacing w:after="0" w:line="240" w:lineRule="auto"/>
              <w:jc w:val="left"/>
              <w:rPr>
                <w:szCs w:val="20"/>
              </w:rPr>
            </w:pPr>
            <w:r w:rsidRPr="00E15D15">
              <w:rPr>
                <w:szCs w:val="20"/>
              </w:rPr>
              <w:t>TRC2</w:t>
            </w:r>
          </w:p>
        </w:tc>
        <w:tc>
          <w:tcPr>
            <w:tcW w:w="5172" w:type="dxa"/>
            <w:tcBorders>
              <w:top w:val="nil"/>
              <w:left w:val="nil"/>
              <w:bottom w:val="nil"/>
              <w:right w:val="nil"/>
            </w:tcBorders>
            <w:shd w:val="clear" w:color="auto" w:fill="auto"/>
            <w:noWrap/>
            <w:vAlign w:val="bottom"/>
            <w:hideMark/>
          </w:tcPr>
          <w:p w14:paraId="247B5995" w14:textId="77777777" w:rsidR="00C5182E" w:rsidRPr="00E15D15" w:rsidRDefault="00C5182E" w:rsidP="00930FB0">
            <w:pPr>
              <w:suppressAutoHyphens w:val="0"/>
              <w:spacing w:after="0" w:line="240" w:lineRule="auto"/>
              <w:jc w:val="left"/>
              <w:rPr>
                <w:szCs w:val="20"/>
              </w:rPr>
            </w:pPr>
            <w:r w:rsidRPr="00E15D15">
              <w:rPr>
                <w:szCs w:val="20"/>
              </w:rPr>
              <w:t>Şanlıurfa, Diyarbakır</w:t>
            </w:r>
          </w:p>
        </w:tc>
      </w:tr>
      <w:tr w:rsidR="00C5182E" w:rsidRPr="00C80404" w14:paraId="32B7F7C6" w14:textId="77777777" w:rsidTr="00930FB0">
        <w:trPr>
          <w:trHeight w:val="300"/>
        </w:trPr>
        <w:tc>
          <w:tcPr>
            <w:tcW w:w="1093" w:type="dxa"/>
            <w:tcBorders>
              <w:top w:val="nil"/>
              <w:left w:val="nil"/>
              <w:bottom w:val="nil"/>
              <w:right w:val="single" w:sz="4" w:space="0" w:color="auto"/>
            </w:tcBorders>
            <w:shd w:val="clear" w:color="auto" w:fill="auto"/>
            <w:noWrap/>
            <w:vAlign w:val="bottom"/>
            <w:hideMark/>
          </w:tcPr>
          <w:p w14:paraId="4A49ABE1" w14:textId="77777777" w:rsidR="00C5182E" w:rsidRPr="00E15D15" w:rsidRDefault="00C5182E" w:rsidP="00930FB0">
            <w:pPr>
              <w:suppressAutoHyphens w:val="0"/>
              <w:spacing w:after="0" w:line="240" w:lineRule="auto"/>
              <w:jc w:val="left"/>
              <w:rPr>
                <w:szCs w:val="20"/>
              </w:rPr>
            </w:pPr>
            <w:r w:rsidRPr="00E15D15">
              <w:rPr>
                <w:szCs w:val="20"/>
              </w:rPr>
              <w:t>TR21</w:t>
            </w:r>
          </w:p>
        </w:tc>
        <w:tc>
          <w:tcPr>
            <w:tcW w:w="5172" w:type="dxa"/>
            <w:tcBorders>
              <w:top w:val="nil"/>
              <w:left w:val="nil"/>
              <w:bottom w:val="nil"/>
              <w:right w:val="nil"/>
            </w:tcBorders>
            <w:shd w:val="clear" w:color="auto" w:fill="auto"/>
            <w:noWrap/>
            <w:vAlign w:val="bottom"/>
            <w:hideMark/>
          </w:tcPr>
          <w:p w14:paraId="0753BE4B" w14:textId="77777777" w:rsidR="00C5182E" w:rsidRPr="00E15D15" w:rsidRDefault="00C5182E" w:rsidP="00930FB0">
            <w:pPr>
              <w:suppressAutoHyphens w:val="0"/>
              <w:spacing w:after="0" w:line="240" w:lineRule="auto"/>
              <w:jc w:val="left"/>
              <w:rPr>
                <w:szCs w:val="20"/>
              </w:rPr>
            </w:pPr>
            <w:r w:rsidRPr="00E15D15">
              <w:rPr>
                <w:szCs w:val="20"/>
              </w:rPr>
              <w:t>Tekirdağ, Edirne, Kırklareli</w:t>
            </w:r>
          </w:p>
        </w:tc>
      </w:tr>
      <w:tr w:rsidR="00C5182E" w:rsidRPr="00C80404" w14:paraId="412CF80D" w14:textId="77777777" w:rsidTr="00930FB0">
        <w:trPr>
          <w:trHeight w:val="300"/>
        </w:trPr>
        <w:tc>
          <w:tcPr>
            <w:tcW w:w="1093" w:type="dxa"/>
            <w:tcBorders>
              <w:top w:val="nil"/>
              <w:left w:val="nil"/>
              <w:bottom w:val="nil"/>
              <w:right w:val="single" w:sz="4" w:space="0" w:color="auto"/>
            </w:tcBorders>
            <w:shd w:val="clear" w:color="auto" w:fill="auto"/>
            <w:noWrap/>
            <w:vAlign w:val="bottom"/>
            <w:hideMark/>
          </w:tcPr>
          <w:p w14:paraId="56A92711" w14:textId="77777777" w:rsidR="00C5182E" w:rsidRPr="00E15D15" w:rsidRDefault="00C5182E" w:rsidP="00930FB0">
            <w:pPr>
              <w:suppressAutoHyphens w:val="0"/>
              <w:spacing w:after="0" w:line="240" w:lineRule="auto"/>
              <w:jc w:val="left"/>
              <w:rPr>
                <w:szCs w:val="20"/>
              </w:rPr>
            </w:pPr>
            <w:r w:rsidRPr="00E15D15">
              <w:rPr>
                <w:szCs w:val="20"/>
              </w:rPr>
              <w:t>TR90</w:t>
            </w:r>
          </w:p>
        </w:tc>
        <w:tc>
          <w:tcPr>
            <w:tcW w:w="5172" w:type="dxa"/>
            <w:tcBorders>
              <w:top w:val="nil"/>
              <w:left w:val="nil"/>
              <w:bottom w:val="nil"/>
              <w:right w:val="nil"/>
            </w:tcBorders>
            <w:shd w:val="clear" w:color="auto" w:fill="auto"/>
            <w:noWrap/>
            <w:vAlign w:val="bottom"/>
            <w:hideMark/>
          </w:tcPr>
          <w:p w14:paraId="324CA399" w14:textId="77777777" w:rsidR="00C5182E" w:rsidRPr="00E15D15" w:rsidRDefault="00C5182E" w:rsidP="00930FB0">
            <w:pPr>
              <w:suppressAutoHyphens w:val="0"/>
              <w:spacing w:after="0" w:line="240" w:lineRule="auto"/>
              <w:jc w:val="left"/>
              <w:rPr>
                <w:szCs w:val="20"/>
              </w:rPr>
            </w:pPr>
            <w:r w:rsidRPr="00E15D15">
              <w:rPr>
                <w:szCs w:val="20"/>
              </w:rPr>
              <w:t>Trabzon, Ordu, Giresun, Rize, Artvin, Gümüşhane</w:t>
            </w:r>
          </w:p>
        </w:tc>
      </w:tr>
      <w:tr w:rsidR="00C5182E" w:rsidRPr="00C80404" w14:paraId="6D7FF279" w14:textId="77777777" w:rsidTr="00930FB0">
        <w:trPr>
          <w:trHeight w:val="300"/>
        </w:trPr>
        <w:tc>
          <w:tcPr>
            <w:tcW w:w="1093" w:type="dxa"/>
            <w:tcBorders>
              <w:top w:val="nil"/>
              <w:left w:val="nil"/>
              <w:bottom w:val="nil"/>
              <w:right w:val="single" w:sz="4" w:space="0" w:color="auto"/>
            </w:tcBorders>
            <w:shd w:val="clear" w:color="auto" w:fill="auto"/>
            <w:noWrap/>
            <w:vAlign w:val="bottom"/>
            <w:hideMark/>
          </w:tcPr>
          <w:p w14:paraId="7534F1E5" w14:textId="77777777" w:rsidR="00C5182E" w:rsidRPr="00E15D15" w:rsidRDefault="00C5182E" w:rsidP="00930FB0">
            <w:pPr>
              <w:suppressAutoHyphens w:val="0"/>
              <w:spacing w:after="0" w:line="240" w:lineRule="auto"/>
              <w:jc w:val="left"/>
              <w:rPr>
                <w:szCs w:val="20"/>
              </w:rPr>
            </w:pPr>
            <w:r w:rsidRPr="00E15D15">
              <w:rPr>
                <w:szCs w:val="20"/>
              </w:rPr>
              <w:t>TRB2</w:t>
            </w:r>
          </w:p>
        </w:tc>
        <w:tc>
          <w:tcPr>
            <w:tcW w:w="5172" w:type="dxa"/>
            <w:tcBorders>
              <w:top w:val="nil"/>
              <w:left w:val="nil"/>
              <w:bottom w:val="nil"/>
              <w:right w:val="nil"/>
            </w:tcBorders>
            <w:shd w:val="clear" w:color="auto" w:fill="auto"/>
            <w:noWrap/>
            <w:vAlign w:val="bottom"/>
            <w:hideMark/>
          </w:tcPr>
          <w:p w14:paraId="0B30E2F8" w14:textId="77777777" w:rsidR="00C5182E" w:rsidRPr="00E15D15" w:rsidRDefault="00C5182E" w:rsidP="00930FB0">
            <w:pPr>
              <w:suppressAutoHyphens w:val="0"/>
              <w:spacing w:after="0" w:line="240" w:lineRule="auto"/>
              <w:jc w:val="left"/>
              <w:rPr>
                <w:szCs w:val="20"/>
              </w:rPr>
            </w:pPr>
            <w:r w:rsidRPr="00E15D15">
              <w:rPr>
                <w:szCs w:val="20"/>
              </w:rPr>
              <w:t xml:space="preserve">Van, Muş, Bitlis, </w:t>
            </w:r>
            <w:r w:rsidR="009C087D" w:rsidRPr="00E15D15">
              <w:rPr>
                <w:szCs w:val="20"/>
              </w:rPr>
              <w:t>Hakkâri</w:t>
            </w:r>
          </w:p>
        </w:tc>
      </w:tr>
      <w:tr w:rsidR="00C5182E" w:rsidRPr="00C80404" w14:paraId="782D9367" w14:textId="77777777" w:rsidTr="00930FB0">
        <w:trPr>
          <w:trHeight w:val="300"/>
        </w:trPr>
        <w:tc>
          <w:tcPr>
            <w:tcW w:w="1093" w:type="dxa"/>
            <w:tcBorders>
              <w:top w:val="nil"/>
              <w:left w:val="nil"/>
              <w:bottom w:val="nil"/>
              <w:right w:val="single" w:sz="4" w:space="0" w:color="auto"/>
            </w:tcBorders>
            <w:shd w:val="clear" w:color="auto" w:fill="auto"/>
            <w:noWrap/>
            <w:vAlign w:val="bottom"/>
            <w:hideMark/>
          </w:tcPr>
          <w:p w14:paraId="6085F681" w14:textId="77777777" w:rsidR="00C5182E" w:rsidRPr="00E15D15" w:rsidRDefault="00C5182E" w:rsidP="00930FB0">
            <w:pPr>
              <w:suppressAutoHyphens w:val="0"/>
              <w:spacing w:after="0" w:line="240" w:lineRule="auto"/>
              <w:jc w:val="left"/>
              <w:rPr>
                <w:szCs w:val="20"/>
              </w:rPr>
            </w:pPr>
            <w:r w:rsidRPr="00E15D15">
              <w:rPr>
                <w:szCs w:val="20"/>
              </w:rPr>
              <w:t>TR81</w:t>
            </w:r>
          </w:p>
        </w:tc>
        <w:tc>
          <w:tcPr>
            <w:tcW w:w="5172" w:type="dxa"/>
            <w:tcBorders>
              <w:top w:val="nil"/>
              <w:left w:val="nil"/>
              <w:bottom w:val="nil"/>
              <w:right w:val="nil"/>
            </w:tcBorders>
            <w:shd w:val="clear" w:color="auto" w:fill="auto"/>
            <w:noWrap/>
            <w:vAlign w:val="bottom"/>
            <w:hideMark/>
          </w:tcPr>
          <w:p w14:paraId="0E4E9818" w14:textId="77777777" w:rsidR="00C5182E" w:rsidRPr="00E15D15" w:rsidRDefault="00C5182E" w:rsidP="00930FB0">
            <w:pPr>
              <w:suppressAutoHyphens w:val="0"/>
              <w:spacing w:after="0" w:line="240" w:lineRule="auto"/>
              <w:jc w:val="left"/>
              <w:rPr>
                <w:szCs w:val="20"/>
              </w:rPr>
            </w:pPr>
            <w:r w:rsidRPr="00E15D15">
              <w:rPr>
                <w:szCs w:val="20"/>
              </w:rPr>
              <w:t>Zonguldak, Karabük, Bartın</w:t>
            </w:r>
          </w:p>
        </w:tc>
      </w:tr>
    </w:tbl>
    <w:p w14:paraId="077CC996" w14:textId="77777777" w:rsidR="00C5182E" w:rsidRPr="00C80404" w:rsidRDefault="00C5182E" w:rsidP="00C5182E">
      <w:pPr>
        <w:rPr>
          <w:rFonts w:eastAsiaTheme="minorHAnsi"/>
          <w:lang w:eastAsia="en-US"/>
        </w:rPr>
      </w:pPr>
    </w:p>
    <w:sectPr w:rsidR="00C5182E" w:rsidRPr="00C80404" w:rsidSect="00C965D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E1ED9" w14:textId="77777777" w:rsidR="00C9192C" w:rsidRDefault="00C9192C" w:rsidP="008342DA">
      <w:pPr>
        <w:spacing w:after="0" w:line="240" w:lineRule="auto"/>
      </w:pPr>
      <w:r>
        <w:separator/>
      </w:r>
    </w:p>
  </w:endnote>
  <w:endnote w:type="continuationSeparator" w:id="0">
    <w:p w14:paraId="435B4A33" w14:textId="77777777" w:rsidR="00C9192C" w:rsidRDefault="00C9192C" w:rsidP="0083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EDDFB" w14:textId="77777777" w:rsidR="00C9192C" w:rsidRDefault="00C9192C" w:rsidP="008342DA">
      <w:pPr>
        <w:spacing w:after="0" w:line="240" w:lineRule="auto"/>
      </w:pPr>
      <w:r>
        <w:separator/>
      </w:r>
    </w:p>
  </w:footnote>
  <w:footnote w:type="continuationSeparator" w:id="0">
    <w:p w14:paraId="597C02D4" w14:textId="77777777" w:rsidR="00C9192C" w:rsidRDefault="00C9192C" w:rsidP="008342DA">
      <w:pPr>
        <w:spacing w:after="0" w:line="240" w:lineRule="auto"/>
      </w:pPr>
      <w:r>
        <w:continuationSeparator/>
      </w:r>
    </w:p>
  </w:footnote>
  <w:footnote w:id="1">
    <w:p w14:paraId="67AA685D" w14:textId="3B00BAD8" w:rsidR="00EB496C" w:rsidRDefault="00EB496C" w:rsidP="000F28F7">
      <w:pPr>
        <w:pStyle w:val="FootnoteText"/>
        <w:spacing w:after="0" w:line="240" w:lineRule="auto"/>
      </w:pPr>
      <w:r>
        <w:rPr>
          <w:rStyle w:val="FootnoteReference"/>
        </w:rPr>
        <w:t>*</w:t>
      </w:r>
      <w:r>
        <w:t xml:space="preserve"> </w:t>
      </w:r>
      <w:r w:rsidRPr="000F28F7">
        <w:t xml:space="preserve">Ozan Bakış, Betam, Kıdemli Araştırmacı, </w:t>
      </w:r>
      <w:hyperlink r:id="rId1" w:history="1">
        <w:r w:rsidRPr="001259D8">
          <w:rPr>
            <w:rStyle w:val="Hyperlink"/>
          </w:rPr>
          <w:t>ozan.bakis@eas.bau.edu.tr</w:t>
        </w:r>
      </w:hyperlink>
      <w:r>
        <w:t xml:space="preserve"> </w:t>
      </w:r>
    </w:p>
  </w:footnote>
  <w:footnote w:id="2">
    <w:p w14:paraId="0F7293F3" w14:textId="77777777" w:rsidR="00EB496C" w:rsidRDefault="00EB496C" w:rsidP="000F28F7">
      <w:pPr>
        <w:pStyle w:val="FootnoteText"/>
        <w:spacing w:after="0" w:line="240" w:lineRule="auto"/>
      </w:pPr>
      <w:r>
        <w:rPr>
          <w:rStyle w:val="FootnoteReference"/>
        </w:rPr>
        <w:t>**</w:t>
      </w:r>
      <w:r>
        <w:t xml:space="preserve"> </w:t>
      </w:r>
      <w:r w:rsidRPr="000F28F7">
        <w:t xml:space="preserve">Uğurcan Acar, Betam, Araştırma görevlisi, </w:t>
      </w:r>
      <w:hyperlink r:id="rId2" w:history="1">
        <w:r w:rsidRPr="00094F03">
          <w:rPr>
            <w:rStyle w:val="Hyperlink"/>
          </w:rPr>
          <w:t>ugurcan.acars@eas.bau.edu.tr</w:t>
        </w:r>
      </w:hyperlink>
    </w:p>
  </w:footnote>
  <w:footnote w:id="3">
    <w:p w14:paraId="39A294CA" w14:textId="77777777" w:rsidR="00EB496C" w:rsidRPr="00254D09" w:rsidRDefault="00EB496C" w:rsidP="005A5BEE">
      <w:pPr>
        <w:pStyle w:val="FootnoteText"/>
        <w:spacing w:after="0" w:line="240" w:lineRule="auto"/>
        <w:rPr>
          <w:lang w:val="en-GB"/>
        </w:rPr>
      </w:pPr>
      <w:r>
        <w:rPr>
          <w:rStyle w:val="FootnoteReference"/>
        </w:rPr>
        <w:footnoteRef/>
      </w:r>
      <w:r>
        <w:t xml:space="preserve"> </w:t>
      </w:r>
      <w:hyperlink r:id="rId3" w:history="1">
        <w:r w:rsidRPr="00094F03">
          <w:rPr>
            <w:rStyle w:val="Hyperlink"/>
          </w:rPr>
          <w:t>https://twitter.com/BeratAlbayrak/status/1102479330611994624</w:t>
        </w:r>
      </w:hyperlink>
      <w:r>
        <w:t xml:space="preserve"> erişim tarihi 5 Mart 2019.</w:t>
      </w:r>
    </w:p>
  </w:footnote>
  <w:footnote w:id="4">
    <w:p w14:paraId="2DC23948" w14:textId="093C90C6" w:rsidR="00EB496C" w:rsidRPr="00EB496C" w:rsidRDefault="00EB496C" w:rsidP="00EB496C">
      <w:pPr>
        <w:pStyle w:val="FootnoteText"/>
        <w:spacing w:after="0" w:line="240" w:lineRule="auto"/>
        <w:jc w:val="left"/>
        <w:rPr>
          <w:lang w:val="en-GB"/>
        </w:rPr>
      </w:pPr>
      <w:r>
        <w:rPr>
          <w:rStyle w:val="FootnoteReference"/>
        </w:rPr>
        <w:footnoteRef/>
      </w:r>
      <w:r>
        <w:t xml:space="preserve"> </w:t>
      </w:r>
      <w:hyperlink r:id="rId4" w:history="1">
        <w:r w:rsidRPr="001259D8">
          <w:rPr>
            <w:rStyle w:val="Hyperlink"/>
          </w:rPr>
          <w:t>https://www.haberturk.com/cumhurbaskani-erdogan-dan-cok-onemli-komisyoncu-aciklamasi-2341852-ekonomi</w:t>
        </w:r>
      </w:hyperlink>
      <w:r>
        <w:t xml:space="preserve"> erişim tarihi 5 Mart 2019.</w:t>
      </w:r>
    </w:p>
  </w:footnote>
  <w:footnote w:id="5">
    <w:p w14:paraId="2D32D61C" w14:textId="77777777" w:rsidR="00EB496C" w:rsidRDefault="00EB496C" w:rsidP="00EB496C">
      <w:pPr>
        <w:pStyle w:val="FootnoteText"/>
        <w:spacing w:after="0" w:line="240" w:lineRule="auto"/>
        <w:jc w:val="left"/>
      </w:pPr>
      <w:r>
        <w:rPr>
          <w:rStyle w:val="FootnoteReference"/>
        </w:rPr>
        <w:footnoteRef/>
      </w:r>
      <w:r>
        <w:t xml:space="preserve"> </w:t>
      </w:r>
      <w:hyperlink r:id="rId5" w:history="1">
        <w:r w:rsidRPr="00FE1770">
          <w:rPr>
            <w:rStyle w:val="Hyperlink"/>
          </w:rPr>
          <w:t>https://www.bbc.com/turkce/haberler-turkiye-47206934</w:t>
        </w:r>
      </w:hyperlink>
      <w:r>
        <w:t>, erişim tarihi 5 Mart 2019.</w:t>
      </w:r>
    </w:p>
  </w:footnote>
  <w:footnote w:id="6">
    <w:p w14:paraId="124CCA04" w14:textId="77777777" w:rsidR="00EB496C" w:rsidRDefault="00EB496C" w:rsidP="00EB496C">
      <w:pPr>
        <w:pStyle w:val="FootnoteText"/>
        <w:spacing w:after="0" w:line="240" w:lineRule="auto"/>
        <w:jc w:val="left"/>
      </w:pPr>
      <w:r>
        <w:rPr>
          <w:rStyle w:val="FootnoteReference"/>
        </w:rPr>
        <w:footnoteRef/>
      </w:r>
      <w:hyperlink r:id="rId6" w:history="1">
        <w:r w:rsidRPr="00FE1770">
          <w:rPr>
            <w:rStyle w:val="Hyperlink"/>
          </w:rPr>
          <w:t>https://www.haberturk.com/tanzim-satisa-bakliyat-ve-temizlik-urunleri-de-dahil-olacak-2369932-ekonomi</w:t>
        </w:r>
      </w:hyperlink>
      <w:r>
        <w:t xml:space="preserve">,  </w:t>
      </w:r>
      <w:r>
        <w:t>erişim tarihi 5 Mart 2019.</w:t>
      </w:r>
    </w:p>
  </w:footnote>
  <w:footnote w:id="7">
    <w:p w14:paraId="26EEA6C3" w14:textId="77777777" w:rsidR="00EB496C" w:rsidRDefault="00EB496C" w:rsidP="00EB496C">
      <w:pPr>
        <w:pStyle w:val="FootnoteText"/>
        <w:spacing w:after="0" w:line="240" w:lineRule="auto"/>
        <w:jc w:val="left"/>
      </w:pPr>
      <w:r>
        <w:rPr>
          <w:rStyle w:val="FootnoteReference"/>
        </w:rPr>
        <w:footnoteRef/>
      </w:r>
      <w:r>
        <w:t xml:space="preserve"> </w:t>
      </w:r>
      <w:hyperlink r:id="rId7" w:history="1">
        <w:r w:rsidRPr="00FE1770">
          <w:rPr>
            <w:rStyle w:val="Hyperlink"/>
          </w:rPr>
          <w:t>https://www.aa.com.tr/tr/turkiye/samsunda-tanzim-satis-noktalari-acildi/1404442</w:t>
        </w:r>
      </w:hyperlink>
      <w:r>
        <w:t xml:space="preserve">, erişim tarihi 5 Mart 2019; </w:t>
      </w:r>
      <w:hyperlink r:id="rId8" w:history="1">
        <w:r w:rsidRPr="00FE1770">
          <w:rPr>
            <w:rStyle w:val="Hyperlink"/>
          </w:rPr>
          <w:t>https://www.aa.com.tr/tr/turkiye/trabzonda-tanzim-satis-noktasi-acildi/1407475</w:t>
        </w:r>
      </w:hyperlink>
      <w:r>
        <w:t>,</w:t>
      </w:r>
      <w:r w:rsidRPr="00A57CAC">
        <w:t xml:space="preserve"> </w:t>
      </w:r>
      <w:r>
        <w:t xml:space="preserve">erişim tarihi 5 Mart 2019; </w:t>
      </w:r>
      <w:hyperlink r:id="rId9" w:history="1">
        <w:r w:rsidRPr="00FE1770">
          <w:rPr>
            <w:rStyle w:val="Hyperlink"/>
          </w:rPr>
          <w:t>https://www.aa.com.tr/tr/ekonomi/adanada-ilk-tanzim-satis-noktasi-acildi/1397335</w:t>
        </w:r>
      </w:hyperlink>
      <w:r>
        <w:t xml:space="preserve">,  erişim tarihi 5 Mart 2019; </w:t>
      </w:r>
      <w:hyperlink r:id="rId10" w:history="1">
        <w:r w:rsidRPr="00FE1770">
          <w:rPr>
            <w:rStyle w:val="Hyperlink"/>
          </w:rPr>
          <w:t>https://www.aa.com.tr/tr/turkiye/balikesirde-ilk-tanzim-satis-noktasi-acildi/1394583</w:t>
        </w:r>
      </w:hyperlink>
      <w:r>
        <w:t>,</w:t>
      </w:r>
      <w:r w:rsidRPr="004404F7">
        <w:t xml:space="preserve"> </w:t>
      </w:r>
      <w:r>
        <w:t>erişim tarihi 5 Mart 2019.</w:t>
      </w:r>
    </w:p>
  </w:footnote>
  <w:footnote w:id="8">
    <w:p w14:paraId="39E3FA28" w14:textId="77777777" w:rsidR="00514E3A" w:rsidRDefault="00514E3A" w:rsidP="00514E3A">
      <w:pPr>
        <w:pStyle w:val="FootnoteText"/>
        <w:spacing w:after="0" w:line="240" w:lineRule="auto"/>
        <w:jc w:val="left"/>
      </w:pPr>
      <w:r>
        <w:rPr>
          <w:rStyle w:val="FootnoteReference"/>
        </w:rPr>
        <w:footnoteRef/>
      </w:r>
      <w:r>
        <w:t xml:space="preserve"> </w:t>
      </w:r>
      <w:hyperlink r:id="rId11" w:history="1">
        <w:r w:rsidRPr="00FE1770">
          <w:rPr>
            <w:rStyle w:val="Hyperlink"/>
          </w:rPr>
          <w:t>https://www.bbc.com/turk</w:t>
        </w:r>
        <w:r w:rsidRPr="00FE1770">
          <w:rPr>
            <w:rStyle w:val="Hyperlink"/>
          </w:rPr>
          <w:t>c</w:t>
        </w:r>
        <w:r w:rsidRPr="00FE1770">
          <w:rPr>
            <w:rStyle w:val="Hyperlink"/>
          </w:rPr>
          <w:t>e/haberler-turkiye-47206934</w:t>
        </w:r>
      </w:hyperlink>
      <w:r>
        <w:t>, erişim tarihi 5 Mart 2019.</w:t>
      </w:r>
    </w:p>
  </w:footnote>
  <w:footnote w:id="9">
    <w:p w14:paraId="53F885A8" w14:textId="77777777" w:rsidR="00EB496C" w:rsidRDefault="00EB496C" w:rsidP="001D698A">
      <w:pPr>
        <w:pStyle w:val="FootnoteText"/>
        <w:spacing w:after="0" w:line="240" w:lineRule="auto"/>
      </w:pPr>
      <w:r>
        <w:rPr>
          <w:rStyle w:val="FootnoteReference"/>
        </w:rPr>
        <w:footnoteRef/>
      </w:r>
      <w:r>
        <w:t xml:space="preserve"> </w:t>
      </w:r>
      <w:hyperlink r:id="rId12" w:history="1">
        <w:r w:rsidRPr="00FE1770">
          <w:rPr>
            <w:rStyle w:val="Hyperlink"/>
          </w:rPr>
          <w:t>https://www.bbc.com/turkce/haberler-turkiye-47206934</w:t>
        </w:r>
      </w:hyperlink>
      <w:r>
        <w:t>, erişim tarihi 5 Mart 2019.</w:t>
      </w:r>
    </w:p>
  </w:footnote>
  <w:footnote w:id="10">
    <w:p w14:paraId="002C7027" w14:textId="68AD4174" w:rsidR="00EB496C" w:rsidRPr="00D30574" w:rsidRDefault="00EB496C" w:rsidP="00E734A5">
      <w:pPr>
        <w:pStyle w:val="FootnoteText"/>
        <w:spacing w:after="0" w:line="240" w:lineRule="auto"/>
      </w:pPr>
      <w:r>
        <w:rPr>
          <w:rStyle w:val="FootnoteReference"/>
        </w:rPr>
        <w:footnoteRef/>
      </w:r>
      <w:hyperlink r:id="rId13" w:history="1">
        <w:r w:rsidRPr="00094F03">
          <w:rPr>
            <w:rStyle w:val="Hyperlink"/>
          </w:rPr>
          <w:t>https://www.aa.com.tr/tr/politika/bakan-pakdemirli-tanzimde-nohut-ve-mercimegin-satisina-bugun-baslanacak/1402834</w:t>
        </w:r>
      </w:hyperlink>
      <w:r>
        <w:t xml:space="preserve"> erişim tarihi 5 Mart</w:t>
      </w:r>
      <w:r w:rsidR="00514E3A">
        <w:t xml:space="preserve"> 2019.</w:t>
      </w:r>
    </w:p>
  </w:footnote>
  <w:footnote w:id="11">
    <w:p w14:paraId="43D72DC8" w14:textId="54945A4B" w:rsidR="00EB496C" w:rsidRPr="00D30574" w:rsidRDefault="00EB496C" w:rsidP="00E734A5">
      <w:pPr>
        <w:pStyle w:val="FootnoteText"/>
        <w:spacing w:after="0" w:line="240" w:lineRule="auto"/>
        <w:rPr>
          <w:lang w:val="en-GB"/>
        </w:rPr>
      </w:pPr>
      <w:r>
        <w:rPr>
          <w:rStyle w:val="FootnoteReference"/>
        </w:rPr>
        <w:footnoteRef/>
      </w:r>
      <w:r>
        <w:t xml:space="preserve"> </w:t>
      </w:r>
      <w:hyperlink r:id="rId14" w:history="1">
        <w:r w:rsidR="00514E3A" w:rsidRPr="001259D8">
          <w:rPr>
            <w:rStyle w:val="Hyperlink"/>
          </w:rPr>
          <w:t>https://www.ntv.com.tr/ekonomi/pirinc-de-artik-tanzim-satista,u4Ndn6nq0ESlO39n48U_VA</w:t>
        </w:r>
      </w:hyperlink>
      <w:r w:rsidR="00514E3A">
        <w:t xml:space="preserve"> erişim tarihi 5 Mart 2019.</w:t>
      </w:r>
    </w:p>
  </w:footnote>
  <w:footnote w:id="12">
    <w:p w14:paraId="3104328B" w14:textId="77777777" w:rsidR="00EB496C" w:rsidRDefault="00EB496C">
      <w:pPr>
        <w:pStyle w:val="FootnoteText"/>
      </w:pPr>
      <w:r>
        <w:rPr>
          <w:rStyle w:val="FootnoteReference"/>
        </w:rPr>
        <w:footnoteRef/>
      </w:r>
      <w:r>
        <w:t xml:space="preserve"> </w:t>
      </w:r>
      <w:r w:rsidRPr="004B4BA0">
        <w:t>Ankara ve İstanbul’da 20 milyondan fazla insanın yaşamaktadır. Tanzim satış noktaları 2019 Şubat ayında sadece 65’ti. Bu kadar az noktada yapılan tanzim satışın söz konusu fiyatları tek başına düşürmesi mümkün değildir. Tanzim satış merkezlerinde satılan ürünlerin bile o ildeki fiyatının düşmesi için tanzim satış dışında kalan market ve bakkaliyelerde de fiyat düşüşüne yol açması gerekir.</w:t>
      </w:r>
    </w:p>
  </w:footnote>
  <w:footnote w:id="13">
    <w:p w14:paraId="0913BB0B" w14:textId="77777777" w:rsidR="00EB496C" w:rsidRDefault="00EB496C" w:rsidP="00FE3275">
      <w:pPr>
        <w:pStyle w:val="FootnoteText"/>
        <w:spacing w:after="0" w:line="240" w:lineRule="auto"/>
      </w:pPr>
      <w:r>
        <w:rPr>
          <w:rStyle w:val="FootnoteReference"/>
        </w:rPr>
        <w:footnoteRef/>
      </w:r>
      <w:r>
        <w:t xml:space="preserve"> Yapılan regresyon analizi sonuçlarına göre FF tahmincileri sadece 2019 yılı için istatistiki olarak anlamlı çıkmaktadır. İsteyen okuyucularımızla regresyon analizi sonuçlarını paylaşabiliriz.</w:t>
      </w:r>
    </w:p>
  </w:footnote>
  <w:footnote w:id="14">
    <w:p w14:paraId="54FB3F7B" w14:textId="798AD848" w:rsidR="00EB496C" w:rsidRDefault="00EB496C" w:rsidP="00FE3275">
      <w:pPr>
        <w:pStyle w:val="FootnoteText"/>
        <w:spacing w:after="0" w:line="240" w:lineRule="auto"/>
      </w:pPr>
      <w:r>
        <w:rPr>
          <w:rStyle w:val="FootnoteReference"/>
        </w:rPr>
        <w:footnoteRef/>
      </w:r>
      <w:r>
        <w:t xml:space="preserve"> </w:t>
      </w:r>
      <w:hyperlink r:id="rId15" w:history="1">
        <w:r w:rsidR="00074049" w:rsidRPr="001259D8">
          <w:rPr>
            <w:rStyle w:val="Hyperlink"/>
          </w:rPr>
          <w:t>http://www.tuik.gov.tr/PreIstatistikTablo.do?istab_id=991</w:t>
        </w:r>
      </w:hyperlink>
      <w:r w:rsidR="00074049">
        <w:t xml:space="preserve"> erişim tarihi </w:t>
      </w:r>
      <w:r w:rsidR="00A3152F">
        <w:t xml:space="preserve">7 Mart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4CBC"/>
    <w:multiLevelType w:val="hybridMultilevel"/>
    <w:tmpl w:val="D1125870"/>
    <w:lvl w:ilvl="0" w:tplc="90FA5CB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63895518"/>
    <w:multiLevelType w:val="hybridMultilevel"/>
    <w:tmpl w:val="C81C8A5A"/>
    <w:lvl w:ilvl="0" w:tplc="0A1052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DA"/>
    <w:rsid w:val="00003C2B"/>
    <w:rsid w:val="00004599"/>
    <w:rsid w:val="000054F3"/>
    <w:rsid w:val="0000598A"/>
    <w:rsid w:val="000065FB"/>
    <w:rsid w:val="000103F3"/>
    <w:rsid w:val="00011A71"/>
    <w:rsid w:val="00011EDA"/>
    <w:rsid w:val="0001294B"/>
    <w:rsid w:val="00013C4B"/>
    <w:rsid w:val="00014871"/>
    <w:rsid w:val="0001516E"/>
    <w:rsid w:val="000155D8"/>
    <w:rsid w:val="00017D36"/>
    <w:rsid w:val="0002354A"/>
    <w:rsid w:val="00023990"/>
    <w:rsid w:val="000246D0"/>
    <w:rsid w:val="00027507"/>
    <w:rsid w:val="00033DA7"/>
    <w:rsid w:val="00033EC0"/>
    <w:rsid w:val="00034900"/>
    <w:rsid w:val="00034C80"/>
    <w:rsid w:val="00041514"/>
    <w:rsid w:val="00041C7C"/>
    <w:rsid w:val="000430B8"/>
    <w:rsid w:val="0004423C"/>
    <w:rsid w:val="00044F9E"/>
    <w:rsid w:val="0004598A"/>
    <w:rsid w:val="000473F1"/>
    <w:rsid w:val="00050AA0"/>
    <w:rsid w:val="00050F6D"/>
    <w:rsid w:val="000513AE"/>
    <w:rsid w:val="00055750"/>
    <w:rsid w:val="0005799C"/>
    <w:rsid w:val="00062732"/>
    <w:rsid w:val="00063376"/>
    <w:rsid w:val="00063C78"/>
    <w:rsid w:val="00064354"/>
    <w:rsid w:val="00064E24"/>
    <w:rsid w:val="00067391"/>
    <w:rsid w:val="00067F39"/>
    <w:rsid w:val="00071540"/>
    <w:rsid w:val="0007239A"/>
    <w:rsid w:val="00074049"/>
    <w:rsid w:val="00076B58"/>
    <w:rsid w:val="00077828"/>
    <w:rsid w:val="0008234F"/>
    <w:rsid w:val="00092DE8"/>
    <w:rsid w:val="000934DC"/>
    <w:rsid w:val="00096F21"/>
    <w:rsid w:val="000A1E4C"/>
    <w:rsid w:val="000A3A3C"/>
    <w:rsid w:val="000A750E"/>
    <w:rsid w:val="000B3714"/>
    <w:rsid w:val="000B4731"/>
    <w:rsid w:val="000C17AD"/>
    <w:rsid w:val="000C1815"/>
    <w:rsid w:val="000C408B"/>
    <w:rsid w:val="000C47B4"/>
    <w:rsid w:val="000C514D"/>
    <w:rsid w:val="000C5B61"/>
    <w:rsid w:val="000D0A72"/>
    <w:rsid w:val="000D1B8C"/>
    <w:rsid w:val="000D2F7B"/>
    <w:rsid w:val="000D38F2"/>
    <w:rsid w:val="000D3AAF"/>
    <w:rsid w:val="000D41D8"/>
    <w:rsid w:val="000D515E"/>
    <w:rsid w:val="000D534F"/>
    <w:rsid w:val="000D7374"/>
    <w:rsid w:val="000E3235"/>
    <w:rsid w:val="000E338D"/>
    <w:rsid w:val="000E3E04"/>
    <w:rsid w:val="000E4445"/>
    <w:rsid w:val="000F0D57"/>
    <w:rsid w:val="000F19EB"/>
    <w:rsid w:val="000F28F7"/>
    <w:rsid w:val="000F42D5"/>
    <w:rsid w:val="000F4DF3"/>
    <w:rsid w:val="000F735B"/>
    <w:rsid w:val="00110732"/>
    <w:rsid w:val="00113ADA"/>
    <w:rsid w:val="00114A4D"/>
    <w:rsid w:val="00126086"/>
    <w:rsid w:val="00127F70"/>
    <w:rsid w:val="00130094"/>
    <w:rsid w:val="00131E7B"/>
    <w:rsid w:val="001334D5"/>
    <w:rsid w:val="00141C63"/>
    <w:rsid w:val="00145AA4"/>
    <w:rsid w:val="00150666"/>
    <w:rsid w:val="00150B72"/>
    <w:rsid w:val="00151BD4"/>
    <w:rsid w:val="00156611"/>
    <w:rsid w:val="00156785"/>
    <w:rsid w:val="001625B0"/>
    <w:rsid w:val="00163019"/>
    <w:rsid w:val="00164F25"/>
    <w:rsid w:val="00164FF8"/>
    <w:rsid w:val="00170577"/>
    <w:rsid w:val="00170A75"/>
    <w:rsid w:val="001724E1"/>
    <w:rsid w:val="00173ADD"/>
    <w:rsid w:val="001744F2"/>
    <w:rsid w:val="001772C7"/>
    <w:rsid w:val="001806A4"/>
    <w:rsid w:val="0018126D"/>
    <w:rsid w:val="001815F0"/>
    <w:rsid w:val="001816CA"/>
    <w:rsid w:val="0018486A"/>
    <w:rsid w:val="0018725D"/>
    <w:rsid w:val="001938B9"/>
    <w:rsid w:val="001941F4"/>
    <w:rsid w:val="001A0A67"/>
    <w:rsid w:val="001A0C4D"/>
    <w:rsid w:val="001A2C6B"/>
    <w:rsid w:val="001A4683"/>
    <w:rsid w:val="001A5106"/>
    <w:rsid w:val="001A67CE"/>
    <w:rsid w:val="001B371D"/>
    <w:rsid w:val="001B514B"/>
    <w:rsid w:val="001B779A"/>
    <w:rsid w:val="001C0F9B"/>
    <w:rsid w:val="001C484D"/>
    <w:rsid w:val="001D102F"/>
    <w:rsid w:val="001D15E1"/>
    <w:rsid w:val="001D26C9"/>
    <w:rsid w:val="001D2B3E"/>
    <w:rsid w:val="001D4632"/>
    <w:rsid w:val="001D47A1"/>
    <w:rsid w:val="001D5136"/>
    <w:rsid w:val="001D5555"/>
    <w:rsid w:val="001D698A"/>
    <w:rsid w:val="001E0F97"/>
    <w:rsid w:val="001E7C19"/>
    <w:rsid w:val="001F2F20"/>
    <w:rsid w:val="001F4621"/>
    <w:rsid w:val="001F53BB"/>
    <w:rsid w:val="001F69E3"/>
    <w:rsid w:val="001F72A8"/>
    <w:rsid w:val="002006AC"/>
    <w:rsid w:val="0020215E"/>
    <w:rsid w:val="00202311"/>
    <w:rsid w:val="002030D5"/>
    <w:rsid w:val="00204BCE"/>
    <w:rsid w:val="00204E14"/>
    <w:rsid w:val="00210F8F"/>
    <w:rsid w:val="002123DB"/>
    <w:rsid w:val="00216253"/>
    <w:rsid w:val="002173A8"/>
    <w:rsid w:val="0022243E"/>
    <w:rsid w:val="00223E97"/>
    <w:rsid w:val="00226815"/>
    <w:rsid w:val="00227940"/>
    <w:rsid w:val="00227C1E"/>
    <w:rsid w:val="00227C7F"/>
    <w:rsid w:val="002303B9"/>
    <w:rsid w:val="0023667F"/>
    <w:rsid w:val="00242043"/>
    <w:rsid w:val="0024268B"/>
    <w:rsid w:val="00242E05"/>
    <w:rsid w:val="00244D66"/>
    <w:rsid w:val="00246C2F"/>
    <w:rsid w:val="00252156"/>
    <w:rsid w:val="00253C7B"/>
    <w:rsid w:val="002558C6"/>
    <w:rsid w:val="00261A0E"/>
    <w:rsid w:val="00263FAA"/>
    <w:rsid w:val="002640B4"/>
    <w:rsid w:val="00264E1E"/>
    <w:rsid w:val="00267697"/>
    <w:rsid w:val="00267B82"/>
    <w:rsid w:val="00272F35"/>
    <w:rsid w:val="00273911"/>
    <w:rsid w:val="00274586"/>
    <w:rsid w:val="002815E1"/>
    <w:rsid w:val="00281657"/>
    <w:rsid w:val="00283B17"/>
    <w:rsid w:val="002952D5"/>
    <w:rsid w:val="002A24B9"/>
    <w:rsid w:val="002A2A9C"/>
    <w:rsid w:val="002A392C"/>
    <w:rsid w:val="002A623C"/>
    <w:rsid w:val="002A7D3A"/>
    <w:rsid w:val="002B055E"/>
    <w:rsid w:val="002B1F63"/>
    <w:rsid w:val="002B48E0"/>
    <w:rsid w:val="002B4C57"/>
    <w:rsid w:val="002B4EB5"/>
    <w:rsid w:val="002B61E5"/>
    <w:rsid w:val="002B7C99"/>
    <w:rsid w:val="002C0D66"/>
    <w:rsid w:val="002C15F6"/>
    <w:rsid w:val="002C3FA3"/>
    <w:rsid w:val="002D026E"/>
    <w:rsid w:val="002D147A"/>
    <w:rsid w:val="002D2E01"/>
    <w:rsid w:val="002D319D"/>
    <w:rsid w:val="002D5A48"/>
    <w:rsid w:val="002D6B80"/>
    <w:rsid w:val="002D6EDD"/>
    <w:rsid w:val="002E200F"/>
    <w:rsid w:val="002E364A"/>
    <w:rsid w:val="002E3E2C"/>
    <w:rsid w:val="002E42A6"/>
    <w:rsid w:val="002E4DE1"/>
    <w:rsid w:val="002E5242"/>
    <w:rsid w:val="002E741A"/>
    <w:rsid w:val="002F0E3B"/>
    <w:rsid w:val="002F36AF"/>
    <w:rsid w:val="002F47A7"/>
    <w:rsid w:val="002F5217"/>
    <w:rsid w:val="002F636A"/>
    <w:rsid w:val="002F7773"/>
    <w:rsid w:val="00301309"/>
    <w:rsid w:val="00302E1B"/>
    <w:rsid w:val="003034FC"/>
    <w:rsid w:val="00306296"/>
    <w:rsid w:val="003132AF"/>
    <w:rsid w:val="00313597"/>
    <w:rsid w:val="00313C5E"/>
    <w:rsid w:val="003177C0"/>
    <w:rsid w:val="00320E5C"/>
    <w:rsid w:val="003212C6"/>
    <w:rsid w:val="00321465"/>
    <w:rsid w:val="00321547"/>
    <w:rsid w:val="00321B52"/>
    <w:rsid w:val="00324D67"/>
    <w:rsid w:val="00326636"/>
    <w:rsid w:val="00332813"/>
    <w:rsid w:val="00333108"/>
    <w:rsid w:val="00333CC3"/>
    <w:rsid w:val="00333D3F"/>
    <w:rsid w:val="003372D5"/>
    <w:rsid w:val="0034220A"/>
    <w:rsid w:val="00350C84"/>
    <w:rsid w:val="00354F13"/>
    <w:rsid w:val="00357FB6"/>
    <w:rsid w:val="0036245D"/>
    <w:rsid w:val="0036531D"/>
    <w:rsid w:val="00366A97"/>
    <w:rsid w:val="00366E29"/>
    <w:rsid w:val="00370B16"/>
    <w:rsid w:val="00370B5C"/>
    <w:rsid w:val="00373358"/>
    <w:rsid w:val="00373BD4"/>
    <w:rsid w:val="003742DD"/>
    <w:rsid w:val="003747A5"/>
    <w:rsid w:val="00374B7B"/>
    <w:rsid w:val="00375477"/>
    <w:rsid w:val="00377122"/>
    <w:rsid w:val="00380903"/>
    <w:rsid w:val="00385AC2"/>
    <w:rsid w:val="00387384"/>
    <w:rsid w:val="00387940"/>
    <w:rsid w:val="00392975"/>
    <w:rsid w:val="003A0E1B"/>
    <w:rsid w:val="003A0F26"/>
    <w:rsid w:val="003A3623"/>
    <w:rsid w:val="003A3C90"/>
    <w:rsid w:val="003A4F82"/>
    <w:rsid w:val="003A77F9"/>
    <w:rsid w:val="003B2163"/>
    <w:rsid w:val="003B2D33"/>
    <w:rsid w:val="003C139A"/>
    <w:rsid w:val="003C157D"/>
    <w:rsid w:val="003C20BD"/>
    <w:rsid w:val="003C49C6"/>
    <w:rsid w:val="003C4FB4"/>
    <w:rsid w:val="003C6E02"/>
    <w:rsid w:val="003C7255"/>
    <w:rsid w:val="003C76F6"/>
    <w:rsid w:val="003C783B"/>
    <w:rsid w:val="003D1DD0"/>
    <w:rsid w:val="003D21F6"/>
    <w:rsid w:val="003D5326"/>
    <w:rsid w:val="003D5469"/>
    <w:rsid w:val="003D5470"/>
    <w:rsid w:val="003E139E"/>
    <w:rsid w:val="003E1BFB"/>
    <w:rsid w:val="003E2A4B"/>
    <w:rsid w:val="003E46E6"/>
    <w:rsid w:val="003E4AD5"/>
    <w:rsid w:val="003F035C"/>
    <w:rsid w:val="003F0AD5"/>
    <w:rsid w:val="003F0D69"/>
    <w:rsid w:val="003F579E"/>
    <w:rsid w:val="003F69DB"/>
    <w:rsid w:val="003F77AE"/>
    <w:rsid w:val="00400FD1"/>
    <w:rsid w:val="004024E5"/>
    <w:rsid w:val="00410E73"/>
    <w:rsid w:val="00411EB1"/>
    <w:rsid w:val="00413EEB"/>
    <w:rsid w:val="00414F5A"/>
    <w:rsid w:val="00417466"/>
    <w:rsid w:val="00420E5F"/>
    <w:rsid w:val="00421A7E"/>
    <w:rsid w:val="004242F3"/>
    <w:rsid w:val="0042516E"/>
    <w:rsid w:val="00426920"/>
    <w:rsid w:val="00430144"/>
    <w:rsid w:val="00430421"/>
    <w:rsid w:val="0043065F"/>
    <w:rsid w:val="00430B02"/>
    <w:rsid w:val="004404F7"/>
    <w:rsid w:val="0044050A"/>
    <w:rsid w:val="004409F5"/>
    <w:rsid w:val="004432E5"/>
    <w:rsid w:val="00443DCC"/>
    <w:rsid w:val="00443EF0"/>
    <w:rsid w:val="00445436"/>
    <w:rsid w:val="00446568"/>
    <w:rsid w:val="00447B28"/>
    <w:rsid w:val="00451D6B"/>
    <w:rsid w:val="00451DBE"/>
    <w:rsid w:val="00456D56"/>
    <w:rsid w:val="004576D7"/>
    <w:rsid w:val="00461A7F"/>
    <w:rsid w:val="00461DF5"/>
    <w:rsid w:val="00462319"/>
    <w:rsid w:val="00463849"/>
    <w:rsid w:val="00465AAC"/>
    <w:rsid w:val="004662C7"/>
    <w:rsid w:val="004673B6"/>
    <w:rsid w:val="00471B55"/>
    <w:rsid w:val="004736AB"/>
    <w:rsid w:val="0047488E"/>
    <w:rsid w:val="00476B68"/>
    <w:rsid w:val="00482018"/>
    <w:rsid w:val="0049100E"/>
    <w:rsid w:val="004956CF"/>
    <w:rsid w:val="004A5F2A"/>
    <w:rsid w:val="004B2656"/>
    <w:rsid w:val="004B4475"/>
    <w:rsid w:val="004B4B2A"/>
    <w:rsid w:val="004B4BA0"/>
    <w:rsid w:val="004B5442"/>
    <w:rsid w:val="004B5D77"/>
    <w:rsid w:val="004B72CD"/>
    <w:rsid w:val="004C00E2"/>
    <w:rsid w:val="004C3822"/>
    <w:rsid w:val="004C421E"/>
    <w:rsid w:val="004C4497"/>
    <w:rsid w:val="004C55C1"/>
    <w:rsid w:val="004D033F"/>
    <w:rsid w:val="004D03B4"/>
    <w:rsid w:val="004D0997"/>
    <w:rsid w:val="004D1955"/>
    <w:rsid w:val="004D4CC9"/>
    <w:rsid w:val="004D7068"/>
    <w:rsid w:val="004E00B0"/>
    <w:rsid w:val="004E019B"/>
    <w:rsid w:val="004F06AD"/>
    <w:rsid w:val="004F4053"/>
    <w:rsid w:val="004F615E"/>
    <w:rsid w:val="004F6BA5"/>
    <w:rsid w:val="00500C6E"/>
    <w:rsid w:val="00503E90"/>
    <w:rsid w:val="0050417F"/>
    <w:rsid w:val="0050612D"/>
    <w:rsid w:val="00507C30"/>
    <w:rsid w:val="0051071F"/>
    <w:rsid w:val="0051092E"/>
    <w:rsid w:val="00512D59"/>
    <w:rsid w:val="00514BC8"/>
    <w:rsid w:val="00514E3A"/>
    <w:rsid w:val="00515020"/>
    <w:rsid w:val="0052360E"/>
    <w:rsid w:val="0052543B"/>
    <w:rsid w:val="00525CBC"/>
    <w:rsid w:val="005278FF"/>
    <w:rsid w:val="00531DA4"/>
    <w:rsid w:val="005339D1"/>
    <w:rsid w:val="0053430E"/>
    <w:rsid w:val="00534925"/>
    <w:rsid w:val="005465D2"/>
    <w:rsid w:val="00546F7F"/>
    <w:rsid w:val="00552E42"/>
    <w:rsid w:val="00554D7F"/>
    <w:rsid w:val="00554DA1"/>
    <w:rsid w:val="00560348"/>
    <w:rsid w:val="005607C7"/>
    <w:rsid w:val="00560AB5"/>
    <w:rsid w:val="005656BB"/>
    <w:rsid w:val="005675A5"/>
    <w:rsid w:val="005675B0"/>
    <w:rsid w:val="005732CD"/>
    <w:rsid w:val="0057413E"/>
    <w:rsid w:val="00574C97"/>
    <w:rsid w:val="00576BDD"/>
    <w:rsid w:val="00577114"/>
    <w:rsid w:val="00580F0C"/>
    <w:rsid w:val="00582B98"/>
    <w:rsid w:val="00583032"/>
    <w:rsid w:val="0058681B"/>
    <w:rsid w:val="0058733F"/>
    <w:rsid w:val="00593E2D"/>
    <w:rsid w:val="0059696D"/>
    <w:rsid w:val="005974FA"/>
    <w:rsid w:val="005A09FB"/>
    <w:rsid w:val="005A14DF"/>
    <w:rsid w:val="005A2BEC"/>
    <w:rsid w:val="005A499F"/>
    <w:rsid w:val="005A5BEE"/>
    <w:rsid w:val="005A7703"/>
    <w:rsid w:val="005B1CAC"/>
    <w:rsid w:val="005B470F"/>
    <w:rsid w:val="005B6CEC"/>
    <w:rsid w:val="005B6E99"/>
    <w:rsid w:val="005C088C"/>
    <w:rsid w:val="005C0994"/>
    <w:rsid w:val="005C0B8B"/>
    <w:rsid w:val="005C2455"/>
    <w:rsid w:val="005C3994"/>
    <w:rsid w:val="005C66AA"/>
    <w:rsid w:val="005D632E"/>
    <w:rsid w:val="005E2A88"/>
    <w:rsid w:val="005E340A"/>
    <w:rsid w:val="005E4850"/>
    <w:rsid w:val="005F30B3"/>
    <w:rsid w:val="005F45DB"/>
    <w:rsid w:val="00600C19"/>
    <w:rsid w:val="0060278E"/>
    <w:rsid w:val="00602ED8"/>
    <w:rsid w:val="00602F69"/>
    <w:rsid w:val="00603512"/>
    <w:rsid w:val="00604672"/>
    <w:rsid w:val="00604749"/>
    <w:rsid w:val="00607381"/>
    <w:rsid w:val="006112BC"/>
    <w:rsid w:val="0061230D"/>
    <w:rsid w:val="00613596"/>
    <w:rsid w:val="0061362C"/>
    <w:rsid w:val="00613C17"/>
    <w:rsid w:val="00615A6C"/>
    <w:rsid w:val="0061699D"/>
    <w:rsid w:val="00617F88"/>
    <w:rsid w:val="00621CD7"/>
    <w:rsid w:val="00623453"/>
    <w:rsid w:val="00623F61"/>
    <w:rsid w:val="006249C9"/>
    <w:rsid w:val="00630065"/>
    <w:rsid w:val="006306B6"/>
    <w:rsid w:val="00630C57"/>
    <w:rsid w:val="00631855"/>
    <w:rsid w:val="00632FB0"/>
    <w:rsid w:val="00635108"/>
    <w:rsid w:val="00636DEB"/>
    <w:rsid w:val="00637349"/>
    <w:rsid w:val="00640137"/>
    <w:rsid w:val="00640745"/>
    <w:rsid w:val="00641935"/>
    <w:rsid w:val="00641974"/>
    <w:rsid w:val="00642799"/>
    <w:rsid w:val="00642F60"/>
    <w:rsid w:val="00644EB2"/>
    <w:rsid w:val="00644F46"/>
    <w:rsid w:val="00645AC5"/>
    <w:rsid w:val="00646D4F"/>
    <w:rsid w:val="006476D5"/>
    <w:rsid w:val="00657C2A"/>
    <w:rsid w:val="00664CDA"/>
    <w:rsid w:val="0066549B"/>
    <w:rsid w:val="006655F9"/>
    <w:rsid w:val="00665BB5"/>
    <w:rsid w:val="00667188"/>
    <w:rsid w:val="0066776A"/>
    <w:rsid w:val="00667E12"/>
    <w:rsid w:val="006728A8"/>
    <w:rsid w:val="00672E9B"/>
    <w:rsid w:val="00684754"/>
    <w:rsid w:val="00692B2F"/>
    <w:rsid w:val="006954A7"/>
    <w:rsid w:val="0069580C"/>
    <w:rsid w:val="006A2E46"/>
    <w:rsid w:val="006A363E"/>
    <w:rsid w:val="006A5426"/>
    <w:rsid w:val="006A607D"/>
    <w:rsid w:val="006B0CB4"/>
    <w:rsid w:val="006B0FB2"/>
    <w:rsid w:val="006B1AE1"/>
    <w:rsid w:val="006B1E03"/>
    <w:rsid w:val="006B57D3"/>
    <w:rsid w:val="006B7F40"/>
    <w:rsid w:val="006C0DFA"/>
    <w:rsid w:val="006C18AE"/>
    <w:rsid w:val="006C3855"/>
    <w:rsid w:val="006C3C44"/>
    <w:rsid w:val="006C60C1"/>
    <w:rsid w:val="006D0307"/>
    <w:rsid w:val="006D2086"/>
    <w:rsid w:val="006E0D0E"/>
    <w:rsid w:val="006E4DB0"/>
    <w:rsid w:val="006F00AC"/>
    <w:rsid w:val="006F40A7"/>
    <w:rsid w:val="006F57EF"/>
    <w:rsid w:val="006F62A7"/>
    <w:rsid w:val="006F7909"/>
    <w:rsid w:val="00700EF5"/>
    <w:rsid w:val="00702BA5"/>
    <w:rsid w:val="00702DFC"/>
    <w:rsid w:val="00703BF2"/>
    <w:rsid w:val="007045C8"/>
    <w:rsid w:val="00705108"/>
    <w:rsid w:val="00705150"/>
    <w:rsid w:val="00705572"/>
    <w:rsid w:val="00705CC0"/>
    <w:rsid w:val="00707736"/>
    <w:rsid w:val="0071005E"/>
    <w:rsid w:val="007109F6"/>
    <w:rsid w:val="00713A96"/>
    <w:rsid w:val="0071649C"/>
    <w:rsid w:val="00717102"/>
    <w:rsid w:val="007176CC"/>
    <w:rsid w:val="007179C6"/>
    <w:rsid w:val="007212FD"/>
    <w:rsid w:val="00721870"/>
    <w:rsid w:val="00721AA1"/>
    <w:rsid w:val="00722FFE"/>
    <w:rsid w:val="007245F2"/>
    <w:rsid w:val="00726035"/>
    <w:rsid w:val="007276EF"/>
    <w:rsid w:val="007278FE"/>
    <w:rsid w:val="00731154"/>
    <w:rsid w:val="00734E9F"/>
    <w:rsid w:val="00736468"/>
    <w:rsid w:val="007437D1"/>
    <w:rsid w:val="00743CFC"/>
    <w:rsid w:val="007456A1"/>
    <w:rsid w:val="00745821"/>
    <w:rsid w:val="00746508"/>
    <w:rsid w:val="00747456"/>
    <w:rsid w:val="0074759F"/>
    <w:rsid w:val="0075495A"/>
    <w:rsid w:val="00762A19"/>
    <w:rsid w:val="007727DD"/>
    <w:rsid w:val="00773EAA"/>
    <w:rsid w:val="0077456C"/>
    <w:rsid w:val="00774E20"/>
    <w:rsid w:val="00775278"/>
    <w:rsid w:val="0077765C"/>
    <w:rsid w:val="007831CE"/>
    <w:rsid w:val="00783BCD"/>
    <w:rsid w:val="00790B12"/>
    <w:rsid w:val="00790B87"/>
    <w:rsid w:val="00790E15"/>
    <w:rsid w:val="00791661"/>
    <w:rsid w:val="00795ACA"/>
    <w:rsid w:val="007A00AC"/>
    <w:rsid w:val="007A34A2"/>
    <w:rsid w:val="007A492D"/>
    <w:rsid w:val="007A5835"/>
    <w:rsid w:val="007A5DBB"/>
    <w:rsid w:val="007B0077"/>
    <w:rsid w:val="007B02BB"/>
    <w:rsid w:val="007B304C"/>
    <w:rsid w:val="007B3871"/>
    <w:rsid w:val="007B3E2F"/>
    <w:rsid w:val="007C083B"/>
    <w:rsid w:val="007C13FA"/>
    <w:rsid w:val="007C3FBF"/>
    <w:rsid w:val="007C5BA7"/>
    <w:rsid w:val="007C6277"/>
    <w:rsid w:val="007D6AC4"/>
    <w:rsid w:val="007D6D32"/>
    <w:rsid w:val="007E1190"/>
    <w:rsid w:val="007E16C1"/>
    <w:rsid w:val="007E1A30"/>
    <w:rsid w:val="007E3025"/>
    <w:rsid w:val="007E5149"/>
    <w:rsid w:val="007E551B"/>
    <w:rsid w:val="007F025D"/>
    <w:rsid w:val="007F0440"/>
    <w:rsid w:val="007F101F"/>
    <w:rsid w:val="007F3558"/>
    <w:rsid w:val="007F69C8"/>
    <w:rsid w:val="00801508"/>
    <w:rsid w:val="00802BFF"/>
    <w:rsid w:val="008031B3"/>
    <w:rsid w:val="008045EB"/>
    <w:rsid w:val="00807369"/>
    <w:rsid w:val="00810234"/>
    <w:rsid w:val="0081026B"/>
    <w:rsid w:val="008102FF"/>
    <w:rsid w:val="0081251C"/>
    <w:rsid w:val="00813B4F"/>
    <w:rsid w:val="00814238"/>
    <w:rsid w:val="0081530F"/>
    <w:rsid w:val="00816AC3"/>
    <w:rsid w:val="00817DB9"/>
    <w:rsid w:val="00826A9E"/>
    <w:rsid w:val="00831CA3"/>
    <w:rsid w:val="00832E9D"/>
    <w:rsid w:val="008342DA"/>
    <w:rsid w:val="008378BE"/>
    <w:rsid w:val="008403F9"/>
    <w:rsid w:val="0084355D"/>
    <w:rsid w:val="008458D4"/>
    <w:rsid w:val="00847C3B"/>
    <w:rsid w:val="0085447A"/>
    <w:rsid w:val="00854B38"/>
    <w:rsid w:val="00854C40"/>
    <w:rsid w:val="0085711B"/>
    <w:rsid w:val="0086173D"/>
    <w:rsid w:val="00863DAB"/>
    <w:rsid w:val="00865C2C"/>
    <w:rsid w:val="008678B0"/>
    <w:rsid w:val="00871327"/>
    <w:rsid w:val="008720A9"/>
    <w:rsid w:val="00872E3C"/>
    <w:rsid w:val="0087645B"/>
    <w:rsid w:val="00876F23"/>
    <w:rsid w:val="008815C1"/>
    <w:rsid w:val="008831D9"/>
    <w:rsid w:val="008904A1"/>
    <w:rsid w:val="00890782"/>
    <w:rsid w:val="00891E44"/>
    <w:rsid w:val="008922F3"/>
    <w:rsid w:val="008963F6"/>
    <w:rsid w:val="00897164"/>
    <w:rsid w:val="0089729B"/>
    <w:rsid w:val="008A089F"/>
    <w:rsid w:val="008A0C5D"/>
    <w:rsid w:val="008A190E"/>
    <w:rsid w:val="008A1F51"/>
    <w:rsid w:val="008A2DAF"/>
    <w:rsid w:val="008A665F"/>
    <w:rsid w:val="008B0EAA"/>
    <w:rsid w:val="008B21D5"/>
    <w:rsid w:val="008B22F2"/>
    <w:rsid w:val="008B3BD7"/>
    <w:rsid w:val="008B3E30"/>
    <w:rsid w:val="008B4196"/>
    <w:rsid w:val="008B5F28"/>
    <w:rsid w:val="008B61C1"/>
    <w:rsid w:val="008B7DA2"/>
    <w:rsid w:val="008D0871"/>
    <w:rsid w:val="008D1783"/>
    <w:rsid w:val="008D57B7"/>
    <w:rsid w:val="008D7636"/>
    <w:rsid w:val="008E21FB"/>
    <w:rsid w:val="008E4C8B"/>
    <w:rsid w:val="008F0D7F"/>
    <w:rsid w:val="008F258B"/>
    <w:rsid w:val="008F4BA5"/>
    <w:rsid w:val="008F6EE2"/>
    <w:rsid w:val="009001CB"/>
    <w:rsid w:val="00910915"/>
    <w:rsid w:val="0091572E"/>
    <w:rsid w:val="0092012D"/>
    <w:rsid w:val="00920B4F"/>
    <w:rsid w:val="00920DCC"/>
    <w:rsid w:val="00922C69"/>
    <w:rsid w:val="00924F54"/>
    <w:rsid w:val="00930009"/>
    <w:rsid w:val="00930FB0"/>
    <w:rsid w:val="00931604"/>
    <w:rsid w:val="009316EC"/>
    <w:rsid w:val="00931F27"/>
    <w:rsid w:val="00935162"/>
    <w:rsid w:val="00937392"/>
    <w:rsid w:val="00940185"/>
    <w:rsid w:val="00940CF3"/>
    <w:rsid w:val="0094231D"/>
    <w:rsid w:val="0094438E"/>
    <w:rsid w:val="00945BFF"/>
    <w:rsid w:val="009477CA"/>
    <w:rsid w:val="00955262"/>
    <w:rsid w:val="00957763"/>
    <w:rsid w:val="0096105E"/>
    <w:rsid w:val="00962B47"/>
    <w:rsid w:val="00962C29"/>
    <w:rsid w:val="00970DC4"/>
    <w:rsid w:val="00974D20"/>
    <w:rsid w:val="0097658A"/>
    <w:rsid w:val="0097700B"/>
    <w:rsid w:val="00980F64"/>
    <w:rsid w:val="00981D56"/>
    <w:rsid w:val="009842CC"/>
    <w:rsid w:val="00985DF0"/>
    <w:rsid w:val="00986DC0"/>
    <w:rsid w:val="00991FDF"/>
    <w:rsid w:val="00993855"/>
    <w:rsid w:val="009942C9"/>
    <w:rsid w:val="00995A03"/>
    <w:rsid w:val="009A5B40"/>
    <w:rsid w:val="009B27CB"/>
    <w:rsid w:val="009B65FF"/>
    <w:rsid w:val="009B7984"/>
    <w:rsid w:val="009C087D"/>
    <w:rsid w:val="009C1387"/>
    <w:rsid w:val="009C381C"/>
    <w:rsid w:val="009C3CB1"/>
    <w:rsid w:val="009C40F2"/>
    <w:rsid w:val="009E0340"/>
    <w:rsid w:val="009E0CC3"/>
    <w:rsid w:val="009E2E27"/>
    <w:rsid w:val="009E43AB"/>
    <w:rsid w:val="009F015C"/>
    <w:rsid w:val="009F1D6B"/>
    <w:rsid w:val="009F2ABF"/>
    <w:rsid w:val="009F3305"/>
    <w:rsid w:val="009F36AA"/>
    <w:rsid w:val="009F689F"/>
    <w:rsid w:val="009F7268"/>
    <w:rsid w:val="00A033A9"/>
    <w:rsid w:val="00A07F85"/>
    <w:rsid w:val="00A15D17"/>
    <w:rsid w:val="00A15DBD"/>
    <w:rsid w:val="00A22C64"/>
    <w:rsid w:val="00A24463"/>
    <w:rsid w:val="00A25096"/>
    <w:rsid w:val="00A25191"/>
    <w:rsid w:val="00A2620A"/>
    <w:rsid w:val="00A301CB"/>
    <w:rsid w:val="00A31273"/>
    <w:rsid w:val="00A3152F"/>
    <w:rsid w:val="00A315FE"/>
    <w:rsid w:val="00A42C2B"/>
    <w:rsid w:val="00A4453F"/>
    <w:rsid w:val="00A445BE"/>
    <w:rsid w:val="00A50F82"/>
    <w:rsid w:val="00A511CB"/>
    <w:rsid w:val="00A51C3E"/>
    <w:rsid w:val="00A524A9"/>
    <w:rsid w:val="00A543FA"/>
    <w:rsid w:val="00A54F2D"/>
    <w:rsid w:val="00A54FC4"/>
    <w:rsid w:val="00A550AF"/>
    <w:rsid w:val="00A5648A"/>
    <w:rsid w:val="00A5781C"/>
    <w:rsid w:val="00A57CAC"/>
    <w:rsid w:val="00A61282"/>
    <w:rsid w:val="00A66359"/>
    <w:rsid w:val="00A704FD"/>
    <w:rsid w:val="00A71734"/>
    <w:rsid w:val="00A86B75"/>
    <w:rsid w:val="00A908EF"/>
    <w:rsid w:val="00A92C44"/>
    <w:rsid w:val="00A92D72"/>
    <w:rsid w:val="00A95A6B"/>
    <w:rsid w:val="00A97EBB"/>
    <w:rsid w:val="00AA0CDF"/>
    <w:rsid w:val="00AA1D5C"/>
    <w:rsid w:val="00AA2F2A"/>
    <w:rsid w:val="00AA3CF7"/>
    <w:rsid w:val="00AA4414"/>
    <w:rsid w:val="00AB1611"/>
    <w:rsid w:val="00AB1DDB"/>
    <w:rsid w:val="00AB211F"/>
    <w:rsid w:val="00AB3989"/>
    <w:rsid w:val="00AB5B4D"/>
    <w:rsid w:val="00AB663F"/>
    <w:rsid w:val="00AC2C69"/>
    <w:rsid w:val="00AC580A"/>
    <w:rsid w:val="00AC7807"/>
    <w:rsid w:val="00AD086E"/>
    <w:rsid w:val="00AD763D"/>
    <w:rsid w:val="00AE1FE3"/>
    <w:rsid w:val="00AE5C02"/>
    <w:rsid w:val="00AE77EC"/>
    <w:rsid w:val="00AF07B9"/>
    <w:rsid w:val="00AF0A23"/>
    <w:rsid w:val="00AF1838"/>
    <w:rsid w:val="00AF23A0"/>
    <w:rsid w:val="00AF3350"/>
    <w:rsid w:val="00AF4311"/>
    <w:rsid w:val="00AF529B"/>
    <w:rsid w:val="00AF76C8"/>
    <w:rsid w:val="00AF7A9E"/>
    <w:rsid w:val="00AF7BC1"/>
    <w:rsid w:val="00B0143E"/>
    <w:rsid w:val="00B01FAC"/>
    <w:rsid w:val="00B06C2F"/>
    <w:rsid w:val="00B13325"/>
    <w:rsid w:val="00B13D92"/>
    <w:rsid w:val="00B16A94"/>
    <w:rsid w:val="00B2024F"/>
    <w:rsid w:val="00B212B0"/>
    <w:rsid w:val="00B21EB1"/>
    <w:rsid w:val="00B21F32"/>
    <w:rsid w:val="00B222B9"/>
    <w:rsid w:val="00B23113"/>
    <w:rsid w:val="00B23240"/>
    <w:rsid w:val="00B31C18"/>
    <w:rsid w:val="00B31E70"/>
    <w:rsid w:val="00B32C6A"/>
    <w:rsid w:val="00B359AF"/>
    <w:rsid w:val="00B402A9"/>
    <w:rsid w:val="00B4158A"/>
    <w:rsid w:val="00B41713"/>
    <w:rsid w:val="00B4482E"/>
    <w:rsid w:val="00B46E13"/>
    <w:rsid w:val="00B50551"/>
    <w:rsid w:val="00B52360"/>
    <w:rsid w:val="00B5275D"/>
    <w:rsid w:val="00B5276F"/>
    <w:rsid w:val="00B52BE2"/>
    <w:rsid w:val="00B54D20"/>
    <w:rsid w:val="00B55335"/>
    <w:rsid w:val="00B63A40"/>
    <w:rsid w:val="00B72484"/>
    <w:rsid w:val="00B73142"/>
    <w:rsid w:val="00B738BB"/>
    <w:rsid w:val="00B73ADE"/>
    <w:rsid w:val="00B750D6"/>
    <w:rsid w:val="00B800F5"/>
    <w:rsid w:val="00B830D0"/>
    <w:rsid w:val="00B83C5D"/>
    <w:rsid w:val="00B86F4F"/>
    <w:rsid w:val="00B944FC"/>
    <w:rsid w:val="00B950FC"/>
    <w:rsid w:val="00B96250"/>
    <w:rsid w:val="00BA2474"/>
    <w:rsid w:val="00BA2EE0"/>
    <w:rsid w:val="00BA46D9"/>
    <w:rsid w:val="00BA650D"/>
    <w:rsid w:val="00BA7E34"/>
    <w:rsid w:val="00BB3969"/>
    <w:rsid w:val="00BB3A54"/>
    <w:rsid w:val="00BB5287"/>
    <w:rsid w:val="00BC02D3"/>
    <w:rsid w:val="00BC2628"/>
    <w:rsid w:val="00BD0197"/>
    <w:rsid w:val="00BD1C13"/>
    <w:rsid w:val="00BD5A66"/>
    <w:rsid w:val="00BD6F96"/>
    <w:rsid w:val="00BD7706"/>
    <w:rsid w:val="00BD7B84"/>
    <w:rsid w:val="00BD7D9B"/>
    <w:rsid w:val="00BE04C6"/>
    <w:rsid w:val="00BE06EC"/>
    <w:rsid w:val="00BE158F"/>
    <w:rsid w:val="00BE3529"/>
    <w:rsid w:val="00BE3FDA"/>
    <w:rsid w:val="00BE50EB"/>
    <w:rsid w:val="00BE56CD"/>
    <w:rsid w:val="00BE5C06"/>
    <w:rsid w:val="00BF09EA"/>
    <w:rsid w:val="00BF0C85"/>
    <w:rsid w:val="00BF18AC"/>
    <w:rsid w:val="00BF396B"/>
    <w:rsid w:val="00BF7999"/>
    <w:rsid w:val="00C02A07"/>
    <w:rsid w:val="00C07059"/>
    <w:rsid w:val="00C10C4D"/>
    <w:rsid w:val="00C13C92"/>
    <w:rsid w:val="00C20AD0"/>
    <w:rsid w:val="00C22019"/>
    <w:rsid w:val="00C25128"/>
    <w:rsid w:val="00C27290"/>
    <w:rsid w:val="00C3319D"/>
    <w:rsid w:val="00C441B1"/>
    <w:rsid w:val="00C44E5A"/>
    <w:rsid w:val="00C50739"/>
    <w:rsid w:val="00C50F35"/>
    <w:rsid w:val="00C5182E"/>
    <w:rsid w:val="00C53D35"/>
    <w:rsid w:val="00C54491"/>
    <w:rsid w:val="00C548BD"/>
    <w:rsid w:val="00C54C75"/>
    <w:rsid w:val="00C5629D"/>
    <w:rsid w:val="00C61193"/>
    <w:rsid w:val="00C624CD"/>
    <w:rsid w:val="00C63218"/>
    <w:rsid w:val="00C63ED0"/>
    <w:rsid w:val="00C747FB"/>
    <w:rsid w:val="00C75FA0"/>
    <w:rsid w:val="00C7662C"/>
    <w:rsid w:val="00C80404"/>
    <w:rsid w:val="00C806A7"/>
    <w:rsid w:val="00C809FB"/>
    <w:rsid w:val="00C85D75"/>
    <w:rsid w:val="00C900BF"/>
    <w:rsid w:val="00C90F0B"/>
    <w:rsid w:val="00C9192C"/>
    <w:rsid w:val="00C91D08"/>
    <w:rsid w:val="00C965DE"/>
    <w:rsid w:val="00C978D2"/>
    <w:rsid w:val="00C97DA2"/>
    <w:rsid w:val="00CA0ADC"/>
    <w:rsid w:val="00CA48A8"/>
    <w:rsid w:val="00CA6A7A"/>
    <w:rsid w:val="00CA7F19"/>
    <w:rsid w:val="00CB26EB"/>
    <w:rsid w:val="00CB2E1F"/>
    <w:rsid w:val="00CB45B3"/>
    <w:rsid w:val="00CB5C5D"/>
    <w:rsid w:val="00CC26D0"/>
    <w:rsid w:val="00CC28BE"/>
    <w:rsid w:val="00CC6F96"/>
    <w:rsid w:val="00CE0BB7"/>
    <w:rsid w:val="00CE372D"/>
    <w:rsid w:val="00CE661F"/>
    <w:rsid w:val="00CF051A"/>
    <w:rsid w:val="00CF1565"/>
    <w:rsid w:val="00CF1D5F"/>
    <w:rsid w:val="00CF306A"/>
    <w:rsid w:val="00CF6ABC"/>
    <w:rsid w:val="00CF6B02"/>
    <w:rsid w:val="00D0183B"/>
    <w:rsid w:val="00D032AC"/>
    <w:rsid w:val="00D206C0"/>
    <w:rsid w:val="00D20962"/>
    <w:rsid w:val="00D209C1"/>
    <w:rsid w:val="00D20F1F"/>
    <w:rsid w:val="00D214B9"/>
    <w:rsid w:val="00D222ED"/>
    <w:rsid w:val="00D238EB"/>
    <w:rsid w:val="00D23B7D"/>
    <w:rsid w:val="00D34E16"/>
    <w:rsid w:val="00D37932"/>
    <w:rsid w:val="00D41AAE"/>
    <w:rsid w:val="00D502D0"/>
    <w:rsid w:val="00D62CE2"/>
    <w:rsid w:val="00D639A9"/>
    <w:rsid w:val="00D63E7F"/>
    <w:rsid w:val="00D6515C"/>
    <w:rsid w:val="00D72728"/>
    <w:rsid w:val="00D75577"/>
    <w:rsid w:val="00D75C65"/>
    <w:rsid w:val="00D76F10"/>
    <w:rsid w:val="00D82316"/>
    <w:rsid w:val="00D828CA"/>
    <w:rsid w:val="00D82B58"/>
    <w:rsid w:val="00D835B6"/>
    <w:rsid w:val="00D85FF6"/>
    <w:rsid w:val="00D91D4D"/>
    <w:rsid w:val="00D92FD2"/>
    <w:rsid w:val="00DA04EE"/>
    <w:rsid w:val="00DA23F0"/>
    <w:rsid w:val="00DA2AFD"/>
    <w:rsid w:val="00DA31AE"/>
    <w:rsid w:val="00DA5C1D"/>
    <w:rsid w:val="00DA7428"/>
    <w:rsid w:val="00DB4689"/>
    <w:rsid w:val="00DB5D2E"/>
    <w:rsid w:val="00DB6128"/>
    <w:rsid w:val="00DB69D1"/>
    <w:rsid w:val="00DC0DBF"/>
    <w:rsid w:val="00DC1726"/>
    <w:rsid w:val="00DC21F6"/>
    <w:rsid w:val="00DC3A0D"/>
    <w:rsid w:val="00DC3A86"/>
    <w:rsid w:val="00DC4098"/>
    <w:rsid w:val="00DC4B55"/>
    <w:rsid w:val="00DC6146"/>
    <w:rsid w:val="00DC77C2"/>
    <w:rsid w:val="00DD0E10"/>
    <w:rsid w:val="00DD2D52"/>
    <w:rsid w:val="00DE4EA2"/>
    <w:rsid w:val="00DE5503"/>
    <w:rsid w:val="00DE5AA9"/>
    <w:rsid w:val="00DF4193"/>
    <w:rsid w:val="00DF4A34"/>
    <w:rsid w:val="00E00C6A"/>
    <w:rsid w:val="00E00E7D"/>
    <w:rsid w:val="00E04100"/>
    <w:rsid w:val="00E049AE"/>
    <w:rsid w:val="00E066EE"/>
    <w:rsid w:val="00E1019B"/>
    <w:rsid w:val="00E137F5"/>
    <w:rsid w:val="00E15D15"/>
    <w:rsid w:val="00E162EE"/>
    <w:rsid w:val="00E16552"/>
    <w:rsid w:val="00E2008C"/>
    <w:rsid w:val="00E225C5"/>
    <w:rsid w:val="00E345C3"/>
    <w:rsid w:val="00E36BBD"/>
    <w:rsid w:val="00E36F57"/>
    <w:rsid w:val="00E3707E"/>
    <w:rsid w:val="00E410F1"/>
    <w:rsid w:val="00E4650A"/>
    <w:rsid w:val="00E502D9"/>
    <w:rsid w:val="00E53923"/>
    <w:rsid w:val="00E55C36"/>
    <w:rsid w:val="00E5609F"/>
    <w:rsid w:val="00E56500"/>
    <w:rsid w:val="00E62394"/>
    <w:rsid w:val="00E632E4"/>
    <w:rsid w:val="00E70AC8"/>
    <w:rsid w:val="00E70CEB"/>
    <w:rsid w:val="00E734A5"/>
    <w:rsid w:val="00E763B0"/>
    <w:rsid w:val="00E77166"/>
    <w:rsid w:val="00E80AEF"/>
    <w:rsid w:val="00E816D3"/>
    <w:rsid w:val="00E857B6"/>
    <w:rsid w:val="00E879B9"/>
    <w:rsid w:val="00E87A7E"/>
    <w:rsid w:val="00E902ED"/>
    <w:rsid w:val="00E91548"/>
    <w:rsid w:val="00E94D2C"/>
    <w:rsid w:val="00EA0A64"/>
    <w:rsid w:val="00EA1354"/>
    <w:rsid w:val="00EA13DA"/>
    <w:rsid w:val="00EA1B21"/>
    <w:rsid w:val="00EA1E4E"/>
    <w:rsid w:val="00EA31BF"/>
    <w:rsid w:val="00EA46F7"/>
    <w:rsid w:val="00EA7787"/>
    <w:rsid w:val="00EB0959"/>
    <w:rsid w:val="00EB10BC"/>
    <w:rsid w:val="00EB1CF5"/>
    <w:rsid w:val="00EB3BE4"/>
    <w:rsid w:val="00EB496C"/>
    <w:rsid w:val="00EB5237"/>
    <w:rsid w:val="00EB6C16"/>
    <w:rsid w:val="00EB7692"/>
    <w:rsid w:val="00EB7D96"/>
    <w:rsid w:val="00EC52CE"/>
    <w:rsid w:val="00ED17A4"/>
    <w:rsid w:val="00ED2217"/>
    <w:rsid w:val="00ED29E2"/>
    <w:rsid w:val="00ED2E04"/>
    <w:rsid w:val="00ED6477"/>
    <w:rsid w:val="00EE7A0F"/>
    <w:rsid w:val="00EF1C87"/>
    <w:rsid w:val="00EF2073"/>
    <w:rsid w:val="00EF540A"/>
    <w:rsid w:val="00F0089B"/>
    <w:rsid w:val="00F00B3D"/>
    <w:rsid w:val="00F05434"/>
    <w:rsid w:val="00F13102"/>
    <w:rsid w:val="00F1649F"/>
    <w:rsid w:val="00F20D52"/>
    <w:rsid w:val="00F252C2"/>
    <w:rsid w:val="00F31B58"/>
    <w:rsid w:val="00F3228F"/>
    <w:rsid w:val="00F41E57"/>
    <w:rsid w:val="00F420D7"/>
    <w:rsid w:val="00F42DEE"/>
    <w:rsid w:val="00F46382"/>
    <w:rsid w:val="00F466E3"/>
    <w:rsid w:val="00F4777E"/>
    <w:rsid w:val="00F539F6"/>
    <w:rsid w:val="00F55140"/>
    <w:rsid w:val="00F611EB"/>
    <w:rsid w:val="00F61D8C"/>
    <w:rsid w:val="00F62ED3"/>
    <w:rsid w:val="00F636CA"/>
    <w:rsid w:val="00F663B5"/>
    <w:rsid w:val="00F668F3"/>
    <w:rsid w:val="00F67577"/>
    <w:rsid w:val="00F70DFA"/>
    <w:rsid w:val="00F740ED"/>
    <w:rsid w:val="00F755E2"/>
    <w:rsid w:val="00F80503"/>
    <w:rsid w:val="00F90356"/>
    <w:rsid w:val="00F958DF"/>
    <w:rsid w:val="00F95EAD"/>
    <w:rsid w:val="00F96E99"/>
    <w:rsid w:val="00FA25BD"/>
    <w:rsid w:val="00FA44C3"/>
    <w:rsid w:val="00FA6ACA"/>
    <w:rsid w:val="00FA6E28"/>
    <w:rsid w:val="00FA7C7B"/>
    <w:rsid w:val="00FB2A2A"/>
    <w:rsid w:val="00FB3EF4"/>
    <w:rsid w:val="00FB47DF"/>
    <w:rsid w:val="00FB59BB"/>
    <w:rsid w:val="00FB717B"/>
    <w:rsid w:val="00FB752B"/>
    <w:rsid w:val="00FC391F"/>
    <w:rsid w:val="00FC7D5A"/>
    <w:rsid w:val="00FD5037"/>
    <w:rsid w:val="00FD6EB3"/>
    <w:rsid w:val="00FE1593"/>
    <w:rsid w:val="00FE211E"/>
    <w:rsid w:val="00FE3275"/>
    <w:rsid w:val="00FE3775"/>
    <w:rsid w:val="00FE699B"/>
    <w:rsid w:val="00FF1277"/>
    <w:rsid w:val="00FF1825"/>
    <w:rsid w:val="00FF47F4"/>
    <w:rsid w:val="00FF58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57BA"/>
  <w15:docId w15:val="{78F31F41-B0C3-4503-AD9D-D89C66CF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2DA"/>
    <w:pPr>
      <w:suppressAutoHyphens/>
      <w:spacing w:after="240"/>
      <w:jc w:val="both"/>
    </w:pPr>
    <w:rPr>
      <w:rFonts w:ascii="Palatino Linotype" w:eastAsia="Times New Roman" w:hAnsi="Palatino Linotype" w:cs="Arial"/>
      <w:szCs w:val="16"/>
      <w:lang w:eastAsia="ar-SA"/>
    </w:rPr>
  </w:style>
  <w:style w:type="paragraph" w:styleId="Heading1">
    <w:name w:val="heading 1"/>
    <w:basedOn w:val="Normal"/>
    <w:next w:val="Normal"/>
    <w:link w:val="Heading1Char"/>
    <w:uiPriority w:val="9"/>
    <w:qFormat/>
    <w:rsid w:val="00E066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8342DA"/>
    <w:pPr>
      <w:keepNext/>
      <w:spacing w:before="240" w:after="60"/>
      <w:outlineLvl w:val="1"/>
    </w:pPr>
    <w:rPr>
      <w:b/>
      <w:bCs/>
      <w:iCs/>
      <w:sz w:val="2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342DA"/>
    <w:rPr>
      <w:rFonts w:ascii="Palatino Linotype" w:eastAsia="Times New Roman" w:hAnsi="Palatino Linotype" w:cs="Arial"/>
      <w:b/>
      <w:bCs/>
      <w:iCs/>
      <w:sz w:val="26"/>
      <w:szCs w:val="28"/>
      <w:lang w:val="en-GB" w:eastAsia="ar-SA"/>
    </w:rPr>
  </w:style>
  <w:style w:type="paragraph" w:styleId="Caption">
    <w:name w:val="caption"/>
    <w:basedOn w:val="Normal"/>
    <w:next w:val="Normal"/>
    <w:uiPriority w:val="35"/>
    <w:qFormat/>
    <w:rsid w:val="008342DA"/>
    <w:rPr>
      <w:b/>
      <w:bCs/>
      <w:sz w:val="18"/>
      <w:szCs w:val="20"/>
    </w:rPr>
  </w:style>
  <w:style w:type="character" w:styleId="FootnoteReference">
    <w:name w:val="footnote reference"/>
    <w:basedOn w:val="DefaultParagraphFont"/>
    <w:uiPriority w:val="99"/>
    <w:semiHidden/>
    <w:rsid w:val="008342DA"/>
    <w:rPr>
      <w:vertAlign w:val="superscript"/>
    </w:rPr>
  </w:style>
  <w:style w:type="paragraph" w:styleId="FootnoteText">
    <w:name w:val="footnote text"/>
    <w:basedOn w:val="Normal"/>
    <w:link w:val="FootnoteTextChar"/>
    <w:uiPriority w:val="99"/>
    <w:semiHidden/>
    <w:rsid w:val="008342DA"/>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8342DA"/>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8342DA"/>
    <w:pPr>
      <w:tabs>
        <w:tab w:val="center" w:pos="4703"/>
        <w:tab w:val="right" w:pos="9406"/>
      </w:tabs>
    </w:pPr>
  </w:style>
  <w:style w:type="character" w:customStyle="1" w:styleId="FooterChar">
    <w:name w:val="Footer Char"/>
    <w:basedOn w:val="DefaultParagraphFont"/>
    <w:link w:val="Footer"/>
    <w:uiPriority w:val="99"/>
    <w:rsid w:val="008342DA"/>
    <w:rPr>
      <w:rFonts w:ascii="Palatino Linotype" w:eastAsia="Times New Roman" w:hAnsi="Palatino Linotype" w:cs="Arial"/>
      <w:szCs w:val="16"/>
      <w:lang w:eastAsia="ar-SA"/>
    </w:rPr>
  </w:style>
  <w:style w:type="paragraph" w:styleId="NoSpacing">
    <w:name w:val="No Spacing"/>
    <w:uiPriority w:val="1"/>
    <w:qFormat/>
    <w:rsid w:val="008342DA"/>
    <w:pPr>
      <w:suppressAutoHyphens/>
      <w:spacing w:after="0" w:line="240" w:lineRule="auto"/>
    </w:pPr>
    <w:rPr>
      <w:rFonts w:ascii="Arial" w:eastAsia="Times New Roman" w:hAnsi="Arial" w:cs="Arial"/>
      <w:sz w:val="16"/>
      <w:szCs w:val="16"/>
      <w:lang w:eastAsia="ar-SA"/>
    </w:rPr>
  </w:style>
  <w:style w:type="character" w:styleId="Hyperlink">
    <w:name w:val="Hyperlink"/>
    <w:basedOn w:val="DefaultParagraphFont"/>
    <w:uiPriority w:val="99"/>
    <w:unhideWhenUsed/>
    <w:rsid w:val="008A0C5D"/>
    <w:rPr>
      <w:color w:val="0000FF"/>
      <w:u w:val="single"/>
    </w:rPr>
  </w:style>
  <w:style w:type="character" w:styleId="Emphasis">
    <w:name w:val="Emphasis"/>
    <w:basedOn w:val="DefaultParagraphFont"/>
    <w:uiPriority w:val="20"/>
    <w:qFormat/>
    <w:rsid w:val="00354F13"/>
    <w:rPr>
      <w:i/>
      <w:iCs/>
    </w:rPr>
  </w:style>
  <w:style w:type="character" w:customStyle="1" w:styleId="zmlenmeyenBahsetme1">
    <w:name w:val="Çözümlenmeyen Bahsetme1"/>
    <w:basedOn w:val="DefaultParagraphFont"/>
    <w:uiPriority w:val="99"/>
    <w:semiHidden/>
    <w:unhideWhenUsed/>
    <w:rsid w:val="007B0077"/>
    <w:rPr>
      <w:color w:val="808080"/>
      <w:shd w:val="clear" w:color="auto" w:fill="E6E6E6"/>
    </w:rPr>
  </w:style>
  <w:style w:type="character" w:styleId="FollowedHyperlink">
    <w:name w:val="FollowedHyperlink"/>
    <w:basedOn w:val="DefaultParagraphFont"/>
    <w:uiPriority w:val="99"/>
    <w:semiHidden/>
    <w:unhideWhenUsed/>
    <w:rsid w:val="007B0077"/>
    <w:rPr>
      <w:color w:val="800080" w:themeColor="followedHyperlink"/>
      <w:u w:val="single"/>
    </w:rPr>
  </w:style>
  <w:style w:type="paragraph" w:styleId="Header">
    <w:name w:val="header"/>
    <w:basedOn w:val="Normal"/>
    <w:link w:val="HeaderChar"/>
    <w:uiPriority w:val="99"/>
    <w:unhideWhenUsed/>
    <w:rsid w:val="00BA46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46D9"/>
    <w:rPr>
      <w:rFonts w:ascii="Palatino Linotype" w:eastAsia="Times New Roman" w:hAnsi="Palatino Linotype" w:cs="Arial"/>
      <w:szCs w:val="16"/>
      <w:lang w:eastAsia="ar-SA"/>
    </w:rPr>
  </w:style>
  <w:style w:type="character" w:styleId="CommentReference">
    <w:name w:val="annotation reference"/>
    <w:basedOn w:val="DefaultParagraphFont"/>
    <w:uiPriority w:val="99"/>
    <w:semiHidden/>
    <w:unhideWhenUsed/>
    <w:rsid w:val="00EB5237"/>
    <w:rPr>
      <w:sz w:val="16"/>
      <w:szCs w:val="16"/>
    </w:rPr>
  </w:style>
  <w:style w:type="paragraph" w:styleId="CommentText">
    <w:name w:val="annotation text"/>
    <w:basedOn w:val="Normal"/>
    <w:link w:val="CommentTextChar"/>
    <w:uiPriority w:val="99"/>
    <w:semiHidden/>
    <w:unhideWhenUsed/>
    <w:rsid w:val="00EB5237"/>
    <w:pPr>
      <w:spacing w:line="240" w:lineRule="auto"/>
    </w:pPr>
    <w:rPr>
      <w:sz w:val="20"/>
      <w:szCs w:val="20"/>
    </w:rPr>
  </w:style>
  <w:style w:type="character" w:customStyle="1" w:styleId="CommentTextChar">
    <w:name w:val="Comment Text Char"/>
    <w:basedOn w:val="DefaultParagraphFont"/>
    <w:link w:val="CommentText"/>
    <w:uiPriority w:val="99"/>
    <w:semiHidden/>
    <w:rsid w:val="00EB5237"/>
    <w:rPr>
      <w:rFonts w:ascii="Palatino Linotype" w:eastAsia="Times New Roman" w:hAnsi="Palatino Linotype" w:cs="Arial"/>
      <w:sz w:val="20"/>
      <w:szCs w:val="20"/>
      <w:lang w:eastAsia="ar-SA"/>
    </w:rPr>
  </w:style>
  <w:style w:type="paragraph" w:styleId="CommentSubject">
    <w:name w:val="annotation subject"/>
    <w:basedOn w:val="CommentText"/>
    <w:next w:val="CommentText"/>
    <w:link w:val="CommentSubjectChar"/>
    <w:uiPriority w:val="99"/>
    <w:semiHidden/>
    <w:unhideWhenUsed/>
    <w:rsid w:val="00EB5237"/>
    <w:rPr>
      <w:b/>
      <w:bCs/>
    </w:rPr>
  </w:style>
  <w:style w:type="character" w:customStyle="1" w:styleId="CommentSubjectChar">
    <w:name w:val="Comment Subject Char"/>
    <w:basedOn w:val="CommentTextChar"/>
    <w:link w:val="CommentSubject"/>
    <w:uiPriority w:val="99"/>
    <w:semiHidden/>
    <w:rsid w:val="00EB5237"/>
    <w:rPr>
      <w:rFonts w:ascii="Palatino Linotype" w:eastAsia="Times New Roman" w:hAnsi="Palatino Linotype" w:cs="Arial"/>
      <w:b/>
      <w:bCs/>
      <w:sz w:val="20"/>
      <w:szCs w:val="20"/>
      <w:lang w:eastAsia="ar-SA"/>
    </w:rPr>
  </w:style>
  <w:style w:type="paragraph" w:styleId="BalloonText">
    <w:name w:val="Balloon Text"/>
    <w:basedOn w:val="Normal"/>
    <w:link w:val="BalloonTextChar"/>
    <w:uiPriority w:val="99"/>
    <w:semiHidden/>
    <w:unhideWhenUsed/>
    <w:rsid w:val="00EB5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237"/>
    <w:rPr>
      <w:rFonts w:ascii="Segoe UI" w:eastAsia="Times New Roman" w:hAnsi="Segoe UI" w:cs="Segoe UI"/>
      <w:sz w:val="18"/>
      <w:szCs w:val="18"/>
      <w:lang w:eastAsia="ar-SA"/>
    </w:rPr>
  </w:style>
  <w:style w:type="character" w:customStyle="1" w:styleId="Heading1Char">
    <w:name w:val="Heading 1 Char"/>
    <w:basedOn w:val="DefaultParagraphFont"/>
    <w:link w:val="Heading1"/>
    <w:uiPriority w:val="9"/>
    <w:rsid w:val="00E066EE"/>
    <w:rPr>
      <w:rFonts w:asciiTheme="majorHAnsi" w:eastAsiaTheme="majorEastAsia" w:hAnsiTheme="majorHAnsi" w:cstheme="majorBidi"/>
      <w:color w:val="365F91" w:themeColor="accent1" w:themeShade="BF"/>
      <w:sz w:val="32"/>
      <w:szCs w:val="32"/>
      <w:lang w:eastAsia="ar-SA"/>
    </w:rPr>
  </w:style>
  <w:style w:type="paragraph" w:styleId="ListParagraph">
    <w:name w:val="List Paragraph"/>
    <w:basedOn w:val="Normal"/>
    <w:uiPriority w:val="34"/>
    <w:qFormat/>
    <w:rsid w:val="00CE661F"/>
    <w:pPr>
      <w:suppressAutoHyphens w:val="0"/>
      <w:spacing w:after="200"/>
      <w:ind w:left="720"/>
      <w:contextualSpacing/>
      <w:jc w:val="left"/>
    </w:pPr>
    <w:rPr>
      <w:rFonts w:asciiTheme="minorHAnsi" w:eastAsiaTheme="minorEastAsia" w:hAnsiTheme="minorHAnsi" w:cstheme="minorBidi"/>
      <w:szCs w:val="22"/>
      <w:lang w:eastAsia="tr-TR"/>
    </w:rPr>
  </w:style>
  <w:style w:type="character" w:customStyle="1" w:styleId="UnresolvedMention1">
    <w:name w:val="Unresolved Mention1"/>
    <w:basedOn w:val="DefaultParagraphFont"/>
    <w:uiPriority w:val="99"/>
    <w:semiHidden/>
    <w:unhideWhenUsed/>
    <w:rsid w:val="00FE3775"/>
    <w:rPr>
      <w:color w:val="605E5C"/>
      <w:shd w:val="clear" w:color="auto" w:fill="E1DFDD"/>
    </w:rPr>
  </w:style>
  <w:style w:type="character" w:styleId="PlaceholderText">
    <w:name w:val="Placeholder Text"/>
    <w:basedOn w:val="DefaultParagraphFont"/>
    <w:uiPriority w:val="99"/>
    <w:semiHidden/>
    <w:rsid w:val="00930F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548">
      <w:bodyDiv w:val="1"/>
      <w:marLeft w:val="0"/>
      <w:marRight w:val="0"/>
      <w:marTop w:val="0"/>
      <w:marBottom w:val="0"/>
      <w:divBdr>
        <w:top w:val="none" w:sz="0" w:space="0" w:color="auto"/>
        <w:left w:val="none" w:sz="0" w:space="0" w:color="auto"/>
        <w:bottom w:val="none" w:sz="0" w:space="0" w:color="auto"/>
        <w:right w:val="none" w:sz="0" w:space="0" w:color="auto"/>
      </w:divBdr>
    </w:div>
    <w:div w:id="76219069">
      <w:bodyDiv w:val="1"/>
      <w:marLeft w:val="0"/>
      <w:marRight w:val="0"/>
      <w:marTop w:val="0"/>
      <w:marBottom w:val="0"/>
      <w:divBdr>
        <w:top w:val="none" w:sz="0" w:space="0" w:color="auto"/>
        <w:left w:val="none" w:sz="0" w:space="0" w:color="auto"/>
        <w:bottom w:val="none" w:sz="0" w:space="0" w:color="auto"/>
        <w:right w:val="none" w:sz="0" w:space="0" w:color="auto"/>
      </w:divBdr>
    </w:div>
    <w:div w:id="79177386">
      <w:bodyDiv w:val="1"/>
      <w:marLeft w:val="0"/>
      <w:marRight w:val="0"/>
      <w:marTop w:val="0"/>
      <w:marBottom w:val="0"/>
      <w:divBdr>
        <w:top w:val="none" w:sz="0" w:space="0" w:color="auto"/>
        <w:left w:val="none" w:sz="0" w:space="0" w:color="auto"/>
        <w:bottom w:val="none" w:sz="0" w:space="0" w:color="auto"/>
        <w:right w:val="none" w:sz="0" w:space="0" w:color="auto"/>
      </w:divBdr>
    </w:div>
    <w:div w:id="96482307">
      <w:bodyDiv w:val="1"/>
      <w:marLeft w:val="0"/>
      <w:marRight w:val="0"/>
      <w:marTop w:val="0"/>
      <w:marBottom w:val="0"/>
      <w:divBdr>
        <w:top w:val="none" w:sz="0" w:space="0" w:color="auto"/>
        <w:left w:val="none" w:sz="0" w:space="0" w:color="auto"/>
        <w:bottom w:val="none" w:sz="0" w:space="0" w:color="auto"/>
        <w:right w:val="none" w:sz="0" w:space="0" w:color="auto"/>
      </w:divBdr>
    </w:div>
    <w:div w:id="198519837">
      <w:bodyDiv w:val="1"/>
      <w:marLeft w:val="0"/>
      <w:marRight w:val="0"/>
      <w:marTop w:val="0"/>
      <w:marBottom w:val="0"/>
      <w:divBdr>
        <w:top w:val="none" w:sz="0" w:space="0" w:color="auto"/>
        <w:left w:val="none" w:sz="0" w:space="0" w:color="auto"/>
        <w:bottom w:val="none" w:sz="0" w:space="0" w:color="auto"/>
        <w:right w:val="none" w:sz="0" w:space="0" w:color="auto"/>
      </w:divBdr>
    </w:div>
    <w:div w:id="212426493">
      <w:bodyDiv w:val="1"/>
      <w:marLeft w:val="0"/>
      <w:marRight w:val="0"/>
      <w:marTop w:val="0"/>
      <w:marBottom w:val="0"/>
      <w:divBdr>
        <w:top w:val="none" w:sz="0" w:space="0" w:color="auto"/>
        <w:left w:val="none" w:sz="0" w:space="0" w:color="auto"/>
        <w:bottom w:val="none" w:sz="0" w:space="0" w:color="auto"/>
        <w:right w:val="none" w:sz="0" w:space="0" w:color="auto"/>
      </w:divBdr>
    </w:div>
    <w:div w:id="442264409">
      <w:bodyDiv w:val="1"/>
      <w:marLeft w:val="0"/>
      <w:marRight w:val="0"/>
      <w:marTop w:val="0"/>
      <w:marBottom w:val="0"/>
      <w:divBdr>
        <w:top w:val="none" w:sz="0" w:space="0" w:color="auto"/>
        <w:left w:val="none" w:sz="0" w:space="0" w:color="auto"/>
        <w:bottom w:val="none" w:sz="0" w:space="0" w:color="auto"/>
        <w:right w:val="none" w:sz="0" w:space="0" w:color="auto"/>
      </w:divBdr>
    </w:div>
    <w:div w:id="472914960">
      <w:bodyDiv w:val="1"/>
      <w:marLeft w:val="0"/>
      <w:marRight w:val="0"/>
      <w:marTop w:val="0"/>
      <w:marBottom w:val="0"/>
      <w:divBdr>
        <w:top w:val="none" w:sz="0" w:space="0" w:color="auto"/>
        <w:left w:val="none" w:sz="0" w:space="0" w:color="auto"/>
        <w:bottom w:val="none" w:sz="0" w:space="0" w:color="auto"/>
        <w:right w:val="none" w:sz="0" w:space="0" w:color="auto"/>
      </w:divBdr>
    </w:div>
    <w:div w:id="538593965">
      <w:bodyDiv w:val="1"/>
      <w:marLeft w:val="0"/>
      <w:marRight w:val="0"/>
      <w:marTop w:val="0"/>
      <w:marBottom w:val="0"/>
      <w:divBdr>
        <w:top w:val="none" w:sz="0" w:space="0" w:color="auto"/>
        <w:left w:val="none" w:sz="0" w:space="0" w:color="auto"/>
        <w:bottom w:val="none" w:sz="0" w:space="0" w:color="auto"/>
        <w:right w:val="none" w:sz="0" w:space="0" w:color="auto"/>
      </w:divBdr>
    </w:div>
    <w:div w:id="589631045">
      <w:bodyDiv w:val="1"/>
      <w:marLeft w:val="0"/>
      <w:marRight w:val="0"/>
      <w:marTop w:val="0"/>
      <w:marBottom w:val="0"/>
      <w:divBdr>
        <w:top w:val="none" w:sz="0" w:space="0" w:color="auto"/>
        <w:left w:val="none" w:sz="0" w:space="0" w:color="auto"/>
        <w:bottom w:val="none" w:sz="0" w:space="0" w:color="auto"/>
        <w:right w:val="none" w:sz="0" w:space="0" w:color="auto"/>
      </w:divBdr>
    </w:div>
    <w:div w:id="665328376">
      <w:bodyDiv w:val="1"/>
      <w:marLeft w:val="0"/>
      <w:marRight w:val="0"/>
      <w:marTop w:val="0"/>
      <w:marBottom w:val="0"/>
      <w:divBdr>
        <w:top w:val="none" w:sz="0" w:space="0" w:color="auto"/>
        <w:left w:val="none" w:sz="0" w:space="0" w:color="auto"/>
        <w:bottom w:val="none" w:sz="0" w:space="0" w:color="auto"/>
        <w:right w:val="none" w:sz="0" w:space="0" w:color="auto"/>
      </w:divBdr>
    </w:div>
    <w:div w:id="714044022">
      <w:bodyDiv w:val="1"/>
      <w:marLeft w:val="0"/>
      <w:marRight w:val="0"/>
      <w:marTop w:val="0"/>
      <w:marBottom w:val="0"/>
      <w:divBdr>
        <w:top w:val="none" w:sz="0" w:space="0" w:color="auto"/>
        <w:left w:val="none" w:sz="0" w:space="0" w:color="auto"/>
        <w:bottom w:val="none" w:sz="0" w:space="0" w:color="auto"/>
        <w:right w:val="none" w:sz="0" w:space="0" w:color="auto"/>
      </w:divBdr>
    </w:div>
    <w:div w:id="752093481">
      <w:bodyDiv w:val="1"/>
      <w:marLeft w:val="0"/>
      <w:marRight w:val="0"/>
      <w:marTop w:val="0"/>
      <w:marBottom w:val="0"/>
      <w:divBdr>
        <w:top w:val="none" w:sz="0" w:space="0" w:color="auto"/>
        <w:left w:val="none" w:sz="0" w:space="0" w:color="auto"/>
        <w:bottom w:val="none" w:sz="0" w:space="0" w:color="auto"/>
        <w:right w:val="none" w:sz="0" w:space="0" w:color="auto"/>
      </w:divBdr>
    </w:div>
    <w:div w:id="829711537">
      <w:bodyDiv w:val="1"/>
      <w:marLeft w:val="0"/>
      <w:marRight w:val="0"/>
      <w:marTop w:val="0"/>
      <w:marBottom w:val="0"/>
      <w:divBdr>
        <w:top w:val="none" w:sz="0" w:space="0" w:color="auto"/>
        <w:left w:val="none" w:sz="0" w:space="0" w:color="auto"/>
        <w:bottom w:val="none" w:sz="0" w:space="0" w:color="auto"/>
        <w:right w:val="none" w:sz="0" w:space="0" w:color="auto"/>
      </w:divBdr>
    </w:div>
    <w:div w:id="862204129">
      <w:bodyDiv w:val="1"/>
      <w:marLeft w:val="0"/>
      <w:marRight w:val="0"/>
      <w:marTop w:val="0"/>
      <w:marBottom w:val="0"/>
      <w:divBdr>
        <w:top w:val="none" w:sz="0" w:space="0" w:color="auto"/>
        <w:left w:val="none" w:sz="0" w:space="0" w:color="auto"/>
        <w:bottom w:val="none" w:sz="0" w:space="0" w:color="auto"/>
        <w:right w:val="none" w:sz="0" w:space="0" w:color="auto"/>
      </w:divBdr>
    </w:div>
    <w:div w:id="893153079">
      <w:bodyDiv w:val="1"/>
      <w:marLeft w:val="0"/>
      <w:marRight w:val="0"/>
      <w:marTop w:val="0"/>
      <w:marBottom w:val="0"/>
      <w:divBdr>
        <w:top w:val="none" w:sz="0" w:space="0" w:color="auto"/>
        <w:left w:val="none" w:sz="0" w:space="0" w:color="auto"/>
        <w:bottom w:val="none" w:sz="0" w:space="0" w:color="auto"/>
        <w:right w:val="none" w:sz="0" w:space="0" w:color="auto"/>
      </w:divBdr>
    </w:div>
    <w:div w:id="906888376">
      <w:bodyDiv w:val="1"/>
      <w:marLeft w:val="0"/>
      <w:marRight w:val="0"/>
      <w:marTop w:val="0"/>
      <w:marBottom w:val="0"/>
      <w:divBdr>
        <w:top w:val="none" w:sz="0" w:space="0" w:color="auto"/>
        <w:left w:val="none" w:sz="0" w:space="0" w:color="auto"/>
        <w:bottom w:val="none" w:sz="0" w:space="0" w:color="auto"/>
        <w:right w:val="none" w:sz="0" w:space="0" w:color="auto"/>
      </w:divBdr>
    </w:div>
    <w:div w:id="996763290">
      <w:bodyDiv w:val="1"/>
      <w:marLeft w:val="0"/>
      <w:marRight w:val="0"/>
      <w:marTop w:val="0"/>
      <w:marBottom w:val="0"/>
      <w:divBdr>
        <w:top w:val="none" w:sz="0" w:space="0" w:color="auto"/>
        <w:left w:val="none" w:sz="0" w:space="0" w:color="auto"/>
        <w:bottom w:val="none" w:sz="0" w:space="0" w:color="auto"/>
        <w:right w:val="none" w:sz="0" w:space="0" w:color="auto"/>
      </w:divBdr>
    </w:div>
    <w:div w:id="1010253983">
      <w:bodyDiv w:val="1"/>
      <w:marLeft w:val="0"/>
      <w:marRight w:val="0"/>
      <w:marTop w:val="0"/>
      <w:marBottom w:val="0"/>
      <w:divBdr>
        <w:top w:val="none" w:sz="0" w:space="0" w:color="auto"/>
        <w:left w:val="none" w:sz="0" w:space="0" w:color="auto"/>
        <w:bottom w:val="none" w:sz="0" w:space="0" w:color="auto"/>
        <w:right w:val="none" w:sz="0" w:space="0" w:color="auto"/>
      </w:divBdr>
    </w:div>
    <w:div w:id="1077941629">
      <w:bodyDiv w:val="1"/>
      <w:marLeft w:val="0"/>
      <w:marRight w:val="0"/>
      <w:marTop w:val="0"/>
      <w:marBottom w:val="0"/>
      <w:divBdr>
        <w:top w:val="none" w:sz="0" w:space="0" w:color="auto"/>
        <w:left w:val="none" w:sz="0" w:space="0" w:color="auto"/>
        <w:bottom w:val="none" w:sz="0" w:space="0" w:color="auto"/>
        <w:right w:val="none" w:sz="0" w:space="0" w:color="auto"/>
      </w:divBdr>
    </w:div>
    <w:div w:id="1113750282">
      <w:bodyDiv w:val="1"/>
      <w:marLeft w:val="0"/>
      <w:marRight w:val="0"/>
      <w:marTop w:val="0"/>
      <w:marBottom w:val="0"/>
      <w:divBdr>
        <w:top w:val="none" w:sz="0" w:space="0" w:color="auto"/>
        <w:left w:val="none" w:sz="0" w:space="0" w:color="auto"/>
        <w:bottom w:val="none" w:sz="0" w:space="0" w:color="auto"/>
        <w:right w:val="none" w:sz="0" w:space="0" w:color="auto"/>
      </w:divBdr>
    </w:div>
    <w:div w:id="1131822183">
      <w:bodyDiv w:val="1"/>
      <w:marLeft w:val="0"/>
      <w:marRight w:val="0"/>
      <w:marTop w:val="0"/>
      <w:marBottom w:val="0"/>
      <w:divBdr>
        <w:top w:val="none" w:sz="0" w:space="0" w:color="auto"/>
        <w:left w:val="none" w:sz="0" w:space="0" w:color="auto"/>
        <w:bottom w:val="none" w:sz="0" w:space="0" w:color="auto"/>
        <w:right w:val="none" w:sz="0" w:space="0" w:color="auto"/>
      </w:divBdr>
    </w:div>
    <w:div w:id="1320500215">
      <w:bodyDiv w:val="1"/>
      <w:marLeft w:val="0"/>
      <w:marRight w:val="0"/>
      <w:marTop w:val="0"/>
      <w:marBottom w:val="0"/>
      <w:divBdr>
        <w:top w:val="none" w:sz="0" w:space="0" w:color="auto"/>
        <w:left w:val="none" w:sz="0" w:space="0" w:color="auto"/>
        <w:bottom w:val="none" w:sz="0" w:space="0" w:color="auto"/>
        <w:right w:val="none" w:sz="0" w:space="0" w:color="auto"/>
      </w:divBdr>
    </w:div>
    <w:div w:id="1404139559">
      <w:bodyDiv w:val="1"/>
      <w:marLeft w:val="0"/>
      <w:marRight w:val="0"/>
      <w:marTop w:val="0"/>
      <w:marBottom w:val="0"/>
      <w:divBdr>
        <w:top w:val="none" w:sz="0" w:space="0" w:color="auto"/>
        <w:left w:val="none" w:sz="0" w:space="0" w:color="auto"/>
        <w:bottom w:val="none" w:sz="0" w:space="0" w:color="auto"/>
        <w:right w:val="none" w:sz="0" w:space="0" w:color="auto"/>
      </w:divBdr>
    </w:div>
    <w:div w:id="1406806617">
      <w:bodyDiv w:val="1"/>
      <w:marLeft w:val="0"/>
      <w:marRight w:val="0"/>
      <w:marTop w:val="0"/>
      <w:marBottom w:val="0"/>
      <w:divBdr>
        <w:top w:val="none" w:sz="0" w:space="0" w:color="auto"/>
        <w:left w:val="none" w:sz="0" w:space="0" w:color="auto"/>
        <w:bottom w:val="none" w:sz="0" w:space="0" w:color="auto"/>
        <w:right w:val="none" w:sz="0" w:space="0" w:color="auto"/>
      </w:divBdr>
    </w:div>
    <w:div w:id="1458835196">
      <w:bodyDiv w:val="1"/>
      <w:marLeft w:val="0"/>
      <w:marRight w:val="0"/>
      <w:marTop w:val="0"/>
      <w:marBottom w:val="0"/>
      <w:divBdr>
        <w:top w:val="none" w:sz="0" w:space="0" w:color="auto"/>
        <w:left w:val="none" w:sz="0" w:space="0" w:color="auto"/>
        <w:bottom w:val="none" w:sz="0" w:space="0" w:color="auto"/>
        <w:right w:val="none" w:sz="0" w:space="0" w:color="auto"/>
      </w:divBdr>
    </w:div>
    <w:div w:id="1603564602">
      <w:bodyDiv w:val="1"/>
      <w:marLeft w:val="0"/>
      <w:marRight w:val="0"/>
      <w:marTop w:val="0"/>
      <w:marBottom w:val="0"/>
      <w:divBdr>
        <w:top w:val="none" w:sz="0" w:space="0" w:color="auto"/>
        <w:left w:val="none" w:sz="0" w:space="0" w:color="auto"/>
        <w:bottom w:val="none" w:sz="0" w:space="0" w:color="auto"/>
        <w:right w:val="none" w:sz="0" w:space="0" w:color="auto"/>
      </w:divBdr>
    </w:div>
    <w:div w:id="1610547485">
      <w:bodyDiv w:val="1"/>
      <w:marLeft w:val="0"/>
      <w:marRight w:val="0"/>
      <w:marTop w:val="0"/>
      <w:marBottom w:val="0"/>
      <w:divBdr>
        <w:top w:val="none" w:sz="0" w:space="0" w:color="auto"/>
        <w:left w:val="none" w:sz="0" w:space="0" w:color="auto"/>
        <w:bottom w:val="none" w:sz="0" w:space="0" w:color="auto"/>
        <w:right w:val="none" w:sz="0" w:space="0" w:color="auto"/>
      </w:divBdr>
    </w:div>
    <w:div w:id="1672105624">
      <w:bodyDiv w:val="1"/>
      <w:marLeft w:val="0"/>
      <w:marRight w:val="0"/>
      <w:marTop w:val="0"/>
      <w:marBottom w:val="0"/>
      <w:divBdr>
        <w:top w:val="none" w:sz="0" w:space="0" w:color="auto"/>
        <w:left w:val="none" w:sz="0" w:space="0" w:color="auto"/>
        <w:bottom w:val="none" w:sz="0" w:space="0" w:color="auto"/>
        <w:right w:val="none" w:sz="0" w:space="0" w:color="auto"/>
      </w:divBdr>
    </w:div>
    <w:div w:id="1843809727">
      <w:bodyDiv w:val="1"/>
      <w:marLeft w:val="0"/>
      <w:marRight w:val="0"/>
      <w:marTop w:val="0"/>
      <w:marBottom w:val="0"/>
      <w:divBdr>
        <w:top w:val="none" w:sz="0" w:space="0" w:color="auto"/>
        <w:left w:val="none" w:sz="0" w:space="0" w:color="auto"/>
        <w:bottom w:val="none" w:sz="0" w:space="0" w:color="auto"/>
        <w:right w:val="none" w:sz="0" w:space="0" w:color="auto"/>
      </w:divBdr>
    </w:div>
    <w:div w:id="1852985096">
      <w:bodyDiv w:val="1"/>
      <w:marLeft w:val="0"/>
      <w:marRight w:val="0"/>
      <w:marTop w:val="0"/>
      <w:marBottom w:val="0"/>
      <w:divBdr>
        <w:top w:val="none" w:sz="0" w:space="0" w:color="auto"/>
        <w:left w:val="none" w:sz="0" w:space="0" w:color="auto"/>
        <w:bottom w:val="none" w:sz="0" w:space="0" w:color="auto"/>
        <w:right w:val="none" w:sz="0" w:space="0" w:color="auto"/>
      </w:divBdr>
    </w:div>
    <w:div w:id="1907648240">
      <w:bodyDiv w:val="1"/>
      <w:marLeft w:val="0"/>
      <w:marRight w:val="0"/>
      <w:marTop w:val="0"/>
      <w:marBottom w:val="0"/>
      <w:divBdr>
        <w:top w:val="none" w:sz="0" w:space="0" w:color="auto"/>
        <w:left w:val="none" w:sz="0" w:space="0" w:color="auto"/>
        <w:bottom w:val="none" w:sz="0" w:space="0" w:color="auto"/>
        <w:right w:val="none" w:sz="0" w:space="0" w:color="auto"/>
      </w:divBdr>
    </w:div>
    <w:div w:id="1974560432">
      <w:bodyDiv w:val="1"/>
      <w:marLeft w:val="0"/>
      <w:marRight w:val="0"/>
      <w:marTop w:val="0"/>
      <w:marBottom w:val="0"/>
      <w:divBdr>
        <w:top w:val="none" w:sz="0" w:space="0" w:color="auto"/>
        <w:left w:val="none" w:sz="0" w:space="0" w:color="auto"/>
        <w:bottom w:val="none" w:sz="0" w:space="0" w:color="auto"/>
        <w:right w:val="none" w:sz="0" w:space="0" w:color="auto"/>
      </w:divBdr>
    </w:div>
    <w:div w:id="2021924843">
      <w:bodyDiv w:val="1"/>
      <w:marLeft w:val="0"/>
      <w:marRight w:val="0"/>
      <w:marTop w:val="0"/>
      <w:marBottom w:val="0"/>
      <w:divBdr>
        <w:top w:val="none" w:sz="0" w:space="0" w:color="auto"/>
        <w:left w:val="none" w:sz="0" w:space="0" w:color="auto"/>
        <w:bottom w:val="none" w:sz="0" w:space="0" w:color="auto"/>
        <w:right w:val="none" w:sz="0" w:space="0" w:color="auto"/>
      </w:divBdr>
    </w:div>
    <w:div w:id="2077898162">
      <w:bodyDiv w:val="1"/>
      <w:marLeft w:val="0"/>
      <w:marRight w:val="0"/>
      <w:marTop w:val="0"/>
      <w:marBottom w:val="0"/>
      <w:divBdr>
        <w:top w:val="none" w:sz="0" w:space="0" w:color="auto"/>
        <w:left w:val="none" w:sz="0" w:space="0" w:color="auto"/>
        <w:bottom w:val="none" w:sz="0" w:space="0" w:color="auto"/>
        <w:right w:val="none" w:sz="0" w:space="0" w:color="auto"/>
      </w:divBdr>
    </w:div>
    <w:div w:id="2118134240">
      <w:bodyDiv w:val="1"/>
      <w:marLeft w:val="0"/>
      <w:marRight w:val="0"/>
      <w:marTop w:val="0"/>
      <w:marBottom w:val="0"/>
      <w:divBdr>
        <w:top w:val="none" w:sz="0" w:space="0" w:color="auto"/>
        <w:left w:val="none" w:sz="0" w:space="0" w:color="auto"/>
        <w:bottom w:val="none" w:sz="0" w:space="0" w:color="auto"/>
        <w:right w:val="none" w:sz="0" w:space="0" w:color="auto"/>
      </w:divBdr>
    </w:div>
    <w:div w:id="21185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www.aa.com.tr/tr/turkiye/trabzonda-tanzim-satis-noktasi-acildi/1407475" TargetMode="External"/><Relationship Id="rId13" Type="http://schemas.openxmlformats.org/officeDocument/2006/relationships/hyperlink" Target="https://www.aa.com.tr/tr/politika/bakan-pakdemirli-tanzimde-nohut-ve-mercimegin-satisina-bugun-baslanacak/1402834" TargetMode="External"/><Relationship Id="rId3" Type="http://schemas.openxmlformats.org/officeDocument/2006/relationships/hyperlink" Target="https://twitter.com/BeratAlbayrak/status/1102479330611994624" TargetMode="External"/><Relationship Id="rId7" Type="http://schemas.openxmlformats.org/officeDocument/2006/relationships/hyperlink" Target="https://www.aa.com.tr/tr/turkiye/samsunda-tanzim-satis-noktalari-acildi/1404442" TargetMode="External"/><Relationship Id="rId12" Type="http://schemas.openxmlformats.org/officeDocument/2006/relationships/hyperlink" Target="https://www.bbc.com/turkce/haberler-turkiye-47206934" TargetMode="External"/><Relationship Id="rId2" Type="http://schemas.openxmlformats.org/officeDocument/2006/relationships/hyperlink" Target="mailto:ugurcan.acars@eas.bau.edu.tr" TargetMode="External"/><Relationship Id="rId1" Type="http://schemas.openxmlformats.org/officeDocument/2006/relationships/hyperlink" Target="mailto:ozan.bakis@eas.bau.edu.tr" TargetMode="External"/><Relationship Id="rId6" Type="http://schemas.openxmlformats.org/officeDocument/2006/relationships/hyperlink" Target="https://www.haberturk.com/tanzim-satisa-bakliyat-ve-temizlik-urunleri-de-dahil-olacak-2369932-ekonomi" TargetMode="External"/><Relationship Id="rId11" Type="http://schemas.openxmlformats.org/officeDocument/2006/relationships/hyperlink" Target="https://www.bbc.com/turkce/haberler-turkiye-47206934" TargetMode="External"/><Relationship Id="rId5" Type="http://schemas.openxmlformats.org/officeDocument/2006/relationships/hyperlink" Target="https://www.bbc.com/turkce/haberler-turkiye-47206934" TargetMode="External"/><Relationship Id="rId15" Type="http://schemas.openxmlformats.org/officeDocument/2006/relationships/hyperlink" Target="http://www.tuik.gov.tr/PreIstatistikTablo.do?istab_id=991" TargetMode="External"/><Relationship Id="rId10" Type="http://schemas.openxmlformats.org/officeDocument/2006/relationships/hyperlink" Target="https://www.aa.com.tr/tr/turkiye/balikesirde-ilk-tanzim-satis-noktasi-acildi/1394583" TargetMode="External"/><Relationship Id="rId4" Type="http://schemas.openxmlformats.org/officeDocument/2006/relationships/hyperlink" Target="https://www.haberturk.com/cumhurbaskani-erdogan-dan-cok-onemli-komisyoncu-aciklamasi-2341852-ekonomi" TargetMode="External"/><Relationship Id="rId9" Type="http://schemas.openxmlformats.org/officeDocument/2006/relationships/hyperlink" Target="https://www.aa.com.tr/tr/ekonomi/adanada-ilk-tanzim-satis-noktasi-acildi/1397335" TargetMode="External"/><Relationship Id="rId14" Type="http://schemas.openxmlformats.org/officeDocument/2006/relationships/hyperlink" Target="https://www.ntv.com.tr/ekonomi/pirinc-de-artik-tanzim-satista,u4Ndn6nq0ESlO39n48U_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CE96-3F38-45D0-84BE-32ED0D83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3124</Words>
  <Characters>17810</Characters>
  <Application>Microsoft Office Word</Application>
  <DocSecurity>0</DocSecurity>
  <Lines>148</Lines>
  <Paragraphs>41</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Yazgi GENC</dc:creator>
  <cp:keywords/>
  <dc:description/>
  <cp:lastModifiedBy>ugurcan.acar</cp:lastModifiedBy>
  <cp:revision>23</cp:revision>
  <cp:lastPrinted>2019-03-08T07:17:00Z</cp:lastPrinted>
  <dcterms:created xsi:type="dcterms:W3CDTF">2019-03-07T21:47:00Z</dcterms:created>
  <dcterms:modified xsi:type="dcterms:W3CDTF">2019-03-08T07:18:00Z</dcterms:modified>
</cp:coreProperties>
</file>