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9994" w14:textId="77777777" w:rsidR="00D07713" w:rsidRPr="00924CD9" w:rsidRDefault="00D90931">
      <w:pPr>
        <w:rPr>
          <w:rFonts w:ascii="Palatino Linotype" w:hAnsi="Palatino Linotype" w:cstheme="minorHAnsi"/>
        </w:rPr>
      </w:pPr>
      <w:r>
        <w:rPr>
          <w:rFonts w:ascii="Palatino Linotype" w:hAnsi="Palatino Linotype" w:cstheme="minorHAnsi"/>
          <w:noProof/>
          <w:lang w:val="en-GB" w:eastAsia="en-GB"/>
        </w:rPr>
        <mc:AlternateContent>
          <mc:Choice Requires="wps">
            <w:drawing>
              <wp:anchor distT="0" distB="0" distL="114935" distR="114935" simplePos="0" relativeHeight="251661824" behindDoc="0" locked="0" layoutInCell="1" allowOverlap="1" wp14:anchorId="690A72DB" wp14:editId="78779F32">
                <wp:simplePos x="0" y="0"/>
                <wp:positionH relativeFrom="column">
                  <wp:posOffset>4939030</wp:posOffset>
                </wp:positionH>
                <wp:positionV relativeFrom="paragraph">
                  <wp:posOffset>42545</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5288C" w14:textId="48F0DC53" w:rsidR="00D07713" w:rsidRPr="00D07713" w:rsidRDefault="000242B7"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2F0AEA">
                              <w:rPr>
                                <w:rFonts w:ascii="Arial" w:eastAsia="Times New Roman" w:hAnsi="Arial" w:cs="Arial"/>
                                <w:b/>
                                <w:bCs/>
                                <w:color w:val="FFFFFF"/>
                                <w:sz w:val="22"/>
                                <w:szCs w:val="22"/>
                                <w:lang w:eastAsia="ar-SA"/>
                              </w:rPr>
                              <w:t xml:space="preserve"> </w:t>
                            </w:r>
                            <w:r w:rsidR="0003593D" w:rsidRPr="002F0AEA">
                              <w:rPr>
                                <w:rFonts w:ascii="Arial" w:eastAsia="Times New Roman" w:hAnsi="Arial" w:cs="Arial"/>
                                <w:b/>
                                <w:bCs/>
                                <w:color w:val="FFFFFF"/>
                                <w:sz w:val="22"/>
                                <w:szCs w:val="22"/>
                                <w:lang w:eastAsia="ar-SA"/>
                              </w:rPr>
                              <w:t>December</w:t>
                            </w:r>
                            <w:r w:rsidR="00D07713" w:rsidRPr="002F0AEA">
                              <w:rPr>
                                <w:rFonts w:ascii="Arial" w:eastAsia="Times New Roman" w:hAnsi="Arial" w:cs="Arial"/>
                                <w:b/>
                                <w:bCs/>
                                <w:color w:val="FFFFFF"/>
                                <w:sz w:val="22"/>
                                <w:szCs w:val="22"/>
                                <w:lang w:eastAsia="ar-SA"/>
                              </w:rPr>
                              <w:t xml:space="preserve"> 201</w:t>
                            </w:r>
                            <w:r w:rsidR="008459A9" w:rsidRPr="002F0AEA">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72DB" id="_x0000_t202" coordsize="21600,21600" o:spt="202" path="m,l,21600r21600,l21600,xe">
                <v:stroke joinstyle="miter"/>
                <v:path gradientshapeok="t" o:connecttype="rect"/>
              </v:shapetype>
              <v:shape id="Text Box 3" o:spid="_x0000_s1026" type="#_x0000_t202" style="position:absolute;margin-left:388.9pt;margin-top:3.35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PXgbwrdAAAACQEAAA8AAABkcnMvZG93bnJldi54bWxMj8tuwjAQRfeV+AdrkLor&#10;Dg/hNMRBQNVuq6aV2Jp4iKPE4yg2kP59zaosR+fq3jP5drQdu+LgG0cS5rMEGFLldEO1hJ/v95cU&#10;mA+KtOocoYRf9LAtJk+5yrS70Rdey1CzWEI+UxJMCH3Gua8MWuVnrkeK7OwGq0I8h5rrQd1iue34&#10;IknW3KqG4oJRPR4MVm15sRKWnwtx9B/l26E/4mub+n17JiPl83TcbYAFHMN/GO76UR2K6HRyF9Ke&#10;dRKEEFE9SFgLYHeerMQK2CmSdAm8yPnjB8UfAAAA//8DAFBLAQItABQABgAIAAAAIQC2gziS/gAA&#10;AOEBAAATAAAAAAAAAAAAAAAAAAAAAABbQ29udGVudF9UeXBlc10ueG1sUEsBAi0AFAAGAAgAAAAh&#10;ADj9If/WAAAAlAEAAAsAAAAAAAAAAAAAAAAALwEAAF9yZWxzLy5yZWxzUEsBAi0AFAAGAAgAAAAh&#10;ABorlq2IAgAAHAUAAA4AAAAAAAAAAAAAAAAALgIAAGRycy9lMm9Eb2MueG1sUEsBAi0AFAAGAAgA&#10;AAAhAPXgbwrdAAAACQEAAA8AAAAAAAAAAAAAAAAA4gQAAGRycy9kb3ducmV2LnhtbFBLBQYAAAAA&#10;BAAEAPMAAADsBQAAAAA=&#10;" stroked="f">
                <v:fill opacity="0"/>
                <v:textbox inset="0,0,0,0">
                  <w:txbxContent>
                    <w:p w14:paraId="2685288C" w14:textId="48F0DC53" w:rsidR="00D07713" w:rsidRPr="00D07713" w:rsidRDefault="000242B7"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2F0AEA">
                        <w:rPr>
                          <w:rFonts w:ascii="Arial" w:eastAsia="Times New Roman" w:hAnsi="Arial" w:cs="Arial"/>
                          <w:b/>
                          <w:bCs/>
                          <w:color w:val="FFFFFF"/>
                          <w:sz w:val="22"/>
                          <w:szCs w:val="22"/>
                          <w:lang w:eastAsia="ar-SA"/>
                        </w:rPr>
                        <w:t xml:space="preserve"> </w:t>
                      </w:r>
                      <w:r w:rsidR="0003593D" w:rsidRPr="002F0AEA">
                        <w:rPr>
                          <w:rFonts w:ascii="Arial" w:eastAsia="Times New Roman" w:hAnsi="Arial" w:cs="Arial"/>
                          <w:b/>
                          <w:bCs/>
                          <w:color w:val="FFFFFF"/>
                          <w:sz w:val="22"/>
                          <w:szCs w:val="22"/>
                          <w:lang w:eastAsia="ar-SA"/>
                        </w:rPr>
                        <w:t>December</w:t>
                      </w:r>
                      <w:r w:rsidR="00D07713" w:rsidRPr="002F0AEA">
                        <w:rPr>
                          <w:rFonts w:ascii="Arial" w:eastAsia="Times New Roman" w:hAnsi="Arial" w:cs="Arial"/>
                          <w:b/>
                          <w:bCs/>
                          <w:color w:val="FFFFFF"/>
                          <w:sz w:val="22"/>
                          <w:szCs w:val="22"/>
                          <w:lang w:eastAsia="ar-SA"/>
                        </w:rPr>
                        <w:t xml:space="preserve"> 201</w:t>
                      </w:r>
                      <w:r w:rsidR="008459A9" w:rsidRPr="002F0AEA">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v:textbox>
              </v:shape>
            </w:pict>
          </mc:Fallback>
        </mc:AlternateContent>
      </w:r>
      <w:r>
        <w:rPr>
          <w:rFonts w:ascii="Palatino Linotype" w:hAnsi="Palatino Linotype" w:cstheme="minorHAnsi"/>
          <w:noProof/>
          <w:lang w:val="en-GB" w:eastAsia="en-GB"/>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23347E30" w:rsidR="00D07713" w:rsidRPr="00526178" w:rsidRDefault="001537D8" w:rsidP="00D07713">
                            <w:pPr>
                              <w:pStyle w:val="Heading1"/>
                              <w:rPr>
                                <w:b w:val="0"/>
                                <w:bCs w:val="0"/>
                                <w:i/>
                                <w:iCs/>
                              </w:rPr>
                            </w:pPr>
                            <w:r>
                              <w:rPr>
                                <w:rFonts w:ascii="Times New Roman" w:hAnsi="Times New Roman" w:cs="Times New Roman"/>
                                <w:sz w:val="40"/>
                                <w:szCs w:val="40"/>
                              </w:rPr>
                              <w:t>201</w:t>
                            </w:r>
                            <w:r w:rsidR="003566E5">
                              <w:rPr>
                                <w:rFonts w:ascii="Times New Roman" w:hAnsi="Times New Roman" w:cs="Times New Roman"/>
                                <w:sz w:val="40"/>
                                <w:szCs w:val="40"/>
                              </w:rPr>
                              <w:t>8</w:t>
                            </w:r>
                            <w:r>
                              <w:rPr>
                                <w:rFonts w:ascii="Times New Roman" w:hAnsi="Times New Roman" w:cs="Times New Roman"/>
                                <w:sz w:val="40"/>
                                <w:szCs w:val="40"/>
                              </w:rPr>
                              <w:t xml:space="preserve"> </w:t>
                            </w:r>
                            <w:r w:rsidR="0003593D">
                              <w:rPr>
                                <w:rFonts w:ascii="Times New Roman" w:hAnsi="Times New Roman" w:cs="Times New Roman"/>
                                <w:sz w:val="40"/>
                                <w:szCs w:val="40"/>
                              </w:rPr>
                              <w:t>3</w:t>
                            </w:r>
                            <w:r w:rsidR="00CB5D14">
                              <w:rPr>
                                <w:rFonts w:ascii="Times New Roman" w:hAnsi="Times New Roman" w:cs="Times New Roman"/>
                                <w:sz w:val="40"/>
                                <w:szCs w:val="40"/>
                                <w:vertAlign w:val="superscript"/>
                              </w:rPr>
                              <w:t>RD</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45A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23347E30" w:rsidR="00D07713" w:rsidRPr="00526178" w:rsidRDefault="001537D8" w:rsidP="00D07713">
                      <w:pPr>
                        <w:pStyle w:val="Heading1"/>
                        <w:rPr>
                          <w:b w:val="0"/>
                          <w:bCs w:val="0"/>
                          <w:i/>
                          <w:iCs/>
                        </w:rPr>
                      </w:pPr>
                      <w:r>
                        <w:rPr>
                          <w:rFonts w:ascii="Times New Roman" w:hAnsi="Times New Roman" w:cs="Times New Roman"/>
                          <w:sz w:val="40"/>
                          <w:szCs w:val="40"/>
                        </w:rPr>
                        <w:t>201</w:t>
                      </w:r>
                      <w:r w:rsidR="003566E5">
                        <w:rPr>
                          <w:rFonts w:ascii="Times New Roman" w:hAnsi="Times New Roman" w:cs="Times New Roman"/>
                          <w:sz w:val="40"/>
                          <w:szCs w:val="40"/>
                        </w:rPr>
                        <w:t>8</w:t>
                      </w:r>
                      <w:r>
                        <w:rPr>
                          <w:rFonts w:ascii="Times New Roman" w:hAnsi="Times New Roman" w:cs="Times New Roman"/>
                          <w:sz w:val="40"/>
                          <w:szCs w:val="40"/>
                        </w:rPr>
                        <w:t xml:space="preserve"> </w:t>
                      </w:r>
                      <w:r w:rsidR="0003593D">
                        <w:rPr>
                          <w:rFonts w:ascii="Times New Roman" w:hAnsi="Times New Roman" w:cs="Times New Roman"/>
                          <w:sz w:val="40"/>
                          <w:szCs w:val="40"/>
                        </w:rPr>
                        <w:t>3</w:t>
                      </w:r>
                      <w:r w:rsidR="00CB5D14">
                        <w:rPr>
                          <w:rFonts w:ascii="Times New Roman" w:hAnsi="Times New Roman" w:cs="Times New Roman"/>
                          <w:sz w:val="40"/>
                          <w:szCs w:val="40"/>
                          <w:vertAlign w:val="superscript"/>
                        </w:rPr>
                        <w:t>RD</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924CD9">
        <w:rPr>
          <w:rFonts w:ascii="Palatino Linotype" w:hAnsi="Palatino Linotype" w:cstheme="minorHAnsi"/>
          <w:noProof/>
          <w:lang w:val="en-GB" w:eastAsia="en-GB"/>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924CD9" w:rsidRDefault="00D07713">
      <w:pPr>
        <w:rPr>
          <w:rFonts w:ascii="Palatino Linotype" w:hAnsi="Palatino Linotype" w:cstheme="minorHAnsi"/>
        </w:rPr>
      </w:pPr>
    </w:p>
    <w:p w14:paraId="17518868" w14:textId="77777777"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14:paraId="45202FCF" w14:textId="6A62C910" w:rsidR="00C33714" w:rsidRPr="005E736B" w:rsidRDefault="005E736B" w:rsidP="00C33714">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 xml:space="preserve">SHARP DROP IN DOMESTIC DEMAND, </w:t>
      </w:r>
      <w:r w:rsidR="0072743C">
        <w:rPr>
          <w:rFonts w:ascii="Palatino Linotype" w:hAnsi="Palatino Linotype" w:cstheme="minorHAnsi"/>
          <w:b/>
          <w:bCs/>
          <w:sz w:val="28"/>
          <w:szCs w:val="28"/>
        </w:rPr>
        <w:t>MELTDOWN</w:t>
      </w:r>
      <w:r>
        <w:rPr>
          <w:rFonts w:ascii="Palatino Linotype" w:hAnsi="Palatino Linotype" w:cstheme="minorHAnsi"/>
          <w:b/>
          <w:bCs/>
          <w:sz w:val="28"/>
          <w:szCs w:val="28"/>
        </w:rPr>
        <w:t xml:space="preserve"> IN STOCKS, </w:t>
      </w:r>
      <w:r w:rsidR="0072743C">
        <w:rPr>
          <w:rFonts w:ascii="Palatino Linotype" w:hAnsi="Palatino Linotype" w:cstheme="minorHAnsi"/>
          <w:b/>
          <w:bCs/>
          <w:sz w:val="28"/>
          <w:szCs w:val="28"/>
        </w:rPr>
        <w:t xml:space="preserve">BOOM IN NET EXPORTS, </w:t>
      </w:r>
      <w:r w:rsidR="002F0AEA">
        <w:rPr>
          <w:rFonts w:ascii="Palatino Linotype" w:hAnsi="Palatino Linotype" w:cstheme="minorHAnsi"/>
          <w:b/>
          <w:bCs/>
          <w:sz w:val="28"/>
          <w:szCs w:val="28"/>
        </w:rPr>
        <w:t xml:space="preserve">SLIGHT RECESSION IN </w:t>
      </w:r>
      <w:r>
        <w:rPr>
          <w:rFonts w:ascii="Palatino Linotype" w:hAnsi="Palatino Linotype" w:cstheme="minorHAnsi"/>
          <w:b/>
          <w:bCs/>
          <w:sz w:val="28"/>
          <w:szCs w:val="28"/>
        </w:rPr>
        <w:t>GDP IN THE 3</w:t>
      </w:r>
      <w:r>
        <w:rPr>
          <w:rFonts w:ascii="Palatino Linotype" w:hAnsi="Palatino Linotype" w:cstheme="minorHAnsi"/>
          <w:b/>
          <w:bCs/>
          <w:sz w:val="28"/>
          <w:szCs w:val="28"/>
          <w:vertAlign w:val="superscript"/>
        </w:rPr>
        <w:t>RD</w:t>
      </w:r>
      <w:r>
        <w:rPr>
          <w:rFonts w:ascii="Palatino Linotype" w:hAnsi="Palatino Linotype" w:cstheme="minorHAnsi"/>
          <w:b/>
          <w:bCs/>
          <w:sz w:val="28"/>
          <w:szCs w:val="28"/>
        </w:rPr>
        <w:t xml:space="preserve"> QUARTER</w:t>
      </w:r>
    </w:p>
    <w:p w14:paraId="22314509" w14:textId="12B22E52" w:rsidR="00D07713" w:rsidRPr="00924CD9" w:rsidRDefault="003172DB" w:rsidP="00D07713">
      <w:pPr>
        <w:jc w:val="center"/>
        <w:rPr>
          <w:rFonts w:ascii="Palatino Linotype" w:hAnsi="Palatino Linotype" w:cstheme="minorHAnsi"/>
        </w:rPr>
      </w:pPr>
      <w:r w:rsidRPr="00924CD9">
        <w:rPr>
          <w:rFonts w:ascii="Palatino Linotype" w:hAnsi="Palatino Linotype" w:cstheme="minorHAnsi"/>
          <w:b/>
          <w:bCs/>
          <w:sz w:val="22"/>
          <w:szCs w:val="22"/>
        </w:rPr>
        <w:t>Seyfettin Gürsel</w:t>
      </w:r>
      <w:r w:rsidRPr="00924CD9">
        <w:rPr>
          <w:rStyle w:val="FootnoteReference"/>
          <w:rFonts w:ascii="Palatino Linotype" w:hAnsi="Palatino Linotype" w:cstheme="minorHAnsi"/>
          <w:b/>
          <w:bCs/>
          <w:sz w:val="22"/>
          <w:szCs w:val="22"/>
        </w:rPr>
        <w:footnoteReference w:id="1"/>
      </w:r>
      <w:r>
        <w:rPr>
          <w:rFonts w:ascii="Palatino Linotype" w:hAnsi="Palatino Linotype" w:cstheme="minorHAnsi"/>
          <w:b/>
          <w:bCs/>
          <w:sz w:val="22"/>
          <w:szCs w:val="22"/>
        </w:rPr>
        <w:t>,</w:t>
      </w:r>
      <w:r w:rsidRPr="00924CD9">
        <w:rPr>
          <w:rFonts w:ascii="Palatino Linotype" w:hAnsi="Palatino Linotype" w:cstheme="minorHAnsi"/>
          <w:b/>
          <w:bCs/>
          <w:sz w:val="22"/>
          <w:szCs w:val="22"/>
        </w:rPr>
        <w:t xml:space="preserve"> </w:t>
      </w:r>
      <w:r w:rsidR="00D07713" w:rsidRPr="00924CD9">
        <w:rPr>
          <w:rFonts w:ascii="Palatino Linotype" w:hAnsi="Palatino Linotype" w:cstheme="minorHAnsi"/>
          <w:b/>
          <w:bCs/>
          <w:sz w:val="22"/>
          <w:szCs w:val="22"/>
        </w:rPr>
        <w:t>Ozan Bakış</w:t>
      </w:r>
      <w:r w:rsidR="00C32789" w:rsidRPr="00924CD9">
        <w:rPr>
          <w:rStyle w:val="FootnoteReference"/>
          <w:rFonts w:ascii="Palatino Linotype" w:hAnsi="Palatino Linotype" w:cstheme="minorHAnsi"/>
          <w:b/>
          <w:bCs/>
          <w:sz w:val="22"/>
          <w:szCs w:val="22"/>
        </w:rPr>
        <w:footnoteReference w:id="2"/>
      </w:r>
      <w:r w:rsidR="001537D8">
        <w:rPr>
          <w:rFonts w:ascii="Palatino Linotype" w:hAnsi="Palatino Linotype" w:cstheme="minorHAnsi"/>
          <w:b/>
          <w:bCs/>
          <w:sz w:val="22"/>
          <w:szCs w:val="22"/>
        </w:rPr>
        <w:t xml:space="preserve"> </w:t>
      </w:r>
      <w:r w:rsidR="008C6F06">
        <w:rPr>
          <w:rFonts w:ascii="Palatino Linotype" w:hAnsi="Palatino Linotype" w:cstheme="minorHAnsi"/>
          <w:b/>
          <w:bCs/>
          <w:sz w:val="22"/>
          <w:szCs w:val="22"/>
        </w:rPr>
        <w:t>and</w:t>
      </w:r>
      <w:r w:rsidR="00703415">
        <w:rPr>
          <w:rFonts w:ascii="Palatino Linotype" w:hAnsi="Palatino Linotype" w:cstheme="minorHAnsi"/>
          <w:b/>
          <w:bCs/>
          <w:sz w:val="22"/>
          <w:szCs w:val="22"/>
        </w:rPr>
        <w:t xml:space="preserve"> Furkan Kavuncu</w:t>
      </w:r>
      <w:r w:rsidR="001537D8">
        <w:rPr>
          <w:rStyle w:val="FootnoteReference"/>
          <w:rFonts w:ascii="Palatino Linotype" w:hAnsi="Palatino Linotype" w:cstheme="minorHAnsi"/>
          <w:b/>
          <w:bCs/>
          <w:sz w:val="22"/>
          <w:szCs w:val="22"/>
        </w:rPr>
        <w:footnoteReference w:id="3"/>
      </w:r>
      <w:r w:rsidR="001537D8">
        <w:rPr>
          <w:rFonts w:ascii="Palatino Linotype" w:hAnsi="Palatino Linotype" w:cstheme="minorHAnsi"/>
          <w:b/>
          <w:bCs/>
          <w:sz w:val="22"/>
          <w:szCs w:val="22"/>
        </w:rPr>
        <w:t xml:space="preserve"> </w:t>
      </w:r>
    </w:p>
    <w:p w14:paraId="57322CA8" w14:textId="0E64E279" w:rsidR="00D07713" w:rsidRDefault="00D07713">
      <w:pPr>
        <w:rPr>
          <w:rFonts w:ascii="Palatino Linotype" w:hAnsi="Palatino Linotype" w:cstheme="minorHAnsi"/>
        </w:rPr>
      </w:pPr>
    </w:p>
    <w:p w14:paraId="4F50E325" w14:textId="77777777" w:rsidR="00515940" w:rsidRPr="00924CD9" w:rsidRDefault="00515940">
      <w:pPr>
        <w:rPr>
          <w:rFonts w:ascii="Palatino Linotype" w:hAnsi="Palatino Linotype" w:cstheme="minorHAnsi"/>
        </w:rPr>
      </w:pPr>
    </w:p>
    <w:p w14:paraId="08B607E9" w14:textId="1D317BBE" w:rsidR="00223A5B" w:rsidRPr="00515940" w:rsidRDefault="00414150" w:rsidP="00515940">
      <w:pPr>
        <w:spacing w:line="360" w:lineRule="auto"/>
        <w:jc w:val="center"/>
        <w:rPr>
          <w:rFonts w:ascii="Arial" w:hAnsi="Arial" w:cs="Arial"/>
          <w:b/>
          <w:bCs/>
          <w:sz w:val="22"/>
          <w:szCs w:val="22"/>
        </w:rPr>
      </w:pPr>
      <w:r w:rsidRPr="00DE4D69">
        <w:rPr>
          <w:rFonts w:ascii="Arial" w:hAnsi="Arial" w:cs="Arial"/>
          <w:b/>
          <w:bCs/>
          <w:sz w:val="22"/>
          <w:szCs w:val="22"/>
        </w:rPr>
        <w:t>Executive Summary</w:t>
      </w:r>
    </w:p>
    <w:p w14:paraId="3A2460AF" w14:textId="6D900A27" w:rsidR="00414150" w:rsidRPr="00381E85" w:rsidRDefault="00414150" w:rsidP="00515940">
      <w:pPr>
        <w:spacing w:line="360" w:lineRule="auto"/>
        <w:ind w:left="567" w:right="567"/>
        <w:jc w:val="both"/>
        <w:rPr>
          <w:rFonts w:ascii="Palatino Linotype" w:hAnsi="Palatino Linotype" w:cstheme="minorHAnsi"/>
          <w:sz w:val="22"/>
          <w:szCs w:val="22"/>
          <w:highlight w:val="yellow"/>
        </w:rPr>
      </w:pPr>
      <w:r w:rsidRPr="002D5820">
        <w:rPr>
          <w:rFonts w:ascii="Palatino Linotype" w:hAnsi="Palatino Linotype" w:cstheme="minorHAnsi"/>
          <w:sz w:val="22"/>
          <w:szCs w:val="22"/>
        </w:rPr>
        <w:t>In</w:t>
      </w:r>
      <w:r w:rsidRPr="00414150">
        <w:rPr>
          <w:rFonts w:ascii="Palatino Linotype" w:hAnsi="Palatino Linotype" w:cstheme="minorHAnsi"/>
          <w:sz w:val="22"/>
          <w:szCs w:val="22"/>
        </w:rPr>
        <w:t xml:space="preserve"> </w:t>
      </w:r>
      <w:r w:rsidRPr="002D5820">
        <w:rPr>
          <w:rFonts w:ascii="Palatino Linotype" w:hAnsi="Palatino Linotype" w:cstheme="minorHAnsi"/>
          <w:sz w:val="22"/>
          <w:szCs w:val="22"/>
        </w:rPr>
        <w:t>the</w:t>
      </w:r>
      <w:r w:rsidRPr="00414150">
        <w:rPr>
          <w:rFonts w:ascii="Palatino Linotype" w:hAnsi="Palatino Linotype" w:cstheme="minorHAnsi"/>
          <w:sz w:val="22"/>
          <w:szCs w:val="22"/>
        </w:rPr>
        <w:t xml:space="preserve"> </w:t>
      </w:r>
      <w:r w:rsidR="002F0AEA">
        <w:rPr>
          <w:rFonts w:ascii="Palatino Linotype" w:hAnsi="Palatino Linotype" w:cstheme="minorHAnsi"/>
          <w:sz w:val="22"/>
          <w:szCs w:val="22"/>
        </w:rPr>
        <w:t>third</w:t>
      </w:r>
      <w:r w:rsidRPr="00414150">
        <w:rPr>
          <w:rFonts w:ascii="Palatino Linotype" w:hAnsi="Palatino Linotype" w:cstheme="minorHAnsi"/>
          <w:sz w:val="22"/>
          <w:szCs w:val="22"/>
        </w:rPr>
        <w:t xml:space="preserve"> quarter of 201</w:t>
      </w:r>
      <w:r w:rsidR="003566E5">
        <w:rPr>
          <w:rFonts w:ascii="Palatino Linotype" w:hAnsi="Palatino Linotype" w:cstheme="minorHAnsi"/>
          <w:sz w:val="22"/>
          <w:szCs w:val="22"/>
        </w:rPr>
        <w:t>8</w:t>
      </w:r>
      <w:r w:rsidRPr="00414150">
        <w:rPr>
          <w:rFonts w:ascii="Palatino Linotype" w:hAnsi="Palatino Linotype" w:cstheme="minorHAnsi"/>
          <w:sz w:val="22"/>
          <w:szCs w:val="22"/>
        </w:rPr>
        <w:t xml:space="preserve">, </w:t>
      </w:r>
      <w:r>
        <w:rPr>
          <w:rFonts w:ascii="Palatino Linotype" w:hAnsi="Palatino Linotype" w:cstheme="minorHAnsi"/>
          <w:sz w:val="22"/>
          <w:szCs w:val="22"/>
        </w:rPr>
        <w:t xml:space="preserve">according to </w:t>
      </w:r>
      <w:r w:rsidR="00D30DDE">
        <w:rPr>
          <w:rFonts w:ascii="Palatino Linotype" w:hAnsi="Palatino Linotype" w:cstheme="minorHAnsi"/>
          <w:sz w:val="22"/>
          <w:szCs w:val="22"/>
        </w:rPr>
        <w:t xml:space="preserve">seasonally and calendar day adjusted </w:t>
      </w:r>
      <w:r w:rsidR="00D30DDE" w:rsidRPr="002F0AEA">
        <w:rPr>
          <w:rFonts w:ascii="Palatino Linotype" w:hAnsi="Palatino Linotype" w:cstheme="minorHAnsi"/>
          <w:sz w:val="22"/>
          <w:szCs w:val="22"/>
        </w:rPr>
        <w:t xml:space="preserve">data, </w:t>
      </w:r>
      <w:r w:rsidR="00180E6E" w:rsidRPr="002F0AEA">
        <w:rPr>
          <w:rFonts w:ascii="Palatino Linotype" w:hAnsi="Palatino Linotype" w:cstheme="minorHAnsi"/>
          <w:sz w:val="22"/>
          <w:szCs w:val="22"/>
        </w:rPr>
        <w:t>Gross Domestic Product (GDP) de</w:t>
      </w:r>
      <w:r w:rsidRPr="002F0AEA">
        <w:rPr>
          <w:rFonts w:ascii="Palatino Linotype" w:hAnsi="Palatino Linotype" w:cstheme="minorHAnsi"/>
          <w:sz w:val="22"/>
          <w:szCs w:val="22"/>
        </w:rPr>
        <w:t xml:space="preserve">creased by </w:t>
      </w:r>
      <w:r w:rsidR="00180E6E" w:rsidRPr="002F0AEA">
        <w:rPr>
          <w:rFonts w:ascii="Palatino Linotype" w:hAnsi="Palatino Linotype" w:cstheme="minorHAnsi"/>
          <w:sz w:val="22"/>
          <w:szCs w:val="22"/>
        </w:rPr>
        <w:t>1.1</w:t>
      </w:r>
      <w:r w:rsidRPr="002F0AEA">
        <w:rPr>
          <w:rFonts w:ascii="Palatino Linotype" w:hAnsi="Palatino Linotype" w:cstheme="minorHAnsi"/>
          <w:sz w:val="22"/>
          <w:szCs w:val="22"/>
        </w:rPr>
        <w:t xml:space="preserve"> percent comp</w:t>
      </w:r>
      <w:r w:rsidR="00180E6E" w:rsidRPr="002F0AEA">
        <w:rPr>
          <w:rFonts w:ascii="Palatino Linotype" w:hAnsi="Palatino Linotype" w:cstheme="minorHAnsi"/>
          <w:sz w:val="22"/>
          <w:szCs w:val="22"/>
        </w:rPr>
        <w:t>ared to the previous quarter, yet increased</w:t>
      </w:r>
      <w:r w:rsidRPr="002F0AEA">
        <w:rPr>
          <w:rFonts w:ascii="Palatino Linotype" w:hAnsi="Palatino Linotype" w:cstheme="minorHAnsi"/>
          <w:sz w:val="22"/>
          <w:szCs w:val="22"/>
        </w:rPr>
        <w:t xml:space="preserve"> by </w:t>
      </w:r>
      <w:r w:rsidR="00180E6E" w:rsidRPr="002F0AEA">
        <w:rPr>
          <w:rFonts w:ascii="Palatino Linotype" w:hAnsi="Palatino Linotype" w:cstheme="minorHAnsi"/>
          <w:sz w:val="22"/>
          <w:szCs w:val="22"/>
        </w:rPr>
        <w:t>1.6</w:t>
      </w:r>
      <w:r w:rsidRPr="002F0AEA">
        <w:rPr>
          <w:rFonts w:ascii="Palatino Linotype" w:hAnsi="Palatino Linotype" w:cstheme="minorHAnsi"/>
          <w:sz w:val="22"/>
          <w:szCs w:val="22"/>
        </w:rPr>
        <w:t xml:space="preserve"> percent compared to the </w:t>
      </w:r>
      <w:r w:rsidR="00AB16C5" w:rsidRPr="002F0AEA">
        <w:rPr>
          <w:rFonts w:ascii="Palatino Linotype" w:hAnsi="Palatino Linotype" w:cstheme="minorHAnsi"/>
          <w:sz w:val="22"/>
          <w:szCs w:val="22"/>
        </w:rPr>
        <w:t>same</w:t>
      </w:r>
      <w:r w:rsidRPr="002F0AEA">
        <w:rPr>
          <w:rFonts w:ascii="Palatino Linotype" w:hAnsi="Palatino Linotype" w:cstheme="minorHAnsi"/>
          <w:sz w:val="22"/>
          <w:szCs w:val="22"/>
        </w:rPr>
        <w:t xml:space="preserve"> quarter of last year. The </w:t>
      </w:r>
      <w:r w:rsidR="002F0AEA" w:rsidRPr="002F0AEA">
        <w:rPr>
          <w:rFonts w:ascii="Palatino Linotype" w:hAnsi="Palatino Linotype" w:cstheme="minorHAnsi"/>
          <w:sz w:val="22"/>
          <w:szCs w:val="22"/>
        </w:rPr>
        <w:t xml:space="preserve">greatest negative impact </w:t>
      </w:r>
      <w:r w:rsidRPr="002F0AEA">
        <w:rPr>
          <w:rFonts w:ascii="Palatino Linotype" w:hAnsi="Palatino Linotype" w:cstheme="minorHAnsi"/>
          <w:sz w:val="22"/>
          <w:szCs w:val="22"/>
        </w:rPr>
        <w:t>o</w:t>
      </w:r>
      <w:r w:rsidR="002F0AEA" w:rsidRPr="002F0AEA">
        <w:rPr>
          <w:rFonts w:ascii="Palatino Linotype" w:hAnsi="Palatino Linotype" w:cstheme="minorHAnsi"/>
          <w:sz w:val="22"/>
          <w:szCs w:val="22"/>
        </w:rPr>
        <w:t>n the</w:t>
      </w:r>
      <w:r w:rsidRPr="002F0AEA">
        <w:rPr>
          <w:rFonts w:ascii="Palatino Linotype" w:hAnsi="Palatino Linotype" w:cstheme="minorHAnsi"/>
          <w:sz w:val="22"/>
          <w:szCs w:val="22"/>
        </w:rPr>
        <w:t xml:space="preserve"> </w:t>
      </w:r>
      <w:r w:rsidR="00D30DDE" w:rsidRPr="002F0AEA">
        <w:rPr>
          <w:rFonts w:ascii="Palatino Linotype" w:hAnsi="Palatino Linotype" w:cstheme="minorHAnsi"/>
          <w:sz w:val="22"/>
          <w:szCs w:val="22"/>
        </w:rPr>
        <w:t>annually economic growth</w:t>
      </w:r>
      <w:r w:rsidRPr="002F0AEA">
        <w:rPr>
          <w:rFonts w:ascii="Palatino Linotype" w:hAnsi="Palatino Linotype" w:cstheme="minorHAnsi"/>
          <w:sz w:val="22"/>
          <w:szCs w:val="22"/>
        </w:rPr>
        <w:t xml:space="preserve"> </w:t>
      </w:r>
      <w:r w:rsidR="00AB16C5" w:rsidRPr="002F0AEA">
        <w:rPr>
          <w:rFonts w:ascii="Palatino Linotype" w:hAnsi="Palatino Linotype" w:cstheme="minorHAnsi"/>
          <w:sz w:val="22"/>
          <w:szCs w:val="22"/>
        </w:rPr>
        <w:t xml:space="preserve">comes from </w:t>
      </w:r>
      <w:r w:rsidR="00200A56" w:rsidRPr="002F0AEA">
        <w:rPr>
          <w:rFonts w:ascii="Palatino Linotype" w:hAnsi="Palatino Linotype" w:cstheme="minorHAnsi"/>
          <w:sz w:val="22"/>
          <w:szCs w:val="22"/>
        </w:rPr>
        <w:t>the change in stock</w:t>
      </w:r>
      <w:r w:rsidR="00515940">
        <w:rPr>
          <w:rFonts w:ascii="Palatino Linotype" w:hAnsi="Palatino Linotype" w:cstheme="minorHAnsi"/>
          <w:sz w:val="22"/>
          <w:szCs w:val="22"/>
        </w:rPr>
        <w:t>s</w:t>
      </w:r>
      <w:r w:rsidR="00D2047D">
        <w:rPr>
          <w:rFonts w:ascii="Palatino Linotype" w:hAnsi="Palatino Linotype" w:cstheme="minorHAnsi"/>
          <w:sz w:val="22"/>
          <w:szCs w:val="22"/>
        </w:rPr>
        <w:t xml:space="preserve">, for which the contribution to GDP growth was minus </w:t>
      </w:r>
      <w:r w:rsidR="00200A56" w:rsidRPr="002F0AEA">
        <w:rPr>
          <w:rFonts w:ascii="Palatino Linotype" w:hAnsi="Palatino Linotype" w:cstheme="minorHAnsi"/>
          <w:sz w:val="22"/>
          <w:szCs w:val="22"/>
        </w:rPr>
        <w:t>7</w:t>
      </w:r>
      <w:r w:rsidRPr="002F0AEA">
        <w:rPr>
          <w:rFonts w:ascii="Palatino Linotype" w:hAnsi="Palatino Linotype" w:cstheme="minorHAnsi"/>
          <w:sz w:val="22"/>
          <w:szCs w:val="22"/>
        </w:rPr>
        <w:t xml:space="preserve"> percentage points. </w:t>
      </w:r>
      <w:r w:rsidR="003566E5" w:rsidRPr="002F0AEA">
        <w:rPr>
          <w:rFonts w:ascii="Palatino Linotype" w:hAnsi="Palatino Linotype" w:cstheme="minorHAnsi"/>
          <w:sz w:val="22"/>
          <w:szCs w:val="22"/>
        </w:rPr>
        <w:t>Import</w:t>
      </w:r>
      <w:r w:rsidR="00D2047D">
        <w:rPr>
          <w:rFonts w:ascii="Palatino Linotype" w:hAnsi="Palatino Linotype" w:cstheme="minorHAnsi"/>
          <w:sz w:val="22"/>
          <w:szCs w:val="22"/>
        </w:rPr>
        <w:t>s</w:t>
      </w:r>
      <w:r w:rsidR="00FA79F3" w:rsidRPr="002F0AEA">
        <w:rPr>
          <w:rFonts w:ascii="Palatino Linotype" w:hAnsi="Palatino Linotype" w:cstheme="minorHAnsi"/>
          <w:sz w:val="22"/>
          <w:szCs w:val="22"/>
        </w:rPr>
        <w:t xml:space="preserve"> which </w:t>
      </w:r>
      <w:r w:rsidR="00D2047D">
        <w:rPr>
          <w:rFonts w:ascii="Palatino Linotype" w:hAnsi="Palatino Linotype" w:cstheme="minorHAnsi"/>
          <w:sz w:val="22"/>
          <w:szCs w:val="22"/>
        </w:rPr>
        <w:t xml:space="preserve">stayed </w:t>
      </w:r>
      <w:r w:rsidR="0003593D" w:rsidRPr="002F0AEA">
        <w:rPr>
          <w:rFonts w:ascii="Palatino Linotype" w:hAnsi="Palatino Linotype" w:cstheme="minorHAnsi"/>
          <w:sz w:val="22"/>
          <w:szCs w:val="22"/>
        </w:rPr>
        <w:t xml:space="preserve">almost </w:t>
      </w:r>
      <w:r w:rsidR="00D2047D">
        <w:rPr>
          <w:rFonts w:ascii="Palatino Linotype" w:hAnsi="Palatino Linotype" w:cstheme="minorHAnsi"/>
          <w:sz w:val="22"/>
          <w:szCs w:val="22"/>
        </w:rPr>
        <w:t>constant</w:t>
      </w:r>
      <w:r w:rsidR="0003593D" w:rsidRPr="002F0AEA">
        <w:rPr>
          <w:rFonts w:ascii="Palatino Linotype" w:hAnsi="Palatino Linotype" w:cstheme="minorHAnsi"/>
          <w:sz w:val="22"/>
          <w:szCs w:val="22"/>
        </w:rPr>
        <w:t xml:space="preserve"> </w:t>
      </w:r>
      <w:r w:rsidR="00FA79F3" w:rsidRPr="002F0AEA">
        <w:rPr>
          <w:rFonts w:ascii="Palatino Linotype" w:hAnsi="Palatino Linotype" w:cstheme="minorHAnsi"/>
          <w:sz w:val="22"/>
          <w:szCs w:val="22"/>
        </w:rPr>
        <w:t xml:space="preserve">in the </w:t>
      </w:r>
      <w:r w:rsidR="0003593D" w:rsidRPr="002F0AEA">
        <w:rPr>
          <w:rFonts w:ascii="Palatino Linotype" w:hAnsi="Palatino Linotype" w:cstheme="minorHAnsi"/>
          <w:sz w:val="22"/>
          <w:szCs w:val="22"/>
        </w:rPr>
        <w:t>second</w:t>
      </w:r>
      <w:r w:rsidR="00FA79F3" w:rsidRPr="002F0AEA">
        <w:rPr>
          <w:rFonts w:ascii="Palatino Linotype" w:hAnsi="Palatino Linotype" w:cstheme="minorHAnsi"/>
          <w:sz w:val="22"/>
          <w:szCs w:val="22"/>
        </w:rPr>
        <w:t xml:space="preserve"> quarter</w:t>
      </w:r>
      <w:r w:rsidR="00AB16C5" w:rsidRPr="002F0AEA">
        <w:rPr>
          <w:rFonts w:ascii="Palatino Linotype" w:hAnsi="Palatino Linotype" w:cstheme="minorHAnsi"/>
          <w:sz w:val="22"/>
          <w:szCs w:val="22"/>
        </w:rPr>
        <w:t xml:space="preserve">, </w:t>
      </w:r>
      <w:r w:rsidR="00D2047D" w:rsidRPr="002F0AEA">
        <w:rPr>
          <w:rFonts w:ascii="Palatino Linotype" w:hAnsi="Palatino Linotype" w:cstheme="minorHAnsi"/>
          <w:sz w:val="22"/>
          <w:szCs w:val="22"/>
        </w:rPr>
        <w:t>compared to the same quarter of the previous year</w:t>
      </w:r>
      <w:r w:rsidR="00D2047D">
        <w:rPr>
          <w:rFonts w:ascii="Palatino Linotype" w:hAnsi="Palatino Linotype" w:cstheme="minorHAnsi"/>
          <w:sz w:val="22"/>
          <w:szCs w:val="22"/>
        </w:rPr>
        <w:t xml:space="preserve">, </w:t>
      </w:r>
      <w:r w:rsidR="0003593D" w:rsidRPr="002F0AEA">
        <w:rPr>
          <w:rFonts w:ascii="Palatino Linotype" w:hAnsi="Palatino Linotype" w:cstheme="minorHAnsi"/>
          <w:sz w:val="22"/>
          <w:szCs w:val="22"/>
        </w:rPr>
        <w:t>decreased by 16.7 percent in the third quarter of 2018</w:t>
      </w:r>
      <w:r w:rsidR="0059780D" w:rsidRPr="002F0AEA">
        <w:rPr>
          <w:rFonts w:ascii="Palatino Linotype" w:hAnsi="Palatino Linotype" w:cstheme="minorHAnsi"/>
          <w:sz w:val="22"/>
          <w:szCs w:val="22"/>
        </w:rPr>
        <w:t xml:space="preserve">. </w:t>
      </w:r>
      <w:r w:rsidR="002F0AEA">
        <w:rPr>
          <w:rFonts w:ascii="Palatino Linotype" w:hAnsi="Palatino Linotype" w:cstheme="minorHAnsi"/>
          <w:sz w:val="22"/>
          <w:szCs w:val="22"/>
        </w:rPr>
        <w:t>As another result of the exchange rate, i</w:t>
      </w:r>
      <w:r w:rsidR="00FA79F3" w:rsidRPr="002F0AEA">
        <w:rPr>
          <w:rFonts w:ascii="Palatino Linotype" w:hAnsi="Palatino Linotype" w:cstheme="minorHAnsi"/>
          <w:sz w:val="22"/>
          <w:szCs w:val="22"/>
        </w:rPr>
        <w:t>ncrease in</w:t>
      </w:r>
      <w:r w:rsidR="00FA79F3">
        <w:rPr>
          <w:rFonts w:ascii="Palatino Linotype" w:hAnsi="Palatino Linotype" w:cstheme="minorHAnsi"/>
          <w:sz w:val="22"/>
          <w:szCs w:val="22"/>
        </w:rPr>
        <w:t xml:space="preserve"> export</w:t>
      </w:r>
      <w:r w:rsidR="00D2047D">
        <w:rPr>
          <w:rFonts w:ascii="Palatino Linotype" w:hAnsi="Palatino Linotype" w:cstheme="minorHAnsi"/>
          <w:sz w:val="22"/>
          <w:szCs w:val="22"/>
        </w:rPr>
        <w:t>s</w:t>
      </w:r>
      <w:r w:rsidR="002F0AEA" w:rsidRPr="002F0AEA">
        <w:rPr>
          <w:rFonts w:ascii="Palatino Linotype" w:hAnsi="Palatino Linotype" w:cstheme="minorHAnsi"/>
          <w:sz w:val="22"/>
          <w:szCs w:val="22"/>
        </w:rPr>
        <w:t xml:space="preserve"> </w:t>
      </w:r>
      <w:r w:rsidR="002159C6">
        <w:rPr>
          <w:rFonts w:ascii="Palatino Linotype" w:hAnsi="Palatino Linotype" w:cstheme="minorHAnsi"/>
          <w:sz w:val="22"/>
          <w:szCs w:val="22"/>
        </w:rPr>
        <w:t>jumped</w:t>
      </w:r>
      <w:r w:rsidR="002F0AEA" w:rsidRPr="002F0AEA">
        <w:rPr>
          <w:rFonts w:ascii="Palatino Linotype" w:hAnsi="Palatino Linotype" w:cstheme="minorHAnsi"/>
          <w:sz w:val="22"/>
          <w:szCs w:val="22"/>
        </w:rPr>
        <w:t xml:space="preserve"> from 4.2 percent to 13.6</w:t>
      </w:r>
      <w:r w:rsidR="00FA79F3" w:rsidRPr="002F0AEA">
        <w:rPr>
          <w:rFonts w:ascii="Palatino Linotype" w:hAnsi="Palatino Linotype" w:cstheme="minorHAnsi"/>
          <w:sz w:val="22"/>
          <w:szCs w:val="22"/>
        </w:rPr>
        <w:t xml:space="preserve"> percent. </w:t>
      </w:r>
      <w:r w:rsidR="004263DD" w:rsidRPr="002F0AEA">
        <w:rPr>
          <w:rFonts w:ascii="Palatino Linotype" w:hAnsi="Palatino Linotype" w:cstheme="minorHAnsi"/>
          <w:sz w:val="22"/>
          <w:szCs w:val="22"/>
        </w:rPr>
        <w:t xml:space="preserve">Therefore, </w:t>
      </w:r>
      <w:r w:rsidR="002F0AEA" w:rsidRPr="002F0AEA">
        <w:rPr>
          <w:rFonts w:ascii="Palatino Linotype" w:hAnsi="Palatino Linotype" w:cstheme="minorHAnsi"/>
          <w:sz w:val="22"/>
          <w:szCs w:val="22"/>
        </w:rPr>
        <w:t xml:space="preserve">the </w:t>
      </w:r>
      <w:r w:rsidR="004263DD" w:rsidRPr="002F0AEA">
        <w:rPr>
          <w:rFonts w:ascii="Palatino Linotype" w:hAnsi="Palatino Linotype" w:cstheme="minorHAnsi"/>
          <w:sz w:val="22"/>
          <w:szCs w:val="22"/>
        </w:rPr>
        <w:t>c</w:t>
      </w:r>
      <w:r w:rsidR="0059780D" w:rsidRPr="002F0AEA">
        <w:rPr>
          <w:rFonts w:ascii="Palatino Linotype" w:hAnsi="Palatino Linotype" w:cstheme="minorHAnsi"/>
          <w:sz w:val="22"/>
          <w:szCs w:val="22"/>
        </w:rPr>
        <w:t xml:space="preserve">ontribution to growth of </w:t>
      </w:r>
      <w:r w:rsidR="004263DD" w:rsidRPr="002F0AEA">
        <w:rPr>
          <w:rFonts w:ascii="Palatino Linotype" w:hAnsi="Palatino Linotype" w:cstheme="minorHAnsi"/>
          <w:sz w:val="22"/>
          <w:szCs w:val="22"/>
        </w:rPr>
        <w:t>net foreign trade which turned positive with 1.3 percent</w:t>
      </w:r>
      <w:r w:rsidR="002F0AEA" w:rsidRPr="002F0AEA">
        <w:rPr>
          <w:rFonts w:ascii="Palatino Linotype" w:hAnsi="Palatino Linotype" w:cstheme="minorHAnsi"/>
          <w:sz w:val="22"/>
          <w:szCs w:val="22"/>
        </w:rPr>
        <w:t>age points in the second quarter of 2018, went up to 8.1 percentage points in the third quarter.</w:t>
      </w:r>
      <w:r w:rsidR="004263DD" w:rsidRPr="002F0AEA">
        <w:rPr>
          <w:rFonts w:ascii="Palatino Linotype" w:hAnsi="Palatino Linotype" w:cstheme="minorHAnsi"/>
          <w:sz w:val="22"/>
          <w:szCs w:val="22"/>
        </w:rPr>
        <w:t xml:space="preserve"> </w:t>
      </w:r>
    </w:p>
    <w:p w14:paraId="5ED8E965" w14:textId="18B56B20" w:rsidR="00B37CD7" w:rsidRDefault="004263DD" w:rsidP="00515940">
      <w:pPr>
        <w:spacing w:line="360" w:lineRule="auto"/>
        <w:ind w:left="567" w:right="567"/>
        <w:jc w:val="both"/>
        <w:rPr>
          <w:rFonts w:ascii="Palatino Linotype" w:hAnsi="Palatino Linotype" w:cstheme="minorHAnsi"/>
          <w:sz w:val="22"/>
          <w:szCs w:val="22"/>
        </w:rPr>
      </w:pPr>
      <w:r w:rsidRPr="00F23F99">
        <w:rPr>
          <w:rFonts w:ascii="Palatino Linotype" w:hAnsi="Palatino Linotype" w:cstheme="minorHAnsi"/>
          <w:sz w:val="22"/>
          <w:szCs w:val="22"/>
        </w:rPr>
        <w:t>Since the growth rates for first</w:t>
      </w:r>
      <w:r w:rsidR="007A6F0F" w:rsidRPr="00F23F99">
        <w:rPr>
          <w:rFonts w:ascii="Palatino Linotype" w:hAnsi="Palatino Linotype" w:cstheme="minorHAnsi"/>
          <w:sz w:val="22"/>
          <w:szCs w:val="22"/>
        </w:rPr>
        <w:t xml:space="preserve"> three</w:t>
      </w:r>
      <w:r w:rsidRPr="00F23F99">
        <w:rPr>
          <w:rFonts w:ascii="Palatino Linotype" w:hAnsi="Palatino Linotype" w:cstheme="minorHAnsi"/>
          <w:sz w:val="22"/>
          <w:szCs w:val="22"/>
        </w:rPr>
        <w:t xml:space="preserve"> quarter</w:t>
      </w:r>
      <w:r w:rsidR="0005380F" w:rsidRPr="00F23F99">
        <w:rPr>
          <w:rFonts w:ascii="Palatino Linotype" w:hAnsi="Palatino Linotype" w:cstheme="minorHAnsi"/>
          <w:sz w:val="22"/>
          <w:szCs w:val="22"/>
        </w:rPr>
        <w:t>s</w:t>
      </w:r>
      <w:r w:rsidR="007A6F0F" w:rsidRPr="00F23F99">
        <w:rPr>
          <w:rFonts w:ascii="Palatino Linotype" w:hAnsi="Palatino Linotype" w:cstheme="minorHAnsi"/>
          <w:sz w:val="22"/>
          <w:szCs w:val="22"/>
        </w:rPr>
        <w:t xml:space="preserve"> of 2018 are 7.4 percent, 5.3 percent and 1.6 percent</w:t>
      </w:r>
      <w:r w:rsidR="00523C43">
        <w:rPr>
          <w:rFonts w:ascii="Palatino Linotype" w:hAnsi="Palatino Linotype" w:cstheme="minorHAnsi"/>
          <w:sz w:val="22"/>
          <w:szCs w:val="22"/>
        </w:rPr>
        <w:t>,</w:t>
      </w:r>
      <w:r w:rsidR="007A6F0F" w:rsidRPr="00F23F99">
        <w:rPr>
          <w:rFonts w:ascii="Palatino Linotype" w:hAnsi="Palatino Linotype" w:cstheme="minorHAnsi"/>
          <w:sz w:val="22"/>
          <w:szCs w:val="22"/>
        </w:rPr>
        <w:t xml:space="preserve"> respectively, </w:t>
      </w:r>
      <w:r w:rsidR="00523C43">
        <w:rPr>
          <w:rFonts w:ascii="Palatino Linotype" w:hAnsi="Palatino Linotype" w:cstheme="minorHAnsi"/>
          <w:sz w:val="22"/>
          <w:szCs w:val="22"/>
        </w:rPr>
        <w:t xml:space="preserve">the </w:t>
      </w:r>
      <w:r w:rsidR="007A6F0F" w:rsidRPr="00F23F99">
        <w:rPr>
          <w:rFonts w:ascii="Palatino Linotype" w:hAnsi="Palatino Linotype" w:cstheme="minorHAnsi"/>
          <w:sz w:val="22"/>
          <w:szCs w:val="22"/>
        </w:rPr>
        <w:t>growth rate</w:t>
      </w:r>
      <w:r w:rsidRPr="00F23F99">
        <w:rPr>
          <w:rFonts w:ascii="Palatino Linotype" w:hAnsi="Palatino Linotype" w:cstheme="minorHAnsi"/>
          <w:sz w:val="22"/>
          <w:szCs w:val="22"/>
        </w:rPr>
        <w:t xml:space="preserve"> for </w:t>
      </w:r>
      <w:r w:rsidR="007A6F0F" w:rsidRPr="00F23F99">
        <w:rPr>
          <w:rFonts w:ascii="Palatino Linotype" w:hAnsi="Palatino Linotype" w:cstheme="minorHAnsi"/>
          <w:sz w:val="22"/>
          <w:szCs w:val="22"/>
        </w:rPr>
        <w:t xml:space="preserve">the </w:t>
      </w:r>
      <w:r w:rsidRPr="00F23F99">
        <w:rPr>
          <w:rFonts w:ascii="Palatino Linotype" w:hAnsi="Palatino Linotype" w:cstheme="minorHAnsi"/>
          <w:sz w:val="22"/>
          <w:szCs w:val="22"/>
        </w:rPr>
        <w:t>last quarter</w:t>
      </w:r>
      <w:r w:rsidR="007A6F0F" w:rsidRPr="00F23F99">
        <w:rPr>
          <w:rFonts w:ascii="Palatino Linotype" w:hAnsi="Palatino Linotype" w:cstheme="minorHAnsi"/>
          <w:sz w:val="22"/>
          <w:szCs w:val="22"/>
        </w:rPr>
        <w:t xml:space="preserve"> have to be around zero</w:t>
      </w:r>
      <w:r w:rsidRPr="00F23F99">
        <w:rPr>
          <w:rFonts w:ascii="Palatino Linotype" w:hAnsi="Palatino Linotype" w:cstheme="minorHAnsi"/>
          <w:sz w:val="22"/>
          <w:szCs w:val="22"/>
        </w:rPr>
        <w:t xml:space="preserve"> in or</w:t>
      </w:r>
      <w:r w:rsidR="007A6F0F" w:rsidRPr="00F23F99">
        <w:rPr>
          <w:rFonts w:ascii="Palatino Linotype" w:hAnsi="Palatino Linotype" w:cstheme="minorHAnsi"/>
          <w:sz w:val="22"/>
          <w:szCs w:val="22"/>
        </w:rPr>
        <w:t>der to achieve the target of 3.8</w:t>
      </w:r>
      <w:r w:rsidRPr="00F23F99">
        <w:rPr>
          <w:rFonts w:ascii="Palatino Linotype" w:hAnsi="Palatino Linotype" w:cstheme="minorHAnsi"/>
          <w:sz w:val="22"/>
          <w:szCs w:val="22"/>
        </w:rPr>
        <w:t xml:space="preserve"> percent GDP growth projected in the 2018-2020 </w:t>
      </w:r>
      <w:r w:rsidR="007A6F0F" w:rsidRPr="00F23F99">
        <w:rPr>
          <w:rFonts w:ascii="Palatino Linotype" w:hAnsi="Palatino Linotype" w:cstheme="minorHAnsi"/>
          <w:sz w:val="22"/>
          <w:szCs w:val="22"/>
        </w:rPr>
        <w:t>New</w:t>
      </w:r>
      <w:r w:rsidRPr="00F23F99">
        <w:rPr>
          <w:rFonts w:ascii="Palatino Linotype" w:hAnsi="Palatino Linotype" w:cstheme="minorHAnsi"/>
          <w:sz w:val="22"/>
          <w:szCs w:val="22"/>
        </w:rPr>
        <w:t xml:space="preserve"> </w:t>
      </w:r>
      <w:r w:rsidR="007A6F0F" w:rsidRPr="00F23F99">
        <w:rPr>
          <w:rFonts w:ascii="Palatino Linotype" w:hAnsi="Palatino Linotype" w:cstheme="minorHAnsi"/>
          <w:sz w:val="22"/>
          <w:szCs w:val="22"/>
        </w:rPr>
        <w:t>Economy</w:t>
      </w:r>
      <w:r w:rsidRPr="00F23F99">
        <w:rPr>
          <w:rFonts w:ascii="Palatino Linotype" w:hAnsi="Palatino Linotype" w:cstheme="minorHAnsi"/>
          <w:sz w:val="22"/>
          <w:szCs w:val="22"/>
        </w:rPr>
        <w:t xml:space="preserve"> Program (</w:t>
      </w:r>
      <w:r w:rsidR="00BE6FC9" w:rsidRPr="00F23F99">
        <w:rPr>
          <w:rFonts w:ascii="Palatino Linotype" w:hAnsi="Palatino Linotype" w:cstheme="minorHAnsi"/>
          <w:sz w:val="22"/>
          <w:szCs w:val="22"/>
        </w:rPr>
        <w:t>NEP</w:t>
      </w:r>
      <w:r w:rsidRPr="00F23F99">
        <w:rPr>
          <w:rFonts w:ascii="Palatino Linotype" w:hAnsi="Palatino Linotype" w:cstheme="minorHAnsi"/>
          <w:sz w:val="22"/>
          <w:szCs w:val="22"/>
        </w:rPr>
        <w:t xml:space="preserve">).  </w:t>
      </w:r>
      <w:r w:rsidR="00A82E6E">
        <w:rPr>
          <w:rFonts w:ascii="Palatino Linotype" w:hAnsi="Palatino Linotype" w:cstheme="minorHAnsi"/>
          <w:sz w:val="22"/>
          <w:szCs w:val="22"/>
        </w:rPr>
        <w:t>Taking into account</w:t>
      </w:r>
      <w:r w:rsidR="00BE6FC9" w:rsidRPr="00F23F99">
        <w:rPr>
          <w:rFonts w:ascii="Palatino Linotype" w:hAnsi="Palatino Linotype" w:cstheme="minorHAnsi"/>
          <w:sz w:val="22"/>
          <w:szCs w:val="22"/>
        </w:rPr>
        <w:t xml:space="preserve"> the current indicators,</w:t>
      </w:r>
      <w:r w:rsidR="00523C43">
        <w:rPr>
          <w:rFonts w:ascii="Palatino Linotype" w:hAnsi="Palatino Linotype" w:cstheme="minorHAnsi"/>
          <w:sz w:val="22"/>
          <w:szCs w:val="22"/>
        </w:rPr>
        <w:t xml:space="preserve"> while reaching this target</w:t>
      </w:r>
      <w:r w:rsidR="00BE6FC9" w:rsidRPr="00F23F99">
        <w:rPr>
          <w:rFonts w:ascii="Palatino Linotype" w:hAnsi="Palatino Linotype" w:cstheme="minorHAnsi"/>
          <w:sz w:val="22"/>
          <w:szCs w:val="22"/>
        </w:rPr>
        <w:t xml:space="preserve"> </w:t>
      </w:r>
      <w:r w:rsidR="00523C43">
        <w:rPr>
          <w:rFonts w:ascii="Palatino Linotype" w:hAnsi="Palatino Linotype" w:cstheme="minorHAnsi"/>
          <w:sz w:val="22"/>
          <w:szCs w:val="22"/>
        </w:rPr>
        <w:t xml:space="preserve">still seems possible, </w:t>
      </w:r>
      <w:r w:rsidR="00BE6FC9">
        <w:rPr>
          <w:rFonts w:ascii="Palatino Linotype" w:hAnsi="Palatino Linotype" w:cstheme="minorHAnsi"/>
          <w:sz w:val="22"/>
          <w:szCs w:val="22"/>
        </w:rPr>
        <w:t xml:space="preserve">in case of a negative growth in </w:t>
      </w:r>
      <w:r w:rsidR="00F23F99">
        <w:rPr>
          <w:rFonts w:ascii="Palatino Linotype" w:hAnsi="Palatino Linotype" w:cstheme="minorHAnsi"/>
          <w:sz w:val="22"/>
          <w:szCs w:val="22"/>
        </w:rPr>
        <w:t xml:space="preserve">the fourth quarter of the year </w:t>
      </w:r>
      <w:r w:rsidR="00523C43">
        <w:rPr>
          <w:rFonts w:ascii="Palatino Linotype" w:hAnsi="Palatino Linotype" w:cstheme="minorHAnsi"/>
          <w:sz w:val="22"/>
          <w:szCs w:val="22"/>
        </w:rPr>
        <w:t>the economy is likely to miss it.</w:t>
      </w:r>
    </w:p>
    <w:p w14:paraId="40D323A7" w14:textId="77777777" w:rsidR="00515940" w:rsidRDefault="00515940" w:rsidP="00515940">
      <w:pPr>
        <w:spacing w:after="120" w:line="360" w:lineRule="auto"/>
        <w:ind w:right="567"/>
        <w:jc w:val="both"/>
        <w:rPr>
          <w:rFonts w:ascii="Palatino Linotype" w:hAnsi="Palatino Linotype" w:cstheme="minorHAnsi"/>
          <w:b/>
          <w:bCs/>
          <w:sz w:val="22"/>
          <w:szCs w:val="22"/>
        </w:rPr>
      </w:pPr>
    </w:p>
    <w:p w14:paraId="7A80EABE" w14:textId="77777777" w:rsidR="00515940" w:rsidRDefault="00515940" w:rsidP="00515940">
      <w:pPr>
        <w:spacing w:after="120" w:line="360" w:lineRule="auto"/>
        <w:ind w:right="567"/>
        <w:jc w:val="both"/>
        <w:rPr>
          <w:rFonts w:ascii="Palatino Linotype" w:hAnsi="Palatino Linotype" w:cstheme="minorHAnsi"/>
          <w:b/>
          <w:bCs/>
          <w:sz w:val="22"/>
          <w:szCs w:val="22"/>
        </w:rPr>
      </w:pPr>
    </w:p>
    <w:p w14:paraId="5EFD336B" w14:textId="7F0B95DB" w:rsidR="00E01513" w:rsidRDefault="00B53557" w:rsidP="00515940">
      <w:pPr>
        <w:spacing w:after="120" w:line="360" w:lineRule="auto"/>
        <w:ind w:right="567"/>
        <w:jc w:val="both"/>
        <w:rPr>
          <w:rFonts w:ascii="Palatino Linotype" w:hAnsi="Palatino Linotype" w:cstheme="minorHAnsi"/>
          <w:b/>
          <w:bCs/>
          <w:sz w:val="22"/>
          <w:szCs w:val="22"/>
        </w:rPr>
      </w:pPr>
      <w:r>
        <w:rPr>
          <w:rFonts w:ascii="Palatino Linotype" w:hAnsi="Palatino Linotype" w:cstheme="minorHAnsi"/>
          <w:b/>
          <w:bCs/>
          <w:sz w:val="22"/>
          <w:szCs w:val="22"/>
        </w:rPr>
        <w:lastRenderedPageBreak/>
        <w:t xml:space="preserve">Figure 1: </w:t>
      </w:r>
      <w:r w:rsidR="00AD2B46">
        <w:rPr>
          <w:rFonts w:ascii="Palatino Linotype" w:hAnsi="Palatino Linotype" w:cstheme="minorHAnsi"/>
          <w:b/>
          <w:bCs/>
          <w:sz w:val="22"/>
          <w:szCs w:val="22"/>
        </w:rPr>
        <w:t>C</w:t>
      </w:r>
      <w:r w:rsidR="00AD2B46" w:rsidRPr="00AD2B46">
        <w:rPr>
          <w:rFonts w:ascii="Palatino Linotype" w:hAnsi="Palatino Linotype" w:cstheme="minorHAnsi"/>
          <w:b/>
          <w:bCs/>
          <w:sz w:val="22"/>
          <w:szCs w:val="22"/>
        </w:rPr>
        <w:t xml:space="preserve">ontributions to growth (left) </w:t>
      </w:r>
      <w:r w:rsidR="00AD2B46">
        <w:rPr>
          <w:rFonts w:ascii="Palatino Linotype" w:hAnsi="Palatino Linotype" w:cstheme="minorHAnsi"/>
          <w:b/>
          <w:bCs/>
          <w:sz w:val="22"/>
          <w:szCs w:val="22"/>
        </w:rPr>
        <w:t>and y</w:t>
      </w:r>
      <w:r w:rsidR="00AD2B46" w:rsidRPr="00AD2B46">
        <w:rPr>
          <w:rFonts w:ascii="Palatino Linotype" w:hAnsi="Palatino Linotype" w:cstheme="minorHAnsi"/>
          <w:b/>
          <w:bCs/>
          <w:sz w:val="22"/>
          <w:szCs w:val="22"/>
        </w:rPr>
        <w:t>ear-on-year growth rates (right) of GDP components in 20</w:t>
      </w:r>
      <w:r w:rsidR="00AD2B46">
        <w:rPr>
          <w:rFonts w:ascii="Palatino Linotype" w:hAnsi="Palatino Linotype" w:cstheme="minorHAnsi"/>
          <w:b/>
          <w:bCs/>
          <w:sz w:val="22"/>
          <w:szCs w:val="22"/>
        </w:rPr>
        <w:t>18</w:t>
      </w:r>
      <w:r w:rsidR="00AD2B46" w:rsidRPr="00AD2B46">
        <w:rPr>
          <w:rFonts w:ascii="Palatino Linotype" w:hAnsi="Palatino Linotype" w:cstheme="minorHAnsi"/>
          <w:b/>
          <w:bCs/>
          <w:sz w:val="22"/>
          <w:szCs w:val="22"/>
        </w:rPr>
        <w:t xml:space="preserve"> Q</w:t>
      </w:r>
      <w:r w:rsidR="00A82E6E">
        <w:rPr>
          <w:rFonts w:ascii="Palatino Linotype" w:hAnsi="Palatino Linotype" w:cstheme="minorHAnsi"/>
          <w:b/>
          <w:bCs/>
          <w:sz w:val="22"/>
          <w:szCs w:val="22"/>
        </w:rPr>
        <w:t>3</w:t>
      </w:r>
    </w:p>
    <w:p w14:paraId="75865008" w14:textId="0A127B29" w:rsidR="00B53557" w:rsidRPr="00924CD9" w:rsidRDefault="0003593D" w:rsidP="00B53557">
      <w:pPr>
        <w:keepNext/>
        <w:ind w:left="-567" w:right="-567"/>
        <w:rPr>
          <w:rFonts w:ascii="Palatino Linotype" w:hAnsi="Palatino Linotype" w:cstheme="minorHAnsi"/>
        </w:rPr>
      </w:pPr>
      <w:r>
        <w:rPr>
          <w:noProof/>
          <w:lang w:val="en-GB" w:eastAsia="en-GB"/>
        </w:rPr>
        <w:drawing>
          <wp:inline distT="0" distB="0" distL="0" distR="0" wp14:anchorId="7E6F9130" wp14:editId="1D171289">
            <wp:extent cx="3190875" cy="2143125"/>
            <wp:effectExtent l="0" t="0" r="9525" b="9525"/>
            <wp:docPr id="2" name="Chart 2">
              <a:extLst xmlns:a="http://schemas.openxmlformats.org/drawingml/2006/main">
                <a:ext uri="{FF2B5EF4-FFF2-40B4-BE49-F238E27FC236}">
                  <a16:creationId xmlns:a16="http://schemas.microsoft.com/office/drawing/2014/main" id="{18BC373F-4370-4368-BF3E-E5C5B73E0A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53557" w:rsidRPr="00D56304">
        <w:rPr>
          <w:noProof/>
        </w:rPr>
        <w:t xml:space="preserve"> </w:t>
      </w:r>
      <w:r w:rsidR="001457A8">
        <w:rPr>
          <w:noProof/>
          <w:lang w:val="en-GB" w:eastAsia="en-GB"/>
        </w:rPr>
        <w:drawing>
          <wp:inline distT="0" distB="0" distL="0" distR="0" wp14:anchorId="020B7F95" wp14:editId="12105FCD">
            <wp:extent cx="3190875" cy="2152650"/>
            <wp:effectExtent l="0" t="0" r="9525" b="0"/>
            <wp:docPr id="3" name="Chart 3">
              <a:extLst xmlns:a="http://schemas.openxmlformats.org/drawingml/2006/main">
                <a:ext uri="{FF2B5EF4-FFF2-40B4-BE49-F238E27FC236}">
                  <a16:creationId xmlns:a16="http://schemas.microsoft.com/office/drawing/2014/main" id="{0D245A8B-5CBD-429E-AACF-D2D3B7321D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AD9677C" w:rsidR="00B53557" w:rsidRDefault="00B53557" w:rsidP="00B53557">
      <w:pPr>
        <w:keepNext/>
        <w:rPr>
          <w:rFonts w:ascii="Palatino Linotype" w:hAnsi="Palatino Linotype" w:cstheme="minorHAnsi"/>
          <w:sz w:val="16"/>
          <w:szCs w:val="16"/>
        </w:rPr>
      </w:pPr>
      <w:r w:rsidRPr="00A160F5">
        <w:rPr>
          <w:rFonts w:ascii="Palatino Linotype" w:hAnsi="Palatino Linotype" w:cstheme="minorHAnsi"/>
          <w:b/>
          <w:sz w:val="18"/>
          <w:szCs w:val="18"/>
        </w:rPr>
        <w:t>Source:</w:t>
      </w:r>
      <w:r w:rsidRPr="003E1EED">
        <w:rPr>
          <w:rFonts w:ascii="Palatino Linotype" w:hAnsi="Palatino Linotype" w:cstheme="minorHAnsi"/>
          <w:sz w:val="18"/>
          <w:szCs w:val="18"/>
        </w:rPr>
        <w:t xml:space="preserve"> T</w:t>
      </w:r>
      <w:r>
        <w:rPr>
          <w:rFonts w:ascii="Palatino Linotype" w:hAnsi="Palatino Linotype" w:cstheme="minorHAnsi"/>
          <w:sz w:val="18"/>
          <w:szCs w:val="18"/>
        </w:rPr>
        <w:t>urkStat</w:t>
      </w:r>
      <w:r w:rsidRPr="003E1EED">
        <w:rPr>
          <w:rFonts w:ascii="Palatino Linotype" w:hAnsi="Palatino Linotype" w:cstheme="minorHAnsi"/>
          <w:sz w:val="18"/>
          <w:szCs w:val="18"/>
        </w:rPr>
        <w:t>, Betam</w:t>
      </w:r>
      <w:r w:rsidRPr="00924CD9">
        <w:rPr>
          <w:rFonts w:ascii="Palatino Linotype" w:hAnsi="Palatino Linotype" w:cstheme="minorHAnsi"/>
          <w:sz w:val="16"/>
          <w:szCs w:val="16"/>
        </w:rPr>
        <w:t xml:space="preserve">. </w:t>
      </w:r>
    </w:p>
    <w:p w14:paraId="0163F371" w14:textId="2F8A0890" w:rsidR="00823236" w:rsidRDefault="00823236" w:rsidP="00B53557">
      <w:pPr>
        <w:keepNext/>
        <w:rPr>
          <w:rFonts w:ascii="Palatino Linotype" w:hAnsi="Palatino Linotype" w:cstheme="minorHAnsi"/>
        </w:rPr>
      </w:pPr>
    </w:p>
    <w:p w14:paraId="5D774E6F" w14:textId="77777777" w:rsidR="00E60BB7" w:rsidRPr="00924CD9" w:rsidRDefault="00E60BB7" w:rsidP="00B53557">
      <w:pPr>
        <w:keepNext/>
        <w:rPr>
          <w:rFonts w:ascii="Palatino Linotype" w:hAnsi="Palatino Linotype" w:cstheme="minorHAnsi"/>
        </w:rPr>
      </w:pPr>
    </w:p>
    <w:p w14:paraId="11E06A0B" w14:textId="427BCA3F" w:rsidR="00823236" w:rsidRPr="00823236" w:rsidRDefault="000F099A" w:rsidP="00823236">
      <w:pPr>
        <w:pStyle w:val="NormalWeb"/>
        <w:spacing w:before="0" w:beforeAutospacing="0" w:after="0" w:afterAutospacing="0" w:line="360" w:lineRule="auto"/>
        <w:ind w:right="79"/>
        <w:jc w:val="both"/>
        <w:rPr>
          <w:rFonts w:ascii="Palatino Linotype" w:hAnsi="Palatino Linotype" w:cstheme="minorHAnsi"/>
          <w:b/>
          <w:sz w:val="22"/>
          <w:szCs w:val="22"/>
        </w:rPr>
      </w:pPr>
      <w:r>
        <w:rPr>
          <w:rFonts w:ascii="Palatino Linotype" w:hAnsi="Palatino Linotype" w:cstheme="minorHAnsi"/>
          <w:b/>
          <w:bCs/>
          <w:sz w:val="22"/>
          <w:szCs w:val="22"/>
        </w:rPr>
        <w:t>P</w:t>
      </w:r>
      <w:r w:rsidR="00823236" w:rsidRPr="00823236">
        <w:rPr>
          <w:rFonts w:ascii="Palatino Linotype" w:hAnsi="Palatino Linotype" w:cstheme="minorHAnsi"/>
          <w:b/>
          <w:sz w:val="22"/>
          <w:szCs w:val="22"/>
        </w:rPr>
        <w:t>rivate</w:t>
      </w:r>
      <w:r w:rsidR="00823236">
        <w:rPr>
          <w:rFonts w:ascii="Palatino Linotype" w:hAnsi="Palatino Linotype" w:cstheme="minorHAnsi"/>
          <w:b/>
          <w:sz w:val="22"/>
          <w:szCs w:val="22"/>
        </w:rPr>
        <w:t xml:space="preserve"> consumption</w:t>
      </w:r>
      <w:r w:rsidR="00823236" w:rsidRPr="00823236">
        <w:rPr>
          <w:rFonts w:ascii="Palatino Linotype" w:hAnsi="Palatino Linotype" w:cstheme="minorHAnsi"/>
          <w:b/>
          <w:sz w:val="22"/>
          <w:szCs w:val="22"/>
        </w:rPr>
        <w:t xml:space="preserve"> </w:t>
      </w:r>
      <w:r>
        <w:rPr>
          <w:rFonts w:ascii="Palatino Linotype" w:hAnsi="Palatino Linotype" w:cstheme="minorHAnsi"/>
          <w:b/>
          <w:sz w:val="22"/>
          <w:szCs w:val="22"/>
        </w:rPr>
        <w:t>growth keeps declining</w:t>
      </w:r>
    </w:p>
    <w:p w14:paraId="46B502D9" w14:textId="59E200E9" w:rsidR="00C65542" w:rsidRPr="00982F71" w:rsidRDefault="00C65542" w:rsidP="00C65542">
      <w:pPr>
        <w:spacing w:line="360" w:lineRule="auto"/>
        <w:jc w:val="both"/>
        <w:rPr>
          <w:rFonts w:ascii="Palatino Linotype" w:hAnsi="Palatino Linotype" w:cstheme="minorHAnsi"/>
          <w:sz w:val="22"/>
          <w:szCs w:val="22"/>
        </w:rPr>
      </w:pPr>
      <w:r w:rsidRPr="00982F71">
        <w:rPr>
          <w:rFonts w:ascii="Palatino Linotype" w:hAnsi="Palatino Linotype" w:cstheme="minorHAnsi"/>
          <w:sz w:val="22"/>
          <w:szCs w:val="22"/>
        </w:rPr>
        <w:t xml:space="preserve">According to the same quarter of last year, consumption </w:t>
      </w:r>
      <w:r>
        <w:rPr>
          <w:rFonts w:ascii="Palatino Linotype" w:hAnsi="Palatino Linotype" w:cstheme="minorHAnsi"/>
          <w:sz w:val="22"/>
          <w:szCs w:val="22"/>
        </w:rPr>
        <w:t xml:space="preserve">growth </w:t>
      </w:r>
      <w:r w:rsidRPr="00982F71">
        <w:rPr>
          <w:rFonts w:ascii="Palatino Linotype" w:hAnsi="Palatino Linotype" w:cstheme="minorHAnsi"/>
          <w:sz w:val="22"/>
          <w:szCs w:val="22"/>
        </w:rPr>
        <w:t xml:space="preserve">which </w:t>
      </w:r>
      <w:r>
        <w:rPr>
          <w:rFonts w:ascii="Palatino Linotype" w:hAnsi="Palatino Linotype" w:cstheme="minorHAnsi"/>
          <w:sz w:val="22"/>
          <w:szCs w:val="22"/>
        </w:rPr>
        <w:t xml:space="preserve">was </w:t>
      </w:r>
      <w:r w:rsidR="00381E85">
        <w:rPr>
          <w:rFonts w:ascii="Palatino Linotype" w:hAnsi="Palatino Linotype" w:cstheme="minorHAnsi"/>
          <w:sz w:val="22"/>
          <w:szCs w:val="22"/>
        </w:rPr>
        <w:t>6.4</w:t>
      </w:r>
      <w:r w:rsidRPr="00982F71">
        <w:rPr>
          <w:rFonts w:ascii="Palatino Linotype" w:hAnsi="Palatino Linotype" w:cstheme="minorHAnsi"/>
          <w:sz w:val="22"/>
          <w:szCs w:val="22"/>
        </w:rPr>
        <w:t xml:space="preserve"> percent in the </w:t>
      </w:r>
      <w:r w:rsidR="00381E85">
        <w:rPr>
          <w:rFonts w:ascii="Palatino Linotype" w:hAnsi="Palatino Linotype" w:cstheme="minorHAnsi"/>
          <w:sz w:val="22"/>
          <w:szCs w:val="22"/>
        </w:rPr>
        <w:t>second</w:t>
      </w:r>
      <w:r w:rsidRPr="00982F71">
        <w:rPr>
          <w:rFonts w:ascii="Palatino Linotype" w:hAnsi="Palatino Linotype" w:cstheme="minorHAnsi"/>
          <w:sz w:val="22"/>
          <w:szCs w:val="22"/>
        </w:rPr>
        <w:t xml:space="preserve"> quarter</w:t>
      </w:r>
      <w:r w:rsidR="007539A6">
        <w:rPr>
          <w:rFonts w:ascii="Palatino Linotype" w:hAnsi="Palatino Linotype" w:cstheme="minorHAnsi"/>
          <w:sz w:val="22"/>
          <w:szCs w:val="22"/>
        </w:rPr>
        <w:t xml:space="preserve"> of 2018</w:t>
      </w:r>
      <w:r w:rsidRPr="00982F71">
        <w:rPr>
          <w:rFonts w:ascii="Palatino Linotype" w:hAnsi="Palatino Linotype" w:cstheme="minorHAnsi"/>
          <w:sz w:val="22"/>
          <w:szCs w:val="22"/>
        </w:rPr>
        <w:t xml:space="preserve">, </w:t>
      </w:r>
      <w:r w:rsidR="003D6EC3">
        <w:rPr>
          <w:rFonts w:ascii="Palatino Linotype" w:hAnsi="Palatino Linotype" w:cstheme="minorHAnsi"/>
          <w:sz w:val="22"/>
          <w:szCs w:val="22"/>
        </w:rPr>
        <w:t>is</w:t>
      </w:r>
      <w:r w:rsidRPr="00982F71">
        <w:rPr>
          <w:rFonts w:ascii="Palatino Linotype" w:hAnsi="Palatino Linotype" w:cstheme="minorHAnsi"/>
          <w:sz w:val="22"/>
          <w:szCs w:val="22"/>
        </w:rPr>
        <w:t xml:space="preserve"> </w:t>
      </w:r>
      <w:r w:rsidR="00381E85">
        <w:rPr>
          <w:rFonts w:ascii="Palatino Linotype" w:hAnsi="Palatino Linotype" w:cstheme="minorHAnsi"/>
          <w:sz w:val="22"/>
          <w:szCs w:val="22"/>
        </w:rPr>
        <w:t>1.1</w:t>
      </w:r>
      <w:r w:rsidRPr="00982F71">
        <w:rPr>
          <w:rFonts w:ascii="Palatino Linotype" w:hAnsi="Palatino Linotype" w:cstheme="minorHAnsi"/>
          <w:sz w:val="22"/>
          <w:szCs w:val="22"/>
        </w:rPr>
        <w:t xml:space="preserve"> percent in the </w:t>
      </w:r>
      <w:r w:rsidR="003D6EC3">
        <w:rPr>
          <w:rFonts w:ascii="Palatino Linotype" w:hAnsi="Palatino Linotype" w:cstheme="minorHAnsi"/>
          <w:sz w:val="22"/>
          <w:szCs w:val="22"/>
        </w:rPr>
        <w:t>thir</w:t>
      </w:r>
      <w:r w:rsidR="007539A6">
        <w:rPr>
          <w:rFonts w:ascii="Palatino Linotype" w:hAnsi="Palatino Linotype" w:cstheme="minorHAnsi"/>
          <w:sz w:val="22"/>
          <w:szCs w:val="22"/>
        </w:rPr>
        <w:t>d</w:t>
      </w:r>
      <w:r w:rsidRPr="00982F71">
        <w:rPr>
          <w:rFonts w:ascii="Palatino Linotype" w:hAnsi="Palatino Linotype" w:cstheme="minorHAnsi"/>
          <w:sz w:val="22"/>
          <w:szCs w:val="22"/>
        </w:rPr>
        <w:t xml:space="preserve"> quarter. </w:t>
      </w:r>
      <w:r w:rsidR="00381E85">
        <w:rPr>
          <w:rFonts w:ascii="Palatino Linotype" w:hAnsi="Palatino Linotype" w:cstheme="minorHAnsi"/>
          <w:sz w:val="22"/>
          <w:szCs w:val="22"/>
        </w:rPr>
        <w:t>Its</w:t>
      </w:r>
      <w:r w:rsidR="007539A6">
        <w:rPr>
          <w:rFonts w:ascii="Palatino Linotype" w:hAnsi="Palatino Linotype" w:cstheme="minorHAnsi"/>
          <w:sz w:val="22"/>
          <w:szCs w:val="22"/>
        </w:rPr>
        <w:t xml:space="preserve"> c</w:t>
      </w:r>
      <w:r w:rsidR="00B903AE">
        <w:rPr>
          <w:rFonts w:ascii="Palatino Linotype" w:hAnsi="Palatino Linotype" w:cstheme="minorHAnsi"/>
          <w:sz w:val="22"/>
          <w:szCs w:val="22"/>
        </w:rPr>
        <w:t>ontribution</w:t>
      </w:r>
      <w:r>
        <w:rPr>
          <w:rFonts w:ascii="Palatino Linotype" w:hAnsi="Palatino Linotype" w:cstheme="minorHAnsi"/>
          <w:sz w:val="22"/>
          <w:szCs w:val="22"/>
        </w:rPr>
        <w:t xml:space="preserve"> to GDP growth </w:t>
      </w:r>
      <w:r w:rsidR="00381E85">
        <w:rPr>
          <w:rFonts w:ascii="Palatino Linotype" w:hAnsi="Palatino Linotype" w:cstheme="minorHAnsi"/>
          <w:sz w:val="22"/>
          <w:szCs w:val="22"/>
        </w:rPr>
        <w:t>decreased from 3.8 to 0.6</w:t>
      </w:r>
      <w:r w:rsidR="007539A6">
        <w:rPr>
          <w:rFonts w:ascii="Palatino Linotype" w:hAnsi="Palatino Linotype" w:cstheme="minorHAnsi"/>
          <w:sz w:val="22"/>
          <w:szCs w:val="22"/>
        </w:rPr>
        <w:t xml:space="preserve"> percentage points </w:t>
      </w:r>
      <w:r w:rsidRPr="00041E8F">
        <w:rPr>
          <w:rFonts w:ascii="Palatino Linotype" w:hAnsi="Palatino Linotype" w:cstheme="minorHAnsi"/>
          <w:sz w:val="22"/>
          <w:szCs w:val="22"/>
        </w:rPr>
        <w:t>(Table 1)</w:t>
      </w:r>
      <w:r>
        <w:rPr>
          <w:rFonts w:ascii="Palatino Linotype" w:hAnsi="Palatino Linotype" w:cstheme="minorHAnsi"/>
          <w:sz w:val="22"/>
          <w:szCs w:val="22"/>
        </w:rPr>
        <w:t>.</w:t>
      </w:r>
      <w:r w:rsidRPr="00982F71">
        <w:rPr>
          <w:rFonts w:ascii="Palatino Linotype" w:hAnsi="Palatino Linotype" w:cstheme="minorHAnsi"/>
          <w:sz w:val="22"/>
          <w:szCs w:val="22"/>
        </w:rPr>
        <w:t xml:space="preserve"> </w:t>
      </w:r>
      <w:r>
        <w:rPr>
          <w:rFonts w:ascii="Palatino Linotype" w:hAnsi="Palatino Linotype" w:cstheme="minorHAnsi"/>
          <w:sz w:val="22"/>
          <w:szCs w:val="22"/>
        </w:rPr>
        <w:t>W</w:t>
      </w:r>
      <w:r w:rsidRPr="00982F71">
        <w:rPr>
          <w:rFonts w:ascii="Palatino Linotype" w:hAnsi="Palatino Linotype" w:cstheme="minorHAnsi"/>
          <w:sz w:val="22"/>
          <w:szCs w:val="22"/>
        </w:rPr>
        <w:t xml:space="preserve">hen we look at the </w:t>
      </w:r>
      <w:r w:rsidRPr="007D787D">
        <w:rPr>
          <w:rFonts w:ascii="Palatino Linotype" w:hAnsi="Palatino Linotype" w:cstheme="minorHAnsi"/>
          <w:sz w:val="22"/>
          <w:szCs w:val="22"/>
        </w:rPr>
        <w:t xml:space="preserve">seasonally and calendar day adjusted </w:t>
      </w:r>
      <w:r>
        <w:rPr>
          <w:rFonts w:ascii="Palatino Linotype" w:hAnsi="Palatino Linotype" w:cstheme="minorHAnsi"/>
          <w:sz w:val="22"/>
          <w:szCs w:val="22"/>
        </w:rPr>
        <w:t>data,</w:t>
      </w:r>
      <w:r w:rsidRPr="007D787D">
        <w:rPr>
          <w:rFonts w:ascii="Palatino Linotype" w:hAnsi="Palatino Linotype" w:cstheme="minorHAnsi"/>
          <w:sz w:val="22"/>
          <w:szCs w:val="22"/>
        </w:rPr>
        <w:t xml:space="preserve"> </w:t>
      </w:r>
      <w:r w:rsidRPr="00F9263F">
        <w:rPr>
          <w:rFonts w:ascii="Palatino Linotype" w:hAnsi="Palatino Linotype" w:cstheme="minorHAnsi"/>
          <w:sz w:val="22"/>
          <w:szCs w:val="22"/>
        </w:rPr>
        <w:t xml:space="preserve">we see that </w:t>
      </w:r>
      <w:r>
        <w:rPr>
          <w:rFonts w:ascii="Palatino Linotype" w:hAnsi="Palatino Linotype" w:cstheme="minorHAnsi"/>
          <w:sz w:val="22"/>
          <w:szCs w:val="22"/>
        </w:rPr>
        <w:t xml:space="preserve">private </w:t>
      </w:r>
      <w:r w:rsidRPr="00F9263F">
        <w:rPr>
          <w:rFonts w:ascii="Palatino Linotype" w:hAnsi="Palatino Linotype" w:cstheme="minorHAnsi"/>
          <w:sz w:val="22"/>
          <w:szCs w:val="22"/>
        </w:rPr>
        <w:t xml:space="preserve">consumption </w:t>
      </w:r>
      <w:r w:rsidR="00831515">
        <w:rPr>
          <w:rFonts w:ascii="Palatino Linotype" w:hAnsi="Palatino Linotype" w:cstheme="minorHAnsi"/>
          <w:sz w:val="22"/>
          <w:szCs w:val="22"/>
        </w:rPr>
        <w:t>decreased by 3.9 percent and</w:t>
      </w:r>
      <w:r w:rsidRPr="00F9263F">
        <w:rPr>
          <w:rFonts w:ascii="Palatino Linotype" w:hAnsi="Palatino Linotype" w:cstheme="minorHAnsi"/>
          <w:sz w:val="22"/>
          <w:szCs w:val="22"/>
        </w:rPr>
        <w:t xml:space="preserve"> </w:t>
      </w:r>
      <w:r w:rsidR="001F22EF">
        <w:rPr>
          <w:rFonts w:ascii="Palatino Linotype" w:hAnsi="Palatino Linotype" w:cstheme="minorHAnsi"/>
          <w:sz w:val="22"/>
          <w:szCs w:val="22"/>
        </w:rPr>
        <w:t>dragged economic growth down</w:t>
      </w:r>
      <w:r w:rsidRPr="00F9263F">
        <w:rPr>
          <w:rFonts w:ascii="Palatino Linotype" w:hAnsi="Palatino Linotype" w:cstheme="minorHAnsi"/>
          <w:sz w:val="22"/>
          <w:szCs w:val="22"/>
        </w:rPr>
        <w:t xml:space="preserve"> </w:t>
      </w:r>
      <w:r w:rsidR="00831515">
        <w:rPr>
          <w:rFonts w:ascii="Palatino Linotype" w:hAnsi="Palatino Linotype" w:cstheme="minorHAnsi"/>
          <w:sz w:val="22"/>
          <w:szCs w:val="22"/>
        </w:rPr>
        <w:t xml:space="preserve">compared to the third quarter of the previous year </w:t>
      </w:r>
      <w:r w:rsidRPr="007D787D">
        <w:rPr>
          <w:rFonts w:ascii="Palatino Linotype" w:hAnsi="Palatino Linotype" w:cstheme="minorHAnsi"/>
          <w:sz w:val="22"/>
          <w:szCs w:val="22"/>
        </w:rPr>
        <w:t xml:space="preserve">(Table 2). </w:t>
      </w:r>
    </w:p>
    <w:p w14:paraId="242C59A7" w14:textId="77777777" w:rsidR="007539A6" w:rsidRDefault="007539A6" w:rsidP="000D63E2">
      <w:pPr>
        <w:pStyle w:val="NormalWeb"/>
        <w:spacing w:before="0" w:beforeAutospacing="0" w:after="120" w:afterAutospacing="0" w:line="360" w:lineRule="auto"/>
        <w:ind w:right="79"/>
        <w:rPr>
          <w:rFonts w:ascii="Palatino Linotype" w:hAnsi="Palatino Linotype" w:cstheme="minorHAnsi"/>
          <w:sz w:val="18"/>
          <w:szCs w:val="18"/>
        </w:rPr>
      </w:pPr>
    </w:p>
    <w:p w14:paraId="54782745" w14:textId="3CFA3692" w:rsidR="007539A6" w:rsidRDefault="007539A6" w:rsidP="007539A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Pr>
          <w:rFonts w:ascii="Palatino Linotype" w:hAnsi="Palatino Linotype" w:cstheme="minorHAnsi"/>
          <w:b/>
          <w:bCs/>
          <w:sz w:val="22"/>
          <w:szCs w:val="22"/>
        </w:rPr>
        <w:t>Growth rates and contributions to gro</w:t>
      </w:r>
      <w:r w:rsidR="00F97771">
        <w:rPr>
          <w:rFonts w:ascii="Palatino Linotype" w:hAnsi="Palatino Linotype" w:cstheme="minorHAnsi"/>
          <w:b/>
          <w:bCs/>
          <w:sz w:val="22"/>
          <w:szCs w:val="22"/>
        </w:rPr>
        <w:t>wth of GDP components in 2018 Q2 and 2018 Q3</w:t>
      </w:r>
      <w:r>
        <w:rPr>
          <w:rFonts w:ascii="Palatino Linotype" w:hAnsi="Palatino Linotype" w:cstheme="minorHAnsi"/>
          <w:b/>
          <w:bCs/>
          <w:sz w:val="22"/>
          <w:szCs w:val="22"/>
        </w:rPr>
        <w:t xml:space="preserve"> compared to same quarter of last year</w:t>
      </w:r>
    </w:p>
    <w:tbl>
      <w:tblPr>
        <w:tblW w:w="8033" w:type="dxa"/>
        <w:tblInd w:w="108" w:type="dxa"/>
        <w:tblLook w:val="04A0" w:firstRow="1" w:lastRow="0" w:firstColumn="1" w:lastColumn="0" w:noHBand="0" w:noVBand="1"/>
      </w:tblPr>
      <w:tblGrid>
        <w:gridCol w:w="1893"/>
        <w:gridCol w:w="1252"/>
        <w:gridCol w:w="1828"/>
        <w:gridCol w:w="1243"/>
        <w:gridCol w:w="1817"/>
      </w:tblGrid>
      <w:tr w:rsidR="001457A8" w:rsidRPr="001457A8" w14:paraId="346C52E0" w14:textId="77777777" w:rsidTr="001457A8">
        <w:trPr>
          <w:trHeight w:val="241"/>
        </w:trPr>
        <w:tc>
          <w:tcPr>
            <w:tcW w:w="1893" w:type="dxa"/>
            <w:tcBorders>
              <w:top w:val="nil"/>
              <w:left w:val="nil"/>
              <w:bottom w:val="nil"/>
              <w:right w:val="nil"/>
            </w:tcBorders>
            <w:shd w:val="clear" w:color="000000" w:fill="FFFFFF"/>
            <w:noWrap/>
            <w:vAlign w:val="bottom"/>
            <w:hideMark/>
          </w:tcPr>
          <w:p w14:paraId="454FD431"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 </w:t>
            </w:r>
          </w:p>
        </w:tc>
        <w:tc>
          <w:tcPr>
            <w:tcW w:w="308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28C32F2"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2018Q2</w:t>
            </w:r>
          </w:p>
        </w:tc>
        <w:tc>
          <w:tcPr>
            <w:tcW w:w="3060" w:type="dxa"/>
            <w:gridSpan w:val="2"/>
            <w:tcBorders>
              <w:top w:val="single" w:sz="4" w:space="0" w:color="auto"/>
              <w:left w:val="nil"/>
              <w:bottom w:val="single" w:sz="4" w:space="0" w:color="auto"/>
              <w:right w:val="nil"/>
            </w:tcBorders>
            <w:shd w:val="clear" w:color="000000" w:fill="FFFFFF"/>
            <w:noWrap/>
            <w:vAlign w:val="bottom"/>
            <w:hideMark/>
          </w:tcPr>
          <w:p w14:paraId="778B41E8"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2018Q3</w:t>
            </w:r>
          </w:p>
        </w:tc>
      </w:tr>
      <w:tr w:rsidR="001457A8" w:rsidRPr="001457A8" w14:paraId="0E3AEF3D" w14:textId="77777777" w:rsidTr="001457A8">
        <w:trPr>
          <w:trHeight w:val="241"/>
        </w:trPr>
        <w:tc>
          <w:tcPr>
            <w:tcW w:w="1893" w:type="dxa"/>
            <w:tcBorders>
              <w:top w:val="nil"/>
              <w:left w:val="nil"/>
              <w:bottom w:val="nil"/>
              <w:right w:val="nil"/>
            </w:tcBorders>
            <w:shd w:val="clear" w:color="000000" w:fill="FFFFFF"/>
            <w:noWrap/>
            <w:vAlign w:val="bottom"/>
            <w:hideMark/>
          </w:tcPr>
          <w:p w14:paraId="3AB41CF0"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 </w:t>
            </w:r>
          </w:p>
        </w:tc>
        <w:tc>
          <w:tcPr>
            <w:tcW w:w="1252" w:type="dxa"/>
            <w:tcBorders>
              <w:top w:val="nil"/>
              <w:left w:val="single" w:sz="4" w:space="0" w:color="auto"/>
              <w:bottom w:val="single" w:sz="4" w:space="0" w:color="auto"/>
              <w:right w:val="nil"/>
            </w:tcBorders>
            <w:shd w:val="clear" w:color="000000" w:fill="FFFFFF"/>
            <w:noWrap/>
            <w:vAlign w:val="bottom"/>
            <w:hideMark/>
          </w:tcPr>
          <w:p w14:paraId="2AC6FA8E"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Change (%)</w:t>
            </w:r>
          </w:p>
        </w:tc>
        <w:tc>
          <w:tcPr>
            <w:tcW w:w="1828" w:type="dxa"/>
            <w:tcBorders>
              <w:top w:val="nil"/>
              <w:left w:val="nil"/>
              <w:bottom w:val="nil"/>
              <w:right w:val="single" w:sz="4" w:space="0" w:color="auto"/>
            </w:tcBorders>
            <w:shd w:val="clear" w:color="000000" w:fill="FFFFFF"/>
            <w:noWrap/>
            <w:vAlign w:val="bottom"/>
            <w:hideMark/>
          </w:tcPr>
          <w:p w14:paraId="2E86EB7C"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Contribution (%)</w:t>
            </w:r>
          </w:p>
        </w:tc>
        <w:tc>
          <w:tcPr>
            <w:tcW w:w="1243" w:type="dxa"/>
            <w:tcBorders>
              <w:top w:val="nil"/>
              <w:left w:val="nil"/>
              <w:bottom w:val="nil"/>
              <w:right w:val="nil"/>
            </w:tcBorders>
            <w:shd w:val="clear" w:color="000000" w:fill="FFFFFF"/>
            <w:noWrap/>
            <w:vAlign w:val="bottom"/>
            <w:hideMark/>
          </w:tcPr>
          <w:p w14:paraId="0904BBFB"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Change (%)</w:t>
            </w:r>
          </w:p>
        </w:tc>
        <w:tc>
          <w:tcPr>
            <w:tcW w:w="1817" w:type="dxa"/>
            <w:tcBorders>
              <w:top w:val="nil"/>
              <w:left w:val="nil"/>
              <w:bottom w:val="nil"/>
              <w:right w:val="nil"/>
            </w:tcBorders>
            <w:shd w:val="clear" w:color="000000" w:fill="FFFFFF"/>
            <w:noWrap/>
            <w:vAlign w:val="bottom"/>
            <w:hideMark/>
          </w:tcPr>
          <w:p w14:paraId="15AC4E0C"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Contribution (%)</w:t>
            </w:r>
          </w:p>
        </w:tc>
      </w:tr>
      <w:tr w:rsidR="001457A8" w:rsidRPr="001457A8" w14:paraId="79F83E80" w14:textId="77777777" w:rsidTr="001457A8">
        <w:trPr>
          <w:trHeight w:val="241"/>
        </w:trPr>
        <w:tc>
          <w:tcPr>
            <w:tcW w:w="1893" w:type="dxa"/>
            <w:tcBorders>
              <w:top w:val="single" w:sz="4" w:space="0" w:color="auto"/>
              <w:left w:val="nil"/>
              <w:bottom w:val="nil"/>
              <w:right w:val="nil"/>
            </w:tcBorders>
            <w:shd w:val="clear" w:color="000000" w:fill="FFFFFF"/>
            <w:noWrap/>
            <w:vAlign w:val="bottom"/>
            <w:hideMark/>
          </w:tcPr>
          <w:p w14:paraId="05F8B894"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Consumption</w:t>
            </w:r>
          </w:p>
        </w:tc>
        <w:tc>
          <w:tcPr>
            <w:tcW w:w="1252" w:type="dxa"/>
            <w:tcBorders>
              <w:top w:val="nil"/>
              <w:left w:val="single" w:sz="4" w:space="0" w:color="auto"/>
              <w:bottom w:val="nil"/>
              <w:right w:val="nil"/>
            </w:tcBorders>
            <w:shd w:val="clear" w:color="000000" w:fill="FFFFFF"/>
            <w:noWrap/>
            <w:vAlign w:val="bottom"/>
            <w:hideMark/>
          </w:tcPr>
          <w:p w14:paraId="31CDA8D5"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6.4</w:t>
            </w:r>
          </w:p>
        </w:tc>
        <w:tc>
          <w:tcPr>
            <w:tcW w:w="1828" w:type="dxa"/>
            <w:tcBorders>
              <w:top w:val="single" w:sz="4" w:space="0" w:color="auto"/>
              <w:left w:val="nil"/>
              <w:bottom w:val="nil"/>
              <w:right w:val="single" w:sz="4" w:space="0" w:color="auto"/>
            </w:tcBorders>
            <w:shd w:val="clear" w:color="000000" w:fill="FFFFFF"/>
            <w:noWrap/>
            <w:vAlign w:val="bottom"/>
            <w:hideMark/>
          </w:tcPr>
          <w:p w14:paraId="39D2CD85"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3.8</w:t>
            </w:r>
          </w:p>
        </w:tc>
        <w:tc>
          <w:tcPr>
            <w:tcW w:w="1243" w:type="dxa"/>
            <w:tcBorders>
              <w:top w:val="single" w:sz="4" w:space="0" w:color="auto"/>
              <w:left w:val="nil"/>
              <w:bottom w:val="nil"/>
              <w:right w:val="nil"/>
            </w:tcBorders>
            <w:shd w:val="clear" w:color="000000" w:fill="FFFFFF"/>
            <w:noWrap/>
            <w:vAlign w:val="bottom"/>
            <w:hideMark/>
          </w:tcPr>
          <w:p w14:paraId="67232E7F"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1.1</w:t>
            </w:r>
          </w:p>
        </w:tc>
        <w:tc>
          <w:tcPr>
            <w:tcW w:w="1817" w:type="dxa"/>
            <w:tcBorders>
              <w:top w:val="single" w:sz="4" w:space="0" w:color="auto"/>
              <w:left w:val="nil"/>
              <w:bottom w:val="nil"/>
              <w:right w:val="nil"/>
            </w:tcBorders>
            <w:shd w:val="clear" w:color="000000" w:fill="FFFFFF"/>
            <w:noWrap/>
            <w:vAlign w:val="bottom"/>
            <w:hideMark/>
          </w:tcPr>
          <w:p w14:paraId="4BBBAD68"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0.6</w:t>
            </w:r>
          </w:p>
        </w:tc>
      </w:tr>
      <w:tr w:rsidR="001457A8" w:rsidRPr="001457A8" w14:paraId="5D5DD24A" w14:textId="77777777" w:rsidTr="001457A8">
        <w:trPr>
          <w:trHeight w:val="241"/>
        </w:trPr>
        <w:tc>
          <w:tcPr>
            <w:tcW w:w="1893" w:type="dxa"/>
            <w:tcBorders>
              <w:top w:val="nil"/>
              <w:left w:val="nil"/>
              <w:bottom w:val="nil"/>
              <w:right w:val="nil"/>
            </w:tcBorders>
            <w:shd w:val="clear" w:color="000000" w:fill="FFFFFF"/>
            <w:noWrap/>
            <w:vAlign w:val="bottom"/>
            <w:hideMark/>
          </w:tcPr>
          <w:p w14:paraId="4382BEE5"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Government Spending</w:t>
            </w:r>
          </w:p>
        </w:tc>
        <w:tc>
          <w:tcPr>
            <w:tcW w:w="1252" w:type="dxa"/>
            <w:tcBorders>
              <w:top w:val="nil"/>
              <w:left w:val="single" w:sz="4" w:space="0" w:color="auto"/>
              <w:bottom w:val="nil"/>
              <w:right w:val="nil"/>
            </w:tcBorders>
            <w:shd w:val="clear" w:color="000000" w:fill="FFFFFF"/>
            <w:noWrap/>
            <w:vAlign w:val="bottom"/>
            <w:hideMark/>
          </w:tcPr>
          <w:p w14:paraId="09E21D8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7.8</w:t>
            </w:r>
          </w:p>
        </w:tc>
        <w:tc>
          <w:tcPr>
            <w:tcW w:w="1828" w:type="dxa"/>
            <w:tcBorders>
              <w:top w:val="nil"/>
              <w:left w:val="nil"/>
              <w:bottom w:val="nil"/>
              <w:right w:val="single" w:sz="4" w:space="0" w:color="auto"/>
            </w:tcBorders>
            <w:shd w:val="clear" w:color="000000" w:fill="FFFFFF"/>
            <w:noWrap/>
            <w:vAlign w:val="bottom"/>
            <w:hideMark/>
          </w:tcPr>
          <w:p w14:paraId="42947334"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1.1</w:t>
            </w:r>
          </w:p>
        </w:tc>
        <w:tc>
          <w:tcPr>
            <w:tcW w:w="1243" w:type="dxa"/>
            <w:tcBorders>
              <w:top w:val="nil"/>
              <w:left w:val="nil"/>
              <w:bottom w:val="nil"/>
              <w:right w:val="nil"/>
            </w:tcBorders>
            <w:shd w:val="clear" w:color="000000" w:fill="FFFFFF"/>
            <w:noWrap/>
            <w:vAlign w:val="bottom"/>
            <w:hideMark/>
          </w:tcPr>
          <w:p w14:paraId="54146895"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7.5</w:t>
            </w:r>
          </w:p>
        </w:tc>
        <w:tc>
          <w:tcPr>
            <w:tcW w:w="1817" w:type="dxa"/>
            <w:tcBorders>
              <w:top w:val="nil"/>
              <w:left w:val="nil"/>
              <w:bottom w:val="nil"/>
              <w:right w:val="nil"/>
            </w:tcBorders>
            <w:shd w:val="clear" w:color="000000" w:fill="FFFFFF"/>
            <w:noWrap/>
            <w:vAlign w:val="bottom"/>
            <w:hideMark/>
          </w:tcPr>
          <w:p w14:paraId="2DFCFC0A"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1.0</w:t>
            </w:r>
          </w:p>
        </w:tc>
      </w:tr>
      <w:tr w:rsidR="001457A8" w:rsidRPr="001457A8" w14:paraId="26D9E9BA" w14:textId="77777777" w:rsidTr="001457A8">
        <w:trPr>
          <w:trHeight w:val="241"/>
        </w:trPr>
        <w:tc>
          <w:tcPr>
            <w:tcW w:w="1893" w:type="dxa"/>
            <w:tcBorders>
              <w:top w:val="nil"/>
              <w:left w:val="nil"/>
              <w:bottom w:val="nil"/>
              <w:right w:val="nil"/>
            </w:tcBorders>
            <w:shd w:val="clear" w:color="000000" w:fill="FFFFFF"/>
            <w:noWrap/>
            <w:vAlign w:val="bottom"/>
            <w:hideMark/>
          </w:tcPr>
          <w:p w14:paraId="735945BC"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Investment</w:t>
            </w:r>
          </w:p>
        </w:tc>
        <w:tc>
          <w:tcPr>
            <w:tcW w:w="1252" w:type="dxa"/>
            <w:tcBorders>
              <w:top w:val="nil"/>
              <w:left w:val="single" w:sz="4" w:space="0" w:color="auto"/>
              <w:bottom w:val="nil"/>
              <w:right w:val="nil"/>
            </w:tcBorders>
            <w:shd w:val="clear" w:color="000000" w:fill="FFFFFF"/>
            <w:noWrap/>
            <w:vAlign w:val="bottom"/>
            <w:hideMark/>
          </w:tcPr>
          <w:p w14:paraId="42D529DE"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4.2</w:t>
            </w:r>
          </w:p>
        </w:tc>
        <w:tc>
          <w:tcPr>
            <w:tcW w:w="1828" w:type="dxa"/>
            <w:tcBorders>
              <w:top w:val="nil"/>
              <w:left w:val="nil"/>
              <w:bottom w:val="nil"/>
              <w:right w:val="single" w:sz="4" w:space="0" w:color="auto"/>
            </w:tcBorders>
            <w:shd w:val="clear" w:color="000000" w:fill="FFFFFF"/>
            <w:noWrap/>
            <w:vAlign w:val="bottom"/>
            <w:hideMark/>
          </w:tcPr>
          <w:p w14:paraId="06B40B22"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1.3</w:t>
            </w:r>
          </w:p>
        </w:tc>
        <w:tc>
          <w:tcPr>
            <w:tcW w:w="1243" w:type="dxa"/>
            <w:tcBorders>
              <w:top w:val="nil"/>
              <w:left w:val="nil"/>
              <w:bottom w:val="nil"/>
              <w:right w:val="nil"/>
            </w:tcBorders>
            <w:shd w:val="clear" w:color="000000" w:fill="FFFFFF"/>
            <w:noWrap/>
            <w:vAlign w:val="bottom"/>
            <w:hideMark/>
          </w:tcPr>
          <w:p w14:paraId="441BD6E4"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-3.8</w:t>
            </w:r>
          </w:p>
        </w:tc>
        <w:tc>
          <w:tcPr>
            <w:tcW w:w="1817" w:type="dxa"/>
            <w:tcBorders>
              <w:top w:val="nil"/>
              <w:left w:val="nil"/>
              <w:bottom w:val="nil"/>
              <w:right w:val="nil"/>
            </w:tcBorders>
            <w:shd w:val="clear" w:color="000000" w:fill="FFFFFF"/>
            <w:noWrap/>
            <w:vAlign w:val="bottom"/>
            <w:hideMark/>
          </w:tcPr>
          <w:p w14:paraId="7B0FC3D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-1.1</w:t>
            </w:r>
          </w:p>
        </w:tc>
      </w:tr>
      <w:tr w:rsidR="001457A8" w:rsidRPr="001457A8" w14:paraId="49953F04" w14:textId="77777777" w:rsidTr="001457A8">
        <w:trPr>
          <w:trHeight w:val="241"/>
        </w:trPr>
        <w:tc>
          <w:tcPr>
            <w:tcW w:w="1893" w:type="dxa"/>
            <w:tcBorders>
              <w:top w:val="nil"/>
              <w:left w:val="nil"/>
              <w:bottom w:val="nil"/>
              <w:right w:val="nil"/>
            </w:tcBorders>
            <w:shd w:val="clear" w:color="000000" w:fill="FFFFFF"/>
            <w:noWrap/>
            <w:vAlign w:val="bottom"/>
            <w:hideMark/>
          </w:tcPr>
          <w:p w14:paraId="10E8428A"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Change in Stock</w:t>
            </w:r>
          </w:p>
        </w:tc>
        <w:tc>
          <w:tcPr>
            <w:tcW w:w="1252" w:type="dxa"/>
            <w:tcBorders>
              <w:top w:val="nil"/>
              <w:left w:val="single" w:sz="4" w:space="0" w:color="auto"/>
              <w:bottom w:val="nil"/>
              <w:right w:val="nil"/>
            </w:tcBorders>
            <w:shd w:val="clear" w:color="000000" w:fill="FFFFFF"/>
            <w:noWrap/>
            <w:vAlign w:val="bottom"/>
            <w:hideMark/>
          </w:tcPr>
          <w:p w14:paraId="394D63E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c>
          <w:tcPr>
            <w:tcW w:w="1828" w:type="dxa"/>
            <w:tcBorders>
              <w:top w:val="nil"/>
              <w:left w:val="nil"/>
              <w:bottom w:val="nil"/>
              <w:right w:val="single" w:sz="4" w:space="0" w:color="auto"/>
            </w:tcBorders>
            <w:shd w:val="clear" w:color="000000" w:fill="FFFFFF"/>
            <w:noWrap/>
            <w:vAlign w:val="bottom"/>
            <w:hideMark/>
          </w:tcPr>
          <w:p w14:paraId="68FF52F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-1.9</w:t>
            </w:r>
          </w:p>
        </w:tc>
        <w:tc>
          <w:tcPr>
            <w:tcW w:w="1243" w:type="dxa"/>
            <w:tcBorders>
              <w:top w:val="nil"/>
              <w:left w:val="nil"/>
              <w:bottom w:val="nil"/>
              <w:right w:val="nil"/>
            </w:tcBorders>
            <w:shd w:val="clear" w:color="000000" w:fill="FFFFFF"/>
            <w:noWrap/>
            <w:vAlign w:val="bottom"/>
            <w:hideMark/>
          </w:tcPr>
          <w:p w14:paraId="261F9039"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c>
          <w:tcPr>
            <w:tcW w:w="1817" w:type="dxa"/>
            <w:tcBorders>
              <w:top w:val="nil"/>
              <w:left w:val="nil"/>
              <w:bottom w:val="nil"/>
              <w:right w:val="nil"/>
            </w:tcBorders>
            <w:shd w:val="clear" w:color="000000" w:fill="FFFFFF"/>
            <w:noWrap/>
            <w:vAlign w:val="bottom"/>
            <w:hideMark/>
          </w:tcPr>
          <w:p w14:paraId="23ECAC28"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-7.0</w:t>
            </w:r>
          </w:p>
        </w:tc>
      </w:tr>
      <w:tr w:rsidR="001457A8" w:rsidRPr="001457A8" w14:paraId="33368981" w14:textId="77777777" w:rsidTr="001457A8">
        <w:trPr>
          <w:trHeight w:val="241"/>
        </w:trPr>
        <w:tc>
          <w:tcPr>
            <w:tcW w:w="1893" w:type="dxa"/>
            <w:tcBorders>
              <w:top w:val="nil"/>
              <w:left w:val="nil"/>
              <w:bottom w:val="nil"/>
              <w:right w:val="nil"/>
            </w:tcBorders>
            <w:shd w:val="clear" w:color="000000" w:fill="FFFFFF"/>
            <w:noWrap/>
            <w:vAlign w:val="bottom"/>
            <w:hideMark/>
          </w:tcPr>
          <w:p w14:paraId="7D9F570A"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Export</w:t>
            </w:r>
          </w:p>
        </w:tc>
        <w:tc>
          <w:tcPr>
            <w:tcW w:w="1252" w:type="dxa"/>
            <w:tcBorders>
              <w:top w:val="nil"/>
              <w:left w:val="single" w:sz="4" w:space="0" w:color="auto"/>
              <w:bottom w:val="nil"/>
              <w:right w:val="nil"/>
            </w:tcBorders>
            <w:shd w:val="clear" w:color="000000" w:fill="FFFFFF"/>
            <w:noWrap/>
            <w:vAlign w:val="bottom"/>
            <w:hideMark/>
          </w:tcPr>
          <w:p w14:paraId="64DB0B9F"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4.2</w:t>
            </w:r>
          </w:p>
        </w:tc>
        <w:tc>
          <w:tcPr>
            <w:tcW w:w="1828" w:type="dxa"/>
            <w:tcBorders>
              <w:top w:val="nil"/>
              <w:left w:val="nil"/>
              <w:bottom w:val="nil"/>
              <w:right w:val="single" w:sz="4" w:space="0" w:color="auto"/>
            </w:tcBorders>
            <w:shd w:val="clear" w:color="000000" w:fill="FFFFFF"/>
            <w:noWrap/>
            <w:vAlign w:val="bottom"/>
            <w:hideMark/>
          </w:tcPr>
          <w:p w14:paraId="4259CFAB"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1.1</w:t>
            </w:r>
          </w:p>
        </w:tc>
        <w:tc>
          <w:tcPr>
            <w:tcW w:w="1243" w:type="dxa"/>
            <w:tcBorders>
              <w:top w:val="nil"/>
              <w:left w:val="nil"/>
              <w:bottom w:val="nil"/>
              <w:right w:val="nil"/>
            </w:tcBorders>
            <w:shd w:val="clear" w:color="000000" w:fill="FFFFFF"/>
            <w:noWrap/>
            <w:vAlign w:val="bottom"/>
            <w:hideMark/>
          </w:tcPr>
          <w:p w14:paraId="0A80A519"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13.6</w:t>
            </w:r>
          </w:p>
        </w:tc>
        <w:tc>
          <w:tcPr>
            <w:tcW w:w="1817" w:type="dxa"/>
            <w:tcBorders>
              <w:top w:val="nil"/>
              <w:left w:val="nil"/>
              <w:bottom w:val="nil"/>
              <w:right w:val="nil"/>
            </w:tcBorders>
            <w:shd w:val="clear" w:color="000000" w:fill="FFFFFF"/>
            <w:noWrap/>
            <w:vAlign w:val="bottom"/>
            <w:hideMark/>
          </w:tcPr>
          <w:p w14:paraId="044A589F"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3.3</w:t>
            </w:r>
          </w:p>
        </w:tc>
      </w:tr>
      <w:tr w:rsidR="001457A8" w:rsidRPr="001457A8" w14:paraId="0852DA5E" w14:textId="77777777" w:rsidTr="001457A8">
        <w:trPr>
          <w:trHeight w:val="241"/>
        </w:trPr>
        <w:tc>
          <w:tcPr>
            <w:tcW w:w="1893" w:type="dxa"/>
            <w:tcBorders>
              <w:top w:val="nil"/>
              <w:left w:val="nil"/>
              <w:bottom w:val="nil"/>
              <w:right w:val="nil"/>
            </w:tcBorders>
            <w:shd w:val="clear" w:color="000000" w:fill="FFFFFF"/>
            <w:noWrap/>
            <w:vAlign w:val="bottom"/>
            <w:hideMark/>
          </w:tcPr>
          <w:p w14:paraId="4E45E71D"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Import</w:t>
            </w:r>
          </w:p>
        </w:tc>
        <w:tc>
          <w:tcPr>
            <w:tcW w:w="1252" w:type="dxa"/>
            <w:tcBorders>
              <w:top w:val="nil"/>
              <w:left w:val="single" w:sz="4" w:space="0" w:color="auto"/>
              <w:bottom w:val="nil"/>
              <w:right w:val="nil"/>
            </w:tcBorders>
            <w:shd w:val="clear" w:color="000000" w:fill="FFFFFF"/>
            <w:noWrap/>
            <w:vAlign w:val="bottom"/>
            <w:hideMark/>
          </w:tcPr>
          <w:p w14:paraId="6AC027C9"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0.2</w:t>
            </w:r>
          </w:p>
        </w:tc>
        <w:tc>
          <w:tcPr>
            <w:tcW w:w="1828" w:type="dxa"/>
            <w:tcBorders>
              <w:top w:val="nil"/>
              <w:left w:val="nil"/>
              <w:bottom w:val="nil"/>
              <w:right w:val="single" w:sz="4" w:space="0" w:color="auto"/>
            </w:tcBorders>
            <w:shd w:val="clear" w:color="000000" w:fill="FFFFFF"/>
            <w:noWrap/>
            <w:vAlign w:val="bottom"/>
            <w:hideMark/>
          </w:tcPr>
          <w:p w14:paraId="68C34B92"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-0.1</w:t>
            </w:r>
          </w:p>
        </w:tc>
        <w:tc>
          <w:tcPr>
            <w:tcW w:w="1243" w:type="dxa"/>
            <w:tcBorders>
              <w:top w:val="nil"/>
              <w:left w:val="nil"/>
              <w:bottom w:val="nil"/>
              <w:right w:val="nil"/>
            </w:tcBorders>
            <w:shd w:val="clear" w:color="000000" w:fill="FFFFFF"/>
            <w:noWrap/>
            <w:vAlign w:val="bottom"/>
            <w:hideMark/>
          </w:tcPr>
          <w:p w14:paraId="2736FC0E"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-16.7</w:t>
            </w:r>
          </w:p>
        </w:tc>
        <w:tc>
          <w:tcPr>
            <w:tcW w:w="1817" w:type="dxa"/>
            <w:tcBorders>
              <w:top w:val="nil"/>
              <w:left w:val="nil"/>
              <w:bottom w:val="nil"/>
              <w:right w:val="nil"/>
            </w:tcBorders>
            <w:shd w:val="clear" w:color="000000" w:fill="FFFFFF"/>
            <w:noWrap/>
            <w:vAlign w:val="bottom"/>
            <w:hideMark/>
          </w:tcPr>
          <w:p w14:paraId="03705AAA"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4.8</w:t>
            </w:r>
          </w:p>
        </w:tc>
      </w:tr>
      <w:tr w:rsidR="001457A8" w:rsidRPr="001457A8" w14:paraId="5B32CB10" w14:textId="77777777" w:rsidTr="001457A8">
        <w:trPr>
          <w:trHeight w:val="269"/>
        </w:trPr>
        <w:tc>
          <w:tcPr>
            <w:tcW w:w="1893" w:type="dxa"/>
            <w:tcBorders>
              <w:top w:val="nil"/>
              <w:left w:val="nil"/>
              <w:bottom w:val="double" w:sz="6" w:space="0" w:color="auto"/>
              <w:right w:val="nil"/>
            </w:tcBorders>
            <w:shd w:val="clear" w:color="000000" w:fill="FFFFFF"/>
            <w:noWrap/>
            <w:vAlign w:val="bottom"/>
            <w:hideMark/>
          </w:tcPr>
          <w:p w14:paraId="6D8FFADF"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GDP</w:t>
            </w:r>
          </w:p>
        </w:tc>
        <w:tc>
          <w:tcPr>
            <w:tcW w:w="1252" w:type="dxa"/>
            <w:tcBorders>
              <w:top w:val="nil"/>
              <w:left w:val="single" w:sz="4" w:space="0" w:color="auto"/>
              <w:bottom w:val="double" w:sz="6" w:space="0" w:color="auto"/>
              <w:right w:val="nil"/>
            </w:tcBorders>
            <w:shd w:val="clear" w:color="000000" w:fill="FFFFFF"/>
            <w:noWrap/>
            <w:vAlign w:val="bottom"/>
            <w:hideMark/>
          </w:tcPr>
          <w:p w14:paraId="47983C17"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5.3</w:t>
            </w:r>
          </w:p>
        </w:tc>
        <w:tc>
          <w:tcPr>
            <w:tcW w:w="1828" w:type="dxa"/>
            <w:tcBorders>
              <w:top w:val="nil"/>
              <w:left w:val="nil"/>
              <w:bottom w:val="double" w:sz="6" w:space="0" w:color="auto"/>
              <w:right w:val="single" w:sz="4" w:space="0" w:color="auto"/>
            </w:tcBorders>
            <w:shd w:val="clear" w:color="000000" w:fill="FFFFFF"/>
            <w:noWrap/>
            <w:vAlign w:val="bottom"/>
            <w:hideMark/>
          </w:tcPr>
          <w:p w14:paraId="36461A98"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c>
          <w:tcPr>
            <w:tcW w:w="1243" w:type="dxa"/>
            <w:tcBorders>
              <w:top w:val="nil"/>
              <w:left w:val="nil"/>
              <w:bottom w:val="double" w:sz="6" w:space="0" w:color="auto"/>
              <w:right w:val="nil"/>
            </w:tcBorders>
            <w:shd w:val="clear" w:color="000000" w:fill="FFFFFF"/>
            <w:noWrap/>
            <w:vAlign w:val="bottom"/>
            <w:hideMark/>
          </w:tcPr>
          <w:p w14:paraId="3A7703B3"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1.6</w:t>
            </w:r>
          </w:p>
        </w:tc>
        <w:tc>
          <w:tcPr>
            <w:tcW w:w="1817" w:type="dxa"/>
            <w:tcBorders>
              <w:top w:val="nil"/>
              <w:left w:val="nil"/>
              <w:bottom w:val="double" w:sz="6" w:space="0" w:color="auto"/>
              <w:right w:val="nil"/>
            </w:tcBorders>
            <w:shd w:val="clear" w:color="000000" w:fill="FFFFFF"/>
            <w:noWrap/>
            <w:vAlign w:val="bottom"/>
            <w:hideMark/>
          </w:tcPr>
          <w:p w14:paraId="02D5B2A3"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r>
    </w:tbl>
    <w:p w14:paraId="60A51B07" w14:textId="77777777" w:rsidR="007539A6" w:rsidRDefault="007539A6" w:rsidP="007539A6">
      <w:pPr>
        <w:rPr>
          <w:rFonts w:ascii="Palatino Linotype" w:hAnsi="Palatino Linotype" w:cstheme="minorHAnsi"/>
          <w:sz w:val="18"/>
          <w:szCs w:val="18"/>
        </w:rPr>
      </w:pPr>
      <w:r>
        <w:rPr>
          <w:rFonts w:ascii="Palatino Linotype" w:hAnsi="Palatino Linotype" w:cstheme="minorHAnsi"/>
          <w:b/>
          <w:sz w:val="18"/>
          <w:szCs w:val="18"/>
        </w:rPr>
        <w:t>S</w:t>
      </w:r>
      <w:r w:rsidRPr="007D787D">
        <w:rPr>
          <w:rFonts w:ascii="Palatino Linotype" w:hAnsi="Palatino Linotype" w:cstheme="minorHAnsi"/>
          <w:b/>
          <w:sz w:val="18"/>
          <w:szCs w:val="18"/>
        </w:rPr>
        <w:t>ource:</w:t>
      </w:r>
      <w:r>
        <w:rPr>
          <w:rFonts w:ascii="Palatino Linotype" w:hAnsi="Palatino Linotype" w:cstheme="minorHAnsi"/>
          <w:sz w:val="18"/>
          <w:szCs w:val="18"/>
        </w:rPr>
        <w:t xml:space="preserve"> TurkStat, Betam</w:t>
      </w:r>
    </w:p>
    <w:p w14:paraId="390AC5DE" w14:textId="77777777" w:rsidR="007539A6" w:rsidRDefault="007539A6" w:rsidP="007539A6">
      <w:pPr>
        <w:rPr>
          <w:rFonts w:ascii="Palatino Linotype" w:hAnsi="Palatino Linotype" w:cstheme="minorHAnsi"/>
          <w:sz w:val="18"/>
          <w:szCs w:val="18"/>
        </w:rPr>
      </w:pPr>
    </w:p>
    <w:p w14:paraId="2FF0D0F5" w14:textId="77777777" w:rsidR="00515940" w:rsidRDefault="00515940" w:rsidP="007539A6">
      <w:pPr>
        <w:ind w:right="77"/>
        <w:jc w:val="both"/>
        <w:rPr>
          <w:rFonts w:ascii="Palatino Linotype" w:hAnsi="Palatino Linotype" w:cstheme="minorHAnsi"/>
          <w:b/>
          <w:bCs/>
          <w:sz w:val="22"/>
          <w:szCs w:val="22"/>
        </w:rPr>
      </w:pPr>
    </w:p>
    <w:p w14:paraId="75710D4B" w14:textId="77777777" w:rsidR="00515940" w:rsidRDefault="00515940" w:rsidP="007539A6">
      <w:pPr>
        <w:ind w:right="77"/>
        <w:jc w:val="both"/>
        <w:rPr>
          <w:rFonts w:ascii="Palatino Linotype" w:hAnsi="Palatino Linotype" w:cstheme="minorHAnsi"/>
          <w:b/>
          <w:bCs/>
          <w:sz w:val="22"/>
          <w:szCs w:val="22"/>
        </w:rPr>
      </w:pPr>
    </w:p>
    <w:p w14:paraId="692E845A" w14:textId="77777777" w:rsidR="00515940" w:rsidRDefault="00515940" w:rsidP="007539A6">
      <w:pPr>
        <w:ind w:right="77"/>
        <w:jc w:val="both"/>
        <w:rPr>
          <w:rFonts w:ascii="Palatino Linotype" w:hAnsi="Palatino Linotype" w:cstheme="minorHAnsi"/>
          <w:b/>
          <w:bCs/>
          <w:sz w:val="22"/>
          <w:szCs w:val="22"/>
        </w:rPr>
      </w:pPr>
    </w:p>
    <w:p w14:paraId="4A0226CE" w14:textId="77777777" w:rsidR="00515940" w:rsidRDefault="00515940" w:rsidP="007539A6">
      <w:pPr>
        <w:ind w:right="77"/>
        <w:jc w:val="both"/>
        <w:rPr>
          <w:rFonts w:ascii="Palatino Linotype" w:hAnsi="Palatino Linotype" w:cstheme="minorHAnsi"/>
          <w:b/>
          <w:bCs/>
          <w:sz w:val="22"/>
          <w:szCs w:val="22"/>
        </w:rPr>
      </w:pPr>
    </w:p>
    <w:p w14:paraId="6D55A5D2" w14:textId="38986908" w:rsidR="007539A6" w:rsidRDefault="007539A6" w:rsidP="007539A6">
      <w:pPr>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lastRenderedPageBreak/>
        <w:t xml:space="preserve">Table 2: Growth rates and contributions to growth of GDP components in </w:t>
      </w:r>
      <w:r w:rsidR="00F97771">
        <w:rPr>
          <w:rFonts w:ascii="Palatino Linotype" w:hAnsi="Palatino Linotype" w:cstheme="minorHAnsi"/>
          <w:b/>
          <w:bCs/>
          <w:sz w:val="22"/>
          <w:szCs w:val="22"/>
        </w:rPr>
        <w:t>2018 Q2</w:t>
      </w:r>
      <w:r>
        <w:rPr>
          <w:rFonts w:ascii="Palatino Linotype" w:hAnsi="Palatino Linotype" w:cstheme="minorHAnsi"/>
          <w:b/>
          <w:bCs/>
          <w:sz w:val="22"/>
          <w:szCs w:val="22"/>
        </w:rPr>
        <w:t xml:space="preserve"> and 2018 Q</w:t>
      </w:r>
      <w:r w:rsidR="00F97771">
        <w:rPr>
          <w:rFonts w:ascii="Palatino Linotype" w:hAnsi="Palatino Linotype" w:cstheme="minorHAnsi"/>
          <w:b/>
          <w:bCs/>
          <w:sz w:val="22"/>
          <w:szCs w:val="22"/>
        </w:rPr>
        <w:t>3</w:t>
      </w:r>
      <w:r>
        <w:rPr>
          <w:rFonts w:ascii="Palatino Linotype" w:hAnsi="Palatino Linotype" w:cstheme="minorHAnsi"/>
          <w:b/>
          <w:bCs/>
          <w:sz w:val="22"/>
          <w:szCs w:val="22"/>
        </w:rPr>
        <w:t xml:space="preserve"> compared to previous quarter</w:t>
      </w:r>
    </w:p>
    <w:tbl>
      <w:tblPr>
        <w:tblW w:w="8017" w:type="dxa"/>
        <w:tblInd w:w="108" w:type="dxa"/>
        <w:tblLook w:val="04A0" w:firstRow="1" w:lastRow="0" w:firstColumn="1" w:lastColumn="0" w:noHBand="0" w:noVBand="1"/>
      </w:tblPr>
      <w:tblGrid>
        <w:gridCol w:w="1889"/>
        <w:gridCol w:w="1249"/>
        <w:gridCol w:w="1825"/>
        <w:gridCol w:w="1240"/>
        <w:gridCol w:w="1814"/>
      </w:tblGrid>
      <w:tr w:rsidR="001457A8" w:rsidRPr="001457A8" w14:paraId="4D9143DD" w14:textId="77777777" w:rsidTr="001457A8">
        <w:trPr>
          <w:trHeight w:val="241"/>
        </w:trPr>
        <w:tc>
          <w:tcPr>
            <w:tcW w:w="1889" w:type="dxa"/>
            <w:tcBorders>
              <w:top w:val="nil"/>
              <w:left w:val="nil"/>
              <w:bottom w:val="nil"/>
              <w:right w:val="nil"/>
            </w:tcBorders>
            <w:shd w:val="clear" w:color="000000" w:fill="FFFFFF"/>
            <w:noWrap/>
            <w:vAlign w:val="bottom"/>
            <w:hideMark/>
          </w:tcPr>
          <w:p w14:paraId="2A5E1698"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 </w:t>
            </w:r>
          </w:p>
        </w:tc>
        <w:tc>
          <w:tcPr>
            <w:tcW w:w="3074"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6959085"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2018Q2</w:t>
            </w:r>
          </w:p>
        </w:tc>
        <w:tc>
          <w:tcPr>
            <w:tcW w:w="3054" w:type="dxa"/>
            <w:gridSpan w:val="2"/>
            <w:tcBorders>
              <w:top w:val="single" w:sz="4" w:space="0" w:color="auto"/>
              <w:left w:val="nil"/>
              <w:bottom w:val="single" w:sz="4" w:space="0" w:color="auto"/>
              <w:right w:val="nil"/>
            </w:tcBorders>
            <w:shd w:val="clear" w:color="000000" w:fill="FFFFFF"/>
            <w:noWrap/>
            <w:vAlign w:val="bottom"/>
            <w:hideMark/>
          </w:tcPr>
          <w:p w14:paraId="62D62D35"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2018Q3</w:t>
            </w:r>
          </w:p>
        </w:tc>
      </w:tr>
      <w:tr w:rsidR="001457A8" w:rsidRPr="001457A8" w14:paraId="67295014" w14:textId="77777777" w:rsidTr="001457A8">
        <w:trPr>
          <w:trHeight w:val="241"/>
        </w:trPr>
        <w:tc>
          <w:tcPr>
            <w:tcW w:w="1889" w:type="dxa"/>
            <w:tcBorders>
              <w:top w:val="nil"/>
              <w:left w:val="nil"/>
              <w:bottom w:val="nil"/>
              <w:right w:val="nil"/>
            </w:tcBorders>
            <w:shd w:val="clear" w:color="000000" w:fill="FFFFFF"/>
            <w:noWrap/>
            <w:vAlign w:val="bottom"/>
            <w:hideMark/>
          </w:tcPr>
          <w:p w14:paraId="58E5478E"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 </w:t>
            </w:r>
          </w:p>
        </w:tc>
        <w:tc>
          <w:tcPr>
            <w:tcW w:w="1249" w:type="dxa"/>
            <w:tcBorders>
              <w:top w:val="nil"/>
              <w:left w:val="single" w:sz="4" w:space="0" w:color="auto"/>
              <w:bottom w:val="single" w:sz="4" w:space="0" w:color="auto"/>
              <w:right w:val="nil"/>
            </w:tcBorders>
            <w:shd w:val="clear" w:color="000000" w:fill="FFFFFF"/>
            <w:noWrap/>
            <w:vAlign w:val="bottom"/>
            <w:hideMark/>
          </w:tcPr>
          <w:p w14:paraId="6EF6FD5B"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Change (%)</w:t>
            </w:r>
          </w:p>
        </w:tc>
        <w:tc>
          <w:tcPr>
            <w:tcW w:w="1824" w:type="dxa"/>
            <w:tcBorders>
              <w:top w:val="nil"/>
              <w:left w:val="nil"/>
              <w:bottom w:val="nil"/>
              <w:right w:val="single" w:sz="4" w:space="0" w:color="auto"/>
            </w:tcBorders>
            <w:shd w:val="clear" w:color="000000" w:fill="FFFFFF"/>
            <w:noWrap/>
            <w:vAlign w:val="bottom"/>
            <w:hideMark/>
          </w:tcPr>
          <w:p w14:paraId="1462860B"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Contribution (%)</w:t>
            </w:r>
          </w:p>
        </w:tc>
        <w:tc>
          <w:tcPr>
            <w:tcW w:w="1240" w:type="dxa"/>
            <w:tcBorders>
              <w:top w:val="nil"/>
              <w:left w:val="nil"/>
              <w:bottom w:val="nil"/>
              <w:right w:val="nil"/>
            </w:tcBorders>
            <w:shd w:val="clear" w:color="000000" w:fill="FFFFFF"/>
            <w:noWrap/>
            <w:vAlign w:val="bottom"/>
            <w:hideMark/>
          </w:tcPr>
          <w:p w14:paraId="22BD22BF"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Change (%)</w:t>
            </w:r>
          </w:p>
        </w:tc>
        <w:tc>
          <w:tcPr>
            <w:tcW w:w="1813" w:type="dxa"/>
            <w:tcBorders>
              <w:top w:val="nil"/>
              <w:left w:val="nil"/>
              <w:bottom w:val="nil"/>
              <w:right w:val="nil"/>
            </w:tcBorders>
            <w:shd w:val="clear" w:color="000000" w:fill="FFFFFF"/>
            <w:noWrap/>
            <w:vAlign w:val="bottom"/>
            <w:hideMark/>
          </w:tcPr>
          <w:p w14:paraId="4CEACF8E" w14:textId="77777777" w:rsidR="001457A8" w:rsidRPr="001457A8" w:rsidRDefault="001457A8" w:rsidP="001457A8">
            <w:pPr>
              <w:jc w:val="cente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Contribution (%)</w:t>
            </w:r>
          </w:p>
        </w:tc>
      </w:tr>
      <w:tr w:rsidR="001457A8" w:rsidRPr="001457A8" w14:paraId="05EF21DE" w14:textId="77777777" w:rsidTr="001457A8">
        <w:trPr>
          <w:trHeight w:val="241"/>
        </w:trPr>
        <w:tc>
          <w:tcPr>
            <w:tcW w:w="1889" w:type="dxa"/>
            <w:tcBorders>
              <w:top w:val="single" w:sz="4" w:space="0" w:color="auto"/>
              <w:left w:val="nil"/>
              <w:bottom w:val="nil"/>
              <w:right w:val="nil"/>
            </w:tcBorders>
            <w:shd w:val="clear" w:color="000000" w:fill="FFFFFF"/>
            <w:noWrap/>
            <w:vAlign w:val="bottom"/>
            <w:hideMark/>
          </w:tcPr>
          <w:p w14:paraId="36F1F2C5"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Consumption</w:t>
            </w:r>
          </w:p>
        </w:tc>
        <w:tc>
          <w:tcPr>
            <w:tcW w:w="1249" w:type="dxa"/>
            <w:tcBorders>
              <w:top w:val="nil"/>
              <w:left w:val="single" w:sz="4" w:space="0" w:color="auto"/>
              <w:bottom w:val="nil"/>
              <w:right w:val="nil"/>
            </w:tcBorders>
            <w:shd w:val="clear" w:color="000000" w:fill="FFFFFF"/>
            <w:noWrap/>
            <w:vAlign w:val="bottom"/>
            <w:hideMark/>
          </w:tcPr>
          <w:p w14:paraId="7AFB51CB"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-1.5</w:t>
            </w:r>
          </w:p>
        </w:tc>
        <w:tc>
          <w:tcPr>
            <w:tcW w:w="1824" w:type="dxa"/>
            <w:tcBorders>
              <w:top w:val="single" w:sz="4" w:space="0" w:color="auto"/>
              <w:left w:val="nil"/>
              <w:bottom w:val="nil"/>
              <w:right w:val="single" w:sz="4" w:space="0" w:color="auto"/>
            </w:tcBorders>
            <w:shd w:val="clear" w:color="000000" w:fill="FFFFFF"/>
            <w:noWrap/>
            <w:vAlign w:val="bottom"/>
            <w:hideMark/>
          </w:tcPr>
          <w:p w14:paraId="167DDDF9"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-0.9</w:t>
            </w:r>
          </w:p>
        </w:tc>
        <w:tc>
          <w:tcPr>
            <w:tcW w:w="1240" w:type="dxa"/>
            <w:tcBorders>
              <w:top w:val="single" w:sz="4" w:space="0" w:color="auto"/>
              <w:left w:val="nil"/>
              <w:bottom w:val="nil"/>
              <w:right w:val="nil"/>
            </w:tcBorders>
            <w:shd w:val="clear" w:color="000000" w:fill="FFFFFF"/>
            <w:noWrap/>
            <w:vAlign w:val="bottom"/>
            <w:hideMark/>
          </w:tcPr>
          <w:p w14:paraId="75B94B6E"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-3.9</w:t>
            </w:r>
          </w:p>
        </w:tc>
        <w:tc>
          <w:tcPr>
            <w:tcW w:w="1813" w:type="dxa"/>
            <w:tcBorders>
              <w:top w:val="single" w:sz="4" w:space="0" w:color="auto"/>
              <w:left w:val="nil"/>
              <w:bottom w:val="nil"/>
              <w:right w:val="nil"/>
            </w:tcBorders>
            <w:shd w:val="clear" w:color="000000" w:fill="FFFFFF"/>
            <w:noWrap/>
            <w:vAlign w:val="bottom"/>
            <w:hideMark/>
          </w:tcPr>
          <w:p w14:paraId="608FC115"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-2.3</w:t>
            </w:r>
          </w:p>
        </w:tc>
      </w:tr>
      <w:tr w:rsidR="001457A8" w:rsidRPr="001457A8" w14:paraId="0F7C5B17" w14:textId="77777777" w:rsidTr="001457A8">
        <w:trPr>
          <w:trHeight w:val="241"/>
        </w:trPr>
        <w:tc>
          <w:tcPr>
            <w:tcW w:w="1889" w:type="dxa"/>
            <w:tcBorders>
              <w:top w:val="nil"/>
              <w:left w:val="nil"/>
              <w:bottom w:val="nil"/>
              <w:right w:val="nil"/>
            </w:tcBorders>
            <w:shd w:val="clear" w:color="000000" w:fill="FFFFFF"/>
            <w:noWrap/>
            <w:vAlign w:val="bottom"/>
            <w:hideMark/>
          </w:tcPr>
          <w:p w14:paraId="41F2EFF4"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Government Spending</w:t>
            </w:r>
          </w:p>
        </w:tc>
        <w:tc>
          <w:tcPr>
            <w:tcW w:w="1249" w:type="dxa"/>
            <w:tcBorders>
              <w:top w:val="nil"/>
              <w:left w:val="single" w:sz="4" w:space="0" w:color="auto"/>
              <w:bottom w:val="nil"/>
              <w:right w:val="nil"/>
            </w:tcBorders>
            <w:shd w:val="clear" w:color="000000" w:fill="FFFFFF"/>
            <w:noWrap/>
            <w:vAlign w:val="bottom"/>
            <w:hideMark/>
          </w:tcPr>
          <w:p w14:paraId="1FEC4739"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2.8</w:t>
            </w:r>
          </w:p>
        </w:tc>
        <w:tc>
          <w:tcPr>
            <w:tcW w:w="1824" w:type="dxa"/>
            <w:tcBorders>
              <w:top w:val="nil"/>
              <w:left w:val="nil"/>
              <w:bottom w:val="nil"/>
              <w:right w:val="single" w:sz="4" w:space="0" w:color="auto"/>
            </w:tcBorders>
            <w:shd w:val="clear" w:color="000000" w:fill="FFFFFF"/>
            <w:noWrap/>
            <w:vAlign w:val="bottom"/>
            <w:hideMark/>
          </w:tcPr>
          <w:p w14:paraId="4675188B"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0.4</w:t>
            </w:r>
          </w:p>
        </w:tc>
        <w:tc>
          <w:tcPr>
            <w:tcW w:w="1240" w:type="dxa"/>
            <w:tcBorders>
              <w:top w:val="nil"/>
              <w:left w:val="nil"/>
              <w:bottom w:val="nil"/>
              <w:right w:val="nil"/>
            </w:tcBorders>
            <w:shd w:val="clear" w:color="000000" w:fill="FFFFFF"/>
            <w:noWrap/>
            <w:vAlign w:val="bottom"/>
            <w:hideMark/>
          </w:tcPr>
          <w:p w14:paraId="153B673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-2.9</w:t>
            </w:r>
          </w:p>
        </w:tc>
        <w:tc>
          <w:tcPr>
            <w:tcW w:w="1813" w:type="dxa"/>
            <w:tcBorders>
              <w:top w:val="nil"/>
              <w:left w:val="nil"/>
              <w:bottom w:val="nil"/>
              <w:right w:val="nil"/>
            </w:tcBorders>
            <w:shd w:val="clear" w:color="000000" w:fill="FFFFFF"/>
            <w:noWrap/>
            <w:vAlign w:val="bottom"/>
            <w:hideMark/>
          </w:tcPr>
          <w:p w14:paraId="22F4415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-0.4</w:t>
            </w:r>
          </w:p>
        </w:tc>
      </w:tr>
      <w:tr w:rsidR="001457A8" w:rsidRPr="001457A8" w14:paraId="09025609" w14:textId="77777777" w:rsidTr="001457A8">
        <w:trPr>
          <w:trHeight w:val="241"/>
        </w:trPr>
        <w:tc>
          <w:tcPr>
            <w:tcW w:w="1889" w:type="dxa"/>
            <w:tcBorders>
              <w:top w:val="nil"/>
              <w:left w:val="nil"/>
              <w:bottom w:val="nil"/>
              <w:right w:val="nil"/>
            </w:tcBorders>
            <w:shd w:val="clear" w:color="000000" w:fill="FFFFFF"/>
            <w:noWrap/>
            <w:vAlign w:val="bottom"/>
            <w:hideMark/>
          </w:tcPr>
          <w:p w14:paraId="30BF2DB7"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Investment</w:t>
            </w:r>
          </w:p>
        </w:tc>
        <w:tc>
          <w:tcPr>
            <w:tcW w:w="1249" w:type="dxa"/>
            <w:tcBorders>
              <w:top w:val="nil"/>
              <w:left w:val="single" w:sz="4" w:space="0" w:color="auto"/>
              <w:bottom w:val="nil"/>
              <w:right w:val="nil"/>
            </w:tcBorders>
            <w:shd w:val="clear" w:color="000000" w:fill="FFFFFF"/>
            <w:noWrap/>
            <w:vAlign w:val="bottom"/>
            <w:hideMark/>
          </w:tcPr>
          <w:p w14:paraId="31498D57"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-1.7</w:t>
            </w:r>
          </w:p>
        </w:tc>
        <w:tc>
          <w:tcPr>
            <w:tcW w:w="1824" w:type="dxa"/>
            <w:tcBorders>
              <w:top w:val="nil"/>
              <w:left w:val="nil"/>
              <w:bottom w:val="nil"/>
              <w:right w:val="single" w:sz="4" w:space="0" w:color="auto"/>
            </w:tcBorders>
            <w:shd w:val="clear" w:color="000000" w:fill="FFFFFF"/>
            <w:noWrap/>
            <w:vAlign w:val="bottom"/>
            <w:hideMark/>
          </w:tcPr>
          <w:p w14:paraId="6DBFFD7F"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-0.5</w:t>
            </w:r>
          </w:p>
        </w:tc>
        <w:tc>
          <w:tcPr>
            <w:tcW w:w="1240" w:type="dxa"/>
            <w:tcBorders>
              <w:top w:val="nil"/>
              <w:left w:val="nil"/>
              <w:bottom w:val="nil"/>
              <w:right w:val="nil"/>
            </w:tcBorders>
            <w:shd w:val="clear" w:color="000000" w:fill="FFFFFF"/>
            <w:noWrap/>
            <w:vAlign w:val="bottom"/>
            <w:hideMark/>
          </w:tcPr>
          <w:p w14:paraId="796CE87F"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-3.6</w:t>
            </w:r>
          </w:p>
        </w:tc>
        <w:tc>
          <w:tcPr>
            <w:tcW w:w="1813" w:type="dxa"/>
            <w:tcBorders>
              <w:top w:val="nil"/>
              <w:left w:val="nil"/>
              <w:bottom w:val="nil"/>
              <w:right w:val="nil"/>
            </w:tcBorders>
            <w:shd w:val="clear" w:color="000000" w:fill="FFFFFF"/>
            <w:noWrap/>
            <w:vAlign w:val="bottom"/>
            <w:hideMark/>
          </w:tcPr>
          <w:p w14:paraId="6220379C"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-1.1</w:t>
            </w:r>
          </w:p>
        </w:tc>
      </w:tr>
      <w:tr w:rsidR="001457A8" w:rsidRPr="001457A8" w14:paraId="0F4E48DC" w14:textId="77777777" w:rsidTr="001457A8">
        <w:trPr>
          <w:trHeight w:val="241"/>
        </w:trPr>
        <w:tc>
          <w:tcPr>
            <w:tcW w:w="1889" w:type="dxa"/>
            <w:tcBorders>
              <w:top w:val="nil"/>
              <w:left w:val="nil"/>
              <w:bottom w:val="nil"/>
              <w:right w:val="nil"/>
            </w:tcBorders>
            <w:shd w:val="clear" w:color="000000" w:fill="FFFFFF"/>
            <w:noWrap/>
            <w:vAlign w:val="bottom"/>
            <w:hideMark/>
          </w:tcPr>
          <w:p w14:paraId="39AB3C23"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Change in Stock</w:t>
            </w:r>
          </w:p>
        </w:tc>
        <w:tc>
          <w:tcPr>
            <w:tcW w:w="1249" w:type="dxa"/>
            <w:tcBorders>
              <w:top w:val="nil"/>
              <w:left w:val="single" w:sz="4" w:space="0" w:color="auto"/>
              <w:bottom w:val="nil"/>
              <w:right w:val="nil"/>
            </w:tcBorders>
            <w:shd w:val="clear" w:color="000000" w:fill="FFFFFF"/>
            <w:noWrap/>
            <w:vAlign w:val="bottom"/>
            <w:hideMark/>
          </w:tcPr>
          <w:p w14:paraId="792ECC46"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c>
          <w:tcPr>
            <w:tcW w:w="1824" w:type="dxa"/>
            <w:tcBorders>
              <w:top w:val="nil"/>
              <w:left w:val="nil"/>
              <w:bottom w:val="nil"/>
              <w:right w:val="single" w:sz="4" w:space="0" w:color="auto"/>
            </w:tcBorders>
            <w:shd w:val="clear" w:color="000000" w:fill="FFFFFF"/>
            <w:noWrap/>
            <w:vAlign w:val="bottom"/>
            <w:hideMark/>
          </w:tcPr>
          <w:p w14:paraId="135F972A"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-0.4</w:t>
            </w:r>
          </w:p>
        </w:tc>
        <w:tc>
          <w:tcPr>
            <w:tcW w:w="1240" w:type="dxa"/>
            <w:tcBorders>
              <w:top w:val="nil"/>
              <w:left w:val="nil"/>
              <w:bottom w:val="nil"/>
              <w:right w:val="nil"/>
            </w:tcBorders>
            <w:shd w:val="clear" w:color="000000" w:fill="FFFFFF"/>
            <w:noWrap/>
            <w:vAlign w:val="bottom"/>
            <w:hideMark/>
          </w:tcPr>
          <w:p w14:paraId="5536D1F1"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c>
          <w:tcPr>
            <w:tcW w:w="1813" w:type="dxa"/>
            <w:tcBorders>
              <w:top w:val="nil"/>
              <w:left w:val="nil"/>
              <w:bottom w:val="nil"/>
              <w:right w:val="nil"/>
            </w:tcBorders>
            <w:shd w:val="clear" w:color="000000" w:fill="FFFFFF"/>
            <w:noWrap/>
            <w:vAlign w:val="bottom"/>
            <w:hideMark/>
          </w:tcPr>
          <w:p w14:paraId="3320E06B"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0.0</w:t>
            </w:r>
          </w:p>
        </w:tc>
      </w:tr>
      <w:tr w:rsidR="001457A8" w:rsidRPr="001457A8" w14:paraId="5DDEF8AF" w14:textId="77777777" w:rsidTr="001457A8">
        <w:trPr>
          <w:trHeight w:val="241"/>
        </w:trPr>
        <w:tc>
          <w:tcPr>
            <w:tcW w:w="1889" w:type="dxa"/>
            <w:tcBorders>
              <w:top w:val="nil"/>
              <w:left w:val="nil"/>
              <w:bottom w:val="nil"/>
              <w:right w:val="nil"/>
            </w:tcBorders>
            <w:shd w:val="clear" w:color="000000" w:fill="FFFFFF"/>
            <w:noWrap/>
            <w:vAlign w:val="bottom"/>
            <w:hideMark/>
          </w:tcPr>
          <w:p w14:paraId="494DC72F"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Export</w:t>
            </w:r>
          </w:p>
        </w:tc>
        <w:tc>
          <w:tcPr>
            <w:tcW w:w="1249" w:type="dxa"/>
            <w:tcBorders>
              <w:top w:val="nil"/>
              <w:left w:val="single" w:sz="4" w:space="0" w:color="auto"/>
              <w:bottom w:val="nil"/>
              <w:right w:val="nil"/>
            </w:tcBorders>
            <w:shd w:val="clear" w:color="000000" w:fill="FFFFFF"/>
            <w:noWrap/>
            <w:vAlign w:val="bottom"/>
            <w:hideMark/>
          </w:tcPr>
          <w:p w14:paraId="47DF36CE"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1.7</w:t>
            </w:r>
          </w:p>
        </w:tc>
        <w:tc>
          <w:tcPr>
            <w:tcW w:w="1824" w:type="dxa"/>
            <w:tcBorders>
              <w:top w:val="nil"/>
              <w:left w:val="nil"/>
              <w:bottom w:val="nil"/>
              <w:right w:val="single" w:sz="4" w:space="0" w:color="auto"/>
            </w:tcBorders>
            <w:shd w:val="clear" w:color="000000" w:fill="FFFFFF"/>
            <w:noWrap/>
            <w:vAlign w:val="bottom"/>
            <w:hideMark/>
          </w:tcPr>
          <w:p w14:paraId="594669C8"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0.4</w:t>
            </w:r>
          </w:p>
        </w:tc>
        <w:tc>
          <w:tcPr>
            <w:tcW w:w="1240" w:type="dxa"/>
            <w:tcBorders>
              <w:top w:val="nil"/>
              <w:left w:val="nil"/>
              <w:bottom w:val="nil"/>
              <w:right w:val="nil"/>
            </w:tcBorders>
            <w:shd w:val="clear" w:color="000000" w:fill="FFFFFF"/>
            <w:noWrap/>
            <w:vAlign w:val="bottom"/>
            <w:hideMark/>
          </w:tcPr>
          <w:p w14:paraId="7D54FB8A"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4.1</w:t>
            </w:r>
          </w:p>
        </w:tc>
        <w:tc>
          <w:tcPr>
            <w:tcW w:w="1813" w:type="dxa"/>
            <w:tcBorders>
              <w:top w:val="nil"/>
              <w:left w:val="nil"/>
              <w:bottom w:val="nil"/>
              <w:right w:val="nil"/>
            </w:tcBorders>
            <w:shd w:val="clear" w:color="000000" w:fill="FFFFFF"/>
            <w:noWrap/>
            <w:vAlign w:val="bottom"/>
            <w:hideMark/>
          </w:tcPr>
          <w:p w14:paraId="4042CDD3"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1.0</w:t>
            </w:r>
          </w:p>
        </w:tc>
      </w:tr>
      <w:tr w:rsidR="001457A8" w:rsidRPr="001457A8" w14:paraId="010D0C62" w14:textId="77777777" w:rsidTr="001457A8">
        <w:trPr>
          <w:trHeight w:val="241"/>
        </w:trPr>
        <w:tc>
          <w:tcPr>
            <w:tcW w:w="1889" w:type="dxa"/>
            <w:tcBorders>
              <w:top w:val="nil"/>
              <w:left w:val="nil"/>
              <w:bottom w:val="nil"/>
              <w:right w:val="nil"/>
            </w:tcBorders>
            <w:shd w:val="clear" w:color="000000" w:fill="FFFFFF"/>
            <w:noWrap/>
            <w:vAlign w:val="bottom"/>
            <w:hideMark/>
          </w:tcPr>
          <w:p w14:paraId="4DF73408"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Import</w:t>
            </w:r>
          </w:p>
        </w:tc>
        <w:tc>
          <w:tcPr>
            <w:tcW w:w="1249" w:type="dxa"/>
            <w:tcBorders>
              <w:top w:val="nil"/>
              <w:left w:val="single" w:sz="4" w:space="0" w:color="auto"/>
              <w:bottom w:val="nil"/>
              <w:right w:val="nil"/>
            </w:tcBorders>
            <w:shd w:val="clear" w:color="000000" w:fill="FFFFFF"/>
            <w:noWrap/>
            <w:vAlign w:val="bottom"/>
            <w:hideMark/>
          </w:tcPr>
          <w:p w14:paraId="1F93E44F"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-5.6</w:t>
            </w:r>
          </w:p>
        </w:tc>
        <w:tc>
          <w:tcPr>
            <w:tcW w:w="1824" w:type="dxa"/>
            <w:tcBorders>
              <w:top w:val="nil"/>
              <w:left w:val="nil"/>
              <w:bottom w:val="nil"/>
              <w:right w:val="single" w:sz="4" w:space="0" w:color="auto"/>
            </w:tcBorders>
            <w:shd w:val="clear" w:color="000000" w:fill="FFFFFF"/>
            <w:noWrap/>
            <w:vAlign w:val="bottom"/>
            <w:hideMark/>
          </w:tcPr>
          <w:p w14:paraId="07AA7688"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1.6</w:t>
            </w:r>
          </w:p>
        </w:tc>
        <w:tc>
          <w:tcPr>
            <w:tcW w:w="1240" w:type="dxa"/>
            <w:tcBorders>
              <w:top w:val="nil"/>
              <w:left w:val="nil"/>
              <w:bottom w:val="nil"/>
              <w:right w:val="nil"/>
            </w:tcBorders>
            <w:shd w:val="clear" w:color="000000" w:fill="FFFFFF"/>
            <w:noWrap/>
            <w:vAlign w:val="bottom"/>
            <w:hideMark/>
          </w:tcPr>
          <w:p w14:paraId="3191EBFD"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-6.3</w:t>
            </w:r>
          </w:p>
        </w:tc>
        <w:tc>
          <w:tcPr>
            <w:tcW w:w="1813" w:type="dxa"/>
            <w:tcBorders>
              <w:top w:val="nil"/>
              <w:left w:val="nil"/>
              <w:bottom w:val="nil"/>
              <w:right w:val="nil"/>
            </w:tcBorders>
            <w:shd w:val="clear" w:color="000000" w:fill="FFFFFF"/>
            <w:noWrap/>
            <w:vAlign w:val="bottom"/>
            <w:hideMark/>
          </w:tcPr>
          <w:p w14:paraId="461725AC"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1.7</w:t>
            </w:r>
          </w:p>
        </w:tc>
      </w:tr>
      <w:tr w:rsidR="001457A8" w:rsidRPr="001457A8" w14:paraId="3A6D987A" w14:textId="77777777" w:rsidTr="001457A8">
        <w:trPr>
          <w:trHeight w:val="269"/>
        </w:trPr>
        <w:tc>
          <w:tcPr>
            <w:tcW w:w="1889" w:type="dxa"/>
            <w:tcBorders>
              <w:top w:val="nil"/>
              <w:left w:val="nil"/>
              <w:bottom w:val="double" w:sz="6" w:space="0" w:color="auto"/>
              <w:right w:val="nil"/>
            </w:tcBorders>
            <w:shd w:val="clear" w:color="000000" w:fill="FFFFFF"/>
            <w:noWrap/>
            <w:vAlign w:val="bottom"/>
            <w:hideMark/>
          </w:tcPr>
          <w:p w14:paraId="6CA0B75B" w14:textId="77777777" w:rsidR="001457A8" w:rsidRPr="001457A8" w:rsidRDefault="001457A8" w:rsidP="001457A8">
            <w:pPr>
              <w:rPr>
                <w:rFonts w:ascii="Calibri" w:hAnsi="Calibri" w:cs="Calibri"/>
                <w:b/>
                <w:bCs/>
                <w:color w:val="000000"/>
                <w:sz w:val="20"/>
                <w:szCs w:val="20"/>
                <w:lang w:val="en-GB" w:eastAsia="en-GB"/>
              </w:rPr>
            </w:pPr>
            <w:r w:rsidRPr="001457A8">
              <w:rPr>
                <w:rFonts w:ascii="Calibri" w:hAnsi="Calibri" w:cs="Calibri"/>
                <w:b/>
                <w:bCs/>
                <w:color w:val="000000"/>
                <w:sz w:val="20"/>
                <w:szCs w:val="20"/>
                <w:lang w:val="en-GB" w:eastAsia="en-GB"/>
              </w:rPr>
              <w:t>GDP</w:t>
            </w:r>
          </w:p>
        </w:tc>
        <w:tc>
          <w:tcPr>
            <w:tcW w:w="1249" w:type="dxa"/>
            <w:tcBorders>
              <w:top w:val="nil"/>
              <w:left w:val="single" w:sz="4" w:space="0" w:color="auto"/>
              <w:bottom w:val="double" w:sz="6" w:space="0" w:color="auto"/>
              <w:right w:val="nil"/>
            </w:tcBorders>
            <w:shd w:val="clear" w:color="000000" w:fill="FFFFFF"/>
            <w:noWrap/>
            <w:vAlign w:val="bottom"/>
            <w:hideMark/>
          </w:tcPr>
          <w:p w14:paraId="6CA72142"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0.6</w:t>
            </w:r>
          </w:p>
        </w:tc>
        <w:tc>
          <w:tcPr>
            <w:tcW w:w="1824" w:type="dxa"/>
            <w:tcBorders>
              <w:top w:val="nil"/>
              <w:left w:val="nil"/>
              <w:bottom w:val="double" w:sz="6" w:space="0" w:color="auto"/>
              <w:right w:val="single" w:sz="4" w:space="0" w:color="auto"/>
            </w:tcBorders>
            <w:shd w:val="clear" w:color="000000" w:fill="FFFFFF"/>
            <w:noWrap/>
            <w:vAlign w:val="bottom"/>
            <w:hideMark/>
          </w:tcPr>
          <w:p w14:paraId="62B3C873"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c>
          <w:tcPr>
            <w:tcW w:w="1240" w:type="dxa"/>
            <w:tcBorders>
              <w:top w:val="nil"/>
              <w:left w:val="nil"/>
              <w:bottom w:val="double" w:sz="6" w:space="0" w:color="auto"/>
              <w:right w:val="nil"/>
            </w:tcBorders>
            <w:shd w:val="clear" w:color="000000" w:fill="FFFFFF"/>
            <w:noWrap/>
            <w:vAlign w:val="bottom"/>
            <w:hideMark/>
          </w:tcPr>
          <w:p w14:paraId="261DDE23"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-1.1</w:t>
            </w:r>
          </w:p>
        </w:tc>
        <w:tc>
          <w:tcPr>
            <w:tcW w:w="1813" w:type="dxa"/>
            <w:tcBorders>
              <w:top w:val="nil"/>
              <w:left w:val="nil"/>
              <w:bottom w:val="double" w:sz="6" w:space="0" w:color="auto"/>
              <w:right w:val="nil"/>
            </w:tcBorders>
            <w:shd w:val="clear" w:color="000000" w:fill="FFFFFF"/>
            <w:noWrap/>
            <w:vAlign w:val="bottom"/>
            <w:hideMark/>
          </w:tcPr>
          <w:p w14:paraId="62DFAFF1" w14:textId="77777777" w:rsidR="001457A8" w:rsidRPr="001457A8" w:rsidRDefault="001457A8" w:rsidP="001457A8">
            <w:pPr>
              <w:jc w:val="center"/>
              <w:rPr>
                <w:rFonts w:ascii="Calibri" w:hAnsi="Calibri" w:cs="Calibri"/>
                <w:color w:val="000000"/>
                <w:sz w:val="20"/>
                <w:szCs w:val="20"/>
                <w:lang w:val="en-GB" w:eastAsia="en-GB"/>
              </w:rPr>
            </w:pPr>
            <w:r w:rsidRPr="001457A8">
              <w:rPr>
                <w:rFonts w:ascii="Calibri" w:hAnsi="Calibri" w:cs="Calibri"/>
                <w:color w:val="000000"/>
                <w:sz w:val="20"/>
                <w:szCs w:val="20"/>
                <w:lang w:val="en-GB" w:eastAsia="en-GB"/>
              </w:rPr>
              <w:t> </w:t>
            </w:r>
          </w:p>
        </w:tc>
      </w:tr>
    </w:tbl>
    <w:p w14:paraId="2078FB9B" w14:textId="77777777" w:rsidR="007539A6" w:rsidRDefault="007539A6" w:rsidP="007539A6">
      <w:pPr>
        <w:pStyle w:val="NormalWeb"/>
        <w:spacing w:before="0" w:beforeAutospacing="0" w:after="0" w:afterAutospacing="0" w:line="360" w:lineRule="auto"/>
        <w:ind w:right="77"/>
        <w:rPr>
          <w:rFonts w:ascii="Palatino Linotype" w:hAnsi="Palatino Linotype" w:cstheme="minorHAnsi"/>
          <w:sz w:val="18"/>
          <w:szCs w:val="18"/>
        </w:rPr>
      </w:pPr>
      <w:r>
        <w:rPr>
          <w:rFonts w:ascii="Palatino Linotype" w:hAnsi="Palatino Linotype" w:cstheme="minorHAnsi"/>
          <w:b/>
          <w:sz w:val="18"/>
          <w:szCs w:val="18"/>
        </w:rPr>
        <w:t>So</w:t>
      </w:r>
      <w:r w:rsidRPr="00236056">
        <w:rPr>
          <w:rFonts w:ascii="Palatino Linotype" w:hAnsi="Palatino Linotype" w:cstheme="minorHAnsi"/>
          <w:b/>
          <w:sz w:val="18"/>
          <w:szCs w:val="18"/>
        </w:rPr>
        <w:t>urce:</w:t>
      </w:r>
      <w:r>
        <w:rPr>
          <w:rFonts w:ascii="Palatino Linotype" w:hAnsi="Palatino Linotype" w:cstheme="minorHAnsi"/>
          <w:sz w:val="18"/>
          <w:szCs w:val="18"/>
        </w:rPr>
        <w:t xml:space="preserve"> TurkStat, Betam</w:t>
      </w:r>
    </w:p>
    <w:p w14:paraId="20432D29" w14:textId="130D2B5C" w:rsidR="00CE7DE8" w:rsidRDefault="002F6884" w:rsidP="000D63E2">
      <w:pPr>
        <w:pStyle w:val="NormalWeb"/>
        <w:spacing w:before="0" w:beforeAutospacing="0" w:after="120" w:afterAutospacing="0" w:line="360" w:lineRule="auto"/>
        <w:ind w:right="79"/>
        <w:rPr>
          <w:rFonts w:ascii="Palatino Linotype" w:hAnsi="Palatino Linotype" w:cstheme="minorHAnsi"/>
          <w:strike/>
          <w:sz w:val="22"/>
          <w:szCs w:val="22"/>
        </w:rPr>
      </w:pPr>
      <w:r>
        <w:rPr>
          <w:rFonts w:ascii="Palatino Linotype" w:hAnsi="Palatino Linotype" w:cstheme="minorHAnsi"/>
          <w:sz w:val="18"/>
          <w:szCs w:val="18"/>
        </w:rPr>
        <w:br/>
      </w:r>
      <w:r w:rsidR="001347D5">
        <w:rPr>
          <w:rFonts w:ascii="Palatino Linotype" w:hAnsi="Palatino Linotype" w:cstheme="minorHAnsi"/>
          <w:b/>
          <w:sz w:val="22"/>
          <w:szCs w:val="22"/>
        </w:rPr>
        <w:t>High i</w:t>
      </w:r>
      <w:r w:rsidR="004C3A1F">
        <w:rPr>
          <w:rFonts w:ascii="Palatino Linotype" w:hAnsi="Palatino Linotype" w:cstheme="minorHAnsi"/>
          <w:b/>
          <w:sz w:val="22"/>
          <w:szCs w:val="22"/>
        </w:rPr>
        <w:t>nterest rate</w:t>
      </w:r>
      <w:r w:rsidR="001347D5">
        <w:rPr>
          <w:rFonts w:ascii="Palatino Linotype" w:hAnsi="Palatino Linotype" w:cstheme="minorHAnsi"/>
          <w:b/>
          <w:sz w:val="22"/>
          <w:szCs w:val="22"/>
        </w:rPr>
        <w:t>s</w:t>
      </w:r>
      <w:r w:rsidR="004C3A1F">
        <w:rPr>
          <w:rFonts w:ascii="Palatino Linotype" w:hAnsi="Palatino Linotype" w:cstheme="minorHAnsi"/>
          <w:b/>
          <w:sz w:val="22"/>
          <w:szCs w:val="22"/>
        </w:rPr>
        <w:t xml:space="preserve"> </w:t>
      </w:r>
      <w:r w:rsidR="001347D5">
        <w:rPr>
          <w:rFonts w:ascii="Palatino Linotype" w:hAnsi="Palatino Linotype" w:cstheme="minorHAnsi"/>
          <w:b/>
          <w:sz w:val="22"/>
          <w:szCs w:val="22"/>
        </w:rPr>
        <w:t>a</w:t>
      </w:r>
      <w:r w:rsidR="004C3A1F">
        <w:rPr>
          <w:rFonts w:ascii="Palatino Linotype" w:hAnsi="Palatino Linotype" w:cstheme="minorHAnsi"/>
          <w:b/>
          <w:sz w:val="22"/>
          <w:szCs w:val="22"/>
        </w:rPr>
        <w:t xml:space="preserve">ffected </w:t>
      </w:r>
      <w:r w:rsidR="00286BE7">
        <w:rPr>
          <w:rFonts w:ascii="Palatino Linotype" w:hAnsi="Palatino Linotype" w:cstheme="minorHAnsi"/>
          <w:b/>
          <w:sz w:val="22"/>
          <w:szCs w:val="22"/>
        </w:rPr>
        <w:t>investments</w:t>
      </w:r>
      <w:r w:rsidR="001347D5">
        <w:rPr>
          <w:rFonts w:ascii="Palatino Linotype" w:hAnsi="Palatino Linotype" w:cstheme="minorHAnsi"/>
          <w:b/>
          <w:sz w:val="22"/>
          <w:szCs w:val="22"/>
        </w:rPr>
        <w:t xml:space="preserve"> negatively</w:t>
      </w:r>
    </w:p>
    <w:p w14:paraId="1D3DAA92" w14:textId="5F5EBA62" w:rsidR="00556396" w:rsidRDefault="00286BE7" w:rsidP="00C80503">
      <w:pPr>
        <w:pStyle w:val="NormalWeb"/>
        <w:spacing w:before="0" w:beforeAutospacing="0" w:after="120" w:afterAutospacing="0" w:line="360" w:lineRule="auto"/>
        <w:ind w:right="79"/>
        <w:rPr>
          <w:rFonts w:ascii="Palatino Linotype" w:hAnsi="Palatino Linotype" w:cstheme="minorHAnsi"/>
          <w:sz w:val="22"/>
          <w:szCs w:val="22"/>
        </w:rPr>
      </w:pPr>
      <w:r>
        <w:rPr>
          <w:rFonts w:ascii="Palatino Linotype" w:hAnsi="Palatino Linotype" w:cstheme="minorHAnsi"/>
          <w:sz w:val="22"/>
          <w:szCs w:val="22"/>
        </w:rPr>
        <w:t xml:space="preserve">We said in </w:t>
      </w:r>
      <w:r w:rsidR="00F97771">
        <w:rPr>
          <w:rFonts w:ascii="Palatino Linotype" w:hAnsi="Palatino Linotype" w:cstheme="minorHAnsi"/>
          <w:sz w:val="22"/>
          <w:szCs w:val="22"/>
        </w:rPr>
        <w:t xml:space="preserve">our </w:t>
      </w:r>
      <w:r w:rsidR="003F19B0">
        <w:rPr>
          <w:rFonts w:ascii="Palatino Linotype" w:hAnsi="Palatino Linotype" w:cstheme="minorHAnsi"/>
          <w:sz w:val="22"/>
          <w:szCs w:val="22"/>
        </w:rPr>
        <w:t xml:space="preserve">previous </w:t>
      </w:r>
      <w:r w:rsidR="00F97771">
        <w:rPr>
          <w:rFonts w:ascii="Palatino Linotype" w:hAnsi="Palatino Linotype" w:cstheme="minorHAnsi"/>
          <w:sz w:val="22"/>
          <w:szCs w:val="22"/>
        </w:rPr>
        <w:t xml:space="preserve">growth review </w:t>
      </w:r>
      <w:r>
        <w:rPr>
          <w:rFonts w:ascii="Palatino Linotype" w:hAnsi="Palatino Linotype" w:cstheme="minorHAnsi"/>
          <w:sz w:val="22"/>
          <w:szCs w:val="22"/>
        </w:rPr>
        <w:t xml:space="preserve">that </w:t>
      </w:r>
      <w:r w:rsidR="003F19B0">
        <w:rPr>
          <w:rFonts w:ascii="Palatino Linotype" w:hAnsi="Palatino Linotype" w:cstheme="minorHAnsi"/>
          <w:sz w:val="22"/>
          <w:szCs w:val="22"/>
        </w:rPr>
        <w:t xml:space="preserve">the positive </w:t>
      </w:r>
      <w:r>
        <w:rPr>
          <w:rFonts w:ascii="Palatino Linotype" w:hAnsi="Palatino Linotype" w:cstheme="minorHAnsi"/>
          <w:sz w:val="22"/>
          <w:szCs w:val="22"/>
        </w:rPr>
        <w:t>contributio</w:t>
      </w:r>
      <w:r w:rsidR="003F19B0">
        <w:rPr>
          <w:rFonts w:ascii="Palatino Linotype" w:hAnsi="Palatino Linotype" w:cstheme="minorHAnsi"/>
          <w:sz w:val="22"/>
          <w:szCs w:val="22"/>
        </w:rPr>
        <w:t>n to growth of investments would</w:t>
      </w:r>
      <w:r>
        <w:rPr>
          <w:rFonts w:ascii="Palatino Linotype" w:hAnsi="Palatino Linotype" w:cstheme="minorHAnsi"/>
          <w:sz w:val="22"/>
          <w:szCs w:val="22"/>
        </w:rPr>
        <w:t xml:space="preserve"> </w:t>
      </w:r>
      <w:r w:rsidR="003F19B0">
        <w:rPr>
          <w:rFonts w:ascii="Palatino Linotype" w:hAnsi="Palatino Linotype" w:cstheme="minorHAnsi"/>
          <w:sz w:val="22"/>
          <w:szCs w:val="22"/>
        </w:rPr>
        <w:t xml:space="preserve">come to an end in the third quarter due to </w:t>
      </w:r>
      <w:r w:rsidR="00D02FDC">
        <w:rPr>
          <w:rFonts w:ascii="Palatino Linotype" w:hAnsi="Palatino Linotype" w:cstheme="minorHAnsi"/>
          <w:sz w:val="22"/>
          <w:szCs w:val="22"/>
        </w:rPr>
        <w:t xml:space="preserve">the </w:t>
      </w:r>
      <w:r w:rsidR="00C67CEB">
        <w:rPr>
          <w:rFonts w:ascii="Palatino Linotype" w:hAnsi="Palatino Linotype" w:cstheme="minorHAnsi"/>
          <w:sz w:val="22"/>
          <w:szCs w:val="22"/>
        </w:rPr>
        <w:t>high interest rates.</w:t>
      </w:r>
      <w:r w:rsidR="00015B4E">
        <w:rPr>
          <w:rFonts w:ascii="Palatino Linotype" w:hAnsi="Palatino Linotype" w:cstheme="minorHAnsi"/>
          <w:sz w:val="22"/>
          <w:szCs w:val="22"/>
        </w:rPr>
        <w:t xml:space="preserve"> </w:t>
      </w:r>
      <w:r w:rsidR="00033092">
        <w:rPr>
          <w:rFonts w:ascii="Palatino Linotype" w:hAnsi="Palatino Linotype" w:cstheme="minorHAnsi"/>
          <w:sz w:val="22"/>
          <w:szCs w:val="22"/>
        </w:rPr>
        <w:t>Investments, which had contributed positively to growth in the second quarter, decreased by 3.8 percent and had a negative impact on GDP (minus 1.1 percentage points) in th</w:t>
      </w:r>
      <w:r w:rsidR="00556396">
        <w:rPr>
          <w:rFonts w:ascii="Palatino Linotype" w:hAnsi="Palatino Linotype" w:cstheme="minorHAnsi"/>
          <w:sz w:val="22"/>
          <w:szCs w:val="22"/>
        </w:rPr>
        <w:t>e third quarter</w:t>
      </w:r>
      <w:r w:rsidR="001609DE">
        <w:rPr>
          <w:rFonts w:ascii="Palatino Linotype" w:hAnsi="Palatino Linotype" w:cstheme="minorHAnsi"/>
          <w:sz w:val="22"/>
          <w:szCs w:val="22"/>
        </w:rPr>
        <w:t xml:space="preserve"> (Table 1)</w:t>
      </w:r>
      <w:r w:rsidR="007C5B10">
        <w:rPr>
          <w:rFonts w:ascii="Palatino Linotype" w:hAnsi="Palatino Linotype" w:cstheme="minorHAnsi"/>
          <w:sz w:val="22"/>
          <w:szCs w:val="22"/>
        </w:rPr>
        <w:t>.</w:t>
      </w:r>
      <w:r w:rsidR="00C70AEB">
        <w:rPr>
          <w:rFonts w:ascii="Palatino Linotype" w:hAnsi="Palatino Linotype" w:cstheme="minorHAnsi"/>
          <w:sz w:val="22"/>
          <w:szCs w:val="22"/>
        </w:rPr>
        <w:t xml:space="preserve"> The signals of stagnation that we have already underlined in our economic growth forecast </w:t>
      </w:r>
      <w:r w:rsidR="00E207B3">
        <w:rPr>
          <w:rFonts w:ascii="Palatino Linotype" w:hAnsi="Palatino Linotype" w:cstheme="minorHAnsi"/>
          <w:sz w:val="22"/>
          <w:szCs w:val="22"/>
        </w:rPr>
        <w:t>of</w:t>
      </w:r>
      <w:r w:rsidR="00C70AEB">
        <w:rPr>
          <w:rFonts w:ascii="Palatino Linotype" w:hAnsi="Palatino Linotype" w:cstheme="minorHAnsi"/>
          <w:sz w:val="22"/>
          <w:szCs w:val="22"/>
        </w:rPr>
        <w:t xml:space="preserve"> the third quarter show themselves </w:t>
      </w:r>
      <w:r w:rsidR="00E207B3">
        <w:rPr>
          <w:rFonts w:ascii="Palatino Linotype" w:hAnsi="Palatino Linotype" w:cstheme="minorHAnsi"/>
          <w:sz w:val="22"/>
          <w:szCs w:val="22"/>
        </w:rPr>
        <w:t>in the slowdown of investments.</w:t>
      </w:r>
      <w:r w:rsidR="00F9263F" w:rsidRPr="00F9263F">
        <w:rPr>
          <w:rFonts w:ascii="Palatino Linotype" w:hAnsi="Palatino Linotype" w:cstheme="minorHAnsi"/>
          <w:sz w:val="22"/>
          <w:szCs w:val="22"/>
        </w:rPr>
        <w:t xml:space="preserve"> </w:t>
      </w:r>
      <w:r w:rsidR="00D02FDC">
        <w:rPr>
          <w:rFonts w:ascii="Palatino Linotype" w:hAnsi="Palatino Linotype" w:cstheme="minorHAnsi"/>
          <w:sz w:val="22"/>
          <w:szCs w:val="22"/>
        </w:rPr>
        <w:t>Additionally</w:t>
      </w:r>
      <w:r>
        <w:rPr>
          <w:rFonts w:ascii="Palatino Linotype" w:hAnsi="Palatino Linotype" w:cstheme="minorHAnsi"/>
          <w:sz w:val="22"/>
          <w:szCs w:val="22"/>
        </w:rPr>
        <w:t>, q</w:t>
      </w:r>
      <w:r w:rsidR="007C5B10" w:rsidRPr="007C5B10">
        <w:rPr>
          <w:rFonts w:ascii="Palatino Linotype" w:hAnsi="Palatino Linotype" w:cstheme="minorHAnsi"/>
          <w:sz w:val="22"/>
          <w:szCs w:val="22"/>
        </w:rPr>
        <w:t>uarterly data show</w:t>
      </w:r>
      <w:r>
        <w:rPr>
          <w:rFonts w:ascii="Palatino Linotype" w:hAnsi="Palatino Linotype" w:cstheme="minorHAnsi"/>
          <w:sz w:val="22"/>
          <w:szCs w:val="22"/>
        </w:rPr>
        <w:t>s that</w:t>
      </w:r>
      <w:r w:rsidR="007C5B10" w:rsidRPr="007C5B10">
        <w:rPr>
          <w:rFonts w:ascii="Palatino Linotype" w:hAnsi="Palatino Linotype" w:cstheme="minorHAnsi"/>
          <w:sz w:val="22"/>
          <w:szCs w:val="22"/>
        </w:rPr>
        <w:t xml:space="preserve"> investments</w:t>
      </w:r>
      <w:r w:rsidR="007C5B10">
        <w:rPr>
          <w:rFonts w:ascii="Palatino Linotype" w:hAnsi="Palatino Linotype" w:cstheme="minorHAnsi"/>
          <w:sz w:val="22"/>
          <w:szCs w:val="22"/>
        </w:rPr>
        <w:t xml:space="preserve"> </w:t>
      </w:r>
      <w:r>
        <w:rPr>
          <w:rFonts w:ascii="Palatino Linotype" w:hAnsi="Palatino Linotype" w:cstheme="minorHAnsi"/>
          <w:sz w:val="22"/>
          <w:szCs w:val="22"/>
        </w:rPr>
        <w:t>decreas</w:t>
      </w:r>
      <w:r w:rsidR="007C5B10" w:rsidRPr="007C5B10">
        <w:rPr>
          <w:rFonts w:ascii="Palatino Linotype" w:hAnsi="Palatino Linotype" w:cstheme="minorHAnsi"/>
          <w:sz w:val="22"/>
          <w:szCs w:val="22"/>
        </w:rPr>
        <w:t>ed</w:t>
      </w:r>
      <w:r w:rsidR="0005380F">
        <w:rPr>
          <w:rFonts w:ascii="Palatino Linotype" w:hAnsi="Palatino Linotype" w:cstheme="minorHAnsi"/>
          <w:sz w:val="22"/>
          <w:szCs w:val="22"/>
        </w:rPr>
        <w:t xml:space="preserve"> by</w:t>
      </w:r>
      <w:r w:rsidR="007C5B10" w:rsidRPr="007C5B10">
        <w:rPr>
          <w:rFonts w:ascii="Palatino Linotype" w:hAnsi="Palatino Linotype" w:cstheme="minorHAnsi"/>
          <w:sz w:val="22"/>
          <w:szCs w:val="22"/>
        </w:rPr>
        <w:t xml:space="preserve"> </w:t>
      </w:r>
      <w:r w:rsidR="00E25DC7">
        <w:rPr>
          <w:rFonts w:ascii="Palatino Linotype" w:hAnsi="Palatino Linotype" w:cstheme="minorHAnsi"/>
          <w:sz w:val="22"/>
          <w:szCs w:val="22"/>
        </w:rPr>
        <w:t>3.6</w:t>
      </w:r>
      <w:r w:rsidR="007C5B10" w:rsidRPr="007C5B10">
        <w:rPr>
          <w:rFonts w:ascii="Palatino Linotype" w:hAnsi="Palatino Linotype" w:cstheme="minorHAnsi"/>
          <w:sz w:val="22"/>
          <w:szCs w:val="22"/>
        </w:rPr>
        <w:t xml:space="preserve"> percent</w:t>
      </w:r>
      <w:r>
        <w:rPr>
          <w:rFonts w:ascii="Palatino Linotype" w:hAnsi="Palatino Linotype" w:cstheme="minorHAnsi"/>
          <w:sz w:val="22"/>
          <w:szCs w:val="22"/>
        </w:rPr>
        <w:t xml:space="preserve"> and </w:t>
      </w:r>
      <w:r w:rsidR="00A20C0F">
        <w:rPr>
          <w:rFonts w:ascii="Palatino Linotype" w:hAnsi="Palatino Linotype" w:cstheme="minorHAnsi"/>
          <w:sz w:val="22"/>
          <w:szCs w:val="22"/>
        </w:rPr>
        <w:t xml:space="preserve">contributed </w:t>
      </w:r>
      <w:r w:rsidR="00E25DC7">
        <w:rPr>
          <w:rFonts w:ascii="Palatino Linotype" w:hAnsi="Palatino Linotype" w:cstheme="minorHAnsi"/>
          <w:sz w:val="22"/>
          <w:szCs w:val="22"/>
        </w:rPr>
        <w:t>minus 1.1</w:t>
      </w:r>
      <w:r w:rsidR="007C5B10" w:rsidRPr="007C5B10">
        <w:rPr>
          <w:rFonts w:ascii="Palatino Linotype" w:hAnsi="Palatino Linotype" w:cstheme="minorHAnsi"/>
          <w:sz w:val="22"/>
          <w:szCs w:val="22"/>
        </w:rPr>
        <w:t xml:space="preserve"> percentage points</w:t>
      </w:r>
      <w:r w:rsidR="00A20C0F">
        <w:rPr>
          <w:rFonts w:ascii="Palatino Linotype" w:hAnsi="Palatino Linotype" w:cstheme="minorHAnsi"/>
          <w:sz w:val="22"/>
          <w:szCs w:val="22"/>
        </w:rPr>
        <w:t xml:space="preserve"> to growth</w:t>
      </w:r>
      <w:r w:rsidR="007C5B10" w:rsidRPr="007C5B10">
        <w:rPr>
          <w:rFonts w:ascii="Palatino Linotype" w:hAnsi="Palatino Linotype" w:cstheme="minorHAnsi"/>
          <w:sz w:val="22"/>
          <w:szCs w:val="22"/>
        </w:rPr>
        <w:t xml:space="preserve"> </w:t>
      </w:r>
      <w:r w:rsidR="00A20C0F">
        <w:rPr>
          <w:rFonts w:ascii="Palatino Linotype" w:hAnsi="Palatino Linotype" w:cstheme="minorHAnsi"/>
          <w:sz w:val="22"/>
          <w:szCs w:val="22"/>
        </w:rPr>
        <w:t>(Table 2).</w:t>
      </w:r>
      <w:r w:rsidR="007C5B10">
        <w:rPr>
          <w:rFonts w:ascii="Palatino Linotype" w:hAnsi="Palatino Linotype" w:cstheme="minorHAnsi"/>
          <w:sz w:val="22"/>
          <w:szCs w:val="22"/>
        </w:rPr>
        <w:t xml:space="preserve"> </w:t>
      </w:r>
      <w:r w:rsidR="00BA400E">
        <w:rPr>
          <w:rFonts w:ascii="Palatino Linotype" w:hAnsi="Palatino Linotype" w:cstheme="minorHAnsi"/>
          <w:sz w:val="22"/>
          <w:szCs w:val="22"/>
        </w:rPr>
        <w:br/>
      </w:r>
      <w:r w:rsidR="00815160" w:rsidRPr="00815160">
        <w:rPr>
          <w:rFonts w:ascii="Palatino Linotype" w:hAnsi="Palatino Linotype" w:cstheme="minorHAnsi"/>
          <w:sz w:val="22"/>
          <w:szCs w:val="22"/>
        </w:rPr>
        <w:t xml:space="preserve">When consumption and investment data are evaluated together, it is seen that domestic demand has started to shrink and there is a break in high economic growth trend </w:t>
      </w:r>
      <w:r w:rsidR="00815160">
        <w:rPr>
          <w:rFonts w:ascii="Palatino Linotype" w:hAnsi="Palatino Linotype" w:cstheme="minorHAnsi"/>
          <w:sz w:val="22"/>
          <w:szCs w:val="22"/>
        </w:rPr>
        <w:t>depending</w:t>
      </w:r>
      <w:r w:rsidR="00815160" w:rsidRPr="00815160">
        <w:rPr>
          <w:rFonts w:ascii="Palatino Linotype" w:hAnsi="Palatino Linotype" w:cstheme="minorHAnsi"/>
          <w:sz w:val="22"/>
          <w:szCs w:val="22"/>
        </w:rPr>
        <w:t xml:space="preserve"> </w:t>
      </w:r>
      <w:r w:rsidR="00815160">
        <w:rPr>
          <w:rFonts w:ascii="Palatino Linotype" w:hAnsi="Palatino Linotype" w:cstheme="minorHAnsi"/>
          <w:sz w:val="22"/>
          <w:szCs w:val="22"/>
        </w:rPr>
        <w:t xml:space="preserve">on </w:t>
      </w:r>
      <w:r w:rsidR="00815160" w:rsidRPr="00815160">
        <w:rPr>
          <w:rFonts w:ascii="Palatino Linotype" w:hAnsi="Palatino Linotype" w:cstheme="minorHAnsi"/>
          <w:sz w:val="22"/>
          <w:szCs w:val="22"/>
        </w:rPr>
        <w:t xml:space="preserve">domestic demand. </w:t>
      </w:r>
    </w:p>
    <w:p w14:paraId="502139DC" w14:textId="77777777" w:rsidR="00C80503" w:rsidRPr="00C80503" w:rsidRDefault="00C80503" w:rsidP="00C80503">
      <w:pPr>
        <w:pStyle w:val="NormalWeb"/>
        <w:spacing w:before="0" w:beforeAutospacing="0" w:after="120" w:afterAutospacing="0" w:line="360" w:lineRule="auto"/>
        <w:ind w:right="79"/>
        <w:rPr>
          <w:rFonts w:ascii="Palatino Linotype" w:hAnsi="Palatino Linotype" w:cstheme="minorHAnsi"/>
          <w:sz w:val="22"/>
          <w:szCs w:val="22"/>
        </w:rPr>
      </w:pPr>
    </w:p>
    <w:p w14:paraId="0A7340BC" w14:textId="68456B90" w:rsidR="00556396" w:rsidRDefault="003166A0" w:rsidP="00556396">
      <w:pPr>
        <w:pStyle w:val="NormalWeb"/>
        <w:spacing w:before="0" w:beforeAutospacing="0" w:after="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Meltdown in s</w:t>
      </w:r>
      <w:r w:rsidR="00556396" w:rsidRPr="000242B7">
        <w:rPr>
          <w:rFonts w:ascii="Palatino Linotype" w:hAnsi="Palatino Linotype" w:cstheme="minorHAnsi"/>
          <w:b/>
          <w:sz w:val="22"/>
          <w:szCs w:val="22"/>
        </w:rPr>
        <w:t>tocks</w:t>
      </w:r>
      <w:r w:rsidR="00781312" w:rsidRPr="000242B7">
        <w:rPr>
          <w:rFonts w:ascii="Palatino Linotype" w:hAnsi="Palatino Linotype" w:cstheme="minorHAnsi"/>
          <w:b/>
          <w:sz w:val="22"/>
          <w:szCs w:val="22"/>
        </w:rPr>
        <w:t xml:space="preserve"> </w:t>
      </w:r>
      <w:r w:rsidR="00781312" w:rsidRPr="000242B7">
        <w:rPr>
          <w:rStyle w:val="FootnoteReference"/>
          <w:rFonts w:ascii="Palatino Linotype" w:hAnsi="Palatino Linotype" w:cstheme="minorHAnsi"/>
          <w:b/>
          <w:sz w:val="22"/>
          <w:szCs w:val="22"/>
        </w:rPr>
        <w:footnoteReference w:id="4"/>
      </w:r>
    </w:p>
    <w:p w14:paraId="39E36EEF" w14:textId="6990F144" w:rsidR="00E80A0B" w:rsidRDefault="00781312" w:rsidP="00556396">
      <w:pPr>
        <w:pStyle w:val="NormalWeb"/>
        <w:spacing w:before="0" w:beforeAutospacing="0" w:after="0" w:afterAutospacing="0" w:line="360" w:lineRule="auto"/>
        <w:ind w:right="79"/>
        <w:rPr>
          <w:rFonts w:ascii="Palatino Linotype" w:hAnsi="Palatino Linotype" w:cstheme="minorHAnsi"/>
          <w:sz w:val="22"/>
          <w:szCs w:val="22"/>
        </w:rPr>
      </w:pPr>
      <w:r>
        <w:rPr>
          <w:rFonts w:ascii="Palatino Linotype" w:hAnsi="Palatino Linotype" w:cstheme="minorHAnsi"/>
          <w:sz w:val="22"/>
          <w:szCs w:val="22"/>
        </w:rPr>
        <w:t>Stock changes</w:t>
      </w:r>
      <w:r w:rsidR="003B5AC1">
        <w:rPr>
          <w:rFonts w:ascii="Palatino Linotype" w:hAnsi="Palatino Linotype" w:cstheme="minorHAnsi"/>
          <w:sz w:val="22"/>
          <w:szCs w:val="22"/>
        </w:rPr>
        <w:t>,</w:t>
      </w:r>
      <w:r w:rsidR="00D76EC3">
        <w:rPr>
          <w:rFonts w:ascii="Palatino Linotype" w:hAnsi="Palatino Linotype" w:cstheme="minorHAnsi"/>
          <w:sz w:val="22"/>
          <w:szCs w:val="22"/>
        </w:rPr>
        <w:t xml:space="preserve"> </w:t>
      </w:r>
      <w:r w:rsidR="003B5AC1">
        <w:rPr>
          <w:rFonts w:ascii="Palatino Linotype" w:hAnsi="Palatino Linotype" w:cstheme="minorHAnsi"/>
          <w:sz w:val="22"/>
          <w:szCs w:val="22"/>
        </w:rPr>
        <w:t xml:space="preserve">which had </w:t>
      </w:r>
      <w:r w:rsidR="00D76EC3">
        <w:rPr>
          <w:rFonts w:ascii="Palatino Linotype" w:hAnsi="Palatino Linotype" w:cstheme="minorHAnsi"/>
          <w:sz w:val="22"/>
          <w:szCs w:val="22"/>
        </w:rPr>
        <w:t>contributed to growth</w:t>
      </w:r>
      <w:r w:rsidR="00F819BC">
        <w:rPr>
          <w:rFonts w:ascii="Palatino Linotype" w:hAnsi="Palatino Linotype" w:cstheme="minorHAnsi"/>
          <w:sz w:val="22"/>
          <w:szCs w:val="22"/>
        </w:rPr>
        <w:t xml:space="preserve"> by </w:t>
      </w:r>
      <w:r w:rsidR="00C45688">
        <w:rPr>
          <w:rFonts w:ascii="Palatino Linotype" w:hAnsi="Palatino Linotype" w:cstheme="minorHAnsi"/>
          <w:sz w:val="22"/>
          <w:szCs w:val="22"/>
        </w:rPr>
        <w:t>minus 1.9</w:t>
      </w:r>
      <w:r w:rsidR="00F819BC">
        <w:rPr>
          <w:rFonts w:ascii="Palatino Linotype" w:hAnsi="Palatino Linotype" w:cstheme="minorHAnsi"/>
          <w:sz w:val="22"/>
          <w:szCs w:val="22"/>
        </w:rPr>
        <w:t xml:space="preserve"> percentage points</w:t>
      </w:r>
      <w:r w:rsidR="003B5AC1">
        <w:rPr>
          <w:rFonts w:ascii="Palatino Linotype" w:hAnsi="Palatino Linotype" w:cstheme="minorHAnsi"/>
          <w:sz w:val="22"/>
          <w:szCs w:val="22"/>
        </w:rPr>
        <w:t xml:space="preserve"> </w:t>
      </w:r>
      <w:r w:rsidR="00D76EC3">
        <w:rPr>
          <w:rFonts w:ascii="Palatino Linotype" w:hAnsi="Palatino Linotype" w:cstheme="minorHAnsi"/>
          <w:sz w:val="22"/>
          <w:szCs w:val="22"/>
        </w:rPr>
        <w:t xml:space="preserve">in the </w:t>
      </w:r>
      <w:r w:rsidR="00C45688">
        <w:rPr>
          <w:rFonts w:ascii="Palatino Linotype" w:hAnsi="Palatino Linotype" w:cstheme="minorHAnsi"/>
          <w:sz w:val="22"/>
          <w:szCs w:val="22"/>
        </w:rPr>
        <w:t>second</w:t>
      </w:r>
      <w:r w:rsidR="00D76EC3">
        <w:rPr>
          <w:rFonts w:ascii="Palatino Linotype" w:hAnsi="Palatino Linotype" w:cstheme="minorHAnsi"/>
          <w:sz w:val="22"/>
          <w:szCs w:val="22"/>
        </w:rPr>
        <w:t xml:space="preserve"> quarter</w:t>
      </w:r>
      <w:r>
        <w:rPr>
          <w:rFonts w:ascii="Palatino Linotype" w:hAnsi="Palatino Linotype" w:cstheme="minorHAnsi"/>
          <w:sz w:val="22"/>
          <w:szCs w:val="22"/>
        </w:rPr>
        <w:t xml:space="preserve"> of </w:t>
      </w:r>
      <w:r w:rsidR="00C45688">
        <w:rPr>
          <w:rFonts w:ascii="Palatino Linotype" w:hAnsi="Palatino Linotype" w:cstheme="minorHAnsi"/>
          <w:sz w:val="22"/>
          <w:szCs w:val="22"/>
        </w:rPr>
        <w:t>2018, contributed minus 7</w:t>
      </w:r>
      <w:r w:rsidR="003B5AC1">
        <w:rPr>
          <w:rFonts w:ascii="Palatino Linotype" w:hAnsi="Palatino Linotype" w:cstheme="minorHAnsi"/>
          <w:sz w:val="22"/>
          <w:szCs w:val="22"/>
        </w:rPr>
        <w:t xml:space="preserve"> percentage points to growth in the </w:t>
      </w:r>
      <w:r w:rsidR="00C45688">
        <w:rPr>
          <w:rFonts w:ascii="Palatino Linotype" w:hAnsi="Palatino Linotype" w:cstheme="minorHAnsi"/>
          <w:sz w:val="22"/>
          <w:szCs w:val="22"/>
        </w:rPr>
        <w:t>third</w:t>
      </w:r>
      <w:r w:rsidR="003B5AC1">
        <w:rPr>
          <w:rFonts w:ascii="Palatino Linotype" w:hAnsi="Palatino Linotype" w:cstheme="minorHAnsi"/>
          <w:sz w:val="22"/>
          <w:szCs w:val="22"/>
        </w:rPr>
        <w:t xml:space="preserve"> quarter </w:t>
      </w:r>
      <w:r w:rsidR="003B5AC1">
        <w:rPr>
          <w:rFonts w:ascii="Palatino Linotype" w:hAnsi="Palatino Linotype" w:cstheme="minorHAnsi"/>
          <w:sz w:val="22"/>
          <w:szCs w:val="22"/>
        </w:rPr>
        <w:lastRenderedPageBreak/>
        <w:t xml:space="preserve">of 2018 (Table 1). </w:t>
      </w:r>
      <w:r>
        <w:rPr>
          <w:rFonts w:ascii="Palatino Linotype" w:hAnsi="Palatino Linotype" w:cstheme="minorHAnsi"/>
          <w:sz w:val="22"/>
          <w:szCs w:val="22"/>
        </w:rPr>
        <w:t>When we look</w:t>
      </w:r>
      <w:r w:rsidR="00E80A0B">
        <w:rPr>
          <w:rFonts w:ascii="Palatino Linotype" w:hAnsi="Palatino Linotype" w:cstheme="minorHAnsi"/>
          <w:sz w:val="22"/>
          <w:szCs w:val="22"/>
        </w:rPr>
        <w:t xml:space="preserve"> </w:t>
      </w:r>
      <w:r>
        <w:rPr>
          <w:rFonts w:ascii="Palatino Linotype" w:hAnsi="Palatino Linotype" w:cstheme="minorHAnsi"/>
          <w:sz w:val="22"/>
          <w:szCs w:val="22"/>
        </w:rPr>
        <w:t xml:space="preserve">quarterly growth, </w:t>
      </w:r>
      <w:r w:rsidR="001F25C8">
        <w:rPr>
          <w:rFonts w:ascii="Palatino Linotype" w:hAnsi="Palatino Linotype" w:cstheme="minorHAnsi"/>
          <w:sz w:val="22"/>
          <w:szCs w:val="22"/>
        </w:rPr>
        <w:t>we see</w:t>
      </w:r>
      <w:r w:rsidR="00BF0205">
        <w:rPr>
          <w:rFonts w:ascii="Palatino Linotype" w:hAnsi="Palatino Linotype" w:cstheme="minorHAnsi"/>
          <w:sz w:val="22"/>
          <w:szCs w:val="22"/>
        </w:rPr>
        <w:t xml:space="preserve"> that </w:t>
      </w:r>
      <w:r w:rsidR="00E80A0B" w:rsidRPr="007D787D">
        <w:rPr>
          <w:rFonts w:ascii="Palatino Linotype" w:hAnsi="Palatino Linotype" w:cstheme="minorHAnsi"/>
          <w:sz w:val="22"/>
          <w:szCs w:val="22"/>
        </w:rPr>
        <w:t xml:space="preserve">seasonally and calendar day adjusted </w:t>
      </w:r>
      <w:r w:rsidR="00C45688">
        <w:rPr>
          <w:rFonts w:ascii="Palatino Linotype" w:hAnsi="Palatino Linotype" w:cstheme="minorHAnsi"/>
          <w:sz w:val="22"/>
          <w:szCs w:val="22"/>
        </w:rPr>
        <w:t xml:space="preserve">stock changes </w:t>
      </w:r>
      <w:r w:rsidR="00EA29DD">
        <w:rPr>
          <w:rFonts w:ascii="Palatino Linotype" w:hAnsi="Palatino Linotype" w:cstheme="minorHAnsi"/>
          <w:sz w:val="22"/>
          <w:szCs w:val="22"/>
        </w:rPr>
        <w:t>do not</w:t>
      </w:r>
      <w:r w:rsidR="00C45688">
        <w:rPr>
          <w:rFonts w:ascii="Palatino Linotype" w:hAnsi="Palatino Linotype" w:cstheme="minorHAnsi"/>
          <w:sz w:val="22"/>
          <w:szCs w:val="22"/>
        </w:rPr>
        <w:t xml:space="preserve"> contribut</w:t>
      </w:r>
      <w:r w:rsidR="00EA29DD">
        <w:rPr>
          <w:rFonts w:ascii="Palatino Linotype" w:hAnsi="Palatino Linotype" w:cstheme="minorHAnsi"/>
          <w:sz w:val="22"/>
          <w:szCs w:val="22"/>
        </w:rPr>
        <w:t>e</w:t>
      </w:r>
      <w:r w:rsidR="00C45688">
        <w:rPr>
          <w:rFonts w:ascii="Palatino Linotype" w:hAnsi="Palatino Linotype" w:cstheme="minorHAnsi"/>
          <w:sz w:val="22"/>
          <w:szCs w:val="22"/>
        </w:rPr>
        <w:t xml:space="preserve"> to </w:t>
      </w:r>
      <w:r w:rsidR="00EA29DD">
        <w:rPr>
          <w:rFonts w:ascii="Palatino Linotype" w:hAnsi="Palatino Linotype" w:cstheme="minorHAnsi"/>
          <w:sz w:val="22"/>
          <w:szCs w:val="22"/>
        </w:rPr>
        <w:t xml:space="preserve">GDP </w:t>
      </w:r>
      <w:bookmarkStart w:id="0" w:name="_GoBack"/>
      <w:bookmarkEnd w:id="0"/>
      <w:r w:rsidR="00C45688">
        <w:rPr>
          <w:rFonts w:ascii="Palatino Linotype" w:hAnsi="Palatino Linotype" w:cstheme="minorHAnsi"/>
          <w:sz w:val="22"/>
          <w:szCs w:val="22"/>
        </w:rPr>
        <w:t xml:space="preserve">growth </w:t>
      </w:r>
      <w:r w:rsidR="00C34FEA" w:rsidRPr="007D787D">
        <w:rPr>
          <w:rFonts w:ascii="Palatino Linotype" w:hAnsi="Palatino Linotype" w:cstheme="minorHAnsi"/>
          <w:sz w:val="22"/>
          <w:szCs w:val="22"/>
        </w:rPr>
        <w:t>(Table 2).</w:t>
      </w:r>
      <w:bookmarkStart w:id="1" w:name="_Hlk501449844"/>
    </w:p>
    <w:bookmarkEnd w:id="1"/>
    <w:p w14:paraId="6E3DED76" w14:textId="77777777" w:rsidR="00556396" w:rsidRDefault="00556396" w:rsidP="00556396">
      <w:pPr>
        <w:pStyle w:val="NormalWeb"/>
        <w:spacing w:before="0" w:beforeAutospacing="0" w:after="0" w:afterAutospacing="0" w:line="360" w:lineRule="auto"/>
        <w:ind w:right="79"/>
        <w:jc w:val="both"/>
        <w:rPr>
          <w:rFonts w:ascii="Palatino Linotype" w:hAnsi="Palatino Linotype" w:cstheme="minorHAnsi"/>
          <w:b/>
          <w:sz w:val="22"/>
          <w:szCs w:val="22"/>
        </w:rPr>
      </w:pPr>
    </w:p>
    <w:p w14:paraId="5BDFCE49" w14:textId="61C56EF1" w:rsidR="002F6884" w:rsidRDefault="00C45688" w:rsidP="00556396">
      <w:pPr>
        <w:pStyle w:val="NormalWeb"/>
        <w:spacing w:before="0" w:beforeAutospacing="0" w:after="0" w:afterAutospacing="0" w:line="360" w:lineRule="auto"/>
        <w:ind w:right="79"/>
        <w:jc w:val="both"/>
        <w:rPr>
          <w:rFonts w:ascii="Palatino Linotype" w:hAnsi="Palatino Linotype" w:cstheme="minorHAnsi"/>
          <w:b/>
          <w:sz w:val="22"/>
          <w:szCs w:val="22"/>
        </w:rPr>
      </w:pPr>
      <w:r>
        <w:rPr>
          <w:rFonts w:ascii="Palatino Linotype" w:hAnsi="Palatino Linotype" w:cstheme="minorHAnsi"/>
          <w:b/>
          <w:sz w:val="22"/>
          <w:szCs w:val="22"/>
        </w:rPr>
        <w:t>Positive contribution of net foreign trade</w:t>
      </w:r>
      <w:r w:rsidR="00CE6742" w:rsidRPr="00CE6742">
        <w:rPr>
          <w:rFonts w:ascii="Palatino Linotype" w:hAnsi="Palatino Linotype" w:cstheme="minorHAnsi"/>
          <w:b/>
          <w:sz w:val="22"/>
          <w:szCs w:val="22"/>
        </w:rPr>
        <w:t xml:space="preserve"> </w:t>
      </w:r>
      <w:r w:rsidR="007E3F1F">
        <w:rPr>
          <w:rFonts w:ascii="Palatino Linotype" w:hAnsi="Palatino Linotype" w:cstheme="minorHAnsi"/>
          <w:b/>
          <w:sz w:val="22"/>
          <w:szCs w:val="22"/>
        </w:rPr>
        <w:t>continues</w:t>
      </w:r>
      <w:r>
        <w:rPr>
          <w:rFonts w:ascii="Palatino Linotype" w:hAnsi="Palatino Linotype" w:cstheme="minorHAnsi"/>
          <w:b/>
          <w:sz w:val="22"/>
          <w:szCs w:val="22"/>
        </w:rPr>
        <w:t xml:space="preserve"> increasingly</w:t>
      </w:r>
    </w:p>
    <w:p w14:paraId="213AE83F" w14:textId="676AA7DE" w:rsidR="00D92B0A" w:rsidRDefault="00C45688" w:rsidP="00556396">
      <w:pPr>
        <w:pStyle w:val="NormalWeb"/>
        <w:spacing w:before="0" w:beforeAutospacing="0" w:after="0" w:afterAutospacing="0" w:line="360" w:lineRule="auto"/>
        <w:ind w:right="79"/>
        <w:jc w:val="both"/>
        <w:rPr>
          <w:rFonts w:ascii="Palatino Linotype" w:hAnsi="Palatino Linotype" w:cstheme="minorHAnsi"/>
          <w:sz w:val="22"/>
          <w:szCs w:val="22"/>
        </w:rPr>
      </w:pPr>
      <w:r>
        <w:rPr>
          <w:rFonts w:ascii="Palatino Linotype" w:hAnsi="Palatino Linotype" w:cstheme="minorHAnsi"/>
          <w:sz w:val="22"/>
          <w:szCs w:val="22"/>
        </w:rPr>
        <w:t>I</w:t>
      </w:r>
      <w:r w:rsidR="00745B7D">
        <w:rPr>
          <w:rFonts w:ascii="Palatino Linotype" w:hAnsi="Palatino Linotype" w:cstheme="minorHAnsi"/>
          <w:sz w:val="22"/>
          <w:szCs w:val="22"/>
        </w:rPr>
        <w:t xml:space="preserve">n the </w:t>
      </w:r>
      <w:r>
        <w:rPr>
          <w:rFonts w:ascii="Palatino Linotype" w:hAnsi="Palatino Linotype" w:cstheme="minorHAnsi"/>
          <w:sz w:val="22"/>
          <w:szCs w:val="22"/>
        </w:rPr>
        <w:t>second quarter of 2018</w:t>
      </w:r>
      <w:r w:rsidR="00745B7D">
        <w:rPr>
          <w:rFonts w:ascii="Palatino Linotype" w:hAnsi="Palatino Linotype" w:cstheme="minorHAnsi"/>
          <w:sz w:val="22"/>
          <w:szCs w:val="22"/>
        </w:rPr>
        <w:t>,</w:t>
      </w:r>
      <w:r>
        <w:rPr>
          <w:rFonts w:ascii="Palatino Linotype" w:hAnsi="Palatino Linotype" w:cstheme="minorHAnsi"/>
          <w:sz w:val="22"/>
          <w:szCs w:val="22"/>
        </w:rPr>
        <w:t xml:space="preserve"> we had witnessed that the</w:t>
      </w:r>
      <w:r w:rsidR="00745B7D">
        <w:rPr>
          <w:rFonts w:ascii="Palatino Linotype" w:hAnsi="Palatino Linotype" w:cstheme="minorHAnsi"/>
          <w:sz w:val="22"/>
          <w:szCs w:val="22"/>
        </w:rPr>
        <w:t xml:space="preserve"> i</w:t>
      </w:r>
      <w:r w:rsidR="00C80503">
        <w:rPr>
          <w:rFonts w:ascii="Palatino Linotype" w:hAnsi="Palatino Linotype" w:cstheme="minorHAnsi"/>
          <w:sz w:val="22"/>
          <w:szCs w:val="22"/>
        </w:rPr>
        <w:t>ncrease in export reached to almost 5</w:t>
      </w:r>
      <w:r w:rsidR="00745B7D">
        <w:rPr>
          <w:rFonts w:ascii="Palatino Linotype" w:hAnsi="Palatino Linotype" w:cstheme="minorHAnsi"/>
          <w:sz w:val="22"/>
          <w:szCs w:val="22"/>
        </w:rPr>
        <w:t xml:space="preserve"> percent and </w:t>
      </w:r>
      <w:r w:rsidR="00C80503">
        <w:rPr>
          <w:rFonts w:ascii="Palatino Linotype" w:hAnsi="Palatino Linotype" w:cstheme="minorHAnsi"/>
          <w:sz w:val="22"/>
          <w:szCs w:val="22"/>
        </w:rPr>
        <w:t>increase in export dipped to 0</w:t>
      </w:r>
      <w:r w:rsidR="00745B7D">
        <w:rPr>
          <w:rFonts w:ascii="Palatino Linotype" w:hAnsi="Palatino Linotype" w:cstheme="minorHAnsi"/>
          <w:sz w:val="22"/>
          <w:szCs w:val="22"/>
        </w:rPr>
        <w:t xml:space="preserve"> percent. </w:t>
      </w:r>
      <w:r w:rsidR="00D92B0A">
        <w:rPr>
          <w:rFonts w:ascii="Palatino Linotype" w:hAnsi="Palatino Linotype" w:cstheme="minorHAnsi"/>
          <w:sz w:val="22"/>
          <w:szCs w:val="22"/>
        </w:rPr>
        <w:t xml:space="preserve">This transformation in foreign trade </w:t>
      </w:r>
      <w:r w:rsidR="004A3CC1">
        <w:rPr>
          <w:rFonts w:ascii="Palatino Linotype" w:hAnsi="Palatino Linotype" w:cstheme="minorHAnsi"/>
          <w:sz w:val="22"/>
          <w:szCs w:val="22"/>
        </w:rPr>
        <w:t>continues</w:t>
      </w:r>
      <w:r w:rsidR="007E3F1F">
        <w:rPr>
          <w:rFonts w:ascii="Palatino Linotype" w:hAnsi="Palatino Linotype" w:cstheme="minorHAnsi"/>
          <w:sz w:val="22"/>
          <w:szCs w:val="22"/>
        </w:rPr>
        <w:t xml:space="preserve"> by </w:t>
      </w:r>
      <w:r w:rsidR="00441D87">
        <w:rPr>
          <w:rFonts w:ascii="Palatino Linotype" w:hAnsi="Palatino Linotype" w:cstheme="minorHAnsi"/>
          <w:sz w:val="22"/>
          <w:szCs w:val="22"/>
        </w:rPr>
        <w:t>maintaining</w:t>
      </w:r>
      <w:r w:rsidR="007E3F1F">
        <w:rPr>
          <w:rFonts w:ascii="Palatino Linotype" w:hAnsi="Palatino Linotype" w:cstheme="minorHAnsi"/>
          <w:sz w:val="22"/>
          <w:szCs w:val="22"/>
        </w:rPr>
        <w:t xml:space="preserve"> its pace. We see a substantial increase in its contribution to growth. While the contribution of foreign trade was minus 4.1 percentage points</w:t>
      </w:r>
      <w:r w:rsidR="004A3CC1">
        <w:rPr>
          <w:rFonts w:ascii="Palatino Linotype" w:hAnsi="Palatino Linotype" w:cstheme="minorHAnsi"/>
          <w:sz w:val="22"/>
          <w:szCs w:val="22"/>
        </w:rPr>
        <w:t xml:space="preserve"> in the first quarter of 2018</w:t>
      </w:r>
      <w:r w:rsidR="007E3F1F">
        <w:rPr>
          <w:rFonts w:ascii="Palatino Linotype" w:hAnsi="Palatino Linotype" w:cstheme="minorHAnsi"/>
          <w:sz w:val="22"/>
          <w:szCs w:val="22"/>
        </w:rPr>
        <w:t xml:space="preserve">, in the second quarter of the year it turned positive and reached 1.1 percentage points (Table 1). As the third quarter of 2018, </w:t>
      </w:r>
      <w:r w:rsidR="004A3CC1">
        <w:rPr>
          <w:rFonts w:ascii="Palatino Linotype" w:hAnsi="Palatino Linotype" w:cstheme="minorHAnsi"/>
          <w:sz w:val="22"/>
          <w:szCs w:val="22"/>
        </w:rPr>
        <w:t xml:space="preserve">we see that </w:t>
      </w:r>
      <w:r w:rsidR="007E3F1F">
        <w:rPr>
          <w:rFonts w:ascii="Palatino Linotype" w:hAnsi="Palatino Linotype" w:cstheme="minorHAnsi"/>
          <w:sz w:val="22"/>
          <w:szCs w:val="22"/>
        </w:rPr>
        <w:t xml:space="preserve">the contribution to growth of </w:t>
      </w:r>
      <w:r w:rsidR="004A3CC1">
        <w:rPr>
          <w:rFonts w:ascii="Palatino Linotype" w:hAnsi="Palatino Linotype" w:cstheme="minorHAnsi"/>
          <w:sz w:val="22"/>
          <w:szCs w:val="22"/>
        </w:rPr>
        <w:t>net foreign exchange went up to 8.1 percentage points.</w:t>
      </w:r>
      <w:r w:rsidR="007E3F1F">
        <w:rPr>
          <w:rFonts w:ascii="Palatino Linotype" w:hAnsi="Palatino Linotype" w:cstheme="minorHAnsi"/>
          <w:sz w:val="22"/>
          <w:szCs w:val="22"/>
        </w:rPr>
        <w:t xml:space="preserve"> </w:t>
      </w:r>
      <w:r w:rsidR="00441D87">
        <w:rPr>
          <w:rFonts w:ascii="Palatino Linotype" w:hAnsi="Palatino Linotype" w:cstheme="minorHAnsi"/>
          <w:sz w:val="22"/>
          <w:szCs w:val="22"/>
        </w:rPr>
        <w:t>Besides</w:t>
      </w:r>
      <w:r w:rsidR="000C22FC">
        <w:rPr>
          <w:rFonts w:ascii="Palatino Linotype" w:hAnsi="Palatino Linotype" w:cstheme="minorHAnsi"/>
          <w:sz w:val="22"/>
          <w:szCs w:val="22"/>
        </w:rPr>
        <w:t xml:space="preserve">, using </w:t>
      </w:r>
      <w:r w:rsidR="000C22FC" w:rsidRPr="007D787D">
        <w:rPr>
          <w:rFonts w:ascii="Palatino Linotype" w:hAnsi="Palatino Linotype" w:cstheme="minorHAnsi"/>
          <w:sz w:val="22"/>
          <w:szCs w:val="22"/>
        </w:rPr>
        <w:t xml:space="preserve">seasonally and calendar day adjusted </w:t>
      </w:r>
      <w:r w:rsidR="000C22FC">
        <w:rPr>
          <w:rFonts w:ascii="Palatino Linotype" w:hAnsi="Palatino Linotype" w:cstheme="minorHAnsi"/>
          <w:sz w:val="22"/>
          <w:szCs w:val="22"/>
        </w:rPr>
        <w:t>data,</w:t>
      </w:r>
      <w:r w:rsidR="000C22FC" w:rsidRPr="00C745E7">
        <w:rPr>
          <w:rFonts w:ascii="Palatino Linotype" w:hAnsi="Palatino Linotype" w:cstheme="minorHAnsi"/>
          <w:sz w:val="22"/>
          <w:szCs w:val="22"/>
        </w:rPr>
        <w:t xml:space="preserve"> </w:t>
      </w:r>
      <w:r w:rsidR="000C22FC">
        <w:rPr>
          <w:rFonts w:ascii="Palatino Linotype" w:hAnsi="Palatino Linotype" w:cstheme="minorHAnsi"/>
          <w:sz w:val="22"/>
          <w:szCs w:val="22"/>
        </w:rPr>
        <w:t>w</w:t>
      </w:r>
      <w:r w:rsidR="000C22FC" w:rsidRPr="00C745E7">
        <w:rPr>
          <w:rFonts w:ascii="Palatino Linotype" w:hAnsi="Palatino Linotype" w:cstheme="minorHAnsi"/>
          <w:sz w:val="22"/>
          <w:szCs w:val="22"/>
        </w:rPr>
        <w:t xml:space="preserve">e observe </w:t>
      </w:r>
      <w:r w:rsidR="000C22FC">
        <w:rPr>
          <w:rFonts w:ascii="Palatino Linotype" w:hAnsi="Palatino Linotype" w:cstheme="minorHAnsi"/>
          <w:sz w:val="22"/>
          <w:szCs w:val="22"/>
        </w:rPr>
        <w:t>that contribution of e</w:t>
      </w:r>
      <w:r w:rsidR="000C22FC" w:rsidRPr="00C745E7">
        <w:rPr>
          <w:rFonts w:ascii="Palatino Linotype" w:hAnsi="Palatino Linotype" w:cstheme="minorHAnsi"/>
          <w:sz w:val="22"/>
          <w:szCs w:val="22"/>
        </w:rPr>
        <w:t>xports</w:t>
      </w:r>
      <w:r w:rsidR="000C22FC">
        <w:rPr>
          <w:rFonts w:ascii="Palatino Linotype" w:hAnsi="Palatino Linotype" w:cstheme="minorHAnsi"/>
          <w:sz w:val="22"/>
          <w:szCs w:val="22"/>
        </w:rPr>
        <w:t xml:space="preserve"> and imports</w:t>
      </w:r>
      <w:r w:rsidR="000C22FC" w:rsidRPr="00C745E7">
        <w:rPr>
          <w:rFonts w:ascii="Palatino Linotype" w:hAnsi="Palatino Linotype" w:cstheme="minorHAnsi"/>
          <w:sz w:val="22"/>
          <w:szCs w:val="22"/>
        </w:rPr>
        <w:t xml:space="preserve"> </w:t>
      </w:r>
      <w:r w:rsidR="000C22FC">
        <w:rPr>
          <w:rFonts w:ascii="Palatino Linotype" w:hAnsi="Palatino Linotype" w:cstheme="minorHAnsi"/>
          <w:sz w:val="22"/>
          <w:szCs w:val="22"/>
        </w:rPr>
        <w:t>increased; as a result, contribution of net foreign trade increased from 2 percentage points to 2.7 percentage points (Table 2).</w:t>
      </w:r>
    </w:p>
    <w:p w14:paraId="537AFB79" w14:textId="77777777" w:rsidR="00556396" w:rsidRDefault="00556396"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p>
    <w:p w14:paraId="1675665A" w14:textId="7E27AF3F" w:rsidR="00556396" w:rsidRDefault="00556396" w:rsidP="00556396">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t>Public spending remains high</w:t>
      </w:r>
    </w:p>
    <w:p w14:paraId="63CE89EE" w14:textId="6B64EF54" w:rsidR="004606E3" w:rsidRPr="007D787D" w:rsidRDefault="00684E04" w:rsidP="00556396">
      <w:pPr>
        <w:pStyle w:val="NormalWeb"/>
        <w:spacing w:before="0" w:beforeAutospacing="0" w:after="0" w:afterAutospacing="0" w:line="360" w:lineRule="auto"/>
        <w:ind w:right="79"/>
        <w:jc w:val="both"/>
        <w:rPr>
          <w:rFonts w:ascii="Palatino Linotype" w:hAnsi="Palatino Linotype" w:cstheme="minorHAnsi"/>
          <w:sz w:val="22"/>
          <w:szCs w:val="22"/>
        </w:rPr>
      </w:pPr>
      <w:r>
        <w:rPr>
          <w:rFonts w:ascii="Palatino Linotype" w:hAnsi="Palatino Linotype" w:cstheme="minorHAnsi"/>
          <w:bCs/>
          <w:sz w:val="22"/>
          <w:szCs w:val="22"/>
        </w:rPr>
        <w:t xml:space="preserve">Ever since the fourth quarter of 2017, the government has clearly increased public consumption expenditures. </w:t>
      </w:r>
      <w:r w:rsidR="004606E3">
        <w:rPr>
          <w:rFonts w:ascii="Palatino Linotype" w:hAnsi="Palatino Linotype" w:cstheme="minorHAnsi"/>
          <w:bCs/>
          <w:sz w:val="22"/>
          <w:szCs w:val="22"/>
        </w:rPr>
        <w:t xml:space="preserve">In the first </w:t>
      </w:r>
      <w:r w:rsidR="006D59B8">
        <w:rPr>
          <w:rFonts w:ascii="Palatino Linotype" w:hAnsi="Palatino Linotype" w:cstheme="minorHAnsi"/>
          <w:bCs/>
          <w:sz w:val="22"/>
          <w:szCs w:val="22"/>
        </w:rPr>
        <w:t>two</w:t>
      </w:r>
      <w:r w:rsidR="004606E3">
        <w:rPr>
          <w:rFonts w:ascii="Palatino Linotype" w:hAnsi="Palatino Linotype" w:cstheme="minorHAnsi"/>
          <w:bCs/>
          <w:sz w:val="22"/>
          <w:szCs w:val="22"/>
        </w:rPr>
        <w:t xml:space="preserve"> quarter</w:t>
      </w:r>
      <w:r w:rsidR="006D59B8">
        <w:rPr>
          <w:rFonts w:ascii="Palatino Linotype" w:hAnsi="Palatino Linotype" w:cstheme="minorHAnsi"/>
          <w:bCs/>
          <w:sz w:val="22"/>
          <w:szCs w:val="22"/>
        </w:rPr>
        <w:t>s</w:t>
      </w:r>
      <w:r w:rsidR="004606E3">
        <w:rPr>
          <w:rFonts w:ascii="Palatino Linotype" w:hAnsi="Palatino Linotype" w:cstheme="minorHAnsi"/>
          <w:bCs/>
          <w:sz w:val="22"/>
          <w:szCs w:val="22"/>
        </w:rPr>
        <w:t xml:space="preserve"> of 2018</w:t>
      </w:r>
      <w:r w:rsidR="00484A6D">
        <w:rPr>
          <w:rFonts w:ascii="Palatino Linotype" w:hAnsi="Palatino Linotype" w:cstheme="minorHAnsi"/>
          <w:bCs/>
          <w:sz w:val="22"/>
          <w:szCs w:val="22"/>
        </w:rPr>
        <w:t>,</w:t>
      </w:r>
      <w:r w:rsidR="004606E3">
        <w:rPr>
          <w:rFonts w:ascii="Palatino Linotype" w:hAnsi="Palatino Linotype" w:cstheme="minorHAnsi"/>
          <w:bCs/>
          <w:sz w:val="22"/>
          <w:szCs w:val="22"/>
        </w:rPr>
        <w:t xml:space="preserve"> public expenditures </w:t>
      </w:r>
      <w:r w:rsidR="006D59B8">
        <w:rPr>
          <w:rFonts w:ascii="Palatino Linotype" w:hAnsi="Palatino Linotype" w:cstheme="minorHAnsi"/>
          <w:bCs/>
          <w:sz w:val="22"/>
          <w:szCs w:val="22"/>
        </w:rPr>
        <w:t xml:space="preserve">followed this trend and </w:t>
      </w:r>
      <w:r w:rsidR="004606E3">
        <w:rPr>
          <w:rFonts w:ascii="Palatino Linotype" w:hAnsi="Palatino Linotype" w:cstheme="minorHAnsi"/>
          <w:bCs/>
          <w:sz w:val="22"/>
          <w:szCs w:val="22"/>
        </w:rPr>
        <w:t xml:space="preserve">grew </w:t>
      </w:r>
      <w:r w:rsidR="006D59B8">
        <w:rPr>
          <w:rFonts w:ascii="Palatino Linotype" w:hAnsi="Palatino Linotype" w:cstheme="minorHAnsi"/>
          <w:bCs/>
          <w:sz w:val="22"/>
          <w:szCs w:val="22"/>
        </w:rPr>
        <w:t>gradually</w:t>
      </w:r>
      <w:r w:rsidR="004606E3">
        <w:rPr>
          <w:rFonts w:ascii="Palatino Linotype" w:hAnsi="Palatino Linotype" w:cstheme="minorHAnsi"/>
          <w:bCs/>
          <w:sz w:val="22"/>
          <w:szCs w:val="22"/>
        </w:rPr>
        <w:t xml:space="preserve">. As the third quarter, the growth rate </w:t>
      </w:r>
      <w:r w:rsidR="006D59B8">
        <w:rPr>
          <w:rFonts w:ascii="Palatino Linotype" w:hAnsi="Palatino Linotype" w:cstheme="minorHAnsi"/>
          <w:bCs/>
          <w:sz w:val="22"/>
          <w:szCs w:val="22"/>
        </w:rPr>
        <w:t>is</w:t>
      </w:r>
      <w:r w:rsidR="004606E3">
        <w:rPr>
          <w:rFonts w:ascii="Palatino Linotype" w:hAnsi="Palatino Linotype" w:cstheme="minorHAnsi"/>
          <w:bCs/>
          <w:sz w:val="22"/>
          <w:szCs w:val="22"/>
        </w:rPr>
        <w:t xml:space="preserve"> 7.5 percent (Table 1).  On the other hand, w</w:t>
      </w:r>
      <w:r w:rsidR="004606E3">
        <w:rPr>
          <w:rFonts w:ascii="Palatino Linotype" w:hAnsi="Palatino Linotype" w:cstheme="minorHAnsi"/>
          <w:sz w:val="22"/>
          <w:szCs w:val="22"/>
        </w:rPr>
        <w:t>hen we look quarterly growth,</w:t>
      </w:r>
      <w:r w:rsidR="004606E3" w:rsidRPr="00C63F01">
        <w:rPr>
          <w:rFonts w:ascii="Palatino Linotype" w:hAnsi="Palatino Linotype" w:cstheme="minorHAnsi"/>
          <w:sz w:val="22"/>
          <w:szCs w:val="22"/>
        </w:rPr>
        <w:t xml:space="preserve"> </w:t>
      </w:r>
      <w:r w:rsidR="004606E3">
        <w:rPr>
          <w:rFonts w:ascii="Palatino Linotype" w:hAnsi="Palatino Linotype" w:cstheme="minorHAnsi"/>
          <w:sz w:val="22"/>
          <w:szCs w:val="22"/>
        </w:rPr>
        <w:t>t</w:t>
      </w:r>
      <w:r w:rsidR="004606E3" w:rsidRPr="00C63F01">
        <w:rPr>
          <w:rFonts w:ascii="Palatino Linotype" w:hAnsi="Palatino Linotype" w:cstheme="minorHAnsi"/>
          <w:sz w:val="22"/>
          <w:szCs w:val="22"/>
        </w:rPr>
        <w:t>he final consumption expenditures of the government</w:t>
      </w:r>
      <w:r w:rsidR="004606E3">
        <w:rPr>
          <w:rFonts w:ascii="Palatino Linotype" w:hAnsi="Palatino Linotype" w:cstheme="minorHAnsi"/>
          <w:sz w:val="22"/>
          <w:szCs w:val="22"/>
        </w:rPr>
        <w:t xml:space="preserve"> decreased by 2.9 percent and did contribute negatively to quarter-on-quarter GDP growth (Table 2).</w:t>
      </w:r>
    </w:p>
    <w:p w14:paraId="7E0DFB81" w14:textId="77777777" w:rsidR="00556396" w:rsidRDefault="00556396" w:rsidP="002F6884">
      <w:pPr>
        <w:pStyle w:val="NormalWeb"/>
        <w:spacing w:before="0" w:beforeAutospacing="0" w:after="0" w:afterAutospacing="0"/>
        <w:ind w:right="77"/>
        <w:rPr>
          <w:rFonts w:ascii="Palatino Linotype" w:hAnsi="Palatino Linotype" w:cstheme="minorHAnsi"/>
          <w:b/>
          <w:bCs/>
          <w:sz w:val="22"/>
          <w:szCs w:val="22"/>
        </w:rPr>
      </w:pPr>
    </w:p>
    <w:p w14:paraId="785752FE" w14:textId="531CCD44" w:rsidR="00113E0A" w:rsidRPr="007D787D" w:rsidRDefault="00113E0A" w:rsidP="00556396">
      <w:pPr>
        <w:pStyle w:val="NormalWeb"/>
        <w:spacing w:before="0" w:beforeAutospacing="0" w:after="0" w:afterAutospacing="0" w:line="360" w:lineRule="auto"/>
        <w:ind w:right="77"/>
        <w:rPr>
          <w:rFonts w:ascii="Palatino Linotype" w:hAnsi="Palatino Linotype" w:cstheme="minorHAnsi"/>
          <w:b/>
          <w:bCs/>
          <w:sz w:val="22"/>
          <w:szCs w:val="22"/>
        </w:rPr>
      </w:pPr>
      <w:r w:rsidRPr="007D787D">
        <w:rPr>
          <w:rFonts w:ascii="Palatino Linotype" w:hAnsi="Palatino Linotype" w:cstheme="minorHAnsi"/>
          <w:b/>
          <w:bCs/>
          <w:sz w:val="22"/>
          <w:szCs w:val="22"/>
        </w:rPr>
        <w:t>The Future of Growth</w:t>
      </w:r>
    </w:p>
    <w:p w14:paraId="3550D100" w14:textId="5560FB43" w:rsidR="006D59B8" w:rsidRDefault="00BA0BA7" w:rsidP="00556396">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bCs/>
          <w:sz w:val="22"/>
          <w:szCs w:val="22"/>
        </w:rPr>
        <w:t>The negative change of the growth observed since the second quarter of 2018</w:t>
      </w:r>
      <w:r w:rsidR="00AA789A">
        <w:rPr>
          <w:rFonts w:ascii="Palatino Linotype" w:hAnsi="Palatino Linotype" w:cstheme="minorHAnsi"/>
          <w:bCs/>
          <w:sz w:val="22"/>
          <w:szCs w:val="22"/>
        </w:rPr>
        <w:t xml:space="preserve"> </w:t>
      </w:r>
      <w:r w:rsidR="00913396">
        <w:rPr>
          <w:rFonts w:ascii="Palatino Linotype" w:hAnsi="Palatino Linotype" w:cstheme="minorHAnsi"/>
          <w:bCs/>
          <w:sz w:val="22"/>
          <w:szCs w:val="22"/>
        </w:rPr>
        <w:t>keeps following</w:t>
      </w:r>
      <w:r w:rsidR="00AA789A">
        <w:rPr>
          <w:rFonts w:ascii="Palatino Linotype" w:hAnsi="Palatino Linotype" w:cstheme="minorHAnsi"/>
          <w:bCs/>
          <w:sz w:val="22"/>
          <w:szCs w:val="22"/>
        </w:rPr>
        <w:t xml:space="preserve"> its downward trend.</w:t>
      </w:r>
      <w:r>
        <w:rPr>
          <w:rFonts w:ascii="Palatino Linotype" w:hAnsi="Palatino Linotype" w:cstheme="minorHAnsi"/>
          <w:bCs/>
          <w:sz w:val="22"/>
          <w:szCs w:val="22"/>
        </w:rPr>
        <w:t xml:space="preserve"> </w:t>
      </w:r>
      <w:r w:rsidR="00AA789A" w:rsidRPr="00FB6ACD">
        <w:rPr>
          <w:rFonts w:ascii="Palatino Linotype" w:hAnsi="Palatino Linotype" w:cstheme="minorHAnsi"/>
          <w:bCs/>
          <w:sz w:val="22"/>
          <w:szCs w:val="22"/>
        </w:rPr>
        <w:t>In particular, the deterioration in expectations, interest rates and the negative effects of the increases in exchange rates began to show itself in the domestic demand and foreign trade figures.</w:t>
      </w:r>
      <w:r w:rsidR="00AA789A">
        <w:rPr>
          <w:rFonts w:ascii="Palatino Linotype" w:hAnsi="Palatino Linotype" w:cstheme="minorHAnsi"/>
          <w:bCs/>
          <w:sz w:val="22"/>
          <w:szCs w:val="22"/>
        </w:rPr>
        <w:t xml:space="preserve"> </w:t>
      </w:r>
      <w:r w:rsidR="006D59B8">
        <w:rPr>
          <w:rFonts w:ascii="Palatino Linotype" w:hAnsi="Palatino Linotype" w:cstheme="minorHAnsi"/>
          <w:bCs/>
          <w:sz w:val="22"/>
          <w:szCs w:val="22"/>
        </w:rPr>
        <w:t>As a result of the shrink</w:t>
      </w:r>
      <w:r w:rsidR="00F076FB">
        <w:rPr>
          <w:rFonts w:ascii="Palatino Linotype" w:hAnsi="Palatino Linotype" w:cstheme="minorHAnsi"/>
          <w:bCs/>
          <w:sz w:val="22"/>
          <w:szCs w:val="22"/>
        </w:rPr>
        <w:t>age</w:t>
      </w:r>
      <w:r w:rsidR="006D59B8">
        <w:rPr>
          <w:rFonts w:ascii="Palatino Linotype" w:hAnsi="Palatino Linotype" w:cstheme="minorHAnsi"/>
          <w:bCs/>
          <w:sz w:val="22"/>
          <w:szCs w:val="22"/>
        </w:rPr>
        <w:t xml:space="preserve"> in domestic demand we see that firms decreased their production volume and </w:t>
      </w:r>
      <w:r w:rsidR="00F076FB">
        <w:rPr>
          <w:rFonts w:ascii="Palatino Linotype" w:hAnsi="Palatino Linotype" w:cstheme="minorHAnsi"/>
          <w:bCs/>
          <w:sz w:val="22"/>
          <w:szCs w:val="22"/>
        </w:rPr>
        <w:t>sold</w:t>
      </w:r>
      <w:r w:rsidR="006D59B8">
        <w:rPr>
          <w:rFonts w:ascii="Palatino Linotype" w:hAnsi="Palatino Linotype" w:cstheme="minorHAnsi"/>
          <w:bCs/>
          <w:sz w:val="22"/>
          <w:szCs w:val="22"/>
        </w:rPr>
        <w:t xml:space="preserve"> from stocks. A similar case was witnessed in 2008 during the </w:t>
      </w:r>
      <w:r w:rsidR="00F076FB">
        <w:rPr>
          <w:rFonts w:ascii="Palatino Linotype" w:hAnsi="Palatino Linotype" w:cstheme="minorHAnsi"/>
          <w:bCs/>
          <w:sz w:val="22"/>
          <w:szCs w:val="22"/>
        </w:rPr>
        <w:t xml:space="preserve">recession caused by the global crisis. </w:t>
      </w:r>
      <w:r w:rsidR="000242B7">
        <w:rPr>
          <w:rFonts w:ascii="Palatino Linotype" w:hAnsi="Palatino Linotype" w:cstheme="minorHAnsi"/>
          <w:bCs/>
          <w:sz w:val="22"/>
          <w:szCs w:val="22"/>
        </w:rPr>
        <w:t>On the other hand</w:t>
      </w:r>
      <w:r w:rsidR="00F076FB">
        <w:rPr>
          <w:rFonts w:ascii="Palatino Linotype" w:hAnsi="Palatino Linotype" w:cstheme="minorHAnsi"/>
          <w:bCs/>
          <w:sz w:val="22"/>
          <w:szCs w:val="22"/>
        </w:rPr>
        <w:t xml:space="preserve">, due to declining domestic demand and high exchange rates, firms turned their face to export. Thanks to the positive contributions of net foreign trade, the recession is </w:t>
      </w:r>
      <w:r w:rsidR="00F076FB">
        <w:rPr>
          <w:rFonts w:ascii="Palatino Linotype" w:hAnsi="Palatino Linotype" w:cstheme="minorHAnsi"/>
          <w:bCs/>
          <w:sz w:val="22"/>
          <w:szCs w:val="22"/>
        </w:rPr>
        <w:lastRenderedPageBreak/>
        <w:t>minor in the third quarter of 2018.</w:t>
      </w:r>
      <w:r w:rsidR="000242B7">
        <w:rPr>
          <w:rFonts w:ascii="Palatino Linotype" w:hAnsi="Palatino Linotype" w:cstheme="minorHAnsi"/>
          <w:bCs/>
          <w:sz w:val="22"/>
          <w:szCs w:val="22"/>
        </w:rPr>
        <w:t xml:space="preserve"> Fully-released October and partially released November data shows that the main indicators of domestic demand are still negative. </w:t>
      </w:r>
      <w:r w:rsidR="00A04563">
        <w:rPr>
          <w:rFonts w:ascii="Palatino Linotype" w:hAnsi="Palatino Linotype" w:cstheme="minorHAnsi"/>
          <w:bCs/>
          <w:sz w:val="22"/>
          <w:szCs w:val="22"/>
        </w:rPr>
        <w:t>Hence, it is likely that this recession process continues in the coming period.</w:t>
      </w:r>
      <w:r w:rsidR="00E140CF">
        <w:rPr>
          <w:rFonts w:ascii="Palatino Linotype" w:hAnsi="Palatino Linotype" w:cstheme="minorHAnsi"/>
          <w:bCs/>
          <w:sz w:val="22"/>
          <w:szCs w:val="22"/>
        </w:rPr>
        <w:t xml:space="preserve"> </w:t>
      </w:r>
    </w:p>
    <w:p w14:paraId="303CD719" w14:textId="77777777" w:rsidR="000242B7" w:rsidRDefault="000242B7" w:rsidP="00AA789A">
      <w:pPr>
        <w:pStyle w:val="NormalWeb"/>
        <w:spacing w:before="0" w:beforeAutospacing="0" w:after="0" w:afterAutospacing="0" w:line="360" w:lineRule="auto"/>
        <w:ind w:right="79"/>
        <w:jc w:val="both"/>
        <w:rPr>
          <w:rFonts w:ascii="Palatino Linotype" w:hAnsi="Palatino Linotype" w:cstheme="minorHAnsi"/>
          <w:bCs/>
          <w:sz w:val="22"/>
          <w:szCs w:val="22"/>
        </w:rPr>
      </w:pPr>
    </w:p>
    <w:p w14:paraId="615E09C6" w14:textId="27B6F0B3" w:rsidR="00620CE3" w:rsidRDefault="00620CE3" w:rsidP="00AA789A">
      <w:pPr>
        <w:pStyle w:val="NormalWeb"/>
        <w:spacing w:before="0" w:beforeAutospacing="0" w:after="0" w:afterAutospacing="0" w:line="360" w:lineRule="auto"/>
        <w:ind w:right="79"/>
        <w:jc w:val="both"/>
        <w:rPr>
          <w:rFonts w:ascii="Palatino Linotype" w:hAnsi="Palatino Linotype" w:cstheme="minorHAnsi"/>
          <w:b/>
          <w:bCs/>
          <w:sz w:val="22"/>
          <w:szCs w:val="22"/>
        </w:rPr>
      </w:pPr>
      <w:r>
        <w:rPr>
          <w:rFonts w:ascii="Palatino Linotype" w:hAnsi="Palatino Linotype" w:cstheme="minorHAnsi"/>
          <w:b/>
          <w:bCs/>
          <w:sz w:val="22"/>
          <w:szCs w:val="22"/>
        </w:rPr>
        <w:t>Figure</w:t>
      </w:r>
      <w:r w:rsidRPr="00924CD9">
        <w:rPr>
          <w:rFonts w:ascii="Palatino Linotype" w:hAnsi="Palatino Linotype" w:cstheme="minorHAnsi"/>
          <w:b/>
          <w:bCs/>
          <w:sz w:val="22"/>
          <w:szCs w:val="22"/>
        </w:rPr>
        <w:t xml:space="preserve"> 2: </w:t>
      </w:r>
      <w:r w:rsidRPr="00321431">
        <w:rPr>
          <w:rFonts w:ascii="Palatino Linotype" w:hAnsi="Palatino Linotype" w:cstheme="minorHAnsi"/>
          <w:b/>
          <w:bCs/>
          <w:sz w:val="22"/>
          <w:szCs w:val="22"/>
        </w:rPr>
        <w:t>GDP growth rates compared to the previous quarter and same quarter of last year</w:t>
      </w:r>
      <w:r w:rsidR="009258D1">
        <w:rPr>
          <w:noProof/>
          <w:lang w:val="en-GB" w:eastAsia="en-GB"/>
        </w:rPr>
        <w:drawing>
          <wp:inline distT="0" distB="0" distL="0" distR="0" wp14:anchorId="7E876E58" wp14:editId="3C0605F5">
            <wp:extent cx="5731809" cy="3629025"/>
            <wp:effectExtent l="0" t="0" r="2540" b="9525"/>
            <wp:docPr id="4" name="Chart 4">
              <a:extLst xmlns:a="http://schemas.openxmlformats.org/drawingml/2006/main">
                <a:ext uri="{FF2B5EF4-FFF2-40B4-BE49-F238E27FC236}">
                  <a16:creationId xmlns:a16="http://schemas.microsoft.com/office/drawing/2014/main" id="{72D9EBC5-21EC-487D-941E-FE52049D17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A9D674" w14:textId="77777777" w:rsidR="00620CE3" w:rsidRDefault="00620CE3" w:rsidP="00620CE3">
      <w:pPr>
        <w:keepNext/>
        <w:rPr>
          <w:rFonts w:ascii="Palatino Linotype" w:hAnsi="Palatino Linotype" w:cstheme="minorHAnsi"/>
          <w:sz w:val="18"/>
          <w:szCs w:val="18"/>
        </w:rPr>
      </w:pPr>
      <w:r w:rsidRPr="00321431">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r>
        <w:rPr>
          <w:rFonts w:ascii="Palatino Linotype" w:hAnsi="Palatino Linotype" w:cstheme="minorHAnsi"/>
          <w:sz w:val="18"/>
          <w:szCs w:val="18"/>
        </w:rPr>
        <w:t>TurkStat</w:t>
      </w:r>
      <w:r w:rsidRPr="003E1EED">
        <w:rPr>
          <w:rFonts w:ascii="Palatino Linotype" w:hAnsi="Palatino Linotype" w:cstheme="minorHAnsi"/>
          <w:sz w:val="18"/>
          <w:szCs w:val="18"/>
        </w:rPr>
        <w:t xml:space="preserve">, Betam. </w:t>
      </w:r>
    </w:p>
    <w:p w14:paraId="40E43404" w14:textId="4D6CEB59" w:rsidR="00113E0A" w:rsidRPr="00113E0A" w:rsidRDefault="00113E0A" w:rsidP="00113E0A">
      <w:pPr>
        <w:pStyle w:val="NormalWeb"/>
        <w:spacing w:before="0" w:beforeAutospacing="0" w:after="0" w:afterAutospacing="0" w:line="360" w:lineRule="auto"/>
        <w:ind w:right="77"/>
        <w:rPr>
          <w:rFonts w:ascii="Palatino Linotype" w:hAnsi="Palatino Linotype" w:cstheme="minorHAnsi"/>
          <w:bCs/>
          <w:sz w:val="22"/>
          <w:szCs w:val="22"/>
        </w:rPr>
      </w:pPr>
    </w:p>
    <w:p w14:paraId="76A5DAFB" w14:textId="77777777" w:rsidR="00E41840" w:rsidRPr="00924CD9" w:rsidRDefault="00E41840" w:rsidP="00E41840">
      <w:pPr>
        <w:keepNext/>
        <w:rPr>
          <w:rFonts w:ascii="Palatino Linotype" w:hAnsi="Palatino Linotype" w:cstheme="minorHAnsi"/>
        </w:rPr>
      </w:pPr>
    </w:p>
    <w:p w14:paraId="3CA6E0CA" w14:textId="5ABD5BA7"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93E80" w14:textId="77777777" w:rsidR="00051537" w:rsidRDefault="00051537" w:rsidP="00DA0C5D">
      <w:r>
        <w:separator/>
      </w:r>
    </w:p>
  </w:endnote>
  <w:endnote w:type="continuationSeparator" w:id="0">
    <w:p w14:paraId="307D9DD3" w14:textId="77777777" w:rsidR="00051537" w:rsidRDefault="00051537"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55532" w14:textId="77777777" w:rsidR="00051537" w:rsidRDefault="00051537" w:rsidP="00DA0C5D">
      <w:r>
        <w:separator/>
      </w:r>
    </w:p>
  </w:footnote>
  <w:footnote w:type="continuationSeparator" w:id="0">
    <w:p w14:paraId="3415816A" w14:textId="77777777" w:rsidR="00051537" w:rsidRDefault="00051537" w:rsidP="00DA0C5D">
      <w:r>
        <w:continuationSeparator/>
      </w:r>
    </w:p>
  </w:footnote>
  <w:footnote w:id="1">
    <w:p w14:paraId="6937C661" w14:textId="77777777" w:rsidR="003172DB" w:rsidRDefault="003172DB" w:rsidP="003172DB">
      <w:pPr>
        <w:pStyle w:val="FootnoteText"/>
      </w:pPr>
      <w:r>
        <w:rPr>
          <w:rStyle w:val="FootnoteReference"/>
        </w:rPr>
        <w:footnoteRef/>
      </w:r>
      <w:r>
        <w:t xml:space="preserve"> Betam, Dire</w:t>
      </w:r>
      <w:r w:rsidR="003E0902">
        <w:t>ctor</w:t>
      </w:r>
      <w:r>
        <w:t>, seyfettin.gursel@eas.bahcesehir.edu.tr</w:t>
      </w:r>
    </w:p>
  </w:footnote>
  <w:footnote w:id="2">
    <w:p w14:paraId="1BC25AAC" w14:textId="77777777" w:rsidR="00C32789" w:rsidRDefault="00C32789">
      <w:pPr>
        <w:pStyle w:val="FootnoteText"/>
      </w:pPr>
      <w:r>
        <w:rPr>
          <w:rStyle w:val="FootnoteReference"/>
        </w:rPr>
        <w:footnoteRef/>
      </w:r>
      <w:r w:rsidR="001537D8">
        <w:t xml:space="preserve"> </w:t>
      </w:r>
      <w:r>
        <w:t>Betam, ozan.bakis@eas.bau.edu.tr</w:t>
      </w:r>
    </w:p>
  </w:footnote>
  <w:footnote w:id="3">
    <w:p w14:paraId="0A1D2D63" w14:textId="35D159E5" w:rsidR="001537D8" w:rsidRDefault="001537D8" w:rsidP="001537D8">
      <w:pPr>
        <w:pStyle w:val="FootnoteText"/>
      </w:pPr>
      <w:r>
        <w:rPr>
          <w:rStyle w:val="FootnoteReference"/>
        </w:rPr>
        <w:footnoteRef/>
      </w:r>
      <w:r>
        <w:t xml:space="preserve"> Betam, </w:t>
      </w:r>
      <w:r w:rsidR="00703415">
        <w:t>furkan</w:t>
      </w:r>
      <w:r>
        <w:t>.</w:t>
      </w:r>
      <w:r w:rsidR="00703415">
        <w:t>kavuncu</w:t>
      </w:r>
      <w:r>
        <w:t xml:space="preserve">@eas.bau.edu.tr </w:t>
      </w:r>
    </w:p>
  </w:footnote>
  <w:footnote w:id="4">
    <w:p w14:paraId="7B736CC5" w14:textId="77777777" w:rsidR="00781312" w:rsidRPr="00D31197" w:rsidRDefault="00781312" w:rsidP="00AF4BB7">
      <w:pPr>
        <w:pStyle w:val="NormalWeb"/>
        <w:ind w:right="79"/>
        <w:jc w:val="both"/>
        <w:rPr>
          <w:rFonts w:ascii="Palatino Linotype" w:hAnsi="Palatino Linotype" w:cstheme="minorHAnsi"/>
          <w:sz w:val="22"/>
          <w:szCs w:val="22"/>
        </w:rPr>
      </w:pPr>
      <w:r w:rsidRPr="00781312">
        <w:rPr>
          <w:sz w:val="20"/>
          <w:szCs w:val="20"/>
          <w:lang w:val="tr-TR"/>
        </w:rPr>
        <w:footnoteRef/>
      </w:r>
      <w:r w:rsidRPr="00781312">
        <w:rPr>
          <w:sz w:val="20"/>
          <w:szCs w:val="20"/>
          <w:lang w:val="tr-TR"/>
        </w:rPr>
        <w:t xml:space="preserve"> </w:t>
      </w:r>
      <w:r w:rsidRPr="00AF4BB7">
        <w:rPr>
          <w:rFonts w:ascii="Palatino Linotype" w:hAnsi="Palatino Linotype"/>
          <w:sz w:val="20"/>
          <w:szCs w:val="20"/>
        </w:rPr>
        <w:t>TurkStat uses the chained volume index method when calculating new national income series. The contribution to growth of the stock change cannot be easily calculated because there is an additivity problem in the chain method and a chain index cannot be derived for the "changes in stock". We discussed in detail in the research note that we recently published how to account for the contribution of stock change to growth in the chain-volume index approach (see Betam Research Note 17/217).</w:t>
      </w:r>
    </w:p>
    <w:p w14:paraId="3A49B442" w14:textId="4D16B6E6" w:rsidR="00781312" w:rsidRPr="00781312" w:rsidRDefault="00781312">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02F9A"/>
    <w:rsid w:val="00004F33"/>
    <w:rsid w:val="000119F9"/>
    <w:rsid w:val="00015B4E"/>
    <w:rsid w:val="000242B7"/>
    <w:rsid w:val="00033092"/>
    <w:rsid w:val="0003593D"/>
    <w:rsid w:val="00041E8F"/>
    <w:rsid w:val="00041FB7"/>
    <w:rsid w:val="00051537"/>
    <w:rsid w:val="0005380F"/>
    <w:rsid w:val="00054943"/>
    <w:rsid w:val="00055EA1"/>
    <w:rsid w:val="000652B6"/>
    <w:rsid w:val="00070F11"/>
    <w:rsid w:val="0008447C"/>
    <w:rsid w:val="00096CDA"/>
    <w:rsid w:val="000978C8"/>
    <w:rsid w:val="000A612E"/>
    <w:rsid w:val="000B2D39"/>
    <w:rsid w:val="000C22FC"/>
    <w:rsid w:val="000C634D"/>
    <w:rsid w:val="000D0913"/>
    <w:rsid w:val="000D5FD3"/>
    <w:rsid w:val="000D63E2"/>
    <w:rsid w:val="000F099A"/>
    <w:rsid w:val="000F2654"/>
    <w:rsid w:val="000F2ED1"/>
    <w:rsid w:val="001077D8"/>
    <w:rsid w:val="0011258F"/>
    <w:rsid w:val="00113E0A"/>
    <w:rsid w:val="0012527F"/>
    <w:rsid w:val="001347D5"/>
    <w:rsid w:val="00140468"/>
    <w:rsid w:val="00140A01"/>
    <w:rsid w:val="0014542A"/>
    <w:rsid w:val="001457A8"/>
    <w:rsid w:val="0015026C"/>
    <w:rsid w:val="001537D8"/>
    <w:rsid w:val="001609DE"/>
    <w:rsid w:val="00172B2C"/>
    <w:rsid w:val="00180E6E"/>
    <w:rsid w:val="001B3A44"/>
    <w:rsid w:val="001C2C68"/>
    <w:rsid w:val="001C65BF"/>
    <w:rsid w:val="001D5B02"/>
    <w:rsid w:val="001D5B0E"/>
    <w:rsid w:val="001D6465"/>
    <w:rsid w:val="001F22EF"/>
    <w:rsid w:val="001F25C8"/>
    <w:rsid w:val="001F7B1D"/>
    <w:rsid w:val="001F7BC7"/>
    <w:rsid w:val="00200A56"/>
    <w:rsid w:val="002106DF"/>
    <w:rsid w:val="00212579"/>
    <w:rsid w:val="00214914"/>
    <w:rsid w:val="002159C6"/>
    <w:rsid w:val="00223A5B"/>
    <w:rsid w:val="0022673E"/>
    <w:rsid w:val="00227A08"/>
    <w:rsid w:val="00236056"/>
    <w:rsid w:val="00247739"/>
    <w:rsid w:val="00256F28"/>
    <w:rsid w:val="00266308"/>
    <w:rsid w:val="00275745"/>
    <w:rsid w:val="00282242"/>
    <w:rsid w:val="0028498B"/>
    <w:rsid w:val="00286BE7"/>
    <w:rsid w:val="002945D6"/>
    <w:rsid w:val="00294F61"/>
    <w:rsid w:val="0029624E"/>
    <w:rsid w:val="002A07A9"/>
    <w:rsid w:val="002A7673"/>
    <w:rsid w:val="002B0C37"/>
    <w:rsid w:val="002B7001"/>
    <w:rsid w:val="002C5BE5"/>
    <w:rsid w:val="002C5C24"/>
    <w:rsid w:val="002D3A48"/>
    <w:rsid w:val="002D5820"/>
    <w:rsid w:val="002F0AEA"/>
    <w:rsid w:val="002F6884"/>
    <w:rsid w:val="002F7F35"/>
    <w:rsid w:val="00307B16"/>
    <w:rsid w:val="00313197"/>
    <w:rsid w:val="003166A0"/>
    <w:rsid w:val="003172DB"/>
    <w:rsid w:val="00317618"/>
    <w:rsid w:val="00321431"/>
    <w:rsid w:val="00334E27"/>
    <w:rsid w:val="00344A74"/>
    <w:rsid w:val="003566E5"/>
    <w:rsid w:val="003654F6"/>
    <w:rsid w:val="00365DAB"/>
    <w:rsid w:val="00381E85"/>
    <w:rsid w:val="00390CFF"/>
    <w:rsid w:val="003967B5"/>
    <w:rsid w:val="00397D3C"/>
    <w:rsid w:val="003A0146"/>
    <w:rsid w:val="003A42E6"/>
    <w:rsid w:val="003A488B"/>
    <w:rsid w:val="003B5AC1"/>
    <w:rsid w:val="003C2891"/>
    <w:rsid w:val="003C39AF"/>
    <w:rsid w:val="003D44CE"/>
    <w:rsid w:val="003D6EC3"/>
    <w:rsid w:val="003E0201"/>
    <w:rsid w:val="003E0902"/>
    <w:rsid w:val="003E1EED"/>
    <w:rsid w:val="003E4D3E"/>
    <w:rsid w:val="003E5A3D"/>
    <w:rsid w:val="003F19B0"/>
    <w:rsid w:val="003F6ED6"/>
    <w:rsid w:val="004124E0"/>
    <w:rsid w:val="00414150"/>
    <w:rsid w:val="004263DD"/>
    <w:rsid w:val="0042790B"/>
    <w:rsid w:val="00431C38"/>
    <w:rsid w:val="00433A75"/>
    <w:rsid w:val="0043726B"/>
    <w:rsid w:val="00441D87"/>
    <w:rsid w:val="0044231D"/>
    <w:rsid w:val="00451A8A"/>
    <w:rsid w:val="00453999"/>
    <w:rsid w:val="004606E3"/>
    <w:rsid w:val="00475688"/>
    <w:rsid w:val="00483EC5"/>
    <w:rsid w:val="00484A6D"/>
    <w:rsid w:val="004859BE"/>
    <w:rsid w:val="00490E51"/>
    <w:rsid w:val="004931A5"/>
    <w:rsid w:val="004A3CC1"/>
    <w:rsid w:val="004A78AD"/>
    <w:rsid w:val="004C3A1F"/>
    <w:rsid w:val="004D27CD"/>
    <w:rsid w:val="004F0543"/>
    <w:rsid w:val="00510883"/>
    <w:rsid w:val="00515940"/>
    <w:rsid w:val="00521FA6"/>
    <w:rsid w:val="00523C43"/>
    <w:rsid w:val="0053582F"/>
    <w:rsid w:val="0053586E"/>
    <w:rsid w:val="0053686A"/>
    <w:rsid w:val="0054145E"/>
    <w:rsid w:val="00556396"/>
    <w:rsid w:val="00563C88"/>
    <w:rsid w:val="00582521"/>
    <w:rsid w:val="005828CE"/>
    <w:rsid w:val="00586707"/>
    <w:rsid w:val="005912A1"/>
    <w:rsid w:val="0059780D"/>
    <w:rsid w:val="005A2E43"/>
    <w:rsid w:val="005C6542"/>
    <w:rsid w:val="005D255A"/>
    <w:rsid w:val="005D37CE"/>
    <w:rsid w:val="005E736B"/>
    <w:rsid w:val="00620CE3"/>
    <w:rsid w:val="00625B95"/>
    <w:rsid w:val="00630CA0"/>
    <w:rsid w:val="0064012D"/>
    <w:rsid w:val="00643113"/>
    <w:rsid w:val="006439C5"/>
    <w:rsid w:val="00647318"/>
    <w:rsid w:val="006549E3"/>
    <w:rsid w:val="006703B7"/>
    <w:rsid w:val="00681022"/>
    <w:rsid w:val="00681AD9"/>
    <w:rsid w:val="00683311"/>
    <w:rsid w:val="00684E04"/>
    <w:rsid w:val="00694F52"/>
    <w:rsid w:val="006B13E3"/>
    <w:rsid w:val="006C3EE6"/>
    <w:rsid w:val="006D0B7D"/>
    <w:rsid w:val="006D1DD6"/>
    <w:rsid w:val="006D32A0"/>
    <w:rsid w:val="006D59B8"/>
    <w:rsid w:val="00703415"/>
    <w:rsid w:val="00711A8A"/>
    <w:rsid w:val="00724E7C"/>
    <w:rsid w:val="0072743C"/>
    <w:rsid w:val="00731AF8"/>
    <w:rsid w:val="00745B7D"/>
    <w:rsid w:val="007539A6"/>
    <w:rsid w:val="00773D8B"/>
    <w:rsid w:val="00781312"/>
    <w:rsid w:val="00783CD4"/>
    <w:rsid w:val="00787DD7"/>
    <w:rsid w:val="00791FA7"/>
    <w:rsid w:val="00794982"/>
    <w:rsid w:val="007A6F0F"/>
    <w:rsid w:val="007B70AD"/>
    <w:rsid w:val="007C5B10"/>
    <w:rsid w:val="007D4953"/>
    <w:rsid w:val="007D787D"/>
    <w:rsid w:val="007E086F"/>
    <w:rsid w:val="007E3F1F"/>
    <w:rsid w:val="007E4E9F"/>
    <w:rsid w:val="007E6BA4"/>
    <w:rsid w:val="007F0A34"/>
    <w:rsid w:val="007F3C9B"/>
    <w:rsid w:val="00815160"/>
    <w:rsid w:val="00817A10"/>
    <w:rsid w:val="00823236"/>
    <w:rsid w:val="00831515"/>
    <w:rsid w:val="0084500C"/>
    <w:rsid w:val="008459A9"/>
    <w:rsid w:val="00845A54"/>
    <w:rsid w:val="00850B79"/>
    <w:rsid w:val="00855D64"/>
    <w:rsid w:val="00865CE6"/>
    <w:rsid w:val="0088497D"/>
    <w:rsid w:val="00887E59"/>
    <w:rsid w:val="008C6F06"/>
    <w:rsid w:val="008C70C5"/>
    <w:rsid w:val="008E74F0"/>
    <w:rsid w:val="008F030E"/>
    <w:rsid w:val="008F1741"/>
    <w:rsid w:val="008F3A50"/>
    <w:rsid w:val="008F49E7"/>
    <w:rsid w:val="009052B6"/>
    <w:rsid w:val="00913396"/>
    <w:rsid w:val="00924CD9"/>
    <w:rsid w:val="009258D1"/>
    <w:rsid w:val="00925E74"/>
    <w:rsid w:val="00935809"/>
    <w:rsid w:val="00957020"/>
    <w:rsid w:val="00963B04"/>
    <w:rsid w:val="009778A7"/>
    <w:rsid w:val="00982F71"/>
    <w:rsid w:val="00984FF1"/>
    <w:rsid w:val="009A71AF"/>
    <w:rsid w:val="009A748C"/>
    <w:rsid w:val="009B1546"/>
    <w:rsid w:val="009B651F"/>
    <w:rsid w:val="009C5E11"/>
    <w:rsid w:val="009D2969"/>
    <w:rsid w:val="009D3CEB"/>
    <w:rsid w:val="009D7A7A"/>
    <w:rsid w:val="009E0C70"/>
    <w:rsid w:val="009E3E2C"/>
    <w:rsid w:val="009E68C6"/>
    <w:rsid w:val="009F2EBE"/>
    <w:rsid w:val="00A04563"/>
    <w:rsid w:val="00A160F5"/>
    <w:rsid w:val="00A20C0F"/>
    <w:rsid w:val="00A310EA"/>
    <w:rsid w:val="00A46C4A"/>
    <w:rsid w:val="00A50FB7"/>
    <w:rsid w:val="00A550B2"/>
    <w:rsid w:val="00A6165E"/>
    <w:rsid w:val="00A675D3"/>
    <w:rsid w:val="00A719DB"/>
    <w:rsid w:val="00A71F3D"/>
    <w:rsid w:val="00A82E6E"/>
    <w:rsid w:val="00A842EA"/>
    <w:rsid w:val="00A874DA"/>
    <w:rsid w:val="00A97679"/>
    <w:rsid w:val="00AA789A"/>
    <w:rsid w:val="00AB16C5"/>
    <w:rsid w:val="00AB1E4F"/>
    <w:rsid w:val="00AD2B46"/>
    <w:rsid w:val="00AE59EE"/>
    <w:rsid w:val="00AF3FE7"/>
    <w:rsid w:val="00AF4BB7"/>
    <w:rsid w:val="00B27C9F"/>
    <w:rsid w:val="00B37CD7"/>
    <w:rsid w:val="00B42852"/>
    <w:rsid w:val="00B45BD0"/>
    <w:rsid w:val="00B53557"/>
    <w:rsid w:val="00B57DBD"/>
    <w:rsid w:val="00B703D3"/>
    <w:rsid w:val="00B808FF"/>
    <w:rsid w:val="00B82B92"/>
    <w:rsid w:val="00B903AE"/>
    <w:rsid w:val="00B9498C"/>
    <w:rsid w:val="00BA0BA7"/>
    <w:rsid w:val="00BA400E"/>
    <w:rsid w:val="00BB5631"/>
    <w:rsid w:val="00BB5725"/>
    <w:rsid w:val="00BB5AEB"/>
    <w:rsid w:val="00BB6454"/>
    <w:rsid w:val="00BE4B3B"/>
    <w:rsid w:val="00BE6FC9"/>
    <w:rsid w:val="00BF0205"/>
    <w:rsid w:val="00BF5A0A"/>
    <w:rsid w:val="00C11B5A"/>
    <w:rsid w:val="00C32789"/>
    <w:rsid w:val="00C33714"/>
    <w:rsid w:val="00C34C5C"/>
    <w:rsid w:val="00C34FEA"/>
    <w:rsid w:val="00C35660"/>
    <w:rsid w:val="00C45688"/>
    <w:rsid w:val="00C5056E"/>
    <w:rsid w:val="00C57749"/>
    <w:rsid w:val="00C60338"/>
    <w:rsid w:val="00C63F01"/>
    <w:rsid w:val="00C65542"/>
    <w:rsid w:val="00C67CEB"/>
    <w:rsid w:val="00C703CE"/>
    <w:rsid w:val="00C70AEB"/>
    <w:rsid w:val="00C71C2D"/>
    <w:rsid w:val="00C745E7"/>
    <w:rsid w:val="00C7680B"/>
    <w:rsid w:val="00C80503"/>
    <w:rsid w:val="00C82B14"/>
    <w:rsid w:val="00C86D88"/>
    <w:rsid w:val="00C97FD1"/>
    <w:rsid w:val="00CA234B"/>
    <w:rsid w:val="00CB3462"/>
    <w:rsid w:val="00CB5D14"/>
    <w:rsid w:val="00CB767C"/>
    <w:rsid w:val="00CC6BB9"/>
    <w:rsid w:val="00CC79C0"/>
    <w:rsid w:val="00CD1958"/>
    <w:rsid w:val="00CD4010"/>
    <w:rsid w:val="00CE6742"/>
    <w:rsid w:val="00CE7DE8"/>
    <w:rsid w:val="00CF5053"/>
    <w:rsid w:val="00D02FDC"/>
    <w:rsid w:val="00D07713"/>
    <w:rsid w:val="00D16B42"/>
    <w:rsid w:val="00D16B80"/>
    <w:rsid w:val="00D2047D"/>
    <w:rsid w:val="00D225DC"/>
    <w:rsid w:val="00D257C1"/>
    <w:rsid w:val="00D30DDE"/>
    <w:rsid w:val="00D31133"/>
    <w:rsid w:val="00D31197"/>
    <w:rsid w:val="00D35D40"/>
    <w:rsid w:val="00D4207F"/>
    <w:rsid w:val="00D4574F"/>
    <w:rsid w:val="00D46B89"/>
    <w:rsid w:val="00D53424"/>
    <w:rsid w:val="00D56304"/>
    <w:rsid w:val="00D76EC3"/>
    <w:rsid w:val="00D80ACB"/>
    <w:rsid w:val="00D837DC"/>
    <w:rsid w:val="00D90931"/>
    <w:rsid w:val="00D92B0A"/>
    <w:rsid w:val="00DA0C5D"/>
    <w:rsid w:val="00DD6027"/>
    <w:rsid w:val="00DD6379"/>
    <w:rsid w:val="00DE21F9"/>
    <w:rsid w:val="00E01513"/>
    <w:rsid w:val="00E140CF"/>
    <w:rsid w:val="00E207B3"/>
    <w:rsid w:val="00E23E54"/>
    <w:rsid w:val="00E25DC7"/>
    <w:rsid w:val="00E306CB"/>
    <w:rsid w:val="00E41840"/>
    <w:rsid w:val="00E44957"/>
    <w:rsid w:val="00E44C25"/>
    <w:rsid w:val="00E46F18"/>
    <w:rsid w:val="00E57043"/>
    <w:rsid w:val="00E60BB7"/>
    <w:rsid w:val="00E6189A"/>
    <w:rsid w:val="00E637AC"/>
    <w:rsid w:val="00E667CB"/>
    <w:rsid w:val="00E750CC"/>
    <w:rsid w:val="00E80A0B"/>
    <w:rsid w:val="00E82940"/>
    <w:rsid w:val="00E85520"/>
    <w:rsid w:val="00E85F3F"/>
    <w:rsid w:val="00E93C61"/>
    <w:rsid w:val="00E9568F"/>
    <w:rsid w:val="00EA29DD"/>
    <w:rsid w:val="00EB00D0"/>
    <w:rsid w:val="00EB1BBC"/>
    <w:rsid w:val="00EB476F"/>
    <w:rsid w:val="00EC136E"/>
    <w:rsid w:val="00EC2814"/>
    <w:rsid w:val="00EC3B8B"/>
    <w:rsid w:val="00EC59FB"/>
    <w:rsid w:val="00EE150B"/>
    <w:rsid w:val="00EE4235"/>
    <w:rsid w:val="00EE6549"/>
    <w:rsid w:val="00EF09A7"/>
    <w:rsid w:val="00F0076E"/>
    <w:rsid w:val="00F076FB"/>
    <w:rsid w:val="00F118B1"/>
    <w:rsid w:val="00F22A71"/>
    <w:rsid w:val="00F23F99"/>
    <w:rsid w:val="00F27D86"/>
    <w:rsid w:val="00F46A54"/>
    <w:rsid w:val="00F5130C"/>
    <w:rsid w:val="00F66A5A"/>
    <w:rsid w:val="00F66F36"/>
    <w:rsid w:val="00F70EC7"/>
    <w:rsid w:val="00F819BC"/>
    <w:rsid w:val="00F87871"/>
    <w:rsid w:val="00F9263F"/>
    <w:rsid w:val="00F94113"/>
    <w:rsid w:val="00F964EA"/>
    <w:rsid w:val="00F97771"/>
    <w:rsid w:val="00FA63BA"/>
    <w:rsid w:val="00FA79F3"/>
    <w:rsid w:val="00FA7B27"/>
    <w:rsid w:val="00FB6ACD"/>
    <w:rsid w:val="00FD311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247739"/>
    <w:rPr>
      <w:sz w:val="16"/>
      <w:szCs w:val="16"/>
    </w:rPr>
  </w:style>
  <w:style w:type="paragraph" w:styleId="CommentText">
    <w:name w:val="annotation text"/>
    <w:basedOn w:val="Normal"/>
    <w:link w:val="CommentTextChar"/>
    <w:uiPriority w:val="99"/>
    <w:semiHidden/>
    <w:unhideWhenUsed/>
    <w:rsid w:val="00247739"/>
    <w:rPr>
      <w:sz w:val="20"/>
      <w:szCs w:val="20"/>
    </w:rPr>
  </w:style>
  <w:style w:type="character" w:customStyle="1" w:styleId="CommentTextChar">
    <w:name w:val="Comment Text Char"/>
    <w:basedOn w:val="DefaultParagraphFont"/>
    <w:link w:val="CommentText"/>
    <w:uiPriority w:val="99"/>
    <w:semiHidden/>
    <w:rsid w:val="00247739"/>
    <w:rPr>
      <w:rFonts w:ascii="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47739"/>
    <w:rPr>
      <w:b/>
      <w:bCs/>
    </w:rPr>
  </w:style>
  <w:style w:type="character" w:customStyle="1" w:styleId="CommentSubjectChar">
    <w:name w:val="Comment Subject Char"/>
    <w:basedOn w:val="CommentTextChar"/>
    <w:link w:val="CommentSubject"/>
    <w:uiPriority w:val="99"/>
    <w:semiHidden/>
    <w:rsid w:val="00247739"/>
    <w:rPr>
      <w:rFonts w:asci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686">
      <w:bodyDiv w:val="1"/>
      <w:marLeft w:val="0"/>
      <w:marRight w:val="0"/>
      <w:marTop w:val="0"/>
      <w:marBottom w:val="0"/>
      <w:divBdr>
        <w:top w:val="none" w:sz="0" w:space="0" w:color="auto"/>
        <w:left w:val="none" w:sz="0" w:space="0" w:color="auto"/>
        <w:bottom w:val="none" w:sz="0" w:space="0" w:color="auto"/>
        <w:right w:val="none" w:sz="0" w:space="0" w:color="auto"/>
      </w:divBdr>
    </w:div>
    <w:div w:id="136801609">
      <w:bodyDiv w:val="1"/>
      <w:marLeft w:val="0"/>
      <w:marRight w:val="0"/>
      <w:marTop w:val="0"/>
      <w:marBottom w:val="0"/>
      <w:divBdr>
        <w:top w:val="none" w:sz="0" w:space="0" w:color="auto"/>
        <w:left w:val="none" w:sz="0" w:space="0" w:color="auto"/>
        <w:bottom w:val="none" w:sz="0" w:space="0" w:color="auto"/>
        <w:right w:val="none" w:sz="0" w:space="0" w:color="auto"/>
      </w:divBdr>
    </w:div>
    <w:div w:id="183788463">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93414002">
      <w:bodyDiv w:val="1"/>
      <w:marLeft w:val="0"/>
      <w:marRight w:val="0"/>
      <w:marTop w:val="0"/>
      <w:marBottom w:val="0"/>
      <w:divBdr>
        <w:top w:val="none" w:sz="0" w:space="0" w:color="auto"/>
        <w:left w:val="none" w:sz="0" w:space="0" w:color="auto"/>
        <w:bottom w:val="none" w:sz="0" w:space="0" w:color="auto"/>
        <w:right w:val="none" w:sz="0" w:space="0" w:color="auto"/>
      </w:divBdr>
    </w:div>
    <w:div w:id="482936901">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08541272">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67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furkan.kavuncu\Dropbox\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furkan.kavuncu\Dropbox\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furkan.kavuncu\Dropbox\buyume_degerlendirme\buy_deg_tablolar_englis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Q3 (F)'!$F$3</c:f>
              <c:strCache>
                <c:ptCount val="1"/>
                <c:pt idx="0">
                  <c:v>Contribution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Q3 (F)'!$B$4:$B$10</c:f>
              <c:strCache>
                <c:ptCount val="7"/>
                <c:pt idx="0">
                  <c:v>Consumption</c:v>
                </c:pt>
                <c:pt idx="1">
                  <c:v>Government Spending</c:v>
                </c:pt>
                <c:pt idx="2">
                  <c:v>Investment</c:v>
                </c:pt>
                <c:pt idx="3">
                  <c:v>Change in Stock</c:v>
                </c:pt>
                <c:pt idx="4">
                  <c:v>Export</c:v>
                </c:pt>
                <c:pt idx="5">
                  <c:v>Import</c:v>
                </c:pt>
                <c:pt idx="6">
                  <c:v>GDP</c:v>
                </c:pt>
              </c:strCache>
            </c:strRef>
          </c:cat>
          <c:val>
            <c:numRef>
              <c:f>'2018 Q3 (F)'!$F$4:$F$9</c:f>
              <c:numCache>
                <c:formatCode>0.0</c:formatCode>
                <c:ptCount val="6"/>
                <c:pt idx="0">
                  <c:v>0.64214689427304195</c:v>
                </c:pt>
                <c:pt idx="1">
                  <c:v>0.95777321683163796</c:v>
                </c:pt>
                <c:pt idx="2">
                  <c:v>-1.13581782830751</c:v>
                </c:pt>
                <c:pt idx="3">
                  <c:v>-7.0061813377521096</c:v>
                </c:pt>
                <c:pt idx="4">
                  <c:v>3.2664283108851899</c:v>
                </c:pt>
                <c:pt idx="5">
                  <c:v>4.8341188726312296</c:v>
                </c:pt>
              </c:numCache>
            </c:numRef>
          </c:val>
          <c:extLst>
            <c:ext xmlns:c16="http://schemas.microsoft.com/office/drawing/2014/chart" uri="{C3380CC4-5D6E-409C-BE32-E72D297353CC}">
              <c16:uniqueId val="{00000000-E780-4207-9560-728FFD6DDFF4}"/>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0"/>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Q3 (F)'!$E$3</c:f>
              <c:strCache>
                <c:ptCount val="1"/>
                <c:pt idx="0">
                  <c:v>Change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Q3 (F)'!$B$19:$B$25</c:f>
              <c:strCache>
                <c:ptCount val="6"/>
                <c:pt idx="0">
                  <c:v>Consumption</c:v>
                </c:pt>
                <c:pt idx="1">
                  <c:v>Government Spending</c:v>
                </c:pt>
                <c:pt idx="2">
                  <c:v>Investment</c:v>
                </c:pt>
                <c:pt idx="3">
                  <c:v>Export</c:v>
                </c:pt>
                <c:pt idx="4">
                  <c:v>Import</c:v>
                </c:pt>
                <c:pt idx="5">
                  <c:v>GDP</c:v>
                </c:pt>
              </c:strCache>
            </c:strRef>
          </c:cat>
          <c:val>
            <c:numRef>
              <c:f>'2018 Q3 (F)'!$E$4:$E$10</c:f>
              <c:numCache>
                <c:formatCode>0.0</c:formatCode>
                <c:ptCount val="6"/>
                <c:pt idx="0">
                  <c:v>1.1093236668822781</c:v>
                </c:pt>
                <c:pt idx="1">
                  <c:v>7.4815640004629369</c:v>
                </c:pt>
                <c:pt idx="2">
                  <c:v>-3.8241792486848447</c:v>
                </c:pt>
                <c:pt idx="3">
                  <c:v>13.644736342359099</c:v>
                </c:pt>
                <c:pt idx="4">
                  <c:v>-16.701991313328215</c:v>
                </c:pt>
                <c:pt idx="5">
                  <c:v>1.5584681285614854</c:v>
                </c:pt>
              </c:numCache>
            </c:numRef>
          </c:val>
          <c:extLst>
            <c:ext xmlns:c16="http://schemas.microsoft.com/office/drawing/2014/chart" uri="{C3380CC4-5D6E-409C-BE32-E72D297353CC}">
              <c16:uniqueId val="{00000000-609F-43A1-B780-C19061AD5AAE}"/>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Q3 (F)'!$E$29</c:f>
              <c:strCache>
                <c:ptCount val="1"/>
                <c:pt idx="0">
                  <c:v>Annual Change</c:v>
                </c:pt>
              </c:strCache>
            </c:strRef>
          </c:tx>
          <c:spPr>
            <a:solidFill>
              <a:schemeClr val="accent1"/>
            </a:solidFill>
            <a:ln>
              <a:noFill/>
            </a:ln>
            <a:effectLst/>
          </c:spPr>
          <c:invertIfNegative val="0"/>
          <c:cat>
            <c:strRef>
              <c:f>'2018 Q3 (F)'!$A$34:$A$56</c:f>
              <c:strCache>
                <c:ptCount val="2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strCache>
            </c:strRef>
          </c:cat>
          <c:val>
            <c:numRef>
              <c:f>'2018 Q3 (F)'!$E$34:$E$56</c:f>
              <c:numCache>
                <c:formatCode>0.0</c:formatCode>
                <c:ptCount val="23"/>
                <c:pt idx="0">
                  <c:v>8.4909431903980259</c:v>
                </c:pt>
                <c:pt idx="1">
                  <c:v>9.8066583993321679</c:v>
                </c:pt>
                <c:pt idx="2">
                  <c:v>8.9226688185641834</c:v>
                </c:pt>
                <c:pt idx="3">
                  <c:v>6.8804097448097012</c:v>
                </c:pt>
                <c:pt idx="4">
                  <c:v>8.679514433077685</c:v>
                </c:pt>
                <c:pt idx="5">
                  <c:v>2.8975438907233864</c:v>
                </c:pt>
                <c:pt idx="6">
                  <c:v>3.6662593748295391</c:v>
                </c:pt>
                <c:pt idx="7">
                  <c:v>5.9302729224654627</c:v>
                </c:pt>
                <c:pt idx="8">
                  <c:v>3.6016444988062446</c:v>
                </c:pt>
                <c:pt idx="9">
                  <c:v>7.1600269167206632</c:v>
                </c:pt>
                <c:pt idx="10">
                  <c:v>5.7850603678571977</c:v>
                </c:pt>
                <c:pt idx="11">
                  <c:v>7.4964855651153073</c:v>
                </c:pt>
                <c:pt idx="12">
                  <c:v>4.8088368037152884</c:v>
                </c:pt>
                <c:pt idx="13">
                  <c:v>4.9296739692042513</c:v>
                </c:pt>
                <c:pt idx="14">
                  <c:v>-0.81201901704391899</c:v>
                </c:pt>
                <c:pt idx="15">
                  <c:v>4.2392839151392803</c:v>
                </c:pt>
                <c:pt idx="16">
                  <c:v>5.2650794795255695</c:v>
                </c:pt>
                <c:pt idx="17">
                  <c:v>5.3007189170621638</c:v>
                </c:pt>
                <c:pt idx="18">
                  <c:v>11.493733635725434</c:v>
                </c:pt>
                <c:pt idx="19">
                  <c:v>7.3402777621066173</c:v>
                </c:pt>
                <c:pt idx="20">
                  <c:v>7.2393884600861602</c:v>
                </c:pt>
                <c:pt idx="21">
                  <c:v>5.2985533257334794</c:v>
                </c:pt>
                <c:pt idx="22">
                  <c:v>1.5584681285614854</c:v>
                </c:pt>
              </c:numCache>
            </c:numRef>
          </c:val>
          <c:extLst>
            <c:ext xmlns:c16="http://schemas.microsoft.com/office/drawing/2014/chart" uri="{C3380CC4-5D6E-409C-BE32-E72D297353CC}">
              <c16:uniqueId val="{00000000-8553-4261-B692-DDD8DEEE87EA}"/>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'2018 Q3 (F)'!$F$29</c:f>
              <c:strCache>
                <c:ptCount val="1"/>
                <c:pt idx="0">
                  <c:v>Quarter Change</c:v>
                </c:pt>
              </c:strCache>
            </c:strRef>
          </c:tx>
          <c:spPr>
            <a:ln w="25400" cap="rnd">
              <a:solidFill>
                <a:schemeClr val="tx1"/>
              </a:solidFill>
              <a:round/>
            </a:ln>
            <a:effectLst/>
          </c:spPr>
          <c:marker>
            <c:symbol val="none"/>
          </c:marker>
          <c:cat>
            <c:strRef>
              <c:f>'2018 Q3 (F)'!$A$34:$A$56</c:f>
              <c:strCache>
                <c:ptCount val="23"/>
                <c:pt idx="0">
                  <c:v>2013Q1</c:v>
                </c:pt>
                <c:pt idx="1">
                  <c:v>2013Q2</c:v>
                </c:pt>
                <c:pt idx="2">
                  <c:v>2013Q3</c:v>
                </c:pt>
                <c:pt idx="3">
                  <c:v>2013Q4</c:v>
                </c:pt>
                <c:pt idx="4">
                  <c:v>2014Q1</c:v>
                </c:pt>
                <c:pt idx="5">
                  <c:v>2014Q2</c:v>
                </c:pt>
                <c:pt idx="6">
                  <c:v>2014Q3</c:v>
                </c:pt>
                <c:pt idx="7">
                  <c:v>2014Q4</c:v>
                </c:pt>
                <c:pt idx="8">
                  <c:v>2015Q1</c:v>
                </c:pt>
                <c:pt idx="9">
                  <c:v>2015Q2</c:v>
                </c:pt>
                <c:pt idx="10">
                  <c:v>2015Q3</c:v>
                </c:pt>
                <c:pt idx="11">
                  <c:v>2015Q4</c:v>
                </c:pt>
                <c:pt idx="12">
                  <c:v>2016Q1</c:v>
                </c:pt>
                <c:pt idx="13">
                  <c:v>2016Q2</c:v>
                </c:pt>
                <c:pt idx="14">
                  <c:v>2016Q3</c:v>
                </c:pt>
                <c:pt idx="15">
                  <c:v>2016Q4</c:v>
                </c:pt>
                <c:pt idx="16">
                  <c:v>2017Q1</c:v>
                </c:pt>
                <c:pt idx="17">
                  <c:v>2017Q2</c:v>
                </c:pt>
                <c:pt idx="18">
                  <c:v>2017Q3</c:v>
                </c:pt>
                <c:pt idx="19">
                  <c:v>2017Q4</c:v>
                </c:pt>
                <c:pt idx="20">
                  <c:v>2018Q1</c:v>
                </c:pt>
                <c:pt idx="21">
                  <c:v>2018Q2</c:v>
                </c:pt>
                <c:pt idx="22">
                  <c:v>2018Q3</c:v>
                </c:pt>
              </c:strCache>
            </c:strRef>
          </c:cat>
          <c:val>
            <c:numRef>
              <c:f>'2018 Q3 (F)'!$F$34:$F$56</c:f>
              <c:numCache>
                <c:formatCode>0.0</c:formatCode>
                <c:ptCount val="23"/>
                <c:pt idx="0">
                  <c:v>3.6208473646581751</c:v>
                </c:pt>
                <c:pt idx="1">
                  <c:v>2.6178718123111455</c:v>
                </c:pt>
                <c:pt idx="2">
                  <c:v>1.3467776239150187</c:v>
                </c:pt>
                <c:pt idx="3">
                  <c:v>0.7323027398944415</c:v>
                </c:pt>
                <c:pt idx="4">
                  <c:v>2.6644199701995719</c:v>
                </c:pt>
                <c:pt idx="5">
                  <c:v>-1.5498061972216148</c:v>
                </c:pt>
                <c:pt idx="6">
                  <c:v>2.3568373716194246</c:v>
                </c:pt>
                <c:pt idx="7">
                  <c:v>1.4948925124467438</c:v>
                </c:pt>
                <c:pt idx="8">
                  <c:v>1.9214582826799775</c:v>
                </c:pt>
                <c:pt idx="9">
                  <c:v>1.3558096892781313</c:v>
                </c:pt>
                <c:pt idx="10">
                  <c:v>1.5695145359394758</c:v>
                </c:pt>
                <c:pt idx="11">
                  <c:v>0.62940549914276556</c:v>
                </c:pt>
                <c:pt idx="12">
                  <c:v>0.74964194281295082</c:v>
                </c:pt>
                <c:pt idx="13">
                  <c:v>1.1461119741546177</c:v>
                </c:pt>
                <c:pt idx="14">
                  <c:v>-2.1024951296298222</c:v>
                </c:pt>
                <c:pt idx="15">
                  <c:v>4.2373608250315664</c:v>
                </c:pt>
                <c:pt idx="16">
                  <c:v>1.9142974813809222</c:v>
                </c:pt>
                <c:pt idx="17">
                  <c:v>2.2277165107249086</c:v>
                </c:pt>
                <c:pt idx="18">
                  <c:v>1.8696876740569746</c:v>
                </c:pt>
                <c:pt idx="19">
                  <c:v>1.2196895959393883</c:v>
                </c:pt>
                <c:pt idx="20">
                  <c:v>1.6773683200055789</c:v>
                </c:pt>
                <c:pt idx="21">
                  <c:v>0.63940644580593453</c:v>
                </c:pt>
                <c:pt idx="22">
                  <c:v>-1.1011482561362529</c:v>
                </c:pt>
              </c:numCache>
            </c:numRef>
          </c:val>
          <c:smooth val="0"/>
          <c:extLst>
            <c:ext xmlns:c16="http://schemas.microsoft.com/office/drawing/2014/chart" uri="{C3380CC4-5D6E-409C-BE32-E72D297353CC}">
              <c16:uniqueId val="{00000001-8553-4261-B692-DDD8DEEE87EA}"/>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F74B-B071-410E-8070-CBF2CBB0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1788</TotalTime>
  <Pages>5</Pages>
  <Words>1018</Words>
  <Characters>5806</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ozan bakis</cp:lastModifiedBy>
  <cp:revision>105</cp:revision>
  <cp:lastPrinted>2017-12-14T09:18:00Z</cp:lastPrinted>
  <dcterms:created xsi:type="dcterms:W3CDTF">2018-04-03T12:06:00Z</dcterms:created>
  <dcterms:modified xsi:type="dcterms:W3CDTF">2018-12-19T09:30:00Z</dcterms:modified>
</cp:coreProperties>
</file>