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9994" w14:textId="77777777" w:rsidR="00D07713" w:rsidRPr="00924CD9" w:rsidRDefault="00D90931">
      <w:pPr>
        <w:rPr>
          <w:rFonts w:ascii="Palatino Linotype" w:hAnsi="Palatino Linotype" w:cstheme="minorHAnsi"/>
        </w:rPr>
      </w:pPr>
      <w:r>
        <w:rPr>
          <w:rFonts w:ascii="Palatino Linotype" w:hAnsi="Palatino Linotype" w:cstheme="minorHAnsi"/>
          <w:noProof/>
          <w:lang w:val="tr-TR"/>
        </w:rPr>
        <mc:AlternateContent>
          <mc:Choice Requires="wps">
            <w:drawing>
              <wp:anchor distT="0" distB="0" distL="114935" distR="114935" simplePos="0" relativeHeight="251661824" behindDoc="0" locked="0" layoutInCell="1" allowOverlap="1" wp14:anchorId="690A72DB" wp14:editId="78779F32">
                <wp:simplePos x="0" y="0"/>
                <wp:positionH relativeFrom="column">
                  <wp:posOffset>4939030</wp:posOffset>
                </wp:positionH>
                <wp:positionV relativeFrom="paragraph">
                  <wp:posOffset>42545</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5288C" w14:textId="4C377C48" w:rsidR="00D07713" w:rsidRPr="00D07713" w:rsidRDefault="003566E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D07713" w:rsidRPr="00D07713">
                              <w:rPr>
                                <w:rFonts w:ascii="Arial" w:eastAsia="Times New Roman" w:hAnsi="Arial" w:cs="Arial"/>
                                <w:b/>
                                <w:bCs/>
                                <w:color w:val="FFFFFF"/>
                                <w:sz w:val="22"/>
                                <w:szCs w:val="22"/>
                                <w:lang w:eastAsia="ar-SA"/>
                              </w:rPr>
                              <w:t xml:space="preserve"> </w:t>
                            </w:r>
                            <w:r w:rsidR="0005380F">
                              <w:rPr>
                                <w:rFonts w:ascii="Arial" w:eastAsia="Times New Roman" w:hAnsi="Arial" w:cs="Arial"/>
                                <w:b/>
                                <w:bCs/>
                                <w:color w:val="FFFFFF"/>
                                <w:sz w:val="22"/>
                                <w:szCs w:val="22"/>
                                <w:lang w:eastAsia="ar-SA"/>
                              </w:rPr>
                              <w:t>September</w:t>
                            </w:r>
                            <w:r w:rsidR="00D07713" w:rsidRPr="00D07713">
                              <w:rPr>
                                <w:rFonts w:ascii="Arial" w:eastAsia="Times New Roman" w:hAnsi="Arial" w:cs="Arial"/>
                                <w:b/>
                                <w:bCs/>
                                <w:color w:val="FFFFFF"/>
                                <w:sz w:val="22"/>
                                <w:szCs w:val="22"/>
                                <w:lang w:eastAsia="ar-SA"/>
                              </w:rPr>
                              <w:t xml:space="preserve"> 201</w:t>
                            </w:r>
                            <w:r w:rsidR="008459A9">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0A72DB" id="_x0000_t202" coordsize="21600,21600" o:spt="202" path="m,l,21600r21600,l21600,xe">
                <v:stroke joinstyle="miter"/>
                <v:path gradientshapeok="t" o:connecttype="rect"/>
              </v:shapetype>
              <v:shape id="Text Box 3" o:spid="_x0000_s1026" type="#_x0000_t202" style="position:absolute;margin-left:388.9pt;margin-top:3.35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" stroked="f">
                <v:fill opacity="0"/>
                <v:textbox inset="0,0,0,0">
                  <w:txbxContent>
                    <w:p w14:paraId="2685288C" w14:textId="4C377C48" w:rsidR="00D07713" w:rsidRPr="00D07713" w:rsidRDefault="003566E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D07713" w:rsidRPr="00D07713">
                        <w:rPr>
                          <w:rFonts w:ascii="Arial" w:eastAsia="Times New Roman" w:hAnsi="Arial" w:cs="Arial"/>
                          <w:b/>
                          <w:bCs/>
                          <w:color w:val="FFFFFF"/>
                          <w:sz w:val="22"/>
                          <w:szCs w:val="22"/>
                          <w:lang w:eastAsia="ar-SA"/>
                        </w:rPr>
                        <w:t xml:space="preserve"> </w:t>
                      </w:r>
                      <w:r w:rsidR="0005380F">
                        <w:rPr>
                          <w:rFonts w:ascii="Arial" w:eastAsia="Times New Roman" w:hAnsi="Arial" w:cs="Arial"/>
                          <w:b/>
                          <w:bCs/>
                          <w:color w:val="FFFFFF"/>
                          <w:sz w:val="22"/>
                          <w:szCs w:val="22"/>
                          <w:lang w:eastAsia="ar-SA"/>
                        </w:rPr>
                        <w:t>September</w:t>
                      </w:r>
                      <w:r w:rsidR="00D07713" w:rsidRPr="00D07713">
                        <w:rPr>
                          <w:rFonts w:ascii="Arial" w:eastAsia="Times New Roman" w:hAnsi="Arial" w:cs="Arial"/>
                          <w:b/>
                          <w:bCs/>
                          <w:color w:val="FFFFFF"/>
                          <w:sz w:val="22"/>
                          <w:szCs w:val="22"/>
                          <w:lang w:eastAsia="ar-SA"/>
                        </w:rPr>
                        <w:t xml:space="preserve"> 201</w:t>
                      </w:r>
                      <w:r w:rsidR="008459A9">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v:textbox>
              </v:shape>
            </w:pict>
          </mc:Fallback>
        </mc:AlternateContent>
      </w:r>
      <w:r>
        <w:rPr>
          <w:rFonts w:ascii="Palatino Linotype" w:hAnsi="Palatino Linotype" w:cstheme="minorHAnsi"/>
          <w:noProof/>
          <w:lang w:val="tr-TR"/>
        </w:rPr>
        <mc:AlternateContent>
          <mc:Choice Requires="wps">
            <w:drawing>
              <wp:anchor distT="0" distB="0" distL="114935" distR="114935" simplePos="0" relativeHeight="251658752" behindDoc="0" locked="0" layoutInCell="1" allowOverlap="1" wp14:anchorId="042445AC" wp14:editId="7E918E4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6C43963D" w:rsidR="00D07713" w:rsidRPr="00526178" w:rsidRDefault="001537D8" w:rsidP="00D07713">
                            <w:pPr>
                              <w:pStyle w:val="Heading1"/>
                              <w:rPr>
                                <w:b w:val="0"/>
                                <w:bCs w:val="0"/>
                                <w:i/>
                                <w:iCs/>
                              </w:rPr>
                            </w:pPr>
                            <w:r>
                              <w:rPr>
                                <w:rFonts w:ascii="Times New Roman" w:hAnsi="Times New Roman" w:cs="Times New Roman"/>
                                <w:sz w:val="40"/>
                                <w:szCs w:val="40"/>
                              </w:rPr>
                              <w:t>201</w:t>
                            </w:r>
                            <w:r w:rsidR="003566E5">
                              <w:rPr>
                                <w:rFonts w:ascii="Times New Roman" w:hAnsi="Times New Roman" w:cs="Times New Roman"/>
                                <w:sz w:val="40"/>
                                <w:szCs w:val="40"/>
                              </w:rPr>
                              <w:t>8</w:t>
                            </w:r>
                            <w:r>
                              <w:rPr>
                                <w:rFonts w:ascii="Times New Roman" w:hAnsi="Times New Roman" w:cs="Times New Roman"/>
                                <w:sz w:val="40"/>
                                <w:szCs w:val="40"/>
                              </w:rPr>
                              <w:t xml:space="preserve"> </w:t>
                            </w:r>
                            <w:r w:rsidR="00FA79F3">
                              <w:rPr>
                                <w:rFonts w:ascii="Times New Roman" w:hAnsi="Times New Roman" w:cs="Times New Roman"/>
                                <w:sz w:val="40"/>
                                <w:szCs w:val="40"/>
                              </w:rPr>
                              <w:t>2</w:t>
                            </w:r>
                            <w:r w:rsidR="00FA79F3">
                              <w:rPr>
                                <w:rFonts w:ascii="Times New Roman" w:hAnsi="Times New Roman" w:cs="Times New Roman"/>
                                <w:sz w:val="40"/>
                                <w:szCs w:val="40"/>
                                <w:vertAlign w:val="superscript"/>
                              </w:rPr>
                              <w:t>ND</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2445A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6C43963D" w:rsidR="00D07713" w:rsidRPr="00526178" w:rsidRDefault="001537D8" w:rsidP="00D07713">
                      <w:pPr>
                        <w:pStyle w:val="Heading1"/>
                        <w:rPr>
                          <w:b w:val="0"/>
                          <w:bCs w:val="0"/>
                          <w:i/>
                          <w:iCs/>
                        </w:rPr>
                      </w:pPr>
                      <w:r>
                        <w:rPr>
                          <w:rFonts w:ascii="Times New Roman" w:hAnsi="Times New Roman" w:cs="Times New Roman"/>
                          <w:sz w:val="40"/>
                          <w:szCs w:val="40"/>
                        </w:rPr>
                        <w:t>201</w:t>
                      </w:r>
                      <w:r w:rsidR="003566E5">
                        <w:rPr>
                          <w:rFonts w:ascii="Times New Roman" w:hAnsi="Times New Roman" w:cs="Times New Roman"/>
                          <w:sz w:val="40"/>
                          <w:szCs w:val="40"/>
                        </w:rPr>
                        <w:t>8</w:t>
                      </w:r>
                      <w:r>
                        <w:rPr>
                          <w:rFonts w:ascii="Times New Roman" w:hAnsi="Times New Roman" w:cs="Times New Roman"/>
                          <w:sz w:val="40"/>
                          <w:szCs w:val="40"/>
                        </w:rPr>
                        <w:t xml:space="preserve"> </w:t>
                      </w:r>
                      <w:r w:rsidR="00FA79F3">
                        <w:rPr>
                          <w:rFonts w:ascii="Times New Roman" w:hAnsi="Times New Roman" w:cs="Times New Roman"/>
                          <w:sz w:val="40"/>
                          <w:szCs w:val="40"/>
                        </w:rPr>
                        <w:t>2</w:t>
                      </w:r>
                      <w:r w:rsidR="00FA79F3">
                        <w:rPr>
                          <w:rFonts w:ascii="Times New Roman" w:hAnsi="Times New Roman" w:cs="Times New Roman"/>
                          <w:sz w:val="40"/>
                          <w:szCs w:val="40"/>
                          <w:vertAlign w:val="superscript"/>
                        </w:rPr>
                        <w:t>ND</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v:textbox>
              </v:shape>
            </w:pict>
          </mc:Fallback>
        </mc:AlternateContent>
      </w:r>
      <w:r w:rsidR="00D07713" w:rsidRPr="00924CD9">
        <w:rPr>
          <w:rFonts w:ascii="Palatino Linotype" w:hAnsi="Palatino Linotype" w:cstheme="minorHAnsi"/>
          <w:noProof/>
          <w:lang w:val="tr-TR"/>
        </w:rPr>
        <w:drawing>
          <wp:anchor distT="0" distB="0" distL="114300" distR="114300" simplePos="0" relativeHeight="251655680" behindDoc="1" locked="0" layoutInCell="1" allowOverlap="1" wp14:anchorId="310B4B5A" wp14:editId="1956795D">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425D7B57" w14:textId="77777777" w:rsidR="00D07713" w:rsidRPr="00924CD9" w:rsidRDefault="00D07713">
      <w:pPr>
        <w:rPr>
          <w:rFonts w:ascii="Palatino Linotype" w:hAnsi="Palatino Linotype" w:cstheme="minorHAnsi"/>
        </w:rPr>
      </w:pPr>
    </w:p>
    <w:p w14:paraId="17518868" w14:textId="77777777"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14:paraId="45202FCF" w14:textId="0173A7DF" w:rsidR="00C33714" w:rsidRPr="00CA46D9" w:rsidRDefault="00C33714" w:rsidP="002838E9">
      <w:pPr>
        <w:spacing w:line="288" w:lineRule="auto"/>
        <w:ind w:right="-319"/>
        <w:jc w:val="center"/>
        <w:outlineLvl w:val="0"/>
        <w:rPr>
          <w:rFonts w:ascii="Palatino Linotype" w:hAnsi="Palatino Linotype" w:cstheme="minorHAnsi"/>
          <w:b/>
          <w:bCs/>
          <w:strike/>
          <w:color w:val="FF0000"/>
          <w:sz w:val="28"/>
          <w:szCs w:val="28"/>
        </w:rPr>
      </w:pPr>
      <w:r>
        <w:rPr>
          <w:rFonts w:ascii="Palatino Linotype" w:hAnsi="Palatino Linotype" w:cstheme="minorHAnsi"/>
          <w:b/>
          <w:bCs/>
          <w:sz w:val="28"/>
          <w:szCs w:val="28"/>
        </w:rPr>
        <w:t xml:space="preserve">HIGH GROWTH </w:t>
      </w:r>
      <w:r w:rsidR="00215350" w:rsidRPr="0049637E">
        <w:rPr>
          <w:rFonts w:ascii="Palatino Linotype" w:hAnsi="Palatino Linotype" w:cstheme="minorHAnsi"/>
          <w:b/>
          <w:bCs/>
          <w:sz w:val="28"/>
          <w:szCs w:val="28"/>
        </w:rPr>
        <w:t>BOOSTED</w:t>
      </w:r>
      <w:r w:rsidR="00537043">
        <w:rPr>
          <w:rFonts w:ascii="Palatino Linotype" w:hAnsi="Palatino Linotype" w:cstheme="minorHAnsi"/>
          <w:b/>
          <w:bCs/>
          <w:color w:val="FF0000"/>
          <w:sz w:val="28"/>
          <w:szCs w:val="28"/>
        </w:rPr>
        <w:t xml:space="preserve"> </w:t>
      </w:r>
      <w:r>
        <w:rPr>
          <w:rFonts w:ascii="Palatino Linotype" w:hAnsi="Palatino Linotype" w:cstheme="minorHAnsi"/>
          <w:b/>
          <w:bCs/>
          <w:sz w:val="28"/>
          <w:szCs w:val="28"/>
        </w:rPr>
        <w:t xml:space="preserve">BY PRIVATE CONSUMPTION AND </w:t>
      </w:r>
      <w:r w:rsidR="00CA46D9" w:rsidRPr="009E24F0">
        <w:rPr>
          <w:rFonts w:ascii="Palatino Linotype" w:hAnsi="Palatino Linotype" w:cstheme="minorHAnsi"/>
          <w:b/>
          <w:bCs/>
          <w:sz w:val="28"/>
          <w:szCs w:val="28"/>
        </w:rPr>
        <w:t>EXPORTS</w:t>
      </w:r>
      <w:r w:rsidR="002838E9" w:rsidRPr="009E24F0">
        <w:rPr>
          <w:rFonts w:ascii="Palatino Linotype" w:hAnsi="Palatino Linotype" w:cstheme="minorHAnsi"/>
          <w:b/>
          <w:bCs/>
          <w:sz w:val="28"/>
          <w:szCs w:val="28"/>
        </w:rPr>
        <w:t xml:space="preserve"> IN THE SECOND QUARTER</w:t>
      </w:r>
    </w:p>
    <w:p w14:paraId="22314509" w14:textId="77777777" w:rsidR="00D07713" w:rsidRPr="00924CD9" w:rsidRDefault="003172DB" w:rsidP="00D07713">
      <w:pPr>
        <w:jc w:val="center"/>
        <w:rPr>
          <w:rFonts w:ascii="Palatino Linotype" w:hAnsi="Palatino Linotype" w:cstheme="minorHAnsi"/>
        </w:rPr>
      </w:pPr>
      <w:r w:rsidRPr="00924CD9">
        <w:rPr>
          <w:rFonts w:ascii="Palatino Linotype" w:hAnsi="Palatino Linotype" w:cstheme="minorHAnsi"/>
          <w:b/>
          <w:bCs/>
          <w:sz w:val="22"/>
          <w:szCs w:val="22"/>
        </w:rPr>
        <w:t>Seyfettin Gürsel</w:t>
      </w:r>
      <w:r w:rsidRPr="00924CD9">
        <w:rPr>
          <w:rStyle w:val="FootnoteReference"/>
          <w:rFonts w:ascii="Palatino Linotype" w:hAnsi="Palatino Linotype" w:cstheme="minorHAnsi"/>
          <w:b/>
          <w:bCs/>
          <w:sz w:val="22"/>
          <w:szCs w:val="22"/>
        </w:rPr>
        <w:footnoteReference w:id="1"/>
      </w:r>
      <w:r>
        <w:rPr>
          <w:rFonts w:ascii="Palatino Linotype" w:hAnsi="Palatino Linotype" w:cstheme="minorHAnsi"/>
          <w:b/>
          <w:bCs/>
          <w:sz w:val="22"/>
          <w:szCs w:val="22"/>
        </w:rPr>
        <w:t>,</w:t>
      </w:r>
      <w:r w:rsidRPr="00924CD9">
        <w:rPr>
          <w:rFonts w:ascii="Palatino Linotype" w:hAnsi="Palatino Linotype" w:cstheme="minorHAnsi"/>
          <w:b/>
          <w:bCs/>
          <w:sz w:val="22"/>
          <w:szCs w:val="22"/>
        </w:rPr>
        <w:t xml:space="preserve"> </w:t>
      </w:r>
      <w:r w:rsidR="00D07713" w:rsidRPr="00924CD9">
        <w:rPr>
          <w:rFonts w:ascii="Palatino Linotype" w:hAnsi="Palatino Linotype" w:cstheme="minorHAnsi"/>
          <w:b/>
          <w:bCs/>
          <w:sz w:val="22"/>
          <w:szCs w:val="22"/>
        </w:rPr>
        <w:t xml:space="preserve">Ozan </w:t>
      </w:r>
      <w:proofErr w:type="spellStart"/>
      <w:r w:rsidR="00D07713" w:rsidRPr="00924CD9">
        <w:rPr>
          <w:rFonts w:ascii="Palatino Linotype" w:hAnsi="Palatino Linotype" w:cstheme="minorHAnsi"/>
          <w:b/>
          <w:bCs/>
          <w:sz w:val="22"/>
          <w:szCs w:val="22"/>
        </w:rPr>
        <w:t>Bakış</w:t>
      </w:r>
      <w:proofErr w:type="spellEnd"/>
      <w:r w:rsidR="00C32789" w:rsidRPr="00924CD9">
        <w:rPr>
          <w:rStyle w:val="FootnoteReference"/>
          <w:rFonts w:ascii="Palatino Linotype" w:hAnsi="Palatino Linotype" w:cstheme="minorHAnsi"/>
          <w:b/>
          <w:bCs/>
          <w:sz w:val="22"/>
          <w:szCs w:val="22"/>
        </w:rPr>
        <w:footnoteReference w:id="2"/>
      </w:r>
      <w:r w:rsidR="001537D8">
        <w:rPr>
          <w:rFonts w:ascii="Palatino Linotype" w:hAnsi="Palatino Linotype" w:cstheme="minorHAnsi"/>
          <w:b/>
          <w:bCs/>
          <w:sz w:val="22"/>
          <w:szCs w:val="22"/>
        </w:rPr>
        <w:t xml:space="preserve"> </w:t>
      </w:r>
      <w:r w:rsidR="008C6F06">
        <w:rPr>
          <w:rFonts w:ascii="Palatino Linotype" w:hAnsi="Palatino Linotype" w:cstheme="minorHAnsi"/>
          <w:b/>
          <w:bCs/>
          <w:sz w:val="22"/>
          <w:szCs w:val="22"/>
        </w:rPr>
        <w:t>and</w:t>
      </w:r>
      <w:r w:rsidR="001537D8">
        <w:rPr>
          <w:rFonts w:ascii="Palatino Linotype" w:hAnsi="Palatino Linotype" w:cstheme="minorHAnsi"/>
          <w:b/>
          <w:bCs/>
          <w:sz w:val="22"/>
          <w:szCs w:val="22"/>
        </w:rPr>
        <w:t xml:space="preserve"> Uğurcan </w:t>
      </w:r>
      <w:proofErr w:type="spellStart"/>
      <w:r w:rsidR="001537D8">
        <w:rPr>
          <w:rFonts w:ascii="Palatino Linotype" w:hAnsi="Palatino Linotype" w:cstheme="minorHAnsi"/>
          <w:b/>
          <w:bCs/>
          <w:sz w:val="22"/>
          <w:szCs w:val="22"/>
        </w:rPr>
        <w:t>Acar</w:t>
      </w:r>
      <w:proofErr w:type="spellEnd"/>
      <w:r w:rsidR="001537D8">
        <w:rPr>
          <w:rStyle w:val="FootnoteReference"/>
          <w:rFonts w:ascii="Palatino Linotype" w:hAnsi="Palatino Linotype" w:cstheme="minorHAnsi"/>
          <w:b/>
          <w:bCs/>
          <w:sz w:val="22"/>
          <w:szCs w:val="22"/>
        </w:rPr>
        <w:footnoteReference w:id="3"/>
      </w:r>
      <w:r w:rsidR="001537D8">
        <w:rPr>
          <w:rFonts w:ascii="Palatino Linotype" w:hAnsi="Palatino Linotype" w:cstheme="minorHAnsi"/>
          <w:b/>
          <w:bCs/>
          <w:sz w:val="22"/>
          <w:szCs w:val="22"/>
        </w:rPr>
        <w:t xml:space="preserve"> </w:t>
      </w:r>
    </w:p>
    <w:p w14:paraId="57322CA8" w14:textId="77777777" w:rsidR="00D07713" w:rsidRPr="00924CD9" w:rsidRDefault="00D07713">
      <w:pPr>
        <w:rPr>
          <w:rFonts w:ascii="Palatino Linotype" w:hAnsi="Palatino Linotype" w:cstheme="minorHAnsi"/>
        </w:rPr>
      </w:pPr>
    </w:p>
    <w:p w14:paraId="3AE80053" w14:textId="0254C27E" w:rsidR="00D257C1" w:rsidRDefault="00414150" w:rsidP="007B70AD">
      <w:pPr>
        <w:jc w:val="center"/>
        <w:rPr>
          <w:rFonts w:ascii="Arial" w:hAnsi="Arial" w:cs="Arial"/>
          <w:b/>
          <w:bCs/>
          <w:sz w:val="22"/>
          <w:szCs w:val="22"/>
        </w:rPr>
      </w:pPr>
      <w:r w:rsidRPr="00DE4D69">
        <w:rPr>
          <w:rFonts w:ascii="Arial" w:hAnsi="Arial" w:cs="Arial"/>
          <w:b/>
          <w:bCs/>
          <w:sz w:val="22"/>
          <w:szCs w:val="22"/>
        </w:rPr>
        <w:t>Executive Summary</w:t>
      </w:r>
    </w:p>
    <w:p w14:paraId="08B607E9" w14:textId="77777777" w:rsidR="00223A5B" w:rsidRPr="00AE59EE" w:rsidRDefault="00223A5B" w:rsidP="007B70AD">
      <w:pPr>
        <w:jc w:val="center"/>
        <w:rPr>
          <w:rFonts w:ascii="Palatino Linotype" w:hAnsi="Palatino Linotype" w:cstheme="minorHAnsi"/>
          <w:b/>
          <w:sz w:val="22"/>
          <w:szCs w:val="22"/>
        </w:rPr>
      </w:pPr>
    </w:p>
    <w:p w14:paraId="3A2460AF" w14:textId="5326329C" w:rsidR="00414150" w:rsidRDefault="00414150" w:rsidP="009E24F0">
      <w:pPr>
        <w:spacing w:after="120"/>
        <w:ind w:left="567" w:right="567"/>
        <w:jc w:val="both"/>
        <w:rPr>
          <w:rFonts w:ascii="Palatino Linotype" w:hAnsi="Palatino Linotype" w:cstheme="minorHAnsi"/>
          <w:sz w:val="22"/>
          <w:szCs w:val="22"/>
        </w:rPr>
      </w:pPr>
      <w:r w:rsidRPr="002D5820">
        <w:rPr>
          <w:rFonts w:ascii="Palatino Linotype" w:hAnsi="Palatino Linotype" w:cstheme="minorHAnsi"/>
          <w:sz w:val="22"/>
          <w:szCs w:val="22"/>
        </w:rPr>
        <w:t>In</w:t>
      </w:r>
      <w:r w:rsidRPr="00414150">
        <w:rPr>
          <w:rFonts w:ascii="Palatino Linotype" w:hAnsi="Palatino Linotype" w:cstheme="minorHAnsi"/>
          <w:sz w:val="22"/>
          <w:szCs w:val="22"/>
        </w:rPr>
        <w:t xml:space="preserve"> </w:t>
      </w:r>
      <w:r w:rsidRPr="002D5820">
        <w:rPr>
          <w:rFonts w:ascii="Palatino Linotype" w:hAnsi="Palatino Linotype" w:cstheme="minorHAnsi"/>
          <w:sz w:val="22"/>
          <w:szCs w:val="22"/>
        </w:rPr>
        <w:t>the</w:t>
      </w:r>
      <w:r w:rsidRPr="00414150">
        <w:rPr>
          <w:rFonts w:ascii="Palatino Linotype" w:hAnsi="Palatino Linotype" w:cstheme="minorHAnsi"/>
          <w:sz w:val="22"/>
          <w:szCs w:val="22"/>
        </w:rPr>
        <w:t xml:space="preserve"> </w:t>
      </w:r>
      <w:r w:rsidR="009E24F0">
        <w:rPr>
          <w:rFonts w:ascii="Palatino Linotype" w:hAnsi="Palatino Linotype" w:cstheme="minorHAnsi"/>
          <w:sz w:val="22"/>
          <w:szCs w:val="22"/>
        </w:rPr>
        <w:t>second</w:t>
      </w:r>
      <w:r w:rsidRPr="00414150">
        <w:rPr>
          <w:rFonts w:ascii="Palatino Linotype" w:hAnsi="Palatino Linotype" w:cstheme="minorHAnsi"/>
          <w:sz w:val="22"/>
          <w:szCs w:val="22"/>
        </w:rPr>
        <w:t xml:space="preserve"> quarter of 201</w:t>
      </w:r>
      <w:r w:rsidR="003566E5">
        <w:rPr>
          <w:rFonts w:ascii="Palatino Linotype" w:hAnsi="Palatino Linotype" w:cstheme="minorHAnsi"/>
          <w:sz w:val="22"/>
          <w:szCs w:val="22"/>
        </w:rPr>
        <w:t>8</w:t>
      </w:r>
      <w:r w:rsidRPr="00414150">
        <w:rPr>
          <w:rFonts w:ascii="Palatino Linotype" w:hAnsi="Palatino Linotype" w:cstheme="minorHAnsi"/>
          <w:sz w:val="22"/>
          <w:szCs w:val="22"/>
        </w:rPr>
        <w:t xml:space="preserve">, </w:t>
      </w:r>
      <w:r>
        <w:rPr>
          <w:rFonts w:ascii="Palatino Linotype" w:hAnsi="Palatino Linotype" w:cstheme="minorHAnsi"/>
          <w:sz w:val="22"/>
          <w:szCs w:val="22"/>
        </w:rPr>
        <w:t xml:space="preserve">according to </w:t>
      </w:r>
      <w:r w:rsidR="00D30DDE">
        <w:rPr>
          <w:rFonts w:ascii="Palatino Linotype" w:hAnsi="Palatino Linotype" w:cstheme="minorHAnsi"/>
          <w:sz w:val="22"/>
          <w:szCs w:val="22"/>
        </w:rPr>
        <w:t xml:space="preserve">seasonally and calendar day adjusted data, </w:t>
      </w:r>
      <w:r w:rsidRPr="007D787D">
        <w:rPr>
          <w:rFonts w:ascii="Palatino Linotype" w:hAnsi="Palatino Linotype" w:cstheme="minorHAnsi"/>
          <w:sz w:val="22"/>
          <w:szCs w:val="22"/>
        </w:rPr>
        <w:t xml:space="preserve">Gross Domestic Product (GDP) increased by </w:t>
      </w:r>
      <w:r w:rsidR="00FA79F3">
        <w:rPr>
          <w:rFonts w:ascii="Palatino Linotype" w:hAnsi="Palatino Linotype" w:cstheme="minorHAnsi"/>
          <w:sz w:val="22"/>
          <w:szCs w:val="22"/>
        </w:rPr>
        <w:t>0.9</w:t>
      </w:r>
      <w:r w:rsidRPr="007D787D">
        <w:rPr>
          <w:rFonts w:ascii="Palatino Linotype" w:hAnsi="Palatino Linotype" w:cstheme="minorHAnsi"/>
          <w:sz w:val="22"/>
          <w:szCs w:val="22"/>
        </w:rPr>
        <w:t xml:space="preserve"> percent compared to the previous quarter and by </w:t>
      </w:r>
      <w:r w:rsidR="00FA79F3">
        <w:rPr>
          <w:rFonts w:ascii="Palatino Linotype" w:hAnsi="Palatino Linotype" w:cstheme="minorHAnsi"/>
          <w:sz w:val="22"/>
          <w:szCs w:val="22"/>
        </w:rPr>
        <w:t>5</w:t>
      </w:r>
      <w:r w:rsidRPr="007D787D">
        <w:rPr>
          <w:rFonts w:ascii="Palatino Linotype" w:hAnsi="Palatino Linotype" w:cstheme="minorHAnsi"/>
          <w:sz w:val="22"/>
          <w:szCs w:val="22"/>
        </w:rPr>
        <w:t>.</w:t>
      </w:r>
      <w:r w:rsidR="00FA79F3">
        <w:rPr>
          <w:rFonts w:ascii="Palatino Linotype" w:hAnsi="Palatino Linotype" w:cstheme="minorHAnsi"/>
          <w:sz w:val="22"/>
          <w:szCs w:val="22"/>
        </w:rPr>
        <w:t>2</w:t>
      </w:r>
      <w:r w:rsidRPr="007D787D">
        <w:rPr>
          <w:rFonts w:ascii="Palatino Linotype" w:hAnsi="Palatino Linotype" w:cstheme="minorHAnsi"/>
          <w:sz w:val="22"/>
          <w:szCs w:val="22"/>
        </w:rPr>
        <w:t xml:space="preserve"> percent compared to the </w:t>
      </w:r>
      <w:r w:rsidR="00AB16C5">
        <w:rPr>
          <w:rFonts w:ascii="Palatino Linotype" w:hAnsi="Palatino Linotype" w:cstheme="minorHAnsi"/>
          <w:sz w:val="22"/>
          <w:szCs w:val="22"/>
        </w:rPr>
        <w:t>same</w:t>
      </w:r>
      <w:r w:rsidRPr="007D787D">
        <w:rPr>
          <w:rFonts w:ascii="Palatino Linotype" w:hAnsi="Palatino Linotype" w:cstheme="minorHAnsi"/>
          <w:sz w:val="22"/>
          <w:szCs w:val="22"/>
        </w:rPr>
        <w:t xml:space="preserve"> quarter of last year. The </w:t>
      </w:r>
      <w:r w:rsidR="004809E9" w:rsidRPr="009E24F0">
        <w:rPr>
          <w:rFonts w:ascii="Palatino Linotype" w:hAnsi="Palatino Linotype" w:cstheme="minorHAnsi"/>
          <w:sz w:val="22"/>
          <w:szCs w:val="22"/>
        </w:rPr>
        <w:t>largest</w:t>
      </w:r>
      <w:r w:rsidR="004809E9">
        <w:rPr>
          <w:rFonts w:ascii="Palatino Linotype" w:hAnsi="Palatino Linotype" w:cstheme="minorHAnsi"/>
          <w:color w:val="FF0000"/>
          <w:sz w:val="22"/>
          <w:szCs w:val="22"/>
        </w:rPr>
        <w:t xml:space="preserve"> </w:t>
      </w:r>
      <w:r w:rsidRPr="007D787D">
        <w:rPr>
          <w:rFonts w:ascii="Palatino Linotype" w:hAnsi="Palatino Linotype" w:cstheme="minorHAnsi"/>
          <w:sz w:val="22"/>
          <w:szCs w:val="22"/>
        </w:rPr>
        <w:t xml:space="preserve">contribution to </w:t>
      </w:r>
      <w:r w:rsidR="00537043" w:rsidRPr="009E24F0">
        <w:rPr>
          <w:rFonts w:ascii="Palatino Linotype" w:hAnsi="Palatino Linotype" w:cstheme="minorHAnsi"/>
          <w:sz w:val="22"/>
          <w:szCs w:val="22"/>
        </w:rPr>
        <w:t>annual</w:t>
      </w:r>
      <w:r w:rsidR="00537043">
        <w:rPr>
          <w:rFonts w:ascii="Palatino Linotype" w:hAnsi="Palatino Linotype" w:cstheme="minorHAnsi"/>
          <w:color w:val="FF0000"/>
          <w:sz w:val="22"/>
          <w:szCs w:val="22"/>
        </w:rPr>
        <w:t xml:space="preserve"> </w:t>
      </w:r>
      <w:r w:rsidR="00D30DDE" w:rsidRPr="007D787D">
        <w:rPr>
          <w:rFonts w:ascii="Palatino Linotype" w:hAnsi="Palatino Linotype" w:cstheme="minorHAnsi"/>
          <w:sz w:val="22"/>
          <w:szCs w:val="22"/>
        </w:rPr>
        <w:t>economic growth</w:t>
      </w:r>
      <w:r w:rsidRPr="007D787D">
        <w:rPr>
          <w:rFonts w:ascii="Palatino Linotype" w:hAnsi="Palatino Linotype" w:cstheme="minorHAnsi"/>
          <w:sz w:val="22"/>
          <w:szCs w:val="22"/>
        </w:rPr>
        <w:t xml:space="preserve"> </w:t>
      </w:r>
      <w:r w:rsidR="00AF6DE8" w:rsidRPr="009E24F0">
        <w:rPr>
          <w:rFonts w:ascii="Palatino Linotype" w:hAnsi="Palatino Linotype" w:cstheme="minorHAnsi"/>
          <w:sz w:val="22"/>
          <w:szCs w:val="22"/>
        </w:rPr>
        <w:t>came</w:t>
      </w:r>
      <w:r w:rsidR="00AF6DE8">
        <w:rPr>
          <w:rFonts w:ascii="Palatino Linotype" w:hAnsi="Palatino Linotype" w:cstheme="minorHAnsi"/>
          <w:color w:val="FF0000"/>
          <w:sz w:val="22"/>
          <w:szCs w:val="22"/>
        </w:rPr>
        <w:t xml:space="preserve"> </w:t>
      </w:r>
      <w:r w:rsidR="00AB16C5">
        <w:rPr>
          <w:rFonts w:ascii="Palatino Linotype" w:hAnsi="Palatino Linotype" w:cstheme="minorHAnsi"/>
          <w:sz w:val="22"/>
          <w:szCs w:val="22"/>
        </w:rPr>
        <w:t xml:space="preserve">from </w:t>
      </w:r>
      <w:r w:rsidRPr="007D787D">
        <w:rPr>
          <w:rFonts w:ascii="Palatino Linotype" w:hAnsi="Palatino Linotype" w:cstheme="minorHAnsi"/>
          <w:sz w:val="22"/>
          <w:szCs w:val="22"/>
        </w:rPr>
        <w:t>private consumption</w:t>
      </w:r>
      <w:r w:rsidR="0043726B">
        <w:rPr>
          <w:rFonts w:ascii="Palatino Linotype" w:hAnsi="Palatino Linotype" w:cstheme="minorHAnsi"/>
          <w:sz w:val="22"/>
          <w:szCs w:val="22"/>
        </w:rPr>
        <w:t xml:space="preserve"> </w:t>
      </w:r>
      <w:r w:rsidRPr="007D787D">
        <w:rPr>
          <w:rFonts w:ascii="Palatino Linotype" w:hAnsi="Palatino Linotype" w:cstheme="minorHAnsi"/>
          <w:sz w:val="22"/>
          <w:szCs w:val="22"/>
        </w:rPr>
        <w:t>(</w:t>
      </w:r>
      <w:r w:rsidR="00FA79F3">
        <w:rPr>
          <w:rFonts w:ascii="Palatino Linotype" w:hAnsi="Palatino Linotype" w:cstheme="minorHAnsi"/>
          <w:sz w:val="22"/>
          <w:szCs w:val="22"/>
        </w:rPr>
        <w:t>3</w:t>
      </w:r>
      <w:r w:rsidRPr="007D787D">
        <w:rPr>
          <w:rFonts w:ascii="Palatino Linotype" w:hAnsi="Palatino Linotype" w:cstheme="minorHAnsi"/>
          <w:sz w:val="22"/>
          <w:szCs w:val="22"/>
        </w:rPr>
        <w:t>.</w:t>
      </w:r>
      <w:r w:rsidR="00FA79F3">
        <w:rPr>
          <w:rFonts w:ascii="Palatino Linotype" w:hAnsi="Palatino Linotype" w:cstheme="minorHAnsi"/>
          <w:sz w:val="22"/>
          <w:szCs w:val="22"/>
        </w:rPr>
        <w:t>7</w:t>
      </w:r>
      <w:r w:rsidRPr="007D787D">
        <w:rPr>
          <w:rFonts w:ascii="Palatino Linotype" w:hAnsi="Palatino Linotype" w:cstheme="minorHAnsi"/>
          <w:sz w:val="22"/>
          <w:szCs w:val="22"/>
        </w:rPr>
        <w:t xml:space="preserve"> percentage points). </w:t>
      </w:r>
      <w:r w:rsidR="00FA79F3">
        <w:rPr>
          <w:rFonts w:ascii="Palatino Linotype" w:hAnsi="Palatino Linotype" w:cstheme="minorHAnsi"/>
          <w:sz w:val="22"/>
          <w:szCs w:val="22"/>
        </w:rPr>
        <w:t xml:space="preserve">Increase in </w:t>
      </w:r>
      <w:r w:rsidR="004809E9" w:rsidRPr="009E24F0">
        <w:rPr>
          <w:rFonts w:ascii="Palatino Linotype" w:hAnsi="Palatino Linotype" w:cstheme="minorHAnsi"/>
          <w:sz w:val="22"/>
          <w:szCs w:val="22"/>
        </w:rPr>
        <w:t>exports</w:t>
      </w:r>
      <w:r w:rsidR="009E24F0">
        <w:rPr>
          <w:rFonts w:ascii="Palatino Linotype" w:hAnsi="Palatino Linotype" w:cstheme="minorHAnsi"/>
          <w:sz w:val="22"/>
          <w:szCs w:val="22"/>
        </w:rPr>
        <w:t xml:space="preserve"> attained 4.5 percent.</w:t>
      </w:r>
      <w:r w:rsidR="00FA79F3">
        <w:rPr>
          <w:rFonts w:ascii="Palatino Linotype" w:hAnsi="Palatino Linotype" w:cstheme="minorHAnsi"/>
          <w:sz w:val="22"/>
          <w:szCs w:val="22"/>
        </w:rPr>
        <w:t xml:space="preserve"> </w:t>
      </w:r>
      <w:r w:rsidR="009E24F0" w:rsidRPr="009E24F0">
        <w:rPr>
          <w:rFonts w:ascii="Palatino Linotype" w:hAnsi="Palatino Linotype" w:cstheme="minorHAnsi"/>
          <w:sz w:val="22"/>
          <w:szCs w:val="22"/>
        </w:rPr>
        <w:t>The i</w:t>
      </w:r>
      <w:r w:rsidR="009E24F0">
        <w:rPr>
          <w:rFonts w:ascii="Palatino Linotype" w:hAnsi="Palatino Linotype" w:cstheme="minorHAnsi"/>
          <w:sz w:val="22"/>
          <w:szCs w:val="22"/>
        </w:rPr>
        <w:t>mports</w:t>
      </w:r>
      <w:r w:rsidR="009E24F0" w:rsidRPr="009E24F0">
        <w:rPr>
          <w:rFonts w:ascii="Palatino Linotype" w:hAnsi="Palatino Linotype" w:cstheme="minorHAnsi"/>
          <w:sz w:val="22"/>
          <w:szCs w:val="22"/>
        </w:rPr>
        <w:t xml:space="preserve"> </w:t>
      </w:r>
      <w:r w:rsidR="009E24F0">
        <w:rPr>
          <w:rFonts w:ascii="Palatino Linotype" w:hAnsi="Palatino Linotype" w:cstheme="minorHAnsi"/>
          <w:sz w:val="22"/>
          <w:szCs w:val="22"/>
        </w:rPr>
        <w:t xml:space="preserve">which had increased over 15 percent in the first quarter of 2018, almost </w:t>
      </w:r>
      <w:r w:rsidR="009E24F0">
        <w:rPr>
          <w:rFonts w:ascii="Palatino Linotype" w:hAnsi="Palatino Linotype" w:cstheme="minorHAnsi"/>
          <w:sz w:val="22"/>
          <w:szCs w:val="22"/>
        </w:rPr>
        <w:t>stagnated</w:t>
      </w:r>
      <w:r w:rsidR="009E24F0">
        <w:rPr>
          <w:rFonts w:ascii="Palatino Linotype" w:hAnsi="Palatino Linotype" w:cstheme="minorHAnsi"/>
          <w:sz w:val="22"/>
          <w:szCs w:val="22"/>
        </w:rPr>
        <w:t xml:space="preserve"> in the second quarter of 2018.</w:t>
      </w:r>
      <w:r w:rsidR="009E24F0">
        <w:rPr>
          <w:rFonts w:ascii="Palatino Linotype" w:hAnsi="Palatino Linotype" w:cstheme="minorHAnsi"/>
          <w:sz w:val="22"/>
          <w:szCs w:val="22"/>
        </w:rPr>
        <w:t xml:space="preserve"> </w:t>
      </w:r>
      <w:r w:rsidR="004263DD">
        <w:rPr>
          <w:rFonts w:ascii="Palatino Linotype" w:hAnsi="Palatino Linotype" w:cstheme="minorHAnsi"/>
          <w:sz w:val="22"/>
          <w:szCs w:val="22"/>
        </w:rPr>
        <w:t xml:space="preserve">Therefore, </w:t>
      </w:r>
      <w:r w:rsidR="009E24F0">
        <w:rPr>
          <w:rFonts w:ascii="Palatino Linotype" w:hAnsi="Palatino Linotype" w:cstheme="minorHAnsi"/>
          <w:sz w:val="22"/>
          <w:szCs w:val="22"/>
        </w:rPr>
        <w:t xml:space="preserve">the </w:t>
      </w:r>
      <w:r w:rsidR="004263DD">
        <w:rPr>
          <w:rFonts w:ascii="Palatino Linotype" w:hAnsi="Palatino Linotype" w:cstheme="minorHAnsi"/>
          <w:sz w:val="22"/>
          <w:szCs w:val="22"/>
        </w:rPr>
        <w:t>c</w:t>
      </w:r>
      <w:r w:rsidR="0059780D" w:rsidRPr="0059780D">
        <w:rPr>
          <w:rFonts w:ascii="Palatino Linotype" w:hAnsi="Palatino Linotype" w:cstheme="minorHAnsi"/>
          <w:sz w:val="22"/>
          <w:szCs w:val="22"/>
        </w:rPr>
        <w:t xml:space="preserve">ontribution </w:t>
      </w:r>
      <w:r w:rsidR="0059780D">
        <w:rPr>
          <w:rFonts w:ascii="Palatino Linotype" w:hAnsi="Palatino Linotype" w:cstheme="minorHAnsi"/>
          <w:sz w:val="22"/>
          <w:szCs w:val="22"/>
        </w:rPr>
        <w:t xml:space="preserve">to growth </w:t>
      </w:r>
      <w:r w:rsidR="0059780D" w:rsidRPr="0059780D">
        <w:rPr>
          <w:rFonts w:ascii="Palatino Linotype" w:hAnsi="Palatino Linotype" w:cstheme="minorHAnsi"/>
          <w:sz w:val="22"/>
          <w:szCs w:val="22"/>
        </w:rPr>
        <w:t xml:space="preserve">of </w:t>
      </w:r>
      <w:r w:rsidR="004263DD">
        <w:rPr>
          <w:rFonts w:ascii="Palatino Linotype" w:hAnsi="Palatino Linotype" w:cstheme="minorHAnsi"/>
          <w:sz w:val="22"/>
          <w:szCs w:val="22"/>
        </w:rPr>
        <w:t xml:space="preserve">net foreign trade which was minus 4.1 percent in the first quarter, turned positive with 1.3 percent. </w:t>
      </w:r>
    </w:p>
    <w:p w14:paraId="5ED8E965" w14:textId="68ADEAC6" w:rsidR="00B37CD7" w:rsidRDefault="004263DD" w:rsidP="005D37CE">
      <w:pPr>
        <w:spacing w:after="120"/>
        <w:ind w:left="567" w:right="567"/>
        <w:jc w:val="both"/>
        <w:rPr>
          <w:rFonts w:ascii="Palatino Linotype" w:hAnsi="Palatino Linotype" w:cstheme="minorHAnsi"/>
          <w:sz w:val="22"/>
          <w:szCs w:val="22"/>
        </w:rPr>
      </w:pPr>
      <w:r>
        <w:rPr>
          <w:rFonts w:ascii="Palatino Linotype" w:hAnsi="Palatino Linotype" w:cstheme="minorHAnsi"/>
          <w:sz w:val="22"/>
          <w:szCs w:val="22"/>
        </w:rPr>
        <w:t xml:space="preserve">Since the </w:t>
      </w:r>
      <w:r w:rsidR="009E24F0">
        <w:rPr>
          <w:rFonts w:ascii="Palatino Linotype" w:hAnsi="Palatino Linotype" w:cstheme="minorHAnsi"/>
          <w:sz w:val="22"/>
          <w:szCs w:val="22"/>
        </w:rPr>
        <w:t xml:space="preserve">GDP </w:t>
      </w:r>
      <w:r>
        <w:rPr>
          <w:rFonts w:ascii="Palatino Linotype" w:hAnsi="Palatino Linotype" w:cstheme="minorHAnsi"/>
          <w:sz w:val="22"/>
          <w:szCs w:val="22"/>
        </w:rPr>
        <w:t>growth rates for first two quarter</w:t>
      </w:r>
      <w:r w:rsidR="0005380F">
        <w:rPr>
          <w:rFonts w:ascii="Palatino Linotype" w:hAnsi="Palatino Linotype" w:cstheme="minorHAnsi"/>
          <w:sz w:val="22"/>
          <w:szCs w:val="22"/>
        </w:rPr>
        <w:t>s</w:t>
      </w:r>
      <w:r>
        <w:rPr>
          <w:rFonts w:ascii="Palatino Linotype" w:hAnsi="Palatino Linotype" w:cstheme="minorHAnsi"/>
          <w:sz w:val="22"/>
          <w:szCs w:val="22"/>
        </w:rPr>
        <w:t xml:space="preserve"> of 2018 </w:t>
      </w:r>
      <w:r w:rsidR="00EF25B2" w:rsidRPr="009E24F0">
        <w:rPr>
          <w:rFonts w:ascii="Palatino Linotype" w:hAnsi="Palatino Linotype" w:cstheme="minorHAnsi"/>
          <w:sz w:val="22"/>
          <w:szCs w:val="22"/>
        </w:rPr>
        <w:t>were</w:t>
      </w:r>
      <w:r w:rsidR="00EF25B2">
        <w:rPr>
          <w:rFonts w:ascii="Palatino Linotype" w:hAnsi="Palatino Linotype" w:cstheme="minorHAnsi"/>
          <w:color w:val="FF0000"/>
          <w:sz w:val="22"/>
          <w:szCs w:val="22"/>
        </w:rPr>
        <w:t xml:space="preserve"> </w:t>
      </w:r>
      <w:r>
        <w:rPr>
          <w:rFonts w:ascii="Palatino Linotype" w:hAnsi="Palatino Linotype" w:cstheme="minorHAnsi"/>
          <w:sz w:val="22"/>
          <w:szCs w:val="22"/>
        </w:rPr>
        <w:t>7.4 and 5.2 percent, growth rates for last two quarter</w:t>
      </w:r>
      <w:r w:rsidR="0005380F">
        <w:rPr>
          <w:rFonts w:ascii="Palatino Linotype" w:hAnsi="Palatino Linotype" w:cstheme="minorHAnsi"/>
          <w:sz w:val="22"/>
          <w:szCs w:val="22"/>
        </w:rPr>
        <w:t>s</w:t>
      </w:r>
      <w:r>
        <w:rPr>
          <w:rFonts w:ascii="Palatino Linotype" w:hAnsi="Palatino Linotype" w:cstheme="minorHAnsi"/>
          <w:sz w:val="22"/>
          <w:szCs w:val="22"/>
        </w:rPr>
        <w:t xml:space="preserve"> of 2018 </w:t>
      </w:r>
      <w:r w:rsidR="00EF25B2" w:rsidRPr="009E24F0">
        <w:rPr>
          <w:rFonts w:ascii="Palatino Linotype" w:hAnsi="Palatino Linotype" w:cstheme="minorHAnsi"/>
          <w:sz w:val="22"/>
          <w:szCs w:val="22"/>
        </w:rPr>
        <w:t>had</w:t>
      </w:r>
      <w:r w:rsidR="00EF25B2">
        <w:rPr>
          <w:rFonts w:ascii="Palatino Linotype" w:hAnsi="Palatino Linotype" w:cstheme="minorHAnsi"/>
          <w:color w:val="FF0000"/>
          <w:sz w:val="22"/>
          <w:szCs w:val="22"/>
        </w:rPr>
        <w:t xml:space="preserve"> </w:t>
      </w:r>
      <w:r>
        <w:rPr>
          <w:rFonts w:ascii="Palatino Linotype" w:hAnsi="Palatino Linotype" w:cstheme="minorHAnsi"/>
          <w:sz w:val="22"/>
          <w:szCs w:val="22"/>
        </w:rPr>
        <w:t xml:space="preserve">to be around 5 percent in order to achieve the target of 5.5 percent GDP growth projected in the 2018-2020 Medium Term Program (OVP).  </w:t>
      </w:r>
      <w:r w:rsidR="00F66F36">
        <w:rPr>
          <w:rFonts w:ascii="Palatino Linotype" w:hAnsi="Palatino Linotype" w:cstheme="minorHAnsi"/>
          <w:sz w:val="22"/>
          <w:szCs w:val="22"/>
        </w:rPr>
        <w:t xml:space="preserve">Because of the possible recession in the second </w:t>
      </w:r>
      <w:r w:rsidR="00EF25B2" w:rsidRPr="009E24F0">
        <w:rPr>
          <w:rFonts w:ascii="Palatino Linotype" w:hAnsi="Palatino Linotype" w:cstheme="minorHAnsi"/>
          <w:sz w:val="22"/>
          <w:szCs w:val="22"/>
        </w:rPr>
        <w:t xml:space="preserve">half </w:t>
      </w:r>
      <w:r w:rsidR="00F66F36">
        <w:rPr>
          <w:rFonts w:ascii="Palatino Linotype" w:hAnsi="Palatino Linotype" w:cstheme="minorHAnsi"/>
          <w:sz w:val="22"/>
          <w:szCs w:val="22"/>
        </w:rPr>
        <w:t xml:space="preserve">of 2018, growth rates will be lower and target will not be achieved according to various economic institutions. </w:t>
      </w:r>
    </w:p>
    <w:p w14:paraId="5EFD336B" w14:textId="6563D224" w:rsidR="00E01513" w:rsidRDefault="00B53557" w:rsidP="007539A6">
      <w:pPr>
        <w:spacing w:after="120"/>
        <w:ind w:right="567"/>
        <w:jc w:val="both"/>
        <w:rPr>
          <w:rFonts w:ascii="Palatino Linotype" w:hAnsi="Palatino Linotype" w:cstheme="minorHAnsi"/>
          <w:b/>
          <w:bCs/>
          <w:sz w:val="22"/>
          <w:szCs w:val="22"/>
        </w:rPr>
      </w:pPr>
      <w:r>
        <w:rPr>
          <w:rFonts w:ascii="Palatino Linotype" w:hAnsi="Palatino Linotype" w:cstheme="minorHAnsi"/>
          <w:b/>
          <w:bCs/>
          <w:sz w:val="22"/>
          <w:szCs w:val="22"/>
        </w:rPr>
        <w:t xml:space="preserve">Figure 1: </w:t>
      </w:r>
      <w:r w:rsidR="00AD2B46">
        <w:rPr>
          <w:rFonts w:ascii="Palatino Linotype" w:hAnsi="Palatino Linotype" w:cstheme="minorHAnsi"/>
          <w:b/>
          <w:bCs/>
          <w:sz w:val="22"/>
          <w:szCs w:val="22"/>
        </w:rPr>
        <w:t>C</w:t>
      </w:r>
      <w:r w:rsidR="00AD2B46" w:rsidRPr="00AD2B46">
        <w:rPr>
          <w:rFonts w:ascii="Palatino Linotype" w:hAnsi="Palatino Linotype" w:cstheme="minorHAnsi"/>
          <w:b/>
          <w:bCs/>
          <w:sz w:val="22"/>
          <w:szCs w:val="22"/>
        </w:rPr>
        <w:t xml:space="preserve">ontributions to growth (left) </w:t>
      </w:r>
      <w:r w:rsidR="00AD2B46">
        <w:rPr>
          <w:rFonts w:ascii="Palatino Linotype" w:hAnsi="Palatino Linotype" w:cstheme="minorHAnsi"/>
          <w:b/>
          <w:bCs/>
          <w:sz w:val="22"/>
          <w:szCs w:val="22"/>
        </w:rPr>
        <w:t>and y</w:t>
      </w:r>
      <w:r w:rsidR="00AD2B46" w:rsidRPr="00AD2B46">
        <w:rPr>
          <w:rFonts w:ascii="Palatino Linotype" w:hAnsi="Palatino Linotype" w:cstheme="minorHAnsi"/>
          <w:b/>
          <w:bCs/>
          <w:sz w:val="22"/>
          <w:szCs w:val="22"/>
        </w:rPr>
        <w:t>ear-on-year growth rates (right) of GDP components in 20</w:t>
      </w:r>
      <w:r w:rsidR="00AD2B46">
        <w:rPr>
          <w:rFonts w:ascii="Palatino Linotype" w:hAnsi="Palatino Linotype" w:cstheme="minorHAnsi"/>
          <w:b/>
          <w:bCs/>
          <w:sz w:val="22"/>
          <w:szCs w:val="22"/>
        </w:rPr>
        <w:t>18</w:t>
      </w:r>
      <w:r w:rsidR="00AD2B46" w:rsidRPr="00AD2B46">
        <w:rPr>
          <w:rFonts w:ascii="Palatino Linotype" w:hAnsi="Palatino Linotype" w:cstheme="minorHAnsi"/>
          <w:b/>
          <w:bCs/>
          <w:sz w:val="22"/>
          <w:szCs w:val="22"/>
        </w:rPr>
        <w:t xml:space="preserve"> Q</w:t>
      </w:r>
      <w:r w:rsidR="00887E59">
        <w:rPr>
          <w:rFonts w:ascii="Palatino Linotype" w:hAnsi="Palatino Linotype" w:cstheme="minorHAnsi"/>
          <w:b/>
          <w:bCs/>
          <w:sz w:val="22"/>
          <w:szCs w:val="22"/>
        </w:rPr>
        <w:t>2</w:t>
      </w:r>
    </w:p>
    <w:p w14:paraId="75865008" w14:textId="0CEF10E0" w:rsidR="00B53557" w:rsidRPr="00924CD9" w:rsidRDefault="002F7F35" w:rsidP="00B53557">
      <w:pPr>
        <w:keepNext/>
        <w:ind w:left="-567" w:right="-567"/>
        <w:rPr>
          <w:rFonts w:ascii="Palatino Linotype" w:hAnsi="Palatino Linotype" w:cstheme="minorHAnsi"/>
        </w:rPr>
      </w:pPr>
      <w:r>
        <w:rPr>
          <w:noProof/>
          <w:lang w:val="tr-TR"/>
        </w:rPr>
        <w:drawing>
          <wp:inline distT="0" distB="0" distL="0" distR="0" wp14:anchorId="145C99B5" wp14:editId="0914FE30">
            <wp:extent cx="3133725" cy="2066925"/>
            <wp:effectExtent l="0" t="0" r="9525" b="9525"/>
            <wp:docPr id="7" name="Chart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C5E1B5F-B42B-467F-B20E-6F70620EA7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53557" w:rsidRPr="00D56304">
        <w:rPr>
          <w:noProof/>
        </w:rPr>
        <w:t xml:space="preserve"> </w:t>
      </w:r>
      <w:r>
        <w:rPr>
          <w:noProof/>
          <w:lang w:val="tr-TR"/>
        </w:rPr>
        <w:drawing>
          <wp:inline distT="0" distB="0" distL="0" distR="0" wp14:anchorId="4A670AF6" wp14:editId="6F39BD40">
            <wp:extent cx="2895600" cy="2057400"/>
            <wp:effectExtent l="0" t="0" r="0" b="0"/>
            <wp:docPr id="9" name="Chart 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AA043C6-91A2-4200-8508-CD306EABC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93672" w14:textId="77777777" w:rsidR="00B53557" w:rsidRPr="00924CD9" w:rsidRDefault="00B53557" w:rsidP="00B53557">
      <w:pPr>
        <w:keepNext/>
        <w:rPr>
          <w:rFonts w:ascii="Palatino Linotype" w:hAnsi="Palatino Linotype" w:cstheme="minorHAnsi"/>
        </w:rPr>
      </w:pPr>
      <w:r w:rsidRPr="00A160F5">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T</w:t>
      </w:r>
      <w:r>
        <w:rPr>
          <w:rFonts w:ascii="Palatino Linotype" w:hAnsi="Palatino Linotype" w:cstheme="minorHAnsi"/>
          <w:sz w:val="18"/>
          <w:szCs w:val="18"/>
        </w:rPr>
        <w:t>urkStat</w:t>
      </w:r>
      <w:proofErr w:type="spellEnd"/>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Betam</w:t>
      </w:r>
      <w:proofErr w:type="spellEnd"/>
      <w:r w:rsidRPr="00924CD9">
        <w:rPr>
          <w:rFonts w:ascii="Palatino Linotype" w:hAnsi="Palatino Linotype" w:cstheme="minorHAnsi"/>
          <w:sz w:val="16"/>
          <w:szCs w:val="16"/>
        </w:rPr>
        <w:t xml:space="preserve">. </w:t>
      </w:r>
    </w:p>
    <w:p w14:paraId="62ECA514" w14:textId="77777777" w:rsidR="00CC79C0" w:rsidRPr="00AE59EE" w:rsidRDefault="00CC79C0" w:rsidP="001F7BC7">
      <w:pPr>
        <w:spacing w:after="120"/>
        <w:ind w:left="567" w:right="567"/>
        <w:jc w:val="both"/>
        <w:rPr>
          <w:rFonts w:ascii="Palatino Linotype" w:hAnsi="Palatino Linotype" w:cstheme="minorHAnsi"/>
          <w:sz w:val="22"/>
          <w:szCs w:val="22"/>
        </w:rPr>
      </w:pPr>
    </w:p>
    <w:p w14:paraId="5B033218" w14:textId="61C1B814" w:rsidR="00C65542" w:rsidRPr="00982F71" w:rsidRDefault="001F22EF" w:rsidP="00C65542">
      <w:pPr>
        <w:spacing w:line="360" w:lineRule="auto"/>
        <w:jc w:val="both"/>
        <w:rPr>
          <w:rFonts w:ascii="Palatino Linotype" w:hAnsi="Palatino Linotype" w:cstheme="minorHAnsi"/>
          <w:b/>
          <w:bCs/>
          <w:sz w:val="22"/>
          <w:szCs w:val="22"/>
        </w:rPr>
      </w:pPr>
      <w:bookmarkStart w:id="0" w:name="OLE_LINK20"/>
      <w:bookmarkStart w:id="1" w:name="OLE_LINK21"/>
      <w:bookmarkStart w:id="2" w:name="OLE_LINK1"/>
      <w:bookmarkStart w:id="3" w:name="OLE_LINK2"/>
      <w:bookmarkStart w:id="4" w:name="OLE_LINK3"/>
      <w:r>
        <w:rPr>
          <w:rFonts w:ascii="Palatino Linotype" w:hAnsi="Palatino Linotype" w:cstheme="minorHAnsi"/>
          <w:b/>
          <w:bCs/>
          <w:sz w:val="22"/>
          <w:szCs w:val="22"/>
        </w:rPr>
        <w:t>D</w:t>
      </w:r>
      <w:r w:rsidR="0005380F">
        <w:rPr>
          <w:rFonts w:ascii="Palatino Linotype" w:hAnsi="Palatino Linotype" w:cstheme="minorHAnsi"/>
          <w:b/>
          <w:bCs/>
          <w:sz w:val="22"/>
          <w:szCs w:val="22"/>
        </w:rPr>
        <w:t>ecreasing</w:t>
      </w:r>
      <w:r>
        <w:rPr>
          <w:rFonts w:ascii="Palatino Linotype" w:hAnsi="Palatino Linotype" w:cstheme="minorHAnsi"/>
          <w:b/>
          <w:bCs/>
          <w:sz w:val="22"/>
          <w:szCs w:val="22"/>
        </w:rPr>
        <w:t xml:space="preserve"> signs </w:t>
      </w:r>
      <w:bookmarkEnd w:id="0"/>
      <w:bookmarkEnd w:id="1"/>
      <w:r>
        <w:rPr>
          <w:rFonts w:ascii="Palatino Linotype" w:hAnsi="Palatino Linotype" w:cstheme="minorHAnsi"/>
          <w:b/>
          <w:bCs/>
          <w:sz w:val="22"/>
          <w:szCs w:val="22"/>
        </w:rPr>
        <w:t>in private consumption</w:t>
      </w:r>
    </w:p>
    <w:bookmarkEnd w:id="2"/>
    <w:bookmarkEnd w:id="3"/>
    <w:bookmarkEnd w:id="4"/>
    <w:p w14:paraId="46B502D9" w14:textId="6D530D79" w:rsidR="00C65542" w:rsidRPr="00982F71" w:rsidRDefault="002F4636" w:rsidP="00C65542">
      <w:pPr>
        <w:spacing w:line="360" w:lineRule="auto"/>
        <w:jc w:val="both"/>
        <w:rPr>
          <w:rFonts w:ascii="Palatino Linotype" w:hAnsi="Palatino Linotype" w:cstheme="minorHAnsi"/>
          <w:sz w:val="22"/>
          <w:szCs w:val="22"/>
        </w:rPr>
      </w:pPr>
      <w:r w:rsidRPr="009E24F0">
        <w:rPr>
          <w:rFonts w:ascii="Palatino Linotype" w:hAnsi="Palatino Linotype" w:cstheme="minorHAnsi"/>
          <w:sz w:val="22"/>
          <w:szCs w:val="22"/>
        </w:rPr>
        <w:lastRenderedPageBreak/>
        <w:t xml:space="preserve">Compared </w:t>
      </w:r>
      <w:r w:rsidR="00C65542" w:rsidRPr="00982F71">
        <w:rPr>
          <w:rFonts w:ascii="Palatino Linotype" w:hAnsi="Palatino Linotype" w:cstheme="minorHAnsi"/>
          <w:sz w:val="22"/>
          <w:szCs w:val="22"/>
        </w:rPr>
        <w:t xml:space="preserve">to the same quarter of last year, </w:t>
      </w:r>
      <w:r w:rsidR="001B4EE8" w:rsidRPr="009E24F0">
        <w:rPr>
          <w:rFonts w:ascii="Palatino Linotype" w:hAnsi="Palatino Linotype" w:cstheme="minorHAnsi"/>
          <w:sz w:val="22"/>
          <w:szCs w:val="22"/>
        </w:rPr>
        <w:t xml:space="preserve">private </w:t>
      </w:r>
      <w:r w:rsidR="00C65542" w:rsidRPr="00982F71">
        <w:rPr>
          <w:rFonts w:ascii="Palatino Linotype" w:hAnsi="Palatino Linotype" w:cstheme="minorHAnsi"/>
          <w:sz w:val="22"/>
          <w:szCs w:val="22"/>
        </w:rPr>
        <w:t xml:space="preserve">consumption </w:t>
      </w:r>
      <w:r w:rsidR="00C65542">
        <w:rPr>
          <w:rFonts w:ascii="Palatino Linotype" w:hAnsi="Palatino Linotype" w:cstheme="minorHAnsi"/>
          <w:sz w:val="22"/>
          <w:szCs w:val="22"/>
        </w:rPr>
        <w:t>growth</w:t>
      </w:r>
      <w:r>
        <w:rPr>
          <w:rFonts w:ascii="Palatino Linotype" w:hAnsi="Palatino Linotype" w:cstheme="minorHAnsi"/>
          <w:sz w:val="22"/>
          <w:szCs w:val="22"/>
        </w:rPr>
        <w:t>,</w:t>
      </w:r>
      <w:r w:rsidR="00C65542">
        <w:rPr>
          <w:rFonts w:ascii="Palatino Linotype" w:hAnsi="Palatino Linotype" w:cstheme="minorHAnsi"/>
          <w:sz w:val="22"/>
          <w:szCs w:val="22"/>
        </w:rPr>
        <w:t xml:space="preserve"> </w:t>
      </w:r>
      <w:r w:rsidR="00C65542" w:rsidRPr="00982F71">
        <w:rPr>
          <w:rFonts w:ascii="Palatino Linotype" w:hAnsi="Palatino Linotype" w:cstheme="minorHAnsi"/>
          <w:sz w:val="22"/>
          <w:szCs w:val="22"/>
        </w:rPr>
        <w:t xml:space="preserve">which </w:t>
      </w:r>
      <w:r w:rsidR="00C65542">
        <w:rPr>
          <w:rFonts w:ascii="Palatino Linotype" w:hAnsi="Palatino Linotype" w:cstheme="minorHAnsi"/>
          <w:sz w:val="22"/>
          <w:szCs w:val="22"/>
        </w:rPr>
        <w:t xml:space="preserve">was </w:t>
      </w:r>
      <w:r w:rsidR="007539A6">
        <w:rPr>
          <w:rFonts w:ascii="Palatino Linotype" w:hAnsi="Palatino Linotype" w:cstheme="minorHAnsi"/>
          <w:sz w:val="22"/>
          <w:szCs w:val="22"/>
        </w:rPr>
        <w:t>9</w:t>
      </w:r>
      <w:r w:rsidR="00C65542" w:rsidRPr="00982F71">
        <w:rPr>
          <w:rFonts w:ascii="Palatino Linotype" w:hAnsi="Palatino Linotype" w:cstheme="minorHAnsi"/>
          <w:sz w:val="22"/>
          <w:szCs w:val="22"/>
        </w:rPr>
        <w:t>.</w:t>
      </w:r>
      <w:r w:rsidR="007539A6">
        <w:rPr>
          <w:rFonts w:ascii="Palatino Linotype" w:hAnsi="Palatino Linotype" w:cstheme="minorHAnsi"/>
          <w:sz w:val="22"/>
          <w:szCs w:val="22"/>
        </w:rPr>
        <w:t>3</w:t>
      </w:r>
      <w:r w:rsidR="00C65542" w:rsidRPr="00982F71">
        <w:rPr>
          <w:rFonts w:ascii="Palatino Linotype" w:hAnsi="Palatino Linotype" w:cstheme="minorHAnsi"/>
          <w:sz w:val="22"/>
          <w:szCs w:val="22"/>
        </w:rPr>
        <w:t xml:space="preserve"> percent in the </w:t>
      </w:r>
      <w:r w:rsidR="00C65542">
        <w:rPr>
          <w:rFonts w:ascii="Palatino Linotype" w:hAnsi="Palatino Linotype" w:cstheme="minorHAnsi"/>
          <w:sz w:val="22"/>
          <w:szCs w:val="22"/>
        </w:rPr>
        <w:t>f</w:t>
      </w:r>
      <w:r w:rsidR="007539A6">
        <w:rPr>
          <w:rFonts w:ascii="Palatino Linotype" w:hAnsi="Palatino Linotype" w:cstheme="minorHAnsi"/>
          <w:sz w:val="22"/>
          <w:szCs w:val="22"/>
        </w:rPr>
        <w:t>irst</w:t>
      </w:r>
      <w:r w:rsidR="00C65542" w:rsidRPr="00982F71">
        <w:rPr>
          <w:rFonts w:ascii="Palatino Linotype" w:hAnsi="Palatino Linotype" w:cstheme="minorHAnsi"/>
          <w:sz w:val="22"/>
          <w:szCs w:val="22"/>
        </w:rPr>
        <w:t xml:space="preserve"> quarter</w:t>
      </w:r>
      <w:r w:rsidR="007539A6">
        <w:rPr>
          <w:rFonts w:ascii="Palatino Linotype" w:hAnsi="Palatino Linotype" w:cstheme="minorHAnsi"/>
          <w:sz w:val="22"/>
          <w:szCs w:val="22"/>
        </w:rPr>
        <w:t xml:space="preserve"> of 2018</w:t>
      </w:r>
      <w:r w:rsidR="00C65542" w:rsidRPr="00982F71">
        <w:rPr>
          <w:rFonts w:ascii="Palatino Linotype" w:hAnsi="Palatino Linotype" w:cstheme="minorHAnsi"/>
          <w:sz w:val="22"/>
          <w:szCs w:val="22"/>
        </w:rPr>
        <w:t xml:space="preserve">, </w:t>
      </w:r>
      <w:r w:rsidR="00C65542">
        <w:rPr>
          <w:rFonts w:ascii="Palatino Linotype" w:hAnsi="Palatino Linotype" w:cstheme="minorHAnsi"/>
          <w:sz w:val="22"/>
          <w:szCs w:val="22"/>
        </w:rPr>
        <w:t>was</w:t>
      </w:r>
      <w:r w:rsidR="00C65542" w:rsidRPr="00982F71">
        <w:rPr>
          <w:rFonts w:ascii="Palatino Linotype" w:hAnsi="Palatino Linotype" w:cstheme="minorHAnsi"/>
          <w:sz w:val="22"/>
          <w:szCs w:val="22"/>
        </w:rPr>
        <w:t xml:space="preserve"> </w:t>
      </w:r>
      <w:r w:rsidR="007539A6">
        <w:rPr>
          <w:rFonts w:ascii="Palatino Linotype" w:hAnsi="Palatino Linotype" w:cstheme="minorHAnsi"/>
          <w:sz w:val="22"/>
          <w:szCs w:val="22"/>
        </w:rPr>
        <w:t>6.3</w:t>
      </w:r>
      <w:r w:rsidR="00C65542" w:rsidRPr="00982F71">
        <w:rPr>
          <w:rFonts w:ascii="Palatino Linotype" w:hAnsi="Palatino Linotype" w:cstheme="minorHAnsi"/>
          <w:sz w:val="22"/>
          <w:szCs w:val="22"/>
        </w:rPr>
        <w:t xml:space="preserve"> percent in the </w:t>
      </w:r>
      <w:r w:rsidR="007539A6">
        <w:rPr>
          <w:rFonts w:ascii="Palatino Linotype" w:hAnsi="Palatino Linotype" w:cstheme="minorHAnsi"/>
          <w:sz w:val="22"/>
          <w:szCs w:val="22"/>
        </w:rPr>
        <w:t>second</w:t>
      </w:r>
      <w:r w:rsidR="00C65542" w:rsidRPr="00982F71">
        <w:rPr>
          <w:rFonts w:ascii="Palatino Linotype" w:hAnsi="Palatino Linotype" w:cstheme="minorHAnsi"/>
          <w:sz w:val="22"/>
          <w:szCs w:val="22"/>
        </w:rPr>
        <w:t xml:space="preserve"> quarter. </w:t>
      </w:r>
      <w:r w:rsidR="007539A6">
        <w:rPr>
          <w:rFonts w:ascii="Palatino Linotype" w:hAnsi="Palatino Linotype" w:cstheme="minorHAnsi"/>
          <w:sz w:val="22"/>
          <w:szCs w:val="22"/>
        </w:rPr>
        <w:t>Although c</w:t>
      </w:r>
      <w:r w:rsidR="00C65542">
        <w:rPr>
          <w:rFonts w:ascii="Palatino Linotype" w:hAnsi="Palatino Linotype" w:cstheme="minorHAnsi"/>
          <w:sz w:val="22"/>
          <w:szCs w:val="22"/>
        </w:rPr>
        <w:t xml:space="preserve">ontributions to GDP growth </w:t>
      </w:r>
      <w:r w:rsidR="007539A6">
        <w:rPr>
          <w:rFonts w:ascii="Palatino Linotype" w:hAnsi="Palatino Linotype" w:cstheme="minorHAnsi"/>
          <w:sz w:val="22"/>
          <w:szCs w:val="22"/>
        </w:rPr>
        <w:t xml:space="preserve">decreased from 5.7 to 3.7 percentage points, private consumption was still </w:t>
      </w:r>
      <w:r w:rsidR="009E24F0">
        <w:rPr>
          <w:rFonts w:ascii="Palatino Linotype" w:hAnsi="Palatino Linotype" w:cstheme="minorHAnsi"/>
          <w:sz w:val="22"/>
          <w:szCs w:val="22"/>
        </w:rPr>
        <w:t>the largest</w:t>
      </w:r>
      <w:r w:rsidR="007539A6">
        <w:rPr>
          <w:rFonts w:ascii="Palatino Linotype" w:hAnsi="Palatino Linotype" w:cstheme="minorHAnsi"/>
          <w:sz w:val="22"/>
          <w:szCs w:val="22"/>
        </w:rPr>
        <w:t xml:space="preserve"> contributor to GDP</w:t>
      </w:r>
      <w:r w:rsidR="0005380F">
        <w:rPr>
          <w:rFonts w:ascii="Palatino Linotype" w:hAnsi="Palatino Linotype" w:cstheme="minorHAnsi"/>
          <w:sz w:val="22"/>
          <w:szCs w:val="22"/>
        </w:rPr>
        <w:t xml:space="preserve"> growth</w:t>
      </w:r>
      <w:r w:rsidR="007539A6">
        <w:rPr>
          <w:rFonts w:ascii="Palatino Linotype" w:hAnsi="Palatino Linotype" w:cstheme="minorHAnsi"/>
          <w:sz w:val="22"/>
          <w:szCs w:val="22"/>
        </w:rPr>
        <w:t xml:space="preserve"> </w:t>
      </w:r>
      <w:r w:rsidR="00C65542" w:rsidRPr="00041E8F">
        <w:rPr>
          <w:rFonts w:ascii="Palatino Linotype" w:hAnsi="Palatino Linotype" w:cstheme="minorHAnsi"/>
          <w:sz w:val="22"/>
          <w:szCs w:val="22"/>
        </w:rPr>
        <w:t>(Table 1)</w:t>
      </w:r>
      <w:r w:rsidR="00C65542">
        <w:rPr>
          <w:rFonts w:ascii="Palatino Linotype" w:hAnsi="Palatino Linotype" w:cstheme="minorHAnsi"/>
          <w:sz w:val="22"/>
          <w:szCs w:val="22"/>
        </w:rPr>
        <w:t>.</w:t>
      </w:r>
      <w:r w:rsidR="00C65542" w:rsidRPr="00982F71">
        <w:rPr>
          <w:rFonts w:ascii="Palatino Linotype" w:hAnsi="Palatino Linotype" w:cstheme="minorHAnsi"/>
          <w:sz w:val="22"/>
          <w:szCs w:val="22"/>
        </w:rPr>
        <w:t xml:space="preserve"> </w:t>
      </w:r>
      <w:r w:rsidR="00C65542">
        <w:rPr>
          <w:rFonts w:ascii="Palatino Linotype" w:hAnsi="Palatino Linotype" w:cstheme="minorHAnsi"/>
          <w:sz w:val="22"/>
          <w:szCs w:val="22"/>
        </w:rPr>
        <w:t>W</w:t>
      </w:r>
      <w:r w:rsidR="00C65542" w:rsidRPr="00982F71">
        <w:rPr>
          <w:rFonts w:ascii="Palatino Linotype" w:hAnsi="Palatino Linotype" w:cstheme="minorHAnsi"/>
          <w:sz w:val="22"/>
          <w:szCs w:val="22"/>
        </w:rPr>
        <w:t xml:space="preserve">hen we </w:t>
      </w:r>
      <w:r w:rsidRPr="009E24F0">
        <w:rPr>
          <w:rFonts w:ascii="Palatino Linotype" w:hAnsi="Palatino Linotype" w:cstheme="minorHAnsi"/>
          <w:sz w:val="22"/>
          <w:szCs w:val="22"/>
        </w:rPr>
        <w:t xml:space="preserve">examine </w:t>
      </w:r>
      <w:r w:rsidR="00C65542" w:rsidRPr="00982F71">
        <w:rPr>
          <w:rFonts w:ascii="Palatino Linotype" w:hAnsi="Palatino Linotype" w:cstheme="minorHAnsi"/>
          <w:sz w:val="22"/>
          <w:szCs w:val="22"/>
        </w:rPr>
        <w:t xml:space="preserve">the </w:t>
      </w:r>
      <w:r w:rsidR="00C65542" w:rsidRPr="007D787D">
        <w:rPr>
          <w:rFonts w:ascii="Palatino Linotype" w:hAnsi="Palatino Linotype" w:cstheme="minorHAnsi"/>
          <w:sz w:val="22"/>
          <w:szCs w:val="22"/>
        </w:rPr>
        <w:t xml:space="preserve">seasonally and calendar day adjusted </w:t>
      </w:r>
      <w:r w:rsidR="00C65542">
        <w:rPr>
          <w:rFonts w:ascii="Palatino Linotype" w:hAnsi="Palatino Linotype" w:cstheme="minorHAnsi"/>
          <w:sz w:val="22"/>
          <w:szCs w:val="22"/>
        </w:rPr>
        <w:t>data,</w:t>
      </w:r>
      <w:r w:rsidR="00C65542" w:rsidRPr="007D787D">
        <w:rPr>
          <w:rFonts w:ascii="Palatino Linotype" w:hAnsi="Palatino Linotype" w:cstheme="minorHAnsi"/>
          <w:sz w:val="22"/>
          <w:szCs w:val="22"/>
        </w:rPr>
        <w:t xml:space="preserve"> </w:t>
      </w:r>
      <w:r w:rsidR="00C65542" w:rsidRPr="00F9263F">
        <w:rPr>
          <w:rFonts w:ascii="Palatino Linotype" w:hAnsi="Palatino Linotype" w:cstheme="minorHAnsi"/>
          <w:sz w:val="22"/>
          <w:szCs w:val="22"/>
        </w:rPr>
        <w:t xml:space="preserve">we </w:t>
      </w:r>
      <w:r w:rsidRPr="009E24F0">
        <w:rPr>
          <w:rFonts w:ascii="Palatino Linotype" w:hAnsi="Palatino Linotype" w:cstheme="minorHAnsi"/>
          <w:sz w:val="22"/>
          <w:szCs w:val="22"/>
        </w:rPr>
        <w:t>discern</w:t>
      </w:r>
      <w:r>
        <w:rPr>
          <w:rFonts w:ascii="Palatino Linotype" w:hAnsi="Palatino Linotype" w:cstheme="minorHAnsi"/>
          <w:color w:val="FF0000"/>
          <w:sz w:val="22"/>
          <w:szCs w:val="22"/>
        </w:rPr>
        <w:t xml:space="preserve"> </w:t>
      </w:r>
      <w:r w:rsidR="00C65542" w:rsidRPr="00F9263F">
        <w:rPr>
          <w:rFonts w:ascii="Palatino Linotype" w:hAnsi="Palatino Linotype" w:cstheme="minorHAnsi"/>
          <w:sz w:val="22"/>
          <w:szCs w:val="22"/>
        </w:rPr>
        <w:t xml:space="preserve">that </w:t>
      </w:r>
      <w:r w:rsidRPr="009E24F0">
        <w:rPr>
          <w:rFonts w:ascii="Palatino Linotype" w:hAnsi="Palatino Linotype" w:cstheme="minorHAnsi"/>
          <w:sz w:val="22"/>
          <w:szCs w:val="22"/>
        </w:rPr>
        <w:t>the</w:t>
      </w:r>
      <w:r>
        <w:rPr>
          <w:rFonts w:ascii="Palatino Linotype" w:hAnsi="Palatino Linotype" w:cstheme="minorHAnsi"/>
          <w:color w:val="FF0000"/>
          <w:sz w:val="22"/>
          <w:szCs w:val="22"/>
        </w:rPr>
        <w:t xml:space="preserve"> </w:t>
      </w:r>
      <w:r w:rsidR="00C65542">
        <w:rPr>
          <w:rFonts w:ascii="Palatino Linotype" w:hAnsi="Palatino Linotype" w:cstheme="minorHAnsi"/>
          <w:sz w:val="22"/>
          <w:szCs w:val="22"/>
        </w:rPr>
        <w:t xml:space="preserve">private </w:t>
      </w:r>
      <w:r w:rsidR="00C65542" w:rsidRPr="00F9263F">
        <w:rPr>
          <w:rFonts w:ascii="Palatino Linotype" w:hAnsi="Palatino Linotype" w:cstheme="minorHAnsi"/>
          <w:sz w:val="22"/>
          <w:szCs w:val="22"/>
        </w:rPr>
        <w:t xml:space="preserve">consumption growth </w:t>
      </w:r>
      <w:r w:rsidR="001F22EF">
        <w:rPr>
          <w:rFonts w:ascii="Palatino Linotype" w:hAnsi="Palatino Linotype" w:cstheme="minorHAnsi"/>
          <w:sz w:val="22"/>
          <w:szCs w:val="22"/>
        </w:rPr>
        <w:t>turned negative</w:t>
      </w:r>
      <w:r w:rsidR="00C65542" w:rsidRPr="00F9263F">
        <w:rPr>
          <w:rFonts w:ascii="Palatino Linotype" w:hAnsi="Palatino Linotype" w:cstheme="minorHAnsi"/>
          <w:sz w:val="22"/>
          <w:szCs w:val="22"/>
        </w:rPr>
        <w:t xml:space="preserve"> (from </w:t>
      </w:r>
      <w:r w:rsidR="001F22EF">
        <w:rPr>
          <w:rFonts w:ascii="Palatino Linotype" w:hAnsi="Palatino Linotype" w:cstheme="minorHAnsi"/>
          <w:sz w:val="22"/>
          <w:szCs w:val="22"/>
        </w:rPr>
        <w:t>3</w:t>
      </w:r>
      <w:r w:rsidR="00C65542" w:rsidRPr="00F9263F">
        <w:rPr>
          <w:rFonts w:ascii="Palatino Linotype" w:hAnsi="Palatino Linotype" w:cstheme="minorHAnsi"/>
          <w:sz w:val="22"/>
          <w:szCs w:val="22"/>
        </w:rPr>
        <w:t>.</w:t>
      </w:r>
      <w:r w:rsidR="001F22EF">
        <w:rPr>
          <w:rFonts w:ascii="Palatino Linotype" w:hAnsi="Palatino Linotype" w:cstheme="minorHAnsi"/>
          <w:sz w:val="22"/>
          <w:szCs w:val="22"/>
        </w:rPr>
        <w:t>4</w:t>
      </w:r>
      <w:r w:rsidR="00C65542" w:rsidRPr="00F9263F">
        <w:rPr>
          <w:rFonts w:ascii="Palatino Linotype" w:hAnsi="Palatino Linotype" w:cstheme="minorHAnsi"/>
          <w:sz w:val="22"/>
          <w:szCs w:val="22"/>
        </w:rPr>
        <w:t xml:space="preserve">% to </w:t>
      </w:r>
      <w:r w:rsidR="001F22EF">
        <w:rPr>
          <w:rFonts w:ascii="Palatino Linotype" w:hAnsi="Palatino Linotype" w:cstheme="minorHAnsi"/>
          <w:sz w:val="22"/>
          <w:szCs w:val="22"/>
        </w:rPr>
        <w:t>minus 0</w:t>
      </w:r>
      <w:r w:rsidR="00C65542" w:rsidRPr="00F9263F">
        <w:rPr>
          <w:rFonts w:ascii="Palatino Linotype" w:hAnsi="Palatino Linotype" w:cstheme="minorHAnsi"/>
          <w:sz w:val="22"/>
          <w:szCs w:val="22"/>
        </w:rPr>
        <w:t>.</w:t>
      </w:r>
      <w:r w:rsidR="001F22EF">
        <w:rPr>
          <w:rFonts w:ascii="Palatino Linotype" w:hAnsi="Palatino Linotype" w:cstheme="minorHAnsi"/>
          <w:sz w:val="22"/>
          <w:szCs w:val="22"/>
        </w:rPr>
        <w:t>4</w:t>
      </w:r>
      <w:r w:rsidR="00C65542" w:rsidRPr="00F9263F">
        <w:rPr>
          <w:rFonts w:ascii="Palatino Linotype" w:hAnsi="Palatino Linotype" w:cstheme="minorHAnsi"/>
          <w:sz w:val="22"/>
          <w:szCs w:val="22"/>
        </w:rPr>
        <w:t xml:space="preserve">%) and </w:t>
      </w:r>
      <w:r w:rsidR="001F22EF">
        <w:rPr>
          <w:rFonts w:ascii="Palatino Linotype" w:hAnsi="Palatino Linotype" w:cstheme="minorHAnsi"/>
          <w:sz w:val="22"/>
          <w:szCs w:val="22"/>
        </w:rPr>
        <w:t>dragged economic growth down</w:t>
      </w:r>
      <w:r w:rsidR="00C65542" w:rsidRPr="00F9263F">
        <w:rPr>
          <w:rFonts w:ascii="Palatino Linotype" w:hAnsi="Palatino Linotype" w:cstheme="minorHAnsi"/>
          <w:sz w:val="22"/>
          <w:szCs w:val="22"/>
        </w:rPr>
        <w:t xml:space="preserve"> </w:t>
      </w:r>
      <w:r w:rsidR="00C65542" w:rsidRPr="007D787D">
        <w:rPr>
          <w:rFonts w:ascii="Palatino Linotype" w:hAnsi="Palatino Linotype" w:cstheme="minorHAnsi"/>
          <w:sz w:val="22"/>
          <w:szCs w:val="22"/>
        </w:rPr>
        <w:t xml:space="preserve">(Table 2). </w:t>
      </w:r>
    </w:p>
    <w:p w14:paraId="242C59A7" w14:textId="77777777" w:rsidR="007539A6" w:rsidRDefault="007539A6" w:rsidP="000D63E2">
      <w:pPr>
        <w:pStyle w:val="NormalWeb"/>
        <w:spacing w:before="0" w:beforeAutospacing="0" w:after="120" w:afterAutospacing="0" w:line="360" w:lineRule="auto"/>
        <w:ind w:right="79"/>
        <w:rPr>
          <w:rFonts w:ascii="Palatino Linotype" w:hAnsi="Palatino Linotype" w:cstheme="minorHAnsi"/>
          <w:sz w:val="18"/>
          <w:szCs w:val="18"/>
        </w:rPr>
      </w:pPr>
    </w:p>
    <w:p w14:paraId="54782745" w14:textId="77777777" w:rsidR="007539A6" w:rsidRDefault="007539A6" w:rsidP="007539A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1: </w:t>
      </w:r>
      <w:r>
        <w:rPr>
          <w:rFonts w:ascii="Palatino Linotype" w:hAnsi="Palatino Linotype" w:cstheme="minorHAnsi"/>
          <w:b/>
          <w:bCs/>
          <w:sz w:val="22"/>
          <w:szCs w:val="22"/>
        </w:rPr>
        <w:t>Growth rates and contributions to growth of GDP components in 2018 Q1 and 2018 Q2 compared to same quarter of last year</w:t>
      </w:r>
    </w:p>
    <w:tbl>
      <w:tblPr>
        <w:tblW w:w="7914" w:type="dxa"/>
        <w:tblInd w:w="108" w:type="dxa"/>
        <w:tblLook w:val="04A0" w:firstRow="1" w:lastRow="0" w:firstColumn="1" w:lastColumn="0" w:noHBand="0" w:noVBand="1"/>
      </w:tblPr>
      <w:tblGrid>
        <w:gridCol w:w="2262"/>
        <w:gridCol w:w="1148"/>
        <w:gridCol w:w="1678"/>
        <w:gridCol w:w="1148"/>
        <w:gridCol w:w="1678"/>
      </w:tblGrid>
      <w:tr w:rsidR="007539A6" w:rsidRPr="002F7F35" w14:paraId="29DF73B9" w14:textId="77777777" w:rsidTr="001152EF">
        <w:trPr>
          <w:trHeight w:val="224"/>
        </w:trPr>
        <w:tc>
          <w:tcPr>
            <w:tcW w:w="2262" w:type="dxa"/>
            <w:tcBorders>
              <w:top w:val="nil"/>
              <w:left w:val="nil"/>
              <w:bottom w:val="nil"/>
              <w:right w:val="nil"/>
            </w:tcBorders>
            <w:shd w:val="clear" w:color="000000" w:fill="FFFFFF"/>
            <w:noWrap/>
            <w:vAlign w:val="bottom"/>
            <w:hideMark/>
          </w:tcPr>
          <w:p w14:paraId="20876679"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 </w:t>
            </w:r>
          </w:p>
        </w:tc>
        <w:tc>
          <w:tcPr>
            <w:tcW w:w="282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572F2B9"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2018Q1</w:t>
            </w:r>
          </w:p>
        </w:tc>
        <w:tc>
          <w:tcPr>
            <w:tcW w:w="2826" w:type="dxa"/>
            <w:gridSpan w:val="2"/>
            <w:tcBorders>
              <w:top w:val="single" w:sz="4" w:space="0" w:color="auto"/>
              <w:left w:val="nil"/>
              <w:bottom w:val="single" w:sz="4" w:space="0" w:color="auto"/>
              <w:right w:val="nil"/>
            </w:tcBorders>
            <w:shd w:val="clear" w:color="000000" w:fill="FFFFFF"/>
            <w:noWrap/>
            <w:vAlign w:val="bottom"/>
            <w:hideMark/>
          </w:tcPr>
          <w:p w14:paraId="25D6509E"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2018Q2</w:t>
            </w:r>
          </w:p>
        </w:tc>
      </w:tr>
      <w:tr w:rsidR="007539A6" w:rsidRPr="002F7F35" w14:paraId="3B1BE431" w14:textId="77777777" w:rsidTr="001152EF">
        <w:trPr>
          <w:trHeight w:val="224"/>
        </w:trPr>
        <w:tc>
          <w:tcPr>
            <w:tcW w:w="2262" w:type="dxa"/>
            <w:tcBorders>
              <w:top w:val="nil"/>
              <w:left w:val="nil"/>
              <w:bottom w:val="nil"/>
              <w:right w:val="nil"/>
            </w:tcBorders>
            <w:shd w:val="clear" w:color="000000" w:fill="FFFFFF"/>
            <w:noWrap/>
            <w:vAlign w:val="bottom"/>
            <w:hideMark/>
          </w:tcPr>
          <w:p w14:paraId="7C674E21"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 </w:t>
            </w:r>
          </w:p>
        </w:tc>
        <w:tc>
          <w:tcPr>
            <w:tcW w:w="1148" w:type="dxa"/>
            <w:tcBorders>
              <w:top w:val="nil"/>
              <w:left w:val="single" w:sz="4" w:space="0" w:color="auto"/>
              <w:bottom w:val="single" w:sz="4" w:space="0" w:color="auto"/>
              <w:right w:val="nil"/>
            </w:tcBorders>
            <w:shd w:val="clear" w:color="000000" w:fill="FFFFFF"/>
            <w:noWrap/>
            <w:vAlign w:val="bottom"/>
            <w:hideMark/>
          </w:tcPr>
          <w:p w14:paraId="222D4499"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Change (%)</w:t>
            </w:r>
          </w:p>
        </w:tc>
        <w:tc>
          <w:tcPr>
            <w:tcW w:w="1677" w:type="dxa"/>
            <w:tcBorders>
              <w:top w:val="nil"/>
              <w:left w:val="nil"/>
              <w:bottom w:val="nil"/>
              <w:right w:val="single" w:sz="4" w:space="0" w:color="auto"/>
            </w:tcBorders>
            <w:shd w:val="clear" w:color="000000" w:fill="FFFFFF"/>
            <w:noWrap/>
            <w:vAlign w:val="bottom"/>
            <w:hideMark/>
          </w:tcPr>
          <w:p w14:paraId="3DAD57C1"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Contribution (%)</w:t>
            </w:r>
          </w:p>
        </w:tc>
        <w:tc>
          <w:tcPr>
            <w:tcW w:w="1148" w:type="dxa"/>
            <w:tcBorders>
              <w:top w:val="nil"/>
              <w:left w:val="nil"/>
              <w:bottom w:val="nil"/>
              <w:right w:val="nil"/>
            </w:tcBorders>
            <w:shd w:val="clear" w:color="000000" w:fill="FFFFFF"/>
            <w:noWrap/>
            <w:vAlign w:val="bottom"/>
            <w:hideMark/>
          </w:tcPr>
          <w:p w14:paraId="3E0C6D77"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Change (%)</w:t>
            </w:r>
          </w:p>
        </w:tc>
        <w:tc>
          <w:tcPr>
            <w:tcW w:w="1677" w:type="dxa"/>
            <w:tcBorders>
              <w:top w:val="nil"/>
              <w:left w:val="nil"/>
              <w:bottom w:val="nil"/>
              <w:right w:val="nil"/>
            </w:tcBorders>
            <w:shd w:val="clear" w:color="000000" w:fill="FFFFFF"/>
            <w:noWrap/>
            <w:vAlign w:val="bottom"/>
            <w:hideMark/>
          </w:tcPr>
          <w:p w14:paraId="7DD04CB6"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Contribution (%)</w:t>
            </w:r>
          </w:p>
        </w:tc>
      </w:tr>
      <w:tr w:rsidR="007539A6" w:rsidRPr="002F7F35" w14:paraId="0B0F861E" w14:textId="77777777" w:rsidTr="001152EF">
        <w:trPr>
          <w:trHeight w:val="224"/>
        </w:trPr>
        <w:tc>
          <w:tcPr>
            <w:tcW w:w="2262" w:type="dxa"/>
            <w:tcBorders>
              <w:top w:val="single" w:sz="4" w:space="0" w:color="auto"/>
              <w:left w:val="nil"/>
              <w:bottom w:val="nil"/>
              <w:right w:val="nil"/>
            </w:tcBorders>
            <w:shd w:val="clear" w:color="000000" w:fill="FFFFFF"/>
            <w:noWrap/>
            <w:vAlign w:val="bottom"/>
            <w:hideMark/>
          </w:tcPr>
          <w:p w14:paraId="380E123B"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Consumption</w:t>
            </w:r>
          </w:p>
        </w:tc>
        <w:tc>
          <w:tcPr>
            <w:tcW w:w="1148" w:type="dxa"/>
            <w:tcBorders>
              <w:top w:val="nil"/>
              <w:left w:val="single" w:sz="4" w:space="0" w:color="auto"/>
              <w:bottom w:val="nil"/>
              <w:right w:val="nil"/>
            </w:tcBorders>
            <w:shd w:val="clear" w:color="000000" w:fill="FFFFFF"/>
            <w:noWrap/>
            <w:vAlign w:val="bottom"/>
            <w:hideMark/>
          </w:tcPr>
          <w:p w14:paraId="0EDE2087"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9.3</w:t>
            </w:r>
          </w:p>
        </w:tc>
        <w:tc>
          <w:tcPr>
            <w:tcW w:w="1677" w:type="dxa"/>
            <w:tcBorders>
              <w:top w:val="single" w:sz="4" w:space="0" w:color="auto"/>
              <w:left w:val="nil"/>
              <w:bottom w:val="nil"/>
              <w:right w:val="single" w:sz="4" w:space="0" w:color="auto"/>
            </w:tcBorders>
            <w:shd w:val="clear" w:color="000000" w:fill="FFFFFF"/>
            <w:noWrap/>
            <w:vAlign w:val="bottom"/>
            <w:hideMark/>
          </w:tcPr>
          <w:p w14:paraId="7A928C45"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5.7</w:t>
            </w:r>
          </w:p>
        </w:tc>
        <w:tc>
          <w:tcPr>
            <w:tcW w:w="1148" w:type="dxa"/>
            <w:tcBorders>
              <w:top w:val="single" w:sz="4" w:space="0" w:color="auto"/>
              <w:left w:val="nil"/>
              <w:bottom w:val="nil"/>
              <w:right w:val="nil"/>
            </w:tcBorders>
            <w:shd w:val="clear" w:color="000000" w:fill="FFFFFF"/>
            <w:noWrap/>
            <w:vAlign w:val="bottom"/>
            <w:hideMark/>
          </w:tcPr>
          <w:p w14:paraId="631C19DE"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6.3</w:t>
            </w:r>
          </w:p>
        </w:tc>
        <w:tc>
          <w:tcPr>
            <w:tcW w:w="1677" w:type="dxa"/>
            <w:tcBorders>
              <w:top w:val="single" w:sz="4" w:space="0" w:color="auto"/>
              <w:left w:val="nil"/>
              <w:bottom w:val="nil"/>
              <w:right w:val="nil"/>
            </w:tcBorders>
            <w:shd w:val="clear" w:color="000000" w:fill="FFFFFF"/>
            <w:noWrap/>
            <w:vAlign w:val="bottom"/>
            <w:hideMark/>
          </w:tcPr>
          <w:p w14:paraId="48193B94"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3.7</w:t>
            </w:r>
          </w:p>
        </w:tc>
      </w:tr>
      <w:tr w:rsidR="007539A6" w:rsidRPr="002F7F35" w14:paraId="7901ED5A" w14:textId="77777777" w:rsidTr="001152EF">
        <w:trPr>
          <w:trHeight w:val="224"/>
        </w:trPr>
        <w:tc>
          <w:tcPr>
            <w:tcW w:w="2262" w:type="dxa"/>
            <w:tcBorders>
              <w:top w:val="nil"/>
              <w:left w:val="nil"/>
              <w:bottom w:val="nil"/>
              <w:right w:val="nil"/>
            </w:tcBorders>
            <w:shd w:val="clear" w:color="000000" w:fill="FFFFFF"/>
            <w:noWrap/>
            <w:vAlign w:val="bottom"/>
            <w:hideMark/>
          </w:tcPr>
          <w:p w14:paraId="6D98EF35"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Government Spending</w:t>
            </w:r>
          </w:p>
        </w:tc>
        <w:tc>
          <w:tcPr>
            <w:tcW w:w="1148" w:type="dxa"/>
            <w:tcBorders>
              <w:top w:val="nil"/>
              <w:left w:val="single" w:sz="4" w:space="0" w:color="auto"/>
              <w:bottom w:val="nil"/>
              <w:right w:val="nil"/>
            </w:tcBorders>
            <w:shd w:val="clear" w:color="000000" w:fill="FFFFFF"/>
            <w:noWrap/>
            <w:vAlign w:val="bottom"/>
            <w:hideMark/>
          </w:tcPr>
          <w:p w14:paraId="1F1DBAF1"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4.9</w:t>
            </w:r>
          </w:p>
        </w:tc>
        <w:tc>
          <w:tcPr>
            <w:tcW w:w="1677" w:type="dxa"/>
            <w:tcBorders>
              <w:top w:val="nil"/>
              <w:left w:val="nil"/>
              <w:bottom w:val="nil"/>
              <w:right w:val="single" w:sz="4" w:space="0" w:color="auto"/>
            </w:tcBorders>
            <w:shd w:val="clear" w:color="000000" w:fill="FFFFFF"/>
            <w:noWrap/>
            <w:vAlign w:val="bottom"/>
            <w:hideMark/>
          </w:tcPr>
          <w:p w14:paraId="52997E99"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0.7</w:t>
            </w:r>
          </w:p>
        </w:tc>
        <w:tc>
          <w:tcPr>
            <w:tcW w:w="1148" w:type="dxa"/>
            <w:tcBorders>
              <w:top w:val="nil"/>
              <w:left w:val="nil"/>
              <w:bottom w:val="nil"/>
              <w:right w:val="nil"/>
            </w:tcBorders>
            <w:shd w:val="clear" w:color="000000" w:fill="FFFFFF"/>
            <w:noWrap/>
            <w:vAlign w:val="bottom"/>
            <w:hideMark/>
          </w:tcPr>
          <w:p w14:paraId="659AA59F"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7.2</w:t>
            </w:r>
          </w:p>
        </w:tc>
        <w:tc>
          <w:tcPr>
            <w:tcW w:w="1677" w:type="dxa"/>
            <w:tcBorders>
              <w:top w:val="nil"/>
              <w:left w:val="nil"/>
              <w:bottom w:val="nil"/>
              <w:right w:val="nil"/>
            </w:tcBorders>
            <w:shd w:val="clear" w:color="000000" w:fill="FFFFFF"/>
            <w:noWrap/>
            <w:vAlign w:val="bottom"/>
            <w:hideMark/>
          </w:tcPr>
          <w:p w14:paraId="78D0B021"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1.0</w:t>
            </w:r>
          </w:p>
        </w:tc>
      </w:tr>
      <w:tr w:rsidR="007539A6" w:rsidRPr="002F7F35" w14:paraId="3DF39D6A" w14:textId="77777777" w:rsidTr="001152EF">
        <w:trPr>
          <w:trHeight w:val="224"/>
        </w:trPr>
        <w:tc>
          <w:tcPr>
            <w:tcW w:w="2262" w:type="dxa"/>
            <w:tcBorders>
              <w:top w:val="nil"/>
              <w:left w:val="nil"/>
              <w:bottom w:val="nil"/>
              <w:right w:val="nil"/>
            </w:tcBorders>
            <w:shd w:val="clear" w:color="000000" w:fill="FFFFFF"/>
            <w:noWrap/>
            <w:vAlign w:val="bottom"/>
            <w:hideMark/>
          </w:tcPr>
          <w:p w14:paraId="59FB9034"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Investment</w:t>
            </w:r>
          </w:p>
        </w:tc>
        <w:tc>
          <w:tcPr>
            <w:tcW w:w="1148" w:type="dxa"/>
            <w:tcBorders>
              <w:top w:val="nil"/>
              <w:left w:val="single" w:sz="4" w:space="0" w:color="auto"/>
              <w:bottom w:val="nil"/>
              <w:right w:val="nil"/>
            </w:tcBorders>
            <w:shd w:val="clear" w:color="000000" w:fill="FFFFFF"/>
            <w:noWrap/>
            <w:vAlign w:val="bottom"/>
            <w:hideMark/>
          </w:tcPr>
          <w:p w14:paraId="22D7F422"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7.9</w:t>
            </w:r>
          </w:p>
        </w:tc>
        <w:tc>
          <w:tcPr>
            <w:tcW w:w="1677" w:type="dxa"/>
            <w:tcBorders>
              <w:top w:val="nil"/>
              <w:left w:val="nil"/>
              <w:bottom w:val="nil"/>
              <w:right w:val="single" w:sz="4" w:space="0" w:color="auto"/>
            </w:tcBorders>
            <w:shd w:val="clear" w:color="000000" w:fill="FFFFFF"/>
            <w:noWrap/>
            <w:vAlign w:val="bottom"/>
            <w:hideMark/>
          </w:tcPr>
          <w:p w14:paraId="51BD7CA4"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2.3</w:t>
            </w:r>
          </w:p>
        </w:tc>
        <w:tc>
          <w:tcPr>
            <w:tcW w:w="1148" w:type="dxa"/>
            <w:tcBorders>
              <w:top w:val="nil"/>
              <w:left w:val="nil"/>
              <w:bottom w:val="nil"/>
              <w:right w:val="nil"/>
            </w:tcBorders>
            <w:shd w:val="clear" w:color="000000" w:fill="FFFFFF"/>
            <w:noWrap/>
            <w:vAlign w:val="bottom"/>
            <w:hideMark/>
          </w:tcPr>
          <w:p w14:paraId="6D637392"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3.9</w:t>
            </w:r>
          </w:p>
        </w:tc>
        <w:tc>
          <w:tcPr>
            <w:tcW w:w="1677" w:type="dxa"/>
            <w:tcBorders>
              <w:top w:val="nil"/>
              <w:left w:val="nil"/>
              <w:bottom w:val="nil"/>
              <w:right w:val="nil"/>
            </w:tcBorders>
            <w:shd w:val="clear" w:color="000000" w:fill="FFFFFF"/>
            <w:noWrap/>
            <w:vAlign w:val="bottom"/>
            <w:hideMark/>
          </w:tcPr>
          <w:p w14:paraId="1B5599A2"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1.2</w:t>
            </w:r>
          </w:p>
        </w:tc>
      </w:tr>
      <w:tr w:rsidR="007539A6" w:rsidRPr="002F7F35" w14:paraId="66F1647C" w14:textId="77777777" w:rsidTr="001152EF">
        <w:trPr>
          <w:trHeight w:val="224"/>
        </w:trPr>
        <w:tc>
          <w:tcPr>
            <w:tcW w:w="2262" w:type="dxa"/>
            <w:tcBorders>
              <w:top w:val="nil"/>
              <w:left w:val="nil"/>
              <w:bottom w:val="nil"/>
              <w:right w:val="nil"/>
            </w:tcBorders>
            <w:shd w:val="clear" w:color="000000" w:fill="FFFFFF"/>
            <w:noWrap/>
            <w:vAlign w:val="bottom"/>
            <w:hideMark/>
          </w:tcPr>
          <w:p w14:paraId="45EAC2E0"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Change in Stock</w:t>
            </w:r>
          </w:p>
        </w:tc>
        <w:tc>
          <w:tcPr>
            <w:tcW w:w="1148" w:type="dxa"/>
            <w:tcBorders>
              <w:top w:val="nil"/>
              <w:left w:val="single" w:sz="4" w:space="0" w:color="auto"/>
              <w:bottom w:val="nil"/>
              <w:right w:val="nil"/>
            </w:tcBorders>
            <w:shd w:val="clear" w:color="000000" w:fill="FFFFFF"/>
            <w:noWrap/>
            <w:vAlign w:val="bottom"/>
            <w:hideMark/>
          </w:tcPr>
          <w:p w14:paraId="5A42DD45"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c>
          <w:tcPr>
            <w:tcW w:w="1677" w:type="dxa"/>
            <w:tcBorders>
              <w:top w:val="nil"/>
              <w:left w:val="nil"/>
              <w:bottom w:val="nil"/>
              <w:right w:val="single" w:sz="4" w:space="0" w:color="auto"/>
            </w:tcBorders>
            <w:shd w:val="clear" w:color="000000" w:fill="FFFFFF"/>
            <w:noWrap/>
            <w:vAlign w:val="bottom"/>
            <w:hideMark/>
          </w:tcPr>
          <w:p w14:paraId="522F8E5C"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2.7</w:t>
            </w:r>
          </w:p>
        </w:tc>
        <w:tc>
          <w:tcPr>
            <w:tcW w:w="1148" w:type="dxa"/>
            <w:tcBorders>
              <w:top w:val="nil"/>
              <w:left w:val="nil"/>
              <w:bottom w:val="nil"/>
              <w:right w:val="nil"/>
            </w:tcBorders>
            <w:shd w:val="clear" w:color="000000" w:fill="FFFFFF"/>
            <w:noWrap/>
            <w:vAlign w:val="bottom"/>
            <w:hideMark/>
          </w:tcPr>
          <w:p w14:paraId="057547A7"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c>
          <w:tcPr>
            <w:tcW w:w="1677" w:type="dxa"/>
            <w:tcBorders>
              <w:top w:val="nil"/>
              <w:left w:val="nil"/>
              <w:bottom w:val="nil"/>
              <w:right w:val="nil"/>
            </w:tcBorders>
            <w:shd w:val="clear" w:color="000000" w:fill="FFFFFF"/>
            <w:noWrap/>
            <w:vAlign w:val="bottom"/>
            <w:hideMark/>
          </w:tcPr>
          <w:p w14:paraId="7F4A782D"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-1.9</w:t>
            </w:r>
          </w:p>
        </w:tc>
      </w:tr>
      <w:tr w:rsidR="007539A6" w:rsidRPr="002F7F35" w14:paraId="5871EBA6" w14:textId="77777777" w:rsidTr="001152EF">
        <w:trPr>
          <w:trHeight w:val="224"/>
        </w:trPr>
        <w:tc>
          <w:tcPr>
            <w:tcW w:w="2262" w:type="dxa"/>
            <w:tcBorders>
              <w:top w:val="nil"/>
              <w:left w:val="nil"/>
              <w:bottom w:val="nil"/>
              <w:right w:val="nil"/>
            </w:tcBorders>
            <w:shd w:val="clear" w:color="000000" w:fill="FFFFFF"/>
            <w:noWrap/>
            <w:vAlign w:val="bottom"/>
            <w:hideMark/>
          </w:tcPr>
          <w:p w14:paraId="55A8D8EA"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Export</w:t>
            </w:r>
          </w:p>
        </w:tc>
        <w:tc>
          <w:tcPr>
            <w:tcW w:w="1148" w:type="dxa"/>
            <w:tcBorders>
              <w:top w:val="nil"/>
              <w:left w:val="single" w:sz="4" w:space="0" w:color="auto"/>
              <w:bottom w:val="nil"/>
              <w:right w:val="nil"/>
            </w:tcBorders>
            <w:shd w:val="clear" w:color="000000" w:fill="FFFFFF"/>
            <w:noWrap/>
            <w:vAlign w:val="bottom"/>
            <w:hideMark/>
          </w:tcPr>
          <w:p w14:paraId="49966A1D"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0.7</w:t>
            </w:r>
          </w:p>
        </w:tc>
        <w:tc>
          <w:tcPr>
            <w:tcW w:w="1677" w:type="dxa"/>
            <w:tcBorders>
              <w:top w:val="nil"/>
              <w:left w:val="nil"/>
              <w:bottom w:val="nil"/>
              <w:right w:val="single" w:sz="4" w:space="0" w:color="auto"/>
            </w:tcBorders>
            <w:shd w:val="clear" w:color="000000" w:fill="FFFFFF"/>
            <w:noWrap/>
            <w:vAlign w:val="bottom"/>
            <w:hideMark/>
          </w:tcPr>
          <w:p w14:paraId="2A71C3F6"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0.3</w:t>
            </w:r>
          </w:p>
        </w:tc>
        <w:tc>
          <w:tcPr>
            <w:tcW w:w="1148" w:type="dxa"/>
            <w:tcBorders>
              <w:top w:val="nil"/>
              <w:left w:val="nil"/>
              <w:bottom w:val="nil"/>
              <w:right w:val="nil"/>
            </w:tcBorders>
            <w:shd w:val="clear" w:color="000000" w:fill="FFFFFF"/>
            <w:noWrap/>
            <w:vAlign w:val="bottom"/>
            <w:hideMark/>
          </w:tcPr>
          <w:p w14:paraId="69777DA5"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4.5</w:t>
            </w:r>
          </w:p>
        </w:tc>
        <w:tc>
          <w:tcPr>
            <w:tcW w:w="1677" w:type="dxa"/>
            <w:tcBorders>
              <w:top w:val="nil"/>
              <w:left w:val="nil"/>
              <w:bottom w:val="nil"/>
              <w:right w:val="nil"/>
            </w:tcBorders>
            <w:shd w:val="clear" w:color="000000" w:fill="FFFFFF"/>
            <w:noWrap/>
            <w:vAlign w:val="bottom"/>
            <w:hideMark/>
          </w:tcPr>
          <w:p w14:paraId="281C1582"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1.2</w:t>
            </w:r>
          </w:p>
        </w:tc>
      </w:tr>
      <w:tr w:rsidR="007539A6" w:rsidRPr="002F7F35" w14:paraId="63B8F453" w14:textId="77777777" w:rsidTr="001152EF">
        <w:trPr>
          <w:trHeight w:val="224"/>
        </w:trPr>
        <w:tc>
          <w:tcPr>
            <w:tcW w:w="2262" w:type="dxa"/>
            <w:tcBorders>
              <w:top w:val="nil"/>
              <w:left w:val="nil"/>
              <w:bottom w:val="nil"/>
              <w:right w:val="nil"/>
            </w:tcBorders>
            <w:shd w:val="clear" w:color="000000" w:fill="FFFFFF"/>
            <w:noWrap/>
            <w:vAlign w:val="bottom"/>
            <w:hideMark/>
          </w:tcPr>
          <w:p w14:paraId="256A2DD3"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Import</w:t>
            </w:r>
          </w:p>
        </w:tc>
        <w:tc>
          <w:tcPr>
            <w:tcW w:w="1148" w:type="dxa"/>
            <w:tcBorders>
              <w:top w:val="nil"/>
              <w:left w:val="single" w:sz="4" w:space="0" w:color="auto"/>
              <w:bottom w:val="nil"/>
              <w:right w:val="nil"/>
            </w:tcBorders>
            <w:shd w:val="clear" w:color="000000" w:fill="FFFFFF"/>
            <w:noWrap/>
            <w:vAlign w:val="bottom"/>
            <w:hideMark/>
          </w:tcPr>
          <w:p w14:paraId="756CCE6B"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15.4</w:t>
            </w:r>
          </w:p>
        </w:tc>
        <w:tc>
          <w:tcPr>
            <w:tcW w:w="1677" w:type="dxa"/>
            <w:tcBorders>
              <w:top w:val="nil"/>
              <w:left w:val="nil"/>
              <w:bottom w:val="nil"/>
              <w:right w:val="single" w:sz="4" w:space="0" w:color="auto"/>
            </w:tcBorders>
            <w:shd w:val="clear" w:color="000000" w:fill="FFFFFF"/>
            <w:noWrap/>
            <w:vAlign w:val="bottom"/>
            <w:hideMark/>
          </w:tcPr>
          <w:p w14:paraId="6A37C5BF"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-4.4</w:t>
            </w:r>
          </w:p>
        </w:tc>
        <w:tc>
          <w:tcPr>
            <w:tcW w:w="1148" w:type="dxa"/>
            <w:tcBorders>
              <w:top w:val="nil"/>
              <w:left w:val="nil"/>
              <w:bottom w:val="nil"/>
              <w:right w:val="nil"/>
            </w:tcBorders>
            <w:shd w:val="clear" w:color="000000" w:fill="FFFFFF"/>
            <w:noWrap/>
            <w:vAlign w:val="bottom"/>
            <w:hideMark/>
          </w:tcPr>
          <w:p w14:paraId="78AA195C"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0.3</w:t>
            </w:r>
          </w:p>
        </w:tc>
        <w:tc>
          <w:tcPr>
            <w:tcW w:w="1677" w:type="dxa"/>
            <w:tcBorders>
              <w:top w:val="nil"/>
              <w:left w:val="nil"/>
              <w:bottom w:val="nil"/>
              <w:right w:val="nil"/>
            </w:tcBorders>
            <w:shd w:val="clear" w:color="000000" w:fill="FFFFFF"/>
            <w:noWrap/>
            <w:vAlign w:val="bottom"/>
            <w:hideMark/>
          </w:tcPr>
          <w:p w14:paraId="309BCA9F"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-0.1</w:t>
            </w:r>
          </w:p>
        </w:tc>
      </w:tr>
      <w:tr w:rsidR="007539A6" w:rsidRPr="002F7F35" w14:paraId="17137611" w14:textId="77777777" w:rsidTr="001152EF">
        <w:trPr>
          <w:trHeight w:val="251"/>
        </w:trPr>
        <w:tc>
          <w:tcPr>
            <w:tcW w:w="2262" w:type="dxa"/>
            <w:tcBorders>
              <w:top w:val="nil"/>
              <w:left w:val="nil"/>
              <w:bottom w:val="double" w:sz="6" w:space="0" w:color="auto"/>
              <w:right w:val="nil"/>
            </w:tcBorders>
            <w:shd w:val="clear" w:color="000000" w:fill="FFFFFF"/>
            <w:noWrap/>
            <w:vAlign w:val="bottom"/>
            <w:hideMark/>
          </w:tcPr>
          <w:p w14:paraId="498207B1"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GDP</w:t>
            </w:r>
          </w:p>
        </w:tc>
        <w:tc>
          <w:tcPr>
            <w:tcW w:w="1148" w:type="dxa"/>
            <w:tcBorders>
              <w:top w:val="nil"/>
              <w:left w:val="single" w:sz="4" w:space="0" w:color="auto"/>
              <w:bottom w:val="double" w:sz="6" w:space="0" w:color="auto"/>
              <w:right w:val="nil"/>
            </w:tcBorders>
            <w:shd w:val="clear" w:color="000000" w:fill="FFFFFF"/>
            <w:noWrap/>
            <w:vAlign w:val="bottom"/>
            <w:hideMark/>
          </w:tcPr>
          <w:p w14:paraId="1C6DEE97"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7.3</w:t>
            </w:r>
          </w:p>
        </w:tc>
        <w:tc>
          <w:tcPr>
            <w:tcW w:w="1677" w:type="dxa"/>
            <w:tcBorders>
              <w:top w:val="nil"/>
              <w:left w:val="nil"/>
              <w:bottom w:val="double" w:sz="6" w:space="0" w:color="auto"/>
              <w:right w:val="single" w:sz="4" w:space="0" w:color="auto"/>
            </w:tcBorders>
            <w:shd w:val="clear" w:color="000000" w:fill="FFFFFF"/>
            <w:noWrap/>
            <w:vAlign w:val="bottom"/>
            <w:hideMark/>
          </w:tcPr>
          <w:p w14:paraId="4066CFCD"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c>
          <w:tcPr>
            <w:tcW w:w="1148" w:type="dxa"/>
            <w:tcBorders>
              <w:top w:val="nil"/>
              <w:left w:val="nil"/>
              <w:bottom w:val="double" w:sz="6" w:space="0" w:color="auto"/>
              <w:right w:val="nil"/>
            </w:tcBorders>
            <w:shd w:val="clear" w:color="000000" w:fill="FFFFFF"/>
            <w:noWrap/>
            <w:vAlign w:val="bottom"/>
            <w:hideMark/>
          </w:tcPr>
          <w:p w14:paraId="433EC71C"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5.2</w:t>
            </w:r>
          </w:p>
        </w:tc>
        <w:tc>
          <w:tcPr>
            <w:tcW w:w="1677" w:type="dxa"/>
            <w:tcBorders>
              <w:top w:val="nil"/>
              <w:left w:val="nil"/>
              <w:bottom w:val="double" w:sz="6" w:space="0" w:color="auto"/>
              <w:right w:val="nil"/>
            </w:tcBorders>
            <w:shd w:val="clear" w:color="000000" w:fill="FFFFFF"/>
            <w:noWrap/>
            <w:vAlign w:val="bottom"/>
            <w:hideMark/>
          </w:tcPr>
          <w:p w14:paraId="5A695CA1"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r>
    </w:tbl>
    <w:p w14:paraId="60A51B07" w14:textId="77777777" w:rsidR="007539A6" w:rsidRDefault="007539A6" w:rsidP="007539A6">
      <w:pPr>
        <w:rPr>
          <w:rFonts w:ascii="Palatino Linotype" w:hAnsi="Palatino Linotype" w:cstheme="minorHAnsi"/>
          <w:sz w:val="18"/>
          <w:szCs w:val="18"/>
        </w:rPr>
      </w:pPr>
      <w:r>
        <w:rPr>
          <w:rFonts w:ascii="Palatino Linotype" w:hAnsi="Palatino Linotype" w:cstheme="minorHAnsi"/>
          <w:b/>
          <w:sz w:val="18"/>
          <w:szCs w:val="18"/>
        </w:rPr>
        <w:t>S</w:t>
      </w:r>
      <w:r w:rsidRPr="007D787D">
        <w:rPr>
          <w:rFonts w:ascii="Palatino Linotype" w:hAnsi="Palatino Linotype" w:cstheme="minorHAnsi"/>
          <w:b/>
          <w:sz w:val="18"/>
          <w:szCs w:val="18"/>
        </w:rPr>
        <w:t>ource:</w:t>
      </w:r>
      <w:r>
        <w:rPr>
          <w:rFonts w:ascii="Palatino Linotype" w:hAnsi="Palatino Linotype" w:cstheme="minorHAnsi"/>
          <w:sz w:val="18"/>
          <w:szCs w:val="18"/>
        </w:rPr>
        <w:t xml:space="preserve"> </w:t>
      </w:r>
      <w:proofErr w:type="spellStart"/>
      <w:r>
        <w:rPr>
          <w:rFonts w:ascii="Palatino Linotype" w:hAnsi="Palatino Linotype" w:cstheme="minorHAnsi"/>
          <w:sz w:val="18"/>
          <w:szCs w:val="18"/>
        </w:rPr>
        <w:t>TurkStat</w:t>
      </w:r>
      <w:proofErr w:type="spellEnd"/>
      <w:r>
        <w:rPr>
          <w:rFonts w:ascii="Palatino Linotype" w:hAnsi="Palatino Linotype" w:cstheme="minorHAnsi"/>
          <w:sz w:val="18"/>
          <w:szCs w:val="18"/>
        </w:rPr>
        <w:t xml:space="preserve">, </w:t>
      </w:r>
      <w:proofErr w:type="spellStart"/>
      <w:r>
        <w:rPr>
          <w:rFonts w:ascii="Palatino Linotype" w:hAnsi="Palatino Linotype" w:cstheme="minorHAnsi"/>
          <w:sz w:val="18"/>
          <w:szCs w:val="18"/>
        </w:rPr>
        <w:t>Betam</w:t>
      </w:r>
      <w:proofErr w:type="spellEnd"/>
    </w:p>
    <w:p w14:paraId="390AC5DE" w14:textId="77777777" w:rsidR="007539A6" w:rsidRDefault="007539A6" w:rsidP="007539A6">
      <w:pPr>
        <w:rPr>
          <w:rFonts w:ascii="Palatino Linotype" w:hAnsi="Palatino Linotype" w:cstheme="minorHAnsi"/>
          <w:sz w:val="18"/>
          <w:szCs w:val="18"/>
        </w:rPr>
      </w:pPr>
    </w:p>
    <w:p w14:paraId="6D55A5D2" w14:textId="77777777" w:rsidR="007539A6" w:rsidRDefault="007539A6" w:rsidP="007539A6">
      <w:pPr>
        <w:ind w:right="77"/>
        <w:jc w:val="both"/>
        <w:rPr>
          <w:rFonts w:ascii="Palatino Linotype" w:hAnsi="Palatino Linotype" w:cstheme="minorHAnsi"/>
          <w:b/>
          <w:bCs/>
          <w:sz w:val="22"/>
          <w:szCs w:val="22"/>
        </w:rPr>
      </w:pPr>
      <w:r w:rsidRPr="007D787D">
        <w:rPr>
          <w:rFonts w:ascii="Palatino Linotype" w:hAnsi="Palatino Linotype" w:cstheme="minorHAnsi"/>
          <w:b/>
          <w:bCs/>
          <w:sz w:val="22"/>
          <w:szCs w:val="22"/>
        </w:rPr>
        <w:t xml:space="preserve">Table 2: Growth rates and contributions to growth of GDP components in </w:t>
      </w:r>
      <w:r>
        <w:rPr>
          <w:rFonts w:ascii="Palatino Linotype" w:hAnsi="Palatino Linotype" w:cstheme="minorHAnsi"/>
          <w:b/>
          <w:bCs/>
          <w:sz w:val="22"/>
          <w:szCs w:val="22"/>
        </w:rPr>
        <w:t>2018 Q1 and 2018 Q2 compared to previous quarter</w:t>
      </w:r>
    </w:p>
    <w:tbl>
      <w:tblPr>
        <w:tblW w:w="7928" w:type="dxa"/>
        <w:tblInd w:w="108" w:type="dxa"/>
        <w:tblLook w:val="04A0" w:firstRow="1" w:lastRow="0" w:firstColumn="1" w:lastColumn="0" w:noHBand="0" w:noVBand="1"/>
      </w:tblPr>
      <w:tblGrid>
        <w:gridCol w:w="2266"/>
        <w:gridCol w:w="1150"/>
        <w:gridCol w:w="1681"/>
        <w:gridCol w:w="1150"/>
        <w:gridCol w:w="1681"/>
      </w:tblGrid>
      <w:tr w:rsidR="007539A6" w:rsidRPr="002F7F35" w14:paraId="5A3DC20A" w14:textId="77777777" w:rsidTr="001152EF">
        <w:trPr>
          <w:trHeight w:val="244"/>
        </w:trPr>
        <w:tc>
          <w:tcPr>
            <w:tcW w:w="2266" w:type="dxa"/>
            <w:tcBorders>
              <w:top w:val="nil"/>
              <w:left w:val="nil"/>
              <w:bottom w:val="nil"/>
              <w:right w:val="nil"/>
            </w:tcBorders>
            <w:shd w:val="clear" w:color="000000" w:fill="FFFFFF"/>
            <w:noWrap/>
            <w:vAlign w:val="bottom"/>
            <w:hideMark/>
          </w:tcPr>
          <w:p w14:paraId="09C750C5"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 </w:t>
            </w:r>
          </w:p>
        </w:tc>
        <w:tc>
          <w:tcPr>
            <w:tcW w:w="283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E724333"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2018Q1</w:t>
            </w:r>
          </w:p>
        </w:tc>
        <w:tc>
          <w:tcPr>
            <w:tcW w:w="2831" w:type="dxa"/>
            <w:gridSpan w:val="2"/>
            <w:tcBorders>
              <w:top w:val="single" w:sz="4" w:space="0" w:color="auto"/>
              <w:left w:val="nil"/>
              <w:bottom w:val="single" w:sz="4" w:space="0" w:color="auto"/>
              <w:right w:val="nil"/>
            </w:tcBorders>
            <w:shd w:val="clear" w:color="000000" w:fill="FFFFFF"/>
            <w:noWrap/>
            <w:vAlign w:val="bottom"/>
            <w:hideMark/>
          </w:tcPr>
          <w:p w14:paraId="4088C6C1"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2018Q2</w:t>
            </w:r>
          </w:p>
        </w:tc>
      </w:tr>
      <w:tr w:rsidR="007539A6" w:rsidRPr="002F7F35" w14:paraId="6F13D7FB" w14:textId="77777777" w:rsidTr="001152EF">
        <w:trPr>
          <w:trHeight w:val="244"/>
        </w:trPr>
        <w:tc>
          <w:tcPr>
            <w:tcW w:w="2266" w:type="dxa"/>
            <w:tcBorders>
              <w:top w:val="nil"/>
              <w:left w:val="nil"/>
              <w:bottom w:val="nil"/>
              <w:right w:val="nil"/>
            </w:tcBorders>
            <w:shd w:val="clear" w:color="000000" w:fill="FFFFFF"/>
            <w:noWrap/>
            <w:vAlign w:val="bottom"/>
            <w:hideMark/>
          </w:tcPr>
          <w:p w14:paraId="0E49D101"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 </w:t>
            </w:r>
          </w:p>
        </w:tc>
        <w:tc>
          <w:tcPr>
            <w:tcW w:w="1150" w:type="dxa"/>
            <w:tcBorders>
              <w:top w:val="nil"/>
              <w:left w:val="single" w:sz="4" w:space="0" w:color="auto"/>
              <w:bottom w:val="single" w:sz="4" w:space="0" w:color="auto"/>
              <w:right w:val="nil"/>
            </w:tcBorders>
            <w:shd w:val="clear" w:color="000000" w:fill="FFFFFF"/>
            <w:noWrap/>
            <w:vAlign w:val="bottom"/>
            <w:hideMark/>
          </w:tcPr>
          <w:p w14:paraId="40E3BEE6"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Change (%)</w:t>
            </w:r>
          </w:p>
        </w:tc>
        <w:tc>
          <w:tcPr>
            <w:tcW w:w="1680" w:type="dxa"/>
            <w:tcBorders>
              <w:top w:val="nil"/>
              <w:left w:val="nil"/>
              <w:bottom w:val="nil"/>
              <w:right w:val="single" w:sz="4" w:space="0" w:color="auto"/>
            </w:tcBorders>
            <w:shd w:val="clear" w:color="000000" w:fill="FFFFFF"/>
            <w:noWrap/>
            <w:vAlign w:val="bottom"/>
            <w:hideMark/>
          </w:tcPr>
          <w:p w14:paraId="7C1F457C"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Contribution (%)</w:t>
            </w:r>
          </w:p>
        </w:tc>
        <w:tc>
          <w:tcPr>
            <w:tcW w:w="1150" w:type="dxa"/>
            <w:tcBorders>
              <w:top w:val="nil"/>
              <w:left w:val="nil"/>
              <w:bottom w:val="nil"/>
              <w:right w:val="nil"/>
            </w:tcBorders>
            <w:shd w:val="clear" w:color="000000" w:fill="FFFFFF"/>
            <w:noWrap/>
            <w:vAlign w:val="bottom"/>
            <w:hideMark/>
          </w:tcPr>
          <w:p w14:paraId="56B98E45"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Change (%)</w:t>
            </w:r>
          </w:p>
        </w:tc>
        <w:tc>
          <w:tcPr>
            <w:tcW w:w="1680" w:type="dxa"/>
            <w:tcBorders>
              <w:top w:val="nil"/>
              <w:left w:val="nil"/>
              <w:bottom w:val="nil"/>
              <w:right w:val="nil"/>
            </w:tcBorders>
            <w:shd w:val="clear" w:color="000000" w:fill="FFFFFF"/>
            <w:noWrap/>
            <w:vAlign w:val="bottom"/>
            <w:hideMark/>
          </w:tcPr>
          <w:p w14:paraId="2793E062" w14:textId="77777777" w:rsidR="007539A6" w:rsidRPr="002F7F35" w:rsidRDefault="007539A6" w:rsidP="001152EF">
            <w:pPr>
              <w:jc w:val="cente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Contribution (%)</w:t>
            </w:r>
          </w:p>
        </w:tc>
      </w:tr>
      <w:tr w:rsidR="007539A6" w:rsidRPr="002F7F35" w14:paraId="06E397AA" w14:textId="77777777" w:rsidTr="001152EF">
        <w:trPr>
          <w:trHeight w:val="244"/>
        </w:trPr>
        <w:tc>
          <w:tcPr>
            <w:tcW w:w="2266" w:type="dxa"/>
            <w:tcBorders>
              <w:top w:val="single" w:sz="4" w:space="0" w:color="auto"/>
              <w:left w:val="nil"/>
              <w:bottom w:val="nil"/>
              <w:right w:val="nil"/>
            </w:tcBorders>
            <w:shd w:val="clear" w:color="000000" w:fill="FFFFFF"/>
            <w:noWrap/>
            <w:vAlign w:val="bottom"/>
            <w:hideMark/>
          </w:tcPr>
          <w:p w14:paraId="6751A3DA"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Consumption</w:t>
            </w:r>
          </w:p>
        </w:tc>
        <w:tc>
          <w:tcPr>
            <w:tcW w:w="1150" w:type="dxa"/>
            <w:tcBorders>
              <w:top w:val="nil"/>
              <w:left w:val="single" w:sz="4" w:space="0" w:color="auto"/>
              <w:bottom w:val="nil"/>
              <w:right w:val="nil"/>
            </w:tcBorders>
            <w:shd w:val="clear" w:color="000000" w:fill="FFFFFF"/>
            <w:noWrap/>
            <w:vAlign w:val="bottom"/>
            <w:hideMark/>
          </w:tcPr>
          <w:p w14:paraId="4207E326"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3.4</w:t>
            </w:r>
          </w:p>
        </w:tc>
        <w:tc>
          <w:tcPr>
            <w:tcW w:w="1680" w:type="dxa"/>
            <w:tcBorders>
              <w:top w:val="single" w:sz="4" w:space="0" w:color="auto"/>
              <w:left w:val="nil"/>
              <w:bottom w:val="nil"/>
              <w:right w:val="single" w:sz="4" w:space="0" w:color="auto"/>
            </w:tcBorders>
            <w:shd w:val="clear" w:color="000000" w:fill="FFFFFF"/>
            <w:noWrap/>
            <w:vAlign w:val="bottom"/>
            <w:hideMark/>
          </w:tcPr>
          <w:p w14:paraId="43A1F36F"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2.0</w:t>
            </w:r>
          </w:p>
        </w:tc>
        <w:tc>
          <w:tcPr>
            <w:tcW w:w="1150" w:type="dxa"/>
            <w:tcBorders>
              <w:top w:val="single" w:sz="4" w:space="0" w:color="auto"/>
              <w:left w:val="nil"/>
              <w:bottom w:val="nil"/>
              <w:right w:val="nil"/>
            </w:tcBorders>
            <w:shd w:val="clear" w:color="000000" w:fill="FFFFFF"/>
            <w:noWrap/>
            <w:vAlign w:val="bottom"/>
            <w:hideMark/>
          </w:tcPr>
          <w:p w14:paraId="3704BFDE"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-0.4</w:t>
            </w:r>
          </w:p>
        </w:tc>
        <w:tc>
          <w:tcPr>
            <w:tcW w:w="1680" w:type="dxa"/>
            <w:tcBorders>
              <w:top w:val="single" w:sz="4" w:space="0" w:color="auto"/>
              <w:left w:val="nil"/>
              <w:bottom w:val="nil"/>
              <w:right w:val="nil"/>
            </w:tcBorders>
            <w:shd w:val="clear" w:color="000000" w:fill="FFFFFF"/>
            <w:noWrap/>
            <w:vAlign w:val="bottom"/>
            <w:hideMark/>
          </w:tcPr>
          <w:p w14:paraId="4C41799F"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-0.2</w:t>
            </w:r>
          </w:p>
        </w:tc>
      </w:tr>
      <w:tr w:rsidR="007539A6" w:rsidRPr="002F7F35" w14:paraId="4C5772BC" w14:textId="77777777" w:rsidTr="001152EF">
        <w:trPr>
          <w:trHeight w:val="244"/>
        </w:trPr>
        <w:tc>
          <w:tcPr>
            <w:tcW w:w="2266" w:type="dxa"/>
            <w:tcBorders>
              <w:top w:val="nil"/>
              <w:left w:val="nil"/>
              <w:bottom w:val="nil"/>
              <w:right w:val="nil"/>
            </w:tcBorders>
            <w:shd w:val="clear" w:color="000000" w:fill="FFFFFF"/>
            <w:noWrap/>
            <w:vAlign w:val="bottom"/>
            <w:hideMark/>
          </w:tcPr>
          <w:p w14:paraId="643E127F"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Government Spending</w:t>
            </w:r>
          </w:p>
        </w:tc>
        <w:tc>
          <w:tcPr>
            <w:tcW w:w="1150" w:type="dxa"/>
            <w:tcBorders>
              <w:top w:val="nil"/>
              <w:left w:val="single" w:sz="4" w:space="0" w:color="auto"/>
              <w:bottom w:val="nil"/>
              <w:right w:val="nil"/>
            </w:tcBorders>
            <w:shd w:val="clear" w:color="000000" w:fill="FFFFFF"/>
            <w:noWrap/>
            <w:vAlign w:val="bottom"/>
            <w:hideMark/>
          </w:tcPr>
          <w:p w14:paraId="3C5885C0"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4.8</w:t>
            </w:r>
          </w:p>
        </w:tc>
        <w:tc>
          <w:tcPr>
            <w:tcW w:w="1680" w:type="dxa"/>
            <w:tcBorders>
              <w:top w:val="nil"/>
              <w:left w:val="nil"/>
              <w:bottom w:val="nil"/>
              <w:right w:val="single" w:sz="4" w:space="0" w:color="auto"/>
            </w:tcBorders>
            <w:shd w:val="clear" w:color="000000" w:fill="FFFFFF"/>
            <w:noWrap/>
            <w:vAlign w:val="bottom"/>
            <w:hideMark/>
          </w:tcPr>
          <w:p w14:paraId="2B0FFB01"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0.7</w:t>
            </w:r>
          </w:p>
        </w:tc>
        <w:tc>
          <w:tcPr>
            <w:tcW w:w="1150" w:type="dxa"/>
            <w:tcBorders>
              <w:top w:val="nil"/>
              <w:left w:val="nil"/>
              <w:bottom w:val="nil"/>
              <w:right w:val="nil"/>
            </w:tcBorders>
            <w:shd w:val="clear" w:color="000000" w:fill="FFFFFF"/>
            <w:noWrap/>
            <w:vAlign w:val="bottom"/>
            <w:hideMark/>
          </w:tcPr>
          <w:p w14:paraId="1F1D308E"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0.2</w:t>
            </w:r>
          </w:p>
        </w:tc>
        <w:tc>
          <w:tcPr>
            <w:tcW w:w="1680" w:type="dxa"/>
            <w:tcBorders>
              <w:top w:val="nil"/>
              <w:left w:val="nil"/>
              <w:bottom w:val="nil"/>
              <w:right w:val="nil"/>
            </w:tcBorders>
            <w:shd w:val="clear" w:color="000000" w:fill="FFFFFF"/>
            <w:noWrap/>
            <w:vAlign w:val="bottom"/>
            <w:hideMark/>
          </w:tcPr>
          <w:p w14:paraId="3DDC6D3C"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0.0</w:t>
            </w:r>
          </w:p>
        </w:tc>
      </w:tr>
      <w:tr w:rsidR="007539A6" w:rsidRPr="002F7F35" w14:paraId="0AD85C5D" w14:textId="77777777" w:rsidTr="001152EF">
        <w:trPr>
          <w:trHeight w:val="244"/>
        </w:trPr>
        <w:tc>
          <w:tcPr>
            <w:tcW w:w="2266" w:type="dxa"/>
            <w:tcBorders>
              <w:top w:val="nil"/>
              <w:left w:val="nil"/>
              <w:bottom w:val="nil"/>
              <w:right w:val="nil"/>
            </w:tcBorders>
            <w:shd w:val="clear" w:color="000000" w:fill="FFFFFF"/>
            <w:noWrap/>
            <w:vAlign w:val="bottom"/>
            <w:hideMark/>
          </w:tcPr>
          <w:p w14:paraId="51D96B44"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Investment</w:t>
            </w:r>
          </w:p>
        </w:tc>
        <w:tc>
          <w:tcPr>
            <w:tcW w:w="1150" w:type="dxa"/>
            <w:tcBorders>
              <w:top w:val="nil"/>
              <w:left w:val="single" w:sz="4" w:space="0" w:color="auto"/>
              <w:bottom w:val="nil"/>
              <w:right w:val="nil"/>
            </w:tcBorders>
            <w:shd w:val="clear" w:color="000000" w:fill="FFFFFF"/>
            <w:noWrap/>
            <w:vAlign w:val="bottom"/>
            <w:hideMark/>
          </w:tcPr>
          <w:p w14:paraId="1CF4E8CC"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4.1</w:t>
            </w:r>
          </w:p>
        </w:tc>
        <w:tc>
          <w:tcPr>
            <w:tcW w:w="1680" w:type="dxa"/>
            <w:tcBorders>
              <w:top w:val="nil"/>
              <w:left w:val="nil"/>
              <w:bottom w:val="nil"/>
              <w:right w:val="single" w:sz="4" w:space="0" w:color="auto"/>
            </w:tcBorders>
            <w:shd w:val="clear" w:color="000000" w:fill="FFFFFF"/>
            <w:noWrap/>
            <w:vAlign w:val="bottom"/>
            <w:hideMark/>
          </w:tcPr>
          <w:p w14:paraId="7A938C75"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1.2</w:t>
            </w:r>
          </w:p>
        </w:tc>
        <w:tc>
          <w:tcPr>
            <w:tcW w:w="1150" w:type="dxa"/>
            <w:tcBorders>
              <w:top w:val="nil"/>
              <w:left w:val="nil"/>
              <w:bottom w:val="nil"/>
              <w:right w:val="nil"/>
            </w:tcBorders>
            <w:shd w:val="clear" w:color="000000" w:fill="FFFFFF"/>
            <w:noWrap/>
            <w:vAlign w:val="bottom"/>
            <w:hideMark/>
          </w:tcPr>
          <w:p w14:paraId="0980671C"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-1.4</w:t>
            </w:r>
          </w:p>
        </w:tc>
        <w:tc>
          <w:tcPr>
            <w:tcW w:w="1680" w:type="dxa"/>
            <w:tcBorders>
              <w:top w:val="nil"/>
              <w:left w:val="nil"/>
              <w:bottom w:val="nil"/>
              <w:right w:val="nil"/>
            </w:tcBorders>
            <w:shd w:val="clear" w:color="000000" w:fill="FFFFFF"/>
            <w:noWrap/>
            <w:vAlign w:val="bottom"/>
            <w:hideMark/>
          </w:tcPr>
          <w:p w14:paraId="1E00415D"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-0.4</w:t>
            </w:r>
          </w:p>
        </w:tc>
      </w:tr>
      <w:tr w:rsidR="007539A6" w:rsidRPr="002F7F35" w14:paraId="0161F875" w14:textId="77777777" w:rsidTr="001152EF">
        <w:trPr>
          <w:trHeight w:val="244"/>
        </w:trPr>
        <w:tc>
          <w:tcPr>
            <w:tcW w:w="2266" w:type="dxa"/>
            <w:tcBorders>
              <w:top w:val="nil"/>
              <w:left w:val="nil"/>
              <w:bottom w:val="nil"/>
              <w:right w:val="nil"/>
            </w:tcBorders>
            <w:shd w:val="clear" w:color="000000" w:fill="FFFFFF"/>
            <w:noWrap/>
            <w:vAlign w:val="bottom"/>
            <w:hideMark/>
          </w:tcPr>
          <w:p w14:paraId="295C0B84"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Change in Stock</w:t>
            </w:r>
          </w:p>
        </w:tc>
        <w:tc>
          <w:tcPr>
            <w:tcW w:w="1150" w:type="dxa"/>
            <w:tcBorders>
              <w:top w:val="nil"/>
              <w:left w:val="single" w:sz="4" w:space="0" w:color="auto"/>
              <w:bottom w:val="nil"/>
              <w:right w:val="nil"/>
            </w:tcBorders>
            <w:shd w:val="clear" w:color="000000" w:fill="FFFFFF"/>
            <w:noWrap/>
            <w:vAlign w:val="bottom"/>
            <w:hideMark/>
          </w:tcPr>
          <w:p w14:paraId="4B32957A"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c>
          <w:tcPr>
            <w:tcW w:w="1680" w:type="dxa"/>
            <w:tcBorders>
              <w:top w:val="nil"/>
              <w:left w:val="nil"/>
              <w:bottom w:val="nil"/>
              <w:right w:val="single" w:sz="4" w:space="0" w:color="auto"/>
            </w:tcBorders>
            <w:shd w:val="clear" w:color="000000" w:fill="FFFFFF"/>
            <w:noWrap/>
            <w:vAlign w:val="bottom"/>
            <w:hideMark/>
          </w:tcPr>
          <w:p w14:paraId="6E9D50F2"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-3.8</w:t>
            </w:r>
          </w:p>
        </w:tc>
        <w:tc>
          <w:tcPr>
            <w:tcW w:w="1150" w:type="dxa"/>
            <w:tcBorders>
              <w:top w:val="nil"/>
              <w:left w:val="nil"/>
              <w:bottom w:val="nil"/>
              <w:right w:val="nil"/>
            </w:tcBorders>
            <w:shd w:val="clear" w:color="000000" w:fill="FFFFFF"/>
            <w:noWrap/>
            <w:vAlign w:val="bottom"/>
            <w:hideMark/>
          </w:tcPr>
          <w:p w14:paraId="243735C6"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c>
          <w:tcPr>
            <w:tcW w:w="1680" w:type="dxa"/>
            <w:tcBorders>
              <w:top w:val="nil"/>
              <w:left w:val="nil"/>
              <w:bottom w:val="nil"/>
              <w:right w:val="nil"/>
            </w:tcBorders>
            <w:shd w:val="clear" w:color="000000" w:fill="FFFFFF"/>
            <w:noWrap/>
            <w:vAlign w:val="bottom"/>
            <w:hideMark/>
          </w:tcPr>
          <w:p w14:paraId="7516A918"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-0.4</w:t>
            </w:r>
          </w:p>
        </w:tc>
      </w:tr>
      <w:tr w:rsidR="007539A6" w:rsidRPr="002F7F35" w14:paraId="51979AE6" w14:textId="77777777" w:rsidTr="001152EF">
        <w:trPr>
          <w:trHeight w:val="244"/>
        </w:trPr>
        <w:tc>
          <w:tcPr>
            <w:tcW w:w="2266" w:type="dxa"/>
            <w:tcBorders>
              <w:top w:val="nil"/>
              <w:left w:val="nil"/>
              <w:bottom w:val="nil"/>
              <w:right w:val="nil"/>
            </w:tcBorders>
            <w:shd w:val="clear" w:color="000000" w:fill="FFFFFF"/>
            <w:noWrap/>
            <w:vAlign w:val="bottom"/>
            <w:hideMark/>
          </w:tcPr>
          <w:p w14:paraId="26854200"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Export</w:t>
            </w:r>
          </w:p>
        </w:tc>
        <w:tc>
          <w:tcPr>
            <w:tcW w:w="1150" w:type="dxa"/>
            <w:tcBorders>
              <w:top w:val="nil"/>
              <w:left w:val="single" w:sz="4" w:space="0" w:color="auto"/>
              <w:bottom w:val="nil"/>
              <w:right w:val="nil"/>
            </w:tcBorders>
            <w:shd w:val="clear" w:color="000000" w:fill="FFFFFF"/>
            <w:noWrap/>
            <w:vAlign w:val="bottom"/>
            <w:hideMark/>
          </w:tcPr>
          <w:p w14:paraId="6141B4E5"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-0.4</w:t>
            </w:r>
          </w:p>
        </w:tc>
        <w:tc>
          <w:tcPr>
            <w:tcW w:w="1680" w:type="dxa"/>
            <w:tcBorders>
              <w:top w:val="nil"/>
              <w:left w:val="nil"/>
              <w:bottom w:val="nil"/>
              <w:right w:val="single" w:sz="4" w:space="0" w:color="auto"/>
            </w:tcBorders>
            <w:shd w:val="clear" w:color="000000" w:fill="FFFFFF"/>
            <w:noWrap/>
            <w:vAlign w:val="bottom"/>
            <w:hideMark/>
          </w:tcPr>
          <w:p w14:paraId="30C591B1"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-0.1</w:t>
            </w:r>
          </w:p>
        </w:tc>
        <w:tc>
          <w:tcPr>
            <w:tcW w:w="1150" w:type="dxa"/>
            <w:tcBorders>
              <w:top w:val="nil"/>
              <w:left w:val="nil"/>
              <w:bottom w:val="nil"/>
              <w:right w:val="nil"/>
            </w:tcBorders>
            <w:shd w:val="clear" w:color="000000" w:fill="FFFFFF"/>
            <w:noWrap/>
            <w:vAlign w:val="bottom"/>
            <w:hideMark/>
          </w:tcPr>
          <w:p w14:paraId="26730307"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2.4</w:t>
            </w:r>
          </w:p>
        </w:tc>
        <w:tc>
          <w:tcPr>
            <w:tcW w:w="1680" w:type="dxa"/>
            <w:tcBorders>
              <w:top w:val="nil"/>
              <w:left w:val="nil"/>
              <w:bottom w:val="nil"/>
              <w:right w:val="nil"/>
            </w:tcBorders>
            <w:shd w:val="clear" w:color="000000" w:fill="FFFFFF"/>
            <w:noWrap/>
            <w:vAlign w:val="bottom"/>
            <w:hideMark/>
          </w:tcPr>
          <w:p w14:paraId="2547E136"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0.6</w:t>
            </w:r>
          </w:p>
        </w:tc>
      </w:tr>
      <w:tr w:rsidR="007539A6" w:rsidRPr="002F7F35" w14:paraId="4403395C" w14:textId="77777777" w:rsidTr="001152EF">
        <w:trPr>
          <w:trHeight w:val="244"/>
        </w:trPr>
        <w:tc>
          <w:tcPr>
            <w:tcW w:w="2266" w:type="dxa"/>
            <w:tcBorders>
              <w:top w:val="nil"/>
              <w:left w:val="nil"/>
              <w:bottom w:val="nil"/>
              <w:right w:val="nil"/>
            </w:tcBorders>
            <w:shd w:val="clear" w:color="000000" w:fill="FFFFFF"/>
            <w:noWrap/>
            <w:vAlign w:val="bottom"/>
            <w:hideMark/>
          </w:tcPr>
          <w:p w14:paraId="401E51EE"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Import</w:t>
            </w:r>
          </w:p>
        </w:tc>
        <w:tc>
          <w:tcPr>
            <w:tcW w:w="1150" w:type="dxa"/>
            <w:tcBorders>
              <w:top w:val="nil"/>
              <w:left w:val="single" w:sz="4" w:space="0" w:color="auto"/>
              <w:bottom w:val="nil"/>
              <w:right w:val="nil"/>
            </w:tcBorders>
            <w:shd w:val="clear" w:color="000000" w:fill="FFFFFF"/>
            <w:noWrap/>
            <w:vAlign w:val="bottom"/>
            <w:hideMark/>
          </w:tcPr>
          <w:p w14:paraId="6639F246"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-5.8</w:t>
            </w:r>
          </w:p>
        </w:tc>
        <w:tc>
          <w:tcPr>
            <w:tcW w:w="1680" w:type="dxa"/>
            <w:tcBorders>
              <w:top w:val="nil"/>
              <w:left w:val="nil"/>
              <w:bottom w:val="nil"/>
              <w:right w:val="single" w:sz="4" w:space="0" w:color="auto"/>
            </w:tcBorders>
            <w:shd w:val="clear" w:color="000000" w:fill="FFFFFF"/>
            <w:noWrap/>
            <w:vAlign w:val="bottom"/>
            <w:hideMark/>
          </w:tcPr>
          <w:p w14:paraId="581046F6"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1.5</w:t>
            </w:r>
          </w:p>
        </w:tc>
        <w:tc>
          <w:tcPr>
            <w:tcW w:w="1150" w:type="dxa"/>
            <w:tcBorders>
              <w:top w:val="nil"/>
              <w:left w:val="nil"/>
              <w:bottom w:val="nil"/>
              <w:right w:val="nil"/>
            </w:tcBorders>
            <w:shd w:val="clear" w:color="000000" w:fill="FFFFFF"/>
            <w:noWrap/>
            <w:vAlign w:val="bottom"/>
            <w:hideMark/>
          </w:tcPr>
          <w:p w14:paraId="037F3BEA"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-4.8</w:t>
            </w:r>
          </w:p>
        </w:tc>
        <w:tc>
          <w:tcPr>
            <w:tcW w:w="1680" w:type="dxa"/>
            <w:tcBorders>
              <w:top w:val="nil"/>
              <w:left w:val="nil"/>
              <w:bottom w:val="nil"/>
              <w:right w:val="nil"/>
            </w:tcBorders>
            <w:shd w:val="clear" w:color="000000" w:fill="FFFFFF"/>
            <w:noWrap/>
            <w:vAlign w:val="bottom"/>
            <w:hideMark/>
          </w:tcPr>
          <w:p w14:paraId="432A2CBD"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1.4</w:t>
            </w:r>
          </w:p>
        </w:tc>
      </w:tr>
      <w:tr w:rsidR="007539A6" w:rsidRPr="002F7F35" w14:paraId="18C6DF80" w14:textId="77777777" w:rsidTr="001152EF">
        <w:trPr>
          <w:trHeight w:val="273"/>
        </w:trPr>
        <w:tc>
          <w:tcPr>
            <w:tcW w:w="2266" w:type="dxa"/>
            <w:tcBorders>
              <w:top w:val="nil"/>
              <w:left w:val="nil"/>
              <w:bottom w:val="double" w:sz="6" w:space="0" w:color="auto"/>
              <w:right w:val="nil"/>
            </w:tcBorders>
            <w:shd w:val="clear" w:color="000000" w:fill="FFFFFF"/>
            <w:noWrap/>
            <w:vAlign w:val="bottom"/>
            <w:hideMark/>
          </w:tcPr>
          <w:p w14:paraId="4ABC4B13" w14:textId="77777777" w:rsidR="007539A6" w:rsidRPr="002F7F35" w:rsidRDefault="007539A6" w:rsidP="001152EF">
            <w:pPr>
              <w:rPr>
                <w:rFonts w:ascii="Calibri" w:hAnsi="Calibri" w:cs="Calibri"/>
                <w:b/>
                <w:bCs/>
                <w:color w:val="000000"/>
                <w:sz w:val="20"/>
                <w:szCs w:val="20"/>
                <w:lang w:val="en-GB" w:eastAsia="en-GB"/>
              </w:rPr>
            </w:pPr>
            <w:r w:rsidRPr="002F7F35">
              <w:rPr>
                <w:rFonts w:ascii="Calibri" w:hAnsi="Calibri" w:cs="Calibri"/>
                <w:b/>
                <w:bCs/>
                <w:color w:val="000000"/>
                <w:sz w:val="20"/>
                <w:szCs w:val="20"/>
                <w:lang w:val="en-GB" w:eastAsia="en-GB"/>
              </w:rPr>
              <w:t>GDP</w:t>
            </w:r>
          </w:p>
        </w:tc>
        <w:tc>
          <w:tcPr>
            <w:tcW w:w="1150" w:type="dxa"/>
            <w:tcBorders>
              <w:top w:val="nil"/>
              <w:left w:val="single" w:sz="4" w:space="0" w:color="auto"/>
              <w:bottom w:val="double" w:sz="6" w:space="0" w:color="auto"/>
              <w:right w:val="nil"/>
            </w:tcBorders>
            <w:shd w:val="clear" w:color="000000" w:fill="FFFFFF"/>
            <w:noWrap/>
            <w:vAlign w:val="bottom"/>
            <w:hideMark/>
          </w:tcPr>
          <w:p w14:paraId="3498EAC6"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1.5</w:t>
            </w:r>
          </w:p>
        </w:tc>
        <w:tc>
          <w:tcPr>
            <w:tcW w:w="1680" w:type="dxa"/>
            <w:tcBorders>
              <w:top w:val="nil"/>
              <w:left w:val="nil"/>
              <w:bottom w:val="double" w:sz="6" w:space="0" w:color="auto"/>
              <w:right w:val="single" w:sz="4" w:space="0" w:color="auto"/>
            </w:tcBorders>
            <w:shd w:val="clear" w:color="000000" w:fill="FFFFFF"/>
            <w:noWrap/>
            <w:vAlign w:val="bottom"/>
            <w:hideMark/>
          </w:tcPr>
          <w:p w14:paraId="697383B8"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c>
          <w:tcPr>
            <w:tcW w:w="1150" w:type="dxa"/>
            <w:tcBorders>
              <w:top w:val="nil"/>
              <w:left w:val="nil"/>
              <w:bottom w:val="double" w:sz="6" w:space="0" w:color="auto"/>
              <w:right w:val="nil"/>
            </w:tcBorders>
            <w:shd w:val="clear" w:color="000000" w:fill="FFFFFF"/>
            <w:noWrap/>
            <w:vAlign w:val="bottom"/>
            <w:hideMark/>
          </w:tcPr>
          <w:p w14:paraId="0F91293A"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0.9</w:t>
            </w:r>
          </w:p>
        </w:tc>
        <w:tc>
          <w:tcPr>
            <w:tcW w:w="1680" w:type="dxa"/>
            <w:tcBorders>
              <w:top w:val="nil"/>
              <w:left w:val="nil"/>
              <w:bottom w:val="double" w:sz="6" w:space="0" w:color="auto"/>
              <w:right w:val="nil"/>
            </w:tcBorders>
            <w:shd w:val="clear" w:color="000000" w:fill="FFFFFF"/>
            <w:noWrap/>
            <w:vAlign w:val="bottom"/>
            <w:hideMark/>
          </w:tcPr>
          <w:p w14:paraId="4EE74174" w14:textId="77777777" w:rsidR="007539A6" w:rsidRPr="002F7F35" w:rsidRDefault="007539A6" w:rsidP="001152EF">
            <w:pPr>
              <w:jc w:val="center"/>
              <w:rPr>
                <w:rFonts w:ascii="Calibri" w:hAnsi="Calibri" w:cs="Calibri"/>
                <w:color w:val="000000"/>
                <w:sz w:val="20"/>
                <w:szCs w:val="20"/>
                <w:lang w:val="en-GB" w:eastAsia="en-GB"/>
              </w:rPr>
            </w:pPr>
            <w:r w:rsidRPr="002F7F35">
              <w:rPr>
                <w:rFonts w:ascii="Calibri" w:hAnsi="Calibri" w:cs="Calibri"/>
                <w:color w:val="000000"/>
                <w:sz w:val="20"/>
                <w:szCs w:val="20"/>
                <w:lang w:val="en-GB" w:eastAsia="en-GB"/>
              </w:rPr>
              <w:t> </w:t>
            </w:r>
          </w:p>
        </w:tc>
      </w:tr>
    </w:tbl>
    <w:p w14:paraId="2078FB9B" w14:textId="77777777" w:rsidR="007539A6" w:rsidRDefault="007539A6" w:rsidP="007539A6">
      <w:pPr>
        <w:pStyle w:val="NormalWeb"/>
        <w:spacing w:before="0" w:beforeAutospacing="0" w:after="0" w:afterAutospacing="0" w:line="360" w:lineRule="auto"/>
        <w:ind w:right="77"/>
        <w:rPr>
          <w:rFonts w:ascii="Palatino Linotype" w:hAnsi="Palatino Linotype" w:cstheme="minorHAnsi"/>
          <w:sz w:val="18"/>
          <w:szCs w:val="18"/>
        </w:rPr>
      </w:pPr>
      <w:r>
        <w:rPr>
          <w:rFonts w:ascii="Palatino Linotype" w:hAnsi="Palatino Linotype" w:cstheme="minorHAnsi"/>
          <w:b/>
          <w:sz w:val="18"/>
          <w:szCs w:val="18"/>
        </w:rPr>
        <w:t>So</w:t>
      </w:r>
      <w:r w:rsidRPr="00236056">
        <w:rPr>
          <w:rFonts w:ascii="Palatino Linotype" w:hAnsi="Palatino Linotype" w:cstheme="minorHAnsi"/>
          <w:b/>
          <w:sz w:val="18"/>
          <w:szCs w:val="18"/>
        </w:rPr>
        <w:t>urce:</w:t>
      </w:r>
      <w:r>
        <w:rPr>
          <w:rFonts w:ascii="Palatino Linotype" w:hAnsi="Palatino Linotype" w:cstheme="minorHAnsi"/>
          <w:sz w:val="18"/>
          <w:szCs w:val="18"/>
        </w:rPr>
        <w:t xml:space="preserve"> </w:t>
      </w:r>
      <w:proofErr w:type="spellStart"/>
      <w:r>
        <w:rPr>
          <w:rFonts w:ascii="Palatino Linotype" w:hAnsi="Palatino Linotype" w:cstheme="minorHAnsi"/>
          <w:sz w:val="18"/>
          <w:szCs w:val="18"/>
        </w:rPr>
        <w:t>TurkStat</w:t>
      </w:r>
      <w:proofErr w:type="spellEnd"/>
      <w:r>
        <w:rPr>
          <w:rFonts w:ascii="Palatino Linotype" w:hAnsi="Palatino Linotype" w:cstheme="minorHAnsi"/>
          <w:sz w:val="18"/>
          <w:szCs w:val="18"/>
        </w:rPr>
        <w:t xml:space="preserve">, </w:t>
      </w:r>
      <w:proofErr w:type="spellStart"/>
      <w:r>
        <w:rPr>
          <w:rFonts w:ascii="Palatino Linotype" w:hAnsi="Palatino Linotype" w:cstheme="minorHAnsi"/>
          <w:sz w:val="18"/>
          <w:szCs w:val="18"/>
        </w:rPr>
        <w:t>Betam</w:t>
      </w:r>
      <w:proofErr w:type="spellEnd"/>
    </w:p>
    <w:p w14:paraId="20432D29" w14:textId="53531A90" w:rsidR="00CE7DE8" w:rsidRDefault="002F6884" w:rsidP="000D63E2">
      <w:pPr>
        <w:pStyle w:val="NormalWeb"/>
        <w:spacing w:before="0" w:beforeAutospacing="0" w:after="120" w:afterAutospacing="0" w:line="360" w:lineRule="auto"/>
        <w:ind w:right="79"/>
        <w:rPr>
          <w:rFonts w:ascii="Palatino Linotype" w:hAnsi="Palatino Linotype" w:cstheme="minorHAnsi"/>
          <w:strike/>
          <w:sz w:val="22"/>
          <w:szCs w:val="22"/>
        </w:rPr>
      </w:pPr>
      <w:r>
        <w:rPr>
          <w:rFonts w:ascii="Palatino Linotype" w:hAnsi="Palatino Linotype" w:cstheme="minorHAnsi"/>
          <w:sz w:val="18"/>
          <w:szCs w:val="18"/>
        </w:rPr>
        <w:br/>
      </w:r>
      <w:r w:rsidR="00286BE7">
        <w:rPr>
          <w:rFonts w:ascii="Palatino Linotype" w:hAnsi="Palatino Linotype" w:cstheme="minorHAnsi"/>
          <w:b/>
          <w:sz w:val="22"/>
          <w:szCs w:val="22"/>
        </w:rPr>
        <w:t>Interest rate hike affected investments</w:t>
      </w:r>
    </w:p>
    <w:p w14:paraId="75D1EC68" w14:textId="401D354A" w:rsidR="0044231D" w:rsidRDefault="00286BE7" w:rsidP="000D63E2">
      <w:pPr>
        <w:pStyle w:val="NormalWeb"/>
        <w:spacing w:before="0" w:beforeAutospacing="0" w:after="120" w:afterAutospacing="0" w:line="360" w:lineRule="auto"/>
        <w:ind w:right="79"/>
        <w:rPr>
          <w:rFonts w:ascii="Palatino Linotype" w:hAnsi="Palatino Linotype" w:cstheme="minorHAnsi"/>
          <w:sz w:val="22"/>
          <w:szCs w:val="22"/>
        </w:rPr>
      </w:pPr>
      <w:r>
        <w:rPr>
          <w:rFonts w:ascii="Palatino Linotype" w:hAnsi="Palatino Linotype" w:cstheme="minorHAnsi"/>
          <w:sz w:val="22"/>
          <w:szCs w:val="22"/>
        </w:rPr>
        <w:t xml:space="preserve">We said in the growth evaluation of the first </w:t>
      </w:r>
      <w:r w:rsidR="009E24F0">
        <w:rPr>
          <w:rFonts w:ascii="Palatino Linotype" w:hAnsi="Palatino Linotype" w:cstheme="minorHAnsi"/>
          <w:sz w:val="22"/>
          <w:szCs w:val="22"/>
        </w:rPr>
        <w:t>quarter</w:t>
      </w:r>
      <w:r>
        <w:rPr>
          <w:rFonts w:ascii="Palatino Linotype" w:hAnsi="Palatino Linotype" w:cstheme="minorHAnsi"/>
          <w:sz w:val="22"/>
          <w:szCs w:val="22"/>
        </w:rPr>
        <w:t xml:space="preserve"> that contribution to growth of investments would be negatively affected </w:t>
      </w:r>
      <w:r w:rsidR="00805287">
        <w:rPr>
          <w:rFonts w:ascii="Palatino Linotype" w:hAnsi="Palatino Linotype" w:cstheme="minorHAnsi"/>
          <w:sz w:val="22"/>
          <w:szCs w:val="22"/>
        </w:rPr>
        <w:t xml:space="preserve">along with the increase of </w:t>
      </w:r>
      <w:r w:rsidR="00815160">
        <w:rPr>
          <w:rFonts w:ascii="Palatino Linotype" w:hAnsi="Palatino Linotype" w:cstheme="minorHAnsi"/>
          <w:sz w:val="22"/>
          <w:szCs w:val="22"/>
        </w:rPr>
        <w:t>market interest</w:t>
      </w:r>
      <w:r>
        <w:rPr>
          <w:rFonts w:ascii="Palatino Linotype" w:hAnsi="Palatino Linotype" w:cstheme="minorHAnsi"/>
          <w:sz w:val="22"/>
          <w:szCs w:val="22"/>
        </w:rPr>
        <w:t xml:space="preserve"> rate</w:t>
      </w:r>
      <w:r w:rsidR="00815160">
        <w:rPr>
          <w:rFonts w:ascii="Palatino Linotype" w:hAnsi="Palatino Linotype" w:cstheme="minorHAnsi"/>
          <w:sz w:val="22"/>
          <w:szCs w:val="22"/>
        </w:rPr>
        <w:t>s</w:t>
      </w:r>
      <w:r>
        <w:rPr>
          <w:rFonts w:ascii="Palatino Linotype" w:hAnsi="Palatino Linotype" w:cstheme="minorHAnsi"/>
          <w:sz w:val="22"/>
          <w:szCs w:val="22"/>
        </w:rPr>
        <w:t>. Thus, t</w:t>
      </w:r>
      <w:r w:rsidR="00F9263F">
        <w:rPr>
          <w:rFonts w:ascii="Palatino Linotype" w:hAnsi="Palatino Linotype" w:cstheme="minorHAnsi"/>
          <w:sz w:val="22"/>
          <w:szCs w:val="22"/>
        </w:rPr>
        <w:t xml:space="preserve">he </w:t>
      </w:r>
      <w:r w:rsidR="00F9263F" w:rsidRPr="00F9263F">
        <w:rPr>
          <w:rFonts w:ascii="Palatino Linotype" w:hAnsi="Palatino Linotype" w:cstheme="minorHAnsi"/>
          <w:sz w:val="22"/>
          <w:szCs w:val="22"/>
        </w:rPr>
        <w:t>investments</w:t>
      </w:r>
      <w:r w:rsidR="008944A5">
        <w:rPr>
          <w:rFonts w:ascii="Palatino Linotype" w:hAnsi="Palatino Linotype" w:cstheme="minorHAnsi"/>
          <w:sz w:val="22"/>
          <w:szCs w:val="22"/>
        </w:rPr>
        <w:t>,</w:t>
      </w:r>
      <w:r w:rsidR="00F9263F" w:rsidRPr="00F9263F">
        <w:rPr>
          <w:rFonts w:ascii="Palatino Linotype" w:hAnsi="Palatino Linotype" w:cstheme="minorHAnsi"/>
          <w:sz w:val="22"/>
          <w:szCs w:val="22"/>
        </w:rPr>
        <w:t xml:space="preserve"> which contributed </w:t>
      </w:r>
      <w:r>
        <w:rPr>
          <w:rFonts w:ascii="Palatino Linotype" w:hAnsi="Palatino Linotype" w:cstheme="minorHAnsi"/>
          <w:sz w:val="22"/>
          <w:szCs w:val="22"/>
        </w:rPr>
        <w:t>2</w:t>
      </w:r>
      <w:r w:rsidR="00F9263F" w:rsidRPr="00F9263F">
        <w:rPr>
          <w:rFonts w:ascii="Palatino Linotype" w:hAnsi="Palatino Linotype" w:cstheme="minorHAnsi"/>
          <w:sz w:val="22"/>
          <w:szCs w:val="22"/>
        </w:rPr>
        <w:t xml:space="preserve">.8 percentage points to growth by </w:t>
      </w:r>
      <w:r w:rsidR="008944A5" w:rsidRPr="00ED631C">
        <w:rPr>
          <w:rFonts w:ascii="Palatino Linotype" w:hAnsi="Palatino Linotype" w:cstheme="minorHAnsi"/>
          <w:sz w:val="22"/>
          <w:szCs w:val="22"/>
        </w:rPr>
        <w:t xml:space="preserve">increasing </w:t>
      </w:r>
      <w:r>
        <w:rPr>
          <w:rFonts w:ascii="Palatino Linotype" w:hAnsi="Palatino Linotype" w:cstheme="minorHAnsi"/>
          <w:sz w:val="22"/>
          <w:szCs w:val="22"/>
        </w:rPr>
        <w:t>7.9</w:t>
      </w:r>
      <w:r w:rsidR="00F9263F" w:rsidRPr="00F9263F">
        <w:rPr>
          <w:rFonts w:ascii="Palatino Linotype" w:hAnsi="Palatino Linotype" w:cstheme="minorHAnsi"/>
          <w:sz w:val="22"/>
          <w:szCs w:val="22"/>
        </w:rPr>
        <w:t xml:space="preserve"> percent annually</w:t>
      </w:r>
      <w:r w:rsidR="007C5B10">
        <w:rPr>
          <w:rFonts w:ascii="Palatino Linotype" w:hAnsi="Palatino Linotype" w:cstheme="minorHAnsi"/>
          <w:sz w:val="22"/>
          <w:szCs w:val="22"/>
        </w:rPr>
        <w:t xml:space="preserve"> in the </w:t>
      </w:r>
      <w:r>
        <w:rPr>
          <w:rFonts w:ascii="Palatino Linotype" w:hAnsi="Palatino Linotype" w:cstheme="minorHAnsi"/>
          <w:sz w:val="22"/>
          <w:szCs w:val="22"/>
        </w:rPr>
        <w:t>first</w:t>
      </w:r>
      <w:r w:rsidR="007C5B10">
        <w:rPr>
          <w:rFonts w:ascii="Palatino Linotype" w:hAnsi="Palatino Linotype" w:cstheme="minorHAnsi"/>
          <w:sz w:val="22"/>
          <w:szCs w:val="22"/>
        </w:rPr>
        <w:t xml:space="preserve"> quarter of 2017</w:t>
      </w:r>
      <w:r w:rsidR="00F9263F">
        <w:rPr>
          <w:rFonts w:ascii="Palatino Linotype" w:hAnsi="Palatino Linotype" w:cstheme="minorHAnsi"/>
          <w:sz w:val="22"/>
          <w:szCs w:val="22"/>
        </w:rPr>
        <w:t xml:space="preserve">, </w:t>
      </w:r>
      <w:r w:rsidR="00F9263F" w:rsidRPr="00F9263F">
        <w:rPr>
          <w:rFonts w:ascii="Palatino Linotype" w:hAnsi="Palatino Linotype" w:cstheme="minorHAnsi"/>
          <w:sz w:val="22"/>
          <w:szCs w:val="22"/>
        </w:rPr>
        <w:t xml:space="preserve">grew by </w:t>
      </w:r>
      <w:r>
        <w:rPr>
          <w:rFonts w:ascii="Palatino Linotype" w:hAnsi="Palatino Linotype" w:cstheme="minorHAnsi"/>
          <w:sz w:val="22"/>
          <w:szCs w:val="22"/>
        </w:rPr>
        <w:t>3</w:t>
      </w:r>
      <w:r w:rsidR="00F9263F" w:rsidRPr="00F9263F">
        <w:rPr>
          <w:rFonts w:ascii="Palatino Linotype" w:hAnsi="Palatino Linotype" w:cstheme="minorHAnsi"/>
          <w:sz w:val="22"/>
          <w:szCs w:val="22"/>
        </w:rPr>
        <w:t>.</w:t>
      </w:r>
      <w:r>
        <w:rPr>
          <w:rFonts w:ascii="Palatino Linotype" w:hAnsi="Palatino Linotype" w:cstheme="minorHAnsi"/>
          <w:sz w:val="22"/>
          <w:szCs w:val="22"/>
        </w:rPr>
        <w:t>9</w:t>
      </w:r>
      <w:r w:rsidR="00F9263F" w:rsidRPr="00F9263F">
        <w:rPr>
          <w:rFonts w:ascii="Palatino Linotype" w:hAnsi="Palatino Linotype" w:cstheme="minorHAnsi"/>
          <w:sz w:val="22"/>
          <w:szCs w:val="22"/>
        </w:rPr>
        <w:t xml:space="preserve"> percent in the </w:t>
      </w:r>
      <w:r>
        <w:rPr>
          <w:rFonts w:ascii="Palatino Linotype" w:hAnsi="Palatino Linotype" w:cstheme="minorHAnsi"/>
          <w:sz w:val="22"/>
          <w:szCs w:val="22"/>
        </w:rPr>
        <w:t>second</w:t>
      </w:r>
      <w:r w:rsidR="00F9263F" w:rsidRPr="00F9263F">
        <w:rPr>
          <w:rFonts w:ascii="Palatino Linotype" w:hAnsi="Palatino Linotype" w:cstheme="minorHAnsi"/>
          <w:sz w:val="22"/>
          <w:szCs w:val="22"/>
        </w:rPr>
        <w:t xml:space="preserve"> quarter</w:t>
      </w:r>
      <w:r w:rsidR="007C5B10">
        <w:rPr>
          <w:rFonts w:ascii="Palatino Linotype" w:hAnsi="Palatino Linotype" w:cstheme="minorHAnsi"/>
          <w:sz w:val="22"/>
          <w:szCs w:val="22"/>
        </w:rPr>
        <w:t xml:space="preserve"> of 2018</w:t>
      </w:r>
      <w:r w:rsidR="008944A5">
        <w:rPr>
          <w:rFonts w:ascii="Palatino Linotype" w:hAnsi="Palatino Linotype" w:cstheme="minorHAnsi"/>
          <w:sz w:val="22"/>
          <w:szCs w:val="22"/>
        </w:rPr>
        <w:t>,</w:t>
      </w:r>
      <w:r w:rsidR="00F9263F" w:rsidRPr="00F9263F">
        <w:rPr>
          <w:rFonts w:ascii="Palatino Linotype" w:hAnsi="Palatino Linotype" w:cstheme="minorHAnsi"/>
          <w:sz w:val="22"/>
          <w:szCs w:val="22"/>
        </w:rPr>
        <w:t xml:space="preserve"> contributing </w:t>
      </w:r>
      <w:r>
        <w:rPr>
          <w:rFonts w:ascii="Palatino Linotype" w:hAnsi="Palatino Linotype" w:cstheme="minorHAnsi"/>
          <w:sz w:val="22"/>
          <w:szCs w:val="22"/>
        </w:rPr>
        <w:t>1</w:t>
      </w:r>
      <w:r w:rsidR="00F9263F" w:rsidRPr="00F9263F">
        <w:rPr>
          <w:rFonts w:ascii="Palatino Linotype" w:hAnsi="Palatino Linotype" w:cstheme="minorHAnsi"/>
          <w:sz w:val="22"/>
          <w:szCs w:val="22"/>
        </w:rPr>
        <w:t>.</w:t>
      </w:r>
      <w:r>
        <w:rPr>
          <w:rFonts w:ascii="Palatino Linotype" w:hAnsi="Palatino Linotype" w:cstheme="minorHAnsi"/>
          <w:sz w:val="22"/>
          <w:szCs w:val="22"/>
        </w:rPr>
        <w:t>2</w:t>
      </w:r>
      <w:r w:rsidR="00F9263F" w:rsidRPr="00F9263F">
        <w:rPr>
          <w:rFonts w:ascii="Palatino Linotype" w:hAnsi="Palatino Linotype" w:cstheme="minorHAnsi"/>
          <w:sz w:val="22"/>
          <w:szCs w:val="22"/>
        </w:rPr>
        <w:t xml:space="preserve"> percentage points to GDP growth</w:t>
      </w:r>
      <w:r w:rsidR="001609DE">
        <w:rPr>
          <w:rFonts w:ascii="Palatino Linotype" w:hAnsi="Palatino Linotype" w:cstheme="minorHAnsi"/>
          <w:sz w:val="22"/>
          <w:szCs w:val="22"/>
        </w:rPr>
        <w:t xml:space="preserve"> (Table 1)</w:t>
      </w:r>
      <w:r w:rsidR="007C5B10">
        <w:rPr>
          <w:rFonts w:ascii="Palatino Linotype" w:hAnsi="Palatino Linotype" w:cstheme="minorHAnsi"/>
          <w:sz w:val="22"/>
          <w:szCs w:val="22"/>
        </w:rPr>
        <w:t>.</w:t>
      </w:r>
      <w:r w:rsidR="00F9263F" w:rsidRPr="00F9263F">
        <w:rPr>
          <w:rFonts w:ascii="Palatino Linotype" w:hAnsi="Palatino Linotype" w:cstheme="minorHAnsi"/>
          <w:sz w:val="22"/>
          <w:szCs w:val="22"/>
        </w:rPr>
        <w:t xml:space="preserve"> </w:t>
      </w:r>
      <w:r>
        <w:rPr>
          <w:rFonts w:ascii="Palatino Linotype" w:hAnsi="Palatino Linotype" w:cstheme="minorHAnsi"/>
          <w:sz w:val="22"/>
          <w:szCs w:val="22"/>
        </w:rPr>
        <w:t>On the other hand, q</w:t>
      </w:r>
      <w:r w:rsidR="007C5B10" w:rsidRPr="007C5B10">
        <w:rPr>
          <w:rFonts w:ascii="Palatino Linotype" w:hAnsi="Palatino Linotype" w:cstheme="minorHAnsi"/>
          <w:sz w:val="22"/>
          <w:szCs w:val="22"/>
        </w:rPr>
        <w:t>uarter</w:t>
      </w:r>
      <w:r w:rsidR="00ED631C">
        <w:rPr>
          <w:rFonts w:ascii="Palatino Linotype" w:hAnsi="Palatino Linotype" w:cstheme="minorHAnsi"/>
          <w:sz w:val="22"/>
          <w:szCs w:val="22"/>
        </w:rPr>
        <w:t xml:space="preserve"> to quarter</w:t>
      </w:r>
      <w:r w:rsidR="007C5B10" w:rsidRPr="007C5B10">
        <w:rPr>
          <w:rFonts w:ascii="Palatino Linotype" w:hAnsi="Palatino Linotype" w:cstheme="minorHAnsi"/>
          <w:sz w:val="22"/>
          <w:szCs w:val="22"/>
        </w:rPr>
        <w:t xml:space="preserve"> data show</w:t>
      </w:r>
      <w:r>
        <w:rPr>
          <w:rFonts w:ascii="Palatino Linotype" w:hAnsi="Palatino Linotype" w:cstheme="minorHAnsi"/>
          <w:sz w:val="22"/>
          <w:szCs w:val="22"/>
        </w:rPr>
        <w:t>s that</w:t>
      </w:r>
      <w:r w:rsidR="007C5B10" w:rsidRPr="007C5B10">
        <w:rPr>
          <w:rFonts w:ascii="Palatino Linotype" w:hAnsi="Palatino Linotype" w:cstheme="minorHAnsi"/>
          <w:sz w:val="22"/>
          <w:szCs w:val="22"/>
        </w:rPr>
        <w:t xml:space="preserve"> investments</w:t>
      </w:r>
      <w:r w:rsidR="007C5B10">
        <w:rPr>
          <w:rFonts w:ascii="Palatino Linotype" w:hAnsi="Palatino Linotype" w:cstheme="minorHAnsi"/>
          <w:sz w:val="22"/>
          <w:szCs w:val="22"/>
        </w:rPr>
        <w:t xml:space="preserve"> </w:t>
      </w:r>
      <w:r>
        <w:rPr>
          <w:rFonts w:ascii="Palatino Linotype" w:hAnsi="Palatino Linotype" w:cstheme="minorHAnsi"/>
          <w:sz w:val="22"/>
          <w:szCs w:val="22"/>
        </w:rPr>
        <w:t>decreas</w:t>
      </w:r>
      <w:r w:rsidR="007C5B10" w:rsidRPr="007C5B10">
        <w:rPr>
          <w:rFonts w:ascii="Palatino Linotype" w:hAnsi="Palatino Linotype" w:cstheme="minorHAnsi"/>
          <w:sz w:val="22"/>
          <w:szCs w:val="22"/>
        </w:rPr>
        <w:t>ed</w:t>
      </w:r>
      <w:r w:rsidR="0005380F">
        <w:rPr>
          <w:rFonts w:ascii="Palatino Linotype" w:hAnsi="Palatino Linotype" w:cstheme="minorHAnsi"/>
          <w:sz w:val="22"/>
          <w:szCs w:val="22"/>
        </w:rPr>
        <w:t xml:space="preserve"> by</w:t>
      </w:r>
      <w:r w:rsidR="007C5B10" w:rsidRPr="007C5B10">
        <w:rPr>
          <w:rFonts w:ascii="Palatino Linotype" w:hAnsi="Palatino Linotype" w:cstheme="minorHAnsi"/>
          <w:sz w:val="22"/>
          <w:szCs w:val="22"/>
        </w:rPr>
        <w:t xml:space="preserve"> </w:t>
      </w:r>
      <w:r>
        <w:rPr>
          <w:rFonts w:ascii="Palatino Linotype" w:hAnsi="Palatino Linotype" w:cstheme="minorHAnsi"/>
          <w:sz w:val="22"/>
          <w:szCs w:val="22"/>
        </w:rPr>
        <w:t>1</w:t>
      </w:r>
      <w:r w:rsidR="007C5B10" w:rsidRPr="007C5B10">
        <w:rPr>
          <w:rFonts w:ascii="Palatino Linotype" w:hAnsi="Palatino Linotype" w:cstheme="minorHAnsi"/>
          <w:sz w:val="22"/>
          <w:szCs w:val="22"/>
        </w:rPr>
        <w:t>.4 percent</w:t>
      </w:r>
      <w:r>
        <w:rPr>
          <w:rFonts w:ascii="Palatino Linotype" w:hAnsi="Palatino Linotype" w:cstheme="minorHAnsi"/>
          <w:sz w:val="22"/>
          <w:szCs w:val="22"/>
        </w:rPr>
        <w:t xml:space="preserve"> and </w:t>
      </w:r>
      <w:r w:rsidR="00A20C0F">
        <w:rPr>
          <w:rFonts w:ascii="Palatino Linotype" w:hAnsi="Palatino Linotype" w:cstheme="minorHAnsi"/>
          <w:sz w:val="22"/>
          <w:szCs w:val="22"/>
        </w:rPr>
        <w:t xml:space="preserve">contributed </w:t>
      </w:r>
      <w:r>
        <w:rPr>
          <w:rFonts w:ascii="Palatino Linotype" w:hAnsi="Palatino Linotype" w:cstheme="minorHAnsi"/>
          <w:sz w:val="22"/>
          <w:szCs w:val="22"/>
        </w:rPr>
        <w:t>minus 0</w:t>
      </w:r>
      <w:r w:rsidR="007C5B10" w:rsidRPr="007C5B10">
        <w:rPr>
          <w:rFonts w:ascii="Palatino Linotype" w:hAnsi="Palatino Linotype" w:cstheme="minorHAnsi"/>
          <w:sz w:val="22"/>
          <w:szCs w:val="22"/>
        </w:rPr>
        <w:t>.</w:t>
      </w:r>
      <w:r>
        <w:rPr>
          <w:rFonts w:ascii="Palatino Linotype" w:hAnsi="Palatino Linotype" w:cstheme="minorHAnsi"/>
          <w:sz w:val="22"/>
          <w:szCs w:val="22"/>
        </w:rPr>
        <w:t>4</w:t>
      </w:r>
      <w:r w:rsidR="007C5B10" w:rsidRPr="007C5B10">
        <w:rPr>
          <w:rFonts w:ascii="Palatino Linotype" w:hAnsi="Palatino Linotype" w:cstheme="minorHAnsi"/>
          <w:sz w:val="22"/>
          <w:szCs w:val="22"/>
        </w:rPr>
        <w:t xml:space="preserve"> percentage points</w:t>
      </w:r>
      <w:r w:rsidR="00A20C0F">
        <w:rPr>
          <w:rFonts w:ascii="Palatino Linotype" w:hAnsi="Palatino Linotype" w:cstheme="minorHAnsi"/>
          <w:sz w:val="22"/>
          <w:szCs w:val="22"/>
        </w:rPr>
        <w:t xml:space="preserve"> to growth</w:t>
      </w:r>
      <w:r w:rsidR="007C5B10" w:rsidRPr="007C5B10">
        <w:rPr>
          <w:rFonts w:ascii="Palatino Linotype" w:hAnsi="Palatino Linotype" w:cstheme="minorHAnsi"/>
          <w:sz w:val="22"/>
          <w:szCs w:val="22"/>
        </w:rPr>
        <w:t xml:space="preserve"> </w:t>
      </w:r>
      <w:r w:rsidR="00A20C0F">
        <w:rPr>
          <w:rFonts w:ascii="Palatino Linotype" w:hAnsi="Palatino Linotype" w:cstheme="minorHAnsi"/>
          <w:sz w:val="22"/>
          <w:szCs w:val="22"/>
        </w:rPr>
        <w:t>(Table 2).</w:t>
      </w:r>
      <w:r w:rsidR="007C5B10">
        <w:rPr>
          <w:rFonts w:ascii="Palatino Linotype" w:hAnsi="Palatino Linotype" w:cstheme="minorHAnsi"/>
          <w:sz w:val="22"/>
          <w:szCs w:val="22"/>
        </w:rPr>
        <w:t xml:space="preserve"> </w:t>
      </w:r>
    </w:p>
    <w:p w14:paraId="5DB28D8E" w14:textId="06141B13" w:rsidR="00815160" w:rsidRPr="00815160" w:rsidRDefault="00815160" w:rsidP="000D63E2">
      <w:pPr>
        <w:pStyle w:val="NormalWeb"/>
        <w:spacing w:before="0" w:beforeAutospacing="0" w:after="120" w:afterAutospacing="0" w:line="360" w:lineRule="auto"/>
        <w:ind w:right="79"/>
        <w:rPr>
          <w:rFonts w:ascii="Palatino Linotype" w:hAnsi="Palatino Linotype" w:cstheme="minorHAnsi"/>
          <w:sz w:val="22"/>
          <w:szCs w:val="22"/>
        </w:rPr>
      </w:pPr>
      <w:r w:rsidRPr="00815160">
        <w:rPr>
          <w:rFonts w:ascii="Palatino Linotype" w:hAnsi="Palatino Linotype" w:cstheme="minorHAnsi"/>
          <w:sz w:val="22"/>
          <w:szCs w:val="22"/>
        </w:rPr>
        <w:lastRenderedPageBreak/>
        <w:t xml:space="preserve">When consumption and investment data are evaluated together, it is seen that domestic demand has started to shrink and there is a break in high economic growth trend </w:t>
      </w:r>
      <w:r w:rsidR="008944A5" w:rsidRPr="00ED631C">
        <w:rPr>
          <w:rFonts w:ascii="Palatino Linotype" w:hAnsi="Palatino Linotype" w:cstheme="minorHAnsi"/>
          <w:sz w:val="22"/>
          <w:szCs w:val="22"/>
        </w:rPr>
        <w:t xml:space="preserve">contingent </w:t>
      </w:r>
      <w:r>
        <w:rPr>
          <w:rFonts w:ascii="Palatino Linotype" w:hAnsi="Palatino Linotype" w:cstheme="minorHAnsi"/>
          <w:sz w:val="22"/>
          <w:szCs w:val="22"/>
        </w:rPr>
        <w:t xml:space="preserve">on </w:t>
      </w:r>
      <w:r w:rsidRPr="00815160">
        <w:rPr>
          <w:rFonts w:ascii="Palatino Linotype" w:hAnsi="Palatino Linotype" w:cstheme="minorHAnsi"/>
          <w:sz w:val="22"/>
          <w:szCs w:val="22"/>
        </w:rPr>
        <w:t xml:space="preserve">domestic demand. </w:t>
      </w:r>
      <w:bookmarkStart w:id="5" w:name="OLE_LINK4"/>
      <w:bookmarkStart w:id="6" w:name="OLE_LINK5"/>
      <w:r w:rsidRPr="00815160">
        <w:rPr>
          <w:rFonts w:ascii="Palatino Linotype" w:hAnsi="Palatino Linotype" w:cstheme="minorHAnsi"/>
          <w:sz w:val="22"/>
          <w:szCs w:val="22"/>
        </w:rPr>
        <w:t xml:space="preserve">It is not </w:t>
      </w:r>
      <w:proofErr w:type="gramStart"/>
      <w:r>
        <w:rPr>
          <w:rFonts w:ascii="Palatino Linotype" w:hAnsi="Palatino Linotype" w:cstheme="minorHAnsi"/>
          <w:sz w:val="22"/>
          <w:szCs w:val="22"/>
        </w:rPr>
        <w:t>a</w:t>
      </w:r>
      <w:r w:rsidR="00ED631C">
        <w:rPr>
          <w:rFonts w:ascii="Palatino Linotype" w:hAnsi="Palatino Linotype" w:cstheme="minorHAnsi"/>
          <w:sz w:val="22"/>
          <w:szCs w:val="22"/>
        </w:rPr>
        <w:t>n</w:t>
      </w:r>
      <w:proofErr w:type="gramEnd"/>
      <w:r>
        <w:rPr>
          <w:rFonts w:ascii="Palatino Linotype" w:hAnsi="Palatino Linotype" w:cstheme="minorHAnsi"/>
          <w:sz w:val="22"/>
          <w:szCs w:val="22"/>
        </w:rPr>
        <w:t xml:space="preserve"> </w:t>
      </w:r>
      <w:r w:rsidRPr="00815160">
        <w:rPr>
          <w:rFonts w:ascii="Palatino Linotype" w:hAnsi="Palatino Linotype" w:cstheme="minorHAnsi"/>
          <w:sz w:val="22"/>
          <w:szCs w:val="22"/>
        </w:rPr>
        <w:t>usual</w:t>
      </w:r>
      <w:r>
        <w:rPr>
          <w:rFonts w:ascii="Palatino Linotype" w:hAnsi="Palatino Linotype" w:cstheme="minorHAnsi"/>
          <w:sz w:val="22"/>
          <w:szCs w:val="22"/>
        </w:rPr>
        <w:t xml:space="preserve"> situation even in quarterly growth</w:t>
      </w:r>
      <w:r w:rsidRPr="00815160">
        <w:rPr>
          <w:rFonts w:ascii="Palatino Linotype" w:hAnsi="Palatino Linotype" w:cstheme="minorHAnsi"/>
          <w:sz w:val="22"/>
          <w:szCs w:val="22"/>
        </w:rPr>
        <w:t xml:space="preserve"> for </w:t>
      </w:r>
      <w:r>
        <w:rPr>
          <w:rFonts w:ascii="Palatino Linotype" w:hAnsi="Palatino Linotype" w:cstheme="minorHAnsi"/>
          <w:sz w:val="22"/>
          <w:szCs w:val="22"/>
        </w:rPr>
        <w:t>private consumption</w:t>
      </w:r>
      <w:r w:rsidRPr="00815160">
        <w:rPr>
          <w:rFonts w:ascii="Palatino Linotype" w:hAnsi="Palatino Linotype" w:cstheme="minorHAnsi"/>
          <w:sz w:val="22"/>
          <w:szCs w:val="22"/>
        </w:rPr>
        <w:t xml:space="preserve"> to make a negative contribution</w:t>
      </w:r>
      <w:r>
        <w:rPr>
          <w:rFonts w:ascii="Palatino Linotype" w:hAnsi="Palatino Linotype" w:cstheme="minorHAnsi"/>
          <w:sz w:val="22"/>
          <w:szCs w:val="22"/>
        </w:rPr>
        <w:t>.</w:t>
      </w:r>
      <w:bookmarkEnd w:id="5"/>
      <w:bookmarkEnd w:id="6"/>
      <w:r w:rsidR="001C0BE9">
        <w:rPr>
          <w:rFonts w:ascii="Palatino Linotype" w:hAnsi="Palatino Linotype" w:cstheme="minorHAnsi"/>
          <w:sz w:val="22"/>
          <w:szCs w:val="22"/>
        </w:rPr>
        <w:t xml:space="preserve"> </w:t>
      </w:r>
    </w:p>
    <w:p w14:paraId="3EE554C7" w14:textId="05EEE4AF" w:rsidR="002F6884" w:rsidRPr="007D787D" w:rsidRDefault="00F819BC" w:rsidP="002F6884">
      <w:pPr>
        <w:pStyle w:val="NormalWeb"/>
        <w:ind w:right="77"/>
        <w:jc w:val="both"/>
        <w:rPr>
          <w:rFonts w:ascii="Palatino Linotype" w:hAnsi="Palatino Linotype" w:cstheme="minorHAnsi"/>
          <w:b/>
          <w:color w:val="FF0000"/>
          <w:sz w:val="22"/>
          <w:szCs w:val="22"/>
        </w:rPr>
      </w:pPr>
      <w:r>
        <w:rPr>
          <w:rFonts w:ascii="Palatino Linotype" w:hAnsi="Palatino Linotype" w:cstheme="minorHAnsi"/>
          <w:b/>
          <w:sz w:val="22"/>
          <w:szCs w:val="22"/>
        </w:rPr>
        <w:t>Decreasing c</w:t>
      </w:r>
      <w:r w:rsidR="0042790B" w:rsidRPr="00F819BC">
        <w:rPr>
          <w:rFonts w:ascii="Palatino Linotype" w:hAnsi="Palatino Linotype" w:cstheme="minorHAnsi"/>
          <w:b/>
          <w:sz w:val="22"/>
          <w:szCs w:val="22"/>
        </w:rPr>
        <w:t xml:space="preserve">ontribution </w:t>
      </w:r>
      <w:r w:rsidR="00781312" w:rsidRPr="00F819BC">
        <w:rPr>
          <w:rFonts w:ascii="Palatino Linotype" w:hAnsi="Palatino Linotype" w:cstheme="minorHAnsi"/>
          <w:b/>
          <w:sz w:val="22"/>
          <w:szCs w:val="22"/>
        </w:rPr>
        <w:t xml:space="preserve">of </w:t>
      </w:r>
      <w:r w:rsidR="0042790B" w:rsidRPr="00F819BC">
        <w:rPr>
          <w:rFonts w:ascii="Palatino Linotype" w:hAnsi="Palatino Linotype" w:cstheme="minorHAnsi"/>
          <w:b/>
          <w:sz w:val="22"/>
          <w:szCs w:val="22"/>
        </w:rPr>
        <w:t>stock changes</w:t>
      </w:r>
      <w:r w:rsidR="00781312" w:rsidRPr="00F819BC">
        <w:rPr>
          <w:rFonts w:ascii="Palatino Linotype" w:hAnsi="Palatino Linotype" w:cstheme="minorHAnsi"/>
          <w:b/>
          <w:sz w:val="22"/>
          <w:szCs w:val="22"/>
        </w:rPr>
        <w:t xml:space="preserve"> </w:t>
      </w:r>
      <w:r w:rsidR="003461C3" w:rsidRPr="00ED631C">
        <w:rPr>
          <w:rFonts w:ascii="Palatino Linotype" w:hAnsi="Palatino Linotype" w:cstheme="minorHAnsi"/>
          <w:b/>
          <w:sz w:val="22"/>
          <w:szCs w:val="22"/>
        </w:rPr>
        <w:t xml:space="preserve">at last </w:t>
      </w:r>
      <w:r>
        <w:rPr>
          <w:rFonts w:ascii="Palatino Linotype" w:hAnsi="Palatino Linotype" w:cstheme="minorHAnsi"/>
          <w:b/>
          <w:sz w:val="22"/>
          <w:szCs w:val="22"/>
        </w:rPr>
        <w:t>turned negative</w:t>
      </w:r>
      <w:r w:rsidR="00781312" w:rsidRPr="00F819BC">
        <w:rPr>
          <w:rFonts w:ascii="Palatino Linotype" w:hAnsi="Palatino Linotype" w:cstheme="minorHAnsi"/>
          <w:b/>
          <w:sz w:val="22"/>
          <w:szCs w:val="22"/>
        </w:rPr>
        <w:t xml:space="preserve"> </w:t>
      </w:r>
      <w:r w:rsidR="00781312" w:rsidRPr="00F819BC">
        <w:rPr>
          <w:rStyle w:val="FootnoteReference"/>
          <w:rFonts w:ascii="Palatino Linotype" w:hAnsi="Palatino Linotype" w:cstheme="minorHAnsi"/>
          <w:b/>
          <w:sz w:val="22"/>
          <w:szCs w:val="22"/>
        </w:rPr>
        <w:footnoteReference w:id="4"/>
      </w:r>
    </w:p>
    <w:p w14:paraId="39E36EEF" w14:textId="404844F4" w:rsidR="00E80A0B" w:rsidRDefault="00781312" w:rsidP="008F030E">
      <w:pPr>
        <w:pStyle w:val="NormalWeb"/>
        <w:spacing w:line="360" w:lineRule="auto"/>
        <w:ind w:right="77"/>
        <w:jc w:val="both"/>
        <w:rPr>
          <w:rFonts w:ascii="Palatino Linotype" w:hAnsi="Palatino Linotype" w:cstheme="minorHAnsi"/>
          <w:sz w:val="22"/>
          <w:szCs w:val="22"/>
        </w:rPr>
      </w:pPr>
      <w:r>
        <w:rPr>
          <w:rFonts w:ascii="Palatino Linotype" w:hAnsi="Palatino Linotype" w:cstheme="minorHAnsi"/>
          <w:sz w:val="22"/>
          <w:szCs w:val="22"/>
        </w:rPr>
        <w:t>Stock changes</w:t>
      </w:r>
      <w:r w:rsidR="003B5AC1">
        <w:rPr>
          <w:rFonts w:ascii="Palatino Linotype" w:hAnsi="Palatino Linotype" w:cstheme="minorHAnsi"/>
          <w:sz w:val="22"/>
          <w:szCs w:val="22"/>
        </w:rPr>
        <w:t>,</w:t>
      </w:r>
      <w:r w:rsidR="00D76EC3">
        <w:rPr>
          <w:rFonts w:ascii="Palatino Linotype" w:hAnsi="Palatino Linotype" w:cstheme="minorHAnsi"/>
          <w:sz w:val="22"/>
          <w:szCs w:val="22"/>
        </w:rPr>
        <w:t xml:space="preserve"> </w:t>
      </w:r>
      <w:r w:rsidR="003B5AC1">
        <w:rPr>
          <w:rFonts w:ascii="Palatino Linotype" w:hAnsi="Palatino Linotype" w:cstheme="minorHAnsi"/>
          <w:sz w:val="22"/>
          <w:szCs w:val="22"/>
        </w:rPr>
        <w:t xml:space="preserve">which had </w:t>
      </w:r>
      <w:r w:rsidR="00D76EC3">
        <w:rPr>
          <w:rFonts w:ascii="Palatino Linotype" w:hAnsi="Palatino Linotype" w:cstheme="minorHAnsi"/>
          <w:sz w:val="22"/>
          <w:szCs w:val="22"/>
        </w:rPr>
        <w:t>contributed to growth</w:t>
      </w:r>
      <w:r w:rsidR="00F819BC">
        <w:rPr>
          <w:rFonts w:ascii="Palatino Linotype" w:hAnsi="Palatino Linotype" w:cstheme="minorHAnsi"/>
          <w:sz w:val="22"/>
          <w:szCs w:val="22"/>
        </w:rPr>
        <w:t xml:space="preserve"> by 3.7 percentage points</w:t>
      </w:r>
      <w:r w:rsidR="003B5AC1">
        <w:rPr>
          <w:rFonts w:ascii="Palatino Linotype" w:hAnsi="Palatino Linotype" w:cstheme="minorHAnsi"/>
          <w:sz w:val="22"/>
          <w:szCs w:val="22"/>
        </w:rPr>
        <w:t xml:space="preserve"> </w:t>
      </w:r>
      <w:r w:rsidR="00D76EC3">
        <w:rPr>
          <w:rFonts w:ascii="Palatino Linotype" w:hAnsi="Palatino Linotype" w:cstheme="minorHAnsi"/>
          <w:sz w:val="22"/>
          <w:szCs w:val="22"/>
        </w:rPr>
        <w:t>in the last quarter</w:t>
      </w:r>
      <w:r>
        <w:rPr>
          <w:rFonts w:ascii="Palatino Linotype" w:hAnsi="Palatino Linotype" w:cstheme="minorHAnsi"/>
          <w:sz w:val="22"/>
          <w:szCs w:val="22"/>
        </w:rPr>
        <w:t xml:space="preserve"> of 2017</w:t>
      </w:r>
      <w:r w:rsidR="003B5AC1">
        <w:rPr>
          <w:rFonts w:ascii="Palatino Linotype" w:hAnsi="Palatino Linotype" w:cstheme="minorHAnsi"/>
          <w:sz w:val="22"/>
          <w:szCs w:val="22"/>
        </w:rPr>
        <w:t xml:space="preserve"> and 2.7 percentage points in the first quarter of 2018,</w:t>
      </w:r>
      <w:r w:rsidR="00AB1E4F">
        <w:rPr>
          <w:rFonts w:ascii="Palatino Linotype" w:hAnsi="Palatino Linotype" w:cstheme="minorHAnsi"/>
          <w:sz w:val="22"/>
          <w:szCs w:val="22"/>
        </w:rPr>
        <w:t xml:space="preserve"> </w:t>
      </w:r>
      <w:r w:rsidR="003B5AC1">
        <w:rPr>
          <w:rFonts w:ascii="Palatino Linotype" w:hAnsi="Palatino Linotype" w:cstheme="minorHAnsi"/>
          <w:sz w:val="22"/>
          <w:szCs w:val="22"/>
        </w:rPr>
        <w:t xml:space="preserve">contributed minus 1.9 percentage points to growth in the second quarter of 2018 (Table 1). </w:t>
      </w:r>
      <w:r>
        <w:rPr>
          <w:rFonts w:ascii="Palatino Linotype" w:hAnsi="Palatino Linotype" w:cstheme="minorHAnsi"/>
          <w:sz w:val="22"/>
          <w:szCs w:val="22"/>
        </w:rPr>
        <w:t xml:space="preserve">When </w:t>
      </w:r>
      <w:r w:rsidR="00C921C9" w:rsidRPr="00ED631C">
        <w:rPr>
          <w:rFonts w:ascii="Palatino Linotype" w:hAnsi="Palatino Linotype" w:cstheme="minorHAnsi"/>
          <w:sz w:val="22"/>
          <w:szCs w:val="22"/>
        </w:rPr>
        <w:t>the</w:t>
      </w:r>
      <w:r w:rsidR="00C921C9" w:rsidRPr="00C921C9">
        <w:rPr>
          <w:rFonts w:ascii="Palatino Linotype" w:hAnsi="Palatino Linotype" w:cstheme="minorHAnsi"/>
          <w:color w:val="FF0000"/>
          <w:sz w:val="22"/>
          <w:szCs w:val="22"/>
        </w:rPr>
        <w:t xml:space="preserve"> </w:t>
      </w:r>
      <w:r>
        <w:rPr>
          <w:rFonts w:ascii="Palatino Linotype" w:hAnsi="Palatino Linotype" w:cstheme="minorHAnsi"/>
          <w:sz w:val="22"/>
          <w:szCs w:val="22"/>
        </w:rPr>
        <w:t>quarter</w:t>
      </w:r>
      <w:r w:rsidR="00ED631C">
        <w:rPr>
          <w:rFonts w:ascii="Palatino Linotype" w:hAnsi="Palatino Linotype" w:cstheme="minorHAnsi"/>
          <w:sz w:val="22"/>
          <w:szCs w:val="22"/>
        </w:rPr>
        <w:t xml:space="preserve"> to quarter</w:t>
      </w:r>
      <w:r>
        <w:rPr>
          <w:rFonts w:ascii="Palatino Linotype" w:hAnsi="Palatino Linotype" w:cstheme="minorHAnsi"/>
          <w:sz w:val="22"/>
          <w:szCs w:val="22"/>
        </w:rPr>
        <w:t xml:space="preserve"> growth</w:t>
      </w:r>
      <w:r w:rsidR="003001FA">
        <w:rPr>
          <w:rFonts w:ascii="Palatino Linotype" w:hAnsi="Palatino Linotype" w:cstheme="minorHAnsi"/>
          <w:sz w:val="22"/>
          <w:szCs w:val="22"/>
        </w:rPr>
        <w:t xml:space="preserve"> </w:t>
      </w:r>
      <w:r w:rsidR="003001FA" w:rsidRPr="00ED631C">
        <w:rPr>
          <w:rFonts w:ascii="Palatino Linotype" w:hAnsi="Palatino Linotype" w:cstheme="minorHAnsi"/>
          <w:sz w:val="22"/>
          <w:szCs w:val="22"/>
        </w:rPr>
        <w:t xml:space="preserve">is </w:t>
      </w:r>
      <w:r w:rsidR="00C921C9" w:rsidRPr="00ED631C">
        <w:rPr>
          <w:rFonts w:ascii="Palatino Linotype" w:hAnsi="Palatino Linotype" w:cstheme="minorHAnsi"/>
          <w:sz w:val="22"/>
          <w:szCs w:val="22"/>
        </w:rPr>
        <w:t>analyzed</w:t>
      </w:r>
      <w:r w:rsidRPr="00ED631C">
        <w:rPr>
          <w:rFonts w:ascii="Palatino Linotype" w:hAnsi="Palatino Linotype" w:cstheme="minorHAnsi"/>
          <w:sz w:val="22"/>
          <w:szCs w:val="22"/>
        </w:rPr>
        <w:t xml:space="preserve">, </w:t>
      </w:r>
      <w:r w:rsidR="00BF0205">
        <w:rPr>
          <w:rFonts w:ascii="Palatino Linotype" w:hAnsi="Palatino Linotype" w:cstheme="minorHAnsi"/>
          <w:sz w:val="22"/>
          <w:szCs w:val="22"/>
        </w:rPr>
        <w:t xml:space="preserve">it is seen that </w:t>
      </w:r>
      <w:r w:rsidR="00E80A0B" w:rsidRPr="007D787D">
        <w:rPr>
          <w:rFonts w:ascii="Palatino Linotype" w:hAnsi="Palatino Linotype" w:cstheme="minorHAnsi"/>
          <w:sz w:val="22"/>
          <w:szCs w:val="22"/>
        </w:rPr>
        <w:t xml:space="preserve">seasonally and calendar day adjusted </w:t>
      </w:r>
      <w:r w:rsidR="00E80A0B">
        <w:rPr>
          <w:rFonts w:ascii="Palatino Linotype" w:hAnsi="Palatino Linotype" w:cstheme="minorHAnsi"/>
          <w:sz w:val="22"/>
          <w:szCs w:val="22"/>
        </w:rPr>
        <w:t xml:space="preserve">stock changes </w:t>
      </w:r>
      <w:r w:rsidR="00EB1BBC">
        <w:rPr>
          <w:rFonts w:ascii="Palatino Linotype" w:hAnsi="Palatino Linotype" w:cstheme="minorHAnsi"/>
          <w:sz w:val="22"/>
          <w:szCs w:val="22"/>
        </w:rPr>
        <w:t xml:space="preserve">negatively contributed to growth by minus </w:t>
      </w:r>
      <w:r w:rsidR="00F819BC">
        <w:rPr>
          <w:rFonts w:ascii="Palatino Linotype" w:hAnsi="Palatino Linotype" w:cstheme="minorHAnsi"/>
          <w:sz w:val="22"/>
          <w:szCs w:val="22"/>
        </w:rPr>
        <w:t>0</w:t>
      </w:r>
      <w:r w:rsidR="00EB1BBC">
        <w:rPr>
          <w:rFonts w:ascii="Palatino Linotype" w:hAnsi="Palatino Linotype" w:cstheme="minorHAnsi"/>
          <w:sz w:val="22"/>
          <w:szCs w:val="22"/>
        </w:rPr>
        <w:t>.</w:t>
      </w:r>
      <w:r w:rsidR="00F819BC">
        <w:rPr>
          <w:rFonts w:ascii="Palatino Linotype" w:hAnsi="Palatino Linotype" w:cstheme="minorHAnsi"/>
          <w:sz w:val="22"/>
          <w:szCs w:val="22"/>
        </w:rPr>
        <w:t>4</w:t>
      </w:r>
      <w:r w:rsidR="00EB1BBC">
        <w:rPr>
          <w:rFonts w:ascii="Palatino Linotype" w:hAnsi="Palatino Linotype" w:cstheme="minorHAnsi"/>
          <w:sz w:val="22"/>
          <w:szCs w:val="22"/>
        </w:rPr>
        <w:t xml:space="preserve"> percentage points</w:t>
      </w:r>
      <w:r w:rsidR="00E80A0B">
        <w:rPr>
          <w:rFonts w:ascii="Palatino Linotype" w:hAnsi="Palatino Linotype" w:cstheme="minorHAnsi"/>
          <w:sz w:val="22"/>
          <w:szCs w:val="22"/>
        </w:rPr>
        <w:t xml:space="preserve"> </w:t>
      </w:r>
      <w:r w:rsidR="00C34FEA" w:rsidRPr="007D787D">
        <w:rPr>
          <w:rFonts w:ascii="Palatino Linotype" w:hAnsi="Palatino Linotype" w:cstheme="minorHAnsi"/>
          <w:sz w:val="22"/>
          <w:szCs w:val="22"/>
        </w:rPr>
        <w:t>(Table 2).</w:t>
      </w:r>
      <w:bookmarkStart w:id="7" w:name="_Hlk501449844"/>
    </w:p>
    <w:bookmarkEnd w:id="7"/>
    <w:p w14:paraId="5BDFCE49" w14:textId="5D6BAFB0" w:rsidR="002F6884" w:rsidRDefault="002C5BE5" w:rsidP="002F6884">
      <w:pPr>
        <w:pStyle w:val="NormalWeb"/>
        <w:ind w:right="77"/>
        <w:jc w:val="both"/>
        <w:rPr>
          <w:rFonts w:ascii="Palatino Linotype" w:hAnsi="Palatino Linotype" w:cstheme="minorHAnsi"/>
          <w:b/>
          <w:sz w:val="22"/>
          <w:szCs w:val="22"/>
        </w:rPr>
      </w:pPr>
      <w:r>
        <w:rPr>
          <w:rFonts w:ascii="Palatino Linotype" w:hAnsi="Palatino Linotype" w:cstheme="minorHAnsi"/>
          <w:b/>
          <w:sz w:val="22"/>
          <w:szCs w:val="22"/>
        </w:rPr>
        <w:t>N</w:t>
      </w:r>
      <w:r w:rsidR="00CE6742" w:rsidRPr="00CE6742">
        <w:rPr>
          <w:rFonts w:ascii="Palatino Linotype" w:hAnsi="Palatino Linotype" w:cstheme="minorHAnsi"/>
          <w:b/>
          <w:sz w:val="22"/>
          <w:szCs w:val="22"/>
        </w:rPr>
        <w:t xml:space="preserve">et foreign trade contribution </w:t>
      </w:r>
      <w:r w:rsidR="00F819BC">
        <w:rPr>
          <w:rFonts w:ascii="Palatino Linotype" w:hAnsi="Palatino Linotype" w:cstheme="minorHAnsi"/>
          <w:b/>
          <w:sz w:val="22"/>
          <w:szCs w:val="22"/>
        </w:rPr>
        <w:t>was</w:t>
      </w:r>
      <w:r>
        <w:rPr>
          <w:rFonts w:ascii="Palatino Linotype" w:hAnsi="Palatino Linotype" w:cstheme="minorHAnsi"/>
          <w:b/>
          <w:sz w:val="22"/>
          <w:szCs w:val="22"/>
        </w:rPr>
        <w:t xml:space="preserve"> </w:t>
      </w:r>
      <w:r w:rsidR="00F819BC">
        <w:rPr>
          <w:rFonts w:ascii="Palatino Linotype" w:hAnsi="Palatino Linotype" w:cstheme="minorHAnsi"/>
          <w:b/>
          <w:sz w:val="22"/>
          <w:szCs w:val="22"/>
        </w:rPr>
        <w:t>positive</w:t>
      </w:r>
    </w:p>
    <w:p w14:paraId="3B2D40D1" w14:textId="3ACA9918" w:rsidR="00C745E7" w:rsidRDefault="00C81655" w:rsidP="00C745E7">
      <w:pPr>
        <w:pStyle w:val="NormalWeb"/>
        <w:spacing w:line="360" w:lineRule="auto"/>
        <w:ind w:right="77"/>
        <w:jc w:val="both"/>
        <w:rPr>
          <w:rFonts w:ascii="Palatino Linotype" w:hAnsi="Palatino Linotype" w:cstheme="minorHAnsi"/>
          <w:sz w:val="22"/>
          <w:szCs w:val="22"/>
        </w:rPr>
      </w:pPr>
      <w:r w:rsidRPr="00A714E7">
        <w:rPr>
          <w:rFonts w:ascii="Palatino Linotype" w:hAnsi="Palatino Linotype" w:cstheme="minorHAnsi"/>
          <w:sz w:val="22"/>
          <w:szCs w:val="22"/>
        </w:rPr>
        <w:t xml:space="preserve">Exports </w:t>
      </w:r>
      <w:r w:rsidR="00745B7D">
        <w:rPr>
          <w:rFonts w:ascii="Palatino Linotype" w:hAnsi="Palatino Linotype" w:cstheme="minorHAnsi"/>
          <w:sz w:val="22"/>
          <w:szCs w:val="22"/>
        </w:rPr>
        <w:t xml:space="preserve">had increased by 0.7 percent and </w:t>
      </w:r>
      <w:r w:rsidRPr="00A714E7">
        <w:rPr>
          <w:rFonts w:ascii="Palatino Linotype" w:hAnsi="Palatino Linotype" w:cstheme="minorHAnsi"/>
          <w:sz w:val="22"/>
          <w:szCs w:val="22"/>
        </w:rPr>
        <w:t xml:space="preserve">imports </w:t>
      </w:r>
      <w:r w:rsidR="00745B7D">
        <w:rPr>
          <w:rFonts w:ascii="Palatino Linotype" w:hAnsi="Palatino Linotype" w:cstheme="minorHAnsi"/>
          <w:sz w:val="22"/>
          <w:szCs w:val="22"/>
        </w:rPr>
        <w:t xml:space="preserve">by 15.4 percent in the first quarter of 2018. Figures in the second quarter of 2018 </w:t>
      </w:r>
      <w:r w:rsidR="00A714E7">
        <w:rPr>
          <w:rFonts w:ascii="Palatino Linotype" w:hAnsi="Palatino Linotype" w:cstheme="minorHAnsi"/>
          <w:sz w:val="22"/>
          <w:szCs w:val="22"/>
        </w:rPr>
        <w:t>evidence</w:t>
      </w:r>
      <w:r>
        <w:rPr>
          <w:rFonts w:ascii="Palatino Linotype" w:hAnsi="Palatino Linotype" w:cstheme="minorHAnsi"/>
          <w:color w:val="FF0000"/>
          <w:sz w:val="22"/>
          <w:szCs w:val="22"/>
        </w:rPr>
        <w:t xml:space="preserve"> </w:t>
      </w:r>
      <w:r w:rsidR="00745B7D">
        <w:rPr>
          <w:rFonts w:ascii="Palatino Linotype" w:hAnsi="Palatino Linotype" w:cstheme="minorHAnsi"/>
          <w:sz w:val="22"/>
          <w:szCs w:val="22"/>
        </w:rPr>
        <w:t xml:space="preserve">that, increase in </w:t>
      </w:r>
      <w:r w:rsidRPr="00A714E7">
        <w:rPr>
          <w:rFonts w:ascii="Palatino Linotype" w:hAnsi="Palatino Linotype" w:cstheme="minorHAnsi"/>
          <w:sz w:val="22"/>
          <w:szCs w:val="22"/>
        </w:rPr>
        <w:t>exports</w:t>
      </w:r>
      <w:r>
        <w:rPr>
          <w:rFonts w:ascii="Palatino Linotype" w:hAnsi="Palatino Linotype" w:cstheme="minorHAnsi"/>
          <w:color w:val="FF0000"/>
          <w:sz w:val="22"/>
          <w:szCs w:val="22"/>
        </w:rPr>
        <w:t xml:space="preserve"> </w:t>
      </w:r>
      <w:r w:rsidR="00745B7D">
        <w:rPr>
          <w:rFonts w:ascii="Palatino Linotype" w:hAnsi="Palatino Linotype" w:cstheme="minorHAnsi"/>
          <w:sz w:val="22"/>
          <w:szCs w:val="22"/>
        </w:rPr>
        <w:t xml:space="preserve">reached </w:t>
      </w:r>
      <w:r w:rsidR="00745B7D" w:rsidRPr="00C81655">
        <w:rPr>
          <w:rFonts w:ascii="Palatino Linotype" w:hAnsi="Palatino Linotype" w:cstheme="minorHAnsi"/>
          <w:strike/>
          <w:sz w:val="22"/>
          <w:szCs w:val="22"/>
        </w:rPr>
        <w:t>to</w:t>
      </w:r>
      <w:r w:rsidR="00745B7D">
        <w:rPr>
          <w:rFonts w:ascii="Palatino Linotype" w:hAnsi="Palatino Linotype" w:cstheme="minorHAnsi"/>
          <w:sz w:val="22"/>
          <w:szCs w:val="22"/>
        </w:rPr>
        <w:t xml:space="preserve"> 4.5 percent and increase in </w:t>
      </w:r>
      <w:r w:rsidR="003461C3" w:rsidRPr="00A714E7">
        <w:rPr>
          <w:rFonts w:ascii="Palatino Linotype" w:hAnsi="Palatino Linotype" w:cstheme="minorHAnsi"/>
          <w:sz w:val="22"/>
          <w:szCs w:val="22"/>
        </w:rPr>
        <w:t xml:space="preserve">imports decelerated </w:t>
      </w:r>
      <w:r w:rsidR="00745B7D">
        <w:rPr>
          <w:rFonts w:ascii="Palatino Linotype" w:hAnsi="Palatino Linotype" w:cstheme="minorHAnsi"/>
          <w:sz w:val="22"/>
          <w:szCs w:val="22"/>
        </w:rPr>
        <w:t xml:space="preserve">to 0.3 percent. </w:t>
      </w:r>
      <w:r w:rsidR="00745B7D" w:rsidRPr="00745B7D">
        <w:rPr>
          <w:rFonts w:ascii="Palatino Linotype" w:hAnsi="Palatino Linotype" w:cstheme="minorHAnsi"/>
          <w:sz w:val="22"/>
          <w:szCs w:val="22"/>
        </w:rPr>
        <w:t xml:space="preserve">This brake </w:t>
      </w:r>
      <w:r w:rsidR="00745B7D">
        <w:rPr>
          <w:rFonts w:ascii="Palatino Linotype" w:hAnsi="Palatino Linotype" w:cstheme="minorHAnsi"/>
          <w:sz w:val="22"/>
          <w:szCs w:val="22"/>
        </w:rPr>
        <w:t>may</w:t>
      </w:r>
      <w:r w:rsidR="00745B7D" w:rsidRPr="00745B7D">
        <w:rPr>
          <w:rFonts w:ascii="Palatino Linotype" w:hAnsi="Palatino Linotype" w:cstheme="minorHAnsi"/>
          <w:sz w:val="22"/>
          <w:szCs w:val="22"/>
        </w:rPr>
        <w:t xml:space="preserve"> be considered as another indicator of the change of direction in the economic conjuncture.</w:t>
      </w:r>
      <w:r w:rsidR="00745B7D">
        <w:rPr>
          <w:rFonts w:ascii="Palatino Linotype" w:hAnsi="Palatino Linotype" w:cstheme="minorHAnsi"/>
          <w:sz w:val="22"/>
          <w:szCs w:val="22"/>
        </w:rPr>
        <w:t xml:space="preserve"> These changes in </w:t>
      </w:r>
      <w:r w:rsidRPr="00A714E7">
        <w:rPr>
          <w:rFonts w:ascii="Palatino Linotype" w:hAnsi="Palatino Linotype" w:cstheme="minorHAnsi"/>
          <w:sz w:val="22"/>
          <w:szCs w:val="22"/>
        </w:rPr>
        <w:t xml:space="preserve">imports </w:t>
      </w:r>
      <w:r w:rsidR="00745B7D">
        <w:rPr>
          <w:rFonts w:ascii="Palatino Linotype" w:hAnsi="Palatino Linotype" w:cstheme="minorHAnsi"/>
          <w:sz w:val="22"/>
          <w:szCs w:val="22"/>
        </w:rPr>
        <w:t xml:space="preserve">and </w:t>
      </w:r>
      <w:r w:rsidRPr="00A714E7">
        <w:rPr>
          <w:rFonts w:ascii="Palatino Linotype" w:hAnsi="Palatino Linotype" w:cstheme="minorHAnsi"/>
          <w:sz w:val="22"/>
          <w:szCs w:val="22"/>
        </w:rPr>
        <w:t>exports</w:t>
      </w:r>
      <w:r>
        <w:rPr>
          <w:rFonts w:ascii="Palatino Linotype" w:hAnsi="Palatino Linotype" w:cstheme="minorHAnsi"/>
          <w:color w:val="FF0000"/>
          <w:sz w:val="22"/>
          <w:szCs w:val="22"/>
        </w:rPr>
        <w:t xml:space="preserve"> </w:t>
      </w:r>
      <w:r w:rsidR="00745B7D">
        <w:rPr>
          <w:rFonts w:ascii="Palatino Linotype" w:hAnsi="Palatino Linotype" w:cstheme="minorHAnsi"/>
          <w:sz w:val="22"/>
          <w:szCs w:val="22"/>
        </w:rPr>
        <w:t xml:space="preserve">affected contribution to growth positively. </w:t>
      </w:r>
      <w:r w:rsidR="00A714E7">
        <w:rPr>
          <w:rFonts w:ascii="Palatino Linotype" w:hAnsi="Palatino Linotype" w:cstheme="minorHAnsi"/>
          <w:sz w:val="22"/>
          <w:szCs w:val="22"/>
        </w:rPr>
        <w:t>While c</w:t>
      </w:r>
      <w:r w:rsidR="005828CE">
        <w:rPr>
          <w:rFonts w:ascii="Palatino Linotype" w:hAnsi="Palatino Linotype" w:cstheme="minorHAnsi"/>
          <w:sz w:val="22"/>
          <w:szCs w:val="22"/>
        </w:rPr>
        <w:t>ontribution</w:t>
      </w:r>
      <w:r w:rsidR="00A714E7">
        <w:rPr>
          <w:rFonts w:ascii="Palatino Linotype" w:hAnsi="Palatino Linotype" w:cstheme="minorHAnsi"/>
          <w:sz w:val="22"/>
          <w:szCs w:val="22"/>
        </w:rPr>
        <w:t>s</w:t>
      </w:r>
      <w:r w:rsidR="005828CE">
        <w:rPr>
          <w:rFonts w:ascii="Palatino Linotype" w:hAnsi="Palatino Linotype" w:cstheme="minorHAnsi"/>
          <w:sz w:val="22"/>
          <w:szCs w:val="22"/>
        </w:rPr>
        <w:t xml:space="preserve"> of net foreign trade</w:t>
      </w:r>
      <w:r w:rsidR="00B45BD0">
        <w:rPr>
          <w:rFonts w:ascii="Palatino Linotype" w:hAnsi="Palatino Linotype" w:cstheme="minorHAnsi"/>
          <w:sz w:val="22"/>
          <w:szCs w:val="22"/>
        </w:rPr>
        <w:t xml:space="preserve"> w</w:t>
      </w:r>
      <w:r w:rsidR="00A714E7">
        <w:rPr>
          <w:rFonts w:ascii="Palatino Linotype" w:hAnsi="Palatino Linotype" w:cstheme="minorHAnsi"/>
          <w:sz w:val="22"/>
          <w:szCs w:val="22"/>
        </w:rPr>
        <w:t>ere</w:t>
      </w:r>
      <w:r w:rsidR="00B45BD0">
        <w:rPr>
          <w:rFonts w:ascii="Palatino Linotype" w:hAnsi="Palatino Linotype" w:cstheme="minorHAnsi"/>
          <w:sz w:val="22"/>
          <w:szCs w:val="22"/>
        </w:rPr>
        <w:t xml:space="preserve"> minus 3.4 percentage points </w:t>
      </w:r>
      <w:r w:rsidR="005828CE">
        <w:rPr>
          <w:rFonts w:ascii="Palatino Linotype" w:hAnsi="Palatino Linotype" w:cstheme="minorHAnsi"/>
          <w:sz w:val="22"/>
          <w:szCs w:val="22"/>
        </w:rPr>
        <w:t xml:space="preserve">in the </w:t>
      </w:r>
      <w:r w:rsidR="003E4D3E">
        <w:rPr>
          <w:rFonts w:ascii="Palatino Linotype" w:hAnsi="Palatino Linotype" w:cstheme="minorHAnsi"/>
          <w:sz w:val="22"/>
          <w:szCs w:val="22"/>
        </w:rPr>
        <w:t>last</w:t>
      </w:r>
      <w:r w:rsidR="00745B7D">
        <w:rPr>
          <w:rFonts w:ascii="Palatino Linotype" w:hAnsi="Palatino Linotype" w:cstheme="minorHAnsi"/>
          <w:sz w:val="22"/>
          <w:szCs w:val="22"/>
        </w:rPr>
        <w:t xml:space="preserve"> quarter of 2017</w:t>
      </w:r>
      <w:r w:rsidR="00B45BD0">
        <w:rPr>
          <w:rFonts w:ascii="Palatino Linotype" w:hAnsi="Palatino Linotype" w:cstheme="minorHAnsi"/>
          <w:sz w:val="22"/>
          <w:szCs w:val="22"/>
        </w:rPr>
        <w:t xml:space="preserve"> and minus 4.1 percentage points in the first quarter of 2018</w:t>
      </w:r>
      <w:r w:rsidR="00A714E7">
        <w:rPr>
          <w:rFonts w:ascii="Palatino Linotype" w:hAnsi="Palatino Linotype" w:cstheme="minorHAnsi"/>
          <w:sz w:val="22"/>
          <w:szCs w:val="22"/>
        </w:rPr>
        <w:t>, the</w:t>
      </w:r>
      <w:r w:rsidR="005828CE">
        <w:rPr>
          <w:rFonts w:ascii="Palatino Linotype" w:hAnsi="Palatino Linotype" w:cstheme="minorHAnsi"/>
          <w:sz w:val="22"/>
          <w:szCs w:val="22"/>
        </w:rPr>
        <w:t xml:space="preserve"> </w:t>
      </w:r>
      <w:r w:rsidR="00A714E7">
        <w:rPr>
          <w:rFonts w:ascii="Palatino Linotype" w:hAnsi="Palatino Linotype" w:cstheme="minorHAnsi"/>
          <w:sz w:val="22"/>
          <w:szCs w:val="22"/>
        </w:rPr>
        <w:t>c</w:t>
      </w:r>
      <w:r w:rsidR="00787DD7">
        <w:rPr>
          <w:rFonts w:ascii="Palatino Linotype" w:hAnsi="Palatino Linotype" w:cstheme="minorHAnsi"/>
          <w:sz w:val="22"/>
          <w:szCs w:val="22"/>
        </w:rPr>
        <w:t xml:space="preserve">ontribution was 1.1 percentage points in the second quarter of 2018 </w:t>
      </w:r>
      <w:r w:rsidR="00C745E7" w:rsidRPr="00787DD7">
        <w:rPr>
          <w:rFonts w:ascii="Palatino Linotype" w:hAnsi="Palatino Linotype" w:cstheme="minorHAnsi"/>
          <w:sz w:val="22"/>
          <w:szCs w:val="22"/>
        </w:rPr>
        <w:t>(Table 1).</w:t>
      </w:r>
      <w:r w:rsidR="00C745E7">
        <w:rPr>
          <w:rFonts w:ascii="Palatino Linotype" w:hAnsi="Palatino Linotype" w:cstheme="minorHAnsi"/>
          <w:sz w:val="22"/>
          <w:szCs w:val="22"/>
        </w:rPr>
        <w:t xml:space="preserve"> </w:t>
      </w:r>
      <w:r w:rsidR="00AB1E4F">
        <w:rPr>
          <w:rFonts w:ascii="Palatino Linotype" w:hAnsi="Palatino Linotype" w:cstheme="minorHAnsi"/>
          <w:sz w:val="22"/>
          <w:szCs w:val="22"/>
        </w:rPr>
        <w:t>Using</w:t>
      </w:r>
      <w:r w:rsidR="00C745E7">
        <w:rPr>
          <w:rFonts w:ascii="Palatino Linotype" w:hAnsi="Palatino Linotype" w:cstheme="minorHAnsi"/>
          <w:sz w:val="22"/>
          <w:szCs w:val="22"/>
        </w:rPr>
        <w:t xml:space="preserve"> </w:t>
      </w:r>
      <w:r w:rsidR="00C745E7" w:rsidRPr="007D787D">
        <w:rPr>
          <w:rFonts w:ascii="Palatino Linotype" w:hAnsi="Palatino Linotype" w:cstheme="minorHAnsi"/>
          <w:sz w:val="22"/>
          <w:szCs w:val="22"/>
        </w:rPr>
        <w:t xml:space="preserve">seasonally and calendar day adjusted </w:t>
      </w:r>
      <w:r w:rsidR="00AB1E4F">
        <w:rPr>
          <w:rFonts w:ascii="Palatino Linotype" w:hAnsi="Palatino Linotype" w:cstheme="minorHAnsi"/>
          <w:sz w:val="22"/>
          <w:szCs w:val="22"/>
        </w:rPr>
        <w:t>data</w:t>
      </w:r>
      <w:r w:rsidR="00C745E7">
        <w:rPr>
          <w:rFonts w:ascii="Palatino Linotype" w:hAnsi="Palatino Linotype" w:cstheme="minorHAnsi"/>
          <w:sz w:val="22"/>
          <w:szCs w:val="22"/>
        </w:rPr>
        <w:t>,</w:t>
      </w:r>
      <w:r w:rsidR="00C745E7" w:rsidRPr="00C745E7">
        <w:rPr>
          <w:rFonts w:ascii="Palatino Linotype" w:hAnsi="Palatino Linotype" w:cstheme="minorHAnsi"/>
          <w:sz w:val="22"/>
          <w:szCs w:val="22"/>
        </w:rPr>
        <w:t xml:space="preserve"> </w:t>
      </w:r>
      <w:r w:rsidR="00C745E7">
        <w:rPr>
          <w:rFonts w:ascii="Palatino Linotype" w:hAnsi="Palatino Linotype" w:cstheme="minorHAnsi"/>
          <w:sz w:val="22"/>
          <w:szCs w:val="22"/>
        </w:rPr>
        <w:t>w</w:t>
      </w:r>
      <w:r w:rsidR="00C745E7" w:rsidRPr="00C745E7">
        <w:rPr>
          <w:rFonts w:ascii="Palatino Linotype" w:hAnsi="Palatino Linotype" w:cstheme="minorHAnsi"/>
          <w:sz w:val="22"/>
          <w:szCs w:val="22"/>
        </w:rPr>
        <w:t xml:space="preserve">e observe </w:t>
      </w:r>
      <w:r w:rsidR="00630CA0">
        <w:rPr>
          <w:rFonts w:ascii="Palatino Linotype" w:hAnsi="Palatino Linotype" w:cstheme="minorHAnsi"/>
          <w:sz w:val="22"/>
          <w:szCs w:val="22"/>
        </w:rPr>
        <w:t xml:space="preserve">that </w:t>
      </w:r>
      <w:r w:rsidR="00C547AE">
        <w:rPr>
          <w:rFonts w:ascii="Palatino Linotype" w:hAnsi="Palatino Linotype" w:cstheme="minorHAnsi"/>
          <w:sz w:val="22"/>
          <w:szCs w:val="22"/>
        </w:rPr>
        <w:t xml:space="preserve">on quarterly basis </w:t>
      </w:r>
      <w:r w:rsidR="00630CA0">
        <w:rPr>
          <w:rFonts w:ascii="Palatino Linotype" w:hAnsi="Palatino Linotype" w:cstheme="minorHAnsi"/>
          <w:sz w:val="22"/>
          <w:szCs w:val="22"/>
        </w:rPr>
        <w:t>contribution of e</w:t>
      </w:r>
      <w:r w:rsidR="00C745E7" w:rsidRPr="00C745E7">
        <w:rPr>
          <w:rFonts w:ascii="Palatino Linotype" w:hAnsi="Palatino Linotype" w:cstheme="minorHAnsi"/>
          <w:sz w:val="22"/>
          <w:szCs w:val="22"/>
        </w:rPr>
        <w:t xml:space="preserve">xports </w:t>
      </w:r>
      <w:r w:rsidR="004D27CD">
        <w:rPr>
          <w:rFonts w:ascii="Palatino Linotype" w:hAnsi="Palatino Linotype" w:cstheme="minorHAnsi"/>
          <w:sz w:val="22"/>
          <w:szCs w:val="22"/>
        </w:rPr>
        <w:t>increased</w:t>
      </w:r>
      <w:r w:rsidR="00630CA0">
        <w:rPr>
          <w:rFonts w:ascii="Palatino Linotype" w:hAnsi="Palatino Linotype" w:cstheme="minorHAnsi"/>
          <w:sz w:val="22"/>
          <w:szCs w:val="22"/>
        </w:rPr>
        <w:t xml:space="preserve"> </w:t>
      </w:r>
      <w:r w:rsidR="00C745E7" w:rsidRPr="00C745E7">
        <w:rPr>
          <w:rFonts w:ascii="Palatino Linotype" w:hAnsi="Palatino Linotype" w:cstheme="minorHAnsi"/>
          <w:sz w:val="22"/>
          <w:szCs w:val="22"/>
        </w:rPr>
        <w:t xml:space="preserve">and </w:t>
      </w:r>
      <w:r w:rsidR="003461C3" w:rsidRPr="00C547AE">
        <w:rPr>
          <w:rFonts w:ascii="Palatino Linotype" w:hAnsi="Palatino Linotype" w:cstheme="minorHAnsi"/>
          <w:sz w:val="22"/>
          <w:szCs w:val="22"/>
        </w:rPr>
        <w:t xml:space="preserve">that </w:t>
      </w:r>
      <w:r w:rsidR="00630CA0">
        <w:rPr>
          <w:rFonts w:ascii="Palatino Linotype" w:hAnsi="Palatino Linotype" w:cstheme="minorHAnsi"/>
          <w:sz w:val="22"/>
          <w:szCs w:val="22"/>
        </w:rPr>
        <w:t xml:space="preserve">of </w:t>
      </w:r>
      <w:r w:rsidR="00C745E7" w:rsidRPr="00C745E7">
        <w:rPr>
          <w:rFonts w:ascii="Palatino Linotype" w:hAnsi="Palatino Linotype" w:cstheme="minorHAnsi"/>
          <w:sz w:val="22"/>
          <w:szCs w:val="22"/>
        </w:rPr>
        <w:t xml:space="preserve">imports </w:t>
      </w:r>
      <w:r w:rsidR="004D27CD">
        <w:rPr>
          <w:rFonts w:ascii="Palatino Linotype" w:hAnsi="Palatino Linotype" w:cstheme="minorHAnsi"/>
          <w:sz w:val="22"/>
          <w:szCs w:val="22"/>
        </w:rPr>
        <w:t>decreased. As a result, contribution of net foreign trade increased from 1.4 percentage points to 2 percentage points</w:t>
      </w:r>
      <w:r w:rsidR="00630CA0">
        <w:rPr>
          <w:rFonts w:ascii="Palatino Linotype" w:hAnsi="Palatino Linotype" w:cstheme="minorHAnsi"/>
          <w:sz w:val="22"/>
          <w:szCs w:val="22"/>
        </w:rPr>
        <w:t xml:space="preserve"> (Table 2). </w:t>
      </w:r>
    </w:p>
    <w:p w14:paraId="14D66F5A" w14:textId="23FC29B4" w:rsidR="002F6884" w:rsidRPr="007D787D" w:rsidRDefault="00D4207F" w:rsidP="00C745E7">
      <w:pPr>
        <w:pStyle w:val="NormalWeb"/>
        <w:spacing w:line="360" w:lineRule="auto"/>
        <w:ind w:right="77"/>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C</w:t>
      </w:r>
      <w:r w:rsidR="00317618" w:rsidRPr="007D787D">
        <w:rPr>
          <w:rFonts w:ascii="Palatino Linotype" w:hAnsi="Palatino Linotype" w:cstheme="minorHAnsi"/>
          <w:b/>
          <w:bCs/>
          <w:sz w:val="22"/>
          <w:szCs w:val="22"/>
        </w:rPr>
        <w:t xml:space="preserve">ontribution of public spending </w:t>
      </w:r>
      <w:r>
        <w:rPr>
          <w:rFonts w:ascii="Palatino Linotype" w:hAnsi="Palatino Linotype" w:cstheme="minorHAnsi"/>
          <w:b/>
          <w:bCs/>
          <w:sz w:val="22"/>
          <w:szCs w:val="22"/>
        </w:rPr>
        <w:t xml:space="preserve">has </w:t>
      </w:r>
      <w:r w:rsidR="00794982">
        <w:rPr>
          <w:rFonts w:ascii="Palatino Linotype" w:hAnsi="Palatino Linotype" w:cstheme="minorHAnsi"/>
          <w:b/>
          <w:bCs/>
          <w:sz w:val="22"/>
          <w:szCs w:val="22"/>
        </w:rPr>
        <w:t>decre</w:t>
      </w:r>
      <w:r>
        <w:rPr>
          <w:rFonts w:ascii="Palatino Linotype" w:hAnsi="Palatino Linotype" w:cstheme="minorHAnsi"/>
          <w:b/>
          <w:bCs/>
          <w:sz w:val="22"/>
          <w:szCs w:val="22"/>
        </w:rPr>
        <w:t>ased</w:t>
      </w:r>
    </w:p>
    <w:p w14:paraId="1569360D" w14:textId="24D5A820" w:rsidR="00317618" w:rsidRPr="007D787D" w:rsidRDefault="00DF0532" w:rsidP="002F6884">
      <w:pPr>
        <w:pStyle w:val="NormalWeb"/>
        <w:spacing w:line="360" w:lineRule="auto"/>
        <w:ind w:right="77"/>
        <w:jc w:val="both"/>
        <w:rPr>
          <w:rFonts w:ascii="Palatino Linotype" w:hAnsi="Palatino Linotype" w:cstheme="minorHAnsi"/>
          <w:sz w:val="22"/>
          <w:szCs w:val="22"/>
        </w:rPr>
      </w:pPr>
      <w:r>
        <w:rPr>
          <w:rFonts w:ascii="Palatino Linotype" w:hAnsi="Palatino Linotype" w:cstheme="minorHAnsi"/>
          <w:sz w:val="22"/>
          <w:szCs w:val="22"/>
        </w:rPr>
        <w:t>T</w:t>
      </w:r>
      <w:r w:rsidR="009D7A7A">
        <w:rPr>
          <w:rFonts w:ascii="Palatino Linotype" w:hAnsi="Palatino Linotype" w:cstheme="minorHAnsi"/>
          <w:sz w:val="22"/>
          <w:szCs w:val="22"/>
        </w:rPr>
        <w:t xml:space="preserve">he </w:t>
      </w:r>
      <w:r w:rsidRPr="00C63F01">
        <w:rPr>
          <w:rFonts w:ascii="Palatino Linotype" w:hAnsi="Palatino Linotype" w:cstheme="minorHAnsi"/>
          <w:sz w:val="22"/>
          <w:szCs w:val="22"/>
        </w:rPr>
        <w:t xml:space="preserve">final consumption expenditure of the government </w:t>
      </w:r>
      <w:r>
        <w:rPr>
          <w:rFonts w:ascii="Palatino Linotype" w:hAnsi="Palatino Linotype" w:cstheme="minorHAnsi"/>
          <w:sz w:val="22"/>
          <w:szCs w:val="22"/>
        </w:rPr>
        <w:t>that was on an increasing trend since the last quarter of 2017 reached 7.2 in the secon</w:t>
      </w:r>
      <w:r w:rsidR="00D16B42">
        <w:rPr>
          <w:rFonts w:ascii="Palatino Linotype" w:hAnsi="Palatino Linotype" w:cstheme="minorHAnsi"/>
          <w:sz w:val="22"/>
          <w:szCs w:val="22"/>
        </w:rPr>
        <w:t xml:space="preserve">d </w:t>
      </w:r>
      <w:r>
        <w:rPr>
          <w:rFonts w:ascii="Palatino Linotype" w:hAnsi="Palatino Linotype" w:cstheme="minorHAnsi"/>
          <w:sz w:val="22"/>
          <w:szCs w:val="22"/>
        </w:rPr>
        <w:t>quarter on yearly basis making a contribution of 0.7 percentage points to GDP growth of 5.2 percent, rather exceptional for this item.  However, w</w:t>
      </w:r>
      <w:r w:rsidR="009D2969">
        <w:rPr>
          <w:rFonts w:ascii="Palatino Linotype" w:hAnsi="Palatino Linotype" w:cstheme="minorHAnsi"/>
          <w:sz w:val="22"/>
          <w:szCs w:val="22"/>
        </w:rPr>
        <w:t xml:space="preserve">hen we </w:t>
      </w:r>
      <w:r w:rsidR="00BE3FAD" w:rsidRPr="00DF0532">
        <w:rPr>
          <w:rFonts w:ascii="Palatino Linotype" w:hAnsi="Palatino Linotype" w:cstheme="minorHAnsi"/>
          <w:sz w:val="22"/>
          <w:szCs w:val="22"/>
        </w:rPr>
        <w:t xml:space="preserve">appraise </w:t>
      </w:r>
      <w:r w:rsidR="009D2969">
        <w:rPr>
          <w:rFonts w:ascii="Palatino Linotype" w:hAnsi="Palatino Linotype" w:cstheme="minorHAnsi"/>
          <w:sz w:val="22"/>
          <w:szCs w:val="22"/>
        </w:rPr>
        <w:t>quarterly growth,</w:t>
      </w:r>
      <w:r w:rsidR="009D2969" w:rsidRPr="00C63F01">
        <w:rPr>
          <w:rFonts w:ascii="Palatino Linotype" w:hAnsi="Palatino Linotype" w:cstheme="minorHAnsi"/>
          <w:sz w:val="22"/>
          <w:szCs w:val="22"/>
        </w:rPr>
        <w:t xml:space="preserve"> </w:t>
      </w:r>
      <w:r w:rsidR="00BE3FAD" w:rsidRPr="00063A3F">
        <w:rPr>
          <w:rFonts w:ascii="Palatino Linotype" w:hAnsi="Palatino Linotype" w:cstheme="minorHAnsi"/>
          <w:sz w:val="22"/>
          <w:szCs w:val="22"/>
        </w:rPr>
        <w:t xml:space="preserve">we observe that </w:t>
      </w:r>
      <w:r w:rsidR="009D2969">
        <w:rPr>
          <w:rFonts w:ascii="Palatino Linotype" w:hAnsi="Palatino Linotype" w:cstheme="minorHAnsi"/>
          <w:sz w:val="22"/>
          <w:szCs w:val="22"/>
        </w:rPr>
        <w:t>t</w:t>
      </w:r>
      <w:r w:rsidR="00C63F01" w:rsidRPr="00C63F01">
        <w:rPr>
          <w:rFonts w:ascii="Palatino Linotype" w:hAnsi="Palatino Linotype" w:cstheme="minorHAnsi"/>
          <w:sz w:val="22"/>
          <w:szCs w:val="22"/>
        </w:rPr>
        <w:t>he final consumption expenditures of the government</w:t>
      </w:r>
      <w:r w:rsidR="009D2969">
        <w:rPr>
          <w:rFonts w:ascii="Palatino Linotype" w:hAnsi="Palatino Linotype" w:cstheme="minorHAnsi"/>
          <w:sz w:val="22"/>
          <w:szCs w:val="22"/>
        </w:rPr>
        <w:t xml:space="preserve"> </w:t>
      </w:r>
      <w:r w:rsidR="00063A3F">
        <w:rPr>
          <w:rFonts w:ascii="Palatino Linotype" w:hAnsi="Palatino Linotype" w:cstheme="minorHAnsi"/>
          <w:sz w:val="22"/>
          <w:szCs w:val="22"/>
        </w:rPr>
        <w:t xml:space="preserve">almost stagnated, a mere increase of 0.2 percent and </w:t>
      </w:r>
      <w:r w:rsidR="009D2969">
        <w:rPr>
          <w:rFonts w:ascii="Palatino Linotype" w:hAnsi="Palatino Linotype" w:cstheme="minorHAnsi"/>
          <w:sz w:val="22"/>
          <w:szCs w:val="22"/>
        </w:rPr>
        <w:t xml:space="preserve">did not contribute to </w:t>
      </w:r>
      <w:r w:rsidR="00D31133">
        <w:rPr>
          <w:rFonts w:ascii="Palatino Linotype" w:hAnsi="Palatino Linotype" w:cstheme="minorHAnsi"/>
          <w:sz w:val="22"/>
          <w:szCs w:val="22"/>
        </w:rPr>
        <w:t>quarter-on-quarter GDP growth</w:t>
      </w:r>
      <w:r w:rsidR="009D2969">
        <w:rPr>
          <w:rFonts w:ascii="Palatino Linotype" w:hAnsi="Palatino Linotype" w:cstheme="minorHAnsi"/>
          <w:sz w:val="22"/>
          <w:szCs w:val="22"/>
        </w:rPr>
        <w:t xml:space="preserve"> (Table 2)</w:t>
      </w:r>
      <w:r w:rsidR="00390CFF">
        <w:rPr>
          <w:rFonts w:ascii="Palatino Linotype" w:hAnsi="Palatino Linotype" w:cstheme="minorHAnsi"/>
          <w:sz w:val="22"/>
          <w:szCs w:val="22"/>
        </w:rPr>
        <w:t>.</w:t>
      </w:r>
      <w:r w:rsidR="00063A3F">
        <w:rPr>
          <w:rFonts w:ascii="Palatino Linotype" w:hAnsi="Palatino Linotype" w:cstheme="minorHAnsi"/>
          <w:sz w:val="22"/>
          <w:szCs w:val="22"/>
        </w:rPr>
        <w:t xml:space="preserve"> This </w:t>
      </w:r>
      <w:r w:rsidR="008728D0">
        <w:rPr>
          <w:rFonts w:ascii="Palatino Linotype" w:hAnsi="Palatino Linotype" w:cstheme="minorHAnsi"/>
          <w:sz w:val="22"/>
          <w:szCs w:val="22"/>
        </w:rPr>
        <w:t>harsh br</w:t>
      </w:r>
      <w:r w:rsidR="00063A3F">
        <w:rPr>
          <w:rFonts w:ascii="Palatino Linotype" w:hAnsi="Palatino Linotype" w:cstheme="minorHAnsi"/>
          <w:sz w:val="22"/>
          <w:szCs w:val="22"/>
        </w:rPr>
        <w:t>ak</w:t>
      </w:r>
      <w:r w:rsidR="008728D0">
        <w:rPr>
          <w:rFonts w:ascii="Palatino Linotype" w:hAnsi="Palatino Linotype" w:cstheme="minorHAnsi"/>
          <w:sz w:val="22"/>
          <w:szCs w:val="22"/>
        </w:rPr>
        <w:t>e</w:t>
      </w:r>
      <w:r w:rsidR="00063A3F">
        <w:rPr>
          <w:rFonts w:ascii="Palatino Linotype" w:hAnsi="Palatino Linotype" w:cstheme="minorHAnsi"/>
          <w:sz w:val="22"/>
          <w:szCs w:val="22"/>
        </w:rPr>
        <w:t xml:space="preserve"> on</w:t>
      </w:r>
      <w:r w:rsidR="008728D0">
        <w:rPr>
          <w:rFonts w:ascii="Palatino Linotype" w:hAnsi="Palatino Linotype" w:cstheme="minorHAnsi"/>
          <w:sz w:val="22"/>
          <w:szCs w:val="22"/>
        </w:rPr>
        <w:t xml:space="preserve"> public expenditures </w:t>
      </w:r>
      <w:proofErr w:type="spellStart"/>
      <w:r w:rsidR="008728D0">
        <w:rPr>
          <w:rFonts w:ascii="Palatino Linotype" w:hAnsi="Palatino Linotype" w:cstheme="minorHAnsi"/>
          <w:sz w:val="22"/>
          <w:szCs w:val="22"/>
        </w:rPr>
        <w:t>miht</w:t>
      </w:r>
      <w:proofErr w:type="spellEnd"/>
      <w:r w:rsidR="008728D0">
        <w:rPr>
          <w:rFonts w:ascii="Palatino Linotype" w:hAnsi="Palatino Linotype" w:cstheme="minorHAnsi"/>
          <w:sz w:val="22"/>
          <w:szCs w:val="22"/>
        </w:rPr>
        <w:t xml:space="preserve"> be explained by the concerns ensuing from the risks of a drift in fiscal policy. </w:t>
      </w:r>
    </w:p>
    <w:p w14:paraId="785752FE" w14:textId="3CDE8C49" w:rsidR="00113E0A" w:rsidRPr="007D787D" w:rsidRDefault="00113E0A" w:rsidP="002F6884">
      <w:pPr>
        <w:pStyle w:val="NormalWeb"/>
        <w:spacing w:before="0" w:beforeAutospacing="0" w:after="0" w:afterAutospacing="0"/>
        <w:ind w:right="77"/>
        <w:rPr>
          <w:rFonts w:ascii="Palatino Linotype" w:hAnsi="Palatino Linotype" w:cstheme="minorHAnsi"/>
          <w:b/>
          <w:bCs/>
          <w:sz w:val="22"/>
          <w:szCs w:val="22"/>
        </w:rPr>
      </w:pPr>
      <w:r w:rsidRPr="007D787D">
        <w:rPr>
          <w:rFonts w:ascii="Palatino Linotype" w:hAnsi="Palatino Linotype" w:cstheme="minorHAnsi"/>
          <w:b/>
          <w:bCs/>
          <w:sz w:val="22"/>
          <w:szCs w:val="22"/>
        </w:rPr>
        <w:t>The Future of Growth</w:t>
      </w:r>
      <w:r w:rsidR="002F6884" w:rsidRPr="007D787D">
        <w:rPr>
          <w:rFonts w:ascii="Palatino Linotype" w:hAnsi="Palatino Linotype" w:cstheme="minorHAnsi"/>
          <w:b/>
          <w:bCs/>
          <w:sz w:val="22"/>
          <w:szCs w:val="22"/>
        </w:rPr>
        <w:br/>
      </w:r>
    </w:p>
    <w:p w14:paraId="36DD8215" w14:textId="253861B2" w:rsidR="00CC6BB9" w:rsidRPr="00CC6BB9" w:rsidRDefault="009052B6" w:rsidP="00A97679">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bCs/>
          <w:sz w:val="22"/>
          <w:szCs w:val="22"/>
        </w:rPr>
        <w:t>The</w:t>
      </w:r>
      <w:r w:rsidR="00390CFF">
        <w:rPr>
          <w:rFonts w:ascii="Palatino Linotype" w:hAnsi="Palatino Linotype" w:cstheme="minorHAnsi"/>
          <w:bCs/>
          <w:sz w:val="22"/>
          <w:szCs w:val="22"/>
        </w:rPr>
        <w:t xml:space="preserve"> economic growth </w:t>
      </w:r>
      <w:r>
        <w:rPr>
          <w:rFonts w:ascii="Palatino Linotype" w:hAnsi="Palatino Linotype" w:cstheme="minorHAnsi"/>
          <w:bCs/>
          <w:sz w:val="22"/>
          <w:szCs w:val="22"/>
        </w:rPr>
        <w:t xml:space="preserve">in the first quarter of 2018 </w:t>
      </w:r>
      <w:r w:rsidR="00390CFF" w:rsidRPr="00390CFF">
        <w:rPr>
          <w:rFonts w:ascii="Palatino Linotype" w:hAnsi="Palatino Linotype" w:cstheme="minorHAnsi"/>
          <w:bCs/>
          <w:sz w:val="22"/>
          <w:szCs w:val="22"/>
        </w:rPr>
        <w:t xml:space="preserve">was </w:t>
      </w:r>
      <w:r>
        <w:rPr>
          <w:rFonts w:ascii="Palatino Linotype" w:hAnsi="Palatino Linotype" w:cstheme="minorHAnsi"/>
          <w:bCs/>
          <w:sz w:val="22"/>
          <w:szCs w:val="22"/>
        </w:rPr>
        <w:t xml:space="preserve">similar </w:t>
      </w:r>
      <w:r w:rsidR="009231B0" w:rsidRPr="008D6B49">
        <w:rPr>
          <w:rFonts w:ascii="Palatino Linotype" w:hAnsi="Palatino Linotype" w:cstheme="minorHAnsi"/>
          <w:bCs/>
          <w:sz w:val="22"/>
          <w:szCs w:val="22"/>
        </w:rPr>
        <w:t>to</w:t>
      </w:r>
      <w:r w:rsidR="009231B0">
        <w:rPr>
          <w:rFonts w:ascii="Palatino Linotype" w:hAnsi="Palatino Linotype" w:cstheme="minorHAnsi"/>
          <w:bCs/>
          <w:color w:val="FF0000"/>
          <w:sz w:val="22"/>
          <w:szCs w:val="22"/>
        </w:rPr>
        <w:t xml:space="preserve"> </w:t>
      </w:r>
      <w:r w:rsidR="00390CFF" w:rsidRPr="00390CFF">
        <w:rPr>
          <w:rFonts w:ascii="Palatino Linotype" w:hAnsi="Palatino Linotype" w:cstheme="minorHAnsi"/>
          <w:bCs/>
          <w:sz w:val="22"/>
          <w:szCs w:val="22"/>
        </w:rPr>
        <w:t xml:space="preserve">the growth of 2017 in terms of </w:t>
      </w:r>
      <w:r>
        <w:rPr>
          <w:rFonts w:ascii="Palatino Linotype" w:hAnsi="Palatino Linotype" w:cstheme="minorHAnsi"/>
          <w:bCs/>
          <w:sz w:val="22"/>
          <w:szCs w:val="22"/>
        </w:rPr>
        <w:t>its drivers</w:t>
      </w:r>
      <w:r w:rsidR="00390CFF" w:rsidRPr="00390CFF">
        <w:rPr>
          <w:rFonts w:ascii="Palatino Linotype" w:hAnsi="Palatino Linotype" w:cstheme="minorHAnsi"/>
          <w:bCs/>
          <w:sz w:val="22"/>
          <w:szCs w:val="22"/>
        </w:rPr>
        <w:t>.</w:t>
      </w:r>
      <w:r w:rsidR="00390CFF">
        <w:rPr>
          <w:rFonts w:ascii="Palatino Linotype" w:hAnsi="Palatino Linotype" w:cstheme="minorHAnsi"/>
          <w:bCs/>
          <w:sz w:val="22"/>
          <w:szCs w:val="22"/>
        </w:rPr>
        <w:t xml:space="preserve"> </w:t>
      </w:r>
      <w:r w:rsidR="00925E74">
        <w:rPr>
          <w:rFonts w:ascii="Palatino Linotype" w:hAnsi="Palatino Linotype" w:cstheme="minorHAnsi"/>
          <w:bCs/>
          <w:sz w:val="22"/>
          <w:szCs w:val="22"/>
        </w:rPr>
        <w:t xml:space="preserve">However, the economic growth in the second quarter of 2018 </w:t>
      </w:r>
      <w:r w:rsidR="009231B0" w:rsidRPr="008D6B49">
        <w:rPr>
          <w:rFonts w:ascii="Palatino Linotype" w:hAnsi="Palatino Linotype" w:cstheme="minorHAnsi"/>
          <w:bCs/>
          <w:sz w:val="22"/>
          <w:szCs w:val="22"/>
        </w:rPr>
        <w:t>referred</w:t>
      </w:r>
      <w:r w:rsidR="009231B0">
        <w:rPr>
          <w:rFonts w:ascii="Palatino Linotype" w:hAnsi="Palatino Linotype" w:cstheme="minorHAnsi"/>
          <w:bCs/>
          <w:color w:val="FF0000"/>
          <w:sz w:val="22"/>
          <w:szCs w:val="22"/>
        </w:rPr>
        <w:t xml:space="preserve"> </w:t>
      </w:r>
      <w:r w:rsidR="00925E74">
        <w:rPr>
          <w:rFonts w:ascii="Palatino Linotype" w:hAnsi="Palatino Linotype" w:cstheme="minorHAnsi"/>
          <w:bCs/>
          <w:sz w:val="22"/>
          <w:szCs w:val="22"/>
        </w:rPr>
        <w:t xml:space="preserve">to a break. </w:t>
      </w:r>
      <w:r w:rsidR="00FB6ACD" w:rsidRPr="00FB6ACD">
        <w:rPr>
          <w:rFonts w:ascii="Palatino Linotype" w:hAnsi="Palatino Linotype" w:cstheme="minorHAnsi"/>
          <w:bCs/>
          <w:sz w:val="22"/>
          <w:szCs w:val="22"/>
        </w:rPr>
        <w:t xml:space="preserve">In particular, the deterioration in expectations, interest rates and the negative effects of the increases in exchange rates began to </w:t>
      </w:r>
      <w:r w:rsidR="009231B0" w:rsidRPr="008D6B49">
        <w:rPr>
          <w:rFonts w:ascii="Palatino Linotype" w:hAnsi="Palatino Linotype" w:cstheme="minorHAnsi"/>
          <w:bCs/>
          <w:sz w:val="22"/>
          <w:szCs w:val="22"/>
        </w:rPr>
        <w:t>manifest</w:t>
      </w:r>
      <w:r w:rsidR="009231B0">
        <w:rPr>
          <w:rFonts w:ascii="Palatino Linotype" w:hAnsi="Palatino Linotype" w:cstheme="minorHAnsi"/>
          <w:bCs/>
          <w:color w:val="FF0000"/>
          <w:sz w:val="22"/>
          <w:szCs w:val="22"/>
        </w:rPr>
        <w:t xml:space="preserve"> </w:t>
      </w:r>
      <w:r w:rsidR="00FB6ACD" w:rsidRPr="00FB6ACD">
        <w:rPr>
          <w:rFonts w:ascii="Palatino Linotype" w:hAnsi="Palatino Linotype" w:cstheme="minorHAnsi"/>
          <w:bCs/>
          <w:sz w:val="22"/>
          <w:szCs w:val="22"/>
        </w:rPr>
        <w:t>itself in the domestic demand</w:t>
      </w:r>
      <w:bookmarkStart w:id="8" w:name="_GoBack"/>
      <w:bookmarkEnd w:id="8"/>
      <w:r w:rsidR="00FB6ACD" w:rsidRPr="00FB6ACD">
        <w:rPr>
          <w:rFonts w:ascii="Palatino Linotype" w:hAnsi="Palatino Linotype" w:cstheme="minorHAnsi"/>
          <w:bCs/>
          <w:sz w:val="22"/>
          <w:szCs w:val="22"/>
        </w:rPr>
        <w:t xml:space="preserve">. Although </w:t>
      </w:r>
      <w:r w:rsidR="00FB6ACD">
        <w:rPr>
          <w:rFonts w:ascii="Palatino Linotype" w:hAnsi="Palatino Linotype" w:cstheme="minorHAnsi"/>
          <w:bCs/>
          <w:sz w:val="22"/>
          <w:szCs w:val="22"/>
        </w:rPr>
        <w:t>Central Bank of Turkey</w:t>
      </w:r>
      <w:r w:rsidR="00FB6ACD" w:rsidRPr="00FB6ACD">
        <w:rPr>
          <w:rFonts w:ascii="Palatino Linotype" w:hAnsi="Palatino Linotype" w:cstheme="minorHAnsi"/>
          <w:bCs/>
          <w:sz w:val="22"/>
          <w:szCs w:val="22"/>
        </w:rPr>
        <w:t xml:space="preserve"> has increased the funding rate by 625 basis points to 24 percent on September 13, 2018, it seems to continue with a relatively limited decline in the dollar exchange rate. This high interest rate increase is expected to lead to very high increases in deposit and in particular loan rates</w:t>
      </w:r>
      <w:r w:rsidR="00FB6ACD">
        <w:rPr>
          <w:rFonts w:ascii="Palatino Linotype" w:hAnsi="Palatino Linotype" w:cstheme="minorHAnsi"/>
          <w:bCs/>
          <w:sz w:val="22"/>
          <w:szCs w:val="22"/>
        </w:rPr>
        <w:t>,</w:t>
      </w:r>
      <w:r w:rsidR="00FB6ACD" w:rsidRPr="00FB6ACD">
        <w:rPr>
          <w:rFonts w:ascii="Palatino Linotype" w:hAnsi="Palatino Linotype" w:cstheme="minorHAnsi"/>
          <w:bCs/>
          <w:sz w:val="22"/>
          <w:szCs w:val="22"/>
        </w:rPr>
        <w:t xml:space="preserve"> and a very large contraction in credit volume. Especially August figures confirm this contraction. </w:t>
      </w:r>
      <w:r w:rsidR="00FB6ACD">
        <w:rPr>
          <w:rFonts w:ascii="Palatino Linotype" w:hAnsi="Palatino Linotype" w:cstheme="minorHAnsi"/>
          <w:bCs/>
          <w:sz w:val="22"/>
          <w:szCs w:val="22"/>
        </w:rPr>
        <w:t>W</w:t>
      </w:r>
      <w:r w:rsidR="00FB6ACD" w:rsidRPr="00FB6ACD">
        <w:rPr>
          <w:rFonts w:ascii="Palatino Linotype" w:hAnsi="Palatino Linotype" w:cstheme="minorHAnsi"/>
          <w:bCs/>
          <w:sz w:val="22"/>
          <w:szCs w:val="22"/>
        </w:rPr>
        <w:t xml:space="preserve">e will see </w:t>
      </w:r>
      <w:r w:rsidR="00FB6ACD">
        <w:rPr>
          <w:rFonts w:ascii="Palatino Linotype" w:hAnsi="Palatino Linotype" w:cstheme="minorHAnsi"/>
          <w:bCs/>
          <w:sz w:val="22"/>
          <w:szCs w:val="22"/>
        </w:rPr>
        <w:t>t</w:t>
      </w:r>
      <w:r w:rsidR="00FB6ACD" w:rsidRPr="00FB6ACD">
        <w:rPr>
          <w:rFonts w:ascii="Palatino Linotype" w:hAnsi="Palatino Linotype" w:cstheme="minorHAnsi"/>
          <w:bCs/>
          <w:sz w:val="22"/>
          <w:szCs w:val="22"/>
        </w:rPr>
        <w:t>he first findings about the extent to which Turkey's economy entered into recession</w:t>
      </w:r>
      <w:r w:rsidR="00FB6ACD">
        <w:rPr>
          <w:rFonts w:ascii="Palatino Linotype" w:hAnsi="Palatino Linotype" w:cstheme="minorHAnsi"/>
          <w:bCs/>
          <w:sz w:val="22"/>
          <w:szCs w:val="22"/>
        </w:rPr>
        <w:t xml:space="preserve"> in</w:t>
      </w:r>
      <w:r w:rsidR="00FB6ACD" w:rsidRPr="00FB6ACD">
        <w:rPr>
          <w:rFonts w:ascii="Palatino Linotype" w:hAnsi="Palatino Linotype" w:cstheme="minorHAnsi"/>
          <w:bCs/>
          <w:sz w:val="22"/>
          <w:szCs w:val="22"/>
        </w:rPr>
        <w:t xml:space="preserve"> the first estimate of third quarter we will publish next week.</w:t>
      </w:r>
    </w:p>
    <w:p w14:paraId="668D9A1C" w14:textId="7131BE8B" w:rsidR="00620CE3" w:rsidRDefault="00620CE3" w:rsidP="002F688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Figure</w:t>
      </w:r>
      <w:r w:rsidRPr="00924CD9">
        <w:rPr>
          <w:rFonts w:ascii="Palatino Linotype" w:hAnsi="Palatino Linotype" w:cstheme="minorHAnsi"/>
          <w:b/>
          <w:bCs/>
          <w:sz w:val="22"/>
          <w:szCs w:val="22"/>
        </w:rPr>
        <w:t xml:space="preserve"> 2: </w:t>
      </w:r>
      <w:r w:rsidRPr="00321431">
        <w:rPr>
          <w:rFonts w:ascii="Palatino Linotype" w:hAnsi="Palatino Linotype" w:cstheme="minorHAnsi"/>
          <w:b/>
          <w:bCs/>
          <w:sz w:val="22"/>
          <w:szCs w:val="22"/>
        </w:rPr>
        <w:t>GDP growth rates compared to the previous quarter and same quarter of last year</w:t>
      </w:r>
    </w:p>
    <w:p w14:paraId="615E09C6" w14:textId="5760DE5D" w:rsidR="00620CE3" w:rsidRDefault="000F2ED1" w:rsidP="00620CE3">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noProof/>
          <w:lang w:val="tr-TR"/>
        </w:rPr>
        <w:drawing>
          <wp:inline distT="0" distB="0" distL="0" distR="0" wp14:anchorId="3A3F7685" wp14:editId="638FD785">
            <wp:extent cx="5760720" cy="3622040"/>
            <wp:effectExtent l="0" t="0" r="11430" b="16510"/>
            <wp:docPr id="10" name="Chart 1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399609D-B886-4796-8F53-781F5F6DB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A9D674" w14:textId="77777777" w:rsidR="00620CE3" w:rsidRDefault="00620CE3" w:rsidP="00620CE3">
      <w:pPr>
        <w:keepNext/>
        <w:rPr>
          <w:rFonts w:ascii="Palatino Linotype" w:hAnsi="Palatino Linotype" w:cstheme="minorHAnsi"/>
          <w:sz w:val="18"/>
          <w:szCs w:val="18"/>
        </w:rPr>
      </w:pPr>
      <w:r w:rsidRPr="00321431">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proofErr w:type="spellStart"/>
      <w:r>
        <w:rPr>
          <w:rFonts w:ascii="Palatino Linotype" w:hAnsi="Palatino Linotype" w:cstheme="minorHAnsi"/>
          <w:sz w:val="18"/>
          <w:szCs w:val="18"/>
        </w:rPr>
        <w:t>TurkStat</w:t>
      </w:r>
      <w:proofErr w:type="spellEnd"/>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Betam</w:t>
      </w:r>
      <w:proofErr w:type="spellEnd"/>
      <w:r w:rsidRPr="003E1EED">
        <w:rPr>
          <w:rFonts w:ascii="Palatino Linotype" w:hAnsi="Palatino Linotype" w:cstheme="minorHAnsi"/>
          <w:sz w:val="18"/>
          <w:szCs w:val="18"/>
        </w:rPr>
        <w:t xml:space="preserve">. </w:t>
      </w:r>
    </w:p>
    <w:p w14:paraId="40E43404" w14:textId="4D6CEB59" w:rsidR="00113E0A" w:rsidRPr="00113E0A" w:rsidRDefault="00113E0A" w:rsidP="00113E0A">
      <w:pPr>
        <w:pStyle w:val="NormalWeb"/>
        <w:spacing w:before="0" w:beforeAutospacing="0" w:after="0" w:afterAutospacing="0" w:line="360" w:lineRule="auto"/>
        <w:ind w:right="77"/>
        <w:rPr>
          <w:rFonts w:ascii="Palatino Linotype" w:hAnsi="Palatino Linotype" w:cstheme="minorHAnsi"/>
          <w:bCs/>
          <w:sz w:val="22"/>
          <w:szCs w:val="22"/>
        </w:rPr>
      </w:pPr>
    </w:p>
    <w:p w14:paraId="76A5DAFB" w14:textId="77777777" w:rsidR="00E41840" w:rsidRPr="00924CD9" w:rsidRDefault="00E41840" w:rsidP="00E41840">
      <w:pPr>
        <w:keepNext/>
        <w:rPr>
          <w:rFonts w:ascii="Palatino Linotype" w:hAnsi="Palatino Linotype" w:cstheme="minorHAnsi"/>
        </w:rPr>
      </w:pPr>
    </w:p>
    <w:p w14:paraId="3CA6E0CA" w14:textId="5ABD5BA7" w:rsidR="00681AD9" w:rsidRPr="00924CD9" w:rsidRDefault="00681AD9" w:rsidP="00E85F3F">
      <w:pPr>
        <w:keepNext/>
        <w:rPr>
          <w:rFonts w:ascii="Palatino Linotype" w:hAnsi="Palatino Linotype" w:cstheme="minorHAnsi"/>
        </w:rPr>
      </w:pPr>
    </w:p>
    <w:sectPr w:rsidR="00681AD9" w:rsidRPr="00924CD9" w:rsidSect="00963B04">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E56E" w14:textId="77777777" w:rsidR="00525DB7" w:rsidRDefault="00525DB7" w:rsidP="00DA0C5D">
      <w:r>
        <w:separator/>
      </w:r>
    </w:p>
  </w:endnote>
  <w:endnote w:type="continuationSeparator" w:id="0">
    <w:p w14:paraId="72C1E236" w14:textId="77777777" w:rsidR="00525DB7" w:rsidRDefault="00525DB7"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074734"/>
      <w:docPartObj>
        <w:docPartGallery w:val="Page Numbers (Bottom of Page)"/>
        <w:docPartUnique/>
      </w:docPartObj>
    </w:sdtPr>
    <w:sdtEndPr>
      <w:rPr>
        <w:rStyle w:val="PageNumber"/>
      </w:rPr>
    </w:sdtEndPr>
    <w:sdtContent>
      <w:p w14:paraId="3F681B4F" w14:textId="68BFED77" w:rsidR="004E4170" w:rsidRDefault="004E4170" w:rsidP="00DA1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61FA1" w14:textId="77777777" w:rsidR="004E4170" w:rsidRDefault="004E4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8769713"/>
      <w:docPartObj>
        <w:docPartGallery w:val="Page Numbers (Bottom of Page)"/>
        <w:docPartUnique/>
      </w:docPartObj>
    </w:sdtPr>
    <w:sdtEndPr>
      <w:rPr>
        <w:rStyle w:val="PageNumber"/>
      </w:rPr>
    </w:sdtEndPr>
    <w:sdtContent>
      <w:p w14:paraId="471BC994" w14:textId="6D757D49" w:rsidR="004E4170" w:rsidRDefault="004E4170" w:rsidP="00DA1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6B49">
          <w:rPr>
            <w:rStyle w:val="PageNumber"/>
            <w:noProof/>
          </w:rPr>
          <w:t>4</w:t>
        </w:r>
        <w:r>
          <w:rPr>
            <w:rStyle w:val="PageNumber"/>
          </w:rPr>
          <w:fldChar w:fldCharType="end"/>
        </w:r>
      </w:p>
    </w:sdtContent>
  </w:sdt>
  <w:p w14:paraId="343A9967" w14:textId="77777777" w:rsidR="004E4170" w:rsidRDefault="004E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EB42" w14:textId="77777777" w:rsidR="00525DB7" w:rsidRDefault="00525DB7" w:rsidP="00DA0C5D">
      <w:r>
        <w:separator/>
      </w:r>
    </w:p>
  </w:footnote>
  <w:footnote w:type="continuationSeparator" w:id="0">
    <w:p w14:paraId="0FC1D74E" w14:textId="77777777" w:rsidR="00525DB7" w:rsidRDefault="00525DB7" w:rsidP="00DA0C5D">
      <w:r>
        <w:continuationSeparator/>
      </w:r>
    </w:p>
  </w:footnote>
  <w:footnote w:id="1">
    <w:p w14:paraId="6937C661" w14:textId="77777777" w:rsidR="003172DB" w:rsidRDefault="003172DB" w:rsidP="003172DB">
      <w:pPr>
        <w:pStyle w:val="FootnoteText"/>
      </w:pPr>
      <w:r>
        <w:rPr>
          <w:rStyle w:val="FootnoteReference"/>
        </w:rPr>
        <w:footnoteRef/>
      </w:r>
      <w:r>
        <w:t xml:space="preserve"> </w:t>
      </w:r>
      <w:proofErr w:type="spellStart"/>
      <w:r>
        <w:t>Betam</w:t>
      </w:r>
      <w:proofErr w:type="spellEnd"/>
      <w:r>
        <w:t>, Dire</w:t>
      </w:r>
      <w:r w:rsidR="003E0902">
        <w:t>ctor</w:t>
      </w:r>
      <w:r>
        <w:t>, seyfettin.gursel@eas.bahcesehir.edu.tr</w:t>
      </w:r>
    </w:p>
  </w:footnote>
  <w:footnote w:id="2">
    <w:p w14:paraId="1BC25AAC" w14:textId="77777777" w:rsidR="00C32789" w:rsidRDefault="00C32789">
      <w:pPr>
        <w:pStyle w:val="FootnoteText"/>
      </w:pPr>
      <w:r>
        <w:rPr>
          <w:rStyle w:val="FootnoteReference"/>
        </w:rPr>
        <w:footnoteRef/>
      </w:r>
      <w:r w:rsidR="001537D8">
        <w:t xml:space="preserve"> </w:t>
      </w:r>
      <w:proofErr w:type="spellStart"/>
      <w:r>
        <w:t>Betam</w:t>
      </w:r>
      <w:proofErr w:type="spellEnd"/>
      <w:r>
        <w:t>, ozan.bakis@eas.bau.edu.tr</w:t>
      </w:r>
    </w:p>
  </w:footnote>
  <w:footnote w:id="3">
    <w:p w14:paraId="0A1D2D63" w14:textId="77777777" w:rsidR="001537D8" w:rsidRDefault="001537D8" w:rsidP="001537D8">
      <w:pPr>
        <w:pStyle w:val="FootnoteText"/>
      </w:pPr>
      <w:r>
        <w:rPr>
          <w:rStyle w:val="FootnoteReference"/>
        </w:rPr>
        <w:footnoteRef/>
      </w:r>
      <w:r>
        <w:t xml:space="preserve"> </w:t>
      </w:r>
      <w:proofErr w:type="spellStart"/>
      <w:r>
        <w:t>Betam</w:t>
      </w:r>
      <w:proofErr w:type="spellEnd"/>
      <w:r>
        <w:t xml:space="preserve">, ugurcan.acar@eas.bau.edu.tr </w:t>
      </w:r>
    </w:p>
  </w:footnote>
  <w:footnote w:id="4">
    <w:p w14:paraId="7B736CC5" w14:textId="77777777" w:rsidR="00781312" w:rsidRPr="00D31197" w:rsidRDefault="00781312" w:rsidP="00AF4BB7">
      <w:pPr>
        <w:pStyle w:val="NormalWeb"/>
        <w:ind w:right="79"/>
        <w:jc w:val="both"/>
        <w:rPr>
          <w:rFonts w:ascii="Palatino Linotype" w:hAnsi="Palatino Linotype" w:cstheme="minorHAnsi"/>
          <w:sz w:val="22"/>
          <w:szCs w:val="22"/>
        </w:rPr>
      </w:pPr>
      <w:r w:rsidRPr="00781312">
        <w:rPr>
          <w:sz w:val="20"/>
          <w:szCs w:val="20"/>
          <w:lang w:val="tr-TR"/>
        </w:rPr>
        <w:footnoteRef/>
      </w:r>
      <w:r w:rsidRPr="00781312">
        <w:rPr>
          <w:sz w:val="20"/>
          <w:szCs w:val="20"/>
          <w:lang w:val="tr-TR"/>
        </w:rPr>
        <w:t xml:space="preserve"> </w:t>
      </w:r>
      <w:proofErr w:type="spellStart"/>
      <w:r w:rsidRPr="00AF4BB7">
        <w:rPr>
          <w:rFonts w:ascii="Palatino Linotype" w:hAnsi="Palatino Linotype"/>
          <w:sz w:val="20"/>
          <w:szCs w:val="20"/>
        </w:rPr>
        <w:t>TurkStat</w:t>
      </w:r>
      <w:proofErr w:type="spellEnd"/>
      <w:r w:rsidRPr="00AF4BB7">
        <w:rPr>
          <w:rFonts w:ascii="Palatino Linotype" w:hAnsi="Palatino Linotype"/>
          <w:sz w:val="20"/>
          <w:szCs w:val="20"/>
        </w:rPr>
        <w:t xml:space="preserve"> uses the chained volume index method when calculating new national income series. The contribution to growth of the stock change cannot be easily calculated because there is an </w:t>
      </w:r>
      <w:proofErr w:type="spellStart"/>
      <w:r w:rsidRPr="00AF4BB7">
        <w:rPr>
          <w:rFonts w:ascii="Palatino Linotype" w:hAnsi="Palatino Linotype"/>
          <w:sz w:val="20"/>
          <w:szCs w:val="20"/>
        </w:rPr>
        <w:t>additivity</w:t>
      </w:r>
      <w:proofErr w:type="spellEnd"/>
      <w:r w:rsidRPr="00AF4BB7">
        <w:rPr>
          <w:rFonts w:ascii="Palatino Linotype" w:hAnsi="Palatino Linotype"/>
          <w:sz w:val="20"/>
          <w:szCs w:val="20"/>
        </w:rPr>
        <w:t xml:space="preserve"> problem in the chain method and a chain index cannot be derived for the "changes in stock". We discussed in detail in the research note that we recently published how to account for the contribution of stock change to growth in the chain-volume index approach (see </w:t>
      </w:r>
      <w:proofErr w:type="spellStart"/>
      <w:r w:rsidRPr="00AF4BB7">
        <w:rPr>
          <w:rFonts w:ascii="Palatino Linotype" w:hAnsi="Palatino Linotype"/>
          <w:sz w:val="20"/>
          <w:szCs w:val="20"/>
        </w:rPr>
        <w:t>Betam</w:t>
      </w:r>
      <w:proofErr w:type="spellEnd"/>
      <w:r w:rsidRPr="00AF4BB7">
        <w:rPr>
          <w:rFonts w:ascii="Palatino Linotype" w:hAnsi="Palatino Linotype"/>
          <w:sz w:val="20"/>
          <w:szCs w:val="20"/>
        </w:rPr>
        <w:t xml:space="preserve"> Research Note 17/217).</w:t>
      </w:r>
    </w:p>
    <w:p w14:paraId="3A49B442" w14:textId="4D16B6E6" w:rsidR="00781312" w:rsidRPr="00781312" w:rsidRDefault="00781312">
      <w:pPr>
        <w:pStyle w:val="FootnoteText"/>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02F9A"/>
    <w:rsid w:val="00004F33"/>
    <w:rsid w:val="000119F9"/>
    <w:rsid w:val="00041E8F"/>
    <w:rsid w:val="00041FB7"/>
    <w:rsid w:val="0005380F"/>
    <w:rsid w:val="00054943"/>
    <w:rsid w:val="00055EA1"/>
    <w:rsid w:val="00063A3F"/>
    <w:rsid w:val="000652B6"/>
    <w:rsid w:val="00070F11"/>
    <w:rsid w:val="00096CDA"/>
    <w:rsid w:val="000978C8"/>
    <w:rsid w:val="000A612E"/>
    <w:rsid w:val="000B2D39"/>
    <w:rsid w:val="000C634D"/>
    <w:rsid w:val="000D0913"/>
    <w:rsid w:val="000D5FD3"/>
    <w:rsid w:val="000D63E2"/>
    <w:rsid w:val="000F2654"/>
    <w:rsid w:val="000F2ED1"/>
    <w:rsid w:val="001077D8"/>
    <w:rsid w:val="0011258F"/>
    <w:rsid w:val="00113E0A"/>
    <w:rsid w:val="0012527F"/>
    <w:rsid w:val="00140468"/>
    <w:rsid w:val="00140A01"/>
    <w:rsid w:val="0014542A"/>
    <w:rsid w:val="0015026C"/>
    <w:rsid w:val="001537D8"/>
    <w:rsid w:val="001609DE"/>
    <w:rsid w:val="00172B2C"/>
    <w:rsid w:val="001B3A44"/>
    <w:rsid w:val="001B4EE8"/>
    <w:rsid w:val="001C0BE9"/>
    <w:rsid w:val="001C2C68"/>
    <w:rsid w:val="001C65BF"/>
    <w:rsid w:val="001D5B02"/>
    <w:rsid w:val="001D5B0E"/>
    <w:rsid w:val="001D6465"/>
    <w:rsid w:val="001F22EF"/>
    <w:rsid w:val="001F7B1D"/>
    <w:rsid w:val="001F7BC7"/>
    <w:rsid w:val="002106DF"/>
    <w:rsid w:val="00212579"/>
    <w:rsid w:val="00214914"/>
    <w:rsid w:val="00215350"/>
    <w:rsid w:val="00223A5B"/>
    <w:rsid w:val="0022673E"/>
    <w:rsid w:val="00227A08"/>
    <w:rsid w:val="00236056"/>
    <w:rsid w:val="00247739"/>
    <w:rsid w:val="00254FA9"/>
    <w:rsid w:val="00256F28"/>
    <w:rsid w:val="00266308"/>
    <w:rsid w:val="00275745"/>
    <w:rsid w:val="00282242"/>
    <w:rsid w:val="002838E9"/>
    <w:rsid w:val="0028498B"/>
    <w:rsid w:val="00286BE7"/>
    <w:rsid w:val="002945D6"/>
    <w:rsid w:val="00294F61"/>
    <w:rsid w:val="0029624E"/>
    <w:rsid w:val="002A07A9"/>
    <w:rsid w:val="002A7673"/>
    <w:rsid w:val="002B0C37"/>
    <w:rsid w:val="002B7001"/>
    <w:rsid w:val="002C5BE5"/>
    <w:rsid w:val="002C5C24"/>
    <w:rsid w:val="002D3A48"/>
    <w:rsid w:val="002D5820"/>
    <w:rsid w:val="002F4636"/>
    <w:rsid w:val="002F6884"/>
    <w:rsid w:val="002F7F35"/>
    <w:rsid w:val="003001FA"/>
    <w:rsid w:val="00307B16"/>
    <w:rsid w:val="00313197"/>
    <w:rsid w:val="003172DB"/>
    <w:rsid w:val="00317618"/>
    <w:rsid w:val="00321431"/>
    <w:rsid w:val="00322D4A"/>
    <w:rsid w:val="00334E27"/>
    <w:rsid w:val="00344A74"/>
    <w:rsid w:val="003461C3"/>
    <w:rsid w:val="003566E5"/>
    <w:rsid w:val="003654F6"/>
    <w:rsid w:val="00365DAB"/>
    <w:rsid w:val="00390CFF"/>
    <w:rsid w:val="003967B5"/>
    <w:rsid w:val="00397D3C"/>
    <w:rsid w:val="003A0146"/>
    <w:rsid w:val="003A42E6"/>
    <w:rsid w:val="003A488B"/>
    <w:rsid w:val="003A7C4B"/>
    <w:rsid w:val="003B5AC1"/>
    <w:rsid w:val="003C2891"/>
    <w:rsid w:val="003C39AF"/>
    <w:rsid w:val="003D44CE"/>
    <w:rsid w:val="003E0902"/>
    <w:rsid w:val="003E1EED"/>
    <w:rsid w:val="003E4D3E"/>
    <w:rsid w:val="003E5A3D"/>
    <w:rsid w:val="003F6ED6"/>
    <w:rsid w:val="004124E0"/>
    <w:rsid w:val="00414150"/>
    <w:rsid w:val="004263DD"/>
    <w:rsid w:val="0042790B"/>
    <w:rsid w:val="00431C38"/>
    <w:rsid w:val="00433A75"/>
    <w:rsid w:val="0043726B"/>
    <w:rsid w:val="0044231D"/>
    <w:rsid w:val="00451A8A"/>
    <w:rsid w:val="00453999"/>
    <w:rsid w:val="00475688"/>
    <w:rsid w:val="00476594"/>
    <w:rsid w:val="004809E9"/>
    <w:rsid w:val="00483EC5"/>
    <w:rsid w:val="00490E51"/>
    <w:rsid w:val="004931A5"/>
    <w:rsid w:val="0049637E"/>
    <w:rsid w:val="00497CAE"/>
    <w:rsid w:val="004A78AD"/>
    <w:rsid w:val="004D27CD"/>
    <w:rsid w:val="004E4170"/>
    <w:rsid w:val="004F0543"/>
    <w:rsid w:val="00507572"/>
    <w:rsid w:val="00510883"/>
    <w:rsid w:val="00521FA6"/>
    <w:rsid w:val="00525DB7"/>
    <w:rsid w:val="0053582F"/>
    <w:rsid w:val="0053586E"/>
    <w:rsid w:val="0053686A"/>
    <w:rsid w:val="00537043"/>
    <w:rsid w:val="0054145E"/>
    <w:rsid w:val="00563C88"/>
    <w:rsid w:val="00582521"/>
    <w:rsid w:val="005828CE"/>
    <w:rsid w:val="00586707"/>
    <w:rsid w:val="005912A1"/>
    <w:rsid w:val="0059780D"/>
    <w:rsid w:val="005C6542"/>
    <w:rsid w:val="005D255A"/>
    <w:rsid w:val="005D37CE"/>
    <w:rsid w:val="00620CE3"/>
    <w:rsid w:val="00625B95"/>
    <w:rsid w:val="00630CA0"/>
    <w:rsid w:val="0064012D"/>
    <w:rsid w:val="00643113"/>
    <w:rsid w:val="006439C5"/>
    <w:rsid w:val="00647318"/>
    <w:rsid w:val="006549E3"/>
    <w:rsid w:val="006703B7"/>
    <w:rsid w:val="00681022"/>
    <w:rsid w:val="00681AD9"/>
    <w:rsid w:val="00683311"/>
    <w:rsid w:val="00694F52"/>
    <w:rsid w:val="00697803"/>
    <w:rsid w:val="006B13E3"/>
    <w:rsid w:val="006C3EE6"/>
    <w:rsid w:val="006D0B7D"/>
    <w:rsid w:val="006D1DD6"/>
    <w:rsid w:val="006D32A0"/>
    <w:rsid w:val="00711A8A"/>
    <w:rsid w:val="00724E7C"/>
    <w:rsid w:val="00731AF8"/>
    <w:rsid w:val="00745B7D"/>
    <w:rsid w:val="007539A6"/>
    <w:rsid w:val="00773D8B"/>
    <w:rsid w:val="00781312"/>
    <w:rsid w:val="00783CD4"/>
    <w:rsid w:val="00787DD7"/>
    <w:rsid w:val="00791FA7"/>
    <w:rsid w:val="00794982"/>
    <w:rsid w:val="007B70AD"/>
    <w:rsid w:val="007C5B10"/>
    <w:rsid w:val="007D4953"/>
    <w:rsid w:val="007D787D"/>
    <w:rsid w:val="007E086F"/>
    <w:rsid w:val="007E4E9F"/>
    <w:rsid w:val="007E6BA4"/>
    <w:rsid w:val="007F0A34"/>
    <w:rsid w:val="007F3C9B"/>
    <w:rsid w:val="00805287"/>
    <w:rsid w:val="00815160"/>
    <w:rsid w:val="00817A10"/>
    <w:rsid w:val="0084500C"/>
    <w:rsid w:val="008459A9"/>
    <w:rsid w:val="00845A54"/>
    <w:rsid w:val="00850B79"/>
    <w:rsid w:val="00855D64"/>
    <w:rsid w:val="00865CE6"/>
    <w:rsid w:val="008728D0"/>
    <w:rsid w:val="008768DC"/>
    <w:rsid w:val="0088497D"/>
    <w:rsid w:val="00887E59"/>
    <w:rsid w:val="008944A5"/>
    <w:rsid w:val="008C6F06"/>
    <w:rsid w:val="008C70C5"/>
    <w:rsid w:val="008D6B49"/>
    <w:rsid w:val="008E74F0"/>
    <w:rsid w:val="008F030E"/>
    <w:rsid w:val="008F1741"/>
    <w:rsid w:val="008F3A50"/>
    <w:rsid w:val="008F49E7"/>
    <w:rsid w:val="009052B6"/>
    <w:rsid w:val="009231B0"/>
    <w:rsid w:val="00924CD9"/>
    <w:rsid w:val="00925E74"/>
    <w:rsid w:val="00935809"/>
    <w:rsid w:val="00957020"/>
    <w:rsid w:val="00963B04"/>
    <w:rsid w:val="00982F71"/>
    <w:rsid w:val="009A71AF"/>
    <w:rsid w:val="009B1546"/>
    <w:rsid w:val="009B651F"/>
    <w:rsid w:val="009C5E11"/>
    <w:rsid w:val="009D2969"/>
    <w:rsid w:val="009D3CEB"/>
    <w:rsid w:val="009D7A7A"/>
    <w:rsid w:val="009E0C70"/>
    <w:rsid w:val="009E24F0"/>
    <w:rsid w:val="009E3E2C"/>
    <w:rsid w:val="009E68C6"/>
    <w:rsid w:val="009F2EBE"/>
    <w:rsid w:val="00A160F5"/>
    <w:rsid w:val="00A20C0F"/>
    <w:rsid w:val="00A310EA"/>
    <w:rsid w:val="00A46C4A"/>
    <w:rsid w:val="00A50FB7"/>
    <w:rsid w:val="00A550B2"/>
    <w:rsid w:val="00A6165E"/>
    <w:rsid w:val="00A675D3"/>
    <w:rsid w:val="00A714E7"/>
    <w:rsid w:val="00A719DB"/>
    <w:rsid w:val="00A71F3D"/>
    <w:rsid w:val="00A842EA"/>
    <w:rsid w:val="00A874DA"/>
    <w:rsid w:val="00A97679"/>
    <w:rsid w:val="00AB16C5"/>
    <w:rsid w:val="00AB1E4F"/>
    <w:rsid w:val="00AB58D8"/>
    <w:rsid w:val="00AD2B46"/>
    <w:rsid w:val="00AE59EE"/>
    <w:rsid w:val="00AF102B"/>
    <w:rsid w:val="00AF4BB7"/>
    <w:rsid w:val="00AF6DE8"/>
    <w:rsid w:val="00B27C9F"/>
    <w:rsid w:val="00B37CD7"/>
    <w:rsid w:val="00B45BD0"/>
    <w:rsid w:val="00B53557"/>
    <w:rsid w:val="00B703D3"/>
    <w:rsid w:val="00B808FF"/>
    <w:rsid w:val="00B82B92"/>
    <w:rsid w:val="00B9498C"/>
    <w:rsid w:val="00BB2035"/>
    <w:rsid w:val="00BB5631"/>
    <w:rsid w:val="00BB5725"/>
    <w:rsid w:val="00BB5AEB"/>
    <w:rsid w:val="00BB6454"/>
    <w:rsid w:val="00BE3FAD"/>
    <w:rsid w:val="00BE4B3B"/>
    <w:rsid w:val="00BF0205"/>
    <w:rsid w:val="00BF5A0A"/>
    <w:rsid w:val="00C11B5A"/>
    <w:rsid w:val="00C32789"/>
    <w:rsid w:val="00C33714"/>
    <w:rsid w:val="00C34C5C"/>
    <w:rsid w:val="00C34FEA"/>
    <w:rsid w:val="00C35660"/>
    <w:rsid w:val="00C5056E"/>
    <w:rsid w:val="00C525B2"/>
    <w:rsid w:val="00C547AE"/>
    <w:rsid w:val="00C57749"/>
    <w:rsid w:val="00C60338"/>
    <w:rsid w:val="00C63F01"/>
    <w:rsid w:val="00C65542"/>
    <w:rsid w:val="00C703CE"/>
    <w:rsid w:val="00C71C2D"/>
    <w:rsid w:val="00C745E7"/>
    <w:rsid w:val="00C7680B"/>
    <w:rsid w:val="00C81655"/>
    <w:rsid w:val="00C82B14"/>
    <w:rsid w:val="00C86D88"/>
    <w:rsid w:val="00C921C9"/>
    <w:rsid w:val="00C93499"/>
    <w:rsid w:val="00C97FD1"/>
    <w:rsid w:val="00CA234B"/>
    <w:rsid w:val="00CA46D9"/>
    <w:rsid w:val="00CB3462"/>
    <w:rsid w:val="00CB767C"/>
    <w:rsid w:val="00CC6BB9"/>
    <w:rsid w:val="00CC79C0"/>
    <w:rsid w:val="00CD1958"/>
    <w:rsid w:val="00CD4010"/>
    <w:rsid w:val="00CE6742"/>
    <w:rsid w:val="00CE7DE8"/>
    <w:rsid w:val="00CF5053"/>
    <w:rsid w:val="00D07713"/>
    <w:rsid w:val="00D16B42"/>
    <w:rsid w:val="00D16B80"/>
    <w:rsid w:val="00D257C1"/>
    <w:rsid w:val="00D30DDE"/>
    <w:rsid w:val="00D31133"/>
    <w:rsid w:val="00D31197"/>
    <w:rsid w:val="00D35D40"/>
    <w:rsid w:val="00D4207F"/>
    <w:rsid w:val="00D4574F"/>
    <w:rsid w:val="00D53424"/>
    <w:rsid w:val="00D56304"/>
    <w:rsid w:val="00D76EC3"/>
    <w:rsid w:val="00D80ACB"/>
    <w:rsid w:val="00D90931"/>
    <w:rsid w:val="00DA0C5D"/>
    <w:rsid w:val="00DC6F89"/>
    <w:rsid w:val="00DD6027"/>
    <w:rsid w:val="00DD6379"/>
    <w:rsid w:val="00DF0532"/>
    <w:rsid w:val="00E01513"/>
    <w:rsid w:val="00E23E54"/>
    <w:rsid w:val="00E306CB"/>
    <w:rsid w:val="00E41840"/>
    <w:rsid w:val="00E44957"/>
    <w:rsid w:val="00E44C25"/>
    <w:rsid w:val="00E46F18"/>
    <w:rsid w:val="00E57043"/>
    <w:rsid w:val="00E6189A"/>
    <w:rsid w:val="00E637AC"/>
    <w:rsid w:val="00E667CB"/>
    <w:rsid w:val="00E750CC"/>
    <w:rsid w:val="00E80A0B"/>
    <w:rsid w:val="00E82940"/>
    <w:rsid w:val="00E85520"/>
    <w:rsid w:val="00E85F3F"/>
    <w:rsid w:val="00E9568F"/>
    <w:rsid w:val="00EB00D0"/>
    <w:rsid w:val="00EB1BBC"/>
    <w:rsid w:val="00EB476F"/>
    <w:rsid w:val="00EC136E"/>
    <w:rsid w:val="00EC2814"/>
    <w:rsid w:val="00EC3B8B"/>
    <w:rsid w:val="00EC59FB"/>
    <w:rsid w:val="00ED5839"/>
    <w:rsid w:val="00ED631C"/>
    <w:rsid w:val="00EE150B"/>
    <w:rsid w:val="00EE4235"/>
    <w:rsid w:val="00EE6549"/>
    <w:rsid w:val="00EF09A7"/>
    <w:rsid w:val="00EF25B2"/>
    <w:rsid w:val="00F0076E"/>
    <w:rsid w:val="00F118B1"/>
    <w:rsid w:val="00F22A71"/>
    <w:rsid w:val="00F27D86"/>
    <w:rsid w:val="00F46A54"/>
    <w:rsid w:val="00F5016F"/>
    <w:rsid w:val="00F5130C"/>
    <w:rsid w:val="00F66F36"/>
    <w:rsid w:val="00F70EC7"/>
    <w:rsid w:val="00F819BC"/>
    <w:rsid w:val="00F87871"/>
    <w:rsid w:val="00F9263F"/>
    <w:rsid w:val="00F94113"/>
    <w:rsid w:val="00F964EA"/>
    <w:rsid w:val="00FA63BA"/>
    <w:rsid w:val="00FA79F3"/>
    <w:rsid w:val="00FB6ACD"/>
    <w:rsid w:val="00FD31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B7E"/>
  <w15:docId w15:val="{0D3A7D73-F15D-419F-87BD-95A79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247739"/>
    <w:rPr>
      <w:sz w:val="16"/>
      <w:szCs w:val="16"/>
    </w:rPr>
  </w:style>
  <w:style w:type="paragraph" w:styleId="CommentText">
    <w:name w:val="annotation text"/>
    <w:basedOn w:val="Normal"/>
    <w:link w:val="CommentTextChar"/>
    <w:uiPriority w:val="99"/>
    <w:semiHidden/>
    <w:unhideWhenUsed/>
    <w:rsid w:val="00247739"/>
    <w:rPr>
      <w:sz w:val="20"/>
      <w:szCs w:val="20"/>
    </w:rPr>
  </w:style>
  <w:style w:type="character" w:customStyle="1" w:styleId="CommentTextChar">
    <w:name w:val="Comment Text Char"/>
    <w:basedOn w:val="DefaultParagraphFont"/>
    <w:link w:val="CommentText"/>
    <w:uiPriority w:val="99"/>
    <w:semiHidden/>
    <w:rsid w:val="00247739"/>
    <w:rPr>
      <w:rFonts w:ascii="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47739"/>
    <w:rPr>
      <w:b/>
      <w:bCs/>
    </w:rPr>
  </w:style>
  <w:style w:type="character" w:customStyle="1" w:styleId="CommentSubjectChar">
    <w:name w:val="Comment Subject Char"/>
    <w:basedOn w:val="CommentTextChar"/>
    <w:link w:val="CommentSubject"/>
    <w:uiPriority w:val="99"/>
    <w:semiHidden/>
    <w:rsid w:val="00247739"/>
    <w:rPr>
      <w:rFonts w:ascii="Times New Roman"/>
      <w:b/>
      <w:bCs/>
      <w:sz w:val="20"/>
      <w:szCs w:val="20"/>
      <w:lang w:eastAsia="tr-TR"/>
    </w:rPr>
  </w:style>
  <w:style w:type="paragraph" w:styleId="Footer">
    <w:name w:val="footer"/>
    <w:basedOn w:val="Normal"/>
    <w:link w:val="FooterChar"/>
    <w:uiPriority w:val="99"/>
    <w:unhideWhenUsed/>
    <w:rsid w:val="004E4170"/>
    <w:pPr>
      <w:tabs>
        <w:tab w:val="center" w:pos="4536"/>
        <w:tab w:val="right" w:pos="9072"/>
      </w:tabs>
    </w:pPr>
  </w:style>
  <w:style w:type="character" w:customStyle="1" w:styleId="FooterChar">
    <w:name w:val="Footer Char"/>
    <w:basedOn w:val="DefaultParagraphFont"/>
    <w:link w:val="Footer"/>
    <w:uiPriority w:val="99"/>
    <w:rsid w:val="004E4170"/>
    <w:rPr>
      <w:rFonts w:ascii="Times New Roman"/>
      <w:sz w:val="24"/>
      <w:szCs w:val="24"/>
      <w:lang w:eastAsia="tr-TR"/>
    </w:rPr>
  </w:style>
  <w:style w:type="character" w:styleId="PageNumber">
    <w:name w:val="page number"/>
    <w:basedOn w:val="DefaultParagraphFont"/>
    <w:uiPriority w:val="99"/>
    <w:semiHidden/>
    <w:unhideWhenUsed/>
    <w:rsid w:val="004E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86">
      <w:bodyDiv w:val="1"/>
      <w:marLeft w:val="0"/>
      <w:marRight w:val="0"/>
      <w:marTop w:val="0"/>
      <w:marBottom w:val="0"/>
      <w:divBdr>
        <w:top w:val="none" w:sz="0" w:space="0" w:color="auto"/>
        <w:left w:val="none" w:sz="0" w:space="0" w:color="auto"/>
        <w:bottom w:val="none" w:sz="0" w:space="0" w:color="auto"/>
        <w:right w:val="none" w:sz="0" w:space="0" w:color="auto"/>
      </w:divBdr>
    </w:div>
    <w:div w:id="136801609">
      <w:bodyDiv w:val="1"/>
      <w:marLeft w:val="0"/>
      <w:marRight w:val="0"/>
      <w:marTop w:val="0"/>
      <w:marBottom w:val="0"/>
      <w:divBdr>
        <w:top w:val="none" w:sz="0" w:space="0" w:color="auto"/>
        <w:left w:val="none" w:sz="0" w:space="0" w:color="auto"/>
        <w:bottom w:val="none" w:sz="0" w:space="0" w:color="auto"/>
        <w:right w:val="none" w:sz="0" w:space="0" w:color="auto"/>
      </w:divBdr>
    </w:div>
    <w:div w:id="183788463">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08541272">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67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Q2'!$F$3</c:f>
              <c:strCache>
                <c:ptCount val="1"/>
                <c:pt idx="0">
                  <c:v>Contribution (%)</c:v>
                </c:pt>
              </c:strCache>
            </c:strRef>
          </c:tx>
          <c:spPr>
            <a:solidFill>
              <a:schemeClr val="accent1"/>
            </a:solidFill>
            <a:ln>
              <a:noFill/>
            </a:ln>
            <a:effectLst/>
          </c:spPr>
          <c:invertIfNegative val="0"/>
          <c:dLbls>
            <c:dLbl>
              <c:idx val="3"/>
              <c:layout>
                <c:manualLayout>
                  <c:x val="0"/>
                  <c:y val="0.2917936321789564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0-41B6-A578-EB8039122BAB}"/>
                </c:ext>
                <c:ext xmlns:c15="http://schemas.microsoft.com/office/drawing/2012/chart" uri="{CE6537A1-D6FC-4f65-9D91-7224C49458BB}"/>
              </c:extLst>
            </c:dLbl>
            <c:dLbl>
              <c:idx val="5"/>
              <c:layout>
                <c:manualLayout>
                  <c:x val="0"/>
                  <c:y val="8.91593869915197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0-41B6-A578-EB8039122B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'2018 Q2'!$B$4:$B$10</c:f>
              <c:strCache>
                <c:ptCount val="7"/>
                <c:pt idx="0">
                  <c:v>Consumption</c:v>
                </c:pt>
                <c:pt idx="1">
                  <c:v>Government Spending</c:v>
                </c:pt>
                <c:pt idx="2">
                  <c:v>Investment</c:v>
                </c:pt>
                <c:pt idx="3">
                  <c:v>Change in Stock</c:v>
                </c:pt>
                <c:pt idx="4">
                  <c:v>Export</c:v>
                </c:pt>
                <c:pt idx="5">
                  <c:v>Import</c:v>
                </c:pt>
                <c:pt idx="6">
                  <c:v>GDP</c:v>
                </c:pt>
              </c:strCache>
            </c:strRef>
          </c:cat>
          <c:val>
            <c:numRef>
              <c:f>'2018 Q2'!$F$4:$F$9</c:f>
              <c:numCache>
                <c:formatCode>0.0</c:formatCode>
                <c:ptCount val="6"/>
                <c:pt idx="0">
                  <c:v>3.7218742342639599</c:v>
                </c:pt>
                <c:pt idx="1">
                  <c:v>1.02416772212313</c:v>
                </c:pt>
                <c:pt idx="2">
                  <c:v>1.24248762590187</c:v>
                </c:pt>
                <c:pt idx="3">
                  <c:v>-1.8701685529346599</c:v>
                </c:pt>
                <c:pt idx="4">
                  <c:v>1.2014434162412</c:v>
                </c:pt>
                <c:pt idx="5">
                  <c:v>-0.109472726849666</c:v>
                </c:pt>
              </c:numCache>
            </c:numRef>
          </c:val>
          <c:extLst xmlns:c16r2="http://schemas.microsoft.com/office/drawing/2015/06/chart">
            <c:ext xmlns:c16="http://schemas.microsoft.com/office/drawing/2014/chart" uri="{C3380CC4-5D6E-409C-BE32-E72D297353CC}">
              <c16:uniqueId val="{00000002-BD90-41B6-A578-EB8039122BAB}"/>
            </c:ext>
          </c:extLst>
        </c:ser>
        <c:dLbls>
          <c:dLblPos val="outEnd"/>
          <c:showLegendKey val="0"/>
          <c:showVal val="1"/>
          <c:showCatName val="0"/>
          <c:showSerName val="0"/>
          <c:showPercent val="0"/>
          <c:showBubbleSize val="0"/>
        </c:dLbls>
        <c:gapWidth val="219"/>
        <c:overlap val="-27"/>
        <c:axId val="157839520"/>
        <c:axId val="157840080"/>
      </c:barChart>
      <c:catAx>
        <c:axId val="15783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840080"/>
        <c:crosses val="autoZero"/>
        <c:auto val="1"/>
        <c:lblAlgn val="ctr"/>
        <c:lblOffset val="100"/>
        <c:noMultiLvlLbl val="0"/>
      </c:catAx>
      <c:valAx>
        <c:axId val="1578400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83952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Q2'!$E$3</c:f>
              <c:strCache>
                <c:ptCount val="1"/>
                <c:pt idx="0">
                  <c:v>Change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Q2'!$B$4:$B$10</c:f>
              <c:strCache>
                <c:ptCount val="6"/>
                <c:pt idx="0">
                  <c:v>Consumption</c:v>
                </c:pt>
                <c:pt idx="1">
                  <c:v>Government Spending</c:v>
                </c:pt>
                <c:pt idx="2">
                  <c:v>Investment</c:v>
                </c:pt>
                <c:pt idx="3">
                  <c:v>Export</c:v>
                </c:pt>
                <c:pt idx="4">
                  <c:v>Import</c:v>
                </c:pt>
                <c:pt idx="5">
                  <c:v>GDP</c:v>
                </c:pt>
              </c:strCache>
            </c:strRef>
          </c:cat>
          <c:val>
            <c:numRef>
              <c:f>'2018 Q2'!$E$4:$E$10</c:f>
              <c:numCache>
                <c:formatCode>0.0</c:formatCode>
                <c:ptCount val="6"/>
                <c:pt idx="0">
                  <c:v>6.3328896497113929</c:v>
                </c:pt>
                <c:pt idx="1">
                  <c:v>7.1758160542576555</c:v>
                </c:pt>
                <c:pt idx="2">
                  <c:v>3.9145994567380882</c:v>
                </c:pt>
                <c:pt idx="3">
                  <c:v>4.5392786471435853</c:v>
                </c:pt>
                <c:pt idx="4">
                  <c:v>0.26451043986148726</c:v>
                </c:pt>
                <c:pt idx="5">
                  <c:v>5.2103317187458309</c:v>
                </c:pt>
              </c:numCache>
            </c:numRef>
          </c:val>
          <c:extLst xmlns:c16r2="http://schemas.microsoft.com/office/drawing/2015/06/chart">
            <c:ext xmlns:c16="http://schemas.microsoft.com/office/drawing/2014/chart" uri="{C3380CC4-5D6E-409C-BE32-E72D297353CC}">
              <c16:uniqueId val="{00000000-BA3B-4DBF-AE1B-4756FF1577FA}"/>
            </c:ext>
          </c:extLst>
        </c:ser>
        <c:dLbls>
          <c:dLblPos val="outEnd"/>
          <c:showLegendKey val="0"/>
          <c:showVal val="1"/>
          <c:showCatName val="0"/>
          <c:showSerName val="0"/>
          <c:showPercent val="0"/>
          <c:showBubbleSize val="0"/>
        </c:dLbls>
        <c:gapWidth val="219"/>
        <c:overlap val="-27"/>
        <c:axId val="157842320"/>
        <c:axId val="157842880"/>
      </c:barChart>
      <c:catAx>
        <c:axId val="15784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842880"/>
        <c:crosses val="autoZero"/>
        <c:auto val="1"/>
        <c:lblAlgn val="ctr"/>
        <c:lblOffset val="100"/>
        <c:noMultiLvlLbl val="0"/>
      </c:catAx>
      <c:valAx>
        <c:axId val="1578428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84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Q2'!$E$29</c:f>
              <c:strCache>
                <c:ptCount val="1"/>
                <c:pt idx="0">
                  <c:v>Annual Change</c:v>
                </c:pt>
              </c:strCache>
            </c:strRef>
          </c:tx>
          <c:spPr>
            <a:solidFill>
              <a:schemeClr val="accent1"/>
            </a:solidFill>
            <a:ln>
              <a:noFill/>
            </a:ln>
            <a:effectLst/>
          </c:spPr>
          <c:invertIfNegative val="0"/>
          <c:cat>
            <c:strRef>
              <c:f>'2018 Q2'!$A$34:$A$55</c:f>
              <c:strCache>
                <c:ptCount val="22"/>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strCache>
            </c:strRef>
          </c:cat>
          <c:val>
            <c:numRef>
              <c:f>'2018 Q2'!$E$34:$E$55</c:f>
              <c:numCache>
                <c:formatCode>0.0</c:formatCode>
                <c:ptCount val="22"/>
                <c:pt idx="0">
                  <c:v>8.4909431903980259</c:v>
                </c:pt>
                <c:pt idx="1">
                  <c:v>9.8066583993321679</c:v>
                </c:pt>
                <c:pt idx="2">
                  <c:v>8.9226688185641834</c:v>
                </c:pt>
                <c:pt idx="3">
                  <c:v>6.8804097448097012</c:v>
                </c:pt>
                <c:pt idx="4">
                  <c:v>8.679514433077685</c:v>
                </c:pt>
                <c:pt idx="5">
                  <c:v>2.8975438907233864</c:v>
                </c:pt>
                <c:pt idx="6">
                  <c:v>3.6662593748295391</c:v>
                </c:pt>
                <c:pt idx="7">
                  <c:v>5.9302729224654627</c:v>
                </c:pt>
                <c:pt idx="8">
                  <c:v>3.6016444809847004</c:v>
                </c:pt>
                <c:pt idx="9">
                  <c:v>7.1600269477660072</c:v>
                </c:pt>
                <c:pt idx="10">
                  <c:v>5.785060369802375</c:v>
                </c:pt>
                <c:pt idx="11">
                  <c:v>7.4964855961417332</c:v>
                </c:pt>
                <c:pt idx="12">
                  <c:v>4.8088368022987549</c:v>
                </c:pt>
                <c:pt idx="13">
                  <c:v>4.9296739098340314</c:v>
                </c:pt>
                <c:pt idx="14">
                  <c:v>-0.81201904461093433</c:v>
                </c:pt>
                <c:pt idx="15">
                  <c:v>4.2392838766346808</c:v>
                </c:pt>
                <c:pt idx="16">
                  <c:v>5.2650795111870874</c:v>
                </c:pt>
                <c:pt idx="17">
                  <c:v>5.3007189454935322</c:v>
                </c:pt>
                <c:pt idx="18">
                  <c:v>11.493733691852226</c:v>
                </c:pt>
                <c:pt idx="19">
                  <c:v>7.3402777707753497</c:v>
                </c:pt>
                <c:pt idx="20">
                  <c:v>7.2551677844347351</c:v>
                </c:pt>
                <c:pt idx="21">
                  <c:v>5.2103317187458309</c:v>
                </c:pt>
              </c:numCache>
            </c:numRef>
          </c:val>
          <c:extLst xmlns:c16r2="http://schemas.microsoft.com/office/drawing/2015/06/chart">
            <c:ext xmlns:c16="http://schemas.microsoft.com/office/drawing/2014/chart" uri="{C3380CC4-5D6E-409C-BE32-E72D297353CC}">
              <c16:uniqueId val="{00000000-FACB-4FE9-9A35-4EFDB3BBEB81}"/>
            </c:ext>
          </c:extLst>
        </c:ser>
        <c:dLbls>
          <c:showLegendKey val="0"/>
          <c:showVal val="0"/>
          <c:showCatName val="0"/>
          <c:showSerName val="0"/>
          <c:showPercent val="0"/>
          <c:showBubbleSize val="0"/>
        </c:dLbls>
        <c:gapWidth val="75"/>
        <c:overlap val="-25"/>
        <c:axId val="276319856"/>
        <c:axId val="302529424"/>
      </c:barChart>
      <c:lineChart>
        <c:grouping val="standard"/>
        <c:varyColors val="0"/>
        <c:ser>
          <c:idx val="1"/>
          <c:order val="1"/>
          <c:tx>
            <c:strRef>
              <c:f>'2018 Q2'!$F$29</c:f>
              <c:strCache>
                <c:ptCount val="1"/>
                <c:pt idx="0">
                  <c:v>Quarter Change</c:v>
                </c:pt>
              </c:strCache>
            </c:strRef>
          </c:tx>
          <c:spPr>
            <a:ln w="25400" cap="rnd">
              <a:solidFill>
                <a:schemeClr val="tx1"/>
              </a:solidFill>
              <a:round/>
            </a:ln>
            <a:effectLst/>
          </c:spPr>
          <c:marker>
            <c:symbol val="none"/>
          </c:marker>
          <c:cat>
            <c:strRef>
              <c:f>'2018 Q2'!$A$34:$A$55</c:f>
              <c:strCache>
                <c:ptCount val="22"/>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strCache>
            </c:strRef>
          </c:cat>
          <c:val>
            <c:numRef>
              <c:f>'2018 Q2'!$F$34:$F$55</c:f>
              <c:numCache>
                <c:formatCode>0.0</c:formatCode>
                <c:ptCount val="22"/>
                <c:pt idx="0">
                  <c:v>3.6208473646581751</c:v>
                </c:pt>
                <c:pt idx="1">
                  <c:v>2.6178718123111455</c:v>
                </c:pt>
                <c:pt idx="2">
                  <c:v>1.3467776239150187</c:v>
                </c:pt>
                <c:pt idx="3">
                  <c:v>0.7323027398944415</c:v>
                </c:pt>
                <c:pt idx="4">
                  <c:v>2.6644199701995719</c:v>
                </c:pt>
                <c:pt idx="5">
                  <c:v>-1.5498061972216148</c:v>
                </c:pt>
                <c:pt idx="6">
                  <c:v>2.3568373716194246</c:v>
                </c:pt>
                <c:pt idx="7">
                  <c:v>1.4948925124467438</c:v>
                </c:pt>
                <c:pt idx="8">
                  <c:v>1.9680165671264405</c:v>
                </c:pt>
                <c:pt idx="9">
                  <c:v>1.4543276015103856</c:v>
                </c:pt>
                <c:pt idx="10">
                  <c:v>1.2173312525739277</c:v>
                </c:pt>
                <c:pt idx="11">
                  <c:v>0.89080425814251907</c:v>
                </c:pt>
                <c:pt idx="12">
                  <c:v>0.68060047433446957</c:v>
                </c:pt>
                <c:pt idx="13">
                  <c:v>1.391938020083372</c:v>
                </c:pt>
                <c:pt idx="14">
                  <c:v>-2.5773868785823439</c:v>
                </c:pt>
                <c:pt idx="15">
                  <c:v>4.6010933386024799</c:v>
                </c:pt>
                <c:pt idx="16">
                  <c:v>1.795581533156887</c:v>
                </c:pt>
                <c:pt idx="17">
                  <c:v>2.5302725056090436</c:v>
                </c:pt>
                <c:pt idx="18">
                  <c:v>1.2957862926837205</c:v>
                </c:pt>
                <c:pt idx="19">
                  <c:v>1.6265528289569398</c:v>
                </c:pt>
                <c:pt idx="20">
                  <c:v>1.547741456316265</c:v>
                </c:pt>
                <c:pt idx="21">
                  <c:v>0.93469716272069903</c:v>
                </c:pt>
              </c:numCache>
            </c:numRef>
          </c:val>
          <c:smooth val="0"/>
          <c:extLst xmlns:c16r2="http://schemas.microsoft.com/office/drawing/2015/06/chart">
            <c:ext xmlns:c16="http://schemas.microsoft.com/office/drawing/2014/chart" uri="{C3380CC4-5D6E-409C-BE32-E72D297353CC}">
              <c16:uniqueId val="{00000001-FACB-4FE9-9A35-4EFDB3BBEB81}"/>
            </c:ext>
          </c:extLst>
        </c:ser>
        <c:dLbls>
          <c:showLegendKey val="0"/>
          <c:showVal val="0"/>
          <c:showCatName val="0"/>
          <c:showSerName val="0"/>
          <c:showPercent val="0"/>
          <c:showBubbleSize val="0"/>
        </c:dLbls>
        <c:marker val="1"/>
        <c:smooth val="0"/>
        <c:axId val="276319856"/>
        <c:axId val="302529424"/>
      </c:lineChart>
      <c:catAx>
        <c:axId val="27631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302529424"/>
        <c:crosses val="autoZero"/>
        <c:auto val="1"/>
        <c:lblAlgn val="ctr"/>
        <c:lblOffset val="100"/>
        <c:noMultiLvlLbl val="0"/>
      </c:catAx>
      <c:valAx>
        <c:axId val="3025294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631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1BA3-C689-4781-BA2E-71B924A4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1040</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seyfettin gursel</cp:lastModifiedBy>
  <cp:revision>8</cp:revision>
  <cp:lastPrinted>2017-12-14T09:18:00Z</cp:lastPrinted>
  <dcterms:created xsi:type="dcterms:W3CDTF">2018-11-06T08:16:00Z</dcterms:created>
  <dcterms:modified xsi:type="dcterms:W3CDTF">2018-11-06T09:07:00Z</dcterms:modified>
</cp:coreProperties>
</file>