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13" w:rsidRPr="0050008F" w:rsidRDefault="007F39BB">
      <w:pPr>
        <w:rPr>
          <w:rFonts w:ascii="Palatino Linotype" w:hAnsi="Palatino Linotype" w:cstheme="minorHAnsi"/>
        </w:rPr>
      </w:pPr>
      <w:r w:rsidRPr="0050008F">
        <w:rPr>
          <w:rFonts w:ascii="Palatino Linotype" w:hAnsi="Palatino Linotype" w:cstheme="minorHAnsi"/>
          <w:noProof/>
          <w:lang w:val="en-GB" w:eastAsia="en-GB"/>
        </w:rPr>
        <mc:AlternateContent>
          <mc:Choice Requires="wps">
            <w:drawing>
              <wp:anchor distT="0" distB="0" distL="114935" distR="114935" simplePos="0" relativeHeight="251658752" behindDoc="0" locked="0" layoutInCell="1" allowOverlap="1">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F0654E">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07.65pt;margin-top:-55.85pt;width:300.75pt;height:5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mwhwIAAB0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gOKFs1PNPajFKCgmSALeGDA6Zb5jNEC/1th+OxDDMBLvJSjON/dkmMnYTQaRFI7W&#10;2GEUzY2Lj8BBG77vADlqWqorUGXLg2AeWQBlP4EeDOQf3gvf5E/nwevxVVv9AgAA//8DAFBLAwQU&#10;AAYACAAAACEAwDBLId8AAAALAQAADwAAAGRycy9kb3ducmV2LnhtbEyPwU6DQBCG7ya+w2ZMvLXL&#10;0lgosjRaY69GNOl1C1MgsLOE3bb49h1PepyZL/98f76d7SAuOPnOkQa1jEAgVa7uqNHw/fW+SEH4&#10;YKg2gyPU8IMetsX9XW6y2l3pEy9laASHkM+MhjaEMZPSVy1a45duROLbyU3WBB6nRtaTuXK4HWQc&#10;RWtpTUf8oTUj7lqs+vJsNaw+4uTg9+Xbbjzgpk/9a3+iVuvHh/nlGUTAOfzB8KvP6lCw09GdqfZi&#10;0BCrpxWjGhZKqQQEI6lac5sjrzYJyCKX/zsUNwAAAP//AwBQSwECLQAUAAYACAAAACEAtoM4kv4A&#10;AADhAQAAEwAAAAAAAAAAAAAAAAAAAAAAW0NvbnRlbnRfVHlwZXNdLnhtbFBLAQItABQABgAIAAAA&#10;IQA4/SH/1gAAAJQBAAALAAAAAAAAAAAAAAAAAC8BAABfcmVscy8ucmVsc1BLAQItABQABgAIAAAA&#10;IQAjoumwhwIAAB0FAAAOAAAAAAAAAAAAAAAAAC4CAABkcnMvZTJvRG9jLnhtbFBLAQItABQABgAI&#10;AAAAIQDAMEsh3wAAAAsBAAAPAAAAAAAAAAAAAAAAAOEEAABkcnMvZG93bnJldi54bWxQSwUGAAAA&#10;AAQABADzAAAA7QUAAAAA&#10;" stroked="f">
                <v:fill opacity="0"/>
                <v:textbox inset="0,0,0,0">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F0654E">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v:textbox>
              </v:shape>
            </w:pict>
          </mc:Fallback>
        </mc:AlternateContent>
      </w:r>
      <w:r w:rsidR="00F676BF" w:rsidRPr="0050008F">
        <w:rPr>
          <w:rFonts w:ascii="Palatino Linotype" w:hAnsi="Palatino Linotype" w:cstheme="minorHAnsi"/>
          <w:noProof/>
          <w:lang w:val="en-GB" w:eastAsia="en-GB"/>
        </w:rPr>
        <mc:AlternateContent>
          <mc:Choice Requires="wps">
            <w:drawing>
              <wp:anchor distT="0" distB="0" distL="114935" distR="114935" simplePos="0" relativeHeight="251661824" behindDoc="0" locked="0" layoutInCell="1" allowOverlap="1">
                <wp:simplePos x="0" y="0"/>
                <wp:positionH relativeFrom="column">
                  <wp:posOffset>4748529</wp:posOffset>
                </wp:positionH>
                <wp:positionV relativeFrom="paragraph">
                  <wp:posOffset>5080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631D5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 xml:space="preserve">   </w:t>
                            </w:r>
                            <w:r w:rsidR="00F441A2">
                              <w:rPr>
                                <w:rFonts w:ascii="Arial" w:eastAsia="Times New Roman" w:hAnsi="Arial" w:cs="Arial"/>
                                <w:b/>
                                <w:bCs/>
                                <w:color w:val="FFFFFF"/>
                                <w:sz w:val="22"/>
                                <w:szCs w:val="22"/>
                                <w:lang w:eastAsia="ar-SA"/>
                              </w:rPr>
                              <w:t>1</w:t>
                            </w:r>
                            <w:r w:rsidR="000F2C7A">
                              <w:rPr>
                                <w:rFonts w:ascii="Arial" w:eastAsia="Times New Roman" w:hAnsi="Arial" w:cs="Arial"/>
                                <w:b/>
                                <w:bCs/>
                                <w:color w:val="FFFFFF"/>
                                <w:sz w:val="22"/>
                                <w:szCs w:val="22"/>
                                <w:lang w:eastAsia="ar-SA"/>
                              </w:rPr>
                              <w:t>8</w:t>
                            </w:r>
                            <w:r w:rsidR="00C86475">
                              <w:rPr>
                                <w:rFonts w:ascii="Arial" w:eastAsia="Times New Roman" w:hAnsi="Arial" w:cs="Arial"/>
                                <w:b/>
                                <w:bCs/>
                                <w:color w:val="FFFFFF"/>
                                <w:sz w:val="22"/>
                                <w:szCs w:val="22"/>
                                <w:lang w:eastAsia="ar-SA"/>
                              </w:rPr>
                              <w:t xml:space="preserve"> </w:t>
                            </w:r>
                            <w:r w:rsidR="00F0654E">
                              <w:rPr>
                                <w:rFonts w:ascii="Arial" w:eastAsia="Times New Roman" w:hAnsi="Arial" w:cs="Arial"/>
                                <w:b/>
                                <w:bCs/>
                                <w:color w:val="FFFFFF"/>
                                <w:sz w:val="22"/>
                                <w:szCs w:val="22"/>
                                <w:lang w:eastAsia="ar-SA"/>
                              </w:rPr>
                              <w:t>Eylül</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73.9pt;margin-top:.4pt;width:95.25pt;height:33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ydjQIAACMFAAAOAAAAZHJzL2Uyb0RvYy54bWysVNuO2yAQfa/Uf0C8Z32pk42tdVZ7aapK&#10;24u02w8gBseoGCiQ2NtV/70DxNnN9qWq6gc8wHBmzsyBi8uxF2jPjOVK1jg7SzFislGUy22Nvz2s&#10;Z0uMrCOSEqEkq/Ejs/hy9fbNxaArlqtOCcoMAhBpq0HXuHNOV0lim471xJ4pzSRstsr0xMHUbBNq&#10;yADovUjyNF0kgzJUG9Uwa2H1Nm7iVcBvW9a4L21rmUOixpCbC6MJ48aPyeqCVFtDdMebQxrkH7Lo&#10;CZcQ9Ah1SxxBO8P/gOp5Y5RVrTtrVJ+otuUNCxyATZa+YnPfEc0CFyiO1ccy2f8H23zefzWI0xrn&#10;GEnSQ4se2OjQtRrRO1+dQdsKnO41uLkRlqHLganVd6r5bpFUNx2RW3ZljBo6Rihkl/mTyYujEcd6&#10;kM3wSVEIQ3ZOBaCxNb0vHRQDATp06fHYGZ9K40Pmabk4n2PUwF6RlVkaWpeQajqtjXUfmOqRN2ps&#10;oPMBnezvrPPZkGpy8cGsEpyuuRBhYrabG2HQnoBK1uGLZ4XuSFydwtnoGvBOMIT0SFJ5zBgurgAD&#10;SMDveS5BEk9llhfpdV7O1ovl+axYF/NZeZ4uZ2lWXpeLtCiL2/Uvn0FWVB2nlMk7Ltkkz6z4u/Yf&#10;LkoUVhAoGmpczvN5IHeS/YHWgWvqv9DCV4XquYPbKnhf4+XRiVS+6+8lBdqkcoSLaCen6YeSQQ2m&#10;f6hK0IiXRRSIGzdjEGMQkNfPRtFHEI1R0FNQBrw0YHTK/MRogFtbY/tjRwzDSHyUIDx/xSfDTMZm&#10;Mohs4GiNHUbRvHHxKdhpw7cdIEdpS3UF4mx50M1zFpC5n8BNDBwOr4a/6i/nwev5bVv9BgAA//8D&#10;AFBLAwQUAAYACAAAACEAwtz7N9wAAAAHAQAADwAAAGRycy9kb3ducmV2LnhtbEzOwU7DMAwG4DsS&#10;7xAZiRtLWVHblboTDMEVUZB2zRqvqdo4VZNt5e0JJ7hYsn7r91dtFzuKM82+d4xwv0pAELdO99wh&#10;fH2+3hUgfFCs1eiYEL7Jw7a+vqpUqd2FP+jchE7EEvalQjAhTKWUvjVklV+5iThmRzdbFeI6d1LP&#10;6hLL7SjXSZJJq3qOH4yaaGeoHZqTRUjf1/nevzUvu2lPm6Hwz8ORDeLtzfL0CCLQEv6O4Zcf6VBH&#10;08GdWHsxIuQPeaQHhDhjvEmLFMQBIcsKkHUl//vrHwAAAP//AwBQSwECLQAUAAYACAAAACEAtoM4&#10;kv4AAADhAQAAEwAAAAAAAAAAAAAAAAAAAAAAW0NvbnRlbnRfVHlwZXNdLnhtbFBLAQItABQABgAI&#10;AAAAIQA4/SH/1gAAAJQBAAALAAAAAAAAAAAAAAAAAC8BAABfcmVscy8ucmVsc1BLAQItABQABgAI&#10;AAAAIQCtQEydjQIAACMFAAAOAAAAAAAAAAAAAAAAAC4CAABkcnMvZTJvRG9jLnhtbFBLAQItABQA&#10;BgAIAAAAIQDC3Ps33AAAAAcBAAAPAAAAAAAAAAAAAAAAAOcEAABkcnMvZG93bnJldi54bWxQSwUG&#10;AAAAAAQABADzAAAA8AUAAAAA&#10;" stroked="f">
                <v:fill opacity="0"/>
                <v:textbox inset="0,0,0,0">
                  <w:txbxContent>
                    <w:p w:rsidR="00D07713" w:rsidRPr="00D07713" w:rsidRDefault="00631D5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 xml:space="preserve">   </w:t>
                      </w:r>
                      <w:r w:rsidR="00F441A2">
                        <w:rPr>
                          <w:rFonts w:ascii="Arial" w:eastAsia="Times New Roman" w:hAnsi="Arial" w:cs="Arial"/>
                          <w:b/>
                          <w:bCs/>
                          <w:color w:val="FFFFFF"/>
                          <w:sz w:val="22"/>
                          <w:szCs w:val="22"/>
                          <w:lang w:eastAsia="ar-SA"/>
                        </w:rPr>
                        <w:t>1</w:t>
                      </w:r>
                      <w:r w:rsidR="000F2C7A">
                        <w:rPr>
                          <w:rFonts w:ascii="Arial" w:eastAsia="Times New Roman" w:hAnsi="Arial" w:cs="Arial"/>
                          <w:b/>
                          <w:bCs/>
                          <w:color w:val="FFFFFF"/>
                          <w:sz w:val="22"/>
                          <w:szCs w:val="22"/>
                          <w:lang w:eastAsia="ar-SA"/>
                        </w:rPr>
                        <w:t>8</w:t>
                      </w:r>
                      <w:r w:rsidR="00C86475">
                        <w:rPr>
                          <w:rFonts w:ascii="Arial" w:eastAsia="Times New Roman" w:hAnsi="Arial" w:cs="Arial"/>
                          <w:b/>
                          <w:bCs/>
                          <w:color w:val="FFFFFF"/>
                          <w:sz w:val="22"/>
                          <w:szCs w:val="22"/>
                          <w:lang w:eastAsia="ar-SA"/>
                        </w:rPr>
                        <w:t xml:space="preserve"> </w:t>
                      </w:r>
                      <w:r w:rsidR="00F0654E">
                        <w:rPr>
                          <w:rFonts w:ascii="Arial" w:eastAsia="Times New Roman" w:hAnsi="Arial" w:cs="Arial"/>
                          <w:b/>
                          <w:bCs/>
                          <w:color w:val="FFFFFF"/>
                          <w:sz w:val="22"/>
                          <w:szCs w:val="22"/>
                          <w:lang w:eastAsia="ar-SA"/>
                        </w:rPr>
                        <w:t>Eylül</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v:textbox>
              </v:shape>
            </w:pict>
          </mc:Fallback>
        </mc:AlternateContent>
      </w:r>
      <w:r w:rsidR="00D07713" w:rsidRPr="0050008F">
        <w:rPr>
          <w:rFonts w:ascii="Palatino Linotype" w:hAnsi="Palatino Linotype" w:cstheme="minorHAnsi"/>
          <w:noProof/>
          <w:lang w:val="en-GB" w:eastAsia="en-GB"/>
        </w:rPr>
        <w:drawing>
          <wp:anchor distT="0" distB="0" distL="114300" distR="114300" simplePos="0" relativeHeight="251655680"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50008F" w:rsidRDefault="00D07713">
      <w:pPr>
        <w:rPr>
          <w:rFonts w:ascii="Palatino Linotype" w:hAnsi="Palatino Linotype" w:cstheme="minorHAnsi"/>
        </w:rPr>
      </w:pPr>
    </w:p>
    <w:p w:rsidR="00D07713" w:rsidRPr="0050008F" w:rsidRDefault="00D07713" w:rsidP="00D07713">
      <w:pPr>
        <w:spacing w:line="288" w:lineRule="auto"/>
        <w:ind w:right="-319"/>
        <w:jc w:val="center"/>
        <w:outlineLvl w:val="0"/>
        <w:rPr>
          <w:rFonts w:ascii="Palatino Linotype" w:hAnsi="Palatino Linotype" w:cstheme="minorHAnsi"/>
          <w:b/>
          <w:bCs/>
          <w:sz w:val="28"/>
          <w:szCs w:val="28"/>
        </w:rPr>
      </w:pPr>
    </w:p>
    <w:p w:rsidR="00D34702" w:rsidRPr="0050008F" w:rsidRDefault="00D34702" w:rsidP="00D34702">
      <w:pPr>
        <w:spacing w:line="288" w:lineRule="auto"/>
        <w:ind w:right="-319"/>
        <w:jc w:val="center"/>
        <w:outlineLvl w:val="0"/>
        <w:rPr>
          <w:rFonts w:ascii="Palatino Linotype" w:hAnsi="Palatino Linotype" w:cstheme="minorHAnsi"/>
          <w:b/>
          <w:bCs/>
          <w:sz w:val="28"/>
          <w:szCs w:val="28"/>
        </w:rPr>
      </w:pPr>
      <w:r w:rsidRPr="0050008F">
        <w:rPr>
          <w:rFonts w:ascii="Palatino Linotype" w:hAnsi="Palatino Linotype" w:cstheme="minorHAnsi"/>
          <w:b/>
          <w:bCs/>
          <w:sz w:val="28"/>
          <w:szCs w:val="28"/>
        </w:rPr>
        <w:t xml:space="preserve">2. ÇEYREKTE </w:t>
      </w:r>
      <w:r w:rsidR="00830B62" w:rsidRPr="0050008F">
        <w:rPr>
          <w:rFonts w:ascii="Palatino Linotype" w:hAnsi="Palatino Linotype" w:cstheme="minorHAnsi"/>
          <w:b/>
          <w:bCs/>
          <w:sz w:val="28"/>
          <w:szCs w:val="28"/>
        </w:rPr>
        <w:t>BÜYÜME</w:t>
      </w:r>
      <w:r w:rsidR="001A42FF" w:rsidRPr="0050008F">
        <w:rPr>
          <w:rFonts w:ascii="Palatino Linotype" w:hAnsi="Palatino Linotype" w:cstheme="minorHAnsi"/>
          <w:b/>
          <w:bCs/>
          <w:sz w:val="28"/>
          <w:szCs w:val="28"/>
        </w:rPr>
        <w:t xml:space="preserve">Yİ TÜKETİM </w:t>
      </w:r>
      <w:r w:rsidR="00477AED" w:rsidRPr="0050008F">
        <w:rPr>
          <w:rFonts w:ascii="Palatino Linotype" w:hAnsi="Palatino Linotype" w:cstheme="minorHAnsi"/>
          <w:b/>
          <w:bCs/>
          <w:sz w:val="28"/>
          <w:szCs w:val="28"/>
        </w:rPr>
        <w:t xml:space="preserve">VE İHRACAT </w:t>
      </w:r>
      <w:r w:rsidR="006F1912" w:rsidRPr="0050008F">
        <w:rPr>
          <w:rFonts w:ascii="Palatino Linotype" w:hAnsi="Palatino Linotype" w:cstheme="minorHAnsi"/>
          <w:b/>
          <w:bCs/>
          <w:sz w:val="28"/>
          <w:szCs w:val="28"/>
        </w:rPr>
        <w:t>DESTEKLEDİ</w:t>
      </w:r>
    </w:p>
    <w:p w:rsidR="00D07713" w:rsidRPr="0050008F" w:rsidRDefault="003172DB" w:rsidP="00D34702">
      <w:pPr>
        <w:spacing w:line="288" w:lineRule="auto"/>
        <w:ind w:right="-319"/>
        <w:jc w:val="center"/>
        <w:outlineLvl w:val="0"/>
        <w:rPr>
          <w:rFonts w:ascii="Palatino Linotype" w:hAnsi="Palatino Linotype" w:cstheme="minorHAnsi"/>
        </w:rPr>
      </w:pPr>
      <w:r w:rsidRPr="0050008F">
        <w:rPr>
          <w:rFonts w:ascii="Palatino Linotype" w:hAnsi="Palatino Linotype" w:cstheme="minorHAnsi"/>
          <w:b/>
          <w:bCs/>
          <w:sz w:val="22"/>
          <w:szCs w:val="22"/>
        </w:rPr>
        <w:t>Seyfettin Gürsel</w:t>
      </w:r>
      <w:r w:rsidRPr="0050008F">
        <w:rPr>
          <w:rStyle w:val="FootnoteReference"/>
          <w:rFonts w:ascii="Palatino Linotype" w:hAnsi="Palatino Linotype" w:cstheme="minorHAnsi"/>
          <w:b/>
          <w:bCs/>
          <w:sz w:val="22"/>
          <w:szCs w:val="22"/>
        </w:rPr>
        <w:footnoteReference w:id="1"/>
      </w:r>
      <w:r w:rsidRPr="0050008F">
        <w:rPr>
          <w:rFonts w:ascii="Palatino Linotype" w:hAnsi="Palatino Linotype" w:cstheme="minorHAnsi"/>
          <w:b/>
          <w:bCs/>
          <w:sz w:val="22"/>
          <w:szCs w:val="22"/>
        </w:rPr>
        <w:t>,</w:t>
      </w:r>
      <w:r w:rsidR="00B02D74" w:rsidRPr="0050008F">
        <w:rPr>
          <w:rFonts w:ascii="Palatino Linotype" w:hAnsi="Palatino Linotype" w:cstheme="minorHAnsi"/>
          <w:b/>
          <w:bCs/>
          <w:sz w:val="22"/>
          <w:szCs w:val="22"/>
        </w:rPr>
        <w:t xml:space="preserve"> </w:t>
      </w:r>
      <w:r w:rsidR="00D07713" w:rsidRPr="0050008F">
        <w:rPr>
          <w:rFonts w:ascii="Palatino Linotype" w:hAnsi="Palatino Linotype" w:cstheme="minorHAnsi"/>
          <w:b/>
          <w:bCs/>
          <w:sz w:val="22"/>
          <w:szCs w:val="22"/>
        </w:rPr>
        <w:t>Ozan Bakış</w:t>
      </w:r>
      <w:r w:rsidR="00C32789" w:rsidRPr="0050008F">
        <w:rPr>
          <w:rStyle w:val="FootnoteReference"/>
          <w:rFonts w:ascii="Palatino Linotype" w:hAnsi="Palatino Linotype" w:cstheme="minorHAnsi"/>
          <w:b/>
          <w:bCs/>
          <w:sz w:val="22"/>
          <w:szCs w:val="22"/>
        </w:rPr>
        <w:footnoteReference w:id="2"/>
      </w:r>
      <w:r w:rsidR="001537D8" w:rsidRPr="0050008F">
        <w:rPr>
          <w:rFonts w:ascii="Palatino Linotype" w:hAnsi="Palatino Linotype" w:cstheme="minorHAnsi"/>
          <w:b/>
          <w:bCs/>
          <w:sz w:val="22"/>
          <w:szCs w:val="22"/>
        </w:rPr>
        <w:t xml:space="preserve"> ve Uğurcan Acar</w:t>
      </w:r>
      <w:r w:rsidR="001537D8" w:rsidRPr="0050008F">
        <w:rPr>
          <w:rStyle w:val="FootnoteReference"/>
          <w:rFonts w:ascii="Palatino Linotype" w:hAnsi="Palatino Linotype" w:cstheme="minorHAnsi"/>
          <w:b/>
          <w:bCs/>
          <w:sz w:val="22"/>
          <w:szCs w:val="22"/>
        </w:rPr>
        <w:footnoteReference w:id="3"/>
      </w:r>
    </w:p>
    <w:p w:rsidR="00D07713" w:rsidRPr="0050008F" w:rsidRDefault="00D07713">
      <w:pPr>
        <w:rPr>
          <w:rFonts w:ascii="Palatino Linotype" w:hAnsi="Palatino Linotype" w:cstheme="minorHAnsi"/>
        </w:rPr>
      </w:pPr>
    </w:p>
    <w:p w:rsidR="00D257C1" w:rsidRPr="0050008F" w:rsidRDefault="00D257C1" w:rsidP="007B70AD">
      <w:pPr>
        <w:jc w:val="center"/>
        <w:rPr>
          <w:rFonts w:ascii="Palatino Linotype" w:hAnsi="Palatino Linotype" w:cstheme="minorHAnsi"/>
          <w:b/>
          <w:sz w:val="22"/>
          <w:szCs w:val="22"/>
        </w:rPr>
      </w:pPr>
      <w:r w:rsidRPr="0050008F">
        <w:rPr>
          <w:rFonts w:ascii="Palatino Linotype" w:hAnsi="Palatino Linotype" w:cstheme="minorHAnsi"/>
          <w:b/>
          <w:sz w:val="22"/>
          <w:szCs w:val="22"/>
        </w:rPr>
        <w:t>Yönetici</w:t>
      </w:r>
      <w:r w:rsidR="00C86475" w:rsidRPr="0050008F">
        <w:rPr>
          <w:rFonts w:ascii="Palatino Linotype" w:hAnsi="Palatino Linotype" w:cstheme="minorHAnsi"/>
          <w:b/>
          <w:sz w:val="22"/>
          <w:szCs w:val="22"/>
        </w:rPr>
        <w:t xml:space="preserve"> </w:t>
      </w:r>
      <w:r w:rsidRPr="0050008F">
        <w:rPr>
          <w:rFonts w:ascii="Palatino Linotype" w:hAnsi="Palatino Linotype" w:cstheme="minorHAnsi"/>
          <w:b/>
          <w:sz w:val="22"/>
          <w:szCs w:val="22"/>
        </w:rPr>
        <w:t>Özeti</w:t>
      </w:r>
    </w:p>
    <w:p w:rsidR="00111CED" w:rsidRPr="0050008F" w:rsidRDefault="00111CED" w:rsidP="007B70AD">
      <w:pPr>
        <w:jc w:val="center"/>
        <w:rPr>
          <w:rFonts w:ascii="Palatino Linotype" w:hAnsi="Palatino Linotype" w:cstheme="minorHAnsi"/>
          <w:b/>
          <w:sz w:val="22"/>
          <w:szCs w:val="22"/>
        </w:rPr>
      </w:pPr>
    </w:p>
    <w:p w:rsidR="00190944" w:rsidRPr="0050008F" w:rsidRDefault="00D257C1" w:rsidP="001F7BC7">
      <w:pPr>
        <w:spacing w:after="120"/>
        <w:ind w:left="567" w:right="567"/>
        <w:jc w:val="both"/>
        <w:rPr>
          <w:rFonts w:ascii="Palatino Linotype" w:hAnsi="Palatino Linotype" w:cstheme="minorHAnsi"/>
          <w:strike/>
          <w:sz w:val="22"/>
          <w:szCs w:val="22"/>
        </w:rPr>
      </w:pPr>
      <w:r w:rsidRPr="0050008F">
        <w:rPr>
          <w:rFonts w:ascii="Palatino Linotype" w:hAnsi="Palatino Linotype" w:cstheme="minorHAnsi"/>
          <w:sz w:val="22"/>
          <w:szCs w:val="22"/>
        </w:rPr>
        <w:t>201</w:t>
      </w:r>
      <w:r w:rsidR="00A2601A" w:rsidRPr="0050008F">
        <w:rPr>
          <w:rFonts w:ascii="Palatino Linotype" w:hAnsi="Palatino Linotype" w:cstheme="minorHAnsi"/>
          <w:sz w:val="22"/>
          <w:szCs w:val="22"/>
        </w:rPr>
        <w:t>8</w:t>
      </w:r>
      <w:r w:rsidRPr="0050008F">
        <w:rPr>
          <w:rFonts w:ascii="Palatino Linotype" w:hAnsi="Palatino Linotype" w:cstheme="minorHAnsi"/>
          <w:sz w:val="22"/>
          <w:szCs w:val="22"/>
        </w:rPr>
        <w:t xml:space="preserve"> yılının </w:t>
      </w:r>
      <w:r w:rsidR="00F0654E" w:rsidRPr="0050008F">
        <w:rPr>
          <w:rFonts w:ascii="Palatino Linotype" w:hAnsi="Palatino Linotype" w:cstheme="minorHAnsi"/>
          <w:sz w:val="22"/>
          <w:szCs w:val="22"/>
        </w:rPr>
        <w:t>ikinci</w:t>
      </w:r>
      <w:r w:rsidRPr="0050008F">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F0654E" w:rsidRPr="0050008F">
        <w:rPr>
          <w:rFonts w:ascii="Palatino Linotype" w:hAnsi="Palatino Linotype" w:cstheme="minorHAnsi"/>
          <w:sz w:val="22"/>
          <w:szCs w:val="22"/>
        </w:rPr>
        <w:t>0,9</w:t>
      </w:r>
      <w:r w:rsidRPr="0050008F">
        <w:rPr>
          <w:rFonts w:ascii="Palatino Linotype" w:hAnsi="Palatino Linotype" w:cstheme="minorHAnsi"/>
          <w:sz w:val="22"/>
          <w:szCs w:val="22"/>
        </w:rPr>
        <w:t xml:space="preserve">, geçen yılın </w:t>
      </w:r>
      <w:r w:rsidR="00EA0ED2" w:rsidRPr="0050008F">
        <w:rPr>
          <w:rFonts w:ascii="Palatino Linotype" w:hAnsi="Palatino Linotype" w:cstheme="minorHAnsi"/>
          <w:sz w:val="22"/>
          <w:szCs w:val="22"/>
        </w:rPr>
        <w:t>ik</w:t>
      </w:r>
      <w:r w:rsidR="00765445">
        <w:rPr>
          <w:rFonts w:ascii="Palatino Linotype" w:hAnsi="Palatino Linotype" w:cstheme="minorHAnsi"/>
          <w:sz w:val="22"/>
          <w:szCs w:val="22"/>
        </w:rPr>
        <w:t>inci</w:t>
      </w:r>
      <w:r w:rsidRPr="0050008F">
        <w:rPr>
          <w:rFonts w:ascii="Palatino Linotype" w:hAnsi="Palatino Linotype" w:cstheme="minorHAnsi"/>
          <w:sz w:val="22"/>
          <w:szCs w:val="22"/>
        </w:rPr>
        <w:t xml:space="preserve"> çeyreğine kıyasla yüzde </w:t>
      </w:r>
      <w:r w:rsidR="00F0654E" w:rsidRPr="0050008F">
        <w:rPr>
          <w:rFonts w:ascii="Palatino Linotype" w:hAnsi="Palatino Linotype" w:cstheme="minorHAnsi"/>
          <w:sz w:val="22"/>
          <w:szCs w:val="22"/>
        </w:rPr>
        <w:t>5,2</w:t>
      </w:r>
      <w:r w:rsidRPr="0050008F">
        <w:rPr>
          <w:rFonts w:ascii="Palatino Linotype" w:hAnsi="Palatino Linotype" w:cstheme="minorHAnsi"/>
          <w:sz w:val="22"/>
          <w:szCs w:val="22"/>
        </w:rPr>
        <w:t xml:space="preserve"> oranında arttı. </w:t>
      </w:r>
      <w:r w:rsidR="00CC79C0" w:rsidRPr="0050008F">
        <w:rPr>
          <w:rFonts w:ascii="Palatino Linotype" w:hAnsi="Palatino Linotype" w:cstheme="minorHAnsi"/>
          <w:sz w:val="22"/>
          <w:szCs w:val="22"/>
        </w:rPr>
        <w:t xml:space="preserve">Yıldan yıla büyümeye </w:t>
      </w:r>
      <w:r w:rsidRPr="0050008F">
        <w:rPr>
          <w:rFonts w:ascii="Palatino Linotype" w:hAnsi="Palatino Linotype" w:cstheme="minorHAnsi"/>
          <w:sz w:val="22"/>
          <w:szCs w:val="22"/>
        </w:rPr>
        <w:t>en yüksek katkı</w:t>
      </w:r>
      <w:r w:rsidR="00830B62" w:rsidRPr="0050008F">
        <w:rPr>
          <w:rFonts w:ascii="Palatino Linotype" w:hAnsi="Palatino Linotype" w:cstheme="minorHAnsi"/>
          <w:sz w:val="22"/>
          <w:szCs w:val="22"/>
        </w:rPr>
        <w:t xml:space="preserve"> tüketim (</w:t>
      </w:r>
      <w:r w:rsidR="00C271FA" w:rsidRPr="0050008F">
        <w:rPr>
          <w:rFonts w:ascii="Palatino Linotype" w:hAnsi="Palatino Linotype" w:cstheme="minorHAnsi"/>
          <w:sz w:val="22"/>
          <w:szCs w:val="22"/>
        </w:rPr>
        <w:t>3,7</w:t>
      </w:r>
      <w:r w:rsidR="000978C8" w:rsidRPr="0050008F">
        <w:rPr>
          <w:rFonts w:ascii="Palatino Linotype" w:hAnsi="Palatino Linotype" w:cstheme="minorHAnsi"/>
          <w:sz w:val="22"/>
          <w:szCs w:val="22"/>
        </w:rPr>
        <w:t xml:space="preserve"> yüzde puan</w:t>
      </w:r>
      <w:r w:rsidR="00830B62" w:rsidRPr="0050008F">
        <w:rPr>
          <w:rFonts w:ascii="Palatino Linotype" w:hAnsi="Palatino Linotype" w:cstheme="minorHAnsi"/>
          <w:sz w:val="22"/>
          <w:szCs w:val="22"/>
        </w:rPr>
        <w:t>) kalem</w:t>
      </w:r>
      <w:r w:rsidR="00C271FA" w:rsidRPr="0050008F">
        <w:rPr>
          <w:rFonts w:ascii="Palatino Linotype" w:hAnsi="Palatino Linotype" w:cstheme="minorHAnsi"/>
          <w:sz w:val="22"/>
          <w:szCs w:val="22"/>
        </w:rPr>
        <w:t>i</w:t>
      </w:r>
      <w:r w:rsidR="00830B62" w:rsidRPr="0050008F">
        <w:rPr>
          <w:rFonts w:ascii="Palatino Linotype" w:hAnsi="Palatino Linotype" w:cstheme="minorHAnsi"/>
          <w:sz w:val="22"/>
          <w:szCs w:val="22"/>
        </w:rPr>
        <w:t>nden</w:t>
      </w:r>
      <w:bookmarkStart w:id="0" w:name="_GoBack"/>
      <w:bookmarkEnd w:id="0"/>
      <w:r w:rsidR="00830B62" w:rsidRPr="0050008F">
        <w:rPr>
          <w:rFonts w:ascii="Palatino Linotype" w:hAnsi="Palatino Linotype" w:cstheme="minorHAnsi"/>
          <w:sz w:val="22"/>
          <w:szCs w:val="22"/>
        </w:rPr>
        <w:t xml:space="preserve"> geldi. </w:t>
      </w:r>
      <w:r w:rsidR="00E67DCD" w:rsidRPr="0050008F">
        <w:rPr>
          <w:rFonts w:ascii="Palatino Linotype" w:hAnsi="Palatino Linotype" w:cstheme="minorHAnsi"/>
          <w:sz w:val="22"/>
          <w:szCs w:val="22"/>
        </w:rPr>
        <w:t>201</w:t>
      </w:r>
      <w:r w:rsidR="00C271FA" w:rsidRPr="0050008F">
        <w:rPr>
          <w:rFonts w:ascii="Palatino Linotype" w:hAnsi="Palatino Linotype" w:cstheme="minorHAnsi"/>
          <w:sz w:val="22"/>
          <w:szCs w:val="22"/>
        </w:rPr>
        <w:t>8</w:t>
      </w:r>
      <w:r w:rsidR="00E67DCD" w:rsidRPr="0050008F">
        <w:rPr>
          <w:rFonts w:ascii="Palatino Linotype" w:hAnsi="Palatino Linotype" w:cstheme="minorHAnsi"/>
          <w:sz w:val="22"/>
          <w:szCs w:val="22"/>
        </w:rPr>
        <w:t xml:space="preserve"> yılının </w:t>
      </w:r>
      <w:r w:rsidR="00C271FA" w:rsidRPr="0050008F">
        <w:rPr>
          <w:rFonts w:ascii="Palatino Linotype" w:hAnsi="Palatino Linotype" w:cstheme="minorHAnsi"/>
          <w:sz w:val="22"/>
          <w:szCs w:val="22"/>
        </w:rPr>
        <w:t>ilk</w:t>
      </w:r>
      <w:r w:rsidR="00E67DCD" w:rsidRPr="0050008F">
        <w:rPr>
          <w:rFonts w:ascii="Palatino Linotype" w:hAnsi="Palatino Linotype" w:cstheme="minorHAnsi"/>
          <w:sz w:val="22"/>
          <w:szCs w:val="22"/>
        </w:rPr>
        <w:t xml:space="preserve"> çeyreğinde y</w:t>
      </w:r>
      <w:r w:rsidR="00830B62" w:rsidRPr="0050008F">
        <w:rPr>
          <w:rFonts w:ascii="Palatino Linotype" w:hAnsi="Palatino Linotype" w:cstheme="minorHAnsi"/>
          <w:sz w:val="22"/>
          <w:szCs w:val="22"/>
        </w:rPr>
        <w:t xml:space="preserve">üzde </w:t>
      </w:r>
      <w:r w:rsidR="00C271FA" w:rsidRPr="0050008F">
        <w:rPr>
          <w:rFonts w:ascii="Palatino Linotype" w:hAnsi="Palatino Linotype" w:cstheme="minorHAnsi"/>
          <w:sz w:val="22"/>
          <w:szCs w:val="22"/>
        </w:rPr>
        <w:t>15</w:t>
      </w:r>
      <w:r w:rsidR="00E67DCD" w:rsidRPr="0050008F">
        <w:rPr>
          <w:rFonts w:ascii="Palatino Linotype" w:hAnsi="Palatino Linotype" w:cstheme="minorHAnsi"/>
          <w:sz w:val="22"/>
          <w:szCs w:val="22"/>
        </w:rPr>
        <w:t>’in üzerinde büyüyen ithalat</w:t>
      </w:r>
      <w:r w:rsidR="00C271FA" w:rsidRPr="0050008F">
        <w:rPr>
          <w:rFonts w:ascii="Palatino Linotype" w:hAnsi="Palatino Linotype" w:cstheme="minorHAnsi"/>
          <w:sz w:val="22"/>
          <w:szCs w:val="22"/>
        </w:rPr>
        <w:t>ın</w:t>
      </w:r>
      <w:r w:rsidR="00E67DCD" w:rsidRPr="0050008F">
        <w:rPr>
          <w:rFonts w:ascii="Palatino Linotype" w:hAnsi="Palatino Linotype" w:cstheme="minorHAnsi"/>
          <w:sz w:val="22"/>
          <w:szCs w:val="22"/>
        </w:rPr>
        <w:t xml:space="preserve"> 2018 </w:t>
      </w:r>
      <w:r w:rsidR="00C271FA" w:rsidRPr="0050008F">
        <w:rPr>
          <w:rFonts w:ascii="Palatino Linotype" w:hAnsi="Palatino Linotype" w:cstheme="minorHAnsi"/>
          <w:sz w:val="22"/>
          <w:szCs w:val="22"/>
        </w:rPr>
        <w:t>ikinci</w:t>
      </w:r>
      <w:r w:rsidR="00E67DCD" w:rsidRPr="0050008F">
        <w:rPr>
          <w:rFonts w:ascii="Palatino Linotype" w:hAnsi="Palatino Linotype" w:cstheme="minorHAnsi"/>
          <w:sz w:val="22"/>
          <w:szCs w:val="22"/>
        </w:rPr>
        <w:t xml:space="preserve"> çeyrekte </w:t>
      </w:r>
      <w:r w:rsidR="00C271FA" w:rsidRPr="0050008F">
        <w:rPr>
          <w:rFonts w:ascii="Palatino Linotype" w:hAnsi="Palatino Linotype" w:cstheme="minorHAnsi"/>
          <w:sz w:val="22"/>
          <w:szCs w:val="22"/>
        </w:rPr>
        <w:t>neredeyse hiç artmadığını görüyoruz.</w:t>
      </w:r>
      <w:r w:rsidR="00E67DCD" w:rsidRPr="0050008F">
        <w:rPr>
          <w:rFonts w:ascii="Palatino Linotype" w:hAnsi="Palatino Linotype" w:cstheme="minorHAnsi"/>
          <w:sz w:val="22"/>
          <w:szCs w:val="22"/>
        </w:rPr>
        <w:t xml:space="preserve"> İhracat</w:t>
      </w:r>
      <w:r w:rsidR="00C271FA" w:rsidRPr="0050008F">
        <w:rPr>
          <w:rFonts w:ascii="Palatino Linotype" w:hAnsi="Palatino Linotype" w:cstheme="minorHAnsi"/>
          <w:sz w:val="22"/>
          <w:szCs w:val="22"/>
        </w:rPr>
        <w:t>taki artış ise</w:t>
      </w:r>
      <w:r w:rsidR="00F441A2" w:rsidRPr="0050008F">
        <w:rPr>
          <w:rFonts w:ascii="Palatino Linotype" w:hAnsi="Palatino Linotype" w:cstheme="minorHAnsi"/>
          <w:sz w:val="22"/>
          <w:szCs w:val="22"/>
        </w:rPr>
        <w:t>, kur etkisi ile,</w:t>
      </w:r>
      <w:r w:rsidR="00C271FA" w:rsidRPr="0050008F">
        <w:rPr>
          <w:rFonts w:ascii="Palatino Linotype" w:hAnsi="Palatino Linotype" w:cstheme="minorHAnsi"/>
          <w:sz w:val="22"/>
          <w:szCs w:val="22"/>
        </w:rPr>
        <w:t xml:space="preserve"> ilk çeyrekteki </w:t>
      </w:r>
      <w:r w:rsidR="00F441A2" w:rsidRPr="0050008F">
        <w:rPr>
          <w:rFonts w:ascii="Palatino Linotype" w:hAnsi="Palatino Linotype" w:cstheme="minorHAnsi"/>
          <w:sz w:val="22"/>
          <w:szCs w:val="22"/>
        </w:rPr>
        <w:t xml:space="preserve">yüzde </w:t>
      </w:r>
      <w:r w:rsidR="00C271FA" w:rsidRPr="0050008F">
        <w:rPr>
          <w:rFonts w:ascii="Palatino Linotype" w:hAnsi="Palatino Linotype" w:cstheme="minorHAnsi"/>
          <w:sz w:val="22"/>
          <w:szCs w:val="22"/>
        </w:rPr>
        <w:t>0,7</w:t>
      </w:r>
      <w:r w:rsidR="00F441A2" w:rsidRPr="0050008F">
        <w:rPr>
          <w:rFonts w:ascii="Palatino Linotype" w:hAnsi="Palatino Linotype" w:cstheme="minorHAnsi"/>
          <w:sz w:val="22"/>
          <w:szCs w:val="22"/>
        </w:rPr>
        <w:t>’den yüzde</w:t>
      </w:r>
      <w:r w:rsidR="00C271FA" w:rsidRPr="0050008F">
        <w:rPr>
          <w:rFonts w:ascii="Palatino Linotype" w:hAnsi="Palatino Linotype" w:cstheme="minorHAnsi"/>
          <w:sz w:val="22"/>
          <w:szCs w:val="22"/>
        </w:rPr>
        <w:t xml:space="preserve"> 4,5</w:t>
      </w:r>
      <w:r w:rsidR="00F441A2" w:rsidRPr="0050008F">
        <w:rPr>
          <w:rFonts w:ascii="Palatino Linotype" w:hAnsi="Palatino Linotype" w:cstheme="minorHAnsi"/>
          <w:sz w:val="22"/>
          <w:szCs w:val="22"/>
        </w:rPr>
        <w:t xml:space="preserve">’a ulaşmıştır. Dolayısıyla, </w:t>
      </w:r>
      <w:r w:rsidR="00C271FA" w:rsidRPr="0050008F">
        <w:rPr>
          <w:rFonts w:ascii="Palatino Linotype" w:hAnsi="Palatino Linotype" w:cstheme="minorHAnsi"/>
          <w:sz w:val="22"/>
          <w:szCs w:val="22"/>
        </w:rPr>
        <w:t>ilk çeyrekte eksi 4,1 yüzde puan olan net dış ticaretin büyümeye katkısının bu çeyrekte 1,</w:t>
      </w:r>
      <w:r w:rsidR="00F441A2" w:rsidRPr="0050008F">
        <w:rPr>
          <w:rFonts w:ascii="Palatino Linotype" w:hAnsi="Palatino Linotype" w:cstheme="minorHAnsi"/>
          <w:sz w:val="22"/>
          <w:szCs w:val="22"/>
        </w:rPr>
        <w:t>3</w:t>
      </w:r>
      <w:r w:rsidR="00C271FA" w:rsidRPr="0050008F">
        <w:rPr>
          <w:rFonts w:ascii="Palatino Linotype" w:hAnsi="Palatino Linotype" w:cstheme="minorHAnsi"/>
          <w:sz w:val="22"/>
          <w:szCs w:val="22"/>
        </w:rPr>
        <w:t xml:space="preserve"> yüzde puan ile pozitife döndüğünü görüyoruz</w:t>
      </w:r>
      <w:r w:rsidR="00E67DCD" w:rsidRPr="0050008F">
        <w:rPr>
          <w:rFonts w:ascii="Palatino Linotype" w:hAnsi="Palatino Linotype" w:cstheme="minorHAnsi"/>
          <w:sz w:val="22"/>
          <w:szCs w:val="22"/>
        </w:rPr>
        <w:t xml:space="preserve">. </w:t>
      </w:r>
    </w:p>
    <w:p w:rsidR="00D07713" w:rsidRPr="0050008F" w:rsidRDefault="00F441A2" w:rsidP="00F441A2">
      <w:pPr>
        <w:spacing w:after="120"/>
        <w:ind w:left="567" w:right="567"/>
        <w:jc w:val="both"/>
        <w:rPr>
          <w:rFonts w:ascii="Palatino Linotype" w:hAnsi="Palatino Linotype" w:cstheme="minorHAnsi"/>
          <w:color w:val="FF0000"/>
          <w:sz w:val="22"/>
          <w:szCs w:val="22"/>
        </w:rPr>
      </w:pPr>
      <w:r w:rsidRPr="0050008F">
        <w:rPr>
          <w:rFonts w:ascii="Palatino Linotype" w:hAnsi="Palatino Linotype" w:cstheme="minorHAnsi"/>
          <w:sz w:val="22"/>
          <w:szCs w:val="22"/>
        </w:rPr>
        <w:t xml:space="preserve">İlk </w:t>
      </w:r>
      <w:r w:rsidR="005C6245" w:rsidRPr="0050008F">
        <w:rPr>
          <w:rFonts w:ascii="Palatino Linotype" w:hAnsi="Palatino Linotype" w:cstheme="minorHAnsi"/>
          <w:sz w:val="22"/>
          <w:szCs w:val="22"/>
        </w:rPr>
        <w:t xml:space="preserve">iki </w:t>
      </w:r>
      <w:r w:rsidRPr="0050008F">
        <w:rPr>
          <w:rFonts w:ascii="Palatino Linotype" w:hAnsi="Palatino Linotype" w:cstheme="minorHAnsi"/>
          <w:sz w:val="22"/>
          <w:szCs w:val="22"/>
        </w:rPr>
        <w:t>çeyrek</w:t>
      </w:r>
      <w:r w:rsidR="005C6245" w:rsidRPr="0050008F">
        <w:rPr>
          <w:rFonts w:ascii="Palatino Linotype" w:hAnsi="Palatino Linotype" w:cstheme="minorHAnsi"/>
          <w:sz w:val="22"/>
          <w:szCs w:val="22"/>
        </w:rPr>
        <w:t xml:space="preserve"> büyüme oranları sırası ile </w:t>
      </w:r>
      <w:r w:rsidRPr="0050008F">
        <w:rPr>
          <w:rFonts w:ascii="Palatino Linotype" w:hAnsi="Palatino Linotype" w:cstheme="minorHAnsi"/>
          <w:sz w:val="22"/>
          <w:szCs w:val="22"/>
        </w:rPr>
        <w:t xml:space="preserve">yüzde 7,4 </w:t>
      </w:r>
      <w:r w:rsidR="005C6245" w:rsidRPr="0050008F">
        <w:rPr>
          <w:rFonts w:ascii="Palatino Linotype" w:hAnsi="Palatino Linotype" w:cstheme="minorHAnsi"/>
          <w:sz w:val="22"/>
          <w:szCs w:val="22"/>
        </w:rPr>
        <w:t>ve</w:t>
      </w:r>
      <w:r w:rsidRPr="0050008F">
        <w:rPr>
          <w:rFonts w:ascii="Palatino Linotype" w:hAnsi="Palatino Linotype" w:cstheme="minorHAnsi"/>
          <w:sz w:val="22"/>
          <w:szCs w:val="22"/>
        </w:rPr>
        <w:t xml:space="preserve"> yüzde 5,2</w:t>
      </w:r>
      <w:r w:rsidR="005C6245" w:rsidRPr="0050008F">
        <w:rPr>
          <w:rFonts w:ascii="Palatino Linotype" w:hAnsi="Palatino Linotype" w:cstheme="minorHAnsi"/>
          <w:sz w:val="22"/>
          <w:szCs w:val="22"/>
        </w:rPr>
        <w:t xml:space="preserve"> olduğu için </w:t>
      </w:r>
      <w:r w:rsidR="00190944" w:rsidRPr="0050008F">
        <w:rPr>
          <w:rFonts w:ascii="Palatino Linotype" w:hAnsi="Palatino Linotype" w:cstheme="minorHAnsi"/>
          <w:sz w:val="22"/>
          <w:szCs w:val="22"/>
        </w:rPr>
        <w:t>Orta Vadeli Program</w:t>
      </w:r>
      <w:r w:rsidRPr="0050008F">
        <w:rPr>
          <w:rFonts w:ascii="Palatino Linotype" w:hAnsi="Palatino Linotype" w:cstheme="minorHAnsi"/>
          <w:sz w:val="22"/>
          <w:szCs w:val="22"/>
        </w:rPr>
        <w:t>’</w:t>
      </w:r>
      <w:r w:rsidR="00190944" w:rsidRPr="0050008F">
        <w:rPr>
          <w:rFonts w:ascii="Palatino Linotype" w:hAnsi="Palatino Linotype" w:cstheme="minorHAnsi"/>
          <w:sz w:val="22"/>
          <w:szCs w:val="22"/>
        </w:rPr>
        <w:t>da öngörülen yüzde 5,5 hedefi</w:t>
      </w:r>
      <w:r w:rsidRPr="0050008F">
        <w:rPr>
          <w:rFonts w:ascii="Palatino Linotype" w:hAnsi="Palatino Linotype" w:cstheme="minorHAnsi"/>
          <w:sz w:val="22"/>
          <w:szCs w:val="22"/>
        </w:rPr>
        <w:t xml:space="preserve">nin </w:t>
      </w:r>
      <w:r w:rsidR="005C6245" w:rsidRPr="0050008F">
        <w:rPr>
          <w:rFonts w:ascii="Palatino Linotype" w:hAnsi="Palatino Linotype" w:cstheme="minorHAnsi"/>
          <w:sz w:val="22"/>
          <w:szCs w:val="22"/>
        </w:rPr>
        <w:t>tutturulabilmesi için yılın s</w:t>
      </w:r>
      <w:r w:rsidRPr="0050008F">
        <w:rPr>
          <w:rFonts w:ascii="Palatino Linotype" w:hAnsi="Palatino Linotype" w:cstheme="minorHAnsi"/>
          <w:sz w:val="22"/>
          <w:szCs w:val="22"/>
        </w:rPr>
        <w:t>on iki çeyrek büyümeleri</w:t>
      </w:r>
      <w:r w:rsidR="005C6245" w:rsidRPr="0050008F">
        <w:rPr>
          <w:rFonts w:ascii="Palatino Linotype" w:hAnsi="Palatino Linotype" w:cstheme="minorHAnsi"/>
          <w:sz w:val="22"/>
          <w:szCs w:val="22"/>
        </w:rPr>
        <w:t xml:space="preserve">nin yüzde 5’e yakın olması gerekecektir. </w:t>
      </w:r>
      <w:r w:rsidR="00997694" w:rsidRPr="0050008F">
        <w:rPr>
          <w:rFonts w:ascii="Palatino Linotype" w:hAnsi="Palatino Linotype" w:cstheme="minorHAnsi"/>
          <w:sz w:val="22"/>
          <w:szCs w:val="22"/>
        </w:rPr>
        <w:t>İkinci yarıda g</w:t>
      </w:r>
      <w:r w:rsidR="006F1912" w:rsidRPr="0050008F">
        <w:rPr>
          <w:rFonts w:ascii="Palatino Linotype" w:hAnsi="Palatino Linotype" w:cstheme="minorHAnsi"/>
          <w:sz w:val="22"/>
          <w:szCs w:val="22"/>
        </w:rPr>
        <w:t>er</w:t>
      </w:r>
      <w:r w:rsidR="00997694" w:rsidRPr="0050008F">
        <w:rPr>
          <w:rFonts w:ascii="Palatino Linotype" w:hAnsi="Palatino Linotype" w:cstheme="minorHAnsi"/>
          <w:sz w:val="22"/>
          <w:szCs w:val="22"/>
        </w:rPr>
        <w:t>çekleşmesi çok muhtemel durgunluk nedeniyle ek</w:t>
      </w:r>
      <w:r w:rsidR="006F1912" w:rsidRPr="0050008F">
        <w:rPr>
          <w:rFonts w:ascii="Palatino Linotype" w:hAnsi="Palatino Linotype" w:cstheme="minorHAnsi"/>
          <w:sz w:val="22"/>
          <w:szCs w:val="22"/>
        </w:rPr>
        <w:t>o</w:t>
      </w:r>
      <w:r w:rsidR="00997694" w:rsidRPr="0050008F">
        <w:rPr>
          <w:rFonts w:ascii="Palatino Linotype" w:hAnsi="Palatino Linotype" w:cstheme="minorHAnsi"/>
          <w:sz w:val="22"/>
          <w:szCs w:val="22"/>
        </w:rPr>
        <w:t xml:space="preserve">nomik kurum tahminleri </w:t>
      </w:r>
      <w:r w:rsidR="005C6245" w:rsidRPr="0050008F">
        <w:rPr>
          <w:rFonts w:ascii="Palatino Linotype" w:hAnsi="Palatino Linotype" w:cstheme="minorHAnsi"/>
          <w:sz w:val="22"/>
          <w:szCs w:val="22"/>
        </w:rPr>
        <w:t>bu oranların daha düşük olacağı ve bu hedefin tutturulamayacağı yönünde</w:t>
      </w:r>
      <w:r w:rsidR="00997694" w:rsidRPr="0050008F">
        <w:rPr>
          <w:rFonts w:ascii="Palatino Linotype" w:hAnsi="Palatino Linotype" w:cstheme="minorHAnsi"/>
          <w:sz w:val="22"/>
          <w:szCs w:val="22"/>
        </w:rPr>
        <w:t>dir</w:t>
      </w:r>
      <w:r w:rsidR="005C6245" w:rsidRPr="0050008F">
        <w:rPr>
          <w:rFonts w:ascii="Palatino Linotype" w:hAnsi="Palatino Linotype" w:cstheme="minorHAnsi"/>
          <w:sz w:val="22"/>
          <w:szCs w:val="22"/>
        </w:rPr>
        <w:t xml:space="preserve">. </w:t>
      </w:r>
    </w:p>
    <w:p w:rsidR="00632221" w:rsidRPr="0050008F" w:rsidRDefault="00632221">
      <w:pPr>
        <w:rPr>
          <w:rFonts w:ascii="Palatino Linotype" w:hAnsi="Palatino Linotype" w:cstheme="minorHAnsi"/>
          <w:sz w:val="22"/>
          <w:szCs w:val="22"/>
        </w:rPr>
      </w:pPr>
    </w:p>
    <w:p w:rsidR="00E57043" w:rsidRPr="0050008F" w:rsidRDefault="00E57043" w:rsidP="00E85F3F">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Şekil</w:t>
      </w:r>
      <w:r w:rsidR="00D53424" w:rsidRPr="0050008F">
        <w:rPr>
          <w:rFonts w:ascii="Palatino Linotype" w:hAnsi="Palatino Linotype" w:cstheme="minorHAnsi"/>
          <w:b/>
          <w:bCs/>
          <w:sz w:val="22"/>
          <w:szCs w:val="22"/>
        </w:rPr>
        <w:t xml:space="preserve"> 1: GSYH alt kalemlerinin 201</w:t>
      </w:r>
      <w:r w:rsidR="0025111C" w:rsidRPr="0050008F">
        <w:rPr>
          <w:rFonts w:ascii="Palatino Linotype" w:hAnsi="Palatino Linotype" w:cstheme="minorHAnsi"/>
          <w:b/>
          <w:bCs/>
          <w:sz w:val="22"/>
          <w:szCs w:val="22"/>
        </w:rPr>
        <w:t>8</w:t>
      </w:r>
      <w:r w:rsidR="00D53424" w:rsidRPr="0050008F">
        <w:rPr>
          <w:rFonts w:ascii="Palatino Linotype" w:hAnsi="Palatino Linotype" w:cstheme="minorHAnsi"/>
          <w:b/>
          <w:bCs/>
          <w:sz w:val="22"/>
          <w:szCs w:val="22"/>
        </w:rPr>
        <w:t xml:space="preserve"> </w:t>
      </w:r>
      <w:r w:rsidR="00A9270B" w:rsidRPr="0050008F">
        <w:rPr>
          <w:rFonts w:ascii="Palatino Linotype" w:hAnsi="Palatino Linotype" w:cstheme="minorHAnsi"/>
          <w:b/>
          <w:bCs/>
          <w:sz w:val="22"/>
          <w:szCs w:val="22"/>
        </w:rPr>
        <w:t>2</w:t>
      </w:r>
      <w:r w:rsidRPr="0050008F">
        <w:rPr>
          <w:rFonts w:ascii="Palatino Linotype" w:hAnsi="Palatino Linotype" w:cstheme="minorHAnsi"/>
          <w:b/>
          <w:bCs/>
          <w:sz w:val="22"/>
          <w:szCs w:val="22"/>
        </w:rPr>
        <w:t xml:space="preserve">. çeyrekte bir önceki yılın aynı çeyreğine göre </w:t>
      </w:r>
      <w:r w:rsidR="001A42FF" w:rsidRPr="0050008F">
        <w:rPr>
          <w:rFonts w:ascii="Palatino Linotype" w:hAnsi="Palatino Linotype" w:cstheme="minorHAnsi"/>
          <w:b/>
          <w:bCs/>
          <w:sz w:val="22"/>
          <w:szCs w:val="22"/>
        </w:rPr>
        <w:t xml:space="preserve">büyümeye katkıları (sol şekil) ve </w:t>
      </w:r>
      <w:r w:rsidRPr="0050008F">
        <w:rPr>
          <w:rFonts w:ascii="Palatino Linotype" w:hAnsi="Palatino Linotype" w:cstheme="minorHAnsi"/>
          <w:b/>
          <w:bCs/>
          <w:sz w:val="22"/>
          <w:szCs w:val="22"/>
        </w:rPr>
        <w:t xml:space="preserve">büyüme oranları </w:t>
      </w:r>
      <w:r w:rsidR="006C3EE6" w:rsidRPr="0050008F">
        <w:rPr>
          <w:rFonts w:ascii="Palatino Linotype" w:hAnsi="Palatino Linotype" w:cstheme="minorHAnsi"/>
          <w:b/>
          <w:bCs/>
          <w:sz w:val="22"/>
          <w:szCs w:val="22"/>
        </w:rPr>
        <w:t>(s</w:t>
      </w:r>
      <w:r w:rsidR="00D4574F" w:rsidRPr="0050008F">
        <w:rPr>
          <w:rFonts w:ascii="Palatino Linotype" w:hAnsi="Palatino Linotype" w:cstheme="minorHAnsi"/>
          <w:b/>
          <w:bCs/>
          <w:sz w:val="22"/>
          <w:szCs w:val="22"/>
        </w:rPr>
        <w:t>ağ</w:t>
      </w:r>
      <w:r w:rsidR="001A080D" w:rsidRPr="0050008F">
        <w:rPr>
          <w:rFonts w:ascii="Palatino Linotype" w:hAnsi="Palatino Linotype" w:cstheme="minorHAnsi"/>
          <w:b/>
          <w:bCs/>
          <w:sz w:val="22"/>
          <w:szCs w:val="22"/>
        </w:rPr>
        <w:t xml:space="preserve"> </w:t>
      </w:r>
      <w:r w:rsidR="00CB3462" w:rsidRPr="0050008F">
        <w:rPr>
          <w:rFonts w:ascii="Palatino Linotype" w:hAnsi="Palatino Linotype" w:cstheme="minorHAnsi"/>
          <w:b/>
          <w:bCs/>
          <w:sz w:val="22"/>
          <w:szCs w:val="22"/>
        </w:rPr>
        <w:t>şekil</w:t>
      </w:r>
      <w:r w:rsidR="006C3EE6" w:rsidRPr="0050008F">
        <w:rPr>
          <w:rFonts w:ascii="Palatino Linotype" w:hAnsi="Palatino Linotype" w:cstheme="minorHAnsi"/>
          <w:b/>
          <w:bCs/>
          <w:sz w:val="22"/>
          <w:szCs w:val="22"/>
        </w:rPr>
        <w:t xml:space="preserve">) </w:t>
      </w:r>
    </w:p>
    <w:p w:rsidR="00D07713" w:rsidRPr="0050008F" w:rsidRDefault="00D07713" w:rsidP="00E85F3F">
      <w:pPr>
        <w:keepNext/>
        <w:rPr>
          <w:rFonts w:ascii="Palatino Linotype" w:hAnsi="Palatino Linotype" w:cstheme="minorHAnsi"/>
        </w:rPr>
      </w:pPr>
    </w:p>
    <w:p w:rsidR="00D07713" w:rsidRPr="0050008F" w:rsidRDefault="0004390D" w:rsidP="001C2C68">
      <w:pPr>
        <w:keepNext/>
        <w:ind w:left="-567" w:right="-567"/>
        <w:rPr>
          <w:rFonts w:ascii="Palatino Linotype" w:hAnsi="Palatino Linotype" w:cstheme="minorHAnsi"/>
        </w:rPr>
      </w:pPr>
      <w:r w:rsidRPr="0050008F">
        <w:rPr>
          <w:noProof/>
          <w:lang w:val="en-GB" w:eastAsia="en-GB"/>
        </w:rPr>
        <w:drawing>
          <wp:inline distT="0" distB="0" distL="0" distR="0" wp14:anchorId="3EE6BA3D" wp14:editId="017FE642">
            <wp:extent cx="3181350" cy="2238375"/>
            <wp:effectExtent l="0" t="0" r="0" b="9525"/>
            <wp:docPr id="6" name="Chart 6">
              <a:extLst xmlns:a="http://schemas.openxmlformats.org/drawingml/2006/main">
                <a:ext uri="{FF2B5EF4-FFF2-40B4-BE49-F238E27FC236}">
                  <a16:creationId xmlns:a16="http://schemas.microsoft.com/office/drawing/2014/main" id="{718EE0AB-88EB-4ADF-A940-BD3B4743F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0008F">
        <w:rPr>
          <w:noProof/>
          <w:lang w:val="en-GB" w:eastAsia="en-GB"/>
        </w:rPr>
        <w:drawing>
          <wp:inline distT="0" distB="0" distL="0" distR="0" wp14:anchorId="6999F92F" wp14:editId="281FA2DA">
            <wp:extent cx="3105150" cy="2238375"/>
            <wp:effectExtent l="0" t="0" r="0" b="9525"/>
            <wp:docPr id="8" name="Chart 8">
              <a:extLst xmlns:a="http://schemas.openxmlformats.org/drawingml/2006/main">
                <a:ext uri="{FF2B5EF4-FFF2-40B4-BE49-F238E27FC236}">
                  <a16:creationId xmlns:a16="http://schemas.microsoft.com/office/drawing/2014/main" id="{1FA949D5-478E-4797-9037-1329B9CF9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50008F" w:rsidRDefault="001C2C68" w:rsidP="001C2C68">
      <w:pPr>
        <w:keepNext/>
        <w:rPr>
          <w:rFonts w:ascii="Palatino Linotype" w:hAnsi="Palatino Linotype" w:cstheme="minorHAnsi"/>
        </w:rPr>
      </w:pPr>
    </w:p>
    <w:p w:rsidR="001C2C68" w:rsidRPr="0050008F" w:rsidRDefault="004931A5" w:rsidP="001C2C68">
      <w:pPr>
        <w:keepNext/>
        <w:rPr>
          <w:rFonts w:ascii="Palatino Linotype" w:hAnsi="Palatino Linotype" w:cstheme="minorHAnsi"/>
        </w:rPr>
      </w:pPr>
      <w:r w:rsidRPr="0050008F">
        <w:rPr>
          <w:rFonts w:ascii="Palatino Linotype" w:hAnsi="Palatino Linotype" w:cstheme="minorHAnsi"/>
          <w:sz w:val="18"/>
          <w:szCs w:val="18"/>
        </w:rPr>
        <w:t>Kaynak: TÜİK, Betam</w:t>
      </w:r>
      <w:r w:rsidRPr="0050008F">
        <w:rPr>
          <w:rFonts w:ascii="Palatino Linotype" w:hAnsi="Palatino Linotype" w:cstheme="minorHAnsi"/>
          <w:sz w:val="16"/>
          <w:szCs w:val="16"/>
        </w:rPr>
        <w:t xml:space="preserve">. </w:t>
      </w:r>
    </w:p>
    <w:p w:rsidR="00D07713" w:rsidRPr="0050008F" w:rsidRDefault="00D07713">
      <w:pPr>
        <w:rPr>
          <w:rFonts w:ascii="Palatino Linotype" w:hAnsi="Palatino Linotype" w:cstheme="minorHAnsi"/>
        </w:rPr>
      </w:pPr>
    </w:p>
    <w:p w:rsidR="006C3EE6" w:rsidRPr="0050008F" w:rsidRDefault="00C21E02" w:rsidP="006C3EE6">
      <w:pPr>
        <w:pStyle w:val="NormalWeb"/>
        <w:spacing w:before="0" w:beforeAutospacing="0" w:after="0" w:afterAutospacing="0" w:line="360" w:lineRule="auto"/>
        <w:ind w:right="77"/>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Özel</w:t>
      </w:r>
      <w:r w:rsidR="00C11B5A" w:rsidRPr="0050008F">
        <w:rPr>
          <w:rFonts w:ascii="Palatino Linotype" w:hAnsi="Palatino Linotype" w:cstheme="minorHAnsi"/>
          <w:b/>
          <w:bCs/>
          <w:sz w:val="22"/>
          <w:szCs w:val="22"/>
        </w:rPr>
        <w:t xml:space="preserve"> t</w:t>
      </w:r>
      <w:r w:rsidR="0058588C" w:rsidRPr="0050008F">
        <w:rPr>
          <w:rFonts w:ascii="Palatino Linotype" w:hAnsi="Palatino Linotype" w:cstheme="minorHAnsi"/>
          <w:b/>
          <w:bCs/>
          <w:sz w:val="22"/>
          <w:szCs w:val="22"/>
        </w:rPr>
        <w:t xml:space="preserve">üketimde </w:t>
      </w:r>
      <w:r w:rsidR="0088270D" w:rsidRPr="0050008F">
        <w:rPr>
          <w:rFonts w:ascii="Palatino Linotype" w:hAnsi="Palatino Linotype" w:cstheme="minorHAnsi"/>
          <w:b/>
          <w:bCs/>
          <w:sz w:val="22"/>
          <w:szCs w:val="22"/>
        </w:rPr>
        <w:t>düşüş sinyalleri</w:t>
      </w:r>
    </w:p>
    <w:p w:rsidR="006C3EE6" w:rsidRPr="0050008F" w:rsidRDefault="00A310EA" w:rsidP="006C3EE6">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 xml:space="preserve">Geçen yılın aynı çeyreğine göre </w:t>
      </w:r>
      <w:r w:rsidR="00957FE5" w:rsidRPr="0050008F">
        <w:rPr>
          <w:rFonts w:ascii="Palatino Linotype" w:hAnsi="Palatino Linotype" w:cstheme="minorHAnsi"/>
          <w:sz w:val="22"/>
          <w:szCs w:val="22"/>
        </w:rPr>
        <w:t>birinci</w:t>
      </w:r>
      <w:r w:rsidRPr="0050008F">
        <w:rPr>
          <w:rFonts w:ascii="Palatino Linotype" w:hAnsi="Palatino Linotype" w:cstheme="minorHAnsi"/>
          <w:sz w:val="22"/>
          <w:szCs w:val="22"/>
        </w:rPr>
        <w:t xml:space="preserve"> çeyrekte yüzde </w:t>
      </w:r>
      <w:r w:rsidR="00957FE5" w:rsidRPr="0050008F">
        <w:rPr>
          <w:rFonts w:ascii="Palatino Linotype" w:hAnsi="Palatino Linotype" w:cstheme="minorHAnsi"/>
          <w:sz w:val="22"/>
          <w:szCs w:val="22"/>
        </w:rPr>
        <w:t>9</w:t>
      </w:r>
      <w:r w:rsidRPr="0050008F">
        <w:rPr>
          <w:rFonts w:ascii="Palatino Linotype" w:hAnsi="Palatino Linotype" w:cstheme="minorHAnsi"/>
          <w:sz w:val="22"/>
          <w:szCs w:val="22"/>
        </w:rPr>
        <w:t>,</w:t>
      </w:r>
      <w:r w:rsidR="00957FE5" w:rsidRPr="0050008F">
        <w:rPr>
          <w:rFonts w:ascii="Palatino Linotype" w:hAnsi="Palatino Linotype" w:cstheme="minorHAnsi"/>
          <w:sz w:val="22"/>
          <w:szCs w:val="22"/>
        </w:rPr>
        <w:t>3</w:t>
      </w:r>
      <w:r w:rsidRPr="0050008F">
        <w:rPr>
          <w:rFonts w:ascii="Palatino Linotype" w:hAnsi="Palatino Linotype" w:cstheme="minorHAnsi"/>
          <w:sz w:val="22"/>
          <w:szCs w:val="22"/>
        </w:rPr>
        <w:t xml:space="preserve"> büyüyen özel tüketim </w:t>
      </w:r>
      <w:r w:rsidR="00957FE5" w:rsidRPr="0050008F">
        <w:rPr>
          <w:rFonts w:ascii="Palatino Linotype" w:hAnsi="Palatino Linotype" w:cstheme="minorHAnsi"/>
          <w:sz w:val="22"/>
          <w:szCs w:val="22"/>
        </w:rPr>
        <w:t>ikinci</w:t>
      </w:r>
      <w:r w:rsidRPr="0050008F">
        <w:rPr>
          <w:rFonts w:ascii="Palatino Linotype" w:hAnsi="Palatino Linotype" w:cstheme="minorHAnsi"/>
          <w:sz w:val="22"/>
          <w:szCs w:val="22"/>
        </w:rPr>
        <w:t xml:space="preserve"> çeyrekte yüzde </w:t>
      </w:r>
      <w:r w:rsidR="00957FE5" w:rsidRPr="0050008F">
        <w:rPr>
          <w:rFonts w:ascii="Palatino Linotype" w:hAnsi="Palatino Linotype" w:cstheme="minorHAnsi"/>
          <w:sz w:val="22"/>
          <w:szCs w:val="22"/>
        </w:rPr>
        <w:t>6,3</w:t>
      </w:r>
      <w:r w:rsidRPr="0050008F">
        <w:rPr>
          <w:rFonts w:ascii="Palatino Linotype" w:hAnsi="Palatino Linotype" w:cstheme="minorHAnsi"/>
          <w:sz w:val="22"/>
          <w:szCs w:val="22"/>
        </w:rPr>
        <w:t xml:space="preserve"> büyüdü</w:t>
      </w:r>
      <w:r w:rsidR="007F3C9B" w:rsidRPr="0050008F">
        <w:rPr>
          <w:rFonts w:ascii="Palatino Linotype" w:hAnsi="Palatino Linotype" w:cstheme="minorHAnsi"/>
          <w:sz w:val="22"/>
          <w:szCs w:val="22"/>
        </w:rPr>
        <w:t xml:space="preserve">. </w:t>
      </w:r>
      <w:bookmarkStart w:id="1" w:name="OLE_LINK3"/>
      <w:bookmarkStart w:id="2" w:name="OLE_LINK4"/>
      <w:r w:rsidR="00080211" w:rsidRPr="0050008F">
        <w:rPr>
          <w:rFonts w:ascii="Palatino Linotype" w:hAnsi="Palatino Linotype" w:cstheme="minorHAnsi"/>
          <w:sz w:val="22"/>
          <w:szCs w:val="22"/>
        </w:rPr>
        <w:t xml:space="preserve">Büyümeye yaptığı katkı </w:t>
      </w:r>
      <w:r w:rsidR="00957FE5" w:rsidRPr="0050008F">
        <w:rPr>
          <w:rFonts w:ascii="Palatino Linotype" w:hAnsi="Palatino Linotype" w:cstheme="minorHAnsi"/>
          <w:sz w:val="22"/>
          <w:szCs w:val="22"/>
        </w:rPr>
        <w:t>5,7</w:t>
      </w:r>
      <w:r w:rsidR="00143F17">
        <w:rPr>
          <w:rFonts w:ascii="Palatino Linotype" w:hAnsi="Palatino Linotype" w:cstheme="minorHAnsi"/>
          <w:sz w:val="22"/>
          <w:szCs w:val="22"/>
        </w:rPr>
        <w:t xml:space="preserve"> yüzde puandan</w:t>
      </w:r>
      <w:r w:rsidR="00080211" w:rsidRPr="0050008F">
        <w:rPr>
          <w:rFonts w:ascii="Palatino Linotype" w:hAnsi="Palatino Linotype" w:cstheme="minorHAnsi"/>
          <w:sz w:val="22"/>
          <w:szCs w:val="22"/>
        </w:rPr>
        <w:t xml:space="preserve"> </w:t>
      </w:r>
      <w:r w:rsidR="00957FE5" w:rsidRPr="0050008F">
        <w:rPr>
          <w:rFonts w:ascii="Palatino Linotype" w:hAnsi="Palatino Linotype" w:cstheme="minorHAnsi"/>
          <w:sz w:val="22"/>
          <w:szCs w:val="22"/>
        </w:rPr>
        <w:t>3</w:t>
      </w:r>
      <w:r w:rsidR="00DB5518" w:rsidRPr="0050008F">
        <w:rPr>
          <w:rFonts w:ascii="Palatino Linotype" w:hAnsi="Palatino Linotype" w:cstheme="minorHAnsi"/>
          <w:sz w:val="22"/>
          <w:szCs w:val="22"/>
        </w:rPr>
        <w:t>,</w:t>
      </w:r>
      <w:r w:rsidR="00957FE5" w:rsidRPr="0050008F">
        <w:rPr>
          <w:rFonts w:ascii="Palatino Linotype" w:hAnsi="Palatino Linotype" w:cstheme="minorHAnsi"/>
          <w:sz w:val="22"/>
          <w:szCs w:val="22"/>
        </w:rPr>
        <w:t>7</w:t>
      </w:r>
      <w:r w:rsidR="00143F17">
        <w:rPr>
          <w:rFonts w:ascii="Palatino Linotype" w:hAnsi="Palatino Linotype" w:cstheme="minorHAnsi"/>
          <w:sz w:val="22"/>
          <w:szCs w:val="22"/>
        </w:rPr>
        <w:t xml:space="preserve"> yüzde puana</w:t>
      </w:r>
      <w:r w:rsidR="00DB5518" w:rsidRPr="0050008F">
        <w:rPr>
          <w:rFonts w:ascii="Palatino Linotype" w:hAnsi="Palatino Linotype" w:cstheme="minorHAnsi"/>
          <w:sz w:val="22"/>
          <w:szCs w:val="22"/>
        </w:rPr>
        <w:t xml:space="preserve"> </w:t>
      </w:r>
      <w:r w:rsidR="00957FE5" w:rsidRPr="0050008F">
        <w:rPr>
          <w:rFonts w:ascii="Palatino Linotype" w:hAnsi="Palatino Linotype" w:cstheme="minorHAnsi"/>
          <w:sz w:val="22"/>
          <w:szCs w:val="22"/>
        </w:rPr>
        <w:t>düşmesine rağmen</w:t>
      </w:r>
      <w:r w:rsidR="00080211" w:rsidRPr="0050008F">
        <w:rPr>
          <w:rFonts w:ascii="Palatino Linotype" w:hAnsi="Palatino Linotype" w:cstheme="minorHAnsi"/>
          <w:sz w:val="22"/>
          <w:szCs w:val="22"/>
        </w:rPr>
        <w:t xml:space="preserve"> özel tüketim </w:t>
      </w:r>
      <w:r w:rsidR="00DB5518" w:rsidRPr="0050008F">
        <w:rPr>
          <w:rFonts w:ascii="Palatino Linotype" w:hAnsi="Palatino Linotype" w:cstheme="minorHAnsi"/>
          <w:sz w:val="22"/>
          <w:szCs w:val="22"/>
        </w:rPr>
        <w:t xml:space="preserve">2018 yılının </w:t>
      </w:r>
      <w:r w:rsidR="00957FE5" w:rsidRPr="0050008F">
        <w:rPr>
          <w:rFonts w:ascii="Palatino Linotype" w:hAnsi="Palatino Linotype" w:cstheme="minorHAnsi"/>
          <w:sz w:val="22"/>
          <w:szCs w:val="22"/>
        </w:rPr>
        <w:t>ikinci</w:t>
      </w:r>
      <w:r w:rsidR="00DB5518" w:rsidRPr="0050008F">
        <w:rPr>
          <w:rFonts w:ascii="Palatino Linotype" w:hAnsi="Palatino Linotype" w:cstheme="minorHAnsi"/>
          <w:sz w:val="22"/>
          <w:szCs w:val="22"/>
        </w:rPr>
        <w:t xml:space="preserve"> çeyreğinde de </w:t>
      </w:r>
      <w:r w:rsidR="00080211" w:rsidRPr="0050008F">
        <w:rPr>
          <w:rFonts w:ascii="Palatino Linotype" w:hAnsi="Palatino Linotype" w:cstheme="minorHAnsi"/>
          <w:sz w:val="22"/>
          <w:szCs w:val="22"/>
        </w:rPr>
        <w:t>büyüme</w:t>
      </w:r>
      <w:r w:rsidR="00DB5518" w:rsidRPr="0050008F">
        <w:rPr>
          <w:rFonts w:ascii="Palatino Linotype" w:hAnsi="Palatino Linotype" w:cstheme="minorHAnsi"/>
          <w:sz w:val="22"/>
          <w:szCs w:val="22"/>
        </w:rPr>
        <w:t>ye en fazla katkı yapan kalem oldu</w:t>
      </w:r>
      <w:bookmarkEnd w:id="1"/>
      <w:bookmarkEnd w:id="2"/>
      <w:r w:rsidR="00080211" w:rsidRPr="0050008F">
        <w:rPr>
          <w:rFonts w:ascii="Palatino Linotype" w:hAnsi="Palatino Linotype" w:cstheme="minorHAnsi"/>
          <w:sz w:val="22"/>
          <w:szCs w:val="22"/>
        </w:rPr>
        <w:t xml:space="preserve"> </w:t>
      </w:r>
      <w:r w:rsidR="00A6165E" w:rsidRPr="0050008F">
        <w:rPr>
          <w:rFonts w:ascii="Palatino Linotype" w:hAnsi="Palatino Linotype" w:cstheme="minorHAnsi"/>
          <w:sz w:val="22"/>
          <w:szCs w:val="22"/>
        </w:rPr>
        <w:t>(</w:t>
      </w:r>
      <w:r w:rsidR="006C3EE6" w:rsidRPr="0050008F">
        <w:rPr>
          <w:rFonts w:ascii="Palatino Linotype" w:hAnsi="Palatino Linotype" w:cstheme="minorHAnsi"/>
          <w:sz w:val="22"/>
          <w:szCs w:val="22"/>
        </w:rPr>
        <w:t xml:space="preserve">Tablo 1). </w:t>
      </w:r>
      <w:r w:rsidR="00080211" w:rsidRPr="0050008F">
        <w:rPr>
          <w:rFonts w:ascii="Palatino Linotype" w:hAnsi="Palatino Linotype" w:cstheme="minorHAnsi"/>
          <w:sz w:val="22"/>
          <w:szCs w:val="22"/>
        </w:rPr>
        <w:t>M</w:t>
      </w:r>
      <w:r w:rsidR="004931A5" w:rsidRPr="0050008F">
        <w:rPr>
          <w:rFonts w:ascii="Palatino Linotype" w:hAnsi="Palatino Linotype" w:cstheme="minorHAnsi"/>
          <w:sz w:val="22"/>
          <w:szCs w:val="22"/>
        </w:rPr>
        <w:t xml:space="preserve">evsim ve takvim etkilerinden arındırılmış rakamlara baktığımızda </w:t>
      </w:r>
      <w:r w:rsidR="00C21E02" w:rsidRPr="0050008F">
        <w:rPr>
          <w:rFonts w:ascii="Palatino Linotype" w:hAnsi="Palatino Linotype" w:cstheme="minorHAnsi"/>
          <w:sz w:val="22"/>
          <w:szCs w:val="22"/>
        </w:rPr>
        <w:t xml:space="preserve">ise </w:t>
      </w:r>
      <w:r w:rsidR="00080211" w:rsidRPr="0050008F">
        <w:rPr>
          <w:rFonts w:ascii="Palatino Linotype" w:hAnsi="Palatino Linotype" w:cstheme="minorHAnsi"/>
          <w:sz w:val="22"/>
          <w:szCs w:val="22"/>
        </w:rPr>
        <w:t>özel tüketim</w:t>
      </w:r>
      <w:r w:rsidR="00C86475" w:rsidRPr="0050008F">
        <w:rPr>
          <w:rFonts w:ascii="Palatino Linotype" w:hAnsi="Palatino Linotype" w:cstheme="minorHAnsi"/>
          <w:sz w:val="22"/>
          <w:szCs w:val="22"/>
        </w:rPr>
        <w:t xml:space="preserve"> </w:t>
      </w:r>
      <w:r w:rsidR="00EA7527" w:rsidRPr="0050008F">
        <w:rPr>
          <w:rFonts w:ascii="Palatino Linotype" w:hAnsi="Palatino Linotype" w:cstheme="minorHAnsi"/>
          <w:sz w:val="22"/>
          <w:szCs w:val="22"/>
        </w:rPr>
        <w:t xml:space="preserve">artışının </w:t>
      </w:r>
      <w:r w:rsidR="00C21E02" w:rsidRPr="0050008F">
        <w:rPr>
          <w:rFonts w:ascii="Palatino Linotype" w:hAnsi="Palatino Linotype" w:cstheme="minorHAnsi"/>
          <w:sz w:val="22"/>
          <w:szCs w:val="22"/>
        </w:rPr>
        <w:t>negatife döndüğünü</w:t>
      </w:r>
      <w:r w:rsidR="00EA7527" w:rsidRPr="0050008F">
        <w:rPr>
          <w:rFonts w:ascii="Palatino Linotype" w:hAnsi="Palatino Linotype" w:cstheme="minorHAnsi"/>
          <w:sz w:val="22"/>
          <w:szCs w:val="22"/>
        </w:rPr>
        <w:t xml:space="preserve"> (yüzde </w:t>
      </w:r>
      <w:r w:rsidR="00C21E02" w:rsidRPr="0050008F">
        <w:rPr>
          <w:rFonts w:ascii="Palatino Linotype" w:hAnsi="Palatino Linotype" w:cstheme="minorHAnsi"/>
          <w:sz w:val="22"/>
          <w:szCs w:val="22"/>
        </w:rPr>
        <w:t>3</w:t>
      </w:r>
      <w:r w:rsidR="00EA7527" w:rsidRPr="0050008F">
        <w:rPr>
          <w:rFonts w:ascii="Palatino Linotype" w:hAnsi="Palatino Linotype" w:cstheme="minorHAnsi"/>
          <w:sz w:val="22"/>
          <w:szCs w:val="22"/>
        </w:rPr>
        <w:t>,</w:t>
      </w:r>
      <w:r w:rsidR="00C21E02" w:rsidRPr="0050008F">
        <w:rPr>
          <w:rFonts w:ascii="Palatino Linotype" w:hAnsi="Palatino Linotype" w:cstheme="minorHAnsi"/>
          <w:sz w:val="22"/>
          <w:szCs w:val="22"/>
        </w:rPr>
        <w:t>4</w:t>
      </w:r>
      <w:r w:rsidR="00EA7527" w:rsidRPr="0050008F">
        <w:rPr>
          <w:rFonts w:ascii="Palatino Linotype" w:hAnsi="Palatino Linotype" w:cstheme="minorHAnsi"/>
          <w:sz w:val="22"/>
          <w:szCs w:val="22"/>
        </w:rPr>
        <w:t>’d</w:t>
      </w:r>
      <w:r w:rsidR="00C21E02" w:rsidRPr="0050008F">
        <w:rPr>
          <w:rFonts w:ascii="Palatino Linotype" w:hAnsi="Palatino Linotype" w:cstheme="minorHAnsi"/>
          <w:sz w:val="22"/>
          <w:szCs w:val="22"/>
        </w:rPr>
        <w:t>e</w:t>
      </w:r>
      <w:r w:rsidR="00EA7527" w:rsidRPr="0050008F">
        <w:rPr>
          <w:rFonts w:ascii="Palatino Linotype" w:hAnsi="Palatino Linotype" w:cstheme="minorHAnsi"/>
          <w:sz w:val="22"/>
          <w:szCs w:val="22"/>
        </w:rPr>
        <w:t xml:space="preserve">n </w:t>
      </w:r>
      <w:r w:rsidR="00C21E02" w:rsidRPr="0050008F">
        <w:rPr>
          <w:rFonts w:ascii="Palatino Linotype" w:hAnsi="Palatino Linotype" w:cstheme="minorHAnsi"/>
          <w:sz w:val="22"/>
          <w:szCs w:val="22"/>
        </w:rPr>
        <w:t>eksi 0</w:t>
      </w:r>
      <w:r w:rsidR="00EA7527" w:rsidRPr="0050008F">
        <w:rPr>
          <w:rFonts w:ascii="Palatino Linotype" w:hAnsi="Palatino Linotype" w:cstheme="minorHAnsi"/>
          <w:sz w:val="22"/>
          <w:szCs w:val="22"/>
        </w:rPr>
        <w:t>,</w:t>
      </w:r>
      <w:r w:rsidR="00C21E02" w:rsidRPr="0050008F">
        <w:rPr>
          <w:rFonts w:ascii="Palatino Linotype" w:hAnsi="Palatino Linotype" w:cstheme="minorHAnsi"/>
          <w:sz w:val="22"/>
          <w:szCs w:val="22"/>
        </w:rPr>
        <w:t>4</w:t>
      </w:r>
      <w:r w:rsidR="00EA7527" w:rsidRPr="0050008F">
        <w:rPr>
          <w:rFonts w:ascii="Palatino Linotype" w:hAnsi="Palatino Linotype" w:cstheme="minorHAnsi"/>
          <w:sz w:val="22"/>
          <w:szCs w:val="22"/>
        </w:rPr>
        <w:t>’e</w:t>
      </w:r>
      <w:r w:rsidR="00EA7527" w:rsidRPr="0050008F">
        <w:rPr>
          <w:rFonts w:ascii="Palatino Linotype" w:hAnsi="Palatino Linotype" w:cstheme="minorHAnsi"/>
          <w:b/>
          <w:sz w:val="22"/>
          <w:szCs w:val="22"/>
        </w:rPr>
        <w:t>)</w:t>
      </w:r>
      <w:r w:rsidR="00EA7527" w:rsidRPr="0050008F">
        <w:rPr>
          <w:rFonts w:ascii="Palatino Linotype" w:hAnsi="Palatino Linotype" w:cstheme="minorHAnsi"/>
          <w:sz w:val="22"/>
          <w:szCs w:val="22"/>
        </w:rPr>
        <w:t xml:space="preserve"> ve büyümey</w:t>
      </w:r>
      <w:r w:rsidR="00C21E02" w:rsidRPr="0050008F">
        <w:rPr>
          <w:rFonts w:ascii="Palatino Linotype" w:hAnsi="Palatino Linotype" w:cstheme="minorHAnsi"/>
          <w:sz w:val="22"/>
          <w:szCs w:val="22"/>
        </w:rPr>
        <w:t>i aşağı çektiğini görüyoruz</w:t>
      </w:r>
      <w:r w:rsidR="00080211" w:rsidRPr="0050008F">
        <w:rPr>
          <w:rFonts w:ascii="Palatino Linotype" w:hAnsi="Palatino Linotype" w:cstheme="minorHAnsi"/>
          <w:sz w:val="22"/>
          <w:szCs w:val="22"/>
        </w:rPr>
        <w:t xml:space="preserve"> </w:t>
      </w:r>
      <w:r w:rsidR="004931A5" w:rsidRPr="0050008F">
        <w:rPr>
          <w:rFonts w:ascii="Palatino Linotype" w:hAnsi="Palatino Linotype" w:cstheme="minorHAnsi"/>
          <w:sz w:val="22"/>
          <w:szCs w:val="22"/>
        </w:rPr>
        <w:t xml:space="preserve">(Tablo 2). </w:t>
      </w:r>
    </w:p>
    <w:p w:rsidR="003D44CE" w:rsidRPr="0050008F"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1: </w:t>
      </w:r>
      <w:r w:rsidR="00D53424" w:rsidRPr="0050008F">
        <w:rPr>
          <w:rFonts w:ascii="Palatino Linotype" w:hAnsi="Palatino Linotype" w:cstheme="minorHAnsi"/>
          <w:b/>
          <w:bCs/>
          <w:sz w:val="22"/>
          <w:szCs w:val="22"/>
        </w:rPr>
        <w:t xml:space="preserve">GSYH alt kalemlerinin </w:t>
      </w:r>
      <w:bookmarkStart w:id="3" w:name="OLE_LINK1"/>
      <w:bookmarkStart w:id="4" w:name="OLE_LINK2"/>
      <w:r w:rsidR="009F2483" w:rsidRPr="0050008F">
        <w:rPr>
          <w:rFonts w:ascii="Palatino Linotype" w:hAnsi="Palatino Linotype" w:cstheme="minorHAnsi"/>
          <w:b/>
          <w:bCs/>
          <w:sz w:val="22"/>
          <w:szCs w:val="22"/>
        </w:rPr>
        <w:t>2018 1. ve 2018 2. çeyrekte</w:t>
      </w:r>
      <w:bookmarkEnd w:id="3"/>
      <w:bookmarkEnd w:id="4"/>
      <w:r w:rsidR="009F2483"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yılın aynı çeyreğine göre büyüme oranları ve büyümeye katkıları</w:t>
      </w:r>
    </w:p>
    <w:p w:rsidR="00EA7527" w:rsidRPr="0050008F" w:rsidRDefault="00EA7527" w:rsidP="006C3EE6">
      <w:pPr>
        <w:keepNext/>
        <w:ind w:right="77"/>
        <w:jc w:val="both"/>
        <w:rPr>
          <w:rFonts w:ascii="Palatino Linotype" w:hAnsi="Palatino Linotype" w:cstheme="minorHAnsi"/>
          <w:bCs/>
          <w:sz w:val="22"/>
          <w:szCs w:val="22"/>
        </w:rPr>
      </w:pPr>
    </w:p>
    <w:tbl>
      <w:tblPr>
        <w:tblW w:w="5920" w:type="dxa"/>
        <w:tblLook w:val="04A0" w:firstRow="1" w:lastRow="0" w:firstColumn="1" w:lastColumn="0" w:noHBand="0" w:noVBand="1"/>
      </w:tblPr>
      <w:tblGrid>
        <w:gridCol w:w="1480"/>
        <w:gridCol w:w="1259"/>
        <w:gridCol w:w="961"/>
        <w:gridCol w:w="1259"/>
        <w:gridCol w:w="961"/>
      </w:tblGrid>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2018Q1</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2018Q2</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Katkı (%)</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Değişim (%)</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Katkı (%)</w:t>
            </w:r>
          </w:p>
        </w:tc>
      </w:tr>
      <w:tr w:rsidR="00643F5D" w:rsidRPr="0050008F" w:rsidTr="00643F5D">
        <w:trPr>
          <w:trHeight w:val="282"/>
        </w:trPr>
        <w:tc>
          <w:tcPr>
            <w:tcW w:w="1480" w:type="dxa"/>
            <w:tcBorders>
              <w:top w:val="single" w:sz="4" w:space="0" w:color="auto"/>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Özel Tüketim</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9.3</w:t>
            </w:r>
          </w:p>
        </w:tc>
        <w:tc>
          <w:tcPr>
            <w:tcW w:w="961" w:type="dxa"/>
            <w:tcBorders>
              <w:top w:val="single" w:sz="4" w:space="0" w:color="auto"/>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5.7</w:t>
            </w:r>
          </w:p>
        </w:tc>
        <w:tc>
          <w:tcPr>
            <w:tcW w:w="1259" w:type="dxa"/>
            <w:tcBorders>
              <w:top w:val="single" w:sz="4" w:space="0" w:color="auto"/>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6.3</w:t>
            </w:r>
          </w:p>
        </w:tc>
        <w:tc>
          <w:tcPr>
            <w:tcW w:w="961" w:type="dxa"/>
            <w:tcBorders>
              <w:top w:val="single" w:sz="4" w:space="0" w:color="auto"/>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3.7</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Kamu Tüketimi</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4.9</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0.7</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7.2</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1.0</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Yatırım</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7.9</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2.3</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3.9</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1.2</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Stok Değişimi</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2.7</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-1.9</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İhracat</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0.7</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0.3</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4.5</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1.2</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İthalat</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15.4</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-4.4</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0.3</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-0.1</w:t>
            </w:r>
          </w:p>
        </w:tc>
      </w:tr>
      <w:tr w:rsidR="00643F5D" w:rsidRPr="0050008F" w:rsidTr="00643F5D">
        <w:trPr>
          <w:trHeight w:val="315"/>
        </w:trPr>
        <w:tc>
          <w:tcPr>
            <w:tcW w:w="1480" w:type="dxa"/>
            <w:tcBorders>
              <w:top w:val="nil"/>
              <w:left w:val="nil"/>
              <w:bottom w:val="double" w:sz="6" w:space="0" w:color="auto"/>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7.3</w:t>
            </w:r>
          </w:p>
        </w:tc>
        <w:tc>
          <w:tcPr>
            <w:tcW w:w="961" w:type="dxa"/>
            <w:tcBorders>
              <w:top w:val="nil"/>
              <w:left w:val="nil"/>
              <w:bottom w:val="double" w:sz="6" w:space="0" w:color="auto"/>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c>
          <w:tcPr>
            <w:tcW w:w="1259" w:type="dxa"/>
            <w:tcBorders>
              <w:top w:val="nil"/>
              <w:left w:val="nil"/>
              <w:bottom w:val="double" w:sz="6" w:space="0" w:color="auto"/>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5.2</w:t>
            </w:r>
          </w:p>
        </w:tc>
        <w:tc>
          <w:tcPr>
            <w:tcW w:w="961" w:type="dxa"/>
            <w:tcBorders>
              <w:top w:val="nil"/>
              <w:left w:val="nil"/>
              <w:bottom w:val="double" w:sz="6" w:space="0" w:color="auto"/>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r>
    </w:tbl>
    <w:p w:rsidR="00E83A84" w:rsidRPr="0050008F" w:rsidRDefault="003D44CE" w:rsidP="0088270D">
      <w:pPr>
        <w:keepLines/>
        <w:widowControl w:val="0"/>
        <w:rPr>
          <w:rFonts w:ascii="Palatino Linotype" w:hAnsi="Palatino Linotype" w:cstheme="minorHAnsi"/>
          <w:sz w:val="18"/>
          <w:szCs w:val="18"/>
        </w:rPr>
      </w:pPr>
      <w:r w:rsidRPr="0050008F">
        <w:rPr>
          <w:rFonts w:ascii="Palatino Linotype" w:hAnsi="Palatino Linotype" w:cstheme="minorHAnsi"/>
          <w:sz w:val="18"/>
          <w:szCs w:val="18"/>
        </w:rPr>
        <w:t>Ka</w:t>
      </w:r>
      <w:r w:rsidR="004931A5" w:rsidRPr="0050008F">
        <w:rPr>
          <w:rFonts w:ascii="Palatino Linotype" w:hAnsi="Palatino Linotype" w:cstheme="minorHAnsi"/>
          <w:sz w:val="18"/>
          <w:szCs w:val="18"/>
        </w:rPr>
        <w:t xml:space="preserve">ynak: TÜİK, Betam. </w:t>
      </w:r>
    </w:p>
    <w:p w:rsidR="00E83A84" w:rsidRPr="0050008F" w:rsidRDefault="00E83A84" w:rsidP="006C3EE6">
      <w:pPr>
        <w:keepNext/>
        <w:rPr>
          <w:rFonts w:ascii="Palatino Linotype" w:hAnsi="Palatino Linotype" w:cstheme="minorHAnsi"/>
        </w:rPr>
      </w:pPr>
    </w:p>
    <w:p w:rsidR="00997694" w:rsidRPr="0050008F" w:rsidRDefault="00997694" w:rsidP="006C3EE6">
      <w:pPr>
        <w:keepNext/>
        <w:ind w:right="77"/>
        <w:jc w:val="both"/>
        <w:rPr>
          <w:rFonts w:ascii="Palatino Linotype" w:hAnsi="Palatino Linotype" w:cstheme="minorHAnsi"/>
          <w:b/>
          <w:bCs/>
          <w:sz w:val="22"/>
          <w:szCs w:val="22"/>
        </w:rPr>
      </w:pPr>
    </w:p>
    <w:p w:rsidR="006C3EE6" w:rsidRPr="0050008F"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2: </w:t>
      </w:r>
      <w:r w:rsidR="00D53424" w:rsidRPr="0050008F">
        <w:rPr>
          <w:rFonts w:ascii="Palatino Linotype" w:hAnsi="Palatino Linotype" w:cstheme="minorHAnsi"/>
          <w:b/>
          <w:bCs/>
          <w:sz w:val="22"/>
          <w:szCs w:val="22"/>
        </w:rPr>
        <w:t xml:space="preserve">GSYH </w:t>
      </w:r>
      <w:r w:rsidR="00D53424" w:rsidRPr="0050008F">
        <w:rPr>
          <w:rFonts w:ascii="Palatino Linotype" w:hAnsi="Palatino Linotype" w:cstheme="minorHAnsi"/>
          <w:b/>
          <w:bCs/>
          <w:color w:val="000000" w:themeColor="text1"/>
          <w:sz w:val="22"/>
          <w:szCs w:val="22"/>
        </w:rPr>
        <w:t xml:space="preserve">alt </w:t>
      </w:r>
      <w:r w:rsidR="00D53424" w:rsidRPr="0050008F">
        <w:rPr>
          <w:rFonts w:ascii="Palatino Linotype" w:hAnsi="Palatino Linotype" w:cstheme="minorHAnsi"/>
          <w:b/>
          <w:bCs/>
          <w:sz w:val="22"/>
          <w:szCs w:val="22"/>
        </w:rPr>
        <w:t xml:space="preserve">kalemlerinin </w:t>
      </w:r>
      <w:r w:rsidR="006F1912" w:rsidRPr="0050008F">
        <w:rPr>
          <w:rFonts w:ascii="Palatino Linotype" w:hAnsi="Palatino Linotype" w:cstheme="minorHAnsi"/>
          <w:b/>
          <w:bCs/>
          <w:sz w:val="22"/>
          <w:szCs w:val="22"/>
        </w:rPr>
        <w:t>2018 1. ve 2018 2. çeyrekte</w:t>
      </w:r>
      <w:r w:rsidR="00E4681E"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çeyreğe göre büyüme oranları ve büyümeye katkıları</w:t>
      </w:r>
      <w:r w:rsidR="00CF5053" w:rsidRPr="0050008F">
        <w:rPr>
          <w:rFonts w:ascii="Palatino Linotype" w:hAnsi="Palatino Linotype" w:cstheme="minorHAnsi"/>
          <w:b/>
          <w:bCs/>
          <w:sz w:val="22"/>
          <w:szCs w:val="22"/>
        </w:rPr>
        <w:t xml:space="preserve"> (mevsim ve takvim etkilerinden arındırılmış)</w:t>
      </w:r>
    </w:p>
    <w:p w:rsidR="00EA7527" w:rsidRPr="0050008F" w:rsidRDefault="00EA7527"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2018Q1</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2018Q2</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 </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Katkı (%)</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Değişim (%)</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Katkı (%)</w:t>
            </w:r>
          </w:p>
        </w:tc>
      </w:tr>
      <w:tr w:rsidR="00643F5D" w:rsidRPr="0050008F" w:rsidTr="00643F5D">
        <w:trPr>
          <w:trHeight w:val="282"/>
        </w:trPr>
        <w:tc>
          <w:tcPr>
            <w:tcW w:w="1480" w:type="dxa"/>
            <w:tcBorders>
              <w:top w:val="single" w:sz="4" w:space="0" w:color="auto"/>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3.4</w:t>
            </w:r>
          </w:p>
        </w:tc>
        <w:tc>
          <w:tcPr>
            <w:tcW w:w="961" w:type="dxa"/>
            <w:tcBorders>
              <w:top w:val="single" w:sz="4" w:space="0" w:color="auto"/>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2.0</w:t>
            </w:r>
          </w:p>
        </w:tc>
        <w:tc>
          <w:tcPr>
            <w:tcW w:w="1259" w:type="dxa"/>
            <w:tcBorders>
              <w:top w:val="single" w:sz="4" w:space="0" w:color="auto"/>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-0.4</w:t>
            </w:r>
          </w:p>
        </w:tc>
        <w:tc>
          <w:tcPr>
            <w:tcW w:w="961" w:type="dxa"/>
            <w:tcBorders>
              <w:top w:val="single" w:sz="4" w:space="0" w:color="auto"/>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-0.2</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Kamu Tüketimi</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4.8</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0.7</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0.2</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0.0</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Yatırım</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4.1</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1.2</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-1.4</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-0.4</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Stok Değişimi</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-3.8</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-0.4</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İhracat</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-0.4</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-0.1</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2.4</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0.6</w:t>
            </w:r>
          </w:p>
        </w:tc>
      </w:tr>
      <w:tr w:rsidR="00643F5D" w:rsidRPr="0050008F" w:rsidTr="00643F5D">
        <w:trPr>
          <w:trHeight w:val="282"/>
        </w:trPr>
        <w:tc>
          <w:tcPr>
            <w:tcW w:w="1480" w:type="dxa"/>
            <w:tcBorders>
              <w:top w:val="nil"/>
              <w:left w:val="nil"/>
              <w:bottom w:val="nil"/>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İthalat</w:t>
            </w:r>
          </w:p>
        </w:tc>
        <w:tc>
          <w:tcPr>
            <w:tcW w:w="1259" w:type="dxa"/>
            <w:tcBorders>
              <w:top w:val="nil"/>
              <w:left w:val="single" w:sz="4" w:space="0" w:color="auto"/>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-5.8</w:t>
            </w:r>
          </w:p>
        </w:tc>
        <w:tc>
          <w:tcPr>
            <w:tcW w:w="961" w:type="dxa"/>
            <w:tcBorders>
              <w:top w:val="nil"/>
              <w:left w:val="nil"/>
              <w:bottom w:val="nil"/>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1.5</w:t>
            </w:r>
          </w:p>
        </w:tc>
        <w:tc>
          <w:tcPr>
            <w:tcW w:w="1259"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-4.8</w:t>
            </w:r>
          </w:p>
        </w:tc>
        <w:tc>
          <w:tcPr>
            <w:tcW w:w="961" w:type="dxa"/>
            <w:tcBorders>
              <w:top w:val="nil"/>
              <w:left w:val="nil"/>
              <w:bottom w:val="nil"/>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1.4</w:t>
            </w:r>
          </w:p>
        </w:tc>
      </w:tr>
      <w:tr w:rsidR="00643F5D" w:rsidRPr="0050008F" w:rsidTr="00643F5D">
        <w:trPr>
          <w:trHeight w:val="315"/>
        </w:trPr>
        <w:tc>
          <w:tcPr>
            <w:tcW w:w="1480" w:type="dxa"/>
            <w:tcBorders>
              <w:top w:val="nil"/>
              <w:left w:val="nil"/>
              <w:bottom w:val="double" w:sz="6" w:space="0" w:color="auto"/>
              <w:right w:val="nil"/>
            </w:tcBorders>
            <w:shd w:val="clear" w:color="000000" w:fill="FFFFFF"/>
            <w:noWrap/>
            <w:vAlign w:val="bottom"/>
            <w:hideMark/>
          </w:tcPr>
          <w:p w:rsidR="00643F5D" w:rsidRPr="0050008F" w:rsidRDefault="00643F5D" w:rsidP="00643F5D">
            <w:pPr>
              <w:rPr>
                <w:rFonts w:ascii="Calibri" w:hAnsi="Calibri" w:cs="Calibri"/>
                <w:b/>
                <w:bCs/>
                <w:color w:val="000000"/>
                <w:sz w:val="20"/>
                <w:szCs w:val="20"/>
                <w:lang w:eastAsia="en-GB"/>
              </w:rPr>
            </w:pPr>
            <w:r w:rsidRPr="0050008F">
              <w:rPr>
                <w:rFonts w:ascii="Calibri" w:hAnsi="Calibri" w:cs="Calibri"/>
                <w:b/>
                <w:bCs/>
                <w:color w:val="000000"/>
                <w:sz w:val="20"/>
                <w:szCs w:val="20"/>
                <w:lang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1.5</w:t>
            </w:r>
          </w:p>
        </w:tc>
        <w:tc>
          <w:tcPr>
            <w:tcW w:w="961" w:type="dxa"/>
            <w:tcBorders>
              <w:top w:val="nil"/>
              <w:left w:val="nil"/>
              <w:bottom w:val="double" w:sz="6" w:space="0" w:color="auto"/>
              <w:right w:val="single" w:sz="4" w:space="0" w:color="auto"/>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c>
          <w:tcPr>
            <w:tcW w:w="1259" w:type="dxa"/>
            <w:tcBorders>
              <w:top w:val="nil"/>
              <w:left w:val="nil"/>
              <w:bottom w:val="double" w:sz="6" w:space="0" w:color="auto"/>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0.9</w:t>
            </w:r>
          </w:p>
        </w:tc>
        <w:tc>
          <w:tcPr>
            <w:tcW w:w="961" w:type="dxa"/>
            <w:tcBorders>
              <w:top w:val="nil"/>
              <w:left w:val="nil"/>
              <w:bottom w:val="double" w:sz="6" w:space="0" w:color="auto"/>
              <w:right w:val="nil"/>
            </w:tcBorders>
            <w:shd w:val="clear" w:color="000000" w:fill="FFFFFF"/>
            <w:noWrap/>
            <w:vAlign w:val="bottom"/>
            <w:hideMark/>
          </w:tcPr>
          <w:p w:rsidR="00643F5D" w:rsidRPr="0050008F" w:rsidRDefault="00643F5D" w:rsidP="00643F5D">
            <w:pPr>
              <w:jc w:val="center"/>
              <w:rPr>
                <w:rFonts w:ascii="Calibri" w:hAnsi="Calibri" w:cs="Calibri"/>
                <w:color w:val="000000"/>
                <w:sz w:val="20"/>
                <w:szCs w:val="20"/>
                <w:lang w:eastAsia="en-GB"/>
              </w:rPr>
            </w:pPr>
            <w:r w:rsidRPr="0050008F">
              <w:rPr>
                <w:rFonts w:ascii="Calibri" w:hAnsi="Calibri" w:cs="Calibri"/>
                <w:color w:val="000000"/>
                <w:sz w:val="20"/>
                <w:szCs w:val="20"/>
                <w:lang w:eastAsia="en-GB"/>
              </w:rPr>
              <w:t> </w:t>
            </w:r>
          </w:p>
        </w:tc>
      </w:tr>
    </w:tbl>
    <w:p w:rsidR="00F46A54" w:rsidRPr="0050008F" w:rsidRDefault="003D44CE" w:rsidP="00F46A54">
      <w:pPr>
        <w:keepNext/>
        <w:rPr>
          <w:rFonts w:ascii="Palatino Linotype" w:hAnsi="Palatino Linotype" w:cstheme="minorHAnsi"/>
          <w:sz w:val="18"/>
          <w:szCs w:val="18"/>
        </w:rPr>
      </w:pPr>
      <w:r w:rsidRPr="0050008F">
        <w:rPr>
          <w:rFonts w:ascii="Palatino Linotype" w:hAnsi="Palatino Linotype" w:cstheme="minorHAnsi"/>
          <w:sz w:val="18"/>
          <w:szCs w:val="18"/>
        </w:rPr>
        <w:t>Ka</w:t>
      </w:r>
      <w:r w:rsidR="00F46A54" w:rsidRPr="0050008F">
        <w:rPr>
          <w:rFonts w:ascii="Palatino Linotype" w:hAnsi="Palatino Linotype" w:cstheme="minorHAnsi"/>
          <w:sz w:val="18"/>
          <w:szCs w:val="18"/>
        </w:rPr>
        <w:t xml:space="preserve">ynak: TÜİK, Betam. </w:t>
      </w:r>
    </w:p>
    <w:p w:rsidR="006C3EE6" w:rsidRPr="0050008F"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rsidR="006C3EE6" w:rsidRPr="0050008F" w:rsidRDefault="000F0B6B" w:rsidP="004931A5">
      <w:pPr>
        <w:pStyle w:val="NormalWeb"/>
        <w:spacing w:before="0" w:beforeAutospacing="0" w:after="0" w:afterAutospacing="0" w:line="360" w:lineRule="auto"/>
        <w:ind w:right="77"/>
        <w:rPr>
          <w:rFonts w:ascii="Palatino Linotype" w:hAnsi="Palatino Linotype" w:cstheme="minorHAnsi"/>
          <w:b/>
          <w:sz w:val="22"/>
          <w:szCs w:val="22"/>
        </w:rPr>
      </w:pPr>
      <w:r w:rsidRPr="0050008F">
        <w:rPr>
          <w:rFonts w:ascii="Palatino Linotype" w:hAnsi="Palatino Linotype" w:cstheme="minorHAnsi"/>
          <w:b/>
          <w:sz w:val="22"/>
          <w:szCs w:val="22"/>
        </w:rPr>
        <w:t>Faiz</w:t>
      </w:r>
      <w:r w:rsidR="0088270D" w:rsidRPr="0050008F">
        <w:rPr>
          <w:rFonts w:ascii="Palatino Linotype" w:hAnsi="Palatino Linotype" w:cstheme="minorHAnsi"/>
          <w:b/>
          <w:sz w:val="22"/>
          <w:szCs w:val="22"/>
        </w:rPr>
        <w:t xml:space="preserve"> artışı</w:t>
      </w:r>
      <w:r w:rsidRPr="0050008F">
        <w:rPr>
          <w:rFonts w:ascii="Palatino Linotype" w:hAnsi="Palatino Linotype" w:cstheme="minorHAnsi"/>
          <w:b/>
          <w:sz w:val="22"/>
          <w:szCs w:val="22"/>
        </w:rPr>
        <w:t xml:space="preserve"> y</w:t>
      </w:r>
      <w:r w:rsidR="006C3EE6" w:rsidRPr="0050008F">
        <w:rPr>
          <w:rFonts w:ascii="Palatino Linotype" w:hAnsi="Palatino Linotype" w:cstheme="minorHAnsi"/>
          <w:b/>
          <w:sz w:val="22"/>
          <w:szCs w:val="22"/>
        </w:rPr>
        <w:t>atırımlar</w:t>
      </w:r>
      <w:r w:rsidR="0088270D" w:rsidRPr="0050008F">
        <w:rPr>
          <w:rFonts w:ascii="Palatino Linotype" w:hAnsi="Palatino Linotype" w:cstheme="minorHAnsi"/>
          <w:b/>
          <w:sz w:val="22"/>
          <w:szCs w:val="22"/>
        </w:rPr>
        <w:t>ı etkiledi</w:t>
      </w:r>
    </w:p>
    <w:p w:rsidR="003E1EED" w:rsidRPr="0050008F" w:rsidRDefault="00C21E02" w:rsidP="003E1EED">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 xml:space="preserve">2018 birinci çeyrek büyüme değerlendirmesinde önceki çeyreklerde yatırımlarda görülen pozitif katkıların yaşanan gelişmeler sonucu artan piyasa faizlerinden olumsuz etkileneceğini belirtmiştik. Nitekim, </w:t>
      </w:r>
      <w:bookmarkStart w:id="5" w:name="OLE_LINK5"/>
      <w:bookmarkStart w:id="6" w:name="OLE_LINK6"/>
      <w:r w:rsidR="009B1546" w:rsidRPr="0050008F">
        <w:rPr>
          <w:rFonts w:ascii="Palatino Linotype" w:hAnsi="Palatino Linotype" w:cstheme="minorHAnsi"/>
          <w:sz w:val="22"/>
          <w:szCs w:val="22"/>
        </w:rPr>
        <w:t>201</w:t>
      </w:r>
      <w:r w:rsidRPr="0050008F">
        <w:rPr>
          <w:rFonts w:ascii="Palatino Linotype" w:hAnsi="Palatino Linotype" w:cstheme="minorHAnsi"/>
          <w:sz w:val="22"/>
          <w:szCs w:val="22"/>
        </w:rPr>
        <w:t>8</w:t>
      </w:r>
      <w:r w:rsidR="009B1546" w:rsidRPr="0050008F">
        <w:rPr>
          <w:rFonts w:ascii="Palatino Linotype" w:hAnsi="Palatino Linotype" w:cstheme="minorHAnsi"/>
          <w:sz w:val="22"/>
          <w:szCs w:val="22"/>
        </w:rPr>
        <w:t xml:space="preserve"> yılının </w:t>
      </w:r>
      <w:r w:rsidRPr="0050008F">
        <w:rPr>
          <w:rFonts w:ascii="Palatino Linotype" w:hAnsi="Palatino Linotype" w:cstheme="minorHAnsi"/>
          <w:sz w:val="22"/>
          <w:szCs w:val="22"/>
        </w:rPr>
        <w:t>ilk</w:t>
      </w:r>
      <w:r w:rsidR="009B1546" w:rsidRPr="0050008F">
        <w:rPr>
          <w:rFonts w:ascii="Palatino Linotype" w:hAnsi="Palatino Linotype" w:cstheme="minorHAnsi"/>
          <w:sz w:val="22"/>
          <w:szCs w:val="22"/>
        </w:rPr>
        <w:t xml:space="preserve"> çeyre</w:t>
      </w:r>
      <w:r w:rsidR="00A310EA" w:rsidRPr="0050008F">
        <w:rPr>
          <w:rFonts w:ascii="Palatino Linotype" w:hAnsi="Palatino Linotype" w:cstheme="minorHAnsi"/>
          <w:sz w:val="22"/>
          <w:szCs w:val="22"/>
        </w:rPr>
        <w:t xml:space="preserve">ğinde </w:t>
      </w:r>
      <w:r w:rsidR="00EA7527" w:rsidRPr="0050008F">
        <w:rPr>
          <w:rFonts w:ascii="Palatino Linotype" w:hAnsi="Palatino Linotype" w:cstheme="minorHAnsi"/>
          <w:sz w:val="22"/>
          <w:szCs w:val="22"/>
        </w:rPr>
        <w:t>yıllık bazda</w:t>
      </w:r>
      <w:r w:rsidR="00C86475" w:rsidRPr="0050008F">
        <w:rPr>
          <w:rFonts w:ascii="Palatino Linotype" w:hAnsi="Palatino Linotype" w:cstheme="minorHAnsi"/>
          <w:sz w:val="22"/>
          <w:szCs w:val="22"/>
        </w:rPr>
        <w:t xml:space="preserve"> </w:t>
      </w:r>
      <w:r w:rsidR="00B56D03" w:rsidRPr="0050008F">
        <w:rPr>
          <w:rFonts w:ascii="Palatino Linotype" w:hAnsi="Palatino Linotype" w:cstheme="minorHAnsi"/>
          <w:sz w:val="22"/>
          <w:szCs w:val="22"/>
        </w:rPr>
        <w:t>yüzde</w:t>
      </w:r>
      <w:r w:rsidR="00C86475" w:rsidRPr="0050008F">
        <w:rPr>
          <w:rFonts w:ascii="Palatino Linotype" w:hAnsi="Palatino Linotype" w:cstheme="minorHAnsi"/>
          <w:sz w:val="22"/>
          <w:szCs w:val="22"/>
        </w:rPr>
        <w:t xml:space="preserve"> </w:t>
      </w:r>
      <w:r w:rsidRPr="0050008F">
        <w:rPr>
          <w:rFonts w:ascii="Palatino Linotype" w:hAnsi="Palatino Linotype" w:cstheme="minorHAnsi"/>
          <w:sz w:val="22"/>
          <w:szCs w:val="22"/>
        </w:rPr>
        <w:t>7,9</w:t>
      </w:r>
      <w:r w:rsidR="00C86475" w:rsidRPr="0050008F">
        <w:rPr>
          <w:rFonts w:ascii="Palatino Linotype" w:hAnsi="Palatino Linotype" w:cstheme="minorHAnsi"/>
          <w:sz w:val="22"/>
          <w:szCs w:val="22"/>
        </w:rPr>
        <w:t xml:space="preserve"> </w:t>
      </w:r>
      <w:r w:rsidR="00B56D03" w:rsidRPr="0050008F">
        <w:rPr>
          <w:rFonts w:ascii="Palatino Linotype" w:hAnsi="Palatino Linotype" w:cstheme="minorHAnsi"/>
          <w:sz w:val="22"/>
          <w:szCs w:val="22"/>
        </w:rPr>
        <w:t>büyüyerek</w:t>
      </w:r>
      <w:r w:rsidR="007C462A" w:rsidRPr="0050008F">
        <w:rPr>
          <w:rFonts w:ascii="Palatino Linotype" w:hAnsi="Palatino Linotype" w:cstheme="minorHAnsi"/>
          <w:sz w:val="22"/>
          <w:szCs w:val="22"/>
        </w:rPr>
        <w:t xml:space="preserve"> GSYH artışına</w:t>
      </w:r>
      <w:r w:rsidR="00B56D03" w:rsidRPr="0050008F">
        <w:rPr>
          <w:rFonts w:ascii="Palatino Linotype" w:hAnsi="Palatino Linotype" w:cstheme="minorHAnsi"/>
          <w:sz w:val="22"/>
          <w:szCs w:val="22"/>
        </w:rPr>
        <w:t xml:space="preserve"> </w:t>
      </w:r>
      <w:r w:rsidRPr="0050008F">
        <w:rPr>
          <w:rFonts w:ascii="Palatino Linotype" w:hAnsi="Palatino Linotype" w:cstheme="minorHAnsi"/>
          <w:sz w:val="22"/>
          <w:szCs w:val="22"/>
        </w:rPr>
        <w:t>2</w:t>
      </w:r>
      <w:r w:rsidR="00080211" w:rsidRPr="0050008F">
        <w:rPr>
          <w:rFonts w:ascii="Palatino Linotype" w:hAnsi="Palatino Linotype" w:cstheme="minorHAnsi"/>
          <w:sz w:val="22"/>
          <w:szCs w:val="22"/>
        </w:rPr>
        <w:t>,</w:t>
      </w:r>
      <w:r w:rsidRPr="0050008F">
        <w:rPr>
          <w:rFonts w:ascii="Palatino Linotype" w:hAnsi="Palatino Linotype" w:cstheme="minorHAnsi"/>
          <w:sz w:val="22"/>
          <w:szCs w:val="22"/>
        </w:rPr>
        <w:t>3</w:t>
      </w:r>
      <w:r w:rsidR="00C86475" w:rsidRPr="0050008F">
        <w:rPr>
          <w:rFonts w:ascii="Palatino Linotype" w:hAnsi="Palatino Linotype" w:cstheme="minorHAnsi"/>
          <w:sz w:val="22"/>
          <w:szCs w:val="22"/>
        </w:rPr>
        <w:t xml:space="preserve"> </w:t>
      </w:r>
      <w:r w:rsidR="00AB1006" w:rsidRPr="0050008F">
        <w:rPr>
          <w:rFonts w:ascii="Palatino Linotype" w:hAnsi="Palatino Linotype" w:cstheme="minorHAnsi"/>
          <w:sz w:val="22"/>
          <w:szCs w:val="22"/>
        </w:rPr>
        <w:t>yüzde puan</w:t>
      </w:r>
      <w:r w:rsidR="00C86475" w:rsidRPr="0050008F">
        <w:rPr>
          <w:rFonts w:ascii="Palatino Linotype" w:hAnsi="Palatino Linotype" w:cstheme="minorHAnsi"/>
          <w:sz w:val="22"/>
          <w:szCs w:val="22"/>
        </w:rPr>
        <w:t xml:space="preserve"> </w:t>
      </w:r>
      <w:r w:rsidR="00A310EA" w:rsidRPr="0050008F">
        <w:rPr>
          <w:rFonts w:ascii="Palatino Linotype" w:hAnsi="Palatino Linotype" w:cstheme="minorHAnsi"/>
          <w:sz w:val="22"/>
          <w:szCs w:val="22"/>
        </w:rPr>
        <w:t>katkı yapan yatırımlar</w:t>
      </w:r>
      <w:r w:rsidR="00B56D03" w:rsidRPr="0050008F">
        <w:rPr>
          <w:rFonts w:ascii="Palatino Linotype" w:hAnsi="Palatino Linotype" w:cstheme="minorHAnsi"/>
          <w:sz w:val="22"/>
          <w:szCs w:val="22"/>
        </w:rPr>
        <w:t xml:space="preserve"> </w:t>
      </w:r>
      <w:r w:rsidR="00DB5518" w:rsidRPr="0050008F">
        <w:rPr>
          <w:rFonts w:ascii="Palatino Linotype" w:hAnsi="Palatino Linotype" w:cstheme="minorHAnsi"/>
          <w:sz w:val="22"/>
          <w:szCs w:val="22"/>
        </w:rPr>
        <w:t xml:space="preserve">2018 yılının </w:t>
      </w:r>
      <w:r w:rsidRPr="0050008F">
        <w:rPr>
          <w:rFonts w:ascii="Palatino Linotype" w:hAnsi="Palatino Linotype" w:cstheme="minorHAnsi"/>
          <w:sz w:val="22"/>
          <w:szCs w:val="22"/>
        </w:rPr>
        <w:t>ikinci</w:t>
      </w:r>
      <w:r w:rsidR="00B56D03" w:rsidRPr="0050008F">
        <w:rPr>
          <w:rFonts w:ascii="Palatino Linotype" w:hAnsi="Palatino Linotype" w:cstheme="minorHAnsi"/>
          <w:sz w:val="22"/>
          <w:szCs w:val="22"/>
        </w:rPr>
        <w:t xml:space="preserve"> çeyre</w:t>
      </w:r>
      <w:r w:rsidR="00DB5518" w:rsidRPr="0050008F">
        <w:rPr>
          <w:rFonts w:ascii="Palatino Linotype" w:hAnsi="Palatino Linotype" w:cstheme="minorHAnsi"/>
          <w:sz w:val="22"/>
          <w:szCs w:val="22"/>
        </w:rPr>
        <w:t>ğinde</w:t>
      </w:r>
      <w:r w:rsidR="00B56D03" w:rsidRPr="0050008F">
        <w:rPr>
          <w:rFonts w:ascii="Palatino Linotype" w:hAnsi="Palatino Linotype" w:cstheme="minorHAnsi"/>
          <w:sz w:val="22"/>
          <w:szCs w:val="22"/>
        </w:rPr>
        <w:t xml:space="preserve"> yüzde </w:t>
      </w:r>
      <w:r w:rsidRPr="0050008F">
        <w:rPr>
          <w:rFonts w:ascii="Palatino Linotype" w:hAnsi="Palatino Linotype" w:cstheme="minorHAnsi"/>
          <w:sz w:val="22"/>
          <w:szCs w:val="22"/>
        </w:rPr>
        <w:t>3</w:t>
      </w:r>
      <w:r w:rsidR="00B56D03" w:rsidRPr="0050008F">
        <w:rPr>
          <w:rFonts w:ascii="Palatino Linotype" w:hAnsi="Palatino Linotype" w:cstheme="minorHAnsi"/>
          <w:sz w:val="22"/>
          <w:szCs w:val="22"/>
        </w:rPr>
        <w:t>,</w:t>
      </w:r>
      <w:r w:rsidRPr="0050008F">
        <w:rPr>
          <w:rFonts w:ascii="Palatino Linotype" w:hAnsi="Palatino Linotype" w:cstheme="minorHAnsi"/>
          <w:sz w:val="22"/>
          <w:szCs w:val="22"/>
        </w:rPr>
        <w:t>9</w:t>
      </w:r>
      <w:r w:rsidR="00B56D03" w:rsidRPr="0050008F">
        <w:rPr>
          <w:rFonts w:ascii="Palatino Linotype" w:hAnsi="Palatino Linotype" w:cstheme="minorHAnsi"/>
          <w:sz w:val="22"/>
          <w:szCs w:val="22"/>
        </w:rPr>
        <w:t xml:space="preserve"> </w:t>
      </w:r>
      <w:r w:rsidR="00B56D03" w:rsidRPr="0050008F">
        <w:rPr>
          <w:rFonts w:ascii="Palatino Linotype" w:hAnsi="Palatino Linotype" w:cstheme="minorHAnsi"/>
          <w:sz w:val="22"/>
          <w:szCs w:val="22"/>
        </w:rPr>
        <w:lastRenderedPageBreak/>
        <w:t>büyüyerek GSYH büyümesine</w:t>
      </w:r>
      <w:r w:rsidR="00C86475" w:rsidRPr="0050008F">
        <w:rPr>
          <w:rFonts w:ascii="Palatino Linotype" w:hAnsi="Palatino Linotype" w:cstheme="minorHAnsi"/>
          <w:sz w:val="22"/>
          <w:szCs w:val="22"/>
        </w:rPr>
        <w:t xml:space="preserve"> </w:t>
      </w:r>
      <w:r w:rsidRPr="0050008F">
        <w:rPr>
          <w:rFonts w:ascii="Palatino Linotype" w:hAnsi="Palatino Linotype" w:cstheme="minorHAnsi"/>
          <w:sz w:val="22"/>
          <w:szCs w:val="22"/>
        </w:rPr>
        <w:t>1</w:t>
      </w:r>
      <w:r w:rsidR="00080211" w:rsidRPr="0050008F">
        <w:rPr>
          <w:rFonts w:ascii="Palatino Linotype" w:hAnsi="Palatino Linotype" w:cstheme="minorHAnsi"/>
          <w:sz w:val="22"/>
          <w:szCs w:val="22"/>
        </w:rPr>
        <w:t>,</w:t>
      </w:r>
      <w:r w:rsidR="000F0B6B" w:rsidRPr="0050008F">
        <w:rPr>
          <w:rFonts w:ascii="Palatino Linotype" w:hAnsi="Palatino Linotype" w:cstheme="minorHAnsi"/>
          <w:sz w:val="22"/>
          <w:szCs w:val="22"/>
        </w:rPr>
        <w:t>2</w:t>
      </w:r>
      <w:r w:rsidR="00B56D03" w:rsidRPr="0050008F">
        <w:rPr>
          <w:rFonts w:ascii="Palatino Linotype" w:hAnsi="Palatino Linotype" w:cstheme="minorHAnsi"/>
          <w:sz w:val="22"/>
          <w:szCs w:val="22"/>
        </w:rPr>
        <w:t xml:space="preserve"> yüzde</w:t>
      </w:r>
      <w:r w:rsidR="00C86475" w:rsidRPr="0050008F">
        <w:rPr>
          <w:rFonts w:ascii="Palatino Linotype" w:hAnsi="Palatino Linotype" w:cstheme="minorHAnsi"/>
          <w:sz w:val="22"/>
          <w:szCs w:val="22"/>
        </w:rPr>
        <w:t xml:space="preserve"> </w:t>
      </w:r>
      <w:r w:rsidR="00B56D03" w:rsidRPr="0050008F">
        <w:rPr>
          <w:rFonts w:ascii="Palatino Linotype" w:hAnsi="Palatino Linotype" w:cstheme="minorHAnsi"/>
          <w:sz w:val="22"/>
          <w:szCs w:val="22"/>
        </w:rPr>
        <w:t>puanlık bir katkı yaptı</w:t>
      </w:r>
      <w:r w:rsidR="00C86475" w:rsidRPr="0050008F">
        <w:rPr>
          <w:rFonts w:ascii="Palatino Linotype" w:hAnsi="Palatino Linotype" w:cstheme="minorHAnsi"/>
          <w:sz w:val="22"/>
          <w:szCs w:val="22"/>
        </w:rPr>
        <w:t xml:space="preserve"> </w:t>
      </w:r>
      <w:bookmarkEnd w:id="5"/>
      <w:bookmarkEnd w:id="6"/>
      <w:r w:rsidR="00AB1006" w:rsidRPr="0050008F">
        <w:rPr>
          <w:rFonts w:ascii="Palatino Linotype" w:hAnsi="Palatino Linotype" w:cstheme="minorHAnsi"/>
          <w:sz w:val="22"/>
          <w:szCs w:val="22"/>
        </w:rPr>
        <w:t>(Tablo 1)</w:t>
      </w:r>
      <w:r w:rsidR="00A310EA" w:rsidRPr="0050008F">
        <w:rPr>
          <w:rFonts w:ascii="Palatino Linotype" w:hAnsi="Palatino Linotype" w:cstheme="minorHAnsi"/>
          <w:sz w:val="22"/>
          <w:szCs w:val="22"/>
        </w:rPr>
        <w:t>.</w:t>
      </w:r>
      <w:r w:rsidR="00E83A84" w:rsidRPr="0050008F">
        <w:rPr>
          <w:rFonts w:ascii="Palatino Linotype" w:hAnsi="Palatino Linotype" w:cstheme="minorHAnsi"/>
          <w:sz w:val="22"/>
          <w:szCs w:val="22"/>
        </w:rPr>
        <w:t xml:space="preserve"> Çeyreklik verilerde </w:t>
      </w:r>
      <w:r w:rsidR="000F0B6B" w:rsidRPr="0050008F">
        <w:rPr>
          <w:rFonts w:ascii="Palatino Linotype" w:hAnsi="Palatino Linotype" w:cstheme="minorHAnsi"/>
          <w:sz w:val="22"/>
          <w:szCs w:val="22"/>
        </w:rPr>
        <w:t>ise</w:t>
      </w:r>
      <w:r w:rsidR="00E83A84" w:rsidRPr="0050008F">
        <w:rPr>
          <w:rFonts w:ascii="Palatino Linotype" w:hAnsi="Palatino Linotype" w:cstheme="minorHAnsi"/>
          <w:sz w:val="22"/>
          <w:szCs w:val="22"/>
        </w:rPr>
        <w:t xml:space="preserve"> </w:t>
      </w:r>
      <w:r w:rsidR="000F0B6B" w:rsidRPr="0050008F">
        <w:rPr>
          <w:rFonts w:ascii="Palatino Linotype" w:hAnsi="Palatino Linotype" w:cstheme="minorHAnsi"/>
          <w:sz w:val="22"/>
          <w:szCs w:val="22"/>
        </w:rPr>
        <w:t xml:space="preserve">yatırımların yüzde eksi 1,4 azaldığını ve büyümeye katkısının eksi 0,4 yüzde puan olduğunu görüyoruz </w:t>
      </w:r>
      <w:r w:rsidR="00E83A84" w:rsidRPr="0050008F">
        <w:rPr>
          <w:rFonts w:ascii="Palatino Linotype" w:hAnsi="Palatino Linotype" w:cstheme="minorHAnsi"/>
          <w:sz w:val="22"/>
          <w:szCs w:val="22"/>
        </w:rPr>
        <w:t xml:space="preserve">(Tablo 2). </w:t>
      </w:r>
      <w:r w:rsidR="00A310EA" w:rsidRPr="0050008F">
        <w:rPr>
          <w:rFonts w:ascii="Palatino Linotype" w:hAnsi="Palatino Linotype" w:cstheme="minorHAnsi"/>
          <w:sz w:val="22"/>
          <w:szCs w:val="22"/>
        </w:rPr>
        <w:t xml:space="preserve"> </w:t>
      </w:r>
    </w:p>
    <w:p w:rsidR="0088270D" w:rsidRPr="0050008F" w:rsidRDefault="0088270D" w:rsidP="0088270D">
      <w:pPr>
        <w:pStyle w:val="NormalWeb"/>
        <w:spacing w:before="0" w:beforeAutospacing="0" w:after="0" w:afterAutospacing="0" w:line="360" w:lineRule="auto"/>
        <w:ind w:right="77"/>
        <w:rPr>
          <w:rFonts w:ascii="Palatino Linotype" w:hAnsi="Palatino Linotype" w:cstheme="minorHAnsi"/>
          <w:b/>
          <w:sz w:val="20"/>
          <w:szCs w:val="20"/>
        </w:rPr>
      </w:pPr>
      <w:r w:rsidRPr="0050008F">
        <w:rPr>
          <w:rFonts w:ascii="Palatino Linotype" w:hAnsi="Palatino Linotype" w:cstheme="minorHAnsi"/>
          <w:sz w:val="22"/>
          <w:szCs w:val="22"/>
        </w:rPr>
        <w:t xml:space="preserve">Tüketim ve yatırım verileri beraber değerlendirildiğinde, iç talebin daralmaya başladığını ve </w:t>
      </w:r>
      <w:r w:rsidR="002C64BB" w:rsidRPr="0050008F">
        <w:rPr>
          <w:rFonts w:ascii="Palatino Linotype" w:hAnsi="Palatino Linotype" w:cstheme="minorHAnsi"/>
          <w:sz w:val="22"/>
          <w:szCs w:val="22"/>
        </w:rPr>
        <w:t>iç talebe bağlı yüksek ekonomik büyüme trendinde bir kırılmanın</w:t>
      </w:r>
      <w:r w:rsidRPr="0050008F">
        <w:rPr>
          <w:rFonts w:ascii="Palatino Linotype" w:hAnsi="Palatino Linotype" w:cstheme="minorHAnsi"/>
          <w:sz w:val="22"/>
          <w:szCs w:val="22"/>
        </w:rPr>
        <w:t xml:space="preserve"> </w:t>
      </w:r>
      <w:r w:rsidR="002C64BB" w:rsidRPr="0050008F">
        <w:rPr>
          <w:rFonts w:ascii="Palatino Linotype" w:hAnsi="Palatino Linotype" w:cstheme="minorHAnsi"/>
          <w:sz w:val="22"/>
          <w:szCs w:val="22"/>
        </w:rPr>
        <w:t>yaşanmakta olduğu görülmektedir</w:t>
      </w:r>
      <w:r w:rsidRPr="0050008F">
        <w:rPr>
          <w:rFonts w:ascii="Palatino Linotype" w:hAnsi="Palatino Linotype" w:cstheme="minorHAnsi"/>
          <w:sz w:val="22"/>
          <w:szCs w:val="22"/>
        </w:rPr>
        <w:t>. Tüketim harcamalarının çeyreklik bazda da olsa negatif katkı yapması pek alışılmış bir durum değil</w:t>
      </w:r>
      <w:r w:rsidR="002C64BB" w:rsidRPr="0050008F">
        <w:rPr>
          <w:rFonts w:ascii="Palatino Linotype" w:hAnsi="Palatino Linotype" w:cstheme="minorHAnsi"/>
          <w:sz w:val="22"/>
          <w:szCs w:val="22"/>
        </w:rPr>
        <w:t>dir</w:t>
      </w:r>
      <w:r w:rsidRPr="0050008F">
        <w:rPr>
          <w:rFonts w:ascii="Palatino Linotype" w:hAnsi="Palatino Linotype" w:cstheme="minorHAnsi"/>
          <w:sz w:val="22"/>
          <w:szCs w:val="22"/>
        </w:rPr>
        <w:t>.</w:t>
      </w:r>
    </w:p>
    <w:p w:rsidR="00D45167" w:rsidRPr="0050008F" w:rsidRDefault="00D45167" w:rsidP="00681022">
      <w:pPr>
        <w:pStyle w:val="NormalWeb"/>
        <w:spacing w:before="0" w:beforeAutospacing="0" w:after="0" w:afterAutospacing="0" w:line="360" w:lineRule="auto"/>
        <w:ind w:right="77"/>
        <w:rPr>
          <w:rFonts w:ascii="Palatino Linotype" w:hAnsi="Palatino Linotype" w:cstheme="minorHAnsi"/>
          <w:b/>
          <w:sz w:val="22"/>
          <w:szCs w:val="22"/>
        </w:rPr>
      </w:pPr>
    </w:p>
    <w:p w:rsidR="00681AD9" w:rsidRPr="0050008F"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50008F">
        <w:rPr>
          <w:rFonts w:ascii="Palatino Linotype" w:hAnsi="Palatino Linotype" w:cstheme="minorHAnsi"/>
          <w:b/>
          <w:sz w:val="22"/>
          <w:szCs w:val="22"/>
        </w:rPr>
        <w:t>Stok değişimlerin</w:t>
      </w:r>
      <w:r w:rsidR="005D00FB" w:rsidRPr="0050008F">
        <w:rPr>
          <w:rFonts w:ascii="Palatino Linotype" w:hAnsi="Palatino Linotype" w:cstheme="minorHAnsi"/>
          <w:b/>
          <w:sz w:val="22"/>
          <w:szCs w:val="22"/>
        </w:rPr>
        <w:t>in</w:t>
      </w:r>
      <w:r w:rsidR="00B95E66" w:rsidRPr="0050008F">
        <w:rPr>
          <w:rFonts w:ascii="Palatino Linotype" w:hAnsi="Palatino Linotype" w:cstheme="minorHAnsi"/>
          <w:b/>
          <w:sz w:val="22"/>
          <w:szCs w:val="22"/>
        </w:rPr>
        <w:t xml:space="preserve"> azalan</w:t>
      </w:r>
      <w:r w:rsidR="00DB5518" w:rsidRPr="0050008F">
        <w:rPr>
          <w:rFonts w:ascii="Palatino Linotype" w:hAnsi="Palatino Linotype" w:cstheme="minorHAnsi"/>
          <w:b/>
          <w:sz w:val="22"/>
          <w:szCs w:val="22"/>
        </w:rPr>
        <w:t xml:space="preserve"> katkı</w:t>
      </w:r>
      <w:r w:rsidR="005D00FB" w:rsidRPr="0050008F">
        <w:rPr>
          <w:rFonts w:ascii="Palatino Linotype" w:hAnsi="Palatino Linotype" w:cstheme="minorHAnsi"/>
          <w:b/>
          <w:sz w:val="22"/>
          <w:szCs w:val="22"/>
        </w:rPr>
        <w:t>sı</w:t>
      </w:r>
      <w:r w:rsidR="00B95E66" w:rsidRPr="0050008F">
        <w:rPr>
          <w:rFonts w:ascii="Palatino Linotype" w:hAnsi="Palatino Linotype" w:cstheme="minorHAnsi"/>
          <w:b/>
          <w:sz w:val="22"/>
          <w:szCs w:val="22"/>
        </w:rPr>
        <w:t xml:space="preserve"> nihayet negatife döndü</w:t>
      </w:r>
      <w:r w:rsidR="00494926" w:rsidRPr="0050008F">
        <w:rPr>
          <w:rStyle w:val="FootnoteReference"/>
          <w:rFonts w:ascii="Palatino Linotype" w:hAnsi="Palatino Linotype" w:cstheme="minorHAnsi"/>
          <w:b/>
          <w:sz w:val="22"/>
          <w:szCs w:val="22"/>
        </w:rPr>
        <w:footnoteReference w:id="4"/>
      </w:r>
    </w:p>
    <w:p w:rsidR="002106DF" w:rsidRPr="0050008F" w:rsidRDefault="00681022" w:rsidP="003E1EED">
      <w:pPr>
        <w:pStyle w:val="NormalWeb"/>
        <w:spacing w:before="0" w:beforeAutospacing="0" w:after="0" w:afterAutospacing="0" w:line="360" w:lineRule="auto"/>
        <w:ind w:right="77"/>
        <w:jc w:val="both"/>
        <w:rPr>
          <w:rFonts w:ascii="Palatino Linotype" w:hAnsi="Palatino Linotype" w:cstheme="minorHAnsi"/>
          <w:b/>
          <w:sz w:val="22"/>
          <w:szCs w:val="22"/>
        </w:rPr>
      </w:pPr>
      <w:bookmarkStart w:id="7" w:name="OLE_LINK7"/>
      <w:bookmarkStart w:id="8" w:name="OLE_LINK8"/>
      <w:r w:rsidRPr="0050008F">
        <w:rPr>
          <w:rFonts w:ascii="Palatino Linotype" w:hAnsi="Palatino Linotype" w:cstheme="minorHAnsi"/>
          <w:sz w:val="22"/>
          <w:szCs w:val="22"/>
        </w:rPr>
        <w:t xml:space="preserve">2017 yılının </w:t>
      </w:r>
      <w:r w:rsidR="00DB5518" w:rsidRPr="0050008F">
        <w:rPr>
          <w:rFonts w:ascii="Palatino Linotype" w:hAnsi="Palatino Linotype" w:cstheme="minorHAnsi"/>
          <w:sz w:val="22"/>
          <w:szCs w:val="22"/>
        </w:rPr>
        <w:t>son</w:t>
      </w:r>
      <w:r w:rsidR="00C82B14" w:rsidRPr="0050008F">
        <w:rPr>
          <w:rFonts w:ascii="Palatino Linotype" w:hAnsi="Palatino Linotype" w:cstheme="minorHAnsi"/>
          <w:sz w:val="22"/>
          <w:szCs w:val="22"/>
        </w:rPr>
        <w:t xml:space="preserve"> çeyreğinde </w:t>
      </w:r>
      <w:r w:rsidR="00B95E66" w:rsidRPr="0050008F">
        <w:rPr>
          <w:rFonts w:ascii="Palatino Linotype" w:hAnsi="Palatino Linotype" w:cstheme="minorHAnsi"/>
          <w:sz w:val="22"/>
          <w:szCs w:val="22"/>
        </w:rPr>
        <w:t xml:space="preserve">3,7 yüzde puan, 2018 yılının ilk çeyreğinde ise 2,7 yüzde puan olan </w:t>
      </w:r>
      <w:r w:rsidR="00C82B14" w:rsidRPr="0050008F">
        <w:rPr>
          <w:rFonts w:ascii="Palatino Linotype" w:hAnsi="Palatino Linotype" w:cstheme="minorHAnsi"/>
          <w:sz w:val="22"/>
          <w:szCs w:val="22"/>
        </w:rPr>
        <w:t>s</w:t>
      </w:r>
      <w:r w:rsidRPr="0050008F">
        <w:rPr>
          <w:rFonts w:ascii="Palatino Linotype" w:hAnsi="Palatino Linotype" w:cstheme="minorHAnsi"/>
          <w:sz w:val="22"/>
          <w:szCs w:val="22"/>
        </w:rPr>
        <w:t>tok değişi</w:t>
      </w:r>
      <w:r w:rsidR="00492020" w:rsidRPr="0050008F">
        <w:rPr>
          <w:rFonts w:ascii="Palatino Linotype" w:hAnsi="Palatino Linotype" w:cstheme="minorHAnsi"/>
          <w:sz w:val="22"/>
          <w:szCs w:val="22"/>
        </w:rPr>
        <w:t>mlerinin</w:t>
      </w:r>
      <w:r w:rsidRPr="0050008F">
        <w:rPr>
          <w:rFonts w:ascii="Palatino Linotype" w:hAnsi="Palatino Linotype" w:cstheme="minorHAnsi"/>
          <w:sz w:val="22"/>
          <w:szCs w:val="22"/>
        </w:rPr>
        <w:t xml:space="preserve"> </w:t>
      </w:r>
      <w:r w:rsidR="007C462A" w:rsidRPr="0050008F">
        <w:rPr>
          <w:rFonts w:ascii="Palatino Linotype" w:hAnsi="Palatino Linotype" w:cstheme="minorHAnsi"/>
          <w:sz w:val="22"/>
          <w:szCs w:val="22"/>
        </w:rPr>
        <w:t xml:space="preserve">yıllık </w:t>
      </w:r>
      <w:r w:rsidRPr="0050008F">
        <w:rPr>
          <w:rFonts w:ascii="Palatino Linotype" w:hAnsi="Palatino Linotype" w:cstheme="minorHAnsi"/>
          <w:sz w:val="22"/>
          <w:szCs w:val="22"/>
        </w:rPr>
        <w:t xml:space="preserve">büyümeye </w:t>
      </w:r>
      <w:r w:rsidR="00B95E66" w:rsidRPr="0050008F">
        <w:rPr>
          <w:rFonts w:ascii="Palatino Linotype" w:hAnsi="Palatino Linotype" w:cstheme="minorHAnsi"/>
          <w:sz w:val="22"/>
          <w:szCs w:val="22"/>
        </w:rPr>
        <w:t>katkısı 2018 yılının ikinci çeyreğinde eksi 1</w:t>
      </w:r>
      <w:r w:rsidR="00492020" w:rsidRPr="0050008F">
        <w:rPr>
          <w:rFonts w:ascii="Palatino Linotype" w:hAnsi="Palatino Linotype" w:cstheme="minorHAnsi"/>
          <w:sz w:val="22"/>
          <w:szCs w:val="22"/>
        </w:rPr>
        <w:t>,</w:t>
      </w:r>
      <w:r w:rsidR="00B95E66" w:rsidRPr="0050008F">
        <w:rPr>
          <w:rFonts w:ascii="Palatino Linotype" w:hAnsi="Palatino Linotype" w:cstheme="minorHAnsi"/>
          <w:sz w:val="22"/>
          <w:szCs w:val="22"/>
        </w:rPr>
        <w:t>9</w:t>
      </w:r>
      <w:r w:rsidR="003061DC" w:rsidRPr="0050008F">
        <w:rPr>
          <w:rFonts w:ascii="Palatino Linotype" w:hAnsi="Palatino Linotype" w:cstheme="minorHAnsi"/>
          <w:sz w:val="22"/>
          <w:szCs w:val="22"/>
        </w:rPr>
        <w:t xml:space="preserve"> yüzde puan</w:t>
      </w:r>
      <w:r w:rsidR="00B95E66" w:rsidRPr="0050008F">
        <w:rPr>
          <w:rFonts w:ascii="Palatino Linotype" w:hAnsi="Palatino Linotype" w:cstheme="minorHAnsi"/>
          <w:sz w:val="22"/>
          <w:szCs w:val="22"/>
        </w:rPr>
        <w:t xml:space="preserve"> olarak gerçekleşti</w:t>
      </w:r>
      <w:r w:rsidR="00492020" w:rsidRPr="0050008F">
        <w:rPr>
          <w:rFonts w:ascii="Palatino Linotype" w:hAnsi="Palatino Linotype" w:cstheme="minorHAnsi"/>
          <w:sz w:val="22"/>
          <w:szCs w:val="22"/>
        </w:rPr>
        <w:t xml:space="preserve"> </w:t>
      </w:r>
      <w:bookmarkEnd w:id="7"/>
      <w:bookmarkEnd w:id="8"/>
      <w:r w:rsidRPr="0050008F">
        <w:rPr>
          <w:rFonts w:ascii="Palatino Linotype" w:hAnsi="Palatino Linotype" w:cstheme="minorHAnsi"/>
          <w:sz w:val="22"/>
          <w:szCs w:val="22"/>
        </w:rPr>
        <w:t xml:space="preserve">(Tablo 1). </w:t>
      </w:r>
      <w:r w:rsidR="006D02FD" w:rsidRPr="0050008F">
        <w:rPr>
          <w:rFonts w:ascii="Palatino Linotype" w:hAnsi="Palatino Linotype" w:cstheme="minorHAnsi"/>
          <w:sz w:val="22"/>
          <w:szCs w:val="22"/>
        </w:rPr>
        <w:t xml:space="preserve">Çeyreklik büyümeye bakıldığında </w:t>
      </w:r>
      <w:r w:rsidR="00B95E66" w:rsidRPr="0050008F">
        <w:rPr>
          <w:rFonts w:ascii="Palatino Linotype" w:hAnsi="Palatino Linotype" w:cstheme="minorHAnsi"/>
          <w:sz w:val="22"/>
          <w:szCs w:val="22"/>
        </w:rPr>
        <w:t>da</w:t>
      </w:r>
      <w:r w:rsidR="006D02FD" w:rsidRPr="0050008F">
        <w:rPr>
          <w:rFonts w:ascii="Palatino Linotype" w:hAnsi="Palatino Linotype" w:cstheme="minorHAnsi"/>
          <w:sz w:val="22"/>
          <w:szCs w:val="22"/>
        </w:rPr>
        <w:t>, m</w:t>
      </w:r>
      <w:r w:rsidRPr="0050008F">
        <w:rPr>
          <w:rFonts w:ascii="Palatino Linotype" w:hAnsi="Palatino Linotype" w:cstheme="minorHAnsi"/>
          <w:sz w:val="22"/>
          <w:szCs w:val="22"/>
        </w:rPr>
        <w:t xml:space="preserve">evsim ve takvim etkilerinden arındırılmış stok değişiminin </w:t>
      </w:r>
      <w:r w:rsidR="00B95E66" w:rsidRPr="0050008F">
        <w:rPr>
          <w:rFonts w:ascii="Palatino Linotype" w:hAnsi="Palatino Linotype" w:cstheme="minorHAnsi"/>
          <w:sz w:val="22"/>
          <w:szCs w:val="22"/>
        </w:rPr>
        <w:t xml:space="preserve">büyümeye katkısının </w:t>
      </w:r>
      <w:r w:rsidR="00650BB3" w:rsidRPr="0050008F">
        <w:rPr>
          <w:rFonts w:ascii="Palatino Linotype" w:hAnsi="Palatino Linotype" w:cstheme="minorHAnsi"/>
          <w:sz w:val="22"/>
          <w:szCs w:val="22"/>
        </w:rPr>
        <w:t xml:space="preserve">eksi </w:t>
      </w:r>
      <w:r w:rsidR="00B95E66" w:rsidRPr="0050008F">
        <w:rPr>
          <w:rFonts w:ascii="Palatino Linotype" w:hAnsi="Palatino Linotype" w:cstheme="minorHAnsi"/>
          <w:sz w:val="22"/>
          <w:szCs w:val="22"/>
        </w:rPr>
        <w:t>0</w:t>
      </w:r>
      <w:r w:rsidR="006D02FD" w:rsidRPr="0050008F">
        <w:rPr>
          <w:rFonts w:ascii="Palatino Linotype" w:hAnsi="Palatino Linotype" w:cstheme="minorHAnsi"/>
          <w:sz w:val="22"/>
          <w:szCs w:val="22"/>
        </w:rPr>
        <w:t>,</w:t>
      </w:r>
      <w:r w:rsidR="00B95E66" w:rsidRPr="0050008F">
        <w:rPr>
          <w:rFonts w:ascii="Palatino Linotype" w:hAnsi="Palatino Linotype" w:cstheme="minorHAnsi"/>
          <w:sz w:val="22"/>
          <w:szCs w:val="22"/>
        </w:rPr>
        <w:t>4</w:t>
      </w:r>
      <w:r w:rsidR="006D02FD" w:rsidRPr="0050008F">
        <w:rPr>
          <w:rFonts w:ascii="Palatino Linotype" w:hAnsi="Palatino Linotype" w:cstheme="minorHAnsi"/>
          <w:sz w:val="22"/>
          <w:szCs w:val="22"/>
        </w:rPr>
        <w:t xml:space="preserve"> yüzde puan </w:t>
      </w:r>
      <w:r w:rsidR="00B95E66" w:rsidRPr="0050008F">
        <w:rPr>
          <w:rFonts w:ascii="Palatino Linotype" w:hAnsi="Palatino Linotype" w:cstheme="minorHAnsi"/>
          <w:sz w:val="22"/>
          <w:szCs w:val="22"/>
        </w:rPr>
        <w:t>olduğu</w:t>
      </w:r>
      <w:r w:rsidR="006D02FD" w:rsidRPr="0050008F">
        <w:rPr>
          <w:rFonts w:ascii="Palatino Linotype" w:hAnsi="Palatino Linotype" w:cstheme="minorHAnsi"/>
          <w:sz w:val="22"/>
          <w:szCs w:val="22"/>
        </w:rPr>
        <w:t xml:space="preserve"> görülmektedir</w:t>
      </w:r>
      <w:r w:rsidR="001F1554" w:rsidRPr="0050008F">
        <w:rPr>
          <w:rFonts w:ascii="Palatino Linotype" w:hAnsi="Palatino Linotype" w:cstheme="minorHAnsi"/>
          <w:sz w:val="22"/>
          <w:szCs w:val="22"/>
        </w:rPr>
        <w:t xml:space="preserve"> </w:t>
      </w:r>
      <w:r w:rsidRPr="0050008F">
        <w:rPr>
          <w:rFonts w:ascii="Palatino Linotype" w:hAnsi="Palatino Linotype" w:cstheme="minorHAnsi"/>
          <w:sz w:val="22"/>
          <w:szCs w:val="22"/>
        </w:rPr>
        <w:t>(Tablo 2).</w:t>
      </w:r>
    </w:p>
    <w:p w:rsidR="007C462A" w:rsidRPr="0050008F" w:rsidRDefault="007C462A" w:rsidP="00F46A54">
      <w:pPr>
        <w:pStyle w:val="NormalWeb"/>
        <w:spacing w:before="0" w:beforeAutospacing="0" w:after="0" w:afterAutospacing="0" w:line="360" w:lineRule="auto"/>
        <w:ind w:right="77"/>
        <w:rPr>
          <w:rFonts w:ascii="Palatino Linotype" w:hAnsi="Palatino Linotype" w:cstheme="minorHAnsi"/>
          <w:b/>
          <w:sz w:val="22"/>
          <w:szCs w:val="22"/>
        </w:rPr>
      </w:pPr>
    </w:p>
    <w:p w:rsidR="00F46A54" w:rsidRPr="0050008F" w:rsidRDefault="003061DC" w:rsidP="00F46A54">
      <w:pPr>
        <w:pStyle w:val="NormalWeb"/>
        <w:spacing w:before="0" w:beforeAutospacing="0" w:after="0" w:afterAutospacing="0" w:line="360" w:lineRule="auto"/>
        <w:ind w:right="77"/>
        <w:rPr>
          <w:rFonts w:ascii="Palatino Linotype" w:hAnsi="Palatino Linotype" w:cstheme="minorHAnsi"/>
          <w:b/>
          <w:sz w:val="22"/>
          <w:szCs w:val="22"/>
        </w:rPr>
      </w:pPr>
      <w:r w:rsidRPr="0050008F">
        <w:rPr>
          <w:rFonts w:ascii="Palatino Linotype" w:hAnsi="Palatino Linotype" w:cstheme="minorHAnsi"/>
          <w:b/>
          <w:sz w:val="22"/>
          <w:szCs w:val="22"/>
        </w:rPr>
        <w:t xml:space="preserve">Net dış ticaretin </w:t>
      </w:r>
      <w:r w:rsidR="005D00FB" w:rsidRPr="0050008F">
        <w:rPr>
          <w:rFonts w:ascii="Palatino Linotype" w:hAnsi="Palatino Linotype" w:cstheme="minorHAnsi"/>
          <w:b/>
          <w:sz w:val="22"/>
          <w:szCs w:val="22"/>
        </w:rPr>
        <w:t>katkısısı pozitif</w:t>
      </w:r>
    </w:p>
    <w:p w:rsidR="009B16AD" w:rsidRPr="0050008F" w:rsidRDefault="00A34DB9" w:rsidP="009B16AD">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2018 yılının ilk çeyreğinde bir önceki yılın aynı çeyreğine göre ihracat yüzde 0,7, i</w:t>
      </w:r>
      <w:r w:rsidR="0050008F" w:rsidRPr="0050008F">
        <w:rPr>
          <w:rFonts w:ascii="Palatino Linotype" w:hAnsi="Palatino Linotype" w:cstheme="minorHAnsi"/>
          <w:sz w:val="22"/>
          <w:szCs w:val="22"/>
        </w:rPr>
        <w:t>th</w:t>
      </w:r>
      <w:r w:rsidRPr="0050008F">
        <w:rPr>
          <w:rFonts w:ascii="Palatino Linotype" w:hAnsi="Palatino Linotype" w:cstheme="minorHAnsi"/>
          <w:sz w:val="22"/>
          <w:szCs w:val="22"/>
        </w:rPr>
        <w:t xml:space="preserve">alat ise yüzde 15,4 artmıştı. 2018 yılının ikinci çeyreğinde ise ihracat artışının hızlanarak yüzde 4,5’a, ithalat artışının ise sert bir fren yaparak yüzde 0,3’e düştüğünü görüyoruz. </w:t>
      </w:r>
      <w:r w:rsidR="005D72F5" w:rsidRPr="0050008F">
        <w:rPr>
          <w:rFonts w:ascii="Palatino Linotype" w:hAnsi="Palatino Linotype" w:cstheme="minorHAnsi"/>
          <w:sz w:val="22"/>
          <w:szCs w:val="22"/>
        </w:rPr>
        <w:t xml:space="preserve">Bu fren ekonomik konjonktürde yön değişiminin bir diğer göstergesi olarak düşünülebilir. </w:t>
      </w:r>
      <w:r w:rsidRPr="0050008F">
        <w:rPr>
          <w:rFonts w:ascii="Palatino Linotype" w:hAnsi="Palatino Linotype" w:cstheme="minorHAnsi"/>
          <w:sz w:val="22"/>
          <w:szCs w:val="22"/>
        </w:rPr>
        <w:t xml:space="preserve">Büyümeye olan katkılar </w:t>
      </w:r>
      <w:r w:rsidR="005D72F5" w:rsidRPr="0050008F">
        <w:rPr>
          <w:rFonts w:ascii="Palatino Linotype" w:hAnsi="Palatino Linotype" w:cstheme="minorHAnsi"/>
          <w:sz w:val="22"/>
          <w:szCs w:val="22"/>
        </w:rPr>
        <w:t>ihracat ve ithalattaki değişimlerden</w:t>
      </w:r>
      <w:r w:rsidRPr="0050008F">
        <w:rPr>
          <w:rFonts w:ascii="Palatino Linotype" w:hAnsi="Palatino Linotype" w:cstheme="minorHAnsi"/>
          <w:sz w:val="22"/>
          <w:szCs w:val="22"/>
        </w:rPr>
        <w:t xml:space="preserve"> olumlu etkilenmiştir. Öyle</w:t>
      </w:r>
      <w:r w:rsidR="00126200">
        <w:rPr>
          <w:rFonts w:ascii="Palatino Linotype" w:hAnsi="Palatino Linotype" w:cstheme="minorHAnsi"/>
          <w:sz w:val="22"/>
          <w:szCs w:val="22"/>
        </w:rPr>
        <w:t xml:space="preserve"> </w:t>
      </w:r>
      <w:r w:rsidRPr="0050008F">
        <w:rPr>
          <w:rFonts w:ascii="Palatino Linotype" w:hAnsi="Palatino Linotype" w:cstheme="minorHAnsi"/>
          <w:sz w:val="22"/>
          <w:szCs w:val="22"/>
        </w:rPr>
        <w:t xml:space="preserve">ki, </w:t>
      </w:r>
      <w:bookmarkStart w:id="9" w:name="OLE_LINK9"/>
      <w:bookmarkStart w:id="10" w:name="OLE_LINK10"/>
      <w:r w:rsidR="003061DC" w:rsidRPr="0050008F">
        <w:rPr>
          <w:rFonts w:ascii="Palatino Linotype" w:hAnsi="Palatino Linotype" w:cstheme="minorHAnsi"/>
          <w:sz w:val="22"/>
          <w:szCs w:val="22"/>
        </w:rPr>
        <w:t xml:space="preserve">2017 yılının </w:t>
      </w:r>
      <w:r w:rsidR="006D02FD" w:rsidRPr="0050008F">
        <w:rPr>
          <w:rFonts w:ascii="Palatino Linotype" w:hAnsi="Palatino Linotype" w:cstheme="minorHAnsi"/>
          <w:sz w:val="22"/>
          <w:szCs w:val="22"/>
        </w:rPr>
        <w:t>son</w:t>
      </w:r>
      <w:r w:rsidR="003061DC" w:rsidRPr="0050008F">
        <w:rPr>
          <w:rFonts w:ascii="Palatino Linotype" w:hAnsi="Palatino Linotype" w:cstheme="minorHAnsi"/>
          <w:sz w:val="22"/>
          <w:szCs w:val="22"/>
        </w:rPr>
        <w:t xml:space="preserve"> çeyreğinde net dış ticaretin </w:t>
      </w:r>
      <w:r w:rsidR="005D00FB" w:rsidRPr="0050008F">
        <w:rPr>
          <w:rFonts w:ascii="Palatino Linotype" w:hAnsi="Palatino Linotype" w:cstheme="minorHAnsi"/>
          <w:sz w:val="22"/>
          <w:szCs w:val="22"/>
        </w:rPr>
        <w:t xml:space="preserve">büyümeye </w:t>
      </w:r>
      <w:r w:rsidR="003061DC" w:rsidRPr="0050008F">
        <w:rPr>
          <w:rFonts w:ascii="Palatino Linotype" w:hAnsi="Palatino Linotype" w:cstheme="minorHAnsi"/>
          <w:sz w:val="22"/>
          <w:szCs w:val="22"/>
        </w:rPr>
        <w:t xml:space="preserve">katkısı </w:t>
      </w:r>
      <w:r w:rsidR="001F1554" w:rsidRPr="0050008F">
        <w:rPr>
          <w:rFonts w:ascii="Palatino Linotype" w:hAnsi="Palatino Linotype" w:cstheme="minorHAnsi"/>
          <w:sz w:val="22"/>
          <w:szCs w:val="22"/>
        </w:rPr>
        <w:t>eksi 3,4 yüzde puan</w:t>
      </w:r>
      <w:r w:rsidR="005D00FB" w:rsidRPr="0050008F">
        <w:rPr>
          <w:rFonts w:ascii="Palatino Linotype" w:hAnsi="Palatino Linotype" w:cstheme="minorHAnsi"/>
          <w:sz w:val="22"/>
          <w:szCs w:val="22"/>
        </w:rPr>
        <w:t>, 2018 yılının ilk çeyreğinde ise</w:t>
      </w:r>
      <w:r w:rsidR="006D02FD" w:rsidRPr="0050008F">
        <w:rPr>
          <w:rFonts w:ascii="Palatino Linotype" w:hAnsi="Palatino Linotype" w:cstheme="minorHAnsi"/>
          <w:sz w:val="22"/>
          <w:szCs w:val="22"/>
        </w:rPr>
        <w:t xml:space="preserve"> eksi 4,</w:t>
      </w:r>
      <w:r w:rsidR="005D00FB" w:rsidRPr="0050008F">
        <w:rPr>
          <w:rFonts w:ascii="Palatino Linotype" w:hAnsi="Palatino Linotype" w:cstheme="minorHAnsi"/>
          <w:sz w:val="22"/>
          <w:szCs w:val="22"/>
        </w:rPr>
        <w:t>1</w:t>
      </w:r>
      <w:r w:rsidR="006D02FD" w:rsidRPr="0050008F">
        <w:rPr>
          <w:rFonts w:ascii="Palatino Linotype" w:hAnsi="Palatino Linotype" w:cstheme="minorHAnsi"/>
          <w:sz w:val="22"/>
          <w:szCs w:val="22"/>
        </w:rPr>
        <w:t xml:space="preserve"> yüzde puan</w:t>
      </w:r>
      <w:r w:rsidR="005D00FB" w:rsidRPr="0050008F">
        <w:rPr>
          <w:rFonts w:ascii="Palatino Linotype" w:hAnsi="Palatino Linotype" w:cstheme="minorHAnsi"/>
          <w:sz w:val="22"/>
          <w:szCs w:val="22"/>
        </w:rPr>
        <w:t>dı. 2018 yılının ikinci çeyreğinde ise net dış ticaretin büyümeyi 1,1 yüzde puan yukarı çektiğini görüyoruz</w:t>
      </w:r>
      <w:bookmarkEnd w:id="9"/>
      <w:bookmarkEnd w:id="10"/>
      <w:r w:rsidR="001F1554" w:rsidRPr="0050008F">
        <w:rPr>
          <w:rFonts w:ascii="Palatino Linotype" w:hAnsi="Palatino Linotype" w:cstheme="minorHAnsi"/>
          <w:sz w:val="22"/>
          <w:szCs w:val="22"/>
        </w:rPr>
        <w:t xml:space="preserve"> </w:t>
      </w:r>
      <w:r w:rsidR="00EE150B" w:rsidRPr="0050008F">
        <w:rPr>
          <w:rFonts w:ascii="Palatino Linotype" w:hAnsi="Palatino Linotype" w:cstheme="minorHAnsi"/>
          <w:sz w:val="22"/>
          <w:szCs w:val="22"/>
        </w:rPr>
        <w:t>(Tablo 1</w:t>
      </w:r>
      <w:r w:rsidR="00111CED" w:rsidRPr="0050008F">
        <w:rPr>
          <w:rFonts w:ascii="Palatino Linotype" w:hAnsi="Palatino Linotype" w:cstheme="minorHAnsi"/>
          <w:sz w:val="22"/>
          <w:szCs w:val="22"/>
        </w:rPr>
        <w:t>)</w:t>
      </w:r>
      <w:r w:rsidR="00EE150B" w:rsidRPr="0050008F">
        <w:rPr>
          <w:rFonts w:ascii="Palatino Linotype" w:hAnsi="Palatino Linotype" w:cstheme="minorHAnsi"/>
          <w:sz w:val="22"/>
          <w:szCs w:val="22"/>
        </w:rPr>
        <w:t xml:space="preserve">. </w:t>
      </w:r>
      <w:r w:rsidR="00C82B14" w:rsidRPr="0050008F">
        <w:rPr>
          <w:rFonts w:ascii="Palatino Linotype" w:hAnsi="Palatino Linotype" w:cstheme="minorHAnsi"/>
          <w:sz w:val="22"/>
          <w:szCs w:val="22"/>
        </w:rPr>
        <w:t>M</w:t>
      </w:r>
      <w:r w:rsidR="00EE150B" w:rsidRPr="0050008F">
        <w:rPr>
          <w:rFonts w:ascii="Palatino Linotype" w:hAnsi="Palatino Linotype" w:cstheme="minorHAnsi"/>
          <w:sz w:val="22"/>
          <w:szCs w:val="22"/>
        </w:rPr>
        <w:t xml:space="preserve">evsim ve takvim etkilerinden arındırılmış </w:t>
      </w:r>
      <w:r w:rsidR="00F5130C" w:rsidRPr="0050008F">
        <w:rPr>
          <w:rFonts w:ascii="Palatino Linotype" w:hAnsi="Palatino Linotype" w:cstheme="minorHAnsi"/>
          <w:sz w:val="22"/>
          <w:szCs w:val="22"/>
        </w:rPr>
        <w:t>çeyrekten çeyreğe değişim</w:t>
      </w:r>
      <w:r w:rsidR="00C82B14" w:rsidRPr="0050008F">
        <w:rPr>
          <w:rFonts w:ascii="Palatino Linotype" w:hAnsi="Palatino Linotype" w:cstheme="minorHAnsi"/>
          <w:sz w:val="22"/>
          <w:szCs w:val="22"/>
        </w:rPr>
        <w:t>ler</w:t>
      </w:r>
      <w:r w:rsidRPr="0050008F">
        <w:rPr>
          <w:rFonts w:ascii="Palatino Linotype" w:hAnsi="Palatino Linotype" w:cstheme="minorHAnsi"/>
          <w:sz w:val="22"/>
          <w:szCs w:val="22"/>
        </w:rPr>
        <w:t>e bakıldığında</w:t>
      </w:r>
      <w:r w:rsidR="003061DC" w:rsidRPr="0050008F">
        <w:rPr>
          <w:rFonts w:ascii="Palatino Linotype" w:hAnsi="Palatino Linotype" w:cstheme="minorHAnsi"/>
          <w:sz w:val="22"/>
          <w:szCs w:val="22"/>
        </w:rPr>
        <w:t xml:space="preserve"> </w:t>
      </w:r>
      <w:r w:rsidRPr="0050008F">
        <w:rPr>
          <w:rFonts w:ascii="Palatino Linotype" w:hAnsi="Palatino Linotype" w:cstheme="minorHAnsi"/>
          <w:sz w:val="22"/>
          <w:szCs w:val="22"/>
        </w:rPr>
        <w:t>ihracatın</w:t>
      </w:r>
      <w:r w:rsidR="006D02FD" w:rsidRPr="0050008F">
        <w:rPr>
          <w:rFonts w:ascii="Palatino Linotype" w:hAnsi="Palatino Linotype" w:cstheme="minorHAnsi"/>
          <w:sz w:val="22"/>
          <w:szCs w:val="22"/>
        </w:rPr>
        <w:t xml:space="preserve"> büyümeye katkısının </w:t>
      </w:r>
      <w:r w:rsidRPr="0050008F">
        <w:rPr>
          <w:rFonts w:ascii="Palatino Linotype" w:hAnsi="Palatino Linotype" w:cstheme="minorHAnsi"/>
          <w:sz w:val="22"/>
          <w:szCs w:val="22"/>
        </w:rPr>
        <w:t>pozitif yönde arttığını</w:t>
      </w:r>
      <w:r w:rsidR="006D02FD" w:rsidRPr="0050008F">
        <w:rPr>
          <w:rFonts w:ascii="Palatino Linotype" w:hAnsi="Palatino Linotype" w:cstheme="minorHAnsi"/>
          <w:sz w:val="22"/>
          <w:szCs w:val="22"/>
        </w:rPr>
        <w:t xml:space="preserve">, ithalatın büyümeye katkısının </w:t>
      </w:r>
      <w:r w:rsidR="0087023B" w:rsidRPr="0050008F">
        <w:rPr>
          <w:rFonts w:ascii="Palatino Linotype" w:hAnsi="Palatino Linotype" w:cstheme="minorHAnsi"/>
          <w:sz w:val="22"/>
          <w:szCs w:val="22"/>
        </w:rPr>
        <w:t xml:space="preserve">ise </w:t>
      </w:r>
      <w:r w:rsidRPr="0050008F">
        <w:rPr>
          <w:rFonts w:ascii="Palatino Linotype" w:hAnsi="Palatino Linotype" w:cstheme="minorHAnsi"/>
          <w:sz w:val="22"/>
          <w:szCs w:val="22"/>
        </w:rPr>
        <w:t>hemen hemen aynı kaldığını görüyoruz. Net dış ticaretin katkısının 1,4 yüzde puandan, 2 yüzde puana çıktığı</w:t>
      </w:r>
      <w:r w:rsidR="00BA3C62" w:rsidRPr="0050008F">
        <w:rPr>
          <w:rFonts w:ascii="Palatino Linotype" w:hAnsi="Palatino Linotype" w:cstheme="minorHAnsi"/>
          <w:sz w:val="22"/>
          <w:szCs w:val="22"/>
        </w:rPr>
        <w:t>nı hesaplıyoruz</w:t>
      </w:r>
      <w:r w:rsidR="001F1554" w:rsidRPr="0050008F">
        <w:rPr>
          <w:rFonts w:ascii="Palatino Linotype" w:hAnsi="Palatino Linotype" w:cstheme="minorHAnsi"/>
          <w:sz w:val="22"/>
          <w:szCs w:val="22"/>
        </w:rPr>
        <w:t xml:space="preserve"> </w:t>
      </w:r>
      <w:r w:rsidR="00E565C5" w:rsidRPr="0050008F">
        <w:rPr>
          <w:rFonts w:ascii="Palatino Linotype" w:hAnsi="Palatino Linotype" w:cstheme="minorHAnsi"/>
          <w:sz w:val="22"/>
          <w:szCs w:val="22"/>
        </w:rPr>
        <w:t>(Tablo 2).</w:t>
      </w:r>
      <w:r w:rsidR="0087023B" w:rsidRPr="0050008F">
        <w:rPr>
          <w:rFonts w:ascii="Palatino Linotype" w:hAnsi="Palatino Linotype" w:cstheme="minorHAnsi"/>
          <w:sz w:val="22"/>
          <w:szCs w:val="22"/>
        </w:rPr>
        <w:t xml:space="preserve"> </w:t>
      </w:r>
    </w:p>
    <w:p w:rsidR="00126200" w:rsidRDefault="00126200" w:rsidP="008F1741">
      <w:pPr>
        <w:pStyle w:val="NormalWeb"/>
        <w:spacing w:before="0" w:beforeAutospacing="0" w:after="0" w:afterAutospacing="0" w:line="360" w:lineRule="auto"/>
        <w:ind w:right="77"/>
        <w:rPr>
          <w:rFonts w:ascii="Palatino Linotype" w:hAnsi="Palatino Linotype" w:cstheme="minorHAnsi"/>
          <w:b/>
          <w:bCs/>
          <w:sz w:val="22"/>
          <w:szCs w:val="22"/>
        </w:rPr>
      </w:pPr>
    </w:p>
    <w:p w:rsidR="006C3EE6" w:rsidRPr="0050008F"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Kamu harcamaları</w:t>
      </w:r>
      <w:r w:rsidR="00BF1EC4" w:rsidRPr="0050008F">
        <w:rPr>
          <w:rFonts w:ascii="Palatino Linotype" w:hAnsi="Palatino Linotype" w:cstheme="minorHAnsi"/>
          <w:b/>
          <w:bCs/>
          <w:sz w:val="22"/>
          <w:szCs w:val="22"/>
        </w:rPr>
        <w:t>nda artış</w:t>
      </w:r>
    </w:p>
    <w:p w:rsidR="00E565C5" w:rsidRPr="0050008F" w:rsidRDefault="00321D78" w:rsidP="001F1554">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2017 yılında i</w:t>
      </w:r>
      <w:r w:rsidR="00D803A1" w:rsidRPr="0050008F">
        <w:rPr>
          <w:rFonts w:ascii="Palatino Linotype" w:hAnsi="Palatino Linotype" w:cstheme="minorHAnsi"/>
          <w:sz w:val="22"/>
          <w:szCs w:val="22"/>
        </w:rPr>
        <w:t>kinci çeyrekten üçüncü çey</w:t>
      </w:r>
      <w:r w:rsidR="009B16AD" w:rsidRPr="0050008F">
        <w:rPr>
          <w:rFonts w:ascii="Palatino Linotype" w:hAnsi="Palatino Linotype" w:cstheme="minorHAnsi"/>
          <w:sz w:val="22"/>
          <w:szCs w:val="22"/>
        </w:rPr>
        <w:t>reğe d</w:t>
      </w:r>
      <w:r w:rsidR="00EB476F" w:rsidRPr="0050008F">
        <w:rPr>
          <w:rFonts w:ascii="Palatino Linotype" w:hAnsi="Palatino Linotype" w:cstheme="minorHAnsi"/>
          <w:sz w:val="22"/>
          <w:szCs w:val="22"/>
        </w:rPr>
        <w:t xml:space="preserve">evletin </w:t>
      </w:r>
      <w:r w:rsidR="00C82B14" w:rsidRPr="0050008F">
        <w:rPr>
          <w:rFonts w:ascii="Palatino Linotype" w:hAnsi="Palatino Linotype" w:cstheme="minorHAnsi"/>
          <w:sz w:val="22"/>
          <w:szCs w:val="22"/>
        </w:rPr>
        <w:t>n</w:t>
      </w:r>
      <w:r w:rsidR="00EB476F" w:rsidRPr="0050008F">
        <w:rPr>
          <w:rFonts w:ascii="Palatino Linotype" w:hAnsi="Palatino Linotype" w:cstheme="minorHAnsi"/>
          <w:sz w:val="22"/>
          <w:szCs w:val="22"/>
        </w:rPr>
        <w:t xml:space="preserve">ihai </w:t>
      </w:r>
      <w:r w:rsidR="00C82B14" w:rsidRPr="0050008F">
        <w:rPr>
          <w:rFonts w:ascii="Palatino Linotype" w:hAnsi="Palatino Linotype" w:cstheme="minorHAnsi"/>
          <w:sz w:val="22"/>
          <w:szCs w:val="22"/>
        </w:rPr>
        <w:t>tüketim h</w:t>
      </w:r>
      <w:r w:rsidR="00EB476F" w:rsidRPr="0050008F">
        <w:rPr>
          <w:rFonts w:ascii="Palatino Linotype" w:hAnsi="Palatino Linotype" w:cstheme="minorHAnsi"/>
          <w:sz w:val="22"/>
          <w:szCs w:val="22"/>
        </w:rPr>
        <w:t>arcamalar</w:t>
      </w:r>
      <w:r w:rsidR="00CF5053" w:rsidRPr="0050008F">
        <w:rPr>
          <w:rFonts w:ascii="Palatino Linotype" w:hAnsi="Palatino Linotype" w:cstheme="minorHAnsi"/>
          <w:sz w:val="22"/>
          <w:szCs w:val="22"/>
        </w:rPr>
        <w:t>ı</w:t>
      </w:r>
      <w:r w:rsidR="009B16AD" w:rsidRPr="0050008F">
        <w:rPr>
          <w:rFonts w:ascii="Palatino Linotype" w:hAnsi="Palatino Linotype" w:cstheme="minorHAnsi"/>
          <w:sz w:val="22"/>
          <w:szCs w:val="22"/>
        </w:rPr>
        <w:t xml:space="preserve"> büyümeye hiç katkı yapmazken, dördüncü çeyrekte harcamalara yeniden gaz verildiği açıkça görül</w:t>
      </w:r>
      <w:r w:rsidR="0087023B" w:rsidRPr="0050008F">
        <w:rPr>
          <w:rFonts w:ascii="Palatino Linotype" w:hAnsi="Palatino Linotype" w:cstheme="minorHAnsi"/>
          <w:sz w:val="22"/>
          <w:szCs w:val="22"/>
        </w:rPr>
        <w:t>müştü</w:t>
      </w:r>
      <w:r w:rsidR="009B16AD" w:rsidRPr="0050008F">
        <w:rPr>
          <w:rFonts w:ascii="Palatino Linotype" w:hAnsi="Palatino Linotype" w:cstheme="minorHAnsi"/>
          <w:sz w:val="22"/>
          <w:szCs w:val="22"/>
        </w:rPr>
        <w:t xml:space="preserve">. </w:t>
      </w:r>
      <w:r w:rsidR="0087023B" w:rsidRPr="0050008F">
        <w:rPr>
          <w:rFonts w:ascii="Palatino Linotype" w:hAnsi="Palatino Linotype" w:cstheme="minorHAnsi"/>
          <w:sz w:val="22"/>
          <w:szCs w:val="22"/>
        </w:rPr>
        <w:t xml:space="preserve">2018 yılının ilk çeyreğinde ise </w:t>
      </w:r>
      <w:r w:rsidR="009B16AD" w:rsidRPr="0050008F">
        <w:rPr>
          <w:rFonts w:ascii="Palatino Linotype" w:hAnsi="Palatino Linotype" w:cstheme="minorHAnsi"/>
          <w:sz w:val="22"/>
          <w:szCs w:val="22"/>
        </w:rPr>
        <w:t xml:space="preserve">devletin nihai tüketim harcamaları </w:t>
      </w:r>
      <w:r w:rsidR="0087023B" w:rsidRPr="0050008F">
        <w:rPr>
          <w:rFonts w:ascii="Palatino Linotype" w:hAnsi="Palatino Linotype" w:cstheme="minorHAnsi"/>
          <w:sz w:val="22"/>
          <w:szCs w:val="22"/>
        </w:rPr>
        <w:t xml:space="preserve">yıllık bazda </w:t>
      </w:r>
      <w:r w:rsidR="009B16AD" w:rsidRPr="0050008F">
        <w:rPr>
          <w:rFonts w:ascii="Palatino Linotype" w:hAnsi="Palatino Linotype" w:cstheme="minorHAnsi"/>
          <w:sz w:val="22"/>
          <w:szCs w:val="22"/>
        </w:rPr>
        <w:t xml:space="preserve">yüzde </w:t>
      </w:r>
      <w:r w:rsidR="00D24254" w:rsidRPr="0050008F">
        <w:rPr>
          <w:rFonts w:ascii="Palatino Linotype" w:hAnsi="Palatino Linotype" w:cstheme="minorHAnsi"/>
          <w:sz w:val="22"/>
          <w:szCs w:val="22"/>
        </w:rPr>
        <w:t>4</w:t>
      </w:r>
      <w:r w:rsidR="009B16AD" w:rsidRPr="0050008F">
        <w:rPr>
          <w:rFonts w:ascii="Palatino Linotype" w:hAnsi="Palatino Linotype" w:cstheme="minorHAnsi"/>
          <w:sz w:val="22"/>
          <w:szCs w:val="22"/>
        </w:rPr>
        <w:t>,</w:t>
      </w:r>
      <w:r w:rsidR="00D24254" w:rsidRPr="0050008F">
        <w:rPr>
          <w:rFonts w:ascii="Palatino Linotype" w:hAnsi="Palatino Linotype" w:cstheme="minorHAnsi"/>
          <w:sz w:val="22"/>
          <w:szCs w:val="22"/>
        </w:rPr>
        <w:t>9</w:t>
      </w:r>
      <w:r w:rsidR="009B16AD" w:rsidRPr="0050008F">
        <w:rPr>
          <w:rFonts w:ascii="Palatino Linotype" w:hAnsi="Palatino Linotype" w:cstheme="minorHAnsi"/>
          <w:sz w:val="22"/>
          <w:szCs w:val="22"/>
        </w:rPr>
        <w:t xml:space="preserve"> </w:t>
      </w:r>
      <w:r w:rsidR="0087023B" w:rsidRPr="0050008F">
        <w:rPr>
          <w:rFonts w:ascii="Palatino Linotype" w:hAnsi="Palatino Linotype" w:cstheme="minorHAnsi"/>
          <w:sz w:val="22"/>
          <w:szCs w:val="22"/>
        </w:rPr>
        <w:t>artış ile</w:t>
      </w:r>
      <w:r w:rsidR="009B16AD" w:rsidRPr="0050008F">
        <w:rPr>
          <w:rFonts w:ascii="Palatino Linotype" w:hAnsi="Palatino Linotype" w:cstheme="minorHAnsi"/>
          <w:sz w:val="22"/>
          <w:szCs w:val="22"/>
        </w:rPr>
        <w:t xml:space="preserve"> büyüme</w:t>
      </w:r>
      <w:r w:rsidR="0087023B" w:rsidRPr="0050008F">
        <w:rPr>
          <w:rFonts w:ascii="Palatino Linotype" w:hAnsi="Palatino Linotype" w:cstheme="minorHAnsi"/>
          <w:sz w:val="22"/>
          <w:szCs w:val="22"/>
        </w:rPr>
        <w:t>ye</w:t>
      </w:r>
      <w:r w:rsidR="009B16AD" w:rsidRPr="0050008F">
        <w:rPr>
          <w:rFonts w:ascii="Palatino Linotype" w:hAnsi="Palatino Linotype" w:cstheme="minorHAnsi"/>
          <w:sz w:val="22"/>
          <w:szCs w:val="22"/>
        </w:rPr>
        <w:t xml:space="preserve"> </w:t>
      </w:r>
      <w:r w:rsidR="0087023B" w:rsidRPr="0050008F">
        <w:rPr>
          <w:rFonts w:ascii="Palatino Linotype" w:hAnsi="Palatino Linotype" w:cstheme="minorHAnsi"/>
          <w:sz w:val="22"/>
          <w:szCs w:val="22"/>
        </w:rPr>
        <w:t>0,</w:t>
      </w:r>
      <w:r w:rsidR="00D24254" w:rsidRPr="0050008F">
        <w:rPr>
          <w:rFonts w:ascii="Palatino Linotype" w:hAnsi="Palatino Linotype" w:cstheme="minorHAnsi"/>
          <w:sz w:val="22"/>
          <w:szCs w:val="22"/>
        </w:rPr>
        <w:t>7</w:t>
      </w:r>
      <w:r w:rsidR="0087023B" w:rsidRPr="0050008F">
        <w:rPr>
          <w:rFonts w:ascii="Palatino Linotype" w:hAnsi="Palatino Linotype" w:cstheme="minorHAnsi"/>
          <w:sz w:val="22"/>
          <w:szCs w:val="22"/>
        </w:rPr>
        <w:t xml:space="preserve"> yüzde puan artış yap</w:t>
      </w:r>
      <w:r w:rsidR="00D24254" w:rsidRPr="0050008F">
        <w:rPr>
          <w:rFonts w:ascii="Palatino Linotype" w:hAnsi="Palatino Linotype" w:cstheme="minorHAnsi"/>
          <w:sz w:val="22"/>
          <w:szCs w:val="22"/>
        </w:rPr>
        <w:t xml:space="preserve">mıştı. </w:t>
      </w:r>
      <w:bookmarkStart w:id="11" w:name="OLE_LINK11"/>
      <w:bookmarkStart w:id="12" w:name="OLE_LINK12"/>
      <w:r w:rsidR="00D24254" w:rsidRPr="0050008F">
        <w:rPr>
          <w:rFonts w:ascii="Palatino Linotype" w:hAnsi="Palatino Linotype" w:cstheme="minorHAnsi"/>
          <w:sz w:val="22"/>
          <w:szCs w:val="22"/>
        </w:rPr>
        <w:t>2018’in ikinci çeyreğinde kamu tüketiminin yüzde 7,2 ile en fazla artış gösteren kalem olduğunu gözlemliyoruz. Büyümeye yaptığı katkı ise 1 yüzde puan seviyesinde</w:t>
      </w:r>
      <w:bookmarkEnd w:id="11"/>
      <w:bookmarkEnd w:id="12"/>
      <w:r w:rsidR="001F1554" w:rsidRPr="0050008F">
        <w:rPr>
          <w:rFonts w:ascii="Palatino Linotype" w:hAnsi="Palatino Linotype" w:cstheme="minorHAnsi"/>
          <w:sz w:val="22"/>
          <w:szCs w:val="22"/>
        </w:rPr>
        <w:t xml:space="preserve"> </w:t>
      </w:r>
      <w:r w:rsidR="009B16AD" w:rsidRPr="0050008F">
        <w:rPr>
          <w:rFonts w:ascii="Palatino Linotype" w:hAnsi="Palatino Linotype" w:cstheme="minorHAnsi"/>
          <w:sz w:val="22"/>
          <w:szCs w:val="22"/>
        </w:rPr>
        <w:t xml:space="preserve">(Tablo </w:t>
      </w:r>
      <w:r w:rsidR="0087023B" w:rsidRPr="0050008F">
        <w:rPr>
          <w:rFonts w:ascii="Palatino Linotype" w:hAnsi="Palatino Linotype" w:cstheme="minorHAnsi"/>
          <w:sz w:val="22"/>
          <w:szCs w:val="22"/>
        </w:rPr>
        <w:t>1</w:t>
      </w:r>
      <w:r w:rsidR="009B16AD" w:rsidRPr="0050008F">
        <w:rPr>
          <w:rFonts w:ascii="Palatino Linotype" w:hAnsi="Palatino Linotype" w:cstheme="minorHAnsi"/>
          <w:sz w:val="22"/>
          <w:szCs w:val="22"/>
        </w:rPr>
        <w:t>).</w:t>
      </w:r>
      <w:r w:rsidR="0087023B" w:rsidRPr="0050008F">
        <w:rPr>
          <w:rFonts w:ascii="Palatino Linotype" w:hAnsi="Palatino Linotype" w:cstheme="minorHAnsi"/>
          <w:sz w:val="22"/>
          <w:szCs w:val="22"/>
        </w:rPr>
        <w:t xml:space="preserve"> </w:t>
      </w:r>
      <w:r w:rsidR="00D24254" w:rsidRPr="0050008F">
        <w:rPr>
          <w:rFonts w:ascii="Palatino Linotype" w:hAnsi="Palatino Linotype" w:cstheme="minorHAnsi"/>
          <w:sz w:val="22"/>
          <w:szCs w:val="22"/>
        </w:rPr>
        <w:t xml:space="preserve">Mevsim ve takvim etkilerinden arındırılmış çeyreklik büyüme rakamlarına baktığımızda ise kamu tüketiminin bu çeyrekte bir önceki çeyreğe </w:t>
      </w:r>
      <w:r w:rsidRPr="0050008F">
        <w:rPr>
          <w:rFonts w:ascii="Palatino Linotype" w:hAnsi="Palatino Linotype" w:cstheme="minorHAnsi"/>
          <w:sz w:val="22"/>
          <w:szCs w:val="22"/>
        </w:rPr>
        <w:t xml:space="preserve">göre </w:t>
      </w:r>
      <w:r w:rsidR="00D24254" w:rsidRPr="0050008F">
        <w:rPr>
          <w:rFonts w:ascii="Palatino Linotype" w:hAnsi="Palatino Linotype" w:cstheme="minorHAnsi"/>
          <w:sz w:val="22"/>
          <w:szCs w:val="22"/>
        </w:rPr>
        <w:t xml:space="preserve">çok sınırlı arttığını, büyümeye ise herhangi bir katkı yapmadığını hesaplıyoruz </w:t>
      </w:r>
      <w:r w:rsidR="0087023B" w:rsidRPr="0050008F">
        <w:rPr>
          <w:rFonts w:ascii="Palatino Linotype" w:hAnsi="Palatino Linotype" w:cstheme="minorHAnsi"/>
          <w:sz w:val="22"/>
          <w:szCs w:val="22"/>
        </w:rPr>
        <w:t>(Tablo 2).</w:t>
      </w:r>
    </w:p>
    <w:p w:rsidR="00844C00" w:rsidRPr="0050008F" w:rsidRDefault="00844C00" w:rsidP="00B27C9F">
      <w:pPr>
        <w:pStyle w:val="NormalWeb"/>
        <w:spacing w:before="0" w:beforeAutospacing="0" w:after="0" w:afterAutospacing="0" w:line="360" w:lineRule="auto"/>
        <w:ind w:right="77"/>
        <w:rPr>
          <w:rFonts w:ascii="Palatino Linotype" w:hAnsi="Palatino Linotype" w:cstheme="minorHAnsi"/>
          <w:b/>
          <w:bCs/>
          <w:sz w:val="22"/>
          <w:szCs w:val="22"/>
        </w:rPr>
      </w:pPr>
    </w:p>
    <w:p w:rsidR="00613D1F" w:rsidRPr="0050008F" w:rsidRDefault="004F0543" w:rsidP="00B27C9F">
      <w:pPr>
        <w:pStyle w:val="NormalWeb"/>
        <w:spacing w:before="0" w:beforeAutospacing="0" w:after="0" w:afterAutospacing="0" w:line="360" w:lineRule="auto"/>
        <w:ind w:right="77"/>
        <w:rPr>
          <w:rFonts w:ascii="Palatino Linotype" w:hAnsi="Palatino Linotype" w:cstheme="minorHAnsi"/>
          <w:b/>
          <w:bCs/>
          <w:sz w:val="22"/>
          <w:szCs w:val="22"/>
        </w:rPr>
      </w:pPr>
      <w:r w:rsidRPr="0050008F">
        <w:rPr>
          <w:rFonts w:ascii="Palatino Linotype" w:hAnsi="Palatino Linotype" w:cstheme="minorHAnsi"/>
          <w:b/>
          <w:bCs/>
          <w:sz w:val="22"/>
          <w:szCs w:val="22"/>
        </w:rPr>
        <w:t>B</w:t>
      </w:r>
      <w:r w:rsidR="00B27C9F" w:rsidRPr="0050008F">
        <w:rPr>
          <w:rFonts w:ascii="Palatino Linotype" w:hAnsi="Palatino Linotype" w:cstheme="minorHAnsi"/>
          <w:b/>
          <w:bCs/>
          <w:sz w:val="22"/>
          <w:szCs w:val="22"/>
        </w:rPr>
        <w:t>üyümenin geleceği</w:t>
      </w:r>
    </w:p>
    <w:p w:rsidR="00B27C9F" w:rsidRPr="0050008F" w:rsidRDefault="00EF29EC" w:rsidP="008C51CA">
      <w:pPr>
        <w:pStyle w:val="NormalWeb"/>
        <w:spacing w:before="0" w:beforeAutospacing="0" w:after="0" w:afterAutospacing="0" w:line="360" w:lineRule="auto"/>
        <w:ind w:right="77"/>
        <w:jc w:val="both"/>
        <w:rPr>
          <w:rFonts w:ascii="Palatino Linotype" w:hAnsi="Palatino Linotype" w:cstheme="minorHAnsi"/>
          <w:bCs/>
          <w:sz w:val="22"/>
          <w:szCs w:val="22"/>
        </w:rPr>
      </w:pPr>
      <w:r w:rsidRPr="0050008F">
        <w:rPr>
          <w:rFonts w:ascii="Palatino Linotype" w:hAnsi="Palatino Linotype" w:cstheme="minorHAnsi"/>
          <w:bCs/>
          <w:sz w:val="22"/>
          <w:szCs w:val="22"/>
        </w:rPr>
        <w:t>2018’in ilk çeyrek büyüme</w:t>
      </w:r>
      <w:r w:rsidR="00375EB0">
        <w:rPr>
          <w:rFonts w:ascii="Palatino Linotype" w:hAnsi="Palatino Linotype" w:cstheme="minorHAnsi"/>
          <w:bCs/>
          <w:sz w:val="22"/>
          <w:szCs w:val="22"/>
        </w:rPr>
        <w:t>si</w:t>
      </w:r>
      <w:r w:rsidRPr="0050008F">
        <w:rPr>
          <w:rFonts w:ascii="Palatino Linotype" w:hAnsi="Palatino Linotype" w:cstheme="minorHAnsi"/>
          <w:bCs/>
          <w:sz w:val="22"/>
          <w:szCs w:val="22"/>
        </w:rPr>
        <w:t xml:space="preserve"> ne kadar 2017 yılının büyümesinin devamı niteliğinde ise</w:t>
      </w:r>
      <w:r w:rsidR="005D72F5" w:rsidRPr="0050008F">
        <w:rPr>
          <w:rFonts w:ascii="Palatino Linotype" w:hAnsi="Palatino Linotype" w:cstheme="minorHAnsi"/>
          <w:bCs/>
          <w:sz w:val="22"/>
          <w:szCs w:val="22"/>
        </w:rPr>
        <w:t>,</w:t>
      </w:r>
      <w:r w:rsidRPr="0050008F">
        <w:rPr>
          <w:rFonts w:ascii="Palatino Linotype" w:hAnsi="Palatino Linotype" w:cstheme="minorHAnsi"/>
          <w:bCs/>
          <w:sz w:val="22"/>
          <w:szCs w:val="22"/>
        </w:rPr>
        <w:t xml:space="preserve"> </w:t>
      </w:r>
      <w:bookmarkStart w:id="13" w:name="OLE_LINK17"/>
      <w:bookmarkStart w:id="14" w:name="OLE_LINK18"/>
      <w:r w:rsidRPr="0050008F">
        <w:rPr>
          <w:rFonts w:ascii="Palatino Linotype" w:hAnsi="Palatino Linotype" w:cstheme="minorHAnsi"/>
          <w:bCs/>
          <w:sz w:val="22"/>
          <w:szCs w:val="22"/>
        </w:rPr>
        <w:t>ikinci çeyrek büyüme</w:t>
      </w:r>
      <w:r w:rsidR="005D72F5" w:rsidRPr="0050008F">
        <w:rPr>
          <w:rFonts w:ascii="Palatino Linotype" w:hAnsi="Palatino Linotype" w:cstheme="minorHAnsi"/>
          <w:bCs/>
          <w:sz w:val="22"/>
          <w:szCs w:val="22"/>
        </w:rPr>
        <w:t>nin niteliği</w:t>
      </w:r>
      <w:r w:rsidRPr="0050008F">
        <w:rPr>
          <w:rFonts w:ascii="Palatino Linotype" w:hAnsi="Palatino Linotype" w:cstheme="minorHAnsi"/>
          <w:bCs/>
          <w:sz w:val="22"/>
          <w:szCs w:val="22"/>
        </w:rPr>
        <w:t xml:space="preserve"> de bir o kadar kırılma olduğuna işaret </w:t>
      </w:r>
      <w:r w:rsidR="00CF7798" w:rsidRPr="0050008F">
        <w:rPr>
          <w:rFonts w:ascii="Palatino Linotype" w:hAnsi="Palatino Linotype" w:cstheme="minorHAnsi"/>
          <w:bCs/>
          <w:sz w:val="22"/>
          <w:szCs w:val="22"/>
        </w:rPr>
        <w:t xml:space="preserve">ediyor. Özellikle </w:t>
      </w:r>
      <w:bookmarkStart w:id="15" w:name="OLE_LINK13"/>
      <w:bookmarkStart w:id="16" w:name="OLE_LINK14"/>
      <w:r w:rsidR="00CF7798" w:rsidRPr="0050008F">
        <w:rPr>
          <w:rFonts w:ascii="Palatino Linotype" w:hAnsi="Palatino Linotype" w:cstheme="minorHAnsi"/>
          <w:bCs/>
          <w:sz w:val="22"/>
          <w:szCs w:val="22"/>
        </w:rPr>
        <w:t>beklentilerdeki bozulmalar, faiz oranları ve kurlardaki artışların olumsuz etkileri iç talep ve dış ticaret rakamlarında kendisini göstermeye başladı.</w:t>
      </w:r>
      <w:bookmarkEnd w:id="13"/>
      <w:bookmarkEnd w:id="14"/>
      <w:bookmarkEnd w:id="15"/>
      <w:bookmarkEnd w:id="16"/>
      <w:r w:rsidR="00CF7798" w:rsidRPr="0050008F">
        <w:rPr>
          <w:rFonts w:ascii="Palatino Linotype" w:hAnsi="Palatino Linotype" w:cstheme="minorHAnsi"/>
          <w:bCs/>
          <w:sz w:val="22"/>
          <w:szCs w:val="22"/>
        </w:rPr>
        <w:t xml:space="preserve"> Bu olumsuz süre</w:t>
      </w:r>
      <w:r w:rsidR="00132910" w:rsidRPr="0050008F">
        <w:rPr>
          <w:rFonts w:ascii="Palatino Linotype" w:hAnsi="Palatino Linotype" w:cstheme="minorHAnsi"/>
          <w:bCs/>
          <w:sz w:val="22"/>
          <w:szCs w:val="22"/>
        </w:rPr>
        <w:t>cin</w:t>
      </w:r>
      <w:r w:rsidR="00CF7798" w:rsidRPr="0050008F">
        <w:rPr>
          <w:rFonts w:ascii="Palatino Linotype" w:hAnsi="Palatino Linotype" w:cstheme="minorHAnsi"/>
          <w:bCs/>
          <w:sz w:val="22"/>
          <w:szCs w:val="22"/>
        </w:rPr>
        <w:t xml:space="preserve">, 13 </w:t>
      </w:r>
      <w:r w:rsidR="0029215C" w:rsidRPr="0050008F">
        <w:rPr>
          <w:rFonts w:ascii="Palatino Linotype" w:hAnsi="Palatino Linotype" w:cstheme="minorHAnsi"/>
          <w:bCs/>
          <w:sz w:val="22"/>
          <w:szCs w:val="22"/>
        </w:rPr>
        <w:t>Eylül 2018’de</w:t>
      </w:r>
      <w:r w:rsidR="00CF7798" w:rsidRPr="0050008F">
        <w:rPr>
          <w:rFonts w:ascii="Palatino Linotype" w:hAnsi="Palatino Linotype" w:cstheme="minorHAnsi"/>
          <w:bCs/>
          <w:sz w:val="22"/>
          <w:szCs w:val="22"/>
        </w:rPr>
        <w:t xml:space="preserve"> TCMB’nin fonlama faizini 625 baz puanlık artışla yüzde 24’e çıkarması</w:t>
      </w:r>
      <w:r w:rsidR="0029215C" w:rsidRPr="0050008F">
        <w:rPr>
          <w:rFonts w:ascii="Palatino Linotype" w:hAnsi="Palatino Linotype" w:cstheme="minorHAnsi"/>
          <w:bCs/>
          <w:sz w:val="22"/>
          <w:szCs w:val="22"/>
        </w:rPr>
        <w:t>na</w:t>
      </w:r>
      <w:r w:rsidR="00CF7798" w:rsidRPr="0050008F">
        <w:rPr>
          <w:rFonts w:ascii="Palatino Linotype" w:hAnsi="Palatino Linotype" w:cstheme="minorHAnsi"/>
          <w:bCs/>
          <w:sz w:val="22"/>
          <w:szCs w:val="22"/>
        </w:rPr>
        <w:t xml:space="preserve"> rağmen dolar kurunda </w:t>
      </w:r>
      <w:r w:rsidR="005D72F5" w:rsidRPr="0050008F">
        <w:rPr>
          <w:rFonts w:ascii="Palatino Linotype" w:hAnsi="Palatino Linotype" w:cstheme="minorHAnsi"/>
          <w:bCs/>
          <w:sz w:val="22"/>
          <w:szCs w:val="22"/>
        </w:rPr>
        <w:t xml:space="preserve">nispeten </w:t>
      </w:r>
      <w:r w:rsidR="00CF7798" w:rsidRPr="0050008F">
        <w:rPr>
          <w:rFonts w:ascii="Palatino Linotype" w:hAnsi="Palatino Linotype" w:cstheme="minorHAnsi"/>
          <w:bCs/>
          <w:sz w:val="22"/>
          <w:szCs w:val="22"/>
        </w:rPr>
        <w:t xml:space="preserve">sınırlı bir düşüş yaşanması </w:t>
      </w:r>
      <w:r w:rsidR="008F2BCD" w:rsidRPr="0050008F">
        <w:rPr>
          <w:rFonts w:ascii="Palatino Linotype" w:hAnsi="Palatino Linotype" w:cstheme="minorHAnsi"/>
          <w:bCs/>
          <w:sz w:val="22"/>
          <w:szCs w:val="22"/>
        </w:rPr>
        <w:t>ile devam</w:t>
      </w:r>
      <w:r w:rsidR="0029215C" w:rsidRPr="0050008F">
        <w:rPr>
          <w:rFonts w:ascii="Palatino Linotype" w:hAnsi="Palatino Linotype" w:cstheme="minorHAnsi"/>
          <w:bCs/>
          <w:sz w:val="22"/>
          <w:szCs w:val="22"/>
        </w:rPr>
        <w:t xml:space="preserve"> edeceğe benziyor.</w:t>
      </w:r>
      <w:r w:rsidR="000E445D" w:rsidRPr="0050008F">
        <w:rPr>
          <w:rFonts w:ascii="Palatino Linotype" w:hAnsi="Palatino Linotype" w:cstheme="minorHAnsi"/>
          <w:bCs/>
          <w:sz w:val="22"/>
          <w:szCs w:val="22"/>
        </w:rPr>
        <w:t xml:space="preserve"> Bu </w:t>
      </w:r>
      <w:bookmarkStart w:id="17" w:name="OLE_LINK15"/>
      <w:bookmarkStart w:id="18" w:name="OLE_LINK16"/>
      <w:bookmarkStart w:id="19" w:name="OLE_LINK19"/>
      <w:r w:rsidR="008F2BCD" w:rsidRPr="0050008F">
        <w:rPr>
          <w:rFonts w:ascii="Palatino Linotype" w:hAnsi="Palatino Linotype" w:cstheme="minorHAnsi"/>
          <w:bCs/>
          <w:sz w:val="22"/>
          <w:szCs w:val="22"/>
        </w:rPr>
        <w:t>yüksek faiz artışı</w:t>
      </w:r>
      <w:r w:rsidR="00132910" w:rsidRPr="0050008F">
        <w:rPr>
          <w:rFonts w:ascii="Palatino Linotype" w:hAnsi="Palatino Linotype" w:cstheme="minorHAnsi"/>
          <w:bCs/>
          <w:sz w:val="22"/>
          <w:szCs w:val="22"/>
        </w:rPr>
        <w:t>n</w:t>
      </w:r>
      <w:r w:rsidR="00375EB0">
        <w:rPr>
          <w:rFonts w:ascii="Palatino Linotype" w:hAnsi="Palatino Linotype" w:cstheme="minorHAnsi"/>
          <w:bCs/>
          <w:sz w:val="22"/>
          <w:szCs w:val="22"/>
        </w:rPr>
        <w:t>ı</w:t>
      </w:r>
      <w:r w:rsidR="00132910" w:rsidRPr="0050008F">
        <w:rPr>
          <w:rFonts w:ascii="Palatino Linotype" w:hAnsi="Palatino Linotype" w:cstheme="minorHAnsi"/>
          <w:bCs/>
          <w:sz w:val="22"/>
          <w:szCs w:val="22"/>
        </w:rPr>
        <w:t>n</w:t>
      </w:r>
      <w:r w:rsidR="008F2BCD" w:rsidRPr="0050008F">
        <w:rPr>
          <w:rFonts w:ascii="Palatino Linotype" w:hAnsi="Palatino Linotype" w:cstheme="minorHAnsi"/>
          <w:bCs/>
          <w:sz w:val="22"/>
          <w:szCs w:val="22"/>
        </w:rPr>
        <w:t xml:space="preserve"> mevduat</w:t>
      </w:r>
      <w:r w:rsidR="000E445D" w:rsidRPr="0050008F">
        <w:rPr>
          <w:rFonts w:ascii="Palatino Linotype" w:hAnsi="Palatino Linotype" w:cstheme="minorHAnsi"/>
          <w:bCs/>
          <w:sz w:val="22"/>
          <w:szCs w:val="22"/>
        </w:rPr>
        <w:t xml:space="preserve"> </w:t>
      </w:r>
      <w:r w:rsidR="008F2BCD" w:rsidRPr="0050008F">
        <w:rPr>
          <w:rFonts w:ascii="Palatino Linotype" w:hAnsi="Palatino Linotype" w:cstheme="minorHAnsi"/>
          <w:bCs/>
          <w:sz w:val="22"/>
          <w:szCs w:val="22"/>
        </w:rPr>
        <w:t xml:space="preserve">ve özellikle kredi </w:t>
      </w:r>
      <w:r w:rsidR="00111CED" w:rsidRPr="0050008F">
        <w:rPr>
          <w:rFonts w:ascii="Palatino Linotype" w:hAnsi="Palatino Linotype" w:cstheme="minorHAnsi"/>
          <w:bCs/>
          <w:sz w:val="22"/>
          <w:szCs w:val="22"/>
        </w:rPr>
        <w:t>faizlerinde</w:t>
      </w:r>
      <w:r w:rsidR="00AB36F7" w:rsidRPr="0050008F">
        <w:rPr>
          <w:rFonts w:ascii="Palatino Linotype" w:hAnsi="Palatino Linotype" w:cstheme="minorHAnsi"/>
          <w:bCs/>
          <w:sz w:val="22"/>
          <w:szCs w:val="22"/>
        </w:rPr>
        <w:t xml:space="preserve"> </w:t>
      </w:r>
      <w:r w:rsidR="00132910" w:rsidRPr="0050008F">
        <w:rPr>
          <w:rFonts w:ascii="Palatino Linotype" w:hAnsi="Palatino Linotype" w:cstheme="minorHAnsi"/>
          <w:bCs/>
          <w:sz w:val="22"/>
          <w:szCs w:val="22"/>
        </w:rPr>
        <w:t xml:space="preserve">çok yüksek </w:t>
      </w:r>
      <w:r w:rsidR="00AB36F7" w:rsidRPr="0050008F">
        <w:rPr>
          <w:rFonts w:ascii="Palatino Linotype" w:hAnsi="Palatino Linotype" w:cstheme="minorHAnsi"/>
          <w:bCs/>
          <w:sz w:val="22"/>
          <w:szCs w:val="22"/>
        </w:rPr>
        <w:t>artış</w:t>
      </w:r>
      <w:r w:rsidR="00132910" w:rsidRPr="0050008F">
        <w:rPr>
          <w:rFonts w:ascii="Palatino Linotype" w:hAnsi="Palatino Linotype" w:cstheme="minorHAnsi"/>
          <w:bCs/>
          <w:sz w:val="22"/>
          <w:szCs w:val="22"/>
        </w:rPr>
        <w:t>lara</w:t>
      </w:r>
      <w:r w:rsidR="008F2BCD" w:rsidRPr="0050008F">
        <w:rPr>
          <w:rFonts w:ascii="Palatino Linotype" w:hAnsi="Palatino Linotype" w:cstheme="minorHAnsi"/>
          <w:bCs/>
          <w:sz w:val="22"/>
          <w:szCs w:val="22"/>
        </w:rPr>
        <w:t xml:space="preserve"> ve kredi hacminde çok büyük bir d</w:t>
      </w:r>
      <w:r w:rsidR="00132910" w:rsidRPr="0050008F">
        <w:rPr>
          <w:rFonts w:ascii="Palatino Linotype" w:hAnsi="Palatino Linotype" w:cstheme="minorHAnsi"/>
          <w:bCs/>
          <w:sz w:val="22"/>
          <w:szCs w:val="22"/>
        </w:rPr>
        <w:t>aralmaya yol açması beklenmektedir. Özellikle Ağustos rakamları bu daralmayı teyit etmektedir.</w:t>
      </w:r>
      <w:bookmarkEnd w:id="17"/>
      <w:bookmarkEnd w:id="18"/>
      <w:bookmarkEnd w:id="19"/>
      <w:r w:rsidR="00132910" w:rsidRPr="0050008F">
        <w:rPr>
          <w:rFonts w:ascii="Palatino Linotype" w:hAnsi="Palatino Linotype" w:cstheme="minorHAnsi"/>
          <w:bCs/>
          <w:sz w:val="22"/>
          <w:szCs w:val="22"/>
        </w:rPr>
        <w:t xml:space="preserve"> </w:t>
      </w:r>
      <w:r w:rsidR="00645147" w:rsidRPr="0050008F">
        <w:rPr>
          <w:rFonts w:ascii="Palatino Linotype" w:hAnsi="Palatino Linotype" w:cstheme="minorHAnsi"/>
          <w:bCs/>
          <w:sz w:val="22"/>
          <w:szCs w:val="22"/>
        </w:rPr>
        <w:t xml:space="preserve">Türkiye ekonomisinin ne ölçüde durgunluk sürecine girdiğine dair ilk bulguları </w:t>
      </w:r>
      <w:r w:rsidR="0011613D" w:rsidRPr="0050008F">
        <w:rPr>
          <w:rFonts w:ascii="Palatino Linotype" w:hAnsi="Palatino Linotype" w:cstheme="minorHAnsi"/>
          <w:bCs/>
          <w:sz w:val="22"/>
          <w:szCs w:val="22"/>
        </w:rPr>
        <w:t>önümüzdeki hafta</w:t>
      </w:r>
      <w:r w:rsidR="008F2BCD" w:rsidRPr="0050008F">
        <w:rPr>
          <w:rFonts w:ascii="Palatino Linotype" w:hAnsi="Palatino Linotype" w:cstheme="minorHAnsi"/>
          <w:bCs/>
          <w:sz w:val="22"/>
          <w:szCs w:val="22"/>
        </w:rPr>
        <w:t xml:space="preserve"> ya</w:t>
      </w:r>
      <w:r w:rsidR="0011613D" w:rsidRPr="0050008F">
        <w:rPr>
          <w:rFonts w:ascii="Palatino Linotype" w:hAnsi="Palatino Linotype" w:cstheme="minorHAnsi"/>
          <w:bCs/>
          <w:sz w:val="22"/>
          <w:szCs w:val="22"/>
        </w:rPr>
        <w:t>yınlayacağımız</w:t>
      </w:r>
      <w:r w:rsidR="008F2BCD" w:rsidRPr="0050008F">
        <w:rPr>
          <w:rFonts w:ascii="Palatino Linotype" w:hAnsi="Palatino Linotype" w:cstheme="minorHAnsi"/>
          <w:bCs/>
          <w:sz w:val="22"/>
          <w:szCs w:val="22"/>
        </w:rPr>
        <w:t xml:space="preserve"> ilk üçüncü çeyrek tahmininde göreceğiz. </w:t>
      </w:r>
    </w:p>
    <w:p w:rsidR="00AB36F7" w:rsidRPr="0050008F" w:rsidRDefault="00AB36F7"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D07713" w:rsidRPr="0050008F" w:rsidRDefault="00E85F3F"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 xml:space="preserve">Şekil </w:t>
      </w:r>
      <w:r w:rsidR="00F22A71" w:rsidRPr="0050008F">
        <w:rPr>
          <w:rFonts w:ascii="Palatino Linotype" w:hAnsi="Palatino Linotype" w:cstheme="minorHAnsi"/>
          <w:b/>
          <w:bCs/>
          <w:sz w:val="22"/>
          <w:szCs w:val="22"/>
        </w:rPr>
        <w:t>2</w:t>
      </w:r>
      <w:r w:rsidRPr="0050008F">
        <w:rPr>
          <w:rFonts w:ascii="Palatino Linotype" w:hAnsi="Palatino Linotype" w:cstheme="minorHAnsi"/>
          <w:b/>
          <w:bCs/>
          <w:sz w:val="22"/>
          <w:szCs w:val="22"/>
        </w:rPr>
        <w:t>: Bir önceki çeyreğe ve geçen yılın aynı çeyreğine göre GSYH büyüme oranları</w:t>
      </w:r>
    </w:p>
    <w:p w:rsidR="00681AD9" w:rsidRPr="0050008F" w:rsidRDefault="000F2C7A"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noProof/>
          <w:lang w:val="en-GB" w:eastAsia="en-GB"/>
        </w:rPr>
        <w:drawing>
          <wp:inline distT="0" distB="0" distL="0" distR="0" wp14:anchorId="76EC587E" wp14:editId="7A5BABD3">
            <wp:extent cx="5760720" cy="3622040"/>
            <wp:effectExtent l="0" t="0" r="11430" b="16510"/>
            <wp:docPr id="3" name="Chart 3">
              <a:extLst xmlns:a="http://schemas.openxmlformats.org/drawingml/2006/main">
                <a:ext uri="{FF2B5EF4-FFF2-40B4-BE49-F238E27FC236}">
                  <a16:creationId xmlns:a16="http://schemas.microsoft.com/office/drawing/2014/main" id="{547B4517-4B08-4FA7-8C5B-2FAABCCAF0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EED" w:rsidRPr="0050008F" w:rsidRDefault="003E1EED" w:rsidP="00C82B14">
      <w:pPr>
        <w:keepNext/>
        <w:rPr>
          <w:rFonts w:ascii="Palatino Linotype" w:hAnsi="Palatino Linotype" w:cstheme="minorHAnsi"/>
          <w:sz w:val="18"/>
          <w:szCs w:val="18"/>
        </w:rPr>
      </w:pPr>
      <w:r w:rsidRPr="0050008F">
        <w:rPr>
          <w:rFonts w:ascii="Palatino Linotype" w:hAnsi="Palatino Linotype" w:cstheme="minorHAnsi"/>
          <w:sz w:val="18"/>
          <w:szCs w:val="18"/>
        </w:rPr>
        <w:t xml:space="preserve">Kaynak: TÜİK, Betam. </w:t>
      </w:r>
    </w:p>
    <w:p w:rsidR="00C82B14" w:rsidRPr="0050008F" w:rsidRDefault="00C82B14" w:rsidP="003E1EED">
      <w:pPr>
        <w:keepNext/>
        <w:rPr>
          <w:rFonts w:ascii="Palatino Linotype" w:hAnsi="Palatino Linotype" w:cstheme="minorHAnsi"/>
          <w:sz w:val="18"/>
          <w:szCs w:val="18"/>
        </w:rPr>
      </w:pPr>
    </w:p>
    <w:p w:rsidR="00E750CC" w:rsidRPr="0050008F" w:rsidRDefault="00E750CC" w:rsidP="00E85F3F">
      <w:pPr>
        <w:keepNext/>
        <w:rPr>
          <w:rFonts w:ascii="Palatino Linotype" w:hAnsi="Palatino Linotype" w:cstheme="minorHAnsi"/>
        </w:rPr>
      </w:pPr>
    </w:p>
    <w:p w:rsidR="00681AD9" w:rsidRPr="0050008F" w:rsidRDefault="00681AD9" w:rsidP="00E85F3F">
      <w:pPr>
        <w:keepNext/>
        <w:rPr>
          <w:rFonts w:ascii="Palatino Linotype" w:hAnsi="Palatino Linotype" w:cstheme="minorHAnsi"/>
        </w:rPr>
      </w:pPr>
    </w:p>
    <w:p w:rsidR="001A080D" w:rsidRPr="0050008F" w:rsidRDefault="001A080D">
      <w:pPr>
        <w:keepNext/>
        <w:rPr>
          <w:rFonts w:ascii="Palatino Linotype" w:hAnsi="Palatino Linotype" w:cstheme="minorHAnsi"/>
        </w:rPr>
      </w:pPr>
    </w:p>
    <w:sectPr w:rsidR="001A080D" w:rsidRPr="0050008F"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67" w:rsidRDefault="007A1767" w:rsidP="00DA0C5D">
      <w:r>
        <w:separator/>
      </w:r>
    </w:p>
  </w:endnote>
  <w:endnote w:type="continuationSeparator" w:id="0">
    <w:p w:rsidR="007A1767" w:rsidRDefault="007A1767"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67" w:rsidRDefault="007A1767" w:rsidP="00DA0C5D">
      <w:r>
        <w:separator/>
      </w:r>
    </w:p>
  </w:footnote>
  <w:footnote w:type="continuationSeparator" w:id="0">
    <w:p w:rsidR="007A1767" w:rsidRDefault="007A1767" w:rsidP="00DA0C5D">
      <w:r>
        <w:continuationSeparator/>
      </w:r>
    </w:p>
  </w:footnote>
  <w:footnote w:id="1">
    <w:p w:rsidR="003172DB" w:rsidRPr="001866FC" w:rsidRDefault="003172DB" w:rsidP="003172DB">
      <w:pPr>
        <w:pStyle w:val="FootnoteText"/>
        <w:rPr>
          <w:rFonts w:ascii="Palatino Linotype" w:hAnsi="Palatino Linotype"/>
          <w:sz w:val="18"/>
          <w:szCs w:val="18"/>
        </w:rPr>
      </w:pPr>
      <w:r>
        <w:rPr>
          <w:rStyle w:val="FootnoteReference"/>
        </w:rPr>
        <w:footnoteRef/>
      </w:r>
      <w:r>
        <w:t xml:space="preserve"> </w:t>
      </w:r>
      <w:r w:rsidRPr="001866FC">
        <w:rPr>
          <w:rFonts w:ascii="Palatino Linotype" w:hAnsi="Palatino Linotype"/>
          <w:sz w:val="18"/>
          <w:szCs w:val="18"/>
        </w:rPr>
        <w:t>Betam, Direktör, seyfettin.gursel@eas.bahcesehir.edu.tr</w:t>
      </w:r>
    </w:p>
  </w:footnote>
  <w:footnote w:id="2">
    <w:p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3">
    <w:p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 ugurcan.acar@eas.bau.edu.tr</w:t>
      </w:r>
      <w:r>
        <w:t xml:space="preserve"> </w:t>
      </w:r>
    </w:p>
  </w:footnote>
  <w:footnote w:id="4">
    <w:p w:rsidR="00494926" w:rsidRDefault="00494926">
      <w:pPr>
        <w:pStyle w:val="FootnoteText"/>
      </w:pPr>
      <w:r>
        <w:rPr>
          <w:rStyle w:val="FootnoteReference"/>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141C7"/>
    <w:rsid w:val="00017B51"/>
    <w:rsid w:val="00036770"/>
    <w:rsid w:val="00041FB7"/>
    <w:rsid w:val="0004390D"/>
    <w:rsid w:val="00054943"/>
    <w:rsid w:val="00055EA1"/>
    <w:rsid w:val="00057F8E"/>
    <w:rsid w:val="000652B6"/>
    <w:rsid w:val="00080211"/>
    <w:rsid w:val="00080336"/>
    <w:rsid w:val="00096CDA"/>
    <w:rsid w:val="000978C8"/>
    <w:rsid w:val="000A612E"/>
    <w:rsid w:val="000B0FC1"/>
    <w:rsid w:val="000C634D"/>
    <w:rsid w:val="000D5FD3"/>
    <w:rsid w:val="000E445D"/>
    <w:rsid w:val="000F0B6B"/>
    <w:rsid w:val="000F2C7A"/>
    <w:rsid w:val="00111CED"/>
    <w:rsid w:val="0011613D"/>
    <w:rsid w:val="0012527F"/>
    <w:rsid w:val="00125770"/>
    <w:rsid w:val="00126200"/>
    <w:rsid w:val="00132910"/>
    <w:rsid w:val="00140468"/>
    <w:rsid w:val="00143F17"/>
    <w:rsid w:val="0014542A"/>
    <w:rsid w:val="001537D8"/>
    <w:rsid w:val="00160880"/>
    <w:rsid w:val="001648AB"/>
    <w:rsid w:val="001744CD"/>
    <w:rsid w:val="001866FC"/>
    <w:rsid w:val="00190944"/>
    <w:rsid w:val="001A080D"/>
    <w:rsid w:val="001A42FF"/>
    <w:rsid w:val="001B3A44"/>
    <w:rsid w:val="001C2C68"/>
    <w:rsid w:val="001C65BF"/>
    <w:rsid w:val="001D0150"/>
    <w:rsid w:val="001D5B02"/>
    <w:rsid w:val="001D6465"/>
    <w:rsid w:val="001E514D"/>
    <w:rsid w:val="001E72E4"/>
    <w:rsid w:val="001F1554"/>
    <w:rsid w:val="001F7B1D"/>
    <w:rsid w:val="001F7BC7"/>
    <w:rsid w:val="002106DF"/>
    <w:rsid w:val="00212579"/>
    <w:rsid w:val="00214914"/>
    <w:rsid w:val="0022673E"/>
    <w:rsid w:val="0025111C"/>
    <w:rsid w:val="00275745"/>
    <w:rsid w:val="002804E5"/>
    <w:rsid w:val="00282242"/>
    <w:rsid w:val="002847DE"/>
    <w:rsid w:val="0028498B"/>
    <w:rsid w:val="0029215C"/>
    <w:rsid w:val="00295E9A"/>
    <w:rsid w:val="0029624E"/>
    <w:rsid w:val="002A07A9"/>
    <w:rsid w:val="002C5C24"/>
    <w:rsid w:val="002C64BB"/>
    <w:rsid w:val="003061DC"/>
    <w:rsid w:val="003172DB"/>
    <w:rsid w:val="00321D78"/>
    <w:rsid w:val="0032324A"/>
    <w:rsid w:val="00324C51"/>
    <w:rsid w:val="00326195"/>
    <w:rsid w:val="00334E27"/>
    <w:rsid w:val="00344A74"/>
    <w:rsid w:val="00375EB0"/>
    <w:rsid w:val="003777B5"/>
    <w:rsid w:val="003967B5"/>
    <w:rsid w:val="003A488B"/>
    <w:rsid w:val="003A7596"/>
    <w:rsid w:val="003C2891"/>
    <w:rsid w:val="003D44CE"/>
    <w:rsid w:val="003E1EED"/>
    <w:rsid w:val="003E3299"/>
    <w:rsid w:val="00407C84"/>
    <w:rsid w:val="00431C38"/>
    <w:rsid w:val="00433A75"/>
    <w:rsid w:val="00451A8A"/>
    <w:rsid w:val="00477AED"/>
    <w:rsid w:val="00483EC5"/>
    <w:rsid w:val="0048774D"/>
    <w:rsid w:val="00492020"/>
    <w:rsid w:val="004931A5"/>
    <w:rsid w:val="00494926"/>
    <w:rsid w:val="004B130D"/>
    <w:rsid w:val="004C548E"/>
    <w:rsid w:val="004E0098"/>
    <w:rsid w:val="004E5018"/>
    <w:rsid w:val="004F0543"/>
    <w:rsid w:val="004F10AB"/>
    <w:rsid w:val="0050008F"/>
    <w:rsid w:val="00505041"/>
    <w:rsid w:val="00506253"/>
    <w:rsid w:val="00510883"/>
    <w:rsid w:val="00530B9F"/>
    <w:rsid w:val="0053582F"/>
    <w:rsid w:val="0053586E"/>
    <w:rsid w:val="0054145E"/>
    <w:rsid w:val="00542345"/>
    <w:rsid w:val="005600E7"/>
    <w:rsid w:val="0058588C"/>
    <w:rsid w:val="00586424"/>
    <w:rsid w:val="005A2246"/>
    <w:rsid w:val="005A617F"/>
    <w:rsid w:val="005C08B0"/>
    <w:rsid w:val="005C6245"/>
    <w:rsid w:val="005D00FB"/>
    <w:rsid w:val="005D4126"/>
    <w:rsid w:val="005D72F5"/>
    <w:rsid w:val="00613D1F"/>
    <w:rsid w:val="00625B95"/>
    <w:rsid w:val="00631D5B"/>
    <w:rsid w:val="00632221"/>
    <w:rsid w:val="0064012D"/>
    <w:rsid w:val="00643113"/>
    <w:rsid w:val="006439C5"/>
    <w:rsid w:val="00643F5D"/>
    <w:rsid w:val="00645147"/>
    <w:rsid w:val="00647318"/>
    <w:rsid w:val="00650BB3"/>
    <w:rsid w:val="006549E3"/>
    <w:rsid w:val="00655938"/>
    <w:rsid w:val="006761BB"/>
    <w:rsid w:val="00681022"/>
    <w:rsid w:val="00681AD9"/>
    <w:rsid w:val="00694B4D"/>
    <w:rsid w:val="00694F52"/>
    <w:rsid w:val="006A201E"/>
    <w:rsid w:val="006C3EE6"/>
    <w:rsid w:val="006D02FD"/>
    <w:rsid w:val="006D1DD6"/>
    <w:rsid w:val="006D32A0"/>
    <w:rsid w:val="006F1912"/>
    <w:rsid w:val="00711A8A"/>
    <w:rsid w:val="00724E7C"/>
    <w:rsid w:val="0074205B"/>
    <w:rsid w:val="00761711"/>
    <w:rsid w:val="00765445"/>
    <w:rsid w:val="00773D8B"/>
    <w:rsid w:val="00783CD4"/>
    <w:rsid w:val="00792F4E"/>
    <w:rsid w:val="007A1767"/>
    <w:rsid w:val="007A5FB1"/>
    <w:rsid w:val="007B70AD"/>
    <w:rsid w:val="007C462A"/>
    <w:rsid w:val="007D4953"/>
    <w:rsid w:val="007F13F2"/>
    <w:rsid w:val="007F39BB"/>
    <w:rsid w:val="007F3C9B"/>
    <w:rsid w:val="0081114C"/>
    <w:rsid w:val="00817A10"/>
    <w:rsid w:val="00830B62"/>
    <w:rsid w:val="00832402"/>
    <w:rsid w:val="00844C00"/>
    <w:rsid w:val="0084500C"/>
    <w:rsid w:val="00845A54"/>
    <w:rsid w:val="008469D3"/>
    <w:rsid w:val="0086495E"/>
    <w:rsid w:val="00865CE6"/>
    <w:rsid w:val="0087023B"/>
    <w:rsid w:val="0088270D"/>
    <w:rsid w:val="008B29F8"/>
    <w:rsid w:val="008C51CA"/>
    <w:rsid w:val="008C70C5"/>
    <w:rsid w:val="008F1741"/>
    <w:rsid w:val="008F2BCD"/>
    <w:rsid w:val="00916533"/>
    <w:rsid w:val="00924CD9"/>
    <w:rsid w:val="00940DA9"/>
    <w:rsid w:val="00957FE5"/>
    <w:rsid w:val="00961F5B"/>
    <w:rsid w:val="00963B04"/>
    <w:rsid w:val="00983612"/>
    <w:rsid w:val="00997694"/>
    <w:rsid w:val="009A71AF"/>
    <w:rsid w:val="009B1546"/>
    <w:rsid w:val="009B16AD"/>
    <w:rsid w:val="009B2E56"/>
    <w:rsid w:val="009B651F"/>
    <w:rsid w:val="009D71BF"/>
    <w:rsid w:val="009E0348"/>
    <w:rsid w:val="009E25DA"/>
    <w:rsid w:val="009E68C6"/>
    <w:rsid w:val="009F2483"/>
    <w:rsid w:val="00A03316"/>
    <w:rsid w:val="00A15DC3"/>
    <w:rsid w:val="00A2601A"/>
    <w:rsid w:val="00A3095F"/>
    <w:rsid w:val="00A310EA"/>
    <w:rsid w:val="00A34DB9"/>
    <w:rsid w:val="00A46C4A"/>
    <w:rsid w:val="00A50FB7"/>
    <w:rsid w:val="00A6165E"/>
    <w:rsid w:val="00A675D3"/>
    <w:rsid w:val="00A719DB"/>
    <w:rsid w:val="00A842EA"/>
    <w:rsid w:val="00A8572B"/>
    <w:rsid w:val="00A86808"/>
    <w:rsid w:val="00A874DA"/>
    <w:rsid w:val="00A90F77"/>
    <w:rsid w:val="00A9270B"/>
    <w:rsid w:val="00AB1006"/>
    <w:rsid w:val="00AB36F7"/>
    <w:rsid w:val="00AE59EE"/>
    <w:rsid w:val="00B02D74"/>
    <w:rsid w:val="00B17241"/>
    <w:rsid w:val="00B24D13"/>
    <w:rsid w:val="00B27C9F"/>
    <w:rsid w:val="00B45DFF"/>
    <w:rsid w:val="00B56D03"/>
    <w:rsid w:val="00B703DE"/>
    <w:rsid w:val="00B82B92"/>
    <w:rsid w:val="00B9319A"/>
    <w:rsid w:val="00B95E66"/>
    <w:rsid w:val="00BA3C62"/>
    <w:rsid w:val="00BB5725"/>
    <w:rsid w:val="00BD6621"/>
    <w:rsid w:val="00BE06CE"/>
    <w:rsid w:val="00BE7C49"/>
    <w:rsid w:val="00BF1EC4"/>
    <w:rsid w:val="00C11B5A"/>
    <w:rsid w:val="00C21E02"/>
    <w:rsid w:val="00C271FA"/>
    <w:rsid w:val="00C32789"/>
    <w:rsid w:val="00C34C5C"/>
    <w:rsid w:val="00C35660"/>
    <w:rsid w:val="00C5056E"/>
    <w:rsid w:val="00C53444"/>
    <w:rsid w:val="00C57749"/>
    <w:rsid w:val="00C60221"/>
    <w:rsid w:val="00C6130D"/>
    <w:rsid w:val="00C82B14"/>
    <w:rsid w:val="00C86475"/>
    <w:rsid w:val="00C97FD1"/>
    <w:rsid w:val="00CA234B"/>
    <w:rsid w:val="00CB3462"/>
    <w:rsid w:val="00CB767C"/>
    <w:rsid w:val="00CC3EAD"/>
    <w:rsid w:val="00CC79C0"/>
    <w:rsid w:val="00CF5053"/>
    <w:rsid w:val="00CF7798"/>
    <w:rsid w:val="00D07713"/>
    <w:rsid w:val="00D10C44"/>
    <w:rsid w:val="00D136A7"/>
    <w:rsid w:val="00D24254"/>
    <w:rsid w:val="00D257C1"/>
    <w:rsid w:val="00D34702"/>
    <w:rsid w:val="00D45167"/>
    <w:rsid w:val="00D4574F"/>
    <w:rsid w:val="00D53424"/>
    <w:rsid w:val="00D63430"/>
    <w:rsid w:val="00D732A9"/>
    <w:rsid w:val="00D803A1"/>
    <w:rsid w:val="00D90931"/>
    <w:rsid w:val="00DA0C5D"/>
    <w:rsid w:val="00DB5518"/>
    <w:rsid w:val="00DB6C1E"/>
    <w:rsid w:val="00DC0B1C"/>
    <w:rsid w:val="00DD4D85"/>
    <w:rsid w:val="00E23E54"/>
    <w:rsid w:val="00E306CB"/>
    <w:rsid w:val="00E40CBC"/>
    <w:rsid w:val="00E41840"/>
    <w:rsid w:val="00E4681E"/>
    <w:rsid w:val="00E540BC"/>
    <w:rsid w:val="00E565C5"/>
    <w:rsid w:val="00E57043"/>
    <w:rsid w:val="00E5723B"/>
    <w:rsid w:val="00E667CB"/>
    <w:rsid w:val="00E67DCD"/>
    <w:rsid w:val="00E750CC"/>
    <w:rsid w:val="00E82940"/>
    <w:rsid w:val="00E83A84"/>
    <w:rsid w:val="00E85F3F"/>
    <w:rsid w:val="00EA0ED2"/>
    <w:rsid w:val="00EA7527"/>
    <w:rsid w:val="00EB2C83"/>
    <w:rsid w:val="00EB476F"/>
    <w:rsid w:val="00EC136E"/>
    <w:rsid w:val="00EC2814"/>
    <w:rsid w:val="00EE150B"/>
    <w:rsid w:val="00EF09A7"/>
    <w:rsid w:val="00EF29EC"/>
    <w:rsid w:val="00F0076E"/>
    <w:rsid w:val="00F0654E"/>
    <w:rsid w:val="00F118B1"/>
    <w:rsid w:val="00F136EE"/>
    <w:rsid w:val="00F22A71"/>
    <w:rsid w:val="00F27D86"/>
    <w:rsid w:val="00F31726"/>
    <w:rsid w:val="00F441A2"/>
    <w:rsid w:val="00F46A54"/>
    <w:rsid w:val="00F5130C"/>
    <w:rsid w:val="00F65C09"/>
    <w:rsid w:val="00F676BF"/>
    <w:rsid w:val="00F70EC7"/>
    <w:rsid w:val="00F9160B"/>
    <w:rsid w:val="00F94113"/>
    <w:rsid w:val="00FA63BA"/>
    <w:rsid w:val="00FB3FBF"/>
    <w:rsid w:val="00FD22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270A"/>
  <w15:docId w15:val="{5A0BFE1C-A5A2-438F-A60E-8DD56E99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Q2'!$F$3</c:f>
              <c:strCache>
                <c:ptCount val="1"/>
                <c:pt idx="0">
                  <c:v>Katkı (%)</c:v>
                </c:pt>
              </c:strCache>
            </c:strRef>
          </c:tx>
          <c:spPr>
            <a:solidFill>
              <a:schemeClr val="accent1"/>
            </a:solidFill>
            <a:ln>
              <a:noFill/>
            </a:ln>
            <a:effectLst/>
          </c:spPr>
          <c:invertIfNegative val="0"/>
          <c:dLbls>
            <c:dLbl>
              <c:idx val="5"/>
              <c:layout>
                <c:manualLayout>
                  <c:x val="-2.5518338744093725E-3"/>
                  <c:y val="8.91593869915197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A6-451D-9996-A131B1C5A3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'2018 Q2'!$F$4:$F$9</c:f>
              <c:numCache>
                <c:formatCode>0.0</c:formatCode>
                <c:ptCount val="6"/>
                <c:pt idx="0">
                  <c:v>3.7218742342639599</c:v>
                </c:pt>
                <c:pt idx="1">
                  <c:v>1.02416772212313</c:v>
                </c:pt>
                <c:pt idx="2">
                  <c:v>1.24248762590187</c:v>
                </c:pt>
                <c:pt idx="3">
                  <c:v>-1.8701685529346599</c:v>
                </c:pt>
                <c:pt idx="4">
                  <c:v>1.2014434162412</c:v>
                </c:pt>
                <c:pt idx="5">
                  <c:v>-0.109472726849666</c:v>
                </c:pt>
              </c:numCache>
            </c:numRef>
          </c:val>
          <c:extLst>
            <c:ext xmlns:c16="http://schemas.microsoft.com/office/drawing/2014/chart" uri="{C3380CC4-5D6E-409C-BE32-E72D297353CC}">
              <c16:uniqueId val="{00000001-7FA6-451D-9996-A131B1C5A3FA}"/>
            </c:ext>
          </c:extLst>
        </c:ser>
        <c:dLbls>
          <c:dLblPos val="outEnd"/>
          <c:showLegendKey val="0"/>
          <c:showVal val="1"/>
          <c:showCatName val="0"/>
          <c:showSerName val="0"/>
          <c:showPercent val="0"/>
          <c:showBubbleSize val="0"/>
        </c:dLbls>
        <c:gapWidth val="219"/>
        <c:overlap val="-27"/>
        <c:axId val="328162208"/>
        <c:axId val="324200352"/>
      </c:barChart>
      <c:catAx>
        <c:axId val="3281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00352"/>
        <c:crosses val="autoZero"/>
        <c:auto val="1"/>
        <c:lblAlgn val="ctr"/>
        <c:lblOffset val="100"/>
        <c:noMultiLvlLbl val="0"/>
      </c:catAx>
      <c:valAx>
        <c:axId val="32420035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16220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Q2'!$E$3</c:f>
              <c:strCache>
                <c:ptCount val="1"/>
                <c:pt idx="0">
                  <c:v>Değişim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strRef>
          </c:cat>
          <c:val>
            <c:numRef>
              <c:f>'2018 Q2'!$E$4:$E$10</c:f>
              <c:numCache>
                <c:formatCode>0.0</c:formatCode>
                <c:ptCount val="6"/>
                <c:pt idx="0">
                  <c:v>6.3328896497113929</c:v>
                </c:pt>
                <c:pt idx="1">
                  <c:v>7.1758160542576555</c:v>
                </c:pt>
                <c:pt idx="2">
                  <c:v>3.9145994567380882</c:v>
                </c:pt>
                <c:pt idx="3">
                  <c:v>4.5392786471435853</c:v>
                </c:pt>
                <c:pt idx="4">
                  <c:v>0.26451043986148726</c:v>
                </c:pt>
                <c:pt idx="5">
                  <c:v>5.2103317187458309</c:v>
                </c:pt>
              </c:numCache>
            </c:numRef>
          </c:val>
          <c:extLst>
            <c:ext xmlns:c16="http://schemas.microsoft.com/office/drawing/2014/chart" uri="{C3380CC4-5D6E-409C-BE32-E72D297353CC}">
              <c16:uniqueId val="{00000000-A7C7-43E2-9F27-24280597E073}"/>
            </c:ext>
          </c:extLst>
        </c:ser>
        <c:dLbls>
          <c:dLblPos val="outEnd"/>
          <c:showLegendKey val="0"/>
          <c:showVal val="1"/>
          <c:showCatName val="0"/>
          <c:showSerName val="0"/>
          <c:showPercent val="0"/>
          <c:showBubbleSize val="0"/>
        </c:dLbls>
        <c:gapWidth val="219"/>
        <c:overlap val="-27"/>
        <c:axId val="324202592"/>
        <c:axId val="324203152"/>
      </c:barChart>
      <c:catAx>
        <c:axId val="3242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03152"/>
        <c:crosses val="autoZero"/>
        <c:auto val="1"/>
        <c:lblAlgn val="ctr"/>
        <c:lblOffset val="100"/>
        <c:noMultiLvlLbl val="0"/>
      </c:catAx>
      <c:valAx>
        <c:axId val="32420315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0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Q2'!$E$29</c:f>
              <c:strCache>
                <c:ptCount val="1"/>
                <c:pt idx="0">
                  <c:v>Yıllık değişim</c:v>
                </c:pt>
              </c:strCache>
            </c:strRef>
          </c:tx>
          <c:spPr>
            <a:solidFill>
              <a:schemeClr val="accent1"/>
            </a:solidFill>
            <a:ln>
              <a:noFill/>
            </a:ln>
            <a:effectLst/>
          </c:spPr>
          <c:invertIfNegative val="0"/>
          <c:cat>
            <c:strRef>
              <c:f>'2018 Q2'!$A$34:$A$55</c:f>
              <c:strCache>
                <c:ptCount val="22"/>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strCache>
            </c:strRef>
          </c:cat>
          <c:val>
            <c:numRef>
              <c:f>'2018 Q2'!$E$34:$E$55</c:f>
              <c:numCache>
                <c:formatCode>0.0</c:formatCode>
                <c:ptCount val="22"/>
                <c:pt idx="0">
                  <c:v>8.4909431903980259</c:v>
                </c:pt>
                <c:pt idx="1">
                  <c:v>9.8066583993321679</c:v>
                </c:pt>
                <c:pt idx="2">
                  <c:v>8.9226688185641834</c:v>
                </c:pt>
                <c:pt idx="3">
                  <c:v>6.8804097448097012</c:v>
                </c:pt>
                <c:pt idx="4">
                  <c:v>8.679514433077685</c:v>
                </c:pt>
                <c:pt idx="5">
                  <c:v>2.8975438907233864</c:v>
                </c:pt>
                <c:pt idx="6">
                  <c:v>3.6662593748295391</c:v>
                </c:pt>
                <c:pt idx="7">
                  <c:v>5.9302729224654627</c:v>
                </c:pt>
                <c:pt idx="8">
                  <c:v>3.6016444809847004</c:v>
                </c:pt>
                <c:pt idx="9">
                  <c:v>7.1600269477660072</c:v>
                </c:pt>
                <c:pt idx="10">
                  <c:v>5.785060369802375</c:v>
                </c:pt>
                <c:pt idx="11">
                  <c:v>7.4964855961417332</c:v>
                </c:pt>
                <c:pt idx="12">
                  <c:v>4.8088368022987549</c:v>
                </c:pt>
                <c:pt idx="13">
                  <c:v>4.9296739098340314</c:v>
                </c:pt>
                <c:pt idx="14">
                  <c:v>-0.81201904461093433</c:v>
                </c:pt>
                <c:pt idx="15">
                  <c:v>4.2392838766346808</c:v>
                </c:pt>
                <c:pt idx="16">
                  <c:v>5.2650795111870874</c:v>
                </c:pt>
                <c:pt idx="17">
                  <c:v>5.3007189454935322</c:v>
                </c:pt>
                <c:pt idx="18">
                  <c:v>11.493733691852226</c:v>
                </c:pt>
                <c:pt idx="19">
                  <c:v>7.3402777707753497</c:v>
                </c:pt>
                <c:pt idx="20">
                  <c:v>7.2551677844347351</c:v>
                </c:pt>
                <c:pt idx="21">
                  <c:v>5.2103317187458309</c:v>
                </c:pt>
              </c:numCache>
            </c:numRef>
          </c:val>
          <c:extLst>
            <c:ext xmlns:c16="http://schemas.microsoft.com/office/drawing/2014/chart" uri="{C3380CC4-5D6E-409C-BE32-E72D297353CC}">
              <c16:uniqueId val="{00000000-805C-4040-9D08-8A23643EBCB5}"/>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'2018 Q2'!$F$29</c:f>
              <c:strCache>
                <c:ptCount val="1"/>
                <c:pt idx="0">
                  <c:v>Çeyreklik değişim</c:v>
                </c:pt>
              </c:strCache>
            </c:strRef>
          </c:tx>
          <c:spPr>
            <a:ln w="25400" cap="rnd">
              <a:solidFill>
                <a:schemeClr val="tx1"/>
              </a:solidFill>
              <a:round/>
            </a:ln>
            <a:effectLst/>
          </c:spPr>
          <c:marker>
            <c:symbol val="none"/>
          </c:marker>
          <c:cat>
            <c:strRef>
              <c:f>'2018 Q2'!$A$34:$A$55</c:f>
              <c:strCache>
                <c:ptCount val="22"/>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strCache>
            </c:strRef>
          </c:cat>
          <c:val>
            <c:numRef>
              <c:f>'2018 Q2'!$F$34:$F$55</c:f>
              <c:numCache>
                <c:formatCode>0.0</c:formatCode>
                <c:ptCount val="22"/>
                <c:pt idx="0">
                  <c:v>3.6208473646581751</c:v>
                </c:pt>
                <c:pt idx="1">
                  <c:v>2.6178718123111455</c:v>
                </c:pt>
                <c:pt idx="2">
                  <c:v>1.3467776239150187</c:v>
                </c:pt>
                <c:pt idx="3">
                  <c:v>0.7323027398944415</c:v>
                </c:pt>
                <c:pt idx="4">
                  <c:v>2.6644199701995719</c:v>
                </c:pt>
                <c:pt idx="5">
                  <c:v>-1.5498061972216148</c:v>
                </c:pt>
                <c:pt idx="6">
                  <c:v>2.3568373716194246</c:v>
                </c:pt>
                <c:pt idx="7">
                  <c:v>1.4948925124467438</c:v>
                </c:pt>
                <c:pt idx="8">
                  <c:v>1.9680165671264405</c:v>
                </c:pt>
                <c:pt idx="9">
                  <c:v>1.4543276015103856</c:v>
                </c:pt>
                <c:pt idx="10">
                  <c:v>1.2173312525739277</c:v>
                </c:pt>
                <c:pt idx="11">
                  <c:v>0.89080425814251907</c:v>
                </c:pt>
                <c:pt idx="12">
                  <c:v>0.68060047433446957</c:v>
                </c:pt>
                <c:pt idx="13">
                  <c:v>1.391938020083372</c:v>
                </c:pt>
                <c:pt idx="14">
                  <c:v>-2.5773868785823439</c:v>
                </c:pt>
                <c:pt idx="15">
                  <c:v>4.6010933386024799</c:v>
                </c:pt>
                <c:pt idx="16">
                  <c:v>1.795581533156887</c:v>
                </c:pt>
                <c:pt idx="17">
                  <c:v>2.5302725056090436</c:v>
                </c:pt>
                <c:pt idx="18">
                  <c:v>1.2957862926837205</c:v>
                </c:pt>
                <c:pt idx="19">
                  <c:v>1.6265528289569398</c:v>
                </c:pt>
                <c:pt idx="20">
                  <c:v>1.547741456316265</c:v>
                </c:pt>
                <c:pt idx="21">
                  <c:v>0.93469716272069903</c:v>
                </c:pt>
              </c:numCache>
            </c:numRef>
          </c:val>
          <c:smooth val="0"/>
          <c:extLst>
            <c:ext xmlns:c16="http://schemas.microsoft.com/office/drawing/2014/chart" uri="{C3380CC4-5D6E-409C-BE32-E72D297353CC}">
              <c16:uniqueId val="{00000001-805C-4040-9D08-8A23643EBCB5}"/>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283-2C06-479F-9562-49EF01FF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ugurcan.acar</cp:lastModifiedBy>
  <cp:revision>21</cp:revision>
  <cp:lastPrinted>2017-12-14T09:18:00Z</cp:lastPrinted>
  <dcterms:created xsi:type="dcterms:W3CDTF">2018-09-14T11:15:00Z</dcterms:created>
  <dcterms:modified xsi:type="dcterms:W3CDTF">2018-09-18T12:31:00Z</dcterms:modified>
</cp:coreProperties>
</file>