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5D" w:rsidRPr="00E70CEB" w:rsidRDefault="00D72728" w:rsidP="00E066EE">
      <w:pPr>
        <w:rPr>
          <w:rFonts w:eastAsiaTheme="minorHAnsi"/>
          <w:lang w:eastAsia="en-US"/>
        </w:rPr>
      </w:pPr>
      <w:r>
        <w:rPr>
          <w:noProof/>
          <w:szCs w:val="22"/>
          <w:lang w:eastAsia="tr-TR"/>
        </w:rPr>
        <mc:AlternateContent>
          <mc:Choice Requires="wps">
            <w:drawing>
              <wp:anchor distT="0" distB="0" distL="114935" distR="114935" simplePos="0" relativeHeight="251656704" behindDoc="0" locked="0" layoutInCell="1" allowOverlap="1">
                <wp:simplePos x="0" y="0"/>
                <wp:positionH relativeFrom="column">
                  <wp:posOffset>1528216</wp:posOffset>
                </wp:positionH>
                <wp:positionV relativeFrom="paragraph">
                  <wp:posOffset>-622452</wp:posOffset>
                </wp:positionV>
                <wp:extent cx="3774644" cy="621792"/>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644" cy="62179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636" w:rsidRPr="00E066EE" w:rsidRDefault="008D7636" w:rsidP="00E066EE">
                            <w:pPr>
                              <w:pStyle w:val="Heading1"/>
                              <w:jc w:val="left"/>
                              <w:rPr>
                                <w:rFonts w:ascii="Palatino Linotype" w:hAnsi="Palatino Linotype"/>
                                <w:b/>
                                <w:sz w:val="52"/>
                                <w:szCs w:val="52"/>
                              </w:rPr>
                            </w:pPr>
                            <w:r w:rsidRPr="00E066EE">
                              <w:rPr>
                                <w:rFonts w:ascii="Palatino Linotype" w:hAnsi="Palatino Linotype"/>
                                <w:b/>
                                <w:color w:val="auto"/>
                                <w:sz w:val="52"/>
                                <w:szCs w:val="52"/>
                              </w:rPr>
                              <w:t xml:space="preserve">Araştırma </w:t>
                            </w:r>
                            <w:r w:rsidRPr="0018126D">
                              <w:rPr>
                                <w:rFonts w:ascii="Palatino Linotype" w:hAnsi="Palatino Linotype"/>
                                <w:b/>
                                <w:color w:val="auto"/>
                                <w:sz w:val="52"/>
                                <w:szCs w:val="52"/>
                              </w:rPr>
                              <w:t>Notu 18/2</w:t>
                            </w:r>
                            <w:r w:rsidR="00BD6F96" w:rsidRPr="0018126D">
                              <w:rPr>
                                <w:rFonts w:ascii="Palatino Linotype" w:hAnsi="Palatino Linotype"/>
                                <w:b/>
                                <w:color w:val="auto"/>
                                <w:sz w:val="52"/>
                                <w:szCs w:val="52"/>
                              </w:rPr>
                              <w:t>3</w:t>
                            </w:r>
                            <w:r w:rsidR="00E879B9">
                              <w:rPr>
                                <w:rFonts w:ascii="Palatino Linotype" w:hAnsi="Palatino Linotype"/>
                                <w:b/>
                                <w:color w:val="auto"/>
                                <w:sz w:val="52"/>
                                <w:szCs w:val="52"/>
                              </w:rPr>
                              <w:t>1</w:t>
                            </w:r>
                          </w:p>
                          <w:p w:rsidR="008D7636" w:rsidRPr="00B54C13" w:rsidRDefault="008D7636" w:rsidP="00E066EE">
                            <w:pPr>
                              <w:pStyle w:val="Heading2"/>
                              <w:rPr>
                                <w:b w:val="0"/>
                                <w:bCs w:val="0"/>
                                <w:i/>
                                <w:iCs w:val="0"/>
                                <w:lang w:val="tr-T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0.35pt;margin-top:-49pt;width:297.2pt;height:48.9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" stroked="f">
                <v:fill opacity="0"/>
                <v:textbox inset="0,0,0,0">
                  <w:txbxContent>
                    <w:p w:rsidR="008D7636" w:rsidRPr="00E066EE" w:rsidRDefault="008D7636" w:rsidP="00E066EE">
                      <w:pPr>
                        <w:pStyle w:val="Heading1"/>
                        <w:jc w:val="left"/>
                        <w:rPr>
                          <w:rFonts w:ascii="Palatino Linotype" w:hAnsi="Palatino Linotype"/>
                          <w:b/>
                          <w:sz w:val="52"/>
                          <w:szCs w:val="52"/>
                        </w:rPr>
                      </w:pPr>
                      <w:r w:rsidRPr="00E066EE">
                        <w:rPr>
                          <w:rFonts w:ascii="Palatino Linotype" w:hAnsi="Palatino Linotype"/>
                          <w:b/>
                          <w:color w:val="auto"/>
                          <w:sz w:val="52"/>
                          <w:szCs w:val="52"/>
                        </w:rPr>
                        <w:t xml:space="preserve">Araştırma </w:t>
                      </w:r>
                      <w:r w:rsidRPr="0018126D">
                        <w:rPr>
                          <w:rFonts w:ascii="Palatino Linotype" w:hAnsi="Palatino Linotype"/>
                          <w:b/>
                          <w:color w:val="auto"/>
                          <w:sz w:val="52"/>
                          <w:szCs w:val="52"/>
                        </w:rPr>
                        <w:t>Notu 18/2</w:t>
                      </w:r>
                      <w:r w:rsidR="00BD6F96" w:rsidRPr="0018126D">
                        <w:rPr>
                          <w:rFonts w:ascii="Palatino Linotype" w:hAnsi="Palatino Linotype"/>
                          <w:b/>
                          <w:color w:val="auto"/>
                          <w:sz w:val="52"/>
                          <w:szCs w:val="52"/>
                        </w:rPr>
                        <w:t>3</w:t>
                      </w:r>
                      <w:r w:rsidR="00E879B9">
                        <w:rPr>
                          <w:rFonts w:ascii="Palatino Linotype" w:hAnsi="Palatino Linotype"/>
                          <w:b/>
                          <w:color w:val="auto"/>
                          <w:sz w:val="52"/>
                          <w:szCs w:val="52"/>
                        </w:rPr>
                        <w:t>1</w:t>
                      </w:r>
                    </w:p>
                    <w:p w:rsidR="008D7636" w:rsidRPr="00B54C13" w:rsidRDefault="008D7636" w:rsidP="00E066EE">
                      <w:pPr>
                        <w:pStyle w:val="Heading2"/>
                        <w:rPr>
                          <w:b w:val="0"/>
                          <w:bCs w:val="0"/>
                          <w:i/>
                          <w:iCs w:val="0"/>
                          <w:lang w:val="tr-TR"/>
                        </w:rPr>
                      </w:pPr>
                    </w:p>
                  </w:txbxContent>
                </v:textbox>
              </v:shape>
            </w:pict>
          </mc:Fallback>
        </mc:AlternateContent>
      </w:r>
      <w:r w:rsidR="008A0C5D" w:rsidRPr="00E70CEB">
        <w:rPr>
          <w:noProof/>
          <w:szCs w:val="22"/>
          <w:lang w:eastAsia="tr-TR"/>
        </w:rPr>
        <w:drawing>
          <wp:anchor distT="0" distB="0" distL="114300" distR="114300" simplePos="0" relativeHeight="251655680" behindDoc="1" locked="0" layoutInCell="1" allowOverlap="1">
            <wp:simplePos x="0" y="0"/>
            <wp:positionH relativeFrom="column">
              <wp:posOffset>-746150</wp:posOffset>
            </wp:positionH>
            <wp:positionV relativeFrom="paragraph">
              <wp:posOffset>-776046</wp:posOffset>
            </wp:positionV>
            <wp:extent cx="7229475" cy="1322213"/>
            <wp:effectExtent l="19050" t="0" r="9525" b="0"/>
            <wp:wrapNone/>
            <wp:docPr id="18"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8" cstate="print"/>
                    <a:srcRect/>
                    <a:stretch>
                      <a:fillRect/>
                    </a:stretch>
                  </pic:blipFill>
                  <pic:spPr bwMode="auto">
                    <a:xfrm>
                      <a:off x="0" y="0"/>
                      <a:ext cx="7229475" cy="1322213"/>
                    </a:xfrm>
                    <a:prstGeom prst="rect">
                      <a:avLst/>
                    </a:prstGeom>
                    <a:noFill/>
                  </pic:spPr>
                </pic:pic>
              </a:graphicData>
            </a:graphic>
          </wp:anchor>
        </w:drawing>
      </w:r>
      <w:r w:rsidR="00D37932">
        <w:rPr>
          <w:rFonts w:eastAsiaTheme="minorHAnsi"/>
          <w:lang w:eastAsia="en-US"/>
        </w:rPr>
        <w:tab/>
      </w:r>
    </w:p>
    <w:p w:rsidR="008A0C5D" w:rsidRPr="00E066EE" w:rsidRDefault="00E066EE" w:rsidP="00E066EE">
      <w:pPr>
        <w:jc w:val="right"/>
        <w:rPr>
          <w:rFonts w:ascii="Arial" w:eastAsiaTheme="minorHAnsi" w:hAnsi="Arial"/>
          <w:b/>
          <w:color w:val="FFFFFF" w:themeColor="background1"/>
          <w:lang w:eastAsia="en-US"/>
        </w:rPr>
      </w:pPr>
      <w:r>
        <w:rPr>
          <w:rFonts w:ascii="Arial" w:eastAsiaTheme="minorHAnsi" w:hAnsi="Arial"/>
          <w:b/>
          <w:color w:val="FFFFFF" w:themeColor="background1"/>
          <w:lang w:eastAsia="en-US"/>
        </w:rPr>
        <w:tab/>
      </w:r>
      <w:r>
        <w:rPr>
          <w:rFonts w:ascii="Arial" w:eastAsiaTheme="minorHAnsi" w:hAnsi="Arial"/>
          <w:b/>
          <w:color w:val="FFFFFF" w:themeColor="background1"/>
          <w:lang w:eastAsia="en-US"/>
        </w:rPr>
        <w:tab/>
        <w:t xml:space="preserve">     </w:t>
      </w:r>
      <w:r w:rsidR="00BD6F96">
        <w:rPr>
          <w:rFonts w:ascii="Arial" w:eastAsiaTheme="minorHAnsi" w:hAnsi="Arial"/>
          <w:b/>
          <w:color w:val="FFFFFF" w:themeColor="background1"/>
          <w:lang w:eastAsia="en-US"/>
        </w:rPr>
        <w:tab/>
      </w:r>
      <w:r w:rsidR="00BD6F96">
        <w:rPr>
          <w:rFonts w:ascii="Arial" w:eastAsiaTheme="minorHAnsi" w:hAnsi="Arial"/>
          <w:b/>
          <w:color w:val="FFFFFF" w:themeColor="background1"/>
          <w:lang w:eastAsia="en-US"/>
        </w:rPr>
        <w:tab/>
        <w:t xml:space="preserve">    </w:t>
      </w:r>
      <w:r w:rsidR="0018126D">
        <w:rPr>
          <w:rFonts w:ascii="Arial" w:eastAsiaTheme="minorHAnsi" w:hAnsi="Arial"/>
          <w:b/>
          <w:color w:val="FFFFFF" w:themeColor="background1"/>
          <w:lang w:eastAsia="en-US"/>
        </w:rPr>
        <w:t xml:space="preserve">3 </w:t>
      </w:r>
      <w:r w:rsidR="000F32B9">
        <w:rPr>
          <w:rFonts w:ascii="Arial" w:eastAsiaTheme="minorHAnsi" w:hAnsi="Arial"/>
          <w:b/>
          <w:color w:val="FFFFFF" w:themeColor="background1"/>
          <w:lang w:eastAsia="en-US"/>
        </w:rPr>
        <w:t>Ağustos</w:t>
      </w:r>
      <w:r w:rsidR="0018126D">
        <w:rPr>
          <w:rFonts w:ascii="Arial" w:eastAsiaTheme="minorHAnsi" w:hAnsi="Arial"/>
          <w:b/>
          <w:color w:val="FFFFFF" w:themeColor="background1"/>
          <w:lang w:eastAsia="en-US"/>
        </w:rPr>
        <w:t xml:space="preserve"> </w:t>
      </w:r>
      <w:r w:rsidRPr="0018126D">
        <w:rPr>
          <w:rFonts w:ascii="Arial" w:eastAsiaTheme="minorHAnsi" w:hAnsi="Arial"/>
          <w:b/>
          <w:color w:val="FFFFFF" w:themeColor="background1"/>
          <w:lang w:eastAsia="en-US"/>
        </w:rPr>
        <w:t>2018</w:t>
      </w:r>
    </w:p>
    <w:p w:rsidR="008A0C5D" w:rsidRPr="002E741A" w:rsidRDefault="00515020" w:rsidP="008A0C5D">
      <w:pPr>
        <w:jc w:val="center"/>
        <w:rPr>
          <w:b/>
          <w:color w:val="FF0000"/>
          <w:sz w:val="32"/>
          <w:szCs w:val="32"/>
        </w:rPr>
      </w:pPr>
      <w:r w:rsidRPr="000C17AD">
        <w:rPr>
          <w:b/>
          <w:sz w:val="32"/>
          <w:szCs w:val="32"/>
        </w:rPr>
        <w:t xml:space="preserve">Asgari ücret artışı özellikle düşük ücretli sektörlerde çalışan erkekleri kayıt dışı </w:t>
      </w:r>
      <w:r w:rsidRPr="002E741A">
        <w:rPr>
          <w:b/>
          <w:sz w:val="32"/>
          <w:szCs w:val="32"/>
        </w:rPr>
        <w:t xml:space="preserve">çalışmaya </w:t>
      </w:r>
      <w:r w:rsidR="000C17AD" w:rsidRPr="002E741A">
        <w:rPr>
          <w:b/>
          <w:sz w:val="32"/>
          <w:szCs w:val="32"/>
        </w:rPr>
        <w:t>yöneltti</w:t>
      </w:r>
    </w:p>
    <w:p w:rsidR="008A0C5D" w:rsidRPr="002E741A" w:rsidRDefault="008A0C5D" w:rsidP="008A0C5D">
      <w:pPr>
        <w:spacing w:before="120"/>
        <w:jc w:val="center"/>
        <w:rPr>
          <w:b/>
          <w:bCs/>
          <w:szCs w:val="22"/>
        </w:rPr>
      </w:pPr>
      <w:r w:rsidRPr="002E741A">
        <w:rPr>
          <w:b/>
          <w:bCs/>
          <w:szCs w:val="22"/>
        </w:rPr>
        <w:t>Seyfettin Gürsel</w:t>
      </w:r>
      <w:r w:rsidRPr="002E741A">
        <w:rPr>
          <w:rStyle w:val="FootnoteReference"/>
          <w:b/>
          <w:bCs/>
          <w:szCs w:val="22"/>
        </w:rPr>
        <w:footnoteReference w:customMarkFollows="1" w:id="1"/>
        <w:t>*</w:t>
      </w:r>
      <w:r w:rsidRPr="002E741A">
        <w:rPr>
          <w:b/>
          <w:bCs/>
          <w:szCs w:val="22"/>
        </w:rPr>
        <w:t>, Ozan Bakış</w:t>
      </w:r>
      <w:r w:rsidRPr="002E741A">
        <w:rPr>
          <w:rStyle w:val="FootnoteReference"/>
          <w:b/>
          <w:bCs/>
          <w:szCs w:val="22"/>
        </w:rPr>
        <w:footnoteReference w:customMarkFollows="1" w:id="2"/>
        <w:sym w:font="Symbol" w:char="F02A"/>
      </w:r>
      <w:r w:rsidRPr="002E741A">
        <w:rPr>
          <w:rStyle w:val="FootnoteReference"/>
          <w:b/>
          <w:bCs/>
          <w:szCs w:val="22"/>
        </w:rPr>
        <w:sym w:font="Symbol" w:char="F02A"/>
      </w:r>
      <w:r w:rsidR="00BD7B84" w:rsidRPr="002E741A">
        <w:rPr>
          <w:b/>
          <w:bCs/>
          <w:szCs w:val="22"/>
        </w:rPr>
        <w:t xml:space="preserve"> </w:t>
      </w:r>
      <w:r w:rsidRPr="002E741A">
        <w:rPr>
          <w:b/>
          <w:bCs/>
          <w:szCs w:val="22"/>
        </w:rPr>
        <w:t>ve Yazgı Genç***</w:t>
      </w:r>
    </w:p>
    <w:p w:rsidR="0058733F" w:rsidRPr="002E741A" w:rsidRDefault="008A0C5D" w:rsidP="001941F4">
      <w:pPr>
        <w:pStyle w:val="Heading2"/>
        <w:jc w:val="center"/>
        <w:rPr>
          <w:lang w:val="tr-TR"/>
        </w:rPr>
      </w:pPr>
      <w:r w:rsidRPr="002E741A">
        <w:rPr>
          <w:lang w:val="tr-TR"/>
        </w:rPr>
        <w:t>Yönetici Özeti</w:t>
      </w:r>
    </w:p>
    <w:p w:rsidR="00BD7706" w:rsidRPr="002E200F" w:rsidRDefault="003E1BFB" w:rsidP="007F3558">
      <w:pPr>
        <w:ind w:left="567" w:right="567"/>
      </w:pPr>
      <w:r w:rsidRPr="002E741A">
        <w:t xml:space="preserve">Yüksek asgari ücret artışının kayıt dışılığı ne ölçüde </w:t>
      </w:r>
      <w:r w:rsidR="00061259" w:rsidRPr="002E741A">
        <w:t>etkilediğine</w:t>
      </w:r>
      <w:r w:rsidRPr="002E741A">
        <w:t xml:space="preserve"> dair bu üçüncü ve son notta ücretli kesime odaklanılarak muhtemel etkiler </w:t>
      </w:r>
      <w:proofErr w:type="spellStart"/>
      <w:r w:rsidRPr="002E741A">
        <w:t>ekonometrik</w:t>
      </w:r>
      <w:proofErr w:type="spellEnd"/>
      <w:r w:rsidRPr="002E741A">
        <w:t xml:space="preserve"> analizle araştırılıyor. Yüksek asgari ücret artışının </w:t>
      </w:r>
      <w:r w:rsidR="006C3C44" w:rsidRPr="002E741A">
        <w:t>ücretler üzerinde yaratacağı artış etkisinin düşük ücretli (asgari ücret ve ona yakın ücretlerde) güçlü bir şekilde ortaya çıktığı bilinen bir olgudur. Bu bakımdan yüksek asgari ücretin kay</w:t>
      </w:r>
      <w:r w:rsidR="0008234F" w:rsidRPr="002E741A">
        <w:t>ıt</w:t>
      </w:r>
      <w:r w:rsidR="006C3C44" w:rsidRPr="002E741A">
        <w:t xml:space="preserve"> dışı çalışmayı artırıcı </w:t>
      </w:r>
      <w:r w:rsidR="00061259" w:rsidRPr="002E741A">
        <w:t>etkisinin</w:t>
      </w:r>
      <w:r w:rsidR="006C3C44" w:rsidRPr="002E741A">
        <w:t xml:space="preserve"> de düşük ücretli kesimlerde gözlemlenmesi beklenir. Bu beklentiyi veri alarak düşük ücret yoğunluğuna göre tanımlanmış sektörlerde asgari ücret artışı öncesi ve sonrasında kayıt dışılık oranlarında değişimi cinsiyet ayrımını gözeterek mercek altına alıyoruz. Gerek kayıt dışılık oranı</w:t>
      </w:r>
      <w:r w:rsidR="0008234F" w:rsidRPr="002E741A">
        <w:t xml:space="preserve"> değişimi</w:t>
      </w:r>
      <w:r w:rsidR="006C3C44" w:rsidRPr="002E741A">
        <w:t xml:space="preserve"> ile düşük ücret yoğunluğu arasındaki </w:t>
      </w:r>
      <w:proofErr w:type="spellStart"/>
      <w:r w:rsidR="006C3C44" w:rsidRPr="002E741A">
        <w:t>betimsel</w:t>
      </w:r>
      <w:proofErr w:type="spellEnd"/>
      <w:r w:rsidR="006C3C44" w:rsidRPr="002E741A">
        <w:t xml:space="preserve"> </w:t>
      </w:r>
      <w:proofErr w:type="gramStart"/>
      <w:r w:rsidR="006C3C44" w:rsidRPr="002E741A">
        <w:t>korelasyon</w:t>
      </w:r>
      <w:proofErr w:type="gramEnd"/>
      <w:r w:rsidR="004576D7" w:rsidRPr="002E741A">
        <w:t xml:space="preserve"> şekilleri gerek </w:t>
      </w:r>
      <w:proofErr w:type="spellStart"/>
      <w:r w:rsidR="004576D7" w:rsidRPr="002E741A">
        <w:t>ekonometrik</w:t>
      </w:r>
      <w:proofErr w:type="spellEnd"/>
      <w:r w:rsidR="004576D7" w:rsidRPr="002E741A">
        <w:t xml:space="preserve"> analiz uygun çeyreklik veriler kullanıldığında yük</w:t>
      </w:r>
      <w:r w:rsidR="006E2266">
        <w:t>s</w:t>
      </w:r>
      <w:r w:rsidR="004576D7" w:rsidRPr="002E741A">
        <w:t xml:space="preserve">ek ücret artışının düşük ücretli erkek çalışanlar kesiminde kayıt dışılığı artırıcı etki yaptığını, ancak bu etkinin </w:t>
      </w:r>
      <w:r w:rsidR="0008234F" w:rsidRPr="002E741A">
        <w:t xml:space="preserve">2016 yılının ilk iki </w:t>
      </w:r>
      <w:r w:rsidR="004576D7" w:rsidRPr="002E741A">
        <w:t>çeyre</w:t>
      </w:r>
      <w:r w:rsidR="0008234F" w:rsidRPr="002E741A">
        <w:t>ği ile</w:t>
      </w:r>
      <w:r w:rsidR="004576D7" w:rsidRPr="002E741A">
        <w:t xml:space="preserve"> sınırlı olduğunu</w:t>
      </w:r>
      <w:r w:rsidR="0008234F" w:rsidRPr="002E741A">
        <w:t>,</w:t>
      </w:r>
      <w:r w:rsidR="004576D7" w:rsidRPr="002E741A">
        <w:t xml:space="preserve"> ardından </w:t>
      </w:r>
      <w:r w:rsidR="0008234F" w:rsidRPr="002E741A">
        <w:t xml:space="preserve">da </w:t>
      </w:r>
      <w:r w:rsidR="004576D7" w:rsidRPr="002E741A">
        <w:t xml:space="preserve">sönümlendiğini ortaya koymaktadır. </w:t>
      </w:r>
    </w:p>
    <w:p w:rsidR="00816AC3" w:rsidRPr="00621CD7" w:rsidRDefault="0058733F" w:rsidP="00621CD7">
      <w:pPr>
        <w:pStyle w:val="Heading2"/>
        <w:rPr>
          <w:rFonts w:eastAsiaTheme="minorHAnsi"/>
          <w:lang w:val="tr-TR" w:eastAsia="en-US"/>
        </w:rPr>
      </w:pPr>
      <w:r w:rsidRPr="00560348">
        <w:rPr>
          <w:rFonts w:eastAsiaTheme="minorHAnsi"/>
          <w:lang w:val="tr-TR" w:eastAsia="en-US"/>
        </w:rPr>
        <w:t>Giriş</w:t>
      </w:r>
    </w:p>
    <w:p w:rsidR="00816AC3" w:rsidRDefault="0058733F" w:rsidP="00E70CEB">
      <w:pPr>
        <w:rPr>
          <w:szCs w:val="22"/>
          <w:lang w:eastAsia="tr-TR"/>
        </w:rPr>
      </w:pPr>
      <w:proofErr w:type="gramStart"/>
      <w:r>
        <w:rPr>
          <w:szCs w:val="22"/>
          <w:lang w:eastAsia="tr-TR"/>
        </w:rPr>
        <w:t>1 Ocak 2016 tarihinde gerçekleşen yüksek asgari ücret artışının</w:t>
      </w:r>
      <w:r w:rsidR="00816AC3">
        <w:rPr>
          <w:szCs w:val="22"/>
          <w:lang w:eastAsia="tr-TR"/>
        </w:rPr>
        <w:t xml:space="preserve"> (1000 TL’den 1300 TL’ye)</w:t>
      </w:r>
      <w:r>
        <w:rPr>
          <w:szCs w:val="22"/>
          <w:lang w:eastAsia="tr-TR"/>
        </w:rPr>
        <w:t xml:space="preserve"> kayıt dışı çalışmaya etkisini </w:t>
      </w:r>
      <w:r w:rsidR="0097700B">
        <w:rPr>
          <w:szCs w:val="22"/>
          <w:lang w:eastAsia="tr-TR"/>
        </w:rPr>
        <w:t>bundan önceki iki araştırma notumuzda incele</w:t>
      </w:r>
      <w:r w:rsidR="00991FDF">
        <w:rPr>
          <w:szCs w:val="22"/>
          <w:lang w:eastAsia="tr-TR"/>
        </w:rPr>
        <w:t>dik</w:t>
      </w:r>
      <w:r w:rsidR="0097700B">
        <w:rPr>
          <w:szCs w:val="22"/>
          <w:lang w:eastAsia="tr-TR"/>
        </w:rPr>
        <w:t xml:space="preserve"> (</w:t>
      </w:r>
      <w:r w:rsidR="0097700B" w:rsidRPr="00560348">
        <w:rPr>
          <w:rFonts w:eastAsiaTheme="minorHAnsi"/>
          <w:lang w:eastAsia="en-US"/>
        </w:rPr>
        <w:t>bk</w:t>
      </w:r>
      <w:r w:rsidR="00515020">
        <w:rPr>
          <w:rFonts w:eastAsiaTheme="minorHAnsi"/>
          <w:lang w:eastAsia="en-US"/>
        </w:rPr>
        <w:t>z. Betam Araştırma Notu 18/220 "</w:t>
      </w:r>
      <w:r w:rsidR="0097700B" w:rsidRPr="00560348">
        <w:rPr>
          <w:rFonts w:eastAsiaTheme="minorHAnsi"/>
          <w:lang w:eastAsia="en-US"/>
        </w:rPr>
        <w:t xml:space="preserve">Asgari ücret kayıt </w:t>
      </w:r>
      <w:r w:rsidR="00515020">
        <w:rPr>
          <w:rFonts w:eastAsiaTheme="minorHAnsi"/>
          <w:lang w:eastAsia="en-US"/>
        </w:rPr>
        <w:t>dışı istihdamı olumsuz etkiledi"</w:t>
      </w:r>
      <w:r w:rsidR="0097700B">
        <w:rPr>
          <w:rFonts w:eastAsiaTheme="minorHAnsi"/>
          <w:lang w:eastAsia="en-US"/>
        </w:rPr>
        <w:t xml:space="preserve"> </w:t>
      </w:r>
      <w:r w:rsidR="00515020">
        <w:rPr>
          <w:rFonts w:eastAsiaTheme="minorHAnsi"/>
          <w:lang w:eastAsia="en-US"/>
        </w:rPr>
        <w:t>ve Betam Araştırma Notu 18/222 "</w:t>
      </w:r>
      <w:r w:rsidR="0097700B">
        <w:rPr>
          <w:rFonts w:eastAsiaTheme="minorHAnsi"/>
          <w:lang w:eastAsia="en-US"/>
        </w:rPr>
        <w:t>Asgari ücret artışının kayıt dışı çalışmaya etkisi özellikle düşük ücretli sektörlerde yoğunl</w:t>
      </w:r>
      <w:r w:rsidR="00515020">
        <w:rPr>
          <w:rFonts w:eastAsiaTheme="minorHAnsi"/>
          <w:lang w:eastAsia="en-US"/>
        </w:rPr>
        <w:t>aşıyor"</w:t>
      </w:r>
      <w:r w:rsidR="0097700B">
        <w:rPr>
          <w:rFonts w:eastAsiaTheme="minorHAnsi"/>
          <w:lang w:eastAsia="en-US"/>
        </w:rPr>
        <w:t>).</w:t>
      </w:r>
      <w:r w:rsidR="0097700B">
        <w:rPr>
          <w:szCs w:val="22"/>
          <w:lang w:eastAsia="tr-TR"/>
        </w:rPr>
        <w:t xml:space="preserve"> </w:t>
      </w:r>
      <w:proofErr w:type="gramEnd"/>
      <w:r w:rsidR="0097700B">
        <w:rPr>
          <w:szCs w:val="22"/>
          <w:lang w:eastAsia="tr-TR"/>
        </w:rPr>
        <w:t xml:space="preserve">Bu notlardan </w:t>
      </w:r>
      <w:r w:rsidR="00816AC3">
        <w:rPr>
          <w:szCs w:val="22"/>
          <w:lang w:eastAsia="tr-TR"/>
        </w:rPr>
        <w:t xml:space="preserve">elde edilen ilk </w:t>
      </w:r>
      <w:r w:rsidR="0097700B">
        <w:rPr>
          <w:szCs w:val="22"/>
          <w:lang w:eastAsia="tr-TR"/>
        </w:rPr>
        <w:t>bulgular bu etkin</w:t>
      </w:r>
      <w:r w:rsidR="00816AC3">
        <w:rPr>
          <w:szCs w:val="22"/>
          <w:lang w:eastAsia="tr-TR"/>
        </w:rPr>
        <w:t>in pozitif olduğu yönündeydi.</w:t>
      </w:r>
    </w:p>
    <w:p w:rsidR="00621CD7" w:rsidRDefault="00621CD7" w:rsidP="00621CD7">
      <w:pPr>
        <w:keepNext/>
        <w:rPr>
          <w:szCs w:val="22"/>
        </w:rPr>
      </w:pPr>
      <w:r>
        <w:rPr>
          <w:szCs w:val="22"/>
          <w:lang w:eastAsia="tr-TR"/>
        </w:rPr>
        <w:t xml:space="preserve">“Asgari ücret artışı kayıt dışı istihdamı olumsuz etkiledi” başlıklı araştırma notunda yüksek asgari ücret artışının kayıt dışı istihdama etkisini işteki durum </w:t>
      </w:r>
      <w:r w:rsidRPr="00CB3AA2">
        <w:rPr>
          <w:szCs w:val="22"/>
          <w:lang w:eastAsia="tr-TR"/>
        </w:rPr>
        <w:t>(ücretliler, işverenler, kendi hesabına çalışanlar ve ücretsiz aile işçileri)</w:t>
      </w:r>
      <w:r>
        <w:rPr>
          <w:szCs w:val="22"/>
          <w:lang w:eastAsia="tr-TR"/>
        </w:rPr>
        <w:t xml:space="preserve"> temelinde zaman </w:t>
      </w:r>
      <w:r w:rsidRPr="00CB3AA2">
        <w:rPr>
          <w:szCs w:val="22"/>
          <w:lang w:eastAsia="tr-TR"/>
        </w:rPr>
        <w:t>içerisinde</w:t>
      </w:r>
      <w:r>
        <w:rPr>
          <w:szCs w:val="22"/>
          <w:lang w:eastAsia="tr-TR"/>
        </w:rPr>
        <w:t xml:space="preserve"> incele</w:t>
      </w:r>
      <w:r w:rsidR="00991FDF">
        <w:rPr>
          <w:szCs w:val="22"/>
          <w:lang w:eastAsia="tr-TR"/>
        </w:rPr>
        <w:t>dik</w:t>
      </w:r>
      <w:r>
        <w:rPr>
          <w:szCs w:val="22"/>
          <w:lang w:eastAsia="tr-TR"/>
        </w:rPr>
        <w:t xml:space="preserve">. Elde edilen bulgular, </w:t>
      </w:r>
      <w:r>
        <w:rPr>
          <w:rFonts w:eastAsiaTheme="minorHAnsi"/>
          <w:lang w:eastAsia="en-US"/>
        </w:rPr>
        <w:t>k</w:t>
      </w:r>
      <w:r w:rsidRPr="00F01313">
        <w:rPr>
          <w:rFonts w:eastAsiaTheme="minorHAnsi"/>
          <w:lang w:eastAsia="en-US"/>
        </w:rPr>
        <w:t>ayıt dışılık oranındaki artış</w:t>
      </w:r>
      <w:r>
        <w:rPr>
          <w:rFonts w:eastAsiaTheme="minorHAnsi"/>
          <w:lang w:eastAsia="en-US"/>
        </w:rPr>
        <w:t>ın</w:t>
      </w:r>
      <w:r w:rsidRPr="00F01313">
        <w:rPr>
          <w:rFonts w:eastAsiaTheme="minorHAnsi"/>
          <w:lang w:eastAsia="en-US"/>
        </w:rPr>
        <w:t xml:space="preserve"> ücretli olmayan kesimde -işveren </w:t>
      </w:r>
      <w:r>
        <w:rPr>
          <w:rFonts w:eastAsiaTheme="minorHAnsi"/>
          <w:lang w:eastAsia="en-US"/>
        </w:rPr>
        <w:t>ve kendi hesabına- daha güçlü olduğunu göster</w:t>
      </w:r>
      <w:r w:rsidR="00991FDF">
        <w:rPr>
          <w:rFonts w:eastAsiaTheme="minorHAnsi"/>
          <w:lang w:eastAsia="en-US"/>
        </w:rPr>
        <w:t>iyordu</w:t>
      </w:r>
      <w:r w:rsidRPr="00F01313">
        <w:rPr>
          <w:rFonts w:eastAsiaTheme="minorHAnsi"/>
          <w:lang w:eastAsia="en-US"/>
        </w:rPr>
        <w:t xml:space="preserve">. </w:t>
      </w:r>
      <w:proofErr w:type="gramStart"/>
      <w:r w:rsidRPr="00F01313">
        <w:rPr>
          <w:rFonts w:eastAsiaTheme="minorHAnsi"/>
          <w:lang w:eastAsia="en-US"/>
        </w:rPr>
        <w:t>Üstelik,</w:t>
      </w:r>
      <w:proofErr w:type="gramEnd"/>
      <w:r w:rsidRPr="00F01313">
        <w:rPr>
          <w:rFonts w:eastAsiaTheme="minorHAnsi"/>
          <w:lang w:eastAsia="en-US"/>
        </w:rPr>
        <w:t xml:space="preserve"> </w:t>
      </w:r>
      <w:r w:rsidRPr="00F01313">
        <w:rPr>
          <w:szCs w:val="22"/>
        </w:rPr>
        <w:t xml:space="preserve">asgari ücret artışının </w:t>
      </w:r>
      <w:r w:rsidRPr="00F01313">
        <w:rPr>
          <w:rFonts w:eastAsiaTheme="minorHAnsi"/>
          <w:lang w:eastAsia="en-US"/>
        </w:rPr>
        <w:t>bu kesimlerde gözlemlene</w:t>
      </w:r>
      <w:r w:rsidR="00061259">
        <w:rPr>
          <w:rFonts w:eastAsiaTheme="minorHAnsi"/>
          <w:lang w:eastAsia="en-US"/>
        </w:rPr>
        <w:t xml:space="preserve"> </w:t>
      </w:r>
      <w:r w:rsidR="00515020">
        <w:rPr>
          <w:rFonts w:eastAsiaTheme="minorHAnsi"/>
          <w:lang w:eastAsia="en-US"/>
        </w:rPr>
        <w:lastRenderedPageBreak/>
        <w:t>gelen</w:t>
      </w:r>
      <w:r w:rsidRPr="00F01313">
        <w:rPr>
          <w:rFonts w:eastAsiaTheme="minorHAnsi"/>
          <w:lang w:eastAsia="en-US"/>
        </w:rPr>
        <w:t xml:space="preserve"> </w:t>
      </w:r>
      <w:r w:rsidRPr="00F01313">
        <w:rPr>
          <w:szCs w:val="22"/>
        </w:rPr>
        <w:t>azal</w:t>
      </w:r>
      <w:r w:rsidR="00515020">
        <w:rPr>
          <w:szCs w:val="22"/>
        </w:rPr>
        <w:t>an kayıt dışı istihdam eğiliminde geçici de olsa bir artışa neden olduğu</w:t>
      </w:r>
      <w:r w:rsidR="00991FDF">
        <w:rPr>
          <w:szCs w:val="22"/>
        </w:rPr>
        <w:t>nu</w:t>
      </w:r>
      <w:r w:rsidR="00515020">
        <w:rPr>
          <w:szCs w:val="22"/>
        </w:rPr>
        <w:t xml:space="preserve"> tespit et</w:t>
      </w:r>
      <w:r w:rsidR="00991FDF">
        <w:rPr>
          <w:szCs w:val="22"/>
        </w:rPr>
        <w:t>tik</w:t>
      </w:r>
      <w:r>
        <w:rPr>
          <w:szCs w:val="22"/>
        </w:rPr>
        <w:t xml:space="preserve">. </w:t>
      </w:r>
    </w:p>
    <w:p w:rsidR="00281657" w:rsidRPr="007456A1" w:rsidRDefault="00621CD7" w:rsidP="008963F6">
      <w:pPr>
        <w:rPr>
          <w:szCs w:val="22"/>
          <w:lang w:eastAsia="tr-TR"/>
        </w:rPr>
      </w:pPr>
      <w:r>
        <w:rPr>
          <w:szCs w:val="22"/>
          <w:lang w:eastAsia="tr-TR"/>
        </w:rPr>
        <w:t xml:space="preserve">Konu ile ilgili </w:t>
      </w:r>
      <w:r>
        <w:rPr>
          <w:rFonts w:eastAsiaTheme="minorHAnsi"/>
          <w:lang w:eastAsia="en-US"/>
        </w:rPr>
        <w:t>“Asgari ücret artışının kayıt dışı çalışmaya etkisi özellikle düşük ücretli sektörlerde yoğunlaşıyor” başlıklı</w:t>
      </w:r>
      <w:r>
        <w:rPr>
          <w:szCs w:val="22"/>
          <w:lang w:eastAsia="tr-TR"/>
        </w:rPr>
        <w:t xml:space="preserve"> bir sonraki araştırma notumuzda, yukarıda bahsettiğimiz bulguları bir adım ileriye götürmek adına asgari ücret şokun</w:t>
      </w:r>
      <w:r w:rsidR="00991FDF">
        <w:rPr>
          <w:szCs w:val="22"/>
          <w:lang w:eastAsia="tr-TR"/>
        </w:rPr>
        <w:t>u sektörler temelinde inceled</w:t>
      </w:r>
      <w:r>
        <w:rPr>
          <w:szCs w:val="22"/>
          <w:lang w:eastAsia="tr-TR"/>
        </w:rPr>
        <w:t xml:space="preserve">ik. </w:t>
      </w:r>
      <w:r w:rsidR="001F69E3">
        <w:rPr>
          <w:szCs w:val="22"/>
          <w:lang w:eastAsia="tr-TR"/>
        </w:rPr>
        <w:t>B</w:t>
      </w:r>
      <w:r w:rsidR="008904A1">
        <w:rPr>
          <w:szCs w:val="22"/>
          <w:lang w:eastAsia="tr-TR"/>
        </w:rPr>
        <w:t>ahsedilen</w:t>
      </w:r>
      <w:r w:rsidR="001F69E3">
        <w:rPr>
          <w:szCs w:val="22"/>
          <w:lang w:eastAsia="tr-TR"/>
        </w:rPr>
        <w:t xml:space="preserve"> </w:t>
      </w:r>
      <w:r w:rsidR="00991FDF">
        <w:rPr>
          <w:szCs w:val="22"/>
          <w:lang w:eastAsia="tr-TR"/>
        </w:rPr>
        <w:t>notta</w:t>
      </w:r>
      <w:r w:rsidR="001F69E3">
        <w:rPr>
          <w:szCs w:val="22"/>
          <w:lang w:eastAsia="tr-TR"/>
        </w:rPr>
        <w:t xml:space="preserve"> asgari ücret artışının kayıt dışı çalışmaya etkisini ölçmek için sektörler arası ücret dağılımını esas aldık. </w:t>
      </w:r>
      <w:r w:rsidR="00991FDF">
        <w:rPr>
          <w:szCs w:val="22"/>
          <w:lang w:eastAsia="tr-TR"/>
        </w:rPr>
        <w:t>Bu maksatla, h</w:t>
      </w:r>
      <w:r w:rsidR="00CA7F19">
        <w:rPr>
          <w:szCs w:val="22"/>
          <w:lang w:eastAsia="tr-TR"/>
        </w:rPr>
        <w:t xml:space="preserve">er </w:t>
      </w:r>
      <w:r w:rsidR="00AF1838">
        <w:rPr>
          <w:szCs w:val="22"/>
          <w:lang w:eastAsia="tr-TR"/>
        </w:rPr>
        <w:t xml:space="preserve">sektörde </w:t>
      </w:r>
      <w:r w:rsidR="00991FDF">
        <w:rPr>
          <w:szCs w:val="22"/>
          <w:lang w:eastAsia="tr-TR"/>
        </w:rPr>
        <w:t>düşük ücretli (</w:t>
      </w:r>
      <w:r w:rsidR="00CA7F19">
        <w:rPr>
          <w:szCs w:val="22"/>
          <w:lang w:eastAsia="tr-TR"/>
        </w:rPr>
        <w:t>asgari ücret ve</w:t>
      </w:r>
      <w:r w:rsidR="00991FDF">
        <w:rPr>
          <w:szCs w:val="22"/>
          <w:lang w:eastAsia="tr-TR"/>
        </w:rPr>
        <w:t>ya</w:t>
      </w:r>
      <w:r w:rsidR="00CA7F19">
        <w:rPr>
          <w:szCs w:val="22"/>
          <w:lang w:eastAsia="tr-TR"/>
        </w:rPr>
        <w:t xml:space="preserve"> </w:t>
      </w:r>
      <w:r w:rsidR="00991FDF">
        <w:rPr>
          <w:szCs w:val="22"/>
          <w:lang w:eastAsia="tr-TR"/>
        </w:rPr>
        <w:t xml:space="preserve">daha düşük </w:t>
      </w:r>
      <w:r w:rsidR="00CA7F19">
        <w:rPr>
          <w:szCs w:val="22"/>
          <w:lang w:eastAsia="tr-TR"/>
        </w:rPr>
        <w:t xml:space="preserve">ücret </w:t>
      </w:r>
      <w:r w:rsidR="00E5609F">
        <w:rPr>
          <w:szCs w:val="22"/>
          <w:lang w:eastAsia="tr-TR"/>
        </w:rPr>
        <w:t>kazanan</w:t>
      </w:r>
      <w:r w:rsidR="00991FDF">
        <w:rPr>
          <w:szCs w:val="22"/>
          <w:lang w:eastAsia="tr-TR"/>
        </w:rPr>
        <w:t>)</w:t>
      </w:r>
      <w:r w:rsidR="00370B16">
        <w:rPr>
          <w:szCs w:val="22"/>
          <w:lang w:eastAsia="tr-TR"/>
        </w:rPr>
        <w:t xml:space="preserve"> </w:t>
      </w:r>
      <w:r w:rsidR="00E5609F">
        <w:rPr>
          <w:szCs w:val="22"/>
          <w:lang w:eastAsia="tr-TR"/>
        </w:rPr>
        <w:t>çalışa</w:t>
      </w:r>
      <w:r w:rsidR="00170A75">
        <w:rPr>
          <w:szCs w:val="22"/>
          <w:lang w:eastAsia="tr-TR"/>
        </w:rPr>
        <w:t>nların oranlarını hesapladık. Varsayımımız</w:t>
      </w:r>
      <w:r w:rsidR="00991FDF">
        <w:rPr>
          <w:szCs w:val="22"/>
          <w:lang w:eastAsia="tr-TR"/>
        </w:rPr>
        <w:t>,</w:t>
      </w:r>
      <w:r w:rsidR="00170A75">
        <w:rPr>
          <w:szCs w:val="22"/>
          <w:lang w:eastAsia="tr-TR"/>
        </w:rPr>
        <w:t xml:space="preserve"> </w:t>
      </w:r>
      <w:r w:rsidR="00E5609F">
        <w:rPr>
          <w:szCs w:val="22"/>
          <w:lang w:eastAsia="tr-TR"/>
        </w:rPr>
        <w:t>düşük ücret</w:t>
      </w:r>
      <w:r w:rsidR="008D57B7">
        <w:rPr>
          <w:szCs w:val="22"/>
          <w:lang w:eastAsia="tr-TR"/>
        </w:rPr>
        <w:t xml:space="preserve">li çalışanların </w:t>
      </w:r>
      <w:r w:rsidR="00E5609F">
        <w:rPr>
          <w:szCs w:val="22"/>
          <w:lang w:eastAsia="tr-TR"/>
        </w:rPr>
        <w:t xml:space="preserve">yoğun olduğu </w:t>
      </w:r>
      <w:r w:rsidR="0018725D">
        <w:rPr>
          <w:szCs w:val="22"/>
          <w:lang w:eastAsia="tr-TR"/>
        </w:rPr>
        <w:t>sektörlerde asgari ücret artış</w:t>
      </w:r>
      <w:r w:rsidR="00FF1277">
        <w:rPr>
          <w:szCs w:val="22"/>
          <w:lang w:eastAsia="tr-TR"/>
        </w:rPr>
        <w:t>ının</w:t>
      </w:r>
      <w:r w:rsidR="008D57B7">
        <w:rPr>
          <w:szCs w:val="22"/>
          <w:lang w:eastAsia="tr-TR"/>
        </w:rPr>
        <w:t xml:space="preserve"> kayıt dışı çalışmaya olan etkisini</w:t>
      </w:r>
      <w:r w:rsidR="00991FDF">
        <w:rPr>
          <w:szCs w:val="22"/>
          <w:lang w:eastAsia="tr-TR"/>
        </w:rPr>
        <w:t>n,</w:t>
      </w:r>
      <w:r w:rsidR="00FF1277">
        <w:rPr>
          <w:szCs w:val="22"/>
          <w:lang w:eastAsia="tr-TR"/>
        </w:rPr>
        <w:t xml:space="preserve"> diğer sektörlere kıyasla</w:t>
      </w:r>
      <w:r w:rsidR="00991FDF">
        <w:rPr>
          <w:szCs w:val="22"/>
          <w:lang w:eastAsia="tr-TR"/>
        </w:rPr>
        <w:t xml:space="preserve">, daha güçlü olacağı idi. </w:t>
      </w:r>
      <w:r w:rsidR="000E3235">
        <w:rPr>
          <w:szCs w:val="22"/>
          <w:lang w:eastAsia="tr-TR"/>
        </w:rPr>
        <w:t>Elde e</w:t>
      </w:r>
      <w:r w:rsidR="00991FDF">
        <w:rPr>
          <w:szCs w:val="22"/>
          <w:lang w:eastAsia="tr-TR"/>
        </w:rPr>
        <w:t>ttiğimiz ilk</w:t>
      </w:r>
      <w:r w:rsidR="000E3235">
        <w:rPr>
          <w:szCs w:val="22"/>
          <w:lang w:eastAsia="tr-TR"/>
        </w:rPr>
        <w:t xml:space="preserve"> bulgular </w:t>
      </w:r>
      <w:r w:rsidR="0081530F">
        <w:rPr>
          <w:szCs w:val="22"/>
          <w:lang w:eastAsia="tr-TR"/>
        </w:rPr>
        <w:t>asgari ücret artışının kayıt dışı istihdama etkisinin 2016’nın ilk iki çeyreğinde özellikle düşük ücretli sektörlerde daha büyük olduğunu göstermekteydi.</w:t>
      </w:r>
      <w:r w:rsidR="006D0307">
        <w:rPr>
          <w:szCs w:val="22"/>
          <w:lang w:eastAsia="tr-TR"/>
        </w:rPr>
        <w:t xml:space="preserve"> Son olarak,</w:t>
      </w:r>
      <w:r w:rsidR="00991FDF">
        <w:rPr>
          <w:szCs w:val="22"/>
          <w:lang w:eastAsia="tr-TR"/>
        </w:rPr>
        <w:t xml:space="preserve"> </w:t>
      </w:r>
      <w:r w:rsidR="0081530F">
        <w:rPr>
          <w:rFonts w:eastAsiaTheme="minorHAnsi"/>
          <w:lang w:eastAsia="en-US"/>
        </w:rPr>
        <w:t xml:space="preserve">2016 yılının son çeyreğinden itibaren kayıt dışılığı </w:t>
      </w:r>
      <w:r w:rsidR="0081530F" w:rsidRPr="00A51C3E">
        <w:rPr>
          <w:rFonts w:eastAsiaTheme="minorHAnsi"/>
          <w:lang w:eastAsia="en-US"/>
        </w:rPr>
        <w:t xml:space="preserve">arttırıcı </w:t>
      </w:r>
      <w:r w:rsidR="0081530F" w:rsidRPr="00A51C3E">
        <w:rPr>
          <w:lang w:eastAsia="tr-TR"/>
        </w:rPr>
        <w:t xml:space="preserve">etkinin </w:t>
      </w:r>
      <w:r w:rsidR="00AF1838">
        <w:rPr>
          <w:lang w:eastAsia="tr-TR"/>
        </w:rPr>
        <w:t>devam et</w:t>
      </w:r>
      <w:r w:rsidR="00BE56CD">
        <w:rPr>
          <w:lang w:eastAsia="tr-TR"/>
        </w:rPr>
        <w:t xml:space="preserve">mekle kalmayıp </w:t>
      </w:r>
      <w:r w:rsidR="006D0307">
        <w:rPr>
          <w:szCs w:val="22"/>
          <w:lang w:eastAsia="tr-TR"/>
        </w:rPr>
        <w:t xml:space="preserve">düşük ücretli çalışan </w:t>
      </w:r>
      <w:r w:rsidR="00BE56CD">
        <w:rPr>
          <w:szCs w:val="22"/>
          <w:lang w:eastAsia="tr-TR"/>
        </w:rPr>
        <w:t xml:space="preserve">oranından </w:t>
      </w:r>
      <w:r w:rsidR="006D0307">
        <w:rPr>
          <w:szCs w:val="22"/>
          <w:lang w:eastAsia="tr-TR"/>
        </w:rPr>
        <w:t>bağımsızlaştığı</w:t>
      </w:r>
      <w:r w:rsidR="00BE56CD">
        <w:rPr>
          <w:szCs w:val="22"/>
          <w:lang w:eastAsia="tr-TR"/>
        </w:rPr>
        <w:t>nı saptadık.</w:t>
      </w:r>
      <w:r w:rsidR="006D0307">
        <w:rPr>
          <w:lang w:eastAsia="tr-TR"/>
        </w:rPr>
        <w:t xml:space="preserve"> </w:t>
      </w:r>
    </w:p>
    <w:p w:rsidR="00831CA3" w:rsidRPr="00831CA3" w:rsidRDefault="00831CA3" w:rsidP="008963F6">
      <w:pPr>
        <w:rPr>
          <w:lang w:eastAsia="tr-TR"/>
        </w:rPr>
      </w:pPr>
      <w:r w:rsidRPr="00831CA3">
        <w:rPr>
          <w:lang w:eastAsia="tr-TR"/>
        </w:rPr>
        <w:t xml:space="preserve">Bu </w:t>
      </w:r>
      <w:r w:rsidR="008963F6" w:rsidRPr="00831CA3">
        <w:rPr>
          <w:lang w:eastAsia="tr-TR"/>
        </w:rPr>
        <w:t xml:space="preserve">araştırma notunda </w:t>
      </w:r>
      <w:r w:rsidR="001815F0" w:rsidRPr="00831CA3">
        <w:rPr>
          <w:lang w:eastAsia="tr-TR"/>
        </w:rPr>
        <w:t>ilk iki notumuzu bir adım daha ileriye götürerek</w:t>
      </w:r>
      <w:r w:rsidR="00034C80" w:rsidRPr="00831CA3">
        <w:rPr>
          <w:lang w:eastAsia="tr-TR"/>
        </w:rPr>
        <w:t>,</w:t>
      </w:r>
      <w:r w:rsidR="00BE56CD" w:rsidRPr="00831CA3">
        <w:rPr>
          <w:lang w:eastAsia="tr-TR"/>
        </w:rPr>
        <w:t xml:space="preserve"> </w:t>
      </w:r>
      <w:proofErr w:type="spellStart"/>
      <w:r w:rsidR="008963F6" w:rsidRPr="00831CA3">
        <w:rPr>
          <w:lang w:eastAsia="tr-TR"/>
        </w:rPr>
        <w:t>Hanehalkı</w:t>
      </w:r>
      <w:proofErr w:type="spellEnd"/>
      <w:r w:rsidR="008963F6" w:rsidRPr="00831CA3">
        <w:rPr>
          <w:lang w:eastAsia="tr-TR"/>
        </w:rPr>
        <w:t xml:space="preserve"> İşgücü Anketi (HİA) mikro verilerini kullanarak asgari ü</w:t>
      </w:r>
      <w:r w:rsidR="00370B16" w:rsidRPr="00831CA3">
        <w:rPr>
          <w:lang w:eastAsia="tr-TR"/>
        </w:rPr>
        <w:t>cr</w:t>
      </w:r>
      <w:r w:rsidR="00AE1FE3" w:rsidRPr="00831CA3">
        <w:rPr>
          <w:lang w:eastAsia="tr-TR"/>
        </w:rPr>
        <w:t>etin düşük ücretli sektörlerde diğer sektörlere kıyasla</w:t>
      </w:r>
      <w:r w:rsidR="00BE56CD" w:rsidRPr="00831CA3">
        <w:rPr>
          <w:lang w:eastAsia="tr-TR"/>
        </w:rPr>
        <w:t xml:space="preserve"> </w:t>
      </w:r>
      <w:r w:rsidR="00736468" w:rsidRPr="00831CA3">
        <w:rPr>
          <w:lang w:eastAsia="tr-TR"/>
        </w:rPr>
        <w:t xml:space="preserve">kayıt dışılığı </w:t>
      </w:r>
      <w:r w:rsidR="00370B16" w:rsidRPr="00831CA3">
        <w:rPr>
          <w:lang w:eastAsia="tr-TR"/>
        </w:rPr>
        <w:t xml:space="preserve">etkileme gücünü </w:t>
      </w:r>
      <w:proofErr w:type="spellStart"/>
      <w:r w:rsidR="00BE56CD" w:rsidRPr="00831CA3">
        <w:rPr>
          <w:lang w:eastAsia="tr-TR"/>
        </w:rPr>
        <w:t>ekonometrik</w:t>
      </w:r>
      <w:proofErr w:type="spellEnd"/>
      <w:r w:rsidR="008963F6" w:rsidRPr="00831CA3">
        <w:rPr>
          <w:lang w:eastAsia="tr-TR"/>
        </w:rPr>
        <w:t xml:space="preserve"> yöntemlerle sınamaktayız</w:t>
      </w:r>
      <w:r w:rsidR="008963F6" w:rsidRPr="007B3871">
        <w:rPr>
          <w:lang w:eastAsia="tr-TR"/>
        </w:rPr>
        <w:t xml:space="preserve">. </w:t>
      </w:r>
      <w:r w:rsidR="008B7DA2" w:rsidRPr="007B3871">
        <w:rPr>
          <w:lang w:eastAsia="tr-TR"/>
        </w:rPr>
        <w:t xml:space="preserve">Bu notta sektör </w:t>
      </w:r>
      <w:proofErr w:type="spellStart"/>
      <w:r w:rsidR="008B7DA2" w:rsidRPr="007B3871">
        <w:rPr>
          <w:lang w:eastAsia="tr-TR"/>
        </w:rPr>
        <w:t>kırılımına</w:t>
      </w:r>
      <w:proofErr w:type="spellEnd"/>
      <w:r w:rsidR="008B7DA2" w:rsidRPr="007B3871">
        <w:rPr>
          <w:lang w:eastAsia="tr-TR"/>
        </w:rPr>
        <w:t xml:space="preserve"> ek </w:t>
      </w:r>
      <w:r w:rsidR="00061259" w:rsidRPr="007B3871">
        <w:rPr>
          <w:lang w:eastAsia="tr-TR"/>
        </w:rPr>
        <w:t>olarak</w:t>
      </w:r>
      <w:r w:rsidR="008B7DA2" w:rsidRPr="007B3871">
        <w:rPr>
          <w:lang w:eastAsia="tr-TR"/>
        </w:rPr>
        <w:t xml:space="preserve"> etki analizine cinsiyet </w:t>
      </w:r>
      <w:proofErr w:type="spellStart"/>
      <w:r w:rsidR="008B7DA2" w:rsidRPr="007B3871">
        <w:rPr>
          <w:lang w:eastAsia="tr-TR"/>
        </w:rPr>
        <w:t>kırılımını</w:t>
      </w:r>
      <w:proofErr w:type="spellEnd"/>
      <w:r w:rsidR="008B7DA2" w:rsidRPr="007B3871">
        <w:rPr>
          <w:lang w:eastAsia="tr-TR"/>
        </w:rPr>
        <w:t xml:space="preserve"> da </w:t>
      </w:r>
      <w:proofErr w:type="gramStart"/>
      <w:r w:rsidR="008B7DA2" w:rsidRPr="007B3871">
        <w:rPr>
          <w:lang w:eastAsia="tr-TR"/>
        </w:rPr>
        <w:t>dahil</w:t>
      </w:r>
      <w:proofErr w:type="gramEnd"/>
      <w:r w:rsidR="008B7DA2" w:rsidRPr="007B3871">
        <w:rPr>
          <w:lang w:eastAsia="tr-TR"/>
        </w:rPr>
        <w:t xml:space="preserve"> ediyoruz. </w:t>
      </w:r>
      <w:r w:rsidR="00BE56CD" w:rsidRPr="007B3871">
        <w:rPr>
          <w:lang w:eastAsia="tr-TR"/>
        </w:rPr>
        <w:t xml:space="preserve">Yıllık ve çeyreklik HİA verileri ile yaptığımız analizler, ilk iki notta değindiğimiz asgari ücret artışının kayıt dışılığı arttırdığı yönündeki </w:t>
      </w:r>
      <w:r w:rsidR="006C60C1" w:rsidRPr="007B3871">
        <w:rPr>
          <w:lang w:eastAsia="tr-TR"/>
        </w:rPr>
        <w:t xml:space="preserve">etkinin </w:t>
      </w:r>
      <w:r w:rsidR="00BE56CD" w:rsidRPr="007B3871">
        <w:rPr>
          <w:lang w:eastAsia="tr-TR"/>
        </w:rPr>
        <w:t xml:space="preserve">esasen </w:t>
      </w:r>
      <w:r w:rsidR="006C60C1" w:rsidRPr="007B3871">
        <w:rPr>
          <w:lang w:eastAsia="tr-TR"/>
        </w:rPr>
        <w:t>erkek</w:t>
      </w:r>
      <w:r w:rsidRPr="007B3871">
        <w:rPr>
          <w:lang w:eastAsia="tr-TR"/>
        </w:rPr>
        <w:t xml:space="preserve"> çalışanlarda ortaya çıktığını gösteriyor.</w:t>
      </w:r>
      <w:r w:rsidRPr="00831CA3">
        <w:rPr>
          <w:lang w:eastAsia="tr-TR"/>
        </w:rPr>
        <w:t xml:space="preserve"> </w:t>
      </w:r>
    </w:p>
    <w:p w:rsidR="008963F6" w:rsidRPr="007B3871" w:rsidRDefault="00BE56CD" w:rsidP="008963F6">
      <w:pPr>
        <w:rPr>
          <w:color w:val="000000" w:themeColor="text1"/>
          <w:lang w:eastAsia="tr-TR"/>
        </w:rPr>
      </w:pPr>
      <w:r w:rsidRPr="007B3871">
        <w:rPr>
          <w:color w:val="000000" w:themeColor="text1"/>
          <w:lang w:eastAsia="tr-TR"/>
        </w:rPr>
        <w:t xml:space="preserve">Bu </w:t>
      </w:r>
      <w:r w:rsidR="004E019B" w:rsidRPr="007B3871">
        <w:rPr>
          <w:color w:val="000000" w:themeColor="text1"/>
          <w:lang w:eastAsia="tr-TR"/>
        </w:rPr>
        <w:t xml:space="preserve">bulgunun </w:t>
      </w:r>
      <w:r w:rsidRPr="007B3871">
        <w:rPr>
          <w:color w:val="000000" w:themeColor="text1"/>
          <w:lang w:eastAsia="tr-TR"/>
        </w:rPr>
        <w:t>kadın ve erkek çalışanların eğitim bileşim</w:t>
      </w:r>
      <w:r w:rsidR="004E019B" w:rsidRPr="007B3871">
        <w:rPr>
          <w:color w:val="000000" w:themeColor="text1"/>
          <w:lang w:eastAsia="tr-TR"/>
        </w:rPr>
        <w:t>lerinin</w:t>
      </w:r>
      <w:r w:rsidRPr="007B3871">
        <w:rPr>
          <w:color w:val="000000" w:themeColor="text1"/>
          <w:lang w:eastAsia="tr-TR"/>
        </w:rPr>
        <w:t xml:space="preserve"> farklı olması</w:t>
      </w:r>
      <w:r w:rsidR="004E019B" w:rsidRPr="007B3871">
        <w:rPr>
          <w:color w:val="000000" w:themeColor="text1"/>
          <w:lang w:eastAsia="tr-TR"/>
        </w:rPr>
        <w:t>ndan kaynaklan</w:t>
      </w:r>
      <w:r w:rsidR="007176CC">
        <w:rPr>
          <w:color w:val="000000" w:themeColor="text1"/>
          <w:lang w:eastAsia="tr-TR"/>
        </w:rPr>
        <w:t xml:space="preserve">dığı düşünülebilir </w:t>
      </w:r>
      <w:r w:rsidR="009C1387">
        <w:rPr>
          <w:color w:val="000000" w:themeColor="text1"/>
          <w:lang w:eastAsia="tr-TR"/>
        </w:rPr>
        <w:t>(Ek Tablo)</w:t>
      </w:r>
      <w:r w:rsidRPr="007B3871">
        <w:rPr>
          <w:color w:val="000000" w:themeColor="text1"/>
          <w:lang w:eastAsia="tr-TR"/>
        </w:rPr>
        <w:t xml:space="preserve">. Türkiye işgücü piyasasında </w:t>
      </w:r>
      <w:r w:rsidR="00AB3989" w:rsidRPr="007B3871">
        <w:rPr>
          <w:lang w:eastAsia="tr-TR"/>
        </w:rPr>
        <w:t>ücretli</w:t>
      </w:r>
      <w:r w:rsidR="00AB3989" w:rsidRPr="007B3871">
        <w:rPr>
          <w:color w:val="000000" w:themeColor="text1"/>
          <w:lang w:eastAsia="tr-TR"/>
        </w:rPr>
        <w:t xml:space="preserve"> </w:t>
      </w:r>
      <w:r w:rsidRPr="007B3871">
        <w:rPr>
          <w:color w:val="000000" w:themeColor="text1"/>
          <w:lang w:eastAsia="tr-TR"/>
        </w:rPr>
        <w:t>ç</w:t>
      </w:r>
      <w:r w:rsidR="0050417F" w:rsidRPr="007B3871">
        <w:rPr>
          <w:color w:val="000000" w:themeColor="text1"/>
          <w:lang w:eastAsia="tr-TR"/>
        </w:rPr>
        <w:t>alışan kadınlar görece daha eğitimli oldukları için kadınlar</w:t>
      </w:r>
      <w:r w:rsidRPr="007B3871">
        <w:rPr>
          <w:color w:val="000000" w:themeColor="text1"/>
          <w:lang w:eastAsia="tr-TR"/>
        </w:rPr>
        <w:t xml:space="preserve"> arasında</w:t>
      </w:r>
      <w:r w:rsidR="0050417F" w:rsidRPr="007B3871">
        <w:rPr>
          <w:color w:val="000000" w:themeColor="text1"/>
          <w:lang w:eastAsia="tr-TR"/>
        </w:rPr>
        <w:t xml:space="preserve"> düşük ücretli çalışan </w:t>
      </w:r>
      <w:r w:rsidRPr="007B3871">
        <w:rPr>
          <w:color w:val="000000" w:themeColor="text1"/>
          <w:lang w:eastAsia="tr-TR"/>
        </w:rPr>
        <w:t>oranının,</w:t>
      </w:r>
      <w:r w:rsidR="0050417F" w:rsidRPr="007B3871">
        <w:rPr>
          <w:color w:val="000000" w:themeColor="text1"/>
          <w:lang w:eastAsia="tr-TR"/>
        </w:rPr>
        <w:t xml:space="preserve"> erkeklere </w:t>
      </w:r>
      <w:r w:rsidRPr="007B3871">
        <w:rPr>
          <w:color w:val="000000" w:themeColor="text1"/>
          <w:lang w:eastAsia="tr-TR"/>
        </w:rPr>
        <w:t>kıyasla,</w:t>
      </w:r>
      <w:r w:rsidR="0050417F" w:rsidRPr="007B3871">
        <w:rPr>
          <w:color w:val="000000" w:themeColor="text1"/>
          <w:lang w:eastAsia="tr-TR"/>
        </w:rPr>
        <w:t xml:space="preserve"> çok daha düşük olduğu bilinmektedir. </w:t>
      </w:r>
      <w:r w:rsidR="00E816D3" w:rsidRPr="007B3871">
        <w:rPr>
          <w:color w:val="000000" w:themeColor="text1"/>
          <w:lang w:eastAsia="tr-TR"/>
        </w:rPr>
        <w:t xml:space="preserve">Az eğitimli ya da eğitimsiz kadınlar işgücüne daha az katıldıkları için, doğal olarak, </w:t>
      </w:r>
      <w:r w:rsidR="0050417F" w:rsidRPr="007B3871">
        <w:rPr>
          <w:color w:val="000000" w:themeColor="text1"/>
          <w:lang w:eastAsia="tr-TR"/>
        </w:rPr>
        <w:t>kay</w:t>
      </w:r>
      <w:r w:rsidRPr="007B3871">
        <w:rPr>
          <w:color w:val="000000" w:themeColor="text1"/>
          <w:lang w:eastAsia="tr-TR"/>
        </w:rPr>
        <w:t>ıt dışılığın en fazla görüldüğü</w:t>
      </w:r>
      <w:r w:rsidR="0050417F" w:rsidRPr="007B3871">
        <w:rPr>
          <w:color w:val="000000" w:themeColor="text1"/>
          <w:lang w:eastAsia="tr-TR"/>
        </w:rPr>
        <w:t xml:space="preserve"> düşük eğitim seviyesine sahip çalışan </w:t>
      </w:r>
      <w:r w:rsidR="00E816D3" w:rsidRPr="007B3871">
        <w:rPr>
          <w:color w:val="000000" w:themeColor="text1"/>
          <w:lang w:eastAsia="tr-TR"/>
        </w:rPr>
        <w:t xml:space="preserve">kadın sayısı da </w:t>
      </w:r>
      <w:r w:rsidR="0050417F" w:rsidRPr="007B3871">
        <w:rPr>
          <w:color w:val="000000" w:themeColor="text1"/>
          <w:lang w:eastAsia="tr-TR"/>
        </w:rPr>
        <w:t xml:space="preserve">erkeklere kıyasla daha </w:t>
      </w:r>
      <w:r w:rsidR="00E816D3" w:rsidRPr="007B3871">
        <w:rPr>
          <w:color w:val="000000" w:themeColor="text1"/>
          <w:lang w:eastAsia="tr-TR"/>
        </w:rPr>
        <w:t>düşük olmaktadır</w:t>
      </w:r>
      <w:r w:rsidR="009C1387">
        <w:rPr>
          <w:color w:val="000000" w:themeColor="text1"/>
          <w:lang w:eastAsia="tr-TR"/>
        </w:rPr>
        <w:t xml:space="preserve"> (Ek Tablo). </w:t>
      </w:r>
      <w:r w:rsidR="0050417F" w:rsidRPr="007B3871">
        <w:rPr>
          <w:color w:val="000000" w:themeColor="text1"/>
          <w:lang w:eastAsia="tr-TR"/>
        </w:rPr>
        <w:t>Tüm bunlar birlikte düşünüldüğünde asgari ücret artışının kadınlar için kayıt dışı çalışmayı arttırmaması aslında beklenen bir sonuçtur.</w:t>
      </w:r>
    </w:p>
    <w:p w:rsidR="00B13D92" w:rsidRPr="007B3871" w:rsidRDefault="00940CF3" w:rsidP="00AF7A9E">
      <w:pPr>
        <w:pStyle w:val="Heading2"/>
        <w:rPr>
          <w:rFonts w:eastAsiaTheme="minorHAnsi"/>
          <w:lang w:val="tr-TR" w:eastAsia="en-US"/>
        </w:rPr>
      </w:pPr>
      <w:r w:rsidRPr="007B3871">
        <w:rPr>
          <w:rFonts w:eastAsiaTheme="minorHAnsi"/>
          <w:lang w:val="tr-TR" w:eastAsia="en-US"/>
        </w:rPr>
        <w:t xml:space="preserve">Neden </w:t>
      </w:r>
      <w:r w:rsidR="00C441B1" w:rsidRPr="007B3871">
        <w:rPr>
          <w:rFonts w:eastAsiaTheme="minorHAnsi"/>
          <w:lang w:val="tr-TR" w:eastAsia="en-US"/>
        </w:rPr>
        <w:t xml:space="preserve">sadece </w:t>
      </w:r>
      <w:r w:rsidRPr="007B3871">
        <w:rPr>
          <w:rFonts w:eastAsiaTheme="minorHAnsi"/>
          <w:lang w:val="tr-TR" w:eastAsia="en-US"/>
        </w:rPr>
        <w:t>ücretli çalışanları inceliyoruz</w:t>
      </w:r>
      <w:r w:rsidR="00AF7A9E" w:rsidRPr="007B3871">
        <w:rPr>
          <w:rFonts w:eastAsiaTheme="minorHAnsi"/>
          <w:lang w:val="tr-TR" w:eastAsia="en-US"/>
        </w:rPr>
        <w:t>?</w:t>
      </w:r>
      <w:r w:rsidR="00C85D75" w:rsidRPr="007B3871">
        <w:rPr>
          <w:rFonts w:eastAsiaTheme="minorHAnsi"/>
          <w:lang w:val="tr-TR" w:eastAsia="en-US"/>
        </w:rPr>
        <w:t xml:space="preserve"> </w:t>
      </w:r>
    </w:p>
    <w:p w:rsidR="00C25128" w:rsidRPr="00640137" w:rsidRDefault="00C25128" w:rsidP="008963F6">
      <w:pPr>
        <w:rPr>
          <w:rFonts w:eastAsiaTheme="minorHAnsi"/>
          <w:color w:val="FF0000"/>
          <w:lang w:eastAsia="en-US"/>
        </w:rPr>
      </w:pPr>
      <w:r w:rsidRPr="007B3871">
        <w:rPr>
          <w:rFonts w:eastAsiaTheme="minorHAnsi"/>
          <w:lang w:eastAsia="en-US"/>
        </w:rPr>
        <w:t xml:space="preserve">Daha önceki notumuzda elde ettiğimiz bulgular kayıt dışılık oranındaki artışın </w:t>
      </w:r>
      <w:r w:rsidR="00321465" w:rsidRPr="007B3871">
        <w:rPr>
          <w:rFonts w:eastAsiaTheme="minorHAnsi"/>
          <w:lang w:eastAsia="en-US"/>
        </w:rPr>
        <w:t xml:space="preserve">etkisinin </w:t>
      </w:r>
      <w:r w:rsidRPr="007B3871">
        <w:rPr>
          <w:rFonts w:eastAsiaTheme="minorHAnsi"/>
          <w:lang w:eastAsia="en-US"/>
        </w:rPr>
        <w:t>ücretli olmayan kesimde (işveren ve kendi hesabına) daha güçlü olduğunu gösteriyordu. İki</w:t>
      </w:r>
      <w:r w:rsidRPr="00FA44C3">
        <w:rPr>
          <w:rFonts w:eastAsiaTheme="minorHAnsi"/>
          <w:lang w:eastAsia="en-US"/>
        </w:rPr>
        <w:t xml:space="preserve"> nedenden ötürü tüm çalışanlar yerine sadece ücretli çalışanlara odaklanmayı tercih ediyoruz. İlki, tüm istihdamın üçte ikisinden biraz fazlasının (2016 itibarı ile yüzde 68) ücretli olduğu gerçeğidir. İkincisi ise piyasa ilişkilerine tabi olan, dolayısıyla işgücü maliyetlerini değiştiren düzenlemelerden doğrudan etkilenen kesim</w:t>
      </w:r>
      <w:r w:rsidR="00321465">
        <w:rPr>
          <w:rFonts w:eastAsiaTheme="minorHAnsi"/>
          <w:lang w:eastAsia="en-US"/>
        </w:rPr>
        <w:t>in</w:t>
      </w:r>
      <w:r w:rsidRPr="00FA44C3">
        <w:rPr>
          <w:rFonts w:eastAsiaTheme="minorHAnsi"/>
          <w:lang w:eastAsia="en-US"/>
        </w:rPr>
        <w:t xml:space="preserve"> ücretli çalışanlar</w:t>
      </w:r>
      <w:r w:rsidR="00321465">
        <w:rPr>
          <w:rFonts w:eastAsiaTheme="minorHAnsi"/>
          <w:lang w:eastAsia="en-US"/>
        </w:rPr>
        <w:t xml:space="preserve"> </w:t>
      </w:r>
      <w:r w:rsidR="00321465" w:rsidRPr="007B3871">
        <w:rPr>
          <w:rFonts w:eastAsiaTheme="minorHAnsi"/>
          <w:lang w:eastAsia="en-US"/>
        </w:rPr>
        <w:t>olmasıdır</w:t>
      </w:r>
      <w:r w:rsidRPr="007B3871">
        <w:rPr>
          <w:rFonts w:eastAsiaTheme="minorHAnsi"/>
          <w:lang w:eastAsia="en-US"/>
        </w:rPr>
        <w:t xml:space="preserve">. Bu </w:t>
      </w:r>
      <w:r w:rsidR="000C408B" w:rsidRPr="007B3871">
        <w:rPr>
          <w:rFonts w:eastAsiaTheme="minorHAnsi"/>
          <w:lang w:eastAsia="en-US"/>
        </w:rPr>
        <w:t xml:space="preserve">bakımdan analizlerimizi ücretli kesimle </w:t>
      </w:r>
      <w:r w:rsidR="00061259" w:rsidRPr="007B3871">
        <w:rPr>
          <w:rFonts w:eastAsiaTheme="minorHAnsi"/>
          <w:lang w:eastAsia="en-US"/>
        </w:rPr>
        <w:t>sınırlamayı</w:t>
      </w:r>
      <w:r w:rsidR="000C408B" w:rsidRPr="007B3871">
        <w:rPr>
          <w:rFonts w:eastAsiaTheme="minorHAnsi"/>
          <w:lang w:eastAsia="en-US"/>
        </w:rPr>
        <w:t xml:space="preserve"> tercih ediyoruz. </w:t>
      </w:r>
    </w:p>
    <w:p w:rsidR="007C5BA7" w:rsidRPr="007C5BA7" w:rsidRDefault="00AE77EC" w:rsidP="007C5BA7">
      <w:pPr>
        <w:pStyle w:val="Heading2"/>
        <w:rPr>
          <w:rFonts w:eastAsiaTheme="minorHAnsi"/>
          <w:lang w:val="tr-TR" w:eastAsia="en-US"/>
        </w:rPr>
      </w:pPr>
      <w:r w:rsidRPr="002B7C99">
        <w:rPr>
          <w:rFonts w:eastAsiaTheme="minorHAnsi"/>
          <w:lang w:val="tr-TR" w:eastAsia="en-US"/>
        </w:rPr>
        <w:lastRenderedPageBreak/>
        <w:t xml:space="preserve">Asgari ücret artışının kayıt dışı çalışmaya etkisi </w:t>
      </w:r>
      <w:r w:rsidR="00604672" w:rsidRPr="002B7C99">
        <w:rPr>
          <w:rFonts w:eastAsiaTheme="minorHAnsi"/>
          <w:lang w:val="tr-TR" w:eastAsia="en-US"/>
        </w:rPr>
        <w:t xml:space="preserve">esas olarak </w:t>
      </w:r>
      <w:r w:rsidRPr="002B7C99">
        <w:rPr>
          <w:rFonts w:eastAsiaTheme="minorHAnsi"/>
          <w:lang w:val="tr-TR" w:eastAsia="en-US"/>
        </w:rPr>
        <w:t>erkeklerde</w:t>
      </w:r>
      <w:r w:rsidR="00604672" w:rsidRPr="002B7C99">
        <w:rPr>
          <w:rFonts w:eastAsiaTheme="minorHAnsi"/>
          <w:lang w:val="tr-TR" w:eastAsia="en-US"/>
        </w:rPr>
        <w:t xml:space="preserve"> görülüyor</w:t>
      </w:r>
      <w:r w:rsidRPr="007C5BA7">
        <w:rPr>
          <w:rFonts w:eastAsiaTheme="minorHAnsi"/>
          <w:lang w:val="tr-TR" w:eastAsia="en-US"/>
        </w:rPr>
        <w:t xml:space="preserve"> </w:t>
      </w:r>
    </w:p>
    <w:p w:rsidR="00AE77EC" w:rsidRDefault="00AE77EC" w:rsidP="00AE77EC">
      <w:pPr>
        <w:pStyle w:val="Caption"/>
        <w:rPr>
          <w:sz w:val="22"/>
        </w:rPr>
      </w:pPr>
      <w:r w:rsidRPr="00637349">
        <w:rPr>
          <w:sz w:val="22"/>
        </w:rPr>
        <w:t xml:space="preserve">Şekil </w:t>
      </w:r>
      <w:r w:rsidR="002D026E" w:rsidRPr="00637349">
        <w:rPr>
          <w:sz w:val="22"/>
        </w:rPr>
        <w:fldChar w:fldCharType="begin"/>
      </w:r>
      <w:r w:rsidRPr="00637349">
        <w:rPr>
          <w:sz w:val="22"/>
        </w:rPr>
        <w:instrText xml:space="preserve"> SEQ Şekil \* ARABIC </w:instrText>
      </w:r>
      <w:r w:rsidR="002D026E" w:rsidRPr="00637349">
        <w:rPr>
          <w:sz w:val="22"/>
        </w:rPr>
        <w:fldChar w:fldCharType="separate"/>
      </w:r>
      <w:r>
        <w:rPr>
          <w:noProof/>
          <w:sz w:val="22"/>
        </w:rPr>
        <w:t>1</w:t>
      </w:r>
      <w:r w:rsidR="002D026E" w:rsidRPr="00637349">
        <w:rPr>
          <w:sz w:val="22"/>
        </w:rPr>
        <w:fldChar w:fldCharType="end"/>
      </w:r>
      <w:r w:rsidRPr="00637349">
        <w:rPr>
          <w:sz w:val="22"/>
        </w:rPr>
        <w:t xml:space="preserve">: </w:t>
      </w:r>
      <w:r w:rsidR="00B13D92">
        <w:rPr>
          <w:sz w:val="22"/>
        </w:rPr>
        <w:t>Ücretli çalışan kadınlar için d</w:t>
      </w:r>
      <w:r>
        <w:rPr>
          <w:sz w:val="22"/>
        </w:rPr>
        <w:t xml:space="preserve">üşük ücretli çalışanların </w:t>
      </w:r>
      <w:r w:rsidRPr="00C44E5A">
        <w:rPr>
          <w:sz w:val="22"/>
        </w:rPr>
        <w:t>oranı ile kayıt dışı</w:t>
      </w:r>
      <w:r w:rsidRPr="00AF35FE">
        <w:rPr>
          <w:sz w:val="22"/>
        </w:rPr>
        <w:t xml:space="preserve"> istihdam</w:t>
      </w:r>
      <w:r w:rsidR="00B13D92">
        <w:rPr>
          <w:sz w:val="22"/>
        </w:rPr>
        <w:t xml:space="preserve"> oranındaki</w:t>
      </w:r>
      <w:r w:rsidRPr="00AF35FE">
        <w:rPr>
          <w:sz w:val="22"/>
        </w:rPr>
        <w:t xml:space="preserve"> değişim ilişkisi 2014-2015</w:t>
      </w:r>
      <w:r w:rsidR="00632FB0">
        <w:rPr>
          <w:sz w:val="22"/>
        </w:rPr>
        <w:t xml:space="preserve"> ve</w:t>
      </w:r>
      <w:r>
        <w:rPr>
          <w:sz w:val="22"/>
        </w:rPr>
        <w:t xml:space="preserve"> 2015-2016</w:t>
      </w:r>
    </w:p>
    <w:p w:rsidR="00810234" w:rsidRPr="00C548BD" w:rsidRDefault="00810234" w:rsidP="00C548BD">
      <w:pPr>
        <w:jc w:val="center"/>
        <w:rPr>
          <w:rFonts w:eastAsiaTheme="minorHAnsi"/>
          <w:b/>
        </w:rPr>
      </w:pPr>
      <w:r w:rsidRPr="00C548BD">
        <w:rPr>
          <w:rFonts w:eastAsiaTheme="minorHAnsi"/>
          <w:b/>
        </w:rPr>
        <w:t xml:space="preserve">Şubat </w:t>
      </w:r>
      <w:r w:rsidRPr="00C548BD">
        <w:rPr>
          <w:rFonts w:eastAsiaTheme="minorHAnsi"/>
          <w:b/>
        </w:rPr>
        <w:tab/>
      </w:r>
      <w:r w:rsidRPr="00C548BD">
        <w:rPr>
          <w:rFonts w:eastAsiaTheme="minorHAnsi"/>
          <w:b/>
        </w:rPr>
        <w:tab/>
      </w:r>
      <w:r w:rsidRPr="00C548BD">
        <w:rPr>
          <w:rFonts w:eastAsiaTheme="minorHAnsi"/>
          <w:b/>
        </w:rPr>
        <w:tab/>
      </w:r>
      <w:r w:rsidRPr="00C548BD">
        <w:rPr>
          <w:rFonts w:eastAsiaTheme="minorHAnsi"/>
          <w:b/>
        </w:rPr>
        <w:tab/>
      </w:r>
      <w:r w:rsidRPr="00C548BD">
        <w:rPr>
          <w:rFonts w:eastAsiaTheme="minorHAnsi"/>
          <w:b/>
        </w:rPr>
        <w:tab/>
      </w:r>
      <w:r w:rsidRPr="00C548BD">
        <w:rPr>
          <w:rFonts w:eastAsiaTheme="minorHAnsi"/>
          <w:b/>
        </w:rPr>
        <w:tab/>
      </w:r>
      <w:r w:rsidRPr="00C548BD">
        <w:rPr>
          <w:rFonts w:eastAsiaTheme="minorHAnsi"/>
          <w:b/>
        </w:rPr>
        <w:tab/>
        <w:t>Mayıs</w:t>
      </w:r>
    </w:p>
    <w:p w:rsidR="00810234" w:rsidRDefault="00AE77EC" w:rsidP="00AE77EC">
      <w:pPr>
        <w:rPr>
          <w:rFonts w:eastAsiaTheme="minorHAnsi"/>
          <w:lang w:eastAsia="en-US"/>
        </w:rPr>
      </w:pPr>
      <w:r w:rsidRPr="00F00B3D">
        <w:rPr>
          <w:rFonts w:eastAsiaTheme="minorHAnsi"/>
          <w:lang w:eastAsia="en-US"/>
        </w:rPr>
        <w:object w:dxaOrig="5940" w:dyaOrig="4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165pt" o:ole="">
            <v:imagedata r:id="rId9" o:title=""/>
          </v:shape>
          <o:OLEObject Type="Embed" ProgID="AcroExch.Document.DC" ShapeID="_x0000_i1025" DrawAspect="Content" ObjectID="_1594799093" r:id="rId10"/>
        </w:object>
      </w:r>
      <w:r w:rsidRPr="00F00B3D">
        <w:rPr>
          <w:rFonts w:eastAsiaTheme="minorHAnsi"/>
          <w:lang w:eastAsia="en-US"/>
        </w:rPr>
        <w:object w:dxaOrig="5940" w:dyaOrig="4321">
          <v:shape id="_x0000_i1026" type="#_x0000_t75" style="width:225.75pt;height:165pt" o:ole="">
            <v:imagedata r:id="rId11" o:title=""/>
          </v:shape>
          <o:OLEObject Type="Embed" ProgID="AcroExch.Document.DC" ShapeID="_x0000_i1026" DrawAspect="Content" ObjectID="_1594799094" r:id="rId12"/>
        </w:object>
      </w:r>
    </w:p>
    <w:p w:rsidR="00810234" w:rsidRPr="00C548BD" w:rsidRDefault="00810234" w:rsidP="00C548BD">
      <w:pPr>
        <w:tabs>
          <w:tab w:val="left" w:pos="5023"/>
        </w:tabs>
        <w:jc w:val="center"/>
        <w:rPr>
          <w:b/>
          <w:szCs w:val="22"/>
          <w:lang w:eastAsia="tr-TR"/>
        </w:rPr>
      </w:pPr>
      <w:r w:rsidRPr="00C548BD">
        <w:rPr>
          <w:b/>
          <w:szCs w:val="22"/>
          <w:lang w:eastAsia="tr-TR"/>
        </w:rPr>
        <w:t xml:space="preserve">Ağustos </w:t>
      </w:r>
      <w:r w:rsidRPr="00C548BD">
        <w:rPr>
          <w:b/>
          <w:szCs w:val="22"/>
          <w:lang w:eastAsia="tr-TR"/>
        </w:rPr>
        <w:tab/>
        <w:t>Kasım</w:t>
      </w:r>
    </w:p>
    <w:p w:rsidR="00AE77EC" w:rsidRDefault="00AE77EC" w:rsidP="00AE77EC">
      <w:pPr>
        <w:rPr>
          <w:rFonts w:eastAsiaTheme="minorHAnsi"/>
          <w:lang w:eastAsia="en-US"/>
        </w:rPr>
      </w:pPr>
      <w:r w:rsidRPr="00F00B3D">
        <w:rPr>
          <w:szCs w:val="22"/>
          <w:lang w:eastAsia="tr-TR"/>
        </w:rPr>
        <w:object w:dxaOrig="5940" w:dyaOrig="4321">
          <v:shape id="_x0000_i1027" type="#_x0000_t75" style="width:225.75pt;height:165.75pt" o:ole="">
            <v:imagedata r:id="rId13" o:title=""/>
          </v:shape>
          <o:OLEObject Type="Embed" ProgID="AcroExch.Document.DC" ShapeID="_x0000_i1027" DrawAspect="Content" ObjectID="_1594799095" r:id="rId14"/>
        </w:object>
      </w:r>
      <w:r w:rsidRPr="00F00B3D">
        <w:rPr>
          <w:rFonts w:eastAsiaTheme="minorHAnsi"/>
          <w:lang w:eastAsia="en-US"/>
        </w:rPr>
        <w:object w:dxaOrig="5940" w:dyaOrig="4321">
          <v:shape id="_x0000_i1028" type="#_x0000_t75" style="width:228pt;height:165.75pt" o:ole="">
            <v:imagedata r:id="rId15" o:title=""/>
          </v:shape>
          <o:OLEObject Type="Embed" ProgID="AcroExch.Document.DC" ShapeID="_x0000_i1028" DrawAspect="Content" ObjectID="_1594799096" r:id="rId16"/>
        </w:object>
      </w:r>
    </w:p>
    <w:p w:rsidR="00AE77EC" w:rsidRPr="00E70CEB" w:rsidRDefault="00AE77EC" w:rsidP="00AE77EC">
      <w:pPr>
        <w:suppressAutoHyphens w:val="0"/>
        <w:autoSpaceDE w:val="0"/>
        <w:autoSpaceDN w:val="0"/>
        <w:adjustRightInd w:val="0"/>
        <w:spacing w:after="0" w:line="240" w:lineRule="auto"/>
        <w:rPr>
          <w:sz w:val="20"/>
          <w:szCs w:val="20"/>
          <w:lang w:eastAsia="tr-TR"/>
        </w:rPr>
      </w:pPr>
      <w:r w:rsidRPr="00E70CEB">
        <w:rPr>
          <w:b/>
          <w:sz w:val="20"/>
          <w:szCs w:val="20"/>
          <w:lang w:eastAsia="tr-TR"/>
        </w:rPr>
        <w:t>Kaynak</w:t>
      </w:r>
      <w:r w:rsidRPr="00E70CEB">
        <w:rPr>
          <w:sz w:val="20"/>
          <w:szCs w:val="20"/>
          <w:lang w:eastAsia="tr-TR"/>
        </w:rPr>
        <w:t xml:space="preserve">: </w:t>
      </w:r>
      <w:r w:rsidR="001F4621">
        <w:rPr>
          <w:sz w:val="20"/>
          <w:szCs w:val="20"/>
          <w:lang w:eastAsia="tr-TR"/>
        </w:rPr>
        <w:t xml:space="preserve">Çeyreklik </w:t>
      </w:r>
      <w:r w:rsidRPr="00E70CEB">
        <w:rPr>
          <w:sz w:val="20"/>
          <w:szCs w:val="20"/>
          <w:lang w:eastAsia="tr-TR"/>
        </w:rPr>
        <w:t xml:space="preserve">HİA </w:t>
      </w:r>
      <w:r>
        <w:rPr>
          <w:sz w:val="20"/>
          <w:szCs w:val="20"/>
          <w:lang w:eastAsia="tr-TR"/>
        </w:rPr>
        <w:t>2014, 2015, 2016</w:t>
      </w:r>
      <w:r w:rsidRPr="00E70CEB">
        <w:rPr>
          <w:sz w:val="20"/>
          <w:szCs w:val="20"/>
          <w:lang w:eastAsia="tr-TR"/>
        </w:rPr>
        <w:t xml:space="preserve"> mikro </w:t>
      </w:r>
      <w:r w:rsidRPr="008A2DAF">
        <w:rPr>
          <w:sz w:val="20"/>
          <w:szCs w:val="20"/>
          <w:lang w:eastAsia="tr-TR"/>
        </w:rPr>
        <w:t>veri</w:t>
      </w:r>
      <w:r>
        <w:rPr>
          <w:sz w:val="20"/>
          <w:szCs w:val="20"/>
          <w:lang w:eastAsia="tr-TR"/>
        </w:rPr>
        <w:t xml:space="preserve">. </w:t>
      </w:r>
      <w:r w:rsidRPr="008A2DAF">
        <w:rPr>
          <w:b/>
          <w:sz w:val="20"/>
          <w:szCs w:val="20"/>
          <w:lang w:eastAsia="tr-TR"/>
        </w:rPr>
        <w:t>Not</w:t>
      </w:r>
      <w:r w:rsidR="00BD7706">
        <w:rPr>
          <w:b/>
          <w:sz w:val="20"/>
          <w:szCs w:val="20"/>
          <w:lang w:eastAsia="tr-TR"/>
        </w:rPr>
        <w:t xml:space="preserve"> 1</w:t>
      </w:r>
      <w:r>
        <w:rPr>
          <w:b/>
          <w:sz w:val="20"/>
          <w:szCs w:val="20"/>
          <w:lang w:eastAsia="tr-TR"/>
        </w:rPr>
        <w:t xml:space="preserve">: </w:t>
      </w:r>
      <w:r w:rsidRPr="006B1E03">
        <w:rPr>
          <w:sz w:val="20"/>
          <w:szCs w:val="20"/>
          <w:lang w:eastAsia="tr-TR"/>
        </w:rPr>
        <w:t>Üst paneldeki iki grafik soldan sağa birinci ve ikinci çeyrek, alt paneldeki grafikler ise yine soldan sağa üçüncü ve dördüncü çeyre</w:t>
      </w:r>
      <w:r>
        <w:rPr>
          <w:sz w:val="20"/>
          <w:szCs w:val="20"/>
          <w:lang w:eastAsia="tr-TR"/>
        </w:rPr>
        <w:t xml:space="preserve">kteki değişimleri göstermektedirler. </w:t>
      </w:r>
      <w:r w:rsidR="00BD7706" w:rsidRPr="00BD7706">
        <w:rPr>
          <w:b/>
          <w:sz w:val="20"/>
          <w:szCs w:val="20"/>
          <w:lang w:eastAsia="tr-TR"/>
        </w:rPr>
        <w:t>Not 2:</w:t>
      </w:r>
      <w:r w:rsidR="00BD7706">
        <w:rPr>
          <w:sz w:val="20"/>
          <w:szCs w:val="20"/>
          <w:lang w:eastAsia="tr-TR"/>
        </w:rPr>
        <w:t xml:space="preserve"> Y</w:t>
      </w:r>
      <w:r w:rsidR="00BD7706" w:rsidRPr="00BD7706">
        <w:rPr>
          <w:sz w:val="20"/>
          <w:szCs w:val="20"/>
          <w:lang w:eastAsia="tr-TR"/>
        </w:rPr>
        <w:t>atay eksen her bir sektördeki dönem başı (2014-2015 dönemi için 2014 yılı, 2015-2016 dönemi için ise 2015 yılı) düşük ücretli çalışan yoğunluğunu</w:t>
      </w:r>
      <w:r w:rsidR="00BD7706">
        <w:rPr>
          <w:sz w:val="20"/>
          <w:szCs w:val="20"/>
          <w:lang w:eastAsia="tr-TR"/>
        </w:rPr>
        <w:t xml:space="preserve"> göstermektedir</w:t>
      </w:r>
      <w:r w:rsidR="00BD7706" w:rsidRPr="00BD7706">
        <w:rPr>
          <w:sz w:val="20"/>
          <w:szCs w:val="20"/>
          <w:lang w:eastAsia="tr-TR"/>
        </w:rPr>
        <w:t>. Dikey eksen ise 2014-2015 ve 2015-2016 dönemlerinde kayıt dışı istihdam oranlarındaki değişimleri ifade e</w:t>
      </w:r>
      <w:r w:rsidR="00BD7706">
        <w:rPr>
          <w:sz w:val="20"/>
          <w:szCs w:val="20"/>
          <w:lang w:eastAsia="tr-TR"/>
        </w:rPr>
        <w:t>tmektedir.</w:t>
      </w:r>
    </w:p>
    <w:p w:rsidR="00AE77EC" w:rsidRDefault="00AE77EC" w:rsidP="00AE77EC">
      <w:pPr>
        <w:rPr>
          <w:szCs w:val="22"/>
          <w:lang w:eastAsia="tr-TR"/>
        </w:rPr>
      </w:pPr>
    </w:p>
    <w:p w:rsidR="008720A9" w:rsidRDefault="008720A9" w:rsidP="008720A9">
      <w:pPr>
        <w:rPr>
          <w:rFonts w:eastAsiaTheme="minorHAnsi"/>
          <w:lang w:eastAsia="en-US"/>
        </w:rPr>
      </w:pPr>
      <w:r>
        <w:rPr>
          <w:szCs w:val="22"/>
          <w:lang w:eastAsia="tr-TR"/>
        </w:rPr>
        <w:t xml:space="preserve">Her sektörde </w:t>
      </w:r>
      <w:r w:rsidRPr="00131E7B">
        <w:rPr>
          <w:b/>
          <w:szCs w:val="22"/>
          <w:lang w:eastAsia="tr-TR"/>
        </w:rPr>
        <w:t>“asgari ücret artışının sektörü etkileme gücü”</w:t>
      </w:r>
      <w:r w:rsidRPr="00033DA7">
        <w:rPr>
          <w:szCs w:val="22"/>
          <w:lang w:eastAsia="tr-TR"/>
        </w:rPr>
        <w:t xml:space="preserve"> olarak </w:t>
      </w:r>
      <w:r>
        <w:rPr>
          <w:szCs w:val="22"/>
          <w:lang w:eastAsia="tr-TR"/>
        </w:rPr>
        <w:t xml:space="preserve">değerlendirdiğimiz düşük ücretli çalışan oranındaki değişimin kayıt dışı istihdama etkisi </w:t>
      </w:r>
      <w:r w:rsidRPr="002173A8">
        <w:rPr>
          <w:szCs w:val="22"/>
          <w:lang w:eastAsia="tr-TR"/>
        </w:rPr>
        <w:t xml:space="preserve">çeyreklik </w:t>
      </w:r>
      <w:r>
        <w:rPr>
          <w:szCs w:val="22"/>
          <w:lang w:eastAsia="tr-TR"/>
        </w:rPr>
        <w:t xml:space="preserve">HİA </w:t>
      </w:r>
      <w:r w:rsidRPr="002173A8">
        <w:rPr>
          <w:szCs w:val="22"/>
          <w:lang w:eastAsia="tr-TR"/>
        </w:rPr>
        <w:t>veriler</w:t>
      </w:r>
      <w:r>
        <w:rPr>
          <w:szCs w:val="22"/>
          <w:lang w:eastAsia="tr-TR"/>
        </w:rPr>
        <w:t>ini kullan</w:t>
      </w:r>
      <w:r w:rsidRPr="002173A8">
        <w:rPr>
          <w:szCs w:val="22"/>
          <w:lang w:eastAsia="tr-TR"/>
        </w:rPr>
        <w:t>arak kadın-erkek ayrımında incel</w:t>
      </w:r>
      <w:r>
        <w:rPr>
          <w:szCs w:val="22"/>
          <w:lang w:eastAsia="tr-TR"/>
        </w:rPr>
        <w:t>eniyor</w:t>
      </w:r>
      <w:r w:rsidRPr="002173A8">
        <w:rPr>
          <w:szCs w:val="22"/>
          <w:lang w:eastAsia="tr-TR"/>
        </w:rPr>
        <w:t xml:space="preserve">. </w:t>
      </w:r>
      <w:r w:rsidRPr="002173A8">
        <w:rPr>
          <w:rFonts w:eastAsiaTheme="minorHAnsi"/>
          <w:lang w:eastAsia="en-US"/>
        </w:rPr>
        <w:t xml:space="preserve">Şekil 1 ve </w:t>
      </w:r>
      <w:r>
        <w:rPr>
          <w:rFonts w:eastAsiaTheme="minorHAnsi"/>
          <w:lang w:eastAsia="en-US"/>
        </w:rPr>
        <w:t xml:space="preserve">Şekil </w:t>
      </w:r>
      <w:r w:rsidRPr="002173A8">
        <w:rPr>
          <w:rFonts w:eastAsiaTheme="minorHAnsi"/>
          <w:lang w:eastAsia="en-US"/>
        </w:rPr>
        <w:t>2</w:t>
      </w:r>
      <w:r>
        <w:rPr>
          <w:rFonts w:eastAsiaTheme="minorHAnsi"/>
          <w:lang w:eastAsia="en-US"/>
        </w:rPr>
        <w:t>,</w:t>
      </w:r>
      <w:r w:rsidRPr="002173A8">
        <w:rPr>
          <w:rFonts w:eastAsiaTheme="minorHAnsi"/>
          <w:lang w:eastAsia="en-US"/>
        </w:rPr>
        <w:t xml:space="preserve"> 2014-2015 ve 2015-2016 dönemlerinde 18 sektör için kayıt dışı istihdam</w:t>
      </w:r>
      <w:r>
        <w:rPr>
          <w:rFonts w:eastAsiaTheme="minorHAnsi"/>
          <w:lang w:eastAsia="en-US"/>
        </w:rPr>
        <w:t xml:space="preserve"> oranındaki değişimi her sektörün dönem başı </w:t>
      </w:r>
      <w:r w:rsidRPr="002173A8">
        <w:rPr>
          <w:rFonts w:eastAsiaTheme="minorHAnsi"/>
          <w:lang w:eastAsia="en-US"/>
        </w:rPr>
        <w:lastRenderedPageBreak/>
        <w:t>düşük ücretli çalışan yoğunluğu</w:t>
      </w:r>
      <w:r>
        <w:rPr>
          <w:rFonts w:eastAsiaTheme="minorHAnsi"/>
          <w:lang w:eastAsia="en-US"/>
        </w:rPr>
        <w:t xml:space="preserve"> ile ilişkilendirerek sunuyor.</w:t>
      </w:r>
      <w:r>
        <w:rPr>
          <w:rStyle w:val="FootnoteReference"/>
          <w:rFonts w:eastAsiaTheme="minorHAnsi"/>
          <w:lang w:eastAsia="en-US"/>
        </w:rPr>
        <w:footnoteReference w:id="3"/>
      </w:r>
      <w:r>
        <w:rPr>
          <w:rFonts w:eastAsiaTheme="minorHAnsi"/>
          <w:lang w:eastAsia="en-US"/>
        </w:rPr>
        <w:t xml:space="preserve"> Bu grafiklerde yatay eksen her bir sektördeki dönem başı (2014-2015 dönemi için 2014 yılı, 2015-2016 dönemi için ise 2015 yılı) düşük ücretli çalışan yoğunluğunu gösteriyor. Dikey eksen ise 2014-2015 ve 2015-2016 dönemlerinde kayıt dışı istihdam oranlarındaki değişimleri ifade </w:t>
      </w:r>
      <w:r w:rsidRPr="00B06C2F">
        <w:rPr>
          <w:rFonts w:eastAsiaTheme="minorHAnsi"/>
          <w:lang w:eastAsia="en-US"/>
        </w:rPr>
        <w:t>e</w:t>
      </w:r>
      <w:r>
        <w:rPr>
          <w:rFonts w:eastAsiaTheme="minorHAnsi"/>
          <w:lang w:eastAsia="en-US"/>
        </w:rPr>
        <w:t>diyor</w:t>
      </w:r>
      <w:r w:rsidRPr="00B06C2F">
        <w:rPr>
          <w:rFonts w:eastAsiaTheme="minorHAnsi"/>
          <w:lang w:eastAsia="en-US"/>
        </w:rPr>
        <w:t xml:space="preserve">. </w:t>
      </w:r>
    </w:p>
    <w:p w:rsidR="00AE77EC" w:rsidRDefault="00AE77EC" w:rsidP="00AE77EC">
      <w:pPr>
        <w:pStyle w:val="Caption"/>
        <w:rPr>
          <w:sz w:val="22"/>
        </w:rPr>
      </w:pPr>
      <w:r w:rsidRPr="00637349">
        <w:rPr>
          <w:sz w:val="22"/>
        </w:rPr>
        <w:t xml:space="preserve">Şekil </w:t>
      </w:r>
      <w:r w:rsidR="002D026E" w:rsidRPr="00637349">
        <w:rPr>
          <w:sz w:val="22"/>
        </w:rPr>
        <w:fldChar w:fldCharType="begin"/>
      </w:r>
      <w:r w:rsidRPr="00637349">
        <w:rPr>
          <w:sz w:val="22"/>
        </w:rPr>
        <w:instrText xml:space="preserve"> SEQ Şekil \* ARABIC </w:instrText>
      </w:r>
      <w:r w:rsidR="002D026E" w:rsidRPr="00637349">
        <w:rPr>
          <w:sz w:val="22"/>
        </w:rPr>
        <w:fldChar w:fldCharType="separate"/>
      </w:r>
      <w:r w:rsidRPr="00637349">
        <w:rPr>
          <w:sz w:val="22"/>
        </w:rPr>
        <w:t>2</w:t>
      </w:r>
      <w:r w:rsidR="002D026E" w:rsidRPr="00637349">
        <w:rPr>
          <w:sz w:val="22"/>
        </w:rPr>
        <w:fldChar w:fldCharType="end"/>
      </w:r>
      <w:r>
        <w:rPr>
          <w:sz w:val="22"/>
        </w:rPr>
        <w:t>:</w:t>
      </w:r>
      <w:r w:rsidR="00B13D92" w:rsidRPr="00B13D92">
        <w:rPr>
          <w:sz w:val="22"/>
        </w:rPr>
        <w:t xml:space="preserve"> </w:t>
      </w:r>
      <w:r w:rsidR="00B13D92">
        <w:rPr>
          <w:sz w:val="22"/>
        </w:rPr>
        <w:t xml:space="preserve">Ücretli çalışan erkekler için düşük ücretli çalışanların </w:t>
      </w:r>
      <w:r w:rsidR="00B13D92" w:rsidRPr="00C44E5A">
        <w:rPr>
          <w:sz w:val="22"/>
        </w:rPr>
        <w:t>oranı ile kayıt dışı</w:t>
      </w:r>
      <w:r w:rsidR="00B13D92" w:rsidRPr="00AF35FE">
        <w:rPr>
          <w:sz w:val="22"/>
        </w:rPr>
        <w:t xml:space="preserve"> istihdam</w:t>
      </w:r>
      <w:r w:rsidR="00B13D92">
        <w:rPr>
          <w:sz w:val="22"/>
        </w:rPr>
        <w:t xml:space="preserve"> oranındaki</w:t>
      </w:r>
      <w:r w:rsidR="00B13D92" w:rsidRPr="00AF35FE">
        <w:rPr>
          <w:sz w:val="22"/>
        </w:rPr>
        <w:t xml:space="preserve"> değişim ilişkisi 2014-2015</w:t>
      </w:r>
      <w:r w:rsidR="00B13D92">
        <w:rPr>
          <w:sz w:val="22"/>
        </w:rPr>
        <w:t xml:space="preserve"> ve 2015-2016</w:t>
      </w:r>
    </w:p>
    <w:p w:rsidR="00C548BD" w:rsidRPr="00C548BD" w:rsidRDefault="00C548BD" w:rsidP="00C548BD">
      <w:pPr>
        <w:jc w:val="center"/>
        <w:rPr>
          <w:rFonts w:eastAsiaTheme="minorHAnsi"/>
          <w:b/>
        </w:rPr>
      </w:pPr>
      <w:r w:rsidRPr="00C548BD">
        <w:rPr>
          <w:rFonts w:eastAsiaTheme="minorHAnsi"/>
          <w:b/>
        </w:rPr>
        <w:t>Şubat</w:t>
      </w:r>
      <w:r w:rsidRPr="00C548BD">
        <w:rPr>
          <w:rFonts w:eastAsiaTheme="minorHAnsi"/>
          <w:b/>
        </w:rPr>
        <w:tab/>
      </w:r>
      <w:r w:rsidRPr="00C548BD">
        <w:rPr>
          <w:rFonts w:eastAsiaTheme="minorHAnsi"/>
          <w:b/>
        </w:rPr>
        <w:tab/>
      </w:r>
      <w:r w:rsidRPr="00C548BD">
        <w:rPr>
          <w:rFonts w:eastAsiaTheme="minorHAnsi"/>
          <w:b/>
        </w:rPr>
        <w:tab/>
      </w:r>
      <w:r w:rsidRPr="00C548BD">
        <w:rPr>
          <w:rFonts w:eastAsiaTheme="minorHAnsi"/>
          <w:b/>
        </w:rPr>
        <w:tab/>
      </w:r>
      <w:r w:rsidRPr="00C548BD">
        <w:rPr>
          <w:rFonts w:eastAsiaTheme="minorHAnsi"/>
          <w:b/>
        </w:rPr>
        <w:tab/>
      </w:r>
      <w:r w:rsidRPr="00C548BD">
        <w:rPr>
          <w:rFonts w:eastAsiaTheme="minorHAnsi"/>
          <w:b/>
        </w:rPr>
        <w:tab/>
      </w:r>
      <w:r w:rsidRPr="00C548BD">
        <w:rPr>
          <w:rFonts w:eastAsiaTheme="minorHAnsi"/>
          <w:b/>
        </w:rPr>
        <w:tab/>
        <w:t>Mayıs</w:t>
      </w:r>
    </w:p>
    <w:p w:rsidR="00C548BD" w:rsidRDefault="00AE77EC" w:rsidP="00AE77EC">
      <w:pPr>
        <w:rPr>
          <w:rFonts w:eastAsiaTheme="minorHAnsi"/>
          <w:lang w:eastAsia="en-US"/>
        </w:rPr>
      </w:pPr>
      <w:r w:rsidRPr="00F00B3D">
        <w:rPr>
          <w:rFonts w:eastAsiaTheme="minorHAnsi"/>
          <w:lang w:eastAsia="en-US"/>
        </w:rPr>
        <w:object w:dxaOrig="5940" w:dyaOrig="4321">
          <v:shape id="_x0000_i1029" type="#_x0000_t75" style="width:227.25pt;height:165.75pt" o:ole="">
            <v:imagedata r:id="rId17" o:title=""/>
          </v:shape>
          <o:OLEObject Type="Embed" ProgID="AcroExch.Document.DC" ShapeID="_x0000_i1029" DrawAspect="Content" ObjectID="_1594799097" r:id="rId18"/>
        </w:object>
      </w:r>
      <w:r w:rsidRPr="00F00B3D">
        <w:rPr>
          <w:rFonts w:eastAsiaTheme="minorHAnsi"/>
          <w:lang w:eastAsia="en-US"/>
        </w:rPr>
        <w:object w:dxaOrig="5940" w:dyaOrig="4321">
          <v:shape id="_x0000_i1030" type="#_x0000_t75" style="width:213pt;height:165.75pt" o:ole="">
            <v:imagedata r:id="rId19" o:title=""/>
          </v:shape>
          <o:OLEObject Type="Embed" ProgID="AcroExch.Document.DC" ShapeID="_x0000_i1030" DrawAspect="Content" ObjectID="_1594799098" r:id="rId20"/>
        </w:object>
      </w:r>
    </w:p>
    <w:p w:rsidR="00C548BD" w:rsidRPr="00C548BD" w:rsidRDefault="00C548BD" w:rsidP="00C548BD">
      <w:pPr>
        <w:jc w:val="center"/>
        <w:rPr>
          <w:rFonts w:eastAsiaTheme="minorHAnsi"/>
          <w:b/>
          <w:lang w:eastAsia="en-US"/>
        </w:rPr>
      </w:pPr>
      <w:r>
        <w:rPr>
          <w:rFonts w:eastAsiaTheme="minorHAnsi"/>
          <w:b/>
          <w:lang w:eastAsia="en-US"/>
        </w:rPr>
        <w:t>Ağustos</w:t>
      </w:r>
      <w:r w:rsidRPr="00C548BD">
        <w:rPr>
          <w:rFonts w:eastAsiaTheme="minorHAnsi"/>
          <w:b/>
          <w:lang w:eastAsia="en-US"/>
        </w:rPr>
        <w:tab/>
      </w:r>
      <w:r w:rsidRPr="00C548BD">
        <w:rPr>
          <w:rFonts w:eastAsiaTheme="minorHAnsi"/>
          <w:b/>
          <w:lang w:eastAsia="en-US"/>
        </w:rPr>
        <w:tab/>
      </w:r>
      <w:r w:rsidRPr="00C548BD">
        <w:rPr>
          <w:rFonts w:eastAsiaTheme="minorHAnsi"/>
          <w:b/>
          <w:lang w:eastAsia="en-US"/>
        </w:rPr>
        <w:tab/>
      </w:r>
      <w:r w:rsidRPr="00C548BD">
        <w:rPr>
          <w:rFonts w:eastAsiaTheme="minorHAnsi"/>
          <w:b/>
          <w:lang w:eastAsia="en-US"/>
        </w:rPr>
        <w:tab/>
      </w:r>
      <w:r w:rsidRPr="00C548BD">
        <w:rPr>
          <w:rFonts w:eastAsiaTheme="minorHAnsi"/>
          <w:b/>
          <w:lang w:eastAsia="en-US"/>
        </w:rPr>
        <w:tab/>
      </w:r>
      <w:r w:rsidRPr="00C548BD">
        <w:rPr>
          <w:rFonts w:eastAsiaTheme="minorHAnsi"/>
          <w:b/>
          <w:lang w:eastAsia="en-US"/>
        </w:rPr>
        <w:tab/>
        <w:t>Kasım</w:t>
      </w:r>
    </w:p>
    <w:p w:rsidR="00AE77EC" w:rsidRDefault="00AE77EC" w:rsidP="00AE77EC">
      <w:pPr>
        <w:rPr>
          <w:rFonts w:eastAsiaTheme="minorHAnsi"/>
          <w:lang w:eastAsia="en-US"/>
        </w:rPr>
      </w:pPr>
      <w:r w:rsidRPr="00F00B3D">
        <w:rPr>
          <w:rFonts w:eastAsiaTheme="minorHAnsi"/>
          <w:lang w:eastAsia="en-US"/>
        </w:rPr>
        <w:object w:dxaOrig="5940" w:dyaOrig="4321">
          <v:shape id="_x0000_i1031" type="#_x0000_t75" style="width:228pt;height:165.75pt" o:ole="">
            <v:imagedata r:id="rId21" o:title=""/>
          </v:shape>
          <o:OLEObject Type="Embed" ProgID="AcroExch.Document.DC" ShapeID="_x0000_i1031" DrawAspect="Content" ObjectID="_1594799099" r:id="rId22"/>
        </w:object>
      </w:r>
      <w:r w:rsidRPr="00F00B3D">
        <w:rPr>
          <w:rFonts w:eastAsiaTheme="minorHAnsi"/>
          <w:lang w:eastAsia="en-US"/>
        </w:rPr>
        <w:object w:dxaOrig="5940" w:dyaOrig="4321">
          <v:shape id="_x0000_i1032" type="#_x0000_t75" style="width:210.75pt;height:165.75pt" o:ole="">
            <v:imagedata r:id="rId23" o:title=""/>
          </v:shape>
          <o:OLEObject Type="Embed" ProgID="AcroExch.Document.DC" ShapeID="_x0000_i1032" DrawAspect="Content" ObjectID="_1594799100" r:id="rId24"/>
        </w:object>
      </w:r>
    </w:p>
    <w:p w:rsidR="00AE77EC" w:rsidRDefault="00AE77EC" w:rsidP="00AE77EC">
      <w:pPr>
        <w:suppressAutoHyphens w:val="0"/>
        <w:autoSpaceDE w:val="0"/>
        <w:autoSpaceDN w:val="0"/>
        <w:adjustRightInd w:val="0"/>
        <w:spacing w:after="0" w:line="240" w:lineRule="auto"/>
        <w:rPr>
          <w:sz w:val="20"/>
          <w:szCs w:val="20"/>
          <w:lang w:eastAsia="tr-TR"/>
        </w:rPr>
      </w:pPr>
      <w:r w:rsidRPr="00E70CEB">
        <w:rPr>
          <w:b/>
          <w:sz w:val="20"/>
          <w:szCs w:val="20"/>
          <w:lang w:eastAsia="tr-TR"/>
        </w:rPr>
        <w:t>Kaynak</w:t>
      </w:r>
      <w:r w:rsidRPr="00E70CEB">
        <w:rPr>
          <w:sz w:val="20"/>
          <w:szCs w:val="20"/>
          <w:lang w:eastAsia="tr-TR"/>
        </w:rPr>
        <w:t xml:space="preserve">: </w:t>
      </w:r>
      <w:r w:rsidR="001F4621">
        <w:rPr>
          <w:sz w:val="20"/>
          <w:szCs w:val="20"/>
          <w:lang w:eastAsia="tr-TR"/>
        </w:rPr>
        <w:t xml:space="preserve">Çeyreklik </w:t>
      </w:r>
      <w:r w:rsidRPr="00E70CEB">
        <w:rPr>
          <w:sz w:val="20"/>
          <w:szCs w:val="20"/>
          <w:lang w:eastAsia="tr-TR"/>
        </w:rPr>
        <w:t xml:space="preserve">HİA </w:t>
      </w:r>
      <w:r>
        <w:rPr>
          <w:sz w:val="20"/>
          <w:szCs w:val="20"/>
          <w:lang w:eastAsia="tr-TR"/>
        </w:rPr>
        <w:t>2014, 2015, 2016</w:t>
      </w:r>
      <w:r w:rsidRPr="00E70CEB">
        <w:rPr>
          <w:sz w:val="20"/>
          <w:szCs w:val="20"/>
          <w:lang w:eastAsia="tr-TR"/>
        </w:rPr>
        <w:t xml:space="preserve"> mikro </w:t>
      </w:r>
      <w:r w:rsidRPr="008A2DAF">
        <w:rPr>
          <w:sz w:val="20"/>
          <w:szCs w:val="20"/>
          <w:lang w:eastAsia="tr-TR"/>
        </w:rPr>
        <w:t>veri</w:t>
      </w:r>
      <w:r>
        <w:rPr>
          <w:sz w:val="20"/>
          <w:szCs w:val="20"/>
          <w:lang w:eastAsia="tr-TR"/>
        </w:rPr>
        <w:t xml:space="preserve">. </w:t>
      </w:r>
      <w:r w:rsidRPr="008A2DAF">
        <w:rPr>
          <w:b/>
          <w:sz w:val="20"/>
          <w:szCs w:val="20"/>
          <w:lang w:eastAsia="tr-TR"/>
        </w:rPr>
        <w:t>Not</w:t>
      </w:r>
      <w:r w:rsidR="00BD7706">
        <w:rPr>
          <w:b/>
          <w:sz w:val="20"/>
          <w:szCs w:val="20"/>
          <w:lang w:eastAsia="tr-TR"/>
        </w:rPr>
        <w:t xml:space="preserve"> 1</w:t>
      </w:r>
      <w:r>
        <w:rPr>
          <w:b/>
          <w:sz w:val="20"/>
          <w:szCs w:val="20"/>
          <w:lang w:eastAsia="tr-TR"/>
        </w:rPr>
        <w:t xml:space="preserve">: </w:t>
      </w:r>
      <w:r w:rsidRPr="006B1E03">
        <w:rPr>
          <w:sz w:val="20"/>
          <w:szCs w:val="20"/>
          <w:lang w:eastAsia="tr-TR"/>
        </w:rPr>
        <w:t>Üst paneldeki iki grafik soldan sağa birinci ve ikinci çeyrek, alt paneldeki grafikler ise yine soldan sağa üçüncü ve dördüncü çeyre</w:t>
      </w:r>
      <w:r>
        <w:rPr>
          <w:sz w:val="20"/>
          <w:szCs w:val="20"/>
          <w:lang w:eastAsia="tr-TR"/>
        </w:rPr>
        <w:t xml:space="preserve">kteki değişimleri göstermektedirler. </w:t>
      </w:r>
      <w:r w:rsidR="00BD7706" w:rsidRPr="00BD7706">
        <w:rPr>
          <w:b/>
          <w:sz w:val="20"/>
          <w:szCs w:val="20"/>
          <w:lang w:eastAsia="tr-TR"/>
        </w:rPr>
        <w:t>Not 2:</w:t>
      </w:r>
      <w:r w:rsidR="00BD7706">
        <w:rPr>
          <w:sz w:val="20"/>
          <w:szCs w:val="20"/>
          <w:lang w:eastAsia="tr-TR"/>
        </w:rPr>
        <w:t xml:space="preserve"> Y</w:t>
      </w:r>
      <w:r w:rsidR="00BD7706" w:rsidRPr="00BD7706">
        <w:rPr>
          <w:sz w:val="20"/>
          <w:szCs w:val="20"/>
          <w:lang w:eastAsia="tr-TR"/>
        </w:rPr>
        <w:t xml:space="preserve">atay eksen her bir sektördeki dönem başı (2014-2015 dönemi için 2014 yılı, </w:t>
      </w:r>
      <w:r w:rsidR="00BD7706" w:rsidRPr="00BD7706">
        <w:rPr>
          <w:sz w:val="20"/>
          <w:szCs w:val="20"/>
          <w:lang w:eastAsia="tr-TR"/>
        </w:rPr>
        <w:lastRenderedPageBreak/>
        <w:t>2015-2016 dönemi için ise 2015 yılı) düşük ücretli çalışan yoğunluğunu</w:t>
      </w:r>
      <w:r w:rsidR="00BD7706">
        <w:rPr>
          <w:sz w:val="20"/>
          <w:szCs w:val="20"/>
          <w:lang w:eastAsia="tr-TR"/>
        </w:rPr>
        <w:t xml:space="preserve"> göstermektedir</w:t>
      </w:r>
      <w:r w:rsidR="00BD7706" w:rsidRPr="00BD7706">
        <w:rPr>
          <w:sz w:val="20"/>
          <w:szCs w:val="20"/>
          <w:lang w:eastAsia="tr-TR"/>
        </w:rPr>
        <w:t>. Dikey eksen ise 2014-2015 ve 2015-2016 dönemlerinde kayıt dışı istihdam oranlarındaki değişimleri ifade e</w:t>
      </w:r>
      <w:r w:rsidR="00BD7706">
        <w:rPr>
          <w:sz w:val="20"/>
          <w:szCs w:val="20"/>
          <w:lang w:eastAsia="tr-TR"/>
        </w:rPr>
        <w:t>tmektedir.</w:t>
      </w:r>
    </w:p>
    <w:p w:rsidR="008720A9" w:rsidRDefault="008720A9" w:rsidP="00AE77EC">
      <w:pPr>
        <w:suppressAutoHyphens w:val="0"/>
        <w:autoSpaceDE w:val="0"/>
        <w:autoSpaceDN w:val="0"/>
        <w:adjustRightInd w:val="0"/>
        <w:spacing w:after="0" w:line="240" w:lineRule="auto"/>
        <w:rPr>
          <w:sz w:val="20"/>
          <w:szCs w:val="20"/>
          <w:lang w:eastAsia="tr-TR"/>
        </w:rPr>
      </w:pPr>
    </w:p>
    <w:p w:rsidR="008720A9" w:rsidRPr="00DA7428" w:rsidRDefault="008720A9" w:rsidP="008720A9">
      <w:pPr>
        <w:rPr>
          <w:rFonts w:eastAsiaTheme="minorHAnsi"/>
          <w:strike/>
          <w:lang w:eastAsia="en-US"/>
        </w:rPr>
      </w:pPr>
      <w:r w:rsidRPr="00B06C2F">
        <w:rPr>
          <w:rFonts w:eastAsiaTheme="minorHAnsi"/>
          <w:lang w:eastAsia="en-US"/>
        </w:rPr>
        <w:t xml:space="preserve">Şekil </w:t>
      </w:r>
      <w:r>
        <w:rPr>
          <w:rFonts w:eastAsiaTheme="minorHAnsi"/>
          <w:lang w:eastAsia="en-US"/>
        </w:rPr>
        <w:t>1</w:t>
      </w:r>
      <w:r w:rsidRPr="00B06C2F">
        <w:rPr>
          <w:rFonts w:eastAsiaTheme="minorHAnsi"/>
          <w:lang w:eastAsia="en-US"/>
        </w:rPr>
        <w:t>’de görüldüğü üzere</w:t>
      </w:r>
      <w:r>
        <w:rPr>
          <w:rFonts w:eastAsiaTheme="minorHAnsi"/>
          <w:lang w:eastAsia="en-US"/>
        </w:rPr>
        <w:t xml:space="preserve"> bir sektörde düşük ücretle çalışan kadın sayısı arttıkça hem 2014-2015 hem de 2015-2016 dönemlerinde kayıt dışı çalışma oranında bir azalma olduğunu görüyoruz. Bu durumun tek istisnası, 2015-2016 dönemi ikinci çeyreğidir. Bu çeyrekte kayıt dışı istihdam değişimi ile düşük ücret yoğunluğu arasında bir ilişki olmadığı gözlemlenmektedir. Şekil 1'den hareketle Ocak 2016’da gerçekleşen asgari ücret şokunun ücretli kadınlar için kayıt dışı </w:t>
      </w:r>
      <w:r w:rsidRPr="007B3871">
        <w:rPr>
          <w:rFonts w:eastAsiaTheme="minorHAnsi"/>
          <w:lang w:eastAsia="en-US"/>
        </w:rPr>
        <w:t>istihdamı arttırıcı bir etki yarattığı iddia edilemez.</w:t>
      </w:r>
      <w:r w:rsidRPr="00DA7428">
        <w:rPr>
          <w:rFonts w:eastAsiaTheme="minorHAnsi"/>
          <w:strike/>
          <w:lang w:eastAsia="en-US"/>
        </w:rPr>
        <w:t xml:space="preserve"> </w:t>
      </w:r>
    </w:p>
    <w:p w:rsidR="008720A9" w:rsidRDefault="008720A9" w:rsidP="008720A9">
      <w:pPr>
        <w:pStyle w:val="Caption"/>
        <w:rPr>
          <w:sz w:val="22"/>
        </w:rPr>
      </w:pPr>
    </w:p>
    <w:p w:rsidR="008720A9" w:rsidRDefault="008720A9" w:rsidP="008720A9">
      <w:pPr>
        <w:rPr>
          <w:rFonts w:eastAsiaTheme="minorHAnsi"/>
          <w:lang w:eastAsia="en-US"/>
        </w:rPr>
      </w:pPr>
      <w:r>
        <w:rPr>
          <w:rFonts w:eastAsiaTheme="minorHAnsi"/>
          <w:lang w:eastAsia="en-US"/>
        </w:rPr>
        <w:t xml:space="preserve">Şekil 2'de erkek ücretli çalışanlar için düşük ücretli çalışan yoğunluğu ile kayıt dışı çalışma oranı arasındaki ilişki gösteriliyor. Kadınlarla büyük bir tezat olduğu apaçık görülüyor. Dönem başı düşük ücretle çalışan oranı ile kayıt dışı çalışma oranındaki değişim arasında 2014-2015 döneminde (üçüncü çeyrek hariç) negatif bir </w:t>
      </w:r>
      <w:proofErr w:type="gramStart"/>
      <w:r>
        <w:rPr>
          <w:rFonts w:eastAsiaTheme="minorHAnsi"/>
          <w:lang w:eastAsia="en-US"/>
        </w:rPr>
        <w:t>korelasyon</w:t>
      </w:r>
      <w:proofErr w:type="gramEnd"/>
      <w:r>
        <w:rPr>
          <w:rFonts w:eastAsiaTheme="minorHAnsi"/>
          <w:lang w:eastAsia="en-US"/>
        </w:rPr>
        <w:t xml:space="preserve"> varken, 2015-2016 döneminde ise yine üçüncü çeyrek hariç pozitif bir korelasyon olduğu görülüyor.  Asgari ücret şokunun Ocak 2016'da olduğunu hatırlarsak 2016 yılının ilk iki çeyreğinde özellikle düşük ücretli çalışanların yoğun olduğu sektörlerde yaşanan kayıt dışı çalışma oranındaki artışları anlamlandırmak daha kolay olacaktır. 2016 yılının </w:t>
      </w:r>
      <w:r w:rsidRPr="00BD7B84">
        <w:rPr>
          <w:rFonts w:eastAsiaTheme="minorHAnsi"/>
          <w:lang w:eastAsia="en-US"/>
        </w:rPr>
        <w:t>üçüncü ve dördüncü çeyreklerinde is</w:t>
      </w:r>
      <w:r>
        <w:rPr>
          <w:rFonts w:eastAsiaTheme="minorHAnsi"/>
          <w:lang w:eastAsia="en-US"/>
        </w:rPr>
        <w:t>e</w:t>
      </w:r>
      <w:r w:rsidRPr="00BD7B84">
        <w:rPr>
          <w:rFonts w:eastAsiaTheme="minorHAnsi"/>
          <w:lang w:eastAsia="en-US"/>
        </w:rPr>
        <w:t xml:space="preserve"> bu </w:t>
      </w:r>
      <w:proofErr w:type="gramStart"/>
      <w:r w:rsidRPr="00BD7B84">
        <w:rPr>
          <w:rFonts w:eastAsiaTheme="minorHAnsi"/>
          <w:lang w:eastAsia="en-US"/>
        </w:rPr>
        <w:t>korelasyonun</w:t>
      </w:r>
      <w:proofErr w:type="gramEnd"/>
      <w:r w:rsidRPr="00BD7B84">
        <w:rPr>
          <w:rFonts w:eastAsiaTheme="minorHAnsi"/>
          <w:lang w:eastAsia="en-US"/>
        </w:rPr>
        <w:t xml:space="preserve"> kaybolduğu</w:t>
      </w:r>
      <w:r>
        <w:rPr>
          <w:rFonts w:eastAsiaTheme="minorHAnsi"/>
          <w:lang w:eastAsia="en-US"/>
        </w:rPr>
        <w:t xml:space="preserve"> ve yatay bir seyir aldığı gözükmektedir.</w:t>
      </w:r>
      <w:r w:rsidRPr="00BD7B84">
        <w:rPr>
          <w:rFonts w:eastAsiaTheme="minorHAnsi"/>
          <w:lang w:eastAsia="en-US"/>
        </w:rPr>
        <w:t xml:space="preserve"> </w:t>
      </w:r>
    </w:p>
    <w:p w:rsidR="00CE661F" w:rsidRPr="00A5781C" w:rsidRDefault="00B21EB1" w:rsidP="00CE661F">
      <w:pPr>
        <w:pStyle w:val="Heading2"/>
        <w:rPr>
          <w:rFonts w:eastAsiaTheme="minorHAnsi"/>
          <w:lang w:val="tr-TR" w:eastAsia="en-US"/>
        </w:rPr>
      </w:pPr>
      <w:proofErr w:type="spellStart"/>
      <w:r w:rsidRPr="003C139A">
        <w:rPr>
          <w:rFonts w:eastAsiaTheme="minorHAnsi"/>
          <w:lang w:val="tr-TR" w:eastAsia="en-US"/>
        </w:rPr>
        <w:t>Ekonometrik</w:t>
      </w:r>
      <w:proofErr w:type="spellEnd"/>
      <w:r w:rsidRPr="003C139A">
        <w:rPr>
          <w:rFonts w:eastAsiaTheme="minorHAnsi"/>
          <w:lang w:val="tr-TR" w:eastAsia="en-US"/>
        </w:rPr>
        <w:t xml:space="preserve"> analiz</w:t>
      </w:r>
      <w:r w:rsidRPr="00AB5B4D">
        <w:rPr>
          <w:rFonts w:eastAsiaTheme="minorHAnsi"/>
          <w:lang w:val="tr-TR" w:eastAsia="en-US"/>
        </w:rPr>
        <w:t xml:space="preserve"> </w:t>
      </w:r>
    </w:p>
    <w:p w:rsidR="00D0183B" w:rsidRPr="00A5781C" w:rsidRDefault="00CE661F" w:rsidP="00CE661F">
      <w:pPr>
        <w:pStyle w:val="Heading2"/>
        <w:rPr>
          <w:b w:val="0"/>
          <w:sz w:val="22"/>
          <w:szCs w:val="22"/>
          <w:lang w:val="tr-TR"/>
        </w:rPr>
      </w:pPr>
      <w:proofErr w:type="spellStart"/>
      <w:r w:rsidRPr="00A5781C">
        <w:rPr>
          <w:b w:val="0"/>
          <w:sz w:val="22"/>
          <w:szCs w:val="22"/>
          <w:lang w:val="tr-TR"/>
        </w:rPr>
        <w:t>Ekonometrik</w:t>
      </w:r>
      <w:proofErr w:type="spellEnd"/>
      <w:r w:rsidRPr="00A5781C">
        <w:rPr>
          <w:b w:val="0"/>
          <w:sz w:val="22"/>
          <w:szCs w:val="22"/>
          <w:lang w:val="tr-TR"/>
        </w:rPr>
        <w:t xml:space="preserve"> analiz</w:t>
      </w:r>
      <w:r w:rsidR="00BC02D3">
        <w:rPr>
          <w:b w:val="0"/>
          <w:sz w:val="22"/>
          <w:szCs w:val="22"/>
          <w:lang w:val="tr-TR"/>
        </w:rPr>
        <w:t xml:space="preserve">de </w:t>
      </w:r>
      <w:r w:rsidRPr="00A5781C">
        <w:rPr>
          <w:b w:val="0"/>
          <w:sz w:val="22"/>
          <w:szCs w:val="22"/>
          <w:lang w:val="tr-TR"/>
        </w:rPr>
        <w:t xml:space="preserve">farkların </w:t>
      </w:r>
      <w:r w:rsidRPr="00AB5B4D">
        <w:rPr>
          <w:b w:val="0"/>
          <w:sz w:val="22"/>
          <w:szCs w:val="22"/>
          <w:lang w:val="tr-TR"/>
        </w:rPr>
        <w:t>farkı (</w:t>
      </w:r>
      <w:proofErr w:type="spellStart"/>
      <w:r w:rsidRPr="00AB5B4D">
        <w:rPr>
          <w:b w:val="0"/>
          <w:i/>
          <w:sz w:val="22"/>
          <w:szCs w:val="22"/>
          <w:lang w:val="tr-TR"/>
        </w:rPr>
        <w:t>difference</w:t>
      </w:r>
      <w:proofErr w:type="spellEnd"/>
      <w:r w:rsidRPr="00AB5B4D">
        <w:rPr>
          <w:b w:val="0"/>
          <w:i/>
          <w:sz w:val="22"/>
          <w:szCs w:val="22"/>
          <w:lang w:val="tr-TR"/>
        </w:rPr>
        <w:t xml:space="preserve"> in </w:t>
      </w:r>
      <w:proofErr w:type="spellStart"/>
      <w:r w:rsidRPr="00AB5B4D">
        <w:rPr>
          <w:b w:val="0"/>
          <w:i/>
          <w:sz w:val="22"/>
          <w:szCs w:val="22"/>
          <w:lang w:val="tr-TR"/>
        </w:rPr>
        <w:t>differences</w:t>
      </w:r>
      <w:proofErr w:type="spellEnd"/>
      <w:r w:rsidRPr="00AB5B4D">
        <w:rPr>
          <w:b w:val="0"/>
          <w:sz w:val="22"/>
          <w:szCs w:val="22"/>
          <w:lang w:val="tr-TR"/>
        </w:rPr>
        <w:t>)</w:t>
      </w:r>
      <w:r w:rsidRPr="00A5781C">
        <w:rPr>
          <w:b w:val="0"/>
          <w:sz w:val="22"/>
          <w:szCs w:val="22"/>
          <w:lang w:val="tr-TR"/>
        </w:rPr>
        <w:t xml:space="preserve"> yaklaşımı</w:t>
      </w:r>
      <w:r w:rsidR="00BC02D3">
        <w:rPr>
          <w:b w:val="0"/>
          <w:sz w:val="22"/>
          <w:szCs w:val="22"/>
          <w:lang w:val="tr-TR"/>
        </w:rPr>
        <w:t>nı</w:t>
      </w:r>
      <w:r w:rsidRPr="00A5781C">
        <w:rPr>
          <w:b w:val="0"/>
          <w:sz w:val="22"/>
          <w:szCs w:val="22"/>
          <w:lang w:val="tr-TR"/>
        </w:rPr>
        <w:t xml:space="preserve"> </w:t>
      </w:r>
      <w:r w:rsidR="00BC02D3" w:rsidRPr="007245F2">
        <w:rPr>
          <w:b w:val="0"/>
          <w:sz w:val="22"/>
          <w:szCs w:val="22"/>
          <w:lang w:val="tr-TR"/>
        </w:rPr>
        <w:t>kullanıyoruz</w:t>
      </w:r>
      <w:r w:rsidR="007245F2" w:rsidRPr="007245F2">
        <w:rPr>
          <w:b w:val="0"/>
          <w:sz w:val="22"/>
          <w:szCs w:val="22"/>
          <w:lang w:val="tr-TR"/>
        </w:rPr>
        <w:t>.</w:t>
      </w:r>
      <w:r w:rsidRPr="00A5781C">
        <w:rPr>
          <w:b w:val="0"/>
          <w:sz w:val="22"/>
          <w:szCs w:val="22"/>
          <w:lang w:val="tr-TR"/>
        </w:rPr>
        <w:t xml:space="preserve"> </w:t>
      </w:r>
      <w:r w:rsidR="00D0183B" w:rsidRPr="00A5781C">
        <w:rPr>
          <w:b w:val="0"/>
          <w:sz w:val="22"/>
          <w:szCs w:val="22"/>
          <w:lang w:val="tr-TR"/>
        </w:rPr>
        <w:t>Ders kitaplarına da giren tipik örnek, iki grup ve iki dönem kıyasına dayanmaktadır. Tipik</w:t>
      </w:r>
      <w:r w:rsidRPr="00A5781C">
        <w:rPr>
          <w:b w:val="0"/>
          <w:sz w:val="22"/>
          <w:szCs w:val="22"/>
          <w:lang w:val="tr-TR"/>
        </w:rPr>
        <w:t xml:space="preserve"> yaklaşım</w:t>
      </w:r>
      <w:r w:rsidR="00D0183B" w:rsidRPr="00A5781C">
        <w:rPr>
          <w:b w:val="0"/>
          <w:sz w:val="22"/>
          <w:szCs w:val="22"/>
          <w:lang w:val="tr-TR"/>
        </w:rPr>
        <w:t xml:space="preserve">ı örneğimize uygularsak, </w:t>
      </w:r>
      <w:r w:rsidRPr="00A5781C">
        <w:rPr>
          <w:b w:val="0"/>
          <w:sz w:val="22"/>
          <w:szCs w:val="22"/>
          <w:lang w:val="tr-TR"/>
        </w:rPr>
        <w:t>asgari ücret artışından hemen önce düşük ücretli çalışan oranı yüksek olan sektörler müdahale (</w:t>
      </w:r>
      <w:proofErr w:type="spellStart"/>
      <w:r w:rsidRPr="00A5781C">
        <w:rPr>
          <w:b w:val="0"/>
          <w:i/>
          <w:sz w:val="22"/>
          <w:szCs w:val="22"/>
          <w:lang w:val="tr-TR"/>
        </w:rPr>
        <w:t>treatment</w:t>
      </w:r>
      <w:proofErr w:type="spellEnd"/>
      <w:r w:rsidRPr="00A5781C">
        <w:rPr>
          <w:b w:val="0"/>
          <w:sz w:val="22"/>
          <w:szCs w:val="22"/>
          <w:lang w:val="tr-TR"/>
        </w:rPr>
        <w:t xml:space="preserve">) grubu, diğer sektörler kontrol </w:t>
      </w:r>
      <w:r w:rsidR="00D828CA" w:rsidRPr="00A5781C">
        <w:rPr>
          <w:b w:val="0"/>
          <w:sz w:val="22"/>
          <w:szCs w:val="22"/>
          <w:lang w:val="tr-TR"/>
        </w:rPr>
        <w:t>grubu olarak değerlendiril</w:t>
      </w:r>
      <w:r w:rsidR="00D0183B" w:rsidRPr="00A5781C">
        <w:rPr>
          <w:b w:val="0"/>
          <w:sz w:val="22"/>
          <w:szCs w:val="22"/>
          <w:lang w:val="tr-TR"/>
        </w:rPr>
        <w:t xml:space="preserve">ebilir. Bu iki grubun kayıt dışılık oranları asgari ücret artışı öncesi ve sonrası dönemler arasında kıyaslanacaktır. </w:t>
      </w:r>
      <w:r w:rsidR="00061259" w:rsidRPr="00A5781C">
        <w:rPr>
          <w:b w:val="0"/>
          <w:sz w:val="22"/>
          <w:szCs w:val="22"/>
          <w:lang w:val="tr-TR"/>
        </w:rPr>
        <w:t>Birçok</w:t>
      </w:r>
      <w:r w:rsidR="00D828CA" w:rsidRPr="00A5781C">
        <w:rPr>
          <w:b w:val="0"/>
          <w:sz w:val="22"/>
          <w:szCs w:val="22"/>
          <w:lang w:val="tr-TR"/>
        </w:rPr>
        <w:t xml:space="preserve"> </w:t>
      </w:r>
      <w:r w:rsidR="00BC02D3">
        <w:rPr>
          <w:b w:val="0"/>
          <w:sz w:val="22"/>
          <w:szCs w:val="22"/>
          <w:lang w:val="tr-TR"/>
        </w:rPr>
        <w:t>nedenle</w:t>
      </w:r>
      <w:r w:rsidR="00D828CA" w:rsidRPr="00A5781C">
        <w:rPr>
          <w:b w:val="0"/>
          <w:sz w:val="22"/>
          <w:szCs w:val="22"/>
          <w:lang w:val="tr-TR"/>
        </w:rPr>
        <w:t xml:space="preserve"> iki grup arasında kayıt</w:t>
      </w:r>
      <w:r w:rsidR="00A5781C">
        <w:rPr>
          <w:b w:val="0"/>
          <w:sz w:val="22"/>
          <w:szCs w:val="22"/>
          <w:lang w:val="tr-TR"/>
        </w:rPr>
        <w:t xml:space="preserve"> </w:t>
      </w:r>
      <w:r w:rsidR="00D828CA" w:rsidRPr="00A5781C">
        <w:rPr>
          <w:b w:val="0"/>
          <w:sz w:val="22"/>
          <w:szCs w:val="22"/>
          <w:lang w:val="tr-TR"/>
        </w:rPr>
        <w:t xml:space="preserve">dışı çalışma oranında asgari ücret artışı öncesi de bir farklılık olmasını bekleriz. </w:t>
      </w:r>
      <w:r w:rsidR="00D828CA" w:rsidRPr="00AB663F">
        <w:rPr>
          <w:b w:val="0"/>
          <w:sz w:val="22"/>
          <w:szCs w:val="22"/>
          <w:lang w:val="tr-TR"/>
        </w:rPr>
        <w:t xml:space="preserve">Yine yapısal </w:t>
      </w:r>
      <w:r w:rsidR="00BC02D3" w:rsidRPr="00AB663F">
        <w:rPr>
          <w:b w:val="0"/>
          <w:sz w:val="22"/>
          <w:szCs w:val="22"/>
          <w:lang w:val="tr-TR"/>
        </w:rPr>
        <w:t>nedenlerden</w:t>
      </w:r>
      <w:r w:rsidR="00D828CA" w:rsidRPr="00AB663F">
        <w:rPr>
          <w:b w:val="0"/>
          <w:sz w:val="22"/>
          <w:szCs w:val="22"/>
          <w:lang w:val="tr-TR"/>
        </w:rPr>
        <w:t xml:space="preserve"> ötürü </w:t>
      </w:r>
      <w:r w:rsidR="003C139A" w:rsidRPr="00AB663F">
        <w:rPr>
          <w:b w:val="0"/>
          <w:sz w:val="22"/>
          <w:szCs w:val="22"/>
          <w:lang w:val="tr-TR"/>
        </w:rPr>
        <w:t xml:space="preserve">ücretli kesimde </w:t>
      </w:r>
      <w:r w:rsidR="00D828CA" w:rsidRPr="00AB663F">
        <w:rPr>
          <w:b w:val="0"/>
          <w:sz w:val="22"/>
          <w:szCs w:val="22"/>
          <w:lang w:val="tr-TR"/>
        </w:rPr>
        <w:t>kayıt dışılığın azaldığını biliyoruz. Eğer asgari ücret artışı her iki grubu da benzer şekilde etkilemişse iki grup arasındaki kayıt dışılık farkının</w:t>
      </w:r>
      <w:r w:rsidR="00BC02D3" w:rsidRPr="00AB663F">
        <w:rPr>
          <w:b w:val="0"/>
          <w:sz w:val="22"/>
          <w:szCs w:val="22"/>
          <w:lang w:val="tr-TR"/>
        </w:rPr>
        <w:t xml:space="preserve"> değişmeden </w:t>
      </w:r>
      <w:r w:rsidR="00D828CA" w:rsidRPr="00AB663F">
        <w:rPr>
          <w:b w:val="0"/>
          <w:sz w:val="22"/>
          <w:szCs w:val="22"/>
          <w:lang w:val="tr-TR"/>
        </w:rPr>
        <w:t xml:space="preserve">devam etmesi beklenir. </w:t>
      </w:r>
      <w:r w:rsidR="00061259" w:rsidRPr="00AB663F">
        <w:rPr>
          <w:b w:val="0"/>
          <w:sz w:val="22"/>
          <w:szCs w:val="22"/>
          <w:lang w:val="tr-TR"/>
        </w:rPr>
        <w:t>Çünkü</w:t>
      </w:r>
      <w:r w:rsidR="00D828CA" w:rsidRPr="00AB663F">
        <w:rPr>
          <w:b w:val="0"/>
          <w:sz w:val="22"/>
          <w:szCs w:val="22"/>
          <w:lang w:val="tr-TR"/>
        </w:rPr>
        <w:t xml:space="preserve"> dışar</w:t>
      </w:r>
      <w:r w:rsidR="00A5781C" w:rsidRPr="00AB663F">
        <w:rPr>
          <w:b w:val="0"/>
          <w:sz w:val="22"/>
          <w:szCs w:val="22"/>
          <w:lang w:val="tr-TR"/>
        </w:rPr>
        <w:t>ı</w:t>
      </w:r>
      <w:r w:rsidR="00D828CA" w:rsidRPr="00AB663F">
        <w:rPr>
          <w:b w:val="0"/>
          <w:sz w:val="22"/>
          <w:szCs w:val="22"/>
          <w:lang w:val="tr-TR"/>
        </w:rPr>
        <w:t>dan bir müdahale olmaksızın her iki grupta süregelen kayıt</w:t>
      </w:r>
      <w:r w:rsidR="00A5781C" w:rsidRPr="00AB663F">
        <w:rPr>
          <w:b w:val="0"/>
          <w:sz w:val="22"/>
          <w:szCs w:val="22"/>
          <w:lang w:val="tr-TR"/>
        </w:rPr>
        <w:t xml:space="preserve"> </w:t>
      </w:r>
      <w:r w:rsidR="00D828CA" w:rsidRPr="00AB663F">
        <w:rPr>
          <w:b w:val="0"/>
          <w:sz w:val="22"/>
          <w:szCs w:val="22"/>
          <w:lang w:val="tr-TR"/>
        </w:rPr>
        <w:t xml:space="preserve">dışılık eğilimlerinin devam etmemesi için bir </w:t>
      </w:r>
      <w:r w:rsidR="003C139A" w:rsidRPr="00AB663F">
        <w:rPr>
          <w:b w:val="0"/>
          <w:sz w:val="22"/>
          <w:szCs w:val="22"/>
          <w:lang w:val="tr-TR"/>
        </w:rPr>
        <w:t>neden</w:t>
      </w:r>
      <w:r w:rsidR="00D828CA" w:rsidRPr="00AB663F">
        <w:rPr>
          <w:b w:val="0"/>
          <w:sz w:val="22"/>
          <w:szCs w:val="22"/>
          <w:lang w:val="tr-TR"/>
        </w:rPr>
        <w:t xml:space="preserve"> yoktur. Temel varsayımız doğru ise asgari ücret artışı en azından ilk başlarda müdahale </w:t>
      </w:r>
      <w:r w:rsidR="00AB663F" w:rsidRPr="00AB663F">
        <w:rPr>
          <w:b w:val="0"/>
          <w:sz w:val="22"/>
          <w:szCs w:val="22"/>
          <w:lang w:val="tr-TR"/>
        </w:rPr>
        <w:t>grubunda (</w:t>
      </w:r>
      <w:r w:rsidR="00D828CA" w:rsidRPr="00AB663F">
        <w:rPr>
          <w:b w:val="0"/>
          <w:sz w:val="22"/>
          <w:szCs w:val="22"/>
          <w:lang w:val="tr-TR"/>
        </w:rPr>
        <w:t xml:space="preserve">düşük ücretli çalışan oranı yüksek olan </w:t>
      </w:r>
      <w:r w:rsidR="007245F2" w:rsidRPr="00AB663F">
        <w:rPr>
          <w:b w:val="0"/>
          <w:sz w:val="22"/>
          <w:szCs w:val="22"/>
          <w:lang w:val="tr-TR"/>
        </w:rPr>
        <w:t>sektörler)</w:t>
      </w:r>
      <w:r w:rsidR="00D828CA" w:rsidRPr="00AB663F">
        <w:rPr>
          <w:b w:val="0"/>
          <w:sz w:val="22"/>
          <w:szCs w:val="22"/>
          <w:lang w:val="tr-TR"/>
        </w:rPr>
        <w:t xml:space="preserve"> </w:t>
      </w:r>
      <w:r w:rsidR="00D0183B" w:rsidRPr="00AB663F">
        <w:rPr>
          <w:b w:val="0"/>
          <w:sz w:val="22"/>
          <w:szCs w:val="22"/>
          <w:lang w:val="tr-TR"/>
        </w:rPr>
        <w:t xml:space="preserve">kayıt dışılığı daha çok artırmış </w:t>
      </w:r>
      <w:r w:rsidR="003C139A" w:rsidRPr="00AB663F">
        <w:rPr>
          <w:b w:val="0"/>
          <w:sz w:val="22"/>
          <w:szCs w:val="22"/>
          <w:lang w:val="tr-TR"/>
        </w:rPr>
        <w:t>olmalıdır</w:t>
      </w:r>
      <w:r w:rsidR="00AB663F" w:rsidRPr="00AB663F">
        <w:rPr>
          <w:b w:val="0"/>
          <w:sz w:val="22"/>
          <w:szCs w:val="22"/>
          <w:lang w:val="tr-TR"/>
        </w:rPr>
        <w:t>.</w:t>
      </w:r>
      <w:r w:rsidR="00D0183B" w:rsidRPr="00A5781C">
        <w:rPr>
          <w:b w:val="0"/>
          <w:sz w:val="22"/>
          <w:szCs w:val="22"/>
          <w:lang w:val="tr-TR"/>
        </w:rPr>
        <w:t xml:space="preserve"> </w:t>
      </w:r>
    </w:p>
    <w:p w:rsidR="00CE661F" w:rsidRPr="00705150" w:rsidRDefault="00D0183B" w:rsidP="00CE661F">
      <w:pPr>
        <w:pStyle w:val="Heading2"/>
        <w:rPr>
          <w:b w:val="0"/>
          <w:sz w:val="22"/>
          <w:szCs w:val="22"/>
          <w:lang w:val="tr-TR"/>
        </w:rPr>
      </w:pPr>
      <w:r w:rsidRPr="00A5781C">
        <w:rPr>
          <w:b w:val="0"/>
          <w:sz w:val="22"/>
          <w:szCs w:val="22"/>
          <w:lang w:val="tr-TR"/>
        </w:rPr>
        <w:t xml:space="preserve">Tipik örnek yukarıda özetlendiği gibi olsa da farkların farkı yaklaşımını veriye uygularken bir takım küçük değişiklikler </w:t>
      </w:r>
      <w:r w:rsidR="00061259" w:rsidRPr="00A5781C">
        <w:rPr>
          <w:b w:val="0"/>
          <w:sz w:val="22"/>
          <w:szCs w:val="22"/>
          <w:lang w:val="tr-TR"/>
        </w:rPr>
        <w:t>yap</w:t>
      </w:r>
      <w:r w:rsidR="00061259">
        <w:rPr>
          <w:b w:val="0"/>
          <w:sz w:val="22"/>
          <w:szCs w:val="22"/>
          <w:lang w:val="tr-TR"/>
        </w:rPr>
        <w:t>mak</w:t>
      </w:r>
      <w:r w:rsidR="003C139A">
        <w:rPr>
          <w:b w:val="0"/>
          <w:sz w:val="22"/>
          <w:szCs w:val="22"/>
          <w:lang w:val="tr-TR"/>
        </w:rPr>
        <w:t xml:space="preserve"> gerekir</w:t>
      </w:r>
      <w:r w:rsidRPr="00A5781C">
        <w:rPr>
          <w:b w:val="0"/>
          <w:sz w:val="22"/>
          <w:szCs w:val="22"/>
          <w:lang w:val="tr-TR"/>
        </w:rPr>
        <w:t xml:space="preserve">.  İlk değişiklik sektörleri iki ayrı grup olarak düşünmek yerine </w:t>
      </w:r>
      <w:r w:rsidR="00D828CA" w:rsidRPr="00A5781C">
        <w:rPr>
          <w:b w:val="0"/>
          <w:sz w:val="22"/>
          <w:szCs w:val="22"/>
          <w:lang w:val="tr-TR"/>
        </w:rPr>
        <w:t xml:space="preserve">asgari ücret artışı </w:t>
      </w:r>
      <w:r w:rsidRPr="00A5781C">
        <w:rPr>
          <w:b w:val="0"/>
          <w:sz w:val="22"/>
          <w:szCs w:val="22"/>
          <w:lang w:val="tr-TR"/>
        </w:rPr>
        <w:t xml:space="preserve">öncesi her sektördeki düşük ücretli çalışan oranını </w:t>
      </w:r>
      <w:r w:rsidR="00CE661F" w:rsidRPr="00A5781C">
        <w:rPr>
          <w:b w:val="0"/>
          <w:sz w:val="22"/>
          <w:szCs w:val="22"/>
          <w:lang w:val="tr-TR"/>
        </w:rPr>
        <w:t xml:space="preserve">müdahale </w:t>
      </w:r>
      <w:r w:rsidRPr="00AB5B4D">
        <w:rPr>
          <w:b w:val="0"/>
          <w:sz w:val="22"/>
          <w:szCs w:val="22"/>
          <w:lang w:val="tr-TR"/>
        </w:rPr>
        <w:t>y</w:t>
      </w:r>
      <w:r w:rsidR="00CE661F" w:rsidRPr="00AB5B4D">
        <w:rPr>
          <w:b w:val="0"/>
          <w:sz w:val="22"/>
          <w:szCs w:val="22"/>
          <w:lang w:val="tr-TR"/>
        </w:rPr>
        <w:t>oğunluğu [</w:t>
      </w:r>
      <w:proofErr w:type="spellStart"/>
      <w:r w:rsidR="00CE661F" w:rsidRPr="00AB5B4D">
        <w:rPr>
          <w:b w:val="0"/>
          <w:i/>
          <w:sz w:val="22"/>
          <w:szCs w:val="22"/>
          <w:lang w:val="tr-TR"/>
        </w:rPr>
        <w:t>treatment</w:t>
      </w:r>
      <w:proofErr w:type="spellEnd"/>
      <w:r w:rsidR="00CE661F" w:rsidRPr="00AB5B4D">
        <w:rPr>
          <w:b w:val="0"/>
          <w:i/>
          <w:sz w:val="22"/>
          <w:szCs w:val="22"/>
          <w:lang w:val="tr-TR"/>
        </w:rPr>
        <w:t xml:space="preserve"> </w:t>
      </w:r>
      <w:proofErr w:type="spellStart"/>
      <w:r w:rsidR="00CE661F" w:rsidRPr="00AB5B4D">
        <w:rPr>
          <w:b w:val="0"/>
          <w:i/>
          <w:sz w:val="22"/>
          <w:szCs w:val="22"/>
          <w:lang w:val="tr-TR"/>
        </w:rPr>
        <w:t>intensity</w:t>
      </w:r>
      <w:proofErr w:type="spellEnd"/>
      <w:r w:rsidR="00CE661F" w:rsidRPr="00AB5B4D">
        <w:rPr>
          <w:b w:val="0"/>
          <w:sz w:val="22"/>
          <w:szCs w:val="22"/>
          <w:lang w:val="tr-TR"/>
        </w:rPr>
        <w:t xml:space="preserve">] </w:t>
      </w:r>
      <w:r w:rsidRPr="00AB5B4D">
        <w:rPr>
          <w:b w:val="0"/>
          <w:sz w:val="22"/>
          <w:szCs w:val="22"/>
          <w:lang w:val="tr-TR"/>
        </w:rPr>
        <w:t>o</w:t>
      </w:r>
      <w:r w:rsidR="00CE661F" w:rsidRPr="00AB5B4D">
        <w:rPr>
          <w:b w:val="0"/>
          <w:sz w:val="22"/>
          <w:szCs w:val="22"/>
          <w:lang w:val="tr-TR"/>
        </w:rPr>
        <w:t>larak</w:t>
      </w:r>
      <w:r w:rsidR="00CE661F" w:rsidRPr="00A5781C">
        <w:rPr>
          <w:b w:val="0"/>
          <w:sz w:val="22"/>
          <w:szCs w:val="22"/>
          <w:lang w:val="tr-TR"/>
        </w:rPr>
        <w:t xml:space="preserve"> </w:t>
      </w:r>
      <w:r w:rsidRPr="00A5781C">
        <w:rPr>
          <w:b w:val="0"/>
          <w:sz w:val="22"/>
          <w:szCs w:val="22"/>
          <w:lang w:val="tr-TR"/>
        </w:rPr>
        <w:t>kullan</w:t>
      </w:r>
      <w:r w:rsidR="007C083B">
        <w:rPr>
          <w:b w:val="0"/>
          <w:sz w:val="22"/>
          <w:szCs w:val="22"/>
          <w:lang w:val="tr-TR"/>
        </w:rPr>
        <w:t>maktır</w:t>
      </w:r>
      <w:r w:rsidRPr="00A5781C">
        <w:rPr>
          <w:b w:val="0"/>
          <w:sz w:val="22"/>
          <w:szCs w:val="22"/>
          <w:lang w:val="tr-TR"/>
        </w:rPr>
        <w:t xml:space="preserve">. </w:t>
      </w:r>
      <w:r w:rsidRPr="004B4475">
        <w:rPr>
          <w:b w:val="0"/>
          <w:sz w:val="22"/>
          <w:szCs w:val="22"/>
          <w:lang w:val="tr-TR"/>
        </w:rPr>
        <w:t xml:space="preserve">İkinci </w:t>
      </w:r>
      <w:r w:rsidR="007C083B" w:rsidRPr="004B4475">
        <w:rPr>
          <w:b w:val="0"/>
          <w:sz w:val="22"/>
          <w:szCs w:val="22"/>
          <w:lang w:val="tr-TR"/>
        </w:rPr>
        <w:t>değişiklik</w:t>
      </w:r>
      <w:r w:rsidR="00AB663F" w:rsidRPr="004B4475">
        <w:rPr>
          <w:b w:val="0"/>
          <w:sz w:val="22"/>
          <w:szCs w:val="22"/>
          <w:lang w:val="tr-TR"/>
        </w:rPr>
        <w:t>,</w:t>
      </w:r>
      <w:r w:rsidR="007C083B" w:rsidRPr="004B4475">
        <w:rPr>
          <w:b w:val="0"/>
          <w:sz w:val="22"/>
          <w:szCs w:val="22"/>
          <w:lang w:val="tr-TR"/>
        </w:rPr>
        <w:t xml:space="preserve"> </w:t>
      </w:r>
      <w:r w:rsidR="00A97EBB" w:rsidRPr="004B4475">
        <w:rPr>
          <w:b w:val="0"/>
          <w:sz w:val="22"/>
          <w:szCs w:val="22"/>
          <w:lang w:val="tr-TR"/>
        </w:rPr>
        <w:t>farkların</w:t>
      </w:r>
      <w:r w:rsidR="00A97EBB" w:rsidRPr="00A5781C">
        <w:rPr>
          <w:b w:val="0"/>
          <w:sz w:val="22"/>
          <w:szCs w:val="22"/>
          <w:lang w:val="tr-TR"/>
        </w:rPr>
        <w:t xml:space="preserve"> farkı tahmincisini </w:t>
      </w:r>
      <w:r w:rsidR="00C54491" w:rsidRPr="00A5781C">
        <w:rPr>
          <w:b w:val="0"/>
          <w:sz w:val="22"/>
          <w:szCs w:val="22"/>
          <w:lang w:val="tr-TR"/>
        </w:rPr>
        <w:t>basit o</w:t>
      </w:r>
      <w:r w:rsidR="00A97EBB" w:rsidRPr="00A5781C">
        <w:rPr>
          <w:b w:val="0"/>
          <w:sz w:val="22"/>
          <w:szCs w:val="22"/>
          <w:lang w:val="tr-TR"/>
        </w:rPr>
        <w:t xml:space="preserve">rtalamalar üzerinden değil </w:t>
      </w:r>
      <w:r w:rsidR="00A5781C">
        <w:rPr>
          <w:b w:val="0"/>
          <w:sz w:val="22"/>
          <w:szCs w:val="22"/>
          <w:lang w:val="tr-TR"/>
        </w:rPr>
        <w:t xml:space="preserve">bir regresyon modeli </w:t>
      </w:r>
      <w:r w:rsidR="00A97EBB" w:rsidRPr="00A5781C">
        <w:rPr>
          <w:b w:val="0"/>
          <w:sz w:val="22"/>
          <w:szCs w:val="22"/>
          <w:lang w:val="tr-TR"/>
        </w:rPr>
        <w:t xml:space="preserve">aracılığıyla </w:t>
      </w:r>
      <w:r w:rsidR="00C54491" w:rsidRPr="00A5781C">
        <w:rPr>
          <w:b w:val="0"/>
          <w:sz w:val="22"/>
          <w:szCs w:val="22"/>
          <w:lang w:val="tr-TR"/>
        </w:rPr>
        <w:lastRenderedPageBreak/>
        <w:t>hesapl</w:t>
      </w:r>
      <w:r w:rsidR="007C083B">
        <w:rPr>
          <w:b w:val="0"/>
          <w:sz w:val="22"/>
          <w:szCs w:val="22"/>
          <w:lang w:val="tr-TR"/>
        </w:rPr>
        <w:t>amaktır</w:t>
      </w:r>
      <w:r w:rsidR="00C54491" w:rsidRPr="00A5781C">
        <w:rPr>
          <w:b w:val="0"/>
          <w:sz w:val="22"/>
          <w:szCs w:val="22"/>
          <w:lang w:val="tr-TR"/>
        </w:rPr>
        <w:t xml:space="preserve">. Bu sayede </w:t>
      </w:r>
      <w:r w:rsidR="00A25096" w:rsidRPr="00A5781C">
        <w:rPr>
          <w:b w:val="0"/>
          <w:sz w:val="22"/>
          <w:szCs w:val="22"/>
          <w:lang w:val="tr-TR"/>
        </w:rPr>
        <w:t xml:space="preserve">asgari ücretin kayıt dışılığa olan etkisini iki dönem arası değişim gösteren ve kayıt dışılığa doğrudan etki eden diğer faktörlerin etkisinden ayrıştırmak mümkün olmaktadır. </w:t>
      </w:r>
      <w:proofErr w:type="spellStart"/>
      <w:r w:rsidR="00BF396B" w:rsidRPr="00A5781C">
        <w:rPr>
          <w:b w:val="0"/>
          <w:sz w:val="22"/>
          <w:szCs w:val="22"/>
          <w:lang w:val="tr-TR"/>
        </w:rPr>
        <w:t>Ekonometrik</w:t>
      </w:r>
      <w:proofErr w:type="spellEnd"/>
      <w:r w:rsidR="00BF396B" w:rsidRPr="00A5781C">
        <w:rPr>
          <w:b w:val="0"/>
          <w:sz w:val="22"/>
          <w:szCs w:val="22"/>
          <w:lang w:val="tr-TR"/>
        </w:rPr>
        <w:t xml:space="preserve"> modeli aşağıdaki gibi özetleyebiliriz.</w:t>
      </w:r>
    </w:p>
    <w:p w:rsidR="004F615E" w:rsidRPr="00705150" w:rsidRDefault="00BD13B2" w:rsidP="00705150">
      <w:pPr>
        <w:pStyle w:val="Heading2"/>
        <w:rPr>
          <w:b w:val="0"/>
          <w:sz w:val="22"/>
          <w:szCs w:val="22"/>
          <w:lang w:val="tr-TR"/>
        </w:rPr>
      </w:pPr>
      <m:oMathPara>
        <m:oMath>
          <m:sSub>
            <m:sSubPr>
              <m:ctrlPr>
                <w:rPr>
                  <w:rFonts w:ascii="Cambria Math" w:hAnsi="Cambria Math"/>
                  <w:b w:val="0"/>
                  <w:sz w:val="22"/>
                  <w:szCs w:val="22"/>
                  <w:lang w:val="tr-TR"/>
                </w:rPr>
              </m:ctrlPr>
            </m:sSubPr>
            <m:e>
              <m:r>
                <m:rPr>
                  <m:sty m:val="b"/>
                </m:rPr>
                <w:rPr>
                  <w:rFonts w:ascii="Cambria Math" w:hAnsi="Cambria Math"/>
                  <w:sz w:val="22"/>
                  <w:szCs w:val="22"/>
                  <w:lang w:val="tr-TR"/>
                </w:rPr>
                <m:t>y</m:t>
              </m:r>
            </m:e>
            <m:sub>
              <m:r>
                <m:rPr>
                  <m:sty m:val="b"/>
                </m:rPr>
                <w:rPr>
                  <w:rFonts w:ascii="Cambria Math" w:hAnsi="Cambria Math"/>
                  <w:sz w:val="22"/>
                  <w:szCs w:val="22"/>
                  <w:lang w:val="tr-TR"/>
                </w:rPr>
                <m:t>ist</m:t>
              </m:r>
            </m:sub>
          </m:sSub>
          <m:r>
            <m:rPr>
              <m:sty m:val="b"/>
            </m:rPr>
            <w:rPr>
              <w:rFonts w:ascii="Cambria Math"/>
              <w:sz w:val="22"/>
              <w:szCs w:val="22"/>
              <w:lang w:val="tr-TR"/>
            </w:rPr>
            <m:t xml:space="preserve">= </m:t>
          </m:r>
          <m:sSub>
            <m:sSubPr>
              <m:ctrlPr>
                <w:rPr>
                  <w:rFonts w:ascii="Cambria Math" w:hAnsi="Cambria Math"/>
                  <w:b w:val="0"/>
                  <w:sz w:val="22"/>
                  <w:szCs w:val="22"/>
                  <w:lang w:val="tr-TR"/>
                </w:rPr>
              </m:ctrlPr>
            </m:sSubPr>
            <m:e>
              <m:r>
                <m:rPr>
                  <m:sty m:val="b"/>
                </m:rPr>
                <w:rPr>
                  <w:rFonts w:ascii="Cambria Math" w:hAnsi="Cambria Math"/>
                  <w:sz w:val="22"/>
                  <w:szCs w:val="22"/>
                  <w:lang w:val="tr-TR"/>
                </w:rPr>
                <m:t>α</m:t>
              </m:r>
            </m:e>
            <m:sub>
              <m:r>
                <m:rPr>
                  <m:sty m:val="b"/>
                </m:rPr>
                <w:rPr>
                  <w:rFonts w:ascii="Cambria Math" w:hAnsi="Cambria Math"/>
                  <w:sz w:val="22"/>
                  <w:szCs w:val="22"/>
                  <w:lang w:val="tr-TR"/>
                </w:rPr>
                <m:t>s</m:t>
              </m:r>
            </m:sub>
          </m:sSub>
          <m:r>
            <m:rPr>
              <m:sty m:val="b"/>
            </m:rPr>
            <w:rPr>
              <w:rFonts w:ascii="Cambria Math"/>
              <w:sz w:val="22"/>
              <w:szCs w:val="22"/>
              <w:lang w:val="tr-TR"/>
            </w:rPr>
            <m:t>+</m:t>
          </m:r>
          <m:sSub>
            <m:sSubPr>
              <m:ctrlPr>
                <w:rPr>
                  <w:rFonts w:ascii="Cambria Math" w:hAnsi="Cambria Math"/>
                  <w:b w:val="0"/>
                  <w:sz w:val="22"/>
                  <w:szCs w:val="22"/>
                  <w:lang w:val="tr-TR"/>
                </w:rPr>
              </m:ctrlPr>
            </m:sSubPr>
            <m:e>
              <m:r>
                <m:rPr>
                  <m:sty m:val="b"/>
                </m:rPr>
                <w:rPr>
                  <w:rFonts w:ascii="Cambria Math" w:hAnsi="Cambria Math"/>
                  <w:sz w:val="22"/>
                  <w:szCs w:val="22"/>
                  <w:lang w:val="tr-TR"/>
                </w:rPr>
                <m:t>δ</m:t>
              </m:r>
            </m:e>
            <m:sub>
              <m:r>
                <m:rPr>
                  <m:sty m:val="b"/>
                </m:rPr>
                <w:rPr>
                  <w:rFonts w:ascii="Cambria Math" w:hAnsi="Cambria Math"/>
                  <w:sz w:val="22"/>
                  <w:szCs w:val="22"/>
                  <w:lang w:val="tr-TR"/>
                </w:rPr>
                <m:t>t</m:t>
              </m:r>
            </m:sub>
          </m:sSub>
          <m:r>
            <m:rPr>
              <m:sty m:val="b"/>
            </m:rPr>
            <w:rPr>
              <w:rFonts w:ascii="Cambria Math"/>
              <w:sz w:val="22"/>
              <w:szCs w:val="22"/>
              <w:lang w:val="tr-TR"/>
            </w:rPr>
            <m:t>+</m:t>
          </m:r>
          <m:sSub>
            <m:sSubPr>
              <m:ctrlPr>
                <w:rPr>
                  <w:rFonts w:ascii="Cambria Math" w:hAnsi="Cambria Math"/>
                  <w:b w:val="0"/>
                  <w:sz w:val="22"/>
                  <w:szCs w:val="22"/>
                  <w:lang w:val="tr-TR"/>
                </w:rPr>
              </m:ctrlPr>
            </m:sSubPr>
            <m:e>
              <m:r>
                <m:rPr>
                  <m:sty m:val="b"/>
                </m:rPr>
                <w:rPr>
                  <w:rFonts w:ascii="Cambria Math" w:hAnsi="Cambria Math"/>
                  <w:sz w:val="22"/>
                  <w:szCs w:val="22"/>
                  <w:lang w:val="tr-TR"/>
                </w:rPr>
                <m:t>X</m:t>
              </m:r>
            </m:e>
            <m:sub>
              <m:r>
                <m:rPr>
                  <m:sty m:val="b"/>
                </m:rPr>
                <w:rPr>
                  <w:rFonts w:ascii="Cambria Math" w:hAnsi="Cambria Math"/>
                  <w:sz w:val="22"/>
                  <w:szCs w:val="22"/>
                  <w:lang w:val="tr-TR"/>
                </w:rPr>
                <m:t>ist</m:t>
              </m:r>
            </m:sub>
          </m:sSub>
          <m:r>
            <m:rPr>
              <m:sty m:val="b"/>
            </m:rPr>
            <w:rPr>
              <w:rFonts w:ascii="Cambria Math" w:hAnsi="Cambria Math"/>
              <w:sz w:val="22"/>
              <w:szCs w:val="22"/>
              <w:lang w:val="tr-TR"/>
            </w:rPr>
            <m:t>β</m:t>
          </m:r>
          <m:r>
            <m:rPr>
              <m:sty m:val="b"/>
            </m:rPr>
            <w:rPr>
              <w:rFonts w:ascii="Cambria Math"/>
              <w:sz w:val="22"/>
              <w:szCs w:val="22"/>
              <w:lang w:val="tr-TR"/>
            </w:rPr>
            <m:t>+</m:t>
          </m:r>
          <m:sSub>
            <m:sSubPr>
              <m:ctrlPr>
                <w:rPr>
                  <w:rFonts w:ascii="Cambria Math" w:hAnsi="Cambria Math"/>
                  <w:b w:val="0"/>
                  <w:sz w:val="22"/>
                  <w:szCs w:val="22"/>
                  <w:lang w:val="tr-TR"/>
                </w:rPr>
              </m:ctrlPr>
            </m:sSubPr>
            <m:e>
              <m:r>
                <m:rPr>
                  <m:sty m:val="b"/>
                </m:rPr>
                <w:rPr>
                  <w:rFonts w:ascii="Cambria Math" w:hAnsi="Cambria Math"/>
                  <w:sz w:val="22"/>
                  <w:szCs w:val="22"/>
                  <w:lang w:val="tr-TR"/>
                </w:rPr>
                <m:t>θR</m:t>
              </m:r>
            </m:e>
            <m:sub>
              <m:r>
                <m:rPr>
                  <m:sty m:val="b"/>
                </m:rPr>
                <w:rPr>
                  <w:rFonts w:ascii="Cambria Math" w:hAnsi="Cambria Math"/>
                  <w:sz w:val="22"/>
                  <w:szCs w:val="22"/>
                  <w:lang w:val="tr-TR"/>
                </w:rPr>
                <m:t>st</m:t>
              </m:r>
            </m:sub>
          </m:sSub>
          <m:r>
            <m:rPr>
              <m:sty m:val="b"/>
            </m:rPr>
            <w:rPr>
              <w:rFonts w:ascii="Cambria Math"/>
              <w:sz w:val="22"/>
              <w:szCs w:val="22"/>
              <w:lang w:val="tr-TR"/>
            </w:rPr>
            <m:t>+</m:t>
          </m:r>
          <m:r>
            <m:rPr>
              <m:sty m:val="b"/>
            </m:rPr>
            <w:rPr>
              <w:rFonts w:ascii="Cambria Math" w:hAnsi="Cambria Math"/>
              <w:sz w:val="22"/>
              <w:szCs w:val="22"/>
              <w:lang w:val="tr-TR"/>
            </w:rPr>
            <m:t>φ</m:t>
          </m:r>
          <m:sSub>
            <m:sSubPr>
              <m:ctrlPr>
                <w:rPr>
                  <w:rFonts w:ascii="Cambria Math" w:hAnsi="Cambria Math"/>
                  <w:b w:val="0"/>
                  <w:sz w:val="22"/>
                  <w:szCs w:val="22"/>
                  <w:lang w:val="tr-TR"/>
                </w:rPr>
              </m:ctrlPr>
            </m:sSubPr>
            <m:e>
              <m:r>
                <m:rPr>
                  <m:sty m:val="b"/>
                </m:rPr>
                <w:rPr>
                  <w:rFonts w:ascii="Cambria Math" w:hAnsi="Cambria Math"/>
                  <w:sz w:val="22"/>
                  <w:szCs w:val="22"/>
                  <w:lang w:val="tr-TR"/>
                </w:rPr>
                <m:t>M</m:t>
              </m:r>
            </m:e>
            <m:sub>
              <m:r>
                <m:rPr>
                  <m:sty m:val="b"/>
                </m:rPr>
                <w:rPr>
                  <w:rFonts w:ascii="Cambria Math" w:hAnsi="Cambria Math"/>
                  <w:sz w:val="22"/>
                  <w:szCs w:val="22"/>
                  <w:lang w:val="tr-TR"/>
                </w:rPr>
                <m:t>st</m:t>
              </m:r>
            </m:sub>
          </m:sSub>
          <m:r>
            <m:rPr>
              <m:sty m:val="b"/>
            </m:rPr>
            <w:rPr>
              <w:rFonts w:ascii="Cambria Math"/>
              <w:sz w:val="22"/>
              <w:szCs w:val="22"/>
              <w:lang w:val="tr-TR"/>
            </w:rPr>
            <m:t>+</m:t>
          </m:r>
          <m:sSub>
            <m:sSubPr>
              <m:ctrlPr>
                <w:rPr>
                  <w:rFonts w:ascii="Cambria Math" w:hAnsi="Cambria Math"/>
                  <w:b w:val="0"/>
                  <w:sz w:val="22"/>
                  <w:szCs w:val="22"/>
                  <w:lang w:val="tr-TR"/>
                </w:rPr>
              </m:ctrlPr>
            </m:sSubPr>
            <m:e>
              <m:r>
                <m:rPr>
                  <m:sty m:val="b"/>
                </m:rPr>
                <w:rPr>
                  <w:rFonts w:ascii="Cambria Math" w:hAnsi="Cambria Math"/>
                  <w:sz w:val="22"/>
                  <w:szCs w:val="22"/>
                  <w:lang w:val="tr-TR"/>
                </w:rPr>
                <m:t>u</m:t>
              </m:r>
            </m:e>
            <m:sub>
              <m:r>
                <m:rPr>
                  <m:sty m:val="b"/>
                </m:rPr>
                <w:rPr>
                  <w:rFonts w:ascii="Cambria Math" w:hAnsi="Cambria Math"/>
                  <w:sz w:val="22"/>
                  <w:szCs w:val="22"/>
                  <w:lang w:val="tr-TR"/>
                </w:rPr>
                <m:t>ist</m:t>
              </m:r>
            </m:sub>
          </m:sSub>
          <m:r>
            <m:rPr>
              <m:sty m:val="bi"/>
            </m:rPr>
            <w:rPr>
              <w:rFonts w:ascii="Cambria Math" w:hAnsi="Cambria Math"/>
              <w:sz w:val="22"/>
              <w:szCs w:val="22"/>
              <w:lang w:val="tr-TR"/>
            </w:rPr>
            <m:t xml:space="preserve">               (1)</m:t>
          </m:r>
        </m:oMath>
      </m:oMathPara>
    </w:p>
    <w:p w:rsidR="00CE661F" w:rsidRPr="00A5781C" w:rsidRDefault="00BD13B2" w:rsidP="00CE661F">
      <w:pPr>
        <w:pStyle w:val="Heading2"/>
        <w:rPr>
          <w:b w:val="0"/>
          <w:sz w:val="22"/>
          <w:szCs w:val="22"/>
          <w:lang w:val="tr-TR"/>
        </w:rPr>
      </w:pPr>
      <m:oMath>
        <m:sSub>
          <m:sSubPr>
            <m:ctrlPr>
              <w:rPr>
                <w:rFonts w:ascii="Cambria Math" w:hAnsi="Cambria Math"/>
                <w:b w:val="0"/>
                <w:sz w:val="22"/>
                <w:szCs w:val="22"/>
                <w:lang w:val="tr-TR"/>
              </w:rPr>
            </m:ctrlPr>
          </m:sSubPr>
          <m:e>
            <m:r>
              <m:rPr>
                <m:sty m:val="b"/>
              </m:rPr>
              <w:rPr>
                <w:rFonts w:ascii="Cambria Math" w:hAnsi="Cambria Math"/>
                <w:sz w:val="22"/>
                <w:szCs w:val="22"/>
                <w:lang w:val="tr-TR"/>
              </w:rPr>
              <m:t>y</m:t>
            </m:r>
          </m:e>
          <m:sub>
            <m:r>
              <m:rPr>
                <m:sty m:val="b"/>
              </m:rPr>
              <w:rPr>
                <w:rFonts w:ascii="Cambria Math" w:hAnsi="Cambria Math"/>
                <w:sz w:val="22"/>
                <w:szCs w:val="22"/>
                <w:lang w:val="tr-TR"/>
              </w:rPr>
              <m:t>ist</m:t>
            </m:r>
          </m:sub>
        </m:sSub>
      </m:oMath>
      <w:r w:rsidR="00BF396B" w:rsidRPr="00705150">
        <w:rPr>
          <w:b w:val="0"/>
          <w:sz w:val="22"/>
          <w:szCs w:val="22"/>
          <w:lang w:val="tr-TR"/>
        </w:rPr>
        <w:t xml:space="preserve"> </w:t>
      </w:r>
      <w:proofErr w:type="gramStart"/>
      <w:r w:rsidR="00BF396B" w:rsidRPr="00705150">
        <w:rPr>
          <w:b w:val="0"/>
          <w:sz w:val="22"/>
          <w:szCs w:val="22"/>
          <w:lang w:val="tr-TR"/>
        </w:rPr>
        <w:t>s</w:t>
      </w:r>
      <w:proofErr w:type="gramEnd"/>
      <w:r w:rsidR="00BF396B" w:rsidRPr="00705150">
        <w:rPr>
          <w:b w:val="0"/>
          <w:sz w:val="22"/>
          <w:szCs w:val="22"/>
          <w:lang w:val="tr-TR"/>
        </w:rPr>
        <w:t xml:space="preserve"> sektörü ve t yılında i kişisinin kayıt dışı çalışma durumunu,  </w:t>
      </w:r>
      <m:oMath>
        <m:sSub>
          <m:sSubPr>
            <m:ctrlPr>
              <w:rPr>
                <w:rFonts w:ascii="Cambria Math" w:hAnsi="Cambria Math"/>
                <w:b w:val="0"/>
                <w:sz w:val="22"/>
                <w:szCs w:val="22"/>
                <w:lang w:val="tr-TR"/>
              </w:rPr>
            </m:ctrlPr>
          </m:sSubPr>
          <m:e>
            <m:r>
              <m:rPr>
                <m:sty m:val="b"/>
              </m:rPr>
              <w:rPr>
                <w:rFonts w:ascii="Cambria Math" w:hAnsi="Cambria Math"/>
                <w:sz w:val="22"/>
                <w:szCs w:val="22"/>
                <w:lang w:val="tr-TR"/>
              </w:rPr>
              <m:t>α</m:t>
            </m:r>
          </m:e>
          <m:sub>
            <m:r>
              <m:rPr>
                <m:sty m:val="b"/>
              </m:rPr>
              <w:rPr>
                <w:rFonts w:ascii="Cambria Math" w:hAnsi="Cambria Math"/>
                <w:sz w:val="22"/>
                <w:szCs w:val="22"/>
                <w:lang w:val="tr-TR"/>
              </w:rPr>
              <m:t>s</m:t>
            </m:r>
          </m:sub>
        </m:sSub>
      </m:oMath>
      <w:r w:rsidR="00CE661F" w:rsidRPr="00A5781C">
        <w:rPr>
          <w:b w:val="0"/>
          <w:sz w:val="22"/>
          <w:szCs w:val="22"/>
          <w:lang w:val="tr-TR"/>
        </w:rPr>
        <w:t xml:space="preserve"> ve </w:t>
      </w:r>
      <m:oMath>
        <m:sSub>
          <m:sSubPr>
            <m:ctrlPr>
              <w:rPr>
                <w:rFonts w:ascii="Cambria Math" w:hAnsi="Cambria Math"/>
                <w:b w:val="0"/>
                <w:sz w:val="22"/>
                <w:szCs w:val="22"/>
                <w:lang w:val="tr-TR"/>
              </w:rPr>
            </m:ctrlPr>
          </m:sSubPr>
          <m:e>
            <m:r>
              <m:rPr>
                <m:sty m:val="b"/>
              </m:rPr>
              <w:rPr>
                <w:rFonts w:ascii="Cambria Math" w:hAnsi="Cambria Math"/>
                <w:sz w:val="22"/>
                <w:szCs w:val="22"/>
                <w:lang w:val="tr-TR"/>
              </w:rPr>
              <m:t>δ</m:t>
            </m:r>
          </m:e>
          <m:sub>
            <m:r>
              <m:rPr>
                <m:sty m:val="b"/>
              </m:rPr>
              <w:rPr>
                <w:rFonts w:ascii="Cambria Math" w:hAnsi="Cambria Math"/>
                <w:sz w:val="22"/>
                <w:szCs w:val="22"/>
                <w:lang w:val="tr-TR"/>
              </w:rPr>
              <m:t>t</m:t>
            </m:r>
          </m:sub>
        </m:sSub>
      </m:oMath>
      <w:r w:rsidR="00CE661F" w:rsidRPr="00A5781C">
        <w:rPr>
          <w:b w:val="0"/>
          <w:sz w:val="22"/>
          <w:szCs w:val="22"/>
          <w:lang w:val="tr-TR"/>
        </w:rPr>
        <w:t xml:space="preserve"> sırası</w:t>
      </w:r>
      <w:proofErr w:type="spellStart"/>
      <w:r w:rsidR="007C083B">
        <w:rPr>
          <w:b w:val="0"/>
          <w:sz w:val="22"/>
          <w:szCs w:val="22"/>
          <w:lang w:val="tr-TR"/>
        </w:rPr>
        <w:t>yla</w:t>
      </w:r>
      <w:proofErr w:type="spellEnd"/>
      <w:r w:rsidR="00CE661F" w:rsidRPr="00A5781C">
        <w:rPr>
          <w:b w:val="0"/>
          <w:sz w:val="22"/>
          <w:szCs w:val="22"/>
          <w:lang w:val="tr-TR"/>
        </w:rPr>
        <w:t xml:space="preserve"> </w:t>
      </w:r>
      <w:r w:rsidR="00BF396B" w:rsidRPr="00A5781C">
        <w:rPr>
          <w:b w:val="0"/>
          <w:sz w:val="22"/>
          <w:szCs w:val="22"/>
          <w:lang w:val="tr-TR"/>
        </w:rPr>
        <w:t>sektör</w:t>
      </w:r>
      <w:r w:rsidR="00CE661F" w:rsidRPr="00A5781C">
        <w:rPr>
          <w:b w:val="0"/>
          <w:sz w:val="22"/>
          <w:szCs w:val="22"/>
          <w:lang w:val="tr-TR"/>
        </w:rPr>
        <w:t xml:space="preserve"> ve zaman kukla değişkenlerini</w:t>
      </w:r>
      <w:r w:rsidR="00CE661F" w:rsidRPr="004956CF">
        <w:rPr>
          <w:b w:val="0"/>
          <w:sz w:val="22"/>
          <w:szCs w:val="22"/>
          <w:lang w:val="tr-TR"/>
        </w:rPr>
        <w:t>;</w:t>
      </w:r>
      <w:r w:rsidR="00CE661F" w:rsidRPr="004D033F">
        <w:rPr>
          <w:b w:val="0"/>
          <w:color w:val="FF0000"/>
          <w:sz w:val="22"/>
          <w:szCs w:val="22"/>
          <w:lang w:val="tr-TR"/>
        </w:rPr>
        <w:t xml:space="preserve"> </w:t>
      </w:r>
      <m:oMath>
        <m:sSub>
          <m:sSubPr>
            <m:ctrlPr>
              <w:rPr>
                <w:rFonts w:ascii="Cambria Math" w:hAnsi="Cambria Math"/>
                <w:b w:val="0"/>
                <w:sz w:val="22"/>
                <w:szCs w:val="22"/>
                <w:lang w:val="tr-TR"/>
              </w:rPr>
            </m:ctrlPr>
          </m:sSubPr>
          <m:e>
            <m:r>
              <m:rPr>
                <m:sty m:val="b"/>
              </m:rPr>
              <w:rPr>
                <w:rFonts w:ascii="Cambria Math" w:hAnsi="Cambria Math"/>
                <w:sz w:val="22"/>
                <w:szCs w:val="22"/>
                <w:lang w:val="tr-TR"/>
              </w:rPr>
              <m:t>X</m:t>
            </m:r>
          </m:e>
          <m:sub>
            <m:r>
              <m:rPr>
                <m:sty m:val="b"/>
              </m:rPr>
              <w:rPr>
                <w:rFonts w:ascii="Cambria Math" w:hAnsi="Cambria Math"/>
                <w:sz w:val="22"/>
                <w:szCs w:val="22"/>
                <w:lang w:val="tr-TR"/>
              </w:rPr>
              <m:t>ist</m:t>
            </m:r>
          </m:sub>
        </m:sSub>
      </m:oMath>
      <w:r w:rsidR="00BF396B" w:rsidRPr="004956CF">
        <w:rPr>
          <w:b w:val="0"/>
          <w:sz w:val="22"/>
          <w:szCs w:val="22"/>
          <w:lang w:val="tr-TR"/>
        </w:rPr>
        <w:t xml:space="preserve"> </w:t>
      </w:r>
      <w:r w:rsidR="00CE661F" w:rsidRPr="004956CF">
        <w:rPr>
          <w:b w:val="0"/>
          <w:sz w:val="22"/>
          <w:szCs w:val="22"/>
          <w:lang w:val="tr-TR"/>
        </w:rPr>
        <w:t>kişi düzeyinde gözlemlenen değişkenleri (</w:t>
      </w:r>
      <w:r w:rsidR="00CE661F" w:rsidRPr="00A5781C">
        <w:rPr>
          <w:b w:val="0"/>
          <w:sz w:val="22"/>
          <w:szCs w:val="22"/>
          <w:lang w:val="tr-TR"/>
        </w:rPr>
        <w:t xml:space="preserve">yaş, </w:t>
      </w:r>
      <w:r w:rsidR="007245F2">
        <w:rPr>
          <w:b w:val="0"/>
          <w:sz w:val="22"/>
          <w:szCs w:val="22"/>
          <w:lang w:val="tr-TR"/>
        </w:rPr>
        <w:t>eğitim durumu</w:t>
      </w:r>
      <w:r w:rsidR="00CE661F" w:rsidRPr="00A5781C">
        <w:rPr>
          <w:b w:val="0"/>
          <w:sz w:val="22"/>
          <w:szCs w:val="22"/>
          <w:lang w:val="tr-TR"/>
        </w:rPr>
        <w:t xml:space="preserve">, medeni durum); </w:t>
      </w:r>
      <m:oMath>
        <m:sSub>
          <m:sSubPr>
            <m:ctrlPr>
              <w:rPr>
                <w:rFonts w:ascii="Cambria Math" w:hAnsi="Cambria Math"/>
                <w:b w:val="0"/>
                <w:sz w:val="22"/>
                <w:szCs w:val="22"/>
                <w:lang w:val="tr-TR"/>
              </w:rPr>
            </m:ctrlPr>
          </m:sSubPr>
          <m:e>
            <m:r>
              <m:rPr>
                <m:sty m:val="b"/>
              </m:rPr>
              <w:rPr>
                <w:rFonts w:ascii="Cambria Math" w:hAnsi="Cambria Math"/>
                <w:sz w:val="22"/>
                <w:szCs w:val="22"/>
                <w:lang w:val="tr-TR"/>
              </w:rPr>
              <m:t>R</m:t>
            </m:r>
          </m:e>
          <m:sub>
            <m:r>
              <m:rPr>
                <m:sty m:val="b"/>
              </m:rPr>
              <w:rPr>
                <w:rFonts w:ascii="Cambria Math" w:hAnsi="Cambria Math"/>
                <w:sz w:val="22"/>
                <w:szCs w:val="22"/>
                <w:lang w:val="tr-TR"/>
              </w:rPr>
              <m:t>st</m:t>
            </m:r>
          </m:sub>
        </m:sSub>
      </m:oMath>
      <w:r w:rsidR="00BF396B" w:rsidRPr="00A5781C">
        <w:rPr>
          <w:b w:val="0"/>
          <w:sz w:val="22"/>
          <w:szCs w:val="22"/>
          <w:lang w:val="tr-TR"/>
        </w:rPr>
        <w:t xml:space="preserve"> sektör </w:t>
      </w:r>
      <w:r w:rsidR="00CE661F" w:rsidRPr="00A5781C">
        <w:rPr>
          <w:b w:val="0"/>
          <w:sz w:val="22"/>
          <w:szCs w:val="22"/>
          <w:lang w:val="tr-TR"/>
        </w:rPr>
        <w:t>düzeyinde gözlemlenen değişkenleri (</w:t>
      </w:r>
      <w:r w:rsidR="00A5781C">
        <w:rPr>
          <w:b w:val="0"/>
          <w:sz w:val="22"/>
          <w:szCs w:val="22"/>
          <w:lang w:val="tr-TR"/>
        </w:rPr>
        <w:t xml:space="preserve">sektörün </w:t>
      </w:r>
      <w:r w:rsidR="00BF396B" w:rsidRPr="00A5781C">
        <w:rPr>
          <w:b w:val="0"/>
          <w:sz w:val="22"/>
          <w:szCs w:val="22"/>
          <w:lang w:val="tr-TR"/>
        </w:rPr>
        <w:t xml:space="preserve">işgücü </w:t>
      </w:r>
      <w:r w:rsidR="00CE661F" w:rsidRPr="00A5781C">
        <w:rPr>
          <w:b w:val="0"/>
          <w:sz w:val="22"/>
          <w:szCs w:val="22"/>
          <w:lang w:val="tr-TR"/>
        </w:rPr>
        <w:t>verimlilik düzeyi</w:t>
      </w:r>
      <w:r w:rsidR="00BF396B" w:rsidRPr="00A5781C">
        <w:rPr>
          <w:b w:val="0"/>
          <w:sz w:val="22"/>
          <w:szCs w:val="22"/>
          <w:lang w:val="tr-TR"/>
        </w:rPr>
        <w:t>ni</w:t>
      </w:r>
      <w:r w:rsidR="00CE661F" w:rsidRPr="00A5781C">
        <w:rPr>
          <w:b w:val="0"/>
          <w:sz w:val="22"/>
          <w:szCs w:val="22"/>
          <w:lang w:val="tr-TR"/>
        </w:rPr>
        <w:t xml:space="preserve">) temsil etmektedir. Bu denklemde </w:t>
      </w:r>
      <w:r w:rsidR="00A5781C">
        <w:rPr>
          <w:b w:val="0"/>
          <w:sz w:val="22"/>
          <w:szCs w:val="22"/>
          <w:lang w:val="tr-TR"/>
        </w:rPr>
        <w:t xml:space="preserve">asıl ilgilendiğimiz değişken ise </w:t>
      </w:r>
      <m:oMath>
        <m:sSub>
          <m:sSubPr>
            <m:ctrlPr>
              <w:rPr>
                <w:rFonts w:ascii="Cambria Math" w:hAnsi="Cambria Math"/>
                <w:b w:val="0"/>
                <w:sz w:val="22"/>
                <w:szCs w:val="22"/>
                <w:lang w:val="tr-TR"/>
              </w:rPr>
            </m:ctrlPr>
          </m:sSubPr>
          <m:e>
            <m:r>
              <m:rPr>
                <m:sty m:val="b"/>
              </m:rPr>
              <w:rPr>
                <w:rFonts w:ascii="Cambria Math" w:hAnsi="Cambria Math"/>
                <w:sz w:val="22"/>
                <w:szCs w:val="22"/>
                <w:lang w:val="tr-TR"/>
              </w:rPr>
              <m:t>M</m:t>
            </m:r>
          </m:e>
          <m:sub>
            <m:r>
              <m:rPr>
                <m:sty m:val="b"/>
              </m:rPr>
              <w:rPr>
                <w:rFonts w:ascii="Cambria Math" w:hAnsi="Cambria Math"/>
                <w:sz w:val="22"/>
                <w:szCs w:val="22"/>
                <w:lang w:val="tr-TR"/>
              </w:rPr>
              <m:t>st</m:t>
            </m:r>
          </m:sub>
        </m:sSub>
      </m:oMath>
      <w:r w:rsidR="00A5781C">
        <w:rPr>
          <w:b w:val="0"/>
          <w:sz w:val="22"/>
          <w:szCs w:val="22"/>
          <w:lang w:val="tr-TR"/>
        </w:rPr>
        <w:t xml:space="preserve"> değişkeni, </w:t>
      </w:r>
      <w:r w:rsidR="00A5781C" w:rsidRPr="00A5781C">
        <w:rPr>
          <w:b w:val="0"/>
          <w:sz w:val="22"/>
          <w:szCs w:val="22"/>
          <w:lang w:val="tr-TR"/>
        </w:rPr>
        <w:t>asıl ilgilendiğimiz katsayı</w:t>
      </w:r>
      <w:r w:rsidR="00A5781C">
        <w:rPr>
          <w:b w:val="0"/>
          <w:sz w:val="22"/>
          <w:szCs w:val="22"/>
          <w:lang w:val="tr-TR"/>
        </w:rPr>
        <w:t xml:space="preserve"> ise farkların farkı tahmincisi olarak adlandırılan </w:t>
      </w:r>
      <m:oMath>
        <m:r>
          <m:rPr>
            <m:sty m:val="bi"/>
          </m:rPr>
          <w:rPr>
            <w:rFonts w:ascii="Cambria Math" w:hAnsi="Cambria Math"/>
            <w:lang w:val="tr-TR"/>
          </w:rPr>
          <m:t>φ</m:t>
        </m:r>
      </m:oMath>
      <w:r w:rsidR="00A5781C" w:rsidRPr="00A5781C">
        <w:rPr>
          <w:b w:val="0"/>
          <w:sz w:val="22"/>
          <w:szCs w:val="22"/>
          <w:lang w:val="tr-TR"/>
        </w:rPr>
        <w:t xml:space="preserve"> katsayısıdır</w:t>
      </w:r>
      <w:r w:rsidR="00CE661F" w:rsidRPr="00A5781C">
        <w:rPr>
          <w:b w:val="0"/>
          <w:sz w:val="22"/>
          <w:szCs w:val="22"/>
          <w:lang w:val="tr-TR"/>
        </w:rPr>
        <w:t xml:space="preserve">. </w:t>
      </w:r>
      <m:oMath>
        <m:sSub>
          <m:sSubPr>
            <m:ctrlPr>
              <w:rPr>
                <w:rFonts w:ascii="Cambria Math" w:hAnsi="Cambria Math"/>
                <w:b w:val="0"/>
                <w:sz w:val="22"/>
                <w:szCs w:val="22"/>
                <w:lang w:val="tr-TR"/>
              </w:rPr>
            </m:ctrlPr>
          </m:sSubPr>
          <m:e>
            <m:r>
              <m:rPr>
                <m:sty m:val="b"/>
              </m:rPr>
              <w:rPr>
                <w:rFonts w:ascii="Cambria Math" w:hAnsi="Cambria Math"/>
                <w:sz w:val="22"/>
                <w:szCs w:val="22"/>
                <w:lang w:val="tr-TR"/>
              </w:rPr>
              <m:t>M</m:t>
            </m:r>
          </m:e>
          <m:sub>
            <m:r>
              <m:rPr>
                <m:sty m:val="b"/>
              </m:rPr>
              <w:rPr>
                <w:rFonts w:ascii="Cambria Math" w:hAnsi="Cambria Math"/>
                <w:sz w:val="22"/>
                <w:szCs w:val="22"/>
                <w:lang w:val="tr-TR"/>
              </w:rPr>
              <m:t>st</m:t>
            </m:r>
          </m:sub>
        </m:sSub>
      </m:oMath>
      <w:r w:rsidR="00A5781C">
        <w:rPr>
          <w:b w:val="0"/>
          <w:sz w:val="22"/>
          <w:szCs w:val="22"/>
          <w:lang w:val="tr-TR"/>
        </w:rPr>
        <w:t xml:space="preserve"> </w:t>
      </w:r>
      <w:proofErr w:type="gramStart"/>
      <w:r w:rsidR="00A5781C">
        <w:rPr>
          <w:b w:val="0"/>
          <w:sz w:val="22"/>
          <w:szCs w:val="22"/>
          <w:lang w:val="tr-TR"/>
        </w:rPr>
        <w:t>değişkenini</w:t>
      </w:r>
      <w:proofErr w:type="gramEnd"/>
      <w:r w:rsidR="00A5781C">
        <w:rPr>
          <w:b w:val="0"/>
          <w:sz w:val="22"/>
          <w:szCs w:val="22"/>
          <w:lang w:val="tr-TR"/>
        </w:rPr>
        <w:t xml:space="preserve"> </w:t>
      </w:r>
      <w:r w:rsidR="00CE661F" w:rsidRPr="00A5781C">
        <w:rPr>
          <w:b w:val="0"/>
          <w:sz w:val="22"/>
          <w:szCs w:val="22"/>
          <w:lang w:val="tr-TR"/>
        </w:rPr>
        <w:t>müdahale yoğunluğu (</w:t>
      </w:r>
      <m:oMath>
        <m:sSub>
          <m:sSubPr>
            <m:ctrlPr>
              <w:rPr>
                <w:rFonts w:ascii="Cambria Math" w:hAnsi="Cambria Math"/>
                <w:b w:val="0"/>
                <w:sz w:val="22"/>
                <w:szCs w:val="22"/>
                <w:lang w:val="tr-TR"/>
              </w:rPr>
            </m:ctrlPr>
          </m:sSubPr>
          <m:e>
            <m:r>
              <m:rPr>
                <m:sty m:val="b"/>
              </m:rPr>
              <w:rPr>
                <w:rFonts w:ascii="Cambria Math" w:hAnsi="Cambria Math"/>
                <w:sz w:val="22"/>
                <w:szCs w:val="22"/>
                <w:lang w:val="tr-TR"/>
              </w:rPr>
              <m:t>Z</m:t>
            </m:r>
          </m:e>
          <m:sub>
            <m:r>
              <m:rPr>
                <m:sty m:val="b"/>
              </m:rPr>
              <w:rPr>
                <w:rFonts w:ascii="Cambria Math" w:hAnsi="Cambria Math"/>
                <w:sz w:val="22"/>
                <w:szCs w:val="22"/>
                <w:lang w:val="tr-TR"/>
              </w:rPr>
              <m:t>s</m:t>
            </m:r>
          </m:sub>
        </m:sSub>
      </m:oMath>
      <w:r w:rsidR="00CE661F" w:rsidRPr="00A5781C">
        <w:rPr>
          <w:b w:val="0"/>
          <w:sz w:val="22"/>
          <w:szCs w:val="22"/>
          <w:lang w:val="tr-TR"/>
        </w:rPr>
        <w:t>) ve müdahale öncesinde 0 sonrasında ise 1 değerini alan bir kukla değişkeninin (</w:t>
      </w:r>
      <m:oMath>
        <m:sSub>
          <m:sSubPr>
            <m:ctrlPr>
              <w:rPr>
                <w:rFonts w:ascii="Cambria Math" w:hAnsi="Cambria Math"/>
                <w:b w:val="0"/>
                <w:sz w:val="22"/>
                <w:szCs w:val="22"/>
                <w:lang w:val="tr-TR"/>
              </w:rPr>
            </m:ctrlPr>
          </m:sSubPr>
          <m:e>
            <m:r>
              <m:rPr>
                <m:sty m:val="b"/>
              </m:rPr>
              <w:rPr>
                <w:rFonts w:ascii="Cambria Math" w:hAnsi="Cambria Math"/>
                <w:sz w:val="22"/>
                <w:szCs w:val="22"/>
                <w:lang w:val="tr-TR"/>
              </w:rPr>
              <m:t>D</m:t>
            </m:r>
          </m:e>
          <m:sub>
            <m:r>
              <m:rPr>
                <m:sty m:val="b"/>
              </m:rPr>
              <w:rPr>
                <w:rFonts w:ascii="Cambria Math" w:hAnsi="Cambria Math"/>
                <w:sz w:val="22"/>
                <w:szCs w:val="22"/>
                <w:lang w:val="tr-TR"/>
              </w:rPr>
              <m:t>t</m:t>
            </m:r>
          </m:sub>
        </m:sSub>
      </m:oMath>
      <w:r w:rsidR="00CE661F" w:rsidRPr="00A5781C">
        <w:rPr>
          <w:b w:val="0"/>
          <w:sz w:val="22"/>
          <w:szCs w:val="22"/>
          <w:lang w:val="tr-TR"/>
        </w:rPr>
        <w:t>) çar</w:t>
      </w:r>
      <w:proofErr w:type="spellStart"/>
      <w:r w:rsidR="00A5781C">
        <w:rPr>
          <w:b w:val="0"/>
          <w:sz w:val="22"/>
          <w:szCs w:val="22"/>
          <w:lang w:val="tr-TR"/>
        </w:rPr>
        <w:t>pımı</w:t>
      </w:r>
      <w:proofErr w:type="spellEnd"/>
      <w:r w:rsidR="00A5781C">
        <w:rPr>
          <w:b w:val="0"/>
          <w:sz w:val="22"/>
          <w:szCs w:val="22"/>
          <w:lang w:val="tr-TR"/>
        </w:rPr>
        <w:t xml:space="preserve"> </w:t>
      </w:r>
      <w:r w:rsidR="00CC26D0">
        <w:rPr>
          <w:b w:val="0"/>
          <w:sz w:val="22"/>
          <w:szCs w:val="22"/>
          <w:lang w:val="tr-TR"/>
        </w:rPr>
        <w:t>ile elde edilen bir çarpım değişkenidir</w:t>
      </w:r>
      <w:r w:rsidR="00A5781C">
        <w:rPr>
          <w:b w:val="0"/>
          <w:sz w:val="22"/>
          <w:szCs w:val="22"/>
          <w:lang w:val="tr-TR"/>
        </w:rPr>
        <w:t xml:space="preserve">: </w:t>
      </w:r>
      <m:oMath>
        <m:sSub>
          <m:sSubPr>
            <m:ctrlPr>
              <w:rPr>
                <w:rFonts w:ascii="Cambria Math" w:hAnsi="Cambria Math"/>
                <w:b w:val="0"/>
                <w:sz w:val="22"/>
                <w:szCs w:val="22"/>
                <w:lang w:val="tr-TR"/>
              </w:rPr>
            </m:ctrlPr>
          </m:sSubPr>
          <m:e>
            <m:r>
              <m:rPr>
                <m:sty m:val="b"/>
              </m:rPr>
              <w:rPr>
                <w:rFonts w:ascii="Cambria Math" w:hAnsi="Cambria Math"/>
                <w:sz w:val="22"/>
                <w:szCs w:val="22"/>
                <w:lang w:val="tr-TR"/>
              </w:rPr>
              <m:t>M</m:t>
            </m:r>
          </m:e>
          <m:sub>
            <m:r>
              <m:rPr>
                <m:sty m:val="b"/>
              </m:rPr>
              <w:rPr>
                <w:rFonts w:ascii="Cambria Math" w:hAnsi="Cambria Math"/>
                <w:sz w:val="22"/>
                <w:szCs w:val="22"/>
                <w:lang w:val="tr-TR"/>
              </w:rPr>
              <m:t>st</m:t>
            </m:r>
          </m:sub>
        </m:sSub>
        <m:r>
          <m:rPr>
            <m:sty m:val="b"/>
          </m:rPr>
          <w:rPr>
            <w:rFonts w:ascii="Cambria Math"/>
            <w:sz w:val="22"/>
            <w:szCs w:val="22"/>
            <w:lang w:val="tr-TR"/>
          </w:rPr>
          <m:t>=</m:t>
        </m:r>
        <m:sSub>
          <m:sSubPr>
            <m:ctrlPr>
              <w:rPr>
                <w:rFonts w:ascii="Cambria Math" w:hAnsi="Cambria Math"/>
                <w:b w:val="0"/>
                <w:sz w:val="22"/>
                <w:szCs w:val="22"/>
                <w:lang w:val="tr-TR"/>
              </w:rPr>
            </m:ctrlPr>
          </m:sSubPr>
          <m:e>
            <m:sSub>
              <m:sSubPr>
                <m:ctrlPr>
                  <w:rPr>
                    <w:rFonts w:ascii="Cambria Math" w:hAnsi="Cambria Math"/>
                    <w:b w:val="0"/>
                    <w:sz w:val="22"/>
                    <w:szCs w:val="22"/>
                    <w:lang w:val="tr-TR"/>
                  </w:rPr>
                </m:ctrlPr>
              </m:sSubPr>
              <m:e>
                <m:r>
                  <m:rPr>
                    <m:sty m:val="b"/>
                  </m:rPr>
                  <w:rPr>
                    <w:rFonts w:ascii="Cambria Math" w:hAnsi="Cambria Math"/>
                    <w:sz w:val="22"/>
                    <w:szCs w:val="22"/>
                    <w:lang w:val="tr-TR"/>
                  </w:rPr>
                  <m:t>Z</m:t>
                </m:r>
              </m:e>
              <m:sub>
                <m:r>
                  <m:rPr>
                    <m:sty m:val="b"/>
                  </m:rPr>
                  <w:rPr>
                    <w:rFonts w:ascii="Cambria Math" w:hAnsi="Cambria Math"/>
                    <w:sz w:val="22"/>
                    <w:szCs w:val="22"/>
                    <w:lang w:val="tr-TR"/>
                  </w:rPr>
                  <m:t>s</m:t>
                </m:r>
              </m:sub>
            </m:sSub>
            <m:r>
              <m:rPr>
                <m:sty m:val="b"/>
              </m:rPr>
              <w:rPr>
                <w:rFonts w:ascii="Cambria Math" w:hAnsi="Cambria Math"/>
                <w:sz w:val="22"/>
                <w:szCs w:val="22"/>
                <w:lang w:val="tr-TR"/>
              </w:rPr>
              <m:t>∙D</m:t>
            </m:r>
          </m:e>
          <m:sub>
            <m:r>
              <m:rPr>
                <m:sty m:val="b"/>
              </m:rPr>
              <w:rPr>
                <w:rFonts w:ascii="Cambria Math" w:hAnsi="Cambria Math"/>
                <w:sz w:val="22"/>
                <w:szCs w:val="22"/>
                <w:lang w:val="tr-TR"/>
              </w:rPr>
              <m:t>t</m:t>
            </m:r>
          </m:sub>
        </m:sSub>
      </m:oMath>
      <w:r w:rsidR="00A5781C">
        <w:rPr>
          <w:b w:val="0"/>
          <w:sz w:val="22"/>
          <w:szCs w:val="22"/>
          <w:lang w:val="tr-TR"/>
        </w:rPr>
        <w:t xml:space="preserve">. </w:t>
      </w:r>
      <w:r w:rsidR="0077765C">
        <w:rPr>
          <w:b w:val="0"/>
          <w:sz w:val="22"/>
          <w:szCs w:val="22"/>
          <w:lang w:val="tr-TR"/>
        </w:rPr>
        <w:t xml:space="preserve">Hem yıllık hem de çeyreklik verileri </w:t>
      </w:r>
      <w:r w:rsidR="00CC26D0">
        <w:rPr>
          <w:b w:val="0"/>
          <w:sz w:val="22"/>
          <w:szCs w:val="22"/>
          <w:lang w:val="tr-TR"/>
        </w:rPr>
        <w:t>kullanırken m</w:t>
      </w:r>
      <w:r w:rsidR="00AB5B4D">
        <w:rPr>
          <w:b w:val="0"/>
          <w:sz w:val="22"/>
          <w:szCs w:val="22"/>
          <w:lang w:val="tr-TR"/>
        </w:rPr>
        <w:t xml:space="preserve">üdahale yoğunluğu olan </w:t>
      </w:r>
      <m:oMath>
        <m:sSub>
          <m:sSubPr>
            <m:ctrlPr>
              <w:rPr>
                <w:rFonts w:ascii="Cambria Math" w:hAnsi="Cambria Math"/>
                <w:b w:val="0"/>
                <w:sz w:val="22"/>
                <w:szCs w:val="22"/>
                <w:lang w:val="tr-TR"/>
              </w:rPr>
            </m:ctrlPr>
          </m:sSubPr>
          <m:e>
            <m:r>
              <m:rPr>
                <m:sty m:val="b"/>
              </m:rPr>
              <w:rPr>
                <w:rFonts w:ascii="Cambria Math" w:hAnsi="Cambria Math"/>
                <w:sz w:val="22"/>
                <w:szCs w:val="22"/>
                <w:lang w:val="tr-TR"/>
              </w:rPr>
              <m:t>Z</m:t>
            </m:r>
          </m:e>
          <m:sub>
            <m:r>
              <m:rPr>
                <m:sty m:val="b"/>
              </m:rPr>
              <w:rPr>
                <w:rFonts w:ascii="Cambria Math" w:hAnsi="Cambria Math"/>
                <w:sz w:val="22"/>
                <w:szCs w:val="22"/>
                <w:lang w:val="tr-TR"/>
              </w:rPr>
              <m:t>s</m:t>
            </m:r>
          </m:sub>
        </m:sSub>
      </m:oMath>
      <w:r w:rsidR="0077765C">
        <w:rPr>
          <w:b w:val="0"/>
          <w:sz w:val="22"/>
          <w:szCs w:val="22"/>
          <w:lang w:val="tr-TR"/>
        </w:rPr>
        <w:t>'yi</w:t>
      </w:r>
      <w:r w:rsidR="001B514B">
        <w:rPr>
          <w:b w:val="0"/>
          <w:sz w:val="22"/>
          <w:szCs w:val="22"/>
          <w:lang w:val="tr-TR"/>
        </w:rPr>
        <w:t xml:space="preserve"> bir önceki yıl </w:t>
      </w:r>
      <w:r w:rsidR="0077765C">
        <w:rPr>
          <w:b w:val="0"/>
          <w:sz w:val="22"/>
          <w:szCs w:val="22"/>
          <w:lang w:val="tr-TR"/>
        </w:rPr>
        <w:t xml:space="preserve">aynı </w:t>
      </w:r>
      <w:r w:rsidR="00AB5B4D">
        <w:rPr>
          <w:b w:val="0"/>
          <w:sz w:val="22"/>
          <w:szCs w:val="22"/>
          <w:lang w:val="tr-TR"/>
        </w:rPr>
        <w:t>se</w:t>
      </w:r>
      <w:r w:rsidR="0077765C">
        <w:rPr>
          <w:b w:val="0"/>
          <w:sz w:val="22"/>
          <w:szCs w:val="22"/>
          <w:lang w:val="tr-TR"/>
        </w:rPr>
        <w:t>ktördeki</w:t>
      </w:r>
      <w:r w:rsidR="00AB5B4D">
        <w:rPr>
          <w:b w:val="0"/>
          <w:sz w:val="22"/>
          <w:szCs w:val="22"/>
          <w:lang w:val="tr-TR"/>
        </w:rPr>
        <w:t xml:space="preserve"> düşük ücretli çalışan</w:t>
      </w:r>
      <w:r w:rsidR="0077765C">
        <w:rPr>
          <w:b w:val="0"/>
          <w:sz w:val="22"/>
          <w:szCs w:val="22"/>
          <w:lang w:val="tr-TR"/>
        </w:rPr>
        <w:t>ların</w:t>
      </w:r>
      <w:r w:rsidR="00AB5B4D">
        <w:rPr>
          <w:b w:val="0"/>
          <w:sz w:val="22"/>
          <w:szCs w:val="22"/>
          <w:lang w:val="tr-TR"/>
        </w:rPr>
        <w:t xml:space="preserve"> oranı </w:t>
      </w:r>
      <w:r w:rsidR="0077765C">
        <w:rPr>
          <w:b w:val="0"/>
          <w:sz w:val="22"/>
          <w:szCs w:val="22"/>
          <w:lang w:val="tr-TR"/>
        </w:rPr>
        <w:t>şeklinde</w:t>
      </w:r>
      <w:r w:rsidR="00AB5B4D">
        <w:rPr>
          <w:b w:val="0"/>
          <w:sz w:val="22"/>
          <w:szCs w:val="22"/>
          <w:lang w:val="tr-TR"/>
        </w:rPr>
        <w:t xml:space="preserve"> hesaplıyoruz. </w:t>
      </w:r>
      <m:oMath>
        <m:sSub>
          <m:sSubPr>
            <m:ctrlPr>
              <w:rPr>
                <w:rFonts w:ascii="Cambria Math" w:hAnsi="Cambria Math"/>
                <w:b w:val="0"/>
                <w:sz w:val="22"/>
                <w:szCs w:val="22"/>
                <w:lang w:val="tr-TR"/>
              </w:rPr>
            </m:ctrlPr>
          </m:sSubPr>
          <m:e>
            <m:r>
              <m:rPr>
                <m:sty m:val="b"/>
              </m:rPr>
              <w:rPr>
                <w:rFonts w:ascii="Cambria Math" w:hAnsi="Cambria Math"/>
                <w:sz w:val="22"/>
                <w:szCs w:val="22"/>
                <w:lang w:val="tr-TR"/>
              </w:rPr>
              <m:t>D</m:t>
            </m:r>
          </m:e>
          <m:sub>
            <m:r>
              <m:rPr>
                <m:sty m:val="b"/>
              </m:rPr>
              <w:rPr>
                <w:rFonts w:ascii="Cambria Math" w:hAnsi="Cambria Math"/>
                <w:sz w:val="22"/>
                <w:szCs w:val="22"/>
                <w:lang w:val="tr-TR"/>
              </w:rPr>
              <m:t>t</m:t>
            </m:r>
          </m:sub>
        </m:sSub>
      </m:oMath>
      <w:r w:rsidR="00AB5B4D">
        <w:rPr>
          <w:b w:val="0"/>
          <w:sz w:val="22"/>
          <w:szCs w:val="22"/>
          <w:lang w:val="tr-TR"/>
        </w:rPr>
        <w:t xml:space="preserve"> </w:t>
      </w:r>
      <w:proofErr w:type="gramStart"/>
      <w:r w:rsidR="00CC26D0">
        <w:rPr>
          <w:b w:val="0"/>
          <w:sz w:val="22"/>
          <w:szCs w:val="22"/>
          <w:lang w:val="tr-TR"/>
        </w:rPr>
        <w:t>ise</w:t>
      </w:r>
      <w:proofErr w:type="gramEnd"/>
      <w:r w:rsidR="00CC26D0">
        <w:rPr>
          <w:b w:val="0"/>
          <w:sz w:val="22"/>
          <w:szCs w:val="22"/>
          <w:lang w:val="tr-TR"/>
        </w:rPr>
        <w:t xml:space="preserve"> </w:t>
      </w:r>
      <w:r w:rsidR="00AB5B4D">
        <w:rPr>
          <w:b w:val="0"/>
          <w:sz w:val="22"/>
          <w:szCs w:val="22"/>
          <w:lang w:val="tr-TR"/>
        </w:rPr>
        <w:t>müdahale</w:t>
      </w:r>
      <w:r w:rsidR="0077765C">
        <w:rPr>
          <w:b w:val="0"/>
          <w:sz w:val="22"/>
          <w:szCs w:val="22"/>
          <w:lang w:val="tr-TR"/>
        </w:rPr>
        <w:t xml:space="preserve"> dönemi</w:t>
      </w:r>
      <w:r w:rsidR="00AB5B4D">
        <w:rPr>
          <w:b w:val="0"/>
          <w:sz w:val="22"/>
          <w:szCs w:val="22"/>
          <w:lang w:val="tr-TR"/>
        </w:rPr>
        <w:t xml:space="preserve"> </w:t>
      </w:r>
      <w:r w:rsidR="003F77AE">
        <w:rPr>
          <w:b w:val="0"/>
          <w:sz w:val="22"/>
          <w:szCs w:val="22"/>
          <w:lang w:val="tr-TR"/>
        </w:rPr>
        <w:t xml:space="preserve">(yıl veya çeyrekler) </w:t>
      </w:r>
      <w:r w:rsidR="00AB5B4D">
        <w:rPr>
          <w:b w:val="0"/>
          <w:sz w:val="22"/>
          <w:szCs w:val="22"/>
          <w:lang w:val="tr-TR"/>
        </w:rPr>
        <w:t>ve sonrası</w:t>
      </w:r>
      <w:r w:rsidR="00CC26D0">
        <w:rPr>
          <w:b w:val="0"/>
          <w:sz w:val="22"/>
          <w:szCs w:val="22"/>
          <w:lang w:val="tr-TR"/>
        </w:rPr>
        <w:t xml:space="preserve"> için </w:t>
      </w:r>
      <w:r w:rsidR="00AB5B4D">
        <w:rPr>
          <w:b w:val="0"/>
          <w:sz w:val="22"/>
          <w:szCs w:val="22"/>
          <w:lang w:val="tr-TR"/>
        </w:rPr>
        <w:t xml:space="preserve">1, müdahale öncesi dönemler için 0 değerini almaktadır. </w:t>
      </w:r>
    </w:p>
    <w:p w:rsidR="00CE661F" w:rsidRDefault="00CE661F" w:rsidP="00CE661F">
      <w:pPr>
        <w:pStyle w:val="Heading2"/>
        <w:rPr>
          <w:b w:val="0"/>
          <w:sz w:val="22"/>
          <w:szCs w:val="22"/>
          <w:lang w:val="tr-TR"/>
        </w:rPr>
      </w:pPr>
      <w:r w:rsidRPr="00A5781C">
        <w:rPr>
          <w:b w:val="0"/>
          <w:sz w:val="22"/>
          <w:szCs w:val="22"/>
          <w:lang w:val="tr-TR"/>
        </w:rPr>
        <w:t xml:space="preserve">Farkların farkı yaklaşımında hayati nokta “paralel </w:t>
      </w:r>
      <w:proofErr w:type="gramStart"/>
      <w:r w:rsidRPr="00A5781C">
        <w:rPr>
          <w:b w:val="0"/>
          <w:sz w:val="22"/>
          <w:szCs w:val="22"/>
          <w:lang w:val="tr-TR"/>
        </w:rPr>
        <w:t>trend</w:t>
      </w:r>
      <w:proofErr w:type="gramEnd"/>
      <w:r w:rsidRPr="00A5781C">
        <w:rPr>
          <w:b w:val="0"/>
          <w:sz w:val="22"/>
          <w:szCs w:val="22"/>
          <w:lang w:val="tr-TR"/>
        </w:rPr>
        <w:t xml:space="preserve">” hipotezidir.  Bu hipotezi </w:t>
      </w:r>
      <w:r w:rsidR="00D75C65">
        <w:rPr>
          <w:b w:val="0"/>
          <w:sz w:val="22"/>
          <w:szCs w:val="22"/>
          <w:lang w:val="tr-TR"/>
        </w:rPr>
        <w:t xml:space="preserve">test etmek için </w:t>
      </w:r>
      <w:proofErr w:type="gramStart"/>
      <w:r w:rsidR="00D75C65">
        <w:rPr>
          <w:b w:val="0"/>
          <w:sz w:val="22"/>
          <w:szCs w:val="22"/>
          <w:lang w:val="tr-TR"/>
        </w:rPr>
        <w:t xml:space="preserve">literatürde  </w:t>
      </w:r>
      <w:proofErr w:type="spellStart"/>
      <w:r w:rsidR="00D75C65">
        <w:rPr>
          <w:b w:val="0"/>
          <w:sz w:val="22"/>
          <w:szCs w:val="22"/>
          <w:lang w:val="tr-TR"/>
        </w:rPr>
        <w:t>plasebo</w:t>
      </w:r>
      <w:proofErr w:type="spellEnd"/>
      <w:proofErr w:type="gramEnd"/>
      <w:r w:rsidR="00D75C65">
        <w:rPr>
          <w:b w:val="0"/>
          <w:sz w:val="22"/>
          <w:szCs w:val="22"/>
          <w:lang w:val="tr-TR"/>
        </w:rPr>
        <w:t xml:space="preserve"> testi olarak adlandırılan yaklaşımı kullanıyoruz. Buradaki esas fikir şöyle </w:t>
      </w:r>
      <w:r w:rsidR="00D75C65" w:rsidRPr="00242043">
        <w:rPr>
          <w:b w:val="0"/>
          <w:sz w:val="22"/>
          <w:szCs w:val="22"/>
          <w:lang w:val="tr-TR"/>
        </w:rPr>
        <w:t>özetlenebilir: eğer asgari ücret artışı gerçekten düşük ücretli sektörleri etkiliyorsa bu etki asgari ücret artışının çok yüksek olduğu 2016 yılı ile sınırlı olmalı, 2015'te aynı sektörlerde böyle bir etki olmamalıdır. Nitekim bu testi regresyon kullanmadan bir önceki notumuzda (</w:t>
      </w:r>
      <w:r w:rsidR="00D75C65" w:rsidRPr="00242043">
        <w:rPr>
          <w:rFonts w:eastAsiaTheme="minorHAnsi"/>
          <w:b w:val="0"/>
          <w:sz w:val="22"/>
          <w:szCs w:val="22"/>
          <w:lang w:val="tr-TR" w:eastAsia="en-US"/>
        </w:rPr>
        <w:t>Betam Araştırma Notu 18/222 "Asgari ücret artışının kayıt dışı çalışmaya etkisi özellikle düşük ücretli sektörlerde yoğunlaşıyor")</w:t>
      </w:r>
      <w:r w:rsidR="00D75C65" w:rsidRPr="00242043">
        <w:rPr>
          <w:b w:val="0"/>
          <w:sz w:val="22"/>
          <w:szCs w:val="22"/>
          <w:lang w:val="tr-TR"/>
        </w:rPr>
        <w:t xml:space="preserve"> grafikler aracılığı ile kullanmış ve beklenen etkinin sadece 2016 yılında gözlemlendiğini görsel olarak göstermiştik. Elinizdeki</w:t>
      </w:r>
      <w:r w:rsidR="00D75C65">
        <w:rPr>
          <w:b w:val="0"/>
          <w:sz w:val="22"/>
          <w:szCs w:val="22"/>
          <w:lang w:val="tr-TR"/>
        </w:rPr>
        <w:t xml:space="preserve"> bu notta aynı işlemi regresyon analizi ile daha analitik olarak tekrarlıyoruz. </w:t>
      </w:r>
    </w:p>
    <w:p w:rsidR="002D6EDD" w:rsidRPr="002D6EDD" w:rsidRDefault="002D6EDD" w:rsidP="002D6EDD">
      <w:r w:rsidRPr="007245F2">
        <w:rPr>
          <w:rFonts w:eastAsiaTheme="minorHAnsi"/>
          <w:lang w:eastAsia="en-US"/>
        </w:rPr>
        <w:t>Regresyon analizi sadece ücretli kadın çalışanlar</w:t>
      </w:r>
      <w:r>
        <w:rPr>
          <w:rFonts w:eastAsiaTheme="minorHAnsi"/>
          <w:lang w:eastAsia="en-US"/>
        </w:rPr>
        <w:t>ın yıllık ve çeyreklik verileri ile</w:t>
      </w:r>
      <w:r w:rsidRPr="007245F2">
        <w:rPr>
          <w:rFonts w:eastAsiaTheme="minorHAnsi"/>
          <w:lang w:eastAsia="en-US"/>
        </w:rPr>
        <w:t xml:space="preserve"> yapıldığında asgari ücret artışının kayıt dışı çalışma üzerinde anlamlı bir etki</w:t>
      </w:r>
      <w:r>
        <w:rPr>
          <w:rFonts w:eastAsiaTheme="minorHAnsi"/>
          <w:lang w:eastAsia="en-US"/>
        </w:rPr>
        <w:t>sinin olmadığı</w:t>
      </w:r>
      <w:r w:rsidRPr="007245F2">
        <w:rPr>
          <w:rFonts w:eastAsiaTheme="minorHAnsi"/>
          <w:lang w:eastAsia="en-US"/>
        </w:rPr>
        <w:t xml:space="preserve"> görülmektedir. Bu sonuç, yukarıda Şekil 1 ve 2’de gösterildiği gibi asgari ücret şokunun kayıt dışılık etkisinin sektörler düzeyinde düşük ücret yoğunluğuna bağlı olduğu ancak bu etkinin erkek çalışanlarla sınırlı kaldığı bulgusunu doğrulamaktadır. Bu bakımdan regresyon analizi sonuçlarını ücretli erkeklerle sınırlayarak tartışmak istiyoruz.</w:t>
      </w:r>
      <w:r>
        <w:rPr>
          <w:rFonts w:eastAsiaTheme="minorHAnsi"/>
          <w:lang w:eastAsia="en-US"/>
        </w:rPr>
        <w:t xml:space="preserve">  </w:t>
      </w:r>
    </w:p>
    <w:p w:rsidR="009B27CB" w:rsidRPr="002D6EDD" w:rsidRDefault="00B21EB1" w:rsidP="005A7703">
      <w:pPr>
        <w:rPr>
          <w:rFonts w:eastAsiaTheme="minorHAnsi"/>
          <w:b/>
          <w:lang w:eastAsia="en-US"/>
        </w:rPr>
      </w:pPr>
      <w:r w:rsidRPr="001D15E1">
        <w:rPr>
          <w:rFonts w:eastAsiaTheme="minorHAnsi"/>
          <w:b/>
          <w:lang w:eastAsia="en-US"/>
        </w:rPr>
        <w:t>a) Yıllık veriler</w:t>
      </w:r>
    </w:p>
    <w:p w:rsidR="00430B02" w:rsidRPr="001D15E1" w:rsidRDefault="009F689F" w:rsidP="005A7703">
      <w:pPr>
        <w:rPr>
          <w:rFonts w:eastAsiaTheme="minorHAnsi"/>
          <w:lang w:eastAsia="en-US"/>
        </w:rPr>
      </w:pPr>
      <w:proofErr w:type="spellStart"/>
      <w:r w:rsidRPr="001D15E1">
        <w:rPr>
          <w:szCs w:val="22"/>
          <w:lang w:eastAsia="tr-TR"/>
        </w:rPr>
        <w:t>TUİK’in</w:t>
      </w:r>
      <w:proofErr w:type="spellEnd"/>
      <w:r w:rsidRPr="001D15E1">
        <w:rPr>
          <w:szCs w:val="22"/>
          <w:lang w:eastAsia="tr-TR"/>
        </w:rPr>
        <w:t xml:space="preserve"> yayınladığı</w:t>
      </w:r>
      <w:r w:rsidR="00017D36" w:rsidRPr="001D15E1">
        <w:rPr>
          <w:szCs w:val="22"/>
          <w:lang w:eastAsia="tr-TR"/>
        </w:rPr>
        <w:t>,</w:t>
      </w:r>
      <w:r w:rsidR="00734E9F" w:rsidRPr="001D15E1">
        <w:rPr>
          <w:szCs w:val="22"/>
          <w:lang w:eastAsia="tr-TR"/>
        </w:rPr>
        <w:t xml:space="preserve"> </w:t>
      </w:r>
      <w:r w:rsidR="007E5149" w:rsidRPr="001D15E1">
        <w:rPr>
          <w:rFonts w:eastAsiaTheme="minorHAnsi"/>
          <w:lang w:eastAsia="en-US"/>
        </w:rPr>
        <w:t>2009-2016</w:t>
      </w:r>
      <w:r w:rsidR="00734E9F" w:rsidRPr="001D15E1">
        <w:rPr>
          <w:rFonts w:eastAsiaTheme="minorHAnsi"/>
          <w:lang w:eastAsia="en-US"/>
        </w:rPr>
        <w:t xml:space="preserve"> </w:t>
      </w:r>
      <w:r w:rsidRPr="001D15E1">
        <w:rPr>
          <w:rFonts w:eastAsiaTheme="minorHAnsi"/>
          <w:lang w:eastAsia="en-US"/>
        </w:rPr>
        <w:t>dönemini kapsayan</w:t>
      </w:r>
      <w:r w:rsidR="000C1815" w:rsidRPr="001D15E1">
        <w:rPr>
          <w:rFonts w:eastAsiaTheme="minorHAnsi"/>
          <w:lang w:eastAsia="en-US"/>
        </w:rPr>
        <w:t xml:space="preserve"> </w:t>
      </w:r>
      <w:r w:rsidR="00A95A6B" w:rsidRPr="001D15E1">
        <w:rPr>
          <w:rFonts w:eastAsiaTheme="minorHAnsi"/>
          <w:lang w:eastAsia="en-US"/>
        </w:rPr>
        <w:t>HİA</w:t>
      </w:r>
      <w:r w:rsidR="007E5149" w:rsidRPr="001D15E1">
        <w:rPr>
          <w:rFonts w:eastAsiaTheme="minorHAnsi"/>
          <w:lang w:eastAsia="en-US"/>
        </w:rPr>
        <w:t xml:space="preserve"> yıllık verileri kullanılara</w:t>
      </w:r>
      <w:r w:rsidR="00027507" w:rsidRPr="001D15E1">
        <w:rPr>
          <w:rFonts w:eastAsiaTheme="minorHAnsi"/>
          <w:lang w:eastAsia="en-US"/>
        </w:rPr>
        <w:t>k</w:t>
      </w:r>
      <w:r w:rsidR="00552E42" w:rsidRPr="001D15E1">
        <w:rPr>
          <w:szCs w:val="22"/>
          <w:lang w:eastAsia="tr-TR"/>
        </w:rPr>
        <w:t xml:space="preserve"> elde edilen r</w:t>
      </w:r>
      <w:r w:rsidR="00CF1565" w:rsidRPr="001D15E1">
        <w:rPr>
          <w:rFonts w:eastAsiaTheme="minorHAnsi"/>
          <w:lang w:eastAsia="en-US"/>
        </w:rPr>
        <w:t xml:space="preserve">egresyon </w:t>
      </w:r>
      <w:r w:rsidR="00664CDA" w:rsidRPr="001D15E1">
        <w:rPr>
          <w:rFonts w:eastAsiaTheme="minorHAnsi"/>
          <w:lang w:eastAsia="en-US"/>
        </w:rPr>
        <w:t>sonuçları Tablo</w:t>
      </w:r>
      <w:r w:rsidR="00810234" w:rsidRPr="001D15E1">
        <w:rPr>
          <w:rFonts w:eastAsiaTheme="minorHAnsi"/>
          <w:lang w:eastAsia="en-US"/>
        </w:rPr>
        <w:t>1</w:t>
      </w:r>
      <w:r w:rsidR="00E36BBD" w:rsidRPr="001D15E1">
        <w:rPr>
          <w:rFonts w:eastAsiaTheme="minorHAnsi"/>
          <w:lang w:eastAsia="en-US"/>
        </w:rPr>
        <w:t>’</w:t>
      </w:r>
      <w:r w:rsidR="00810234" w:rsidRPr="001D15E1">
        <w:rPr>
          <w:rFonts w:eastAsiaTheme="minorHAnsi"/>
          <w:lang w:eastAsia="en-US"/>
        </w:rPr>
        <w:t>d</w:t>
      </w:r>
      <w:r w:rsidR="00E36BBD" w:rsidRPr="001D15E1">
        <w:rPr>
          <w:rFonts w:eastAsiaTheme="minorHAnsi"/>
          <w:lang w:eastAsia="en-US"/>
        </w:rPr>
        <w:t>e gösterilmektedir.</w:t>
      </w:r>
      <w:r w:rsidR="00CC26D0">
        <w:rPr>
          <w:rFonts w:eastAsiaTheme="minorHAnsi"/>
          <w:lang w:eastAsia="en-US"/>
        </w:rPr>
        <w:t xml:space="preserve"> Regresyon modelinde belirtilen çarpım değişeni (</w:t>
      </w:r>
      <m:oMath>
        <m:sSub>
          <m:sSubPr>
            <m:ctrlPr>
              <w:rPr>
                <w:rFonts w:ascii="Cambria Math" w:hAnsi="Cambria Math"/>
                <w:szCs w:val="22"/>
              </w:rPr>
            </m:ctrlPr>
          </m:sSubPr>
          <m:e>
            <m:r>
              <m:rPr>
                <m:sty m:val="b"/>
              </m:rPr>
              <w:rPr>
                <w:rFonts w:ascii="Cambria Math" w:hAnsi="Cambria Math"/>
                <w:szCs w:val="22"/>
              </w:rPr>
              <m:t>M</m:t>
            </m:r>
          </m:e>
          <m:sub>
            <m:r>
              <m:rPr>
                <m:sty m:val="b"/>
              </m:rPr>
              <w:rPr>
                <w:rFonts w:ascii="Cambria Math" w:hAnsi="Cambria Math"/>
                <w:szCs w:val="22"/>
              </w:rPr>
              <m:t>st</m:t>
            </m:r>
          </m:sub>
        </m:sSub>
        <m:r>
          <m:rPr>
            <m:sty m:val="b"/>
          </m:rPr>
          <w:rPr>
            <w:rFonts w:ascii="Cambria Math"/>
            <w:szCs w:val="22"/>
          </w:rPr>
          <m:t>=</m:t>
        </m:r>
        <m:sSub>
          <m:sSubPr>
            <m:ctrlPr>
              <w:rPr>
                <w:rFonts w:ascii="Cambria Math" w:hAnsi="Cambria Math"/>
                <w:szCs w:val="22"/>
              </w:rPr>
            </m:ctrlPr>
          </m:sSubPr>
          <m:e>
            <m:sSub>
              <m:sSubPr>
                <m:ctrlPr>
                  <w:rPr>
                    <w:rFonts w:ascii="Cambria Math" w:hAnsi="Cambria Math"/>
                    <w:szCs w:val="22"/>
                  </w:rPr>
                </m:ctrlPr>
              </m:sSubPr>
              <m:e>
                <m:r>
                  <m:rPr>
                    <m:sty m:val="b"/>
                  </m:rPr>
                  <w:rPr>
                    <w:rFonts w:ascii="Cambria Math" w:hAnsi="Cambria Math"/>
                    <w:szCs w:val="22"/>
                  </w:rPr>
                  <m:t>Z</m:t>
                </m:r>
              </m:e>
              <m:sub>
                <m:r>
                  <m:rPr>
                    <m:sty m:val="b"/>
                  </m:rPr>
                  <w:rPr>
                    <w:rFonts w:ascii="Cambria Math" w:hAnsi="Cambria Math"/>
                    <w:szCs w:val="22"/>
                  </w:rPr>
                  <m:t>s</m:t>
                </m:r>
              </m:sub>
            </m:sSub>
            <m:r>
              <m:rPr>
                <m:sty m:val="b"/>
              </m:rPr>
              <w:rPr>
                <w:rFonts w:ascii="Cambria Math" w:hAnsi="Cambria Math"/>
                <w:szCs w:val="22"/>
              </w:rPr>
              <m:t>∙D</m:t>
            </m:r>
          </m:e>
          <m:sub>
            <m:r>
              <m:rPr>
                <m:sty m:val="b"/>
              </m:rPr>
              <w:rPr>
                <w:rFonts w:ascii="Cambria Math" w:hAnsi="Cambria Math"/>
                <w:szCs w:val="22"/>
              </w:rPr>
              <m:t>t</m:t>
            </m:r>
          </m:sub>
        </m:sSub>
      </m:oMath>
      <w:r w:rsidR="00CC26D0">
        <w:rPr>
          <w:rFonts w:eastAsiaTheme="minorEastAsia"/>
          <w:szCs w:val="22"/>
        </w:rPr>
        <w:t xml:space="preserve">) Tablo 1'de "sh15y16" ve "sh14y15" ile temsil edilmektedir. </w:t>
      </w:r>
      <w:r w:rsidR="009E0340" w:rsidRPr="001D15E1">
        <w:rPr>
          <w:rFonts w:eastAsiaTheme="minorHAnsi"/>
          <w:lang w:eastAsia="en-US"/>
        </w:rPr>
        <w:t xml:space="preserve">“sh15y16” </w:t>
      </w:r>
      <w:r w:rsidR="002D5A48">
        <w:rPr>
          <w:rFonts w:eastAsiaTheme="minorHAnsi"/>
          <w:lang w:eastAsia="en-US"/>
        </w:rPr>
        <w:t xml:space="preserve">aslında iki </w:t>
      </w:r>
      <w:r w:rsidR="009E0340" w:rsidRPr="001D15E1">
        <w:rPr>
          <w:rFonts w:eastAsiaTheme="minorHAnsi"/>
          <w:lang w:eastAsia="en-US"/>
        </w:rPr>
        <w:t>değişkeni</w:t>
      </w:r>
      <w:r w:rsidR="002D5A48">
        <w:rPr>
          <w:rFonts w:eastAsiaTheme="minorHAnsi"/>
          <w:lang w:eastAsia="en-US"/>
        </w:rPr>
        <w:t xml:space="preserve">n çarpımından ibarettir. </w:t>
      </w:r>
      <w:r w:rsidR="00CC26D0">
        <w:rPr>
          <w:rFonts w:eastAsiaTheme="minorHAnsi"/>
          <w:lang w:eastAsia="en-US"/>
        </w:rPr>
        <w:t xml:space="preserve"> </w:t>
      </w:r>
      <w:r w:rsidR="009E0340" w:rsidRPr="001D15E1">
        <w:rPr>
          <w:rFonts w:eastAsiaTheme="minorHAnsi"/>
          <w:lang w:eastAsia="en-US"/>
        </w:rPr>
        <w:t xml:space="preserve">2015 </w:t>
      </w:r>
      <w:r w:rsidR="00CC26D0">
        <w:rPr>
          <w:rFonts w:eastAsiaTheme="minorHAnsi"/>
          <w:lang w:eastAsia="en-US"/>
        </w:rPr>
        <w:t>yılı</w:t>
      </w:r>
      <w:r w:rsidR="002D5A48">
        <w:rPr>
          <w:rFonts w:eastAsiaTheme="minorHAnsi"/>
          <w:lang w:eastAsia="en-US"/>
        </w:rPr>
        <w:t xml:space="preserve"> verilerinden elde edilen sektördeki </w:t>
      </w:r>
      <w:r w:rsidR="009E0340" w:rsidRPr="001D15E1">
        <w:rPr>
          <w:rFonts w:eastAsiaTheme="minorHAnsi"/>
          <w:lang w:eastAsia="en-US"/>
        </w:rPr>
        <w:t>düşük ücretli çalışan yoğunluğu</w:t>
      </w:r>
      <w:r w:rsidR="002D5A48">
        <w:rPr>
          <w:rFonts w:eastAsiaTheme="minorHAnsi"/>
          <w:lang w:eastAsia="en-US"/>
        </w:rPr>
        <w:t xml:space="preserve"> ("sh15") ve </w:t>
      </w:r>
      <w:r w:rsidR="00CC26D0">
        <w:rPr>
          <w:rFonts w:eastAsiaTheme="minorHAnsi"/>
          <w:lang w:eastAsia="en-US"/>
        </w:rPr>
        <w:t>2016 yılı</w:t>
      </w:r>
      <w:r w:rsidR="002D5A48">
        <w:rPr>
          <w:rFonts w:eastAsiaTheme="minorHAnsi"/>
          <w:lang w:eastAsia="en-US"/>
        </w:rPr>
        <w:t xml:space="preserve"> kukla değişkeni ("y16"). Benzer şekilde </w:t>
      </w:r>
      <w:r w:rsidR="002D5A48">
        <w:rPr>
          <w:rFonts w:eastAsiaTheme="minorEastAsia"/>
          <w:szCs w:val="22"/>
        </w:rPr>
        <w:t xml:space="preserve">"sh14y15" çarpım değişkeni de </w:t>
      </w:r>
      <w:r w:rsidR="002D5A48" w:rsidRPr="001D15E1">
        <w:rPr>
          <w:rFonts w:eastAsiaTheme="minorHAnsi"/>
          <w:lang w:eastAsia="en-US"/>
        </w:rPr>
        <w:t>201</w:t>
      </w:r>
      <w:r w:rsidR="002D5A48">
        <w:rPr>
          <w:rFonts w:eastAsiaTheme="minorHAnsi"/>
          <w:lang w:eastAsia="en-US"/>
        </w:rPr>
        <w:t>4</w:t>
      </w:r>
      <w:r w:rsidR="002D5A48" w:rsidRPr="001D15E1">
        <w:rPr>
          <w:rFonts w:eastAsiaTheme="minorHAnsi"/>
          <w:lang w:eastAsia="en-US"/>
        </w:rPr>
        <w:t xml:space="preserve"> </w:t>
      </w:r>
      <w:r w:rsidR="002D5A48">
        <w:rPr>
          <w:rFonts w:eastAsiaTheme="minorHAnsi"/>
          <w:lang w:eastAsia="en-US"/>
        </w:rPr>
        <w:t xml:space="preserve">yılı verilerinden elde edilen sektördeki </w:t>
      </w:r>
      <w:r w:rsidR="002D5A48" w:rsidRPr="001D15E1">
        <w:rPr>
          <w:rFonts w:eastAsiaTheme="minorHAnsi"/>
          <w:lang w:eastAsia="en-US"/>
        </w:rPr>
        <w:t xml:space="preserve">düşük ücretli </w:t>
      </w:r>
      <w:r w:rsidR="002D5A48" w:rsidRPr="001D15E1">
        <w:rPr>
          <w:rFonts w:eastAsiaTheme="minorHAnsi"/>
          <w:lang w:eastAsia="en-US"/>
        </w:rPr>
        <w:lastRenderedPageBreak/>
        <w:t>çalışan yoğunluğu</w:t>
      </w:r>
      <w:r w:rsidR="002D5A48">
        <w:rPr>
          <w:rFonts w:eastAsiaTheme="minorHAnsi"/>
          <w:lang w:eastAsia="en-US"/>
        </w:rPr>
        <w:t xml:space="preserve"> ("sh14") ve 2015 yılı kukla değişkeni ("y15") kullanılarak elde edilmiştir. </w:t>
      </w:r>
      <w:r w:rsidR="000F4DF3" w:rsidRPr="001D15E1">
        <w:rPr>
          <w:rFonts w:eastAsiaTheme="minorHAnsi"/>
          <w:lang w:eastAsia="en-US"/>
        </w:rPr>
        <w:t>1 Ocak 2016’da yaşanan asgari ücret şokunun kayıt dışı istihdama etkisi</w:t>
      </w:r>
      <w:r w:rsidR="002D5A48">
        <w:rPr>
          <w:rFonts w:eastAsiaTheme="minorHAnsi"/>
          <w:lang w:eastAsia="en-US"/>
        </w:rPr>
        <w:t xml:space="preserve"> sadece 2016 yılında ve özellikle düşük ücretli çalışan yoğunluğunun yüksek olduğu sektörlerde gözlemlendiyse </w:t>
      </w:r>
      <w:r w:rsidR="002D5A48" w:rsidRPr="001D15E1">
        <w:rPr>
          <w:rFonts w:eastAsiaTheme="minorHAnsi"/>
          <w:lang w:eastAsia="en-US"/>
        </w:rPr>
        <w:t>“sh15y16”</w:t>
      </w:r>
      <w:r w:rsidR="002D5A48">
        <w:rPr>
          <w:rFonts w:eastAsiaTheme="minorHAnsi"/>
          <w:lang w:eastAsia="en-US"/>
        </w:rPr>
        <w:t xml:space="preserve"> çarpım değişkeni anlamlı ve pozitif işaretli çıkmalıdır. 2015 yılında bir asgari ücret şoku söz konusu olmadığı için </w:t>
      </w:r>
      <w:r w:rsidR="000F4DF3" w:rsidRPr="001D15E1">
        <w:rPr>
          <w:rFonts w:eastAsiaTheme="minorHAnsi"/>
          <w:lang w:eastAsia="en-US"/>
        </w:rPr>
        <w:t xml:space="preserve">“sh14y15” </w:t>
      </w:r>
      <w:r w:rsidR="002D5A48">
        <w:rPr>
          <w:rFonts w:eastAsiaTheme="minorHAnsi"/>
          <w:lang w:eastAsia="en-US"/>
        </w:rPr>
        <w:t xml:space="preserve">çarpım </w:t>
      </w:r>
      <w:r w:rsidR="000F4DF3" w:rsidRPr="001D15E1">
        <w:rPr>
          <w:rFonts w:eastAsiaTheme="minorHAnsi"/>
          <w:lang w:eastAsia="en-US"/>
        </w:rPr>
        <w:t xml:space="preserve">değişkenine ait </w:t>
      </w:r>
      <w:r w:rsidR="00667E12">
        <w:rPr>
          <w:rFonts w:eastAsiaTheme="minorHAnsi"/>
          <w:lang w:eastAsia="en-US"/>
        </w:rPr>
        <w:t xml:space="preserve">katsayıların istatistiki olarak anlamsız çıkması beklenir. </w:t>
      </w:r>
      <w:r w:rsidR="00667E12">
        <w:rPr>
          <w:rFonts w:eastAsiaTheme="minorEastAsia"/>
          <w:szCs w:val="22"/>
        </w:rPr>
        <w:t xml:space="preserve">"sh15y16" çarpım değişkeni müdahale etkisini ölçerken </w:t>
      </w:r>
      <w:r w:rsidR="00667E12" w:rsidRPr="001D15E1">
        <w:rPr>
          <w:rFonts w:eastAsiaTheme="minorHAnsi"/>
          <w:lang w:eastAsia="en-US"/>
        </w:rPr>
        <w:t xml:space="preserve">“sh14y15” </w:t>
      </w:r>
      <w:proofErr w:type="spellStart"/>
      <w:r w:rsidR="00667E12">
        <w:rPr>
          <w:rFonts w:eastAsiaTheme="minorHAnsi"/>
          <w:lang w:eastAsia="en-US"/>
        </w:rPr>
        <w:t>plasebo</w:t>
      </w:r>
      <w:proofErr w:type="spellEnd"/>
      <w:r w:rsidR="00667E12">
        <w:rPr>
          <w:rFonts w:eastAsiaTheme="minorHAnsi"/>
          <w:lang w:eastAsia="en-US"/>
        </w:rPr>
        <w:t xml:space="preserve"> testi işlevini görmektedir. T</w:t>
      </w:r>
      <w:r w:rsidR="00A445BE" w:rsidRPr="001D15E1">
        <w:rPr>
          <w:rFonts w:eastAsiaTheme="minorHAnsi"/>
          <w:lang w:eastAsia="en-US"/>
        </w:rPr>
        <w:t>ablo</w:t>
      </w:r>
      <w:r w:rsidR="00667E12">
        <w:rPr>
          <w:rFonts w:eastAsiaTheme="minorHAnsi"/>
          <w:lang w:eastAsia="en-US"/>
        </w:rPr>
        <w:t xml:space="preserve"> 1'de</w:t>
      </w:r>
      <w:r w:rsidR="00A445BE" w:rsidRPr="001D15E1">
        <w:rPr>
          <w:rFonts w:eastAsiaTheme="minorHAnsi"/>
          <w:lang w:eastAsia="en-US"/>
        </w:rPr>
        <w:t>ki regresyon sonuçlarına bakıldığında hiçbir model için anlamlı ve pozitif bir etki görülmemektedir</w:t>
      </w:r>
      <w:r w:rsidR="00667E12">
        <w:rPr>
          <w:rFonts w:eastAsiaTheme="minorHAnsi"/>
          <w:lang w:eastAsia="en-US"/>
        </w:rPr>
        <w:t>. Yıllık veriler kullanıldığında s</w:t>
      </w:r>
      <w:r w:rsidR="00636DEB" w:rsidRPr="001D15E1">
        <w:rPr>
          <w:rFonts w:eastAsiaTheme="minorHAnsi"/>
          <w:lang w:eastAsia="en-US"/>
        </w:rPr>
        <w:t>on yaşanan a</w:t>
      </w:r>
      <w:r w:rsidR="00B52360" w:rsidRPr="001D15E1">
        <w:rPr>
          <w:rFonts w:eastAsiaTheme="minorHAnsi"/>
          <w:lang w:eastAsia="en-US"/>
        </w:rPr>
        <w:t xml:space="preserve">sgari ücret şokunun kayıt dışı istihdam üzerinde anlamlı bir etkisi </w:t>
      </w:r>
      <w:r w:rsidR="00430B02" w:rsidRPr="001D15E1">
        <w:rPr>
          <w:rFonts w:eastAsiaTheme="minorHAnsi"/>
          <w:lang w:eastAsia="en-US"/>
        </w:rPr>
        <w:t xml:space="preserve">olmadığı </w:t>
      </w:r>
      <w:r w:rsidR="00667E12">
        <w:rPr>
          <w:rFonts w:eastAsiaTheme="minorHAnsi"/>
          <w:lang w:eastAsia="en-US"/>
        </w:rPr>
        <w:t>ileri sürülebilir</w:t>
      </w:r>
      <w:r w:rsidR="00A445BE" w:rsidRPr="001D15E1">
        <w:rPr>
          <w:rFonts w:eastAsiaTheme="minorHAnsi"/>
          <w:lang w:eastAsia="en-US"/>
        </w:rPr>
        <w:t xml:space="preserve">. </w:t>
      </w:r>
    </w:p>
    <w:p w:rsidR="00430B02" w:rsidRPr="001D15E1" w:rsidRDefault="00430B02" w:rsidP="00430B02">
      <w:pPr>
        <w:pStyle w:val="Caption"/>
        <w:keepNext/>
        <w:rPr>
          <w:sz w:val="22"/>
        </w:rPr>
      </w:pPr>
      <w:r w:rsidRPr="001D15E1">
        <w:rPr>
          <w:sz w:val="22"/>
        </w:rPr>
        <w:t xml:space="preserve">Tablo </w:t>
      </w:r>
      <w:r w:rsidR="002D026E" w:rsidRPr="001D15E1">
        <w:rPr>
          <w:sz w:val="22"/>
        </w:rPr>
        <w:fldChar w:fldCharType="begin"/>
      </w:r>
      <w:r w:rsidRPr="001D15E1">
        <w:rPr>
          <w:sz w:val="22"/>
        </w:rPr>
        <w:instrText xml:space="preserve"> SEQ Tablo \* ARABIC </w:instrText>
      </w:r>
      <w:r w:rsidR="002D026E" w:rsidRPr="001D15E1">
        <w:rPr>
          <w:sz w:val="22"/>
        </w:rPr>
        <w:fldChar w:fldCharType="separate"/>
      </w:r>
      <w:r w:rsidR="00F1649F" w:rsidRPr="001D15E1">
        <w:rPr>
          <w:noProof/>
          <w:sz w:val="22"/>
        </w:rPr>
        <w:t>1</w:t>
      </w:r>
      <w:r w:rsidR="002D026E" w:rsidRPr="001D15E1">
        <w:rPr>
          <w:sz w:val="22"/>
        </w:rPr>
        <w:fldChar w:fldCharType="end"/>
      </w:r>
      <w:r w:rsidR="00AF7A9E">
        <w:rPr>
          <w:sz w:val="22"/>
        </w:rPr>
        <w:t>:</w:t>
      </w:r>
      <w:r w:rsidR="001D15E1" w:rsidRPr="001D15E1">
        <w:rPr>
          <w:sz w:val="22"/>
        </w:rPr>
        <w:t xml:space="preserve"> </w:t>
      </w:r>
      <w:r w:rsidR="00AF7A9E">
        <w:rPr>
          <w:sz w:val="22"/>
        </w:rPr>
        <w:t xml:space="preserve">Ücretli çalışan erkekler için asgari ücret artışının kayıt dışı istihdama olan etkileri: </w:t>
      </w:r>
      <w:r w:rsidRPr="001D15E1">
        <w:rPr>
          <w:sz w:val="22"/>
        </w:rPr>
        <w:t>regresyon sonuçları (</w:t>
      </w:r>
      <w:r w:rsidR="002E42A6" w:rsidRPr="001D15E1">
        <w:rPr>
          <w:sz w:val="22"/>
        </w:rPr>
        <w:t xml:space="preserve">2009-2016, </w:t>
      </w:r>
      <w:r w:rsidRPr="001D15E1">
        <w:rPr>
          <w:sz w:val="22"/>
        </w:rPr>
        <w:t>yıllık veriler)</w:t>
      </w:r>
    </w:p>
    <w:tbl>
      <w:tblPr>
        <w:tblW w:w="3560" w:type="dxa"/>
        <w:jc w:val="center"/>
        <w:tblCellMar>
          <w:left w:w="70" w:type="dxa"/>
          <w:right w:w="70" w:type="dxa"/>
        </w:tblCellMar>
        <w:tblLook w:val="04A0" w:firstRow="1" w:lastRow="0" w:firstColumn="1" w:lastColumn="0" w:noHBand="0" w:noVBand="1"/>
      </w:tblPr>
      <w:tblGrid>
        <w:gridCol w:w="1480"/>
        <w:gridCol w:w="1040"/>
        <w:gridCol w:w="1040"/>
      </w:tblGrid>
      <w:tr w:rsidR="00011EDA" w:rsidRPr="004B2656" w:rsidTr="00011EDA">
        <w:trPr>
          <w:trHeight w:hRule="exact" w:val="227"/>
          <w:jc w:val="center"/>
        </w:trPr>
        <w:tc>
          <w:tcPr>
            <w:tcW w:w="1480" w:type="dxa"/>
            <w:tcBorders>
              <w:top w:val="single" w:sz="4" w:space="0" w:color="auto"/>
              <w:left w:val="nil"/>
              <w:bottom w:val="nil"/>
              <w:right w:val="single" w:sz="4" w:space="0" w:color="auto"/>
            </w:tcBorders>
            <w:shd w:val="clear" w:color="auto" w:fill="auto"/>
            <w:noWrap/>
            <w:vAlign w:val="bottom"/>
            <w:hideMark/>
          </w:tcPr>
          <w:p w:rsidR="00011EDA" w:rsidRPr="004B2656" w:rsidRDefault="00011EDA" w:rsidP="004B2656">
            <w:pPr>
              <w:suppressAutoHyphens w:val="0"/>
              <w:spacing w:after="0" w:line="240" w:lineRule="auto"/>
              <w:jc w:val="left"/>
              <w:rPr>
                <w:rFonts w:cs="Calibri"/>
                <w:sz w:val="16"/>
                <w:lang w:eastAsia="tr-TR"/>
              </w:rPr>
            </w:pPr>
          </w:p>
        </w:tc>
        <w:tc>
          <w:tcPr>
            <w:tcW w:w="1040" w:type="dxa"/>
            <w:tcBorders>
              <w:top w:val="single" w:sz="4" w:space="0" w:color="auto"/>
              <w:left w:val="nil"/>
              <w:bottom w:val="nil"/>
              <w:right w:val="nil"/>
            </w:tcBorders>
            <w:shd w:val="clear" w:color="auto" w:fill="auto"/>
            <w:noWrap/>
            <w:vAlign w:val="bottom"/>
            <w:hideMark/>
          </w:tcPr>
          <w:p w:rsidR="00011EDA" w:rsidRPr="004B2656" w:rsidRDefault="00011EDA" w:rsidP="004B2656">
            <w:pPr>
              <w:suppressAutoHyphens w:val="0"/>
              <w:spacing w:after="0" w:line="240" w:lineRule="auto"/>
              <w:jc w:val="center"/>
              <w:rPr>
                <w:rFonts w:cs="Calibri"/>
                <w:sz w:val="16"/>
                <w:lang w:eastAsia="tr-TR"/>
              </w:rPr>
            </w:pPr>
            <w:r w:rsidRPr="004B2656">
              <w:rPr>
                <w:rFonts w:cs="Calibri"/>
                <w:sz w:val="16"/>
                <w:lang w:eastAsia="tr-TR"/>
              </w:rPr>
              <w:t>(1)</w:t>
            </w:r>
          </w:p>
        </w:tc>
        <w:tc>
          <w:tcPr>
            <w:tcW w:w="1040" w:type="dxa"/>
            <w:tcBorders>
              <w:top w:val="single" w:sz="4" w:space="0" w:color="auto"/>
              <w:left w:val="nil"/>
              <w:bottom w:val="nil"/>
              <w:right w:val="nil"/>
            </w:tcBorders>
            <w:shd w:val="clear" w:color="auto" w:fill="auto"/>
            <w:noWrap/>
            <w:vAlign w:val="bottom"/>
            <w:hideMark/>
          </w:tcPr>
          <w:p w:rsidR="00011EDA" w:rsidRPr="004B2656" w:rsidRDefault="00011EDA" w:rsidP="004B2656">
            <w:pPr>
              <w:suppressAutoHyphens w:val="0"/>
              <w:spacing w:after="0" w:line="240" w:lineRule="auto"/>
              <w:jc w:val="center"/>
              <w:rPr>
                <w:rFonts w:cs="Calibri"/>
                <w:sz w:val="16"/>
                <w:lang w:eastAsia="tr-TR"/>
              </w:rPr>
            </w:pPr>
            <w:r w:rsidRPr="004B2656">
              <w:rPr>
                <w:rFonts w:cs="Calibri"/>
                <w:sz w:val="16"/>
                <w:lang w:eastAsia="tr-TR"/>
              </w:rPr>
              <w:t>(2)</w:t>
            </w:r>
          </w:p>
        </w:tc>
      </w:tr>
      <w:tr w:rsidR="00011EDA" w:rsidRPr="004B2656" w:rsidTr="00011EDA">
        <w:trPr>
          <w:trHeight w:hRule="exact" w:val="227"/>
          <w:jc w:val="center"/>
        </w:trPr>
        <w:tc>
          <w:tcPr>
            <w:tcW w:w="1480" w:type="dxa"/>
            <w:tcBorders>
              <w:top w:val="single" w:sz="4" w:space="0" w:color="auto"/>
              <w:left w:val="nil"/>
              <w:bottom w:val="nil"/>
              <w:right w:val="single" w:sz="4" w:space="0" w:color="auto"/>
            </w:tcBorders>
            <w:shd w:val="clear" w:color="auto" w:fill="auto"/>
            <w:noWrap/>
            <w:vAlign w:val="bottom"/>
            <w:hideMark/>
          </w:tcPr>
          <w:p w:rsidR="00011EDA" w:rsidRPr="004B2656" w:rsidRDefault="00011EDA" w:rsidP="004B2656">
            <w:pPr>
              <w:suppressAutoHyphens w:val="0"/>
              <w:spacing w:after="0" w:line="240" w:lineRule="auto"/>
              <w:jc w:val="left"/>
              <w:rPr>
                <w:rFonts w:cs="Calibri"/>
                <w:sz w:val="16"/>
                <w:lang w:eastAsia="tr-TR"/>
              </w:rPr>
            </w:pPr>
            <w:r w:rsidRPr="004B2656">
              <w:rPr>
                <w:rFonts w:cs="Calibri"/>
                <w:sz w:val="16"/>
                <w:lang w:eastAsia="tr-TR"/>
              </w:rPr>
              <w:t> </w:t>
            </w:r>
          </w:p>
        </w:tc>
        <w:tc>
          <w:tcPr>
            <w:tcW w:w="1040" w:type="dxa"/>
            <w:tcBorders>
              <w:top w:val="single" w:sz="4" w:space="0" w:color="auto"/>
              <w:left w:val="nil"/>
              <w:bottom w:val="nil"/>
              <w:right w:val="nil"/>
            </w:tcBorders>
            <w:shd w:val="clear" w:color="auto" w:fill="auto"/>
            <w:noWrap/>
            <w:vAlign w:val="bottom"/>
            <w:hideMark/>
          </w:tcPr>
          <w:p w:rsidR="00011EDA" w:rsidRPr="004B2656" w:rsidRDefault="00011EDA" w:rsidP="004B2656">
            <w:pPr>
              <w:suppressAutoHyphens w:val="0"/>
              <w:spacing w:after="0" w:line="240" w:lineRule="auto"/>
              <w:jc w:val="center"/>
              <w:rPr>
                <w:rFonts w:cs="Calibri"/>
                <w:sz w:val="16"/>
                <w:lang w:eastAsia="tr-TR"/>
              </w:rPr>
            </w:pPr>
            <w:r w:rsidRPr="004B2656">
              <w:rPr>
                <w:rFonts w:cs="Calibri"/>
                <w:sz w:val="16"/>
                <w:lang w:eastAsia="tr-TR"/>
              </w:rPr>
              <w:t> </w:t>
            </w:r>
          </w:p>
        </w:tc>
        <w:tc>
          <w:tcPr>
            <w:tcW w:w="1040" w:type="dxa"/>
            <w:tcBorders>
              <w:top w:val="single" w:sz="4" w:space="0" w:color="auto"/>
              <w:left w:val="nil"/>
              <w:bottom w:val="nil"/>
              <w:right w:val="nil"/>
            </w:tcBorders>
            <w:shd w:val="clear" w:color="auto" w:fill="auto"/>
            <w:noWrap/>
            <w:vAlign w:val="bottom"/>
            <w:hideMark/>
          </w:tcPr>
          <w:p w:rsidR="00011EDA" w:rsidRPr="004B2656" w:rsidRDefault="00011EDA" w:rsidP="004B2656">
            <w:pPr>
              <w:suppressAutoHyphens w:val="0"/>
              <w:spacing w:after="0" w:line="240" w:lineRule="auto"/>
              <w:jc w:val="center"/>
              <w:rPr>
                <w:rFonts w:cs="Calibri"/>
                <w:sz w:val="16"/>
                <w:lang w:eastAsia="tr-TR"/>
              </w:rPr>
            </w:pPr>
            <w:r w:rsidRPr="004B2656">
              <w:rPr>
                <w:rFonts w:cs="Calibri"/>
                <w:sz w:val="16"/>
                <w:lang w:eastAsia="tr-TR"/>
              </w:rPr>
              <w:t> </w:t>
            </w:r>
          </w:p>
        </w:tc>
      </w:tr>
      <w:tr w:rsidR="00011EDA" w:rsidRPr="004B2656" w:rsidTr="00011EDA">
        <w:trPr>
          <w:trHeight w:hRule="exact" w:val="227"/>
          <w:jc w:val="center"/>
        </w:trPr>
        <w:tc>
          <w:tcPr>
            <w:tcW w:w="1480" w:type="dxa"/>
            <w:tcBorders>
              <w:top w:val="nil"/>
              <w:left w:val="nil"/>
              <w:bottom w:val="nil"/>
              <w:right w:val="single" w:sz="4" w:space="0" w:color="auto"/>
            </w:tcBorders>
            <w:shd w:val="clear" w:color="auto" w:fill="auto"/>
            <w:noWrap/>
            <w:vAlign w:val="bottom"/>
            <w:hideMark/>
          </w:tcPr>
          <w:p w:rsidR="00011EDA" w:rsidRPr="004B2656" w:rsidRDefault="00011EDA" w:rsidP="004B2656">
            <w:pPr>
              <w:suppressAutoHyphens w:val="0"/>
              <w:spacing w:after="0" w:line="240" w:lineRule="auto"/>
              <w:jc w:val="left"/>
              <w:rPr>
                <w:rFonts w:cs="Calibri"/>
                <w:sz w:val="16"/>
                <w:lang w:eastAsia="tr-TR"/>
              </w:rPr>
            </w:pPr>
            <w:r w:rsidRPr="004B2656">
              <w:rPr>
                <w:rFonts w:cs="Calibri"/>
                <w:sz w:val="16"/>
                <w:lang w:eastAsia="tr-TR"/>
              </w:rPr>
              <w:t>sh15y16</w:t>
            </w:r>
          </w:p>
        </w:tc>
        <w:tc>
          <w:tcPr>
            <w:tcW w:w="1040" w:type="dxa"/>
            <w:tcBorders>
              <w:top w:val="nil"/>
              <w:left w:val="nil"/>
              <w:bottom w:val="nil"/>
              <w:right w:val="nil"/>
            </w:tcBorders>
            <w:shd w:val="clear" w:color="auto" w:fill="auto"/>
            <w:noWrap/>
            <w:vAlign w:val="bottom"/>
            <w:hideMark/>
          </w:tcPr>
          <w:p w:rsidR="00011EDA" w:rsidRPr="004B2656" w:rsidRDefault="00011EDA" w:rsidP="004B2656">
            <w:pPr>
              <w:suppressAutoHyphens w:val="0"/>
              <w:spacing w:after="0" w:line="240" w:lineRule="auto"/>
              <w:jc w:val="center"/>
              <w:rPr>
                <w:rFonts w:cs="Calibri"/>
                <w:sz w:val="16"/>
                <w:lang w:eastAsia="tr-TR"/>
              </w:rPr>
            </w:pPr>
            <w:r w:rsidRPr="004B2656">
              <w:rPr>
                <w:rFonts w:cs="Calibri"/>
                <w:sz w:val="16"/>
                <w:lang w:eastAsia="tr-TR"/>
              </w:rPr>
              <w:t>-0.00353</w:t>
            </w:r>
          </w:p>
        </w:tc>
        <w:tc>
          <w:tcPr>
            <w:tcW w:w="1040" w:type="dxa"/>
            <w:tcBorders>
              <w:top w:val="nil"/>
              <w:left w:val="nil"/>
              <w:bottom w:val="nil"/>
              <w:right w:val="nil"/>
            </w:tcBorders>
            <w:shd w:val="clear" w:color="auto" w:fill="auto"/>
            <w:noWrap/>
            <w:vAlign w:val="bottom"/>
            <w:hideMark/>
          </w:tcPr>
          <w:p w:rsidR="00011EDA" w:rsidRPr="004B2656" w:rsidRDefault="00011EDA" w:rsidP="004B2656">
            <w:pPr>
              <w:suppressAutoHyphens w:val="0"/>
              <w:spacing w:after="0" w:line="240" w:lineRule="auto"/>
              <w:jc w:val="center"/>
              <w:rPr>
                <w:rFonts w:cs="Calibri"/>
                <w:sz w:val="16"/>
                <w:lang w:eastAsia="tr-TR"/>
              </w:rPr>
            </w:pPr>
            <w:r w:rsidRPr="004B2656">
              <w:rPr>
                <w:rFonts w:cs="Calibri"/>
                <w:sz w:val="16"/>
                <w:lang w:eastAsia="tr-TR"/>
              </w:rPr>
              <w:t>-0.00478</w:t>
            </w:r>
          </w:p>
        </w:tc>
      </w:tr>
      <w:tr w:rsidR="00011EDA" w:rsidRPr="004B2656" w:rsidTr="00011EDA">
        <w:trPr>
          <w:trHeight w:hRule="exact" w:val="227"/>
          <w:jc w:val="center"/>
        </w:trPr>
        <w:tc>
          <w:tcPr>
            <w:tcW w:w="1480" w:type="dxa"/>
            <w:tcBorders>
              <w:top w:val="nil"/>
              <w:left w:val="nil"/>
              <w:bottom w:val="nil"/>
              <w:right w:val="single" w:sz="4" w:space="0" w:color="auto"/>
            </w:tcBorders>
            <w:shd w:val="clear" w:color="auto" w:fill="auto"/>
            <w:noWrap/>
            <w:vAlign w:val="bottom"/>
            <w:hideMark/>
          </w:tcPr>
          <w:p w:rsidR="00011EDA" w:rsidRPr="004B2656" w:rsidRDefault="00011EDA" w:rsidP="004B2656">
            <w:pPr>
              <w:suppressAutoHyphens w:val="0"/>
              <w:spacing w:after="0" w:line="240" w:lineRule="auto"/>
              <w:jc w:val="left"/>
              <w:rPr>
                <w:rFonts w:cs="Calibri"/>
                <w:sz w:val="16"/>
                <w:lang w:eastAsia="tr-TR"/>
              </w:rPr>
            </w:pPr>
            <w:r w:rsidRPr="004B2656">
              <w:rPr>
                <w:rFonts w:cs="Calibri"/>
                <w:sz w:val="16"/>
                <w:lang w:eastAsia="tr-TR"/>
              </w:rPr>
              <w:t> </w:t>
            </w:r>
          </w:p>
        </w:tc>
        <w:tc>
          <w:tcPr>
            <w:tcW w:w="1040" w:type="dxa"/>
            <w:tcBorders>
              <w:top w:val="nil"/>
              <w:left w:val="nil"/>
              <w:bottom w:val="nil"/>
              <w:right w:val="nil"/>
            </w:tcBorders>
            <w:shd w:val="clear" w:color="auto" w:fill="auto"/>
            <w:noWrap/>
            <w:vAlign w:val="bottom"/>
            <w:hideMark/>
          </w:tcPr>
          <w:p w:rsidR="00011EDA" w:rsidRPr="004B2656" w:rsidRDefault="00011EDA" w:rsidP="004B2656">
            <w:pPr>
              <w:suppressAutoHyphens w:val="0"/>
              <w:spacing w:after="0" w:line="240" w:lineRule="auto"/>
              <w:jc w:val="center"/>
              <w:rPr>
                <w:rFonts w:cs="Calibri"/>
                <w:sz w:val="16"/>
                <w:lang w:eastAsia="tr-TR"/>
              </w:rPr>
            </w:pPr>
            <w:r w:rsidRPr="004B2656">
              <w:rPr>
                <w:rFonts w:cs="Calibri"/>
                <w:sz w:val="16"/>
                <w:lang w:eastAsia="tr-TR"/>
              </w:rPr>
              <w:t>(0.00424)</w:t>
            </w:r>
          </w:p>
        </w:tc>
        <w:tc>
          <w:tcPr>
            <w:tcW w:w="1040" w:type="dxa"/>
            <w:tcBorders>
              <w:top w:val="nil"/>
              <w:left w:val="nil"/>
              <w:bottom w:val="nil"/>
              <w:right w:val="nil"/>
            </w:tcBorders>
            <w:shd w:val="clear" w:color="auto" w:fill="auto"/>
            <w:noWrap/>
            <w:vAlign w:val="bottom"/>
            <w:hideMark/>
          </w:tcPr>
          <w:p w:rsidR="00011EDA" w:rsidRPr="004B2656" w:rsidRDefault="00011EDA" w:rsidP="004B2656">
            <w:pPr>
              <w:suppressAutoHyphens w:val="0"/>
              <w:spacing w:after="0" w:line="240" w:lineRule="auto"/>
              <w:jc w:val="center"/>
              <w:rPr>
                <w:rFonts w:cs="Calibri"/>
                <w:sz w:val="16"/>
                <w:lang w:eastAsia="tr-TR"/>
              </w:rPr>
            </w:pPr>
            <w:r w:rsidRPr="004B2656">
              <w:rPr>
                <w:rFonts w:cs="Calibri"/>
                <w:sz w:val="16"/>
                <w:lang w:eastAsia="tr-TR"/>
              </w:rPr>
              <w:t>(0.00467)</w:t>
            </w:r>
          </w:p>
        </w:tc>
      </w:tr>
      <w:tr w:rsidR="00011EDA" w:rsidRPr="004B2656" w:rsidTr="00011EDA">
        <w:trPr>
          <w:trHeight w:hRule="exact" w:val="227"/>
          <w:jc w:val="center"/>
        </w:trPr>
        <w:tc>
          <w:tcPr>
            <w:tcW w:w="1480" w:type="dxa"/>
            <w:tcBorders>
              <w:top w:val="nil"/>
              <w:left w:val="nil"/>
              <w:bottom w:val="nil"/>
              <w:right w:val="single" w:sz="4" w:space="0" w:color="auto"/>
            </w:tcBorders>
            <w:shd w:val="clear" w:color="auto" w:fill="auto"/>
            <w:noWrap/>
            <w:vAlign w:val="bottom"/>
            <w:hideMark/>
          </w:tcPr>
          <w:p w:rsidR="00011EDA" w:rsidRPr="004B2656" w:rsidRDefault="00011EDA" w:rsidP="004B2656">
            <w:pPr>
              <w:suppressAutoHyphens w:val="0"/>
              <w:spacing w:after="0" w:line="240" w:lineRule="auto"/>
              <w:jc w:val="left"/>
              <w:rPr>
                <w:rFonts w:cs="Calibri"/>
                <w:sz w:val="16"/>
                <w:lang w:eastAsia="tr-TR"/>
              </w:rPr>
            </w:pPr>
            <w:r w:rsidRPr="004B2656">
              <w:rPr>
                <w:rFonts w:cs="Calibri"/>
                <w:sz w:val="16"/>
                <w:lang w:eastAsia="tr-TR"/>
              </w:rPr>
              <w:t>sh14y15</w:t>
            </w:r>
          </w:p>
        </w:tc>
        <w:tc>
          <w:tcPr>
            <w:tcW w:w="1040" w:type="dxa"/>
            <w:tcBorders>
              <w:top w:val="nil"/>
              <w:left w:val="nil"/>
              <w:bottom w:val="nil"/>
              <w:right w:val="nil"/>
            </w:tcBorders>
            <w:shd w:val="clear" w:color="auto" w:fill="auto"/>
            <w:noWrap/>
            <w:vAlign w:val="bottom"/>
            <w:hideMark/>
          </w:tcPr>
          <w:p w:rsidR="00011EDA" w:rsidRPr="004B2656" w:rsidRDefault="00011EDA" w:rsidP="004B2656">
            <w:pPr>
              <w:suppressAutoHyphens w:val="0"/>
              <w:spacing w:after="0" w:line="240" w:lineRule="auto"/>
              <w:jc w:val="center"/>
              <w:rPr>
                <w:rFonts w:cs="Calibri"/>
                <w:sz w:val="16"/>
                <w:lang w:eastAsia="tr-TR"/>
              </w:rPr>
            </w:pPr>
            <w:r w:rsidRPr="004B2656">
              <w:rPr>
                <w:rFonts w:cs="Calibri"/>
                <w:sz w:val="16"/>
                <w:lang w:eastAsia="tr-TR"/>
              </w:rPr>
              <w:t>-0.00133</w:t>
            </w:r>
          </w:p>
        </w:tc>
        <w:tc>
          <w:tcPr>
            <w:tcW w:w="1040" w:type="dxa"/>
            <w:tcBorders>
              <w:top w:val="nil"/>
              <w:left w:val="nil"/>
              <w:bottom w:val="nil"/>
              <w:right w:val="nil"/>
            </w:tcBorders>
            <w:shd w:val="clear" w:color="auto" w:fill="auto"/>
            <w:noWrap/>
            <w:vAlign w:val="bottom"/>
            <w:hideMark/>
          </w:tcPr>
          <w:p w:rsidR="00011EDA" w:rsidRPr="004B2656" w:rsidRDefault="00011EDA" w:rsidP="004B2656">
            <w:pPr>
              <w:suppressAutoHyphens w:val="0"/>
              <w:spacing w:after="0" w:line="240" w:lineRule="auto"/>
              <w:jc w:val="center"/>
              <w:rPr>
                <w:rFonts w:cs="Calibri"/>
                <w:sz w:val="16"/>
                <w:lang w:eastAsia="tr-TR"/>
              </w:rPr>
            </w:pPr>
            <w:r w:rsidRPr="004B2656">
              <w:rPr>
                <w:rFonts w:cs="Calibri"/>
                <w:sz w:val="16"/>
                <w:lang w:eastAsia="tr-TR"/>
              </w:rPr>
              <w:t>-0.00225</w:t>
            </w:r>
          </w:p>
        </w:tc>
      </w:tr>
      <w:tr w:rsidR="00011EDA" w:rsidRPr="004B2656" w:rsidTr="00011EDA">
        <w:trPr>
          <w:trHeight w:hRule="exact" w:val="227"/>
          <w:jc w:val="center"/>
        </w:trPr>
        <w:tc>
          <w:tcPr>
            <w:tcW w:w="1480" w:type="dxa"/>
            <w:tcBorders>
              <w:top w:val="nil"/>
              <w:left w:val="nil"/>
              <w:bottom w:val="nil"/>
              <w:right w:val="single" w:sz="4" w:space="0" w:color="auto"/>
            </w:tcBorders>
            <w:shd w:val="clear" w:color="auto" w:fill="auto"/>
            <w:noWrap/>
            <w:vAlign w:val="bottom"/>
            <w:hideMark/>
          </w:tcPr>
          <w:p w:rsidR="00011EDA" w:rsidRPr="004B2656" w:rsidRDefault="00011EDA" w:rsidP="004B2656">
            <w:pPr>
              <w:suppressAutoHyphens w:val="0"/>
              <w:spacing w:after="0" w:line="240" w:lineRule="auto"/>
              <w:jc w:val="left"/>
              <w:rPr>
                <w:rFonts w:cs="Calibri"/>
                <w:sz w:val="16"/>
                <w:lang w:eastAsia="tr-TR"/>
              </w:rPr>
            </w:pPr>
            <w:r w:rsidRPr="004B2656">
              <w:rPr>
                <w:rFonts w:cs="Calibri"/>
                <w:sz w:val="16"/>
                <w:lang w:eastAsia="tr-TR"/>
              </w:rPr>
              <w:t> </w:t>
            </w:r>
          </w:p>
        </w:tc>
        <w:tc>
          <w:tcPr>
            <w:tcW w:w="1040" w:type="dxa"/>
            <w:tcBorders>
              <w:top w:val="nil"/>
              <w:left w:val="nil"/>
              <w:bottom w:val="nil"/>
              <w:right w:val="nil"/>
            </w:tcBorders>
            <w:shd w:val="clear" w:color="auto" w:fill="auto"/>
            <w:noWrap/>
            <w:vAlign w:val="bottom"/>
            <w:hideMark/>
          </w:tcPr>
          <w:p w:rsidR="00011EDA" w:rsidRPr="004B2656" w:rsidRDefault="00011EDA" w:rsidP="004B2656">
            <w:pPr>
              <w:suppressAutoHyphens w:val="0"/>
              <w:spacing w:after="0" w:line="240" w:lineRule="auto"/>
              <w:jc w:val="center"/>
              <w:rPr>
                <w:rFonts w:cs="Calibri"/>
                <w:sz w:val="16"/>
                <w:lang w:eastAsia="tr-TR"/>
              </w:rPr>
            </w:pPr>
            <w:r w:rsidRPr="004B2656">
              <w:rPr>
                <w:rFonts w:cs="Calibri"/>
                <w:sz w:val="16"/>
                <w:lang w:eastAsia="tr-TR"/>
              </w:rPr>
              <w:t>(0.00696)</w:t>
            </w:r>
          </w:p>
        </w:tc>
        <w:tc>
          <w:tcPr>
            <w:tcW w:w="1040" w:type="dxa"/>
            <w:tcBorders>
              <w:top w:val="nil"/>
              <w:left w:val="nil"/>
              <w:bottom w:val="nil"/>
              <w:right w:val="nil"/>
            </w:tcBorders>
            <w:shd w:val="clear" w:color="auto" w:fill="auto"/>
            <w:noWrap/>
            <w:vAlign w:val="bottom"/>
            <w:hideMark/>
          </w:tcPr>
          <w:p w:rsidR="00011EDA" w:rsidRPr="004B2656" w:rsidRDefault="00011EDA" w:rsidP="004B2656">
            <w:pPr>
              <w:suppressAutoHyphens w:val="0"/>
              <w:spacing w:after="0" w:line="240" w:lineRule="auto"/>
              <w:jc w:val="center"/>
              <w:rPr>
                <w:rFonts w:cs="Calibri"/>
                <w:sz w:val="16"/>
                <w:lang w:eastAsia="tr-TR"/>
              </w:rPr>
            </w:pPr>
            <w:r w:rsidRPr="004B2656">
              <w:rPr>
                <w:rFonts w:cs="Calibri"/>
                <w:sz w:val="16"/>
                <w:lang w:eastAsia="tr-TR"/>
              </w:rPr>
              <w:t>(0.00794)</w:t>
            </w:r>
          </w:p>
        </w:tc>
      </w:tr>
      <w:tr w:rsidR="00011EDA" w:rsidRPr="004B2656" w:rsidTr="00011EDA">
        <w:trPr>
          <w:trHeight w:hRule="exact" w:val="227"/>
          <w:jc w:val="center"/>
        </w:trPr>
        <w:tc>
          <w:tcPr>
            <w:tcW w:w="1480" w:type="dxa"/>
            <w:tcBorders>
              <w:top w:val="nil"/>
              <w:left w:val="nil"/>
              <w:bottom w:val="nil"/>
              <w:right w:val="single" w:sz="4" w:space="0" w:color="auto"/>
            </w:tcBorders>
            <w:shd w:val="clear" w:color="auto" w:fill="auto"/>
            <w:noWrap/>
            <w:vAlign w:val="bottom"/>
            <w:hideMark/>
          </w:tcPr>
          <w:p w:rsidR="00011EDA" w:rsidRPr="004B2656" w:rsidRDefault="00011EDA" w:rsidP="004B2656">
            <w:pPr>
              <w:suppressAutoHyphens w:val="0"/>
              <w:spacing w:after="0" w:line="240" w:lineRule="auto"/>
              <w:jc w:val="left"/>
              <w:rPr>
                <w:rFonts w:cs="Calibri"/>
                <w:sz w:val="16"/>
                <w:lang w:eastAsia="tr-TR"/>
              </w:rPr>
            </w:pPr>
            <w:r w:rsidRPr="004B2656">
              <w:rPr>
                <w:rFonts w:cs="Calibri"/>
                <w:sz w:val="16"/>
                <w:lang w:eastAsia="tr-TR"/>
              </w:rPr>
              <w:t>Sabit sayı</w:t>
            </w:r>
          </w:p>
        </w:tc>
        <w:tc>
          <w:tcPr>
            <w:tcW w:w="1040" w:type="dxa"/>
            <w:tcBorders>
              <w:top w:val="nil"/>
              <w:left w:val="nil"/>
              <w:bottom w:val="nil"/>
              <w:right w:val="nil"/>
            </w:tcBorders>
            <w:shd w:val="clear" w:color="auto" w:fill="auto"/>
            <w:noWrap/>
            <w:vAlign w:val="bottom"/>
            <w:hideMark/>
          </w:tcPr>
          <w:p w:rsidR="00011EDA" w:rsidRPr="004B2656" w:rsidRDefault="00011EDA" w:rsidP="004B2656">
            <w:pPr>
              <w:suppressAutoHyphens w:val="0"/>
              <w:spacing w:after="0" w:line="240" w:lineRule="auto"/>
              <w:jc w:val="center"/>
              <w:rPr>
                <w:rFonts w:cs="Calibri"/>
                <w:sz w:val="16"/>
                <w:lang w:eastAsia="tr-TR"/>
              </w:rPr>
            </w:pPr>
            <w:r w:rsidRPr="004B2656">
              <w:rPr>
                <w:rFonts w:cs="Calibri"/>
                <w:sz w:val="16"/>
                <w:lang w:eastAsia="tr-TR"/>
              </w:rPr>
              <w:t>1.422***</w:t>
            </w:r>
          </w:p>
        </w:tc>
        <w:tc>
          <w:tcPr>
            <w:tcW w:w="1040" w:type="dxa"/>
            <w:tcBorders>
              <w:top w:val="nil"/>
              <w:left w:val="nil"/>
              <w:bottom w:val="nil"/>
              <w:right w:val="nil"/>
            </w:tcBorders>
            <w:shd w:val="clear" w:color="auto" w:fill="auto"/>
            <w:noWrap/>
            <w:vAlign w:val="bottom"/>
            <w:hideMark/>
          </w:tcPr>
          <w:p w:rsidR="00011EDA" w:rsidRPr="004B2656" w:rsidRDefault="00011EDA" w:rsidP="004B2656">
            <w:pPr>
              <w:suppressAutoHyphens w:val="0"/>
              <w:spacing w:after="0" w:line="240" w:lineRule="auto"/>
              <w:jc w:val="center"/>
              <w:rPr>
                <w:rFonts w:cs="Calibri"/>
                <w:sz w:val="16"/>
                <w:lang w:eastAsia="tr-TR"/>
              </w:rPr>
            </w:pPr>
            <w:r w:rsidRPr="004B2656">
              <w:rPr>
                <w:rFonts w:cs="Calibri"/>
                <w:sz w:val="16"/>
                <w:lang w:eastAsia="tr-TR"/>
              </w:rPr>
              <w:t>2.797</w:t>
            </w:r>
          </w:p>
        </w:tc>
      </w:tr>
      <w:tr w:rsidR="00011EDA" w:rsidRPr="004B2656" w:rsidTr="00011EDA">
        <w:trPr>
          <w:trHeight w:hRule="exact" w:val="227"/>
          <w:jc w:val="center"/>
        </w:trPr>
        <w:tc>
          <w:tcPr>
            <w:tcW w:w="1480" w:type="dxa"/>
            <w:tcBorders>
              <w:top w:val="nil"/>
              <w:left w:val="nil"/>
              <w:bottom w:val="nil"/>
              <w:right w:val="single" w:sz="4" w:space="0" w:color="auto"/>
            </w:tcBorders>
            <w:shd w:val="clear" w:color="auto" w:fill="auto"/>
            <w:noWrap/>
            <w:vAlign w:val="bottom"/>
            <w:hideMark/>
          </w:tcPr>
          <w:p w:rsidR="00011EDA" w:rsidRPr="004B2656" w:rsidRDefault="00011EDA" w:rsidP="004B2656">
            <w:pPr>
              <w:suppressAutoHyphens w:val="0"/>
              <w:spacing w:after="0" w:line="240" w:lineRule="auto"/>
              <w:jc w:val="left"/>
              <w:rPr>
                <w:rFonts w:cs="Calibri"/>
                <w:sz w:val="16"/>
                <w:lang w:eastAsia="tr-TR"/>
              </w:rPr>
            </w:pPr>
            <w:r w:rsidRPr="004B2656">
              <w:rPr>
                <w:rFonts w:cs="Calibri"/>
                <w:sz w:val="16"/>
                <w:lang w:eastAsia="tr-TR"/>
              </w:rPr>
              <w:t> </w:t>
            </w:r>
          </w:p>
        </w:tc>
        <w:tc>
          <w:tcPr>
            <w:tcW w:w="1040" w:type="dxa"/>
            <w:tcBorders>
              <w:top w:val="nil"/>
              <w:left w:val="nil"/>
              <w:bottom w:val="nil"/>
              <w:right w:val="nil"/>
            </w:tcBorders>
            <w:shd w:val="clear" w:color="auto" w:fill="auto"/>
            <w:noWrap/>
            <w:vAlign w:val="bottom"/>
            <w:hideMark/>
          </w:tcPr>
          <w:p w:rsidR="00011EDA" w:rsidRPr="004B2656" w:rsidRDefault="00011EDA" w:rsidP="004B2656">
            <w:pPr>
              <w:suppressAutoHyphens w:val="0"/>
              <w:spacing w:after="0" w:line="240" w:lineRule="auto"/>
              <w:jc w:val="center"/>
              <w:rPr>
                <w:rFonts w:cs="Calibri"/>
                <w:sz w:val="16"/>
                <w:lang w:eastAsia="tr-TR"/>
              </w:rPr>
            </w:pPr>
            <w:r w:rsidRPr="004B2656">
              <w:rPr>
                <w:rFonts w:cs="Calibri"/>
                <w:sz w:val="16"/>
                <w:lang w:eastAsia="tr-TR"/>
              </w:rPr>
              <w:t>(0.0395)</w:t>
            </w:r>
          </w:p>
        </w:tc>
        <w:tc>
          <w:tcPr>
            <w:tcW w:w="1040" w:type="dxa"/>
            <w:tcBorders>
              <w:top w:val="nil"/>
              <w:left w:val="nil"/>
              <w:bottom w:val="nil"/>
              <w:right w:val="nil"/>
            </w:tcBorders>
            <w:shd w:val="clear" w:color="auto" w:fill="auto"/>
            <w:noWrap/>
            <w:vAlign w:val="bottom"/>
            <w:hideMark/>
          </w:tcPr>
          <w:p w:rsidR="00011EDA" w:rsidRPr="004B2656" w:rsidRDefault="00011EDA" w:rsidP="004B2656">
            <w:pPr>
              <w:suppressAutoHyphens w:val="0"/>
              <w:spacing w:after="0" w:line="240" w:lineRule="auto"/>
              <w:jc w:val="center"/>
              <w:rPr>
                <w:rFonts w:cs="Calibri"/>
                <w:sz w:val="16"/>
                <w:lang w:eastAsia="tr-TR"/>
              </w:rPr>
            </w:pPr>
            <w:r w:rsidRPr="004B2656">
              <w:rPr>
                <w:rFonts w:cs="Calibri"/>
                <w:sz w:val="16"/>
                <w:lang w:eastAsia="tr-TR"/>
              </w:rPr>
              <w:t>(2.444)</w:t>
            </w:r>
          </w:p>
        </w:tc>
      </w:tr>
      <w:tr w:rsidR="00011EDA" w:rsidRPr="004B2656" w:rsidTr="00011EDA">
        <w:trPr>
          <w:trHeight w:hRule="exact" w:val="227"/>
          <w:jc w:val="center"/>
        </w:trPr>
        <w:tc>
          <w:tcPr>
            <w:tcW w:w="1480" w:type="dxa"/>
            <w:tcBorders>
              <w:top w:val="nil"/>
              <w:left w:val="nil"/>
              <w:bottom w:val="double" w:sz="6" w:space="0" w:color="auto"/>
              <w:right w:val="single" w:sz="4" w:space="0" w:color="auto"/>
            </w:tcBorders>
            <w:shd w:val="clear" w:color="auto" w:fill="auto"/>
            <w:noWrap/>
            <w:vAlign w:val="bottom"/>
            <w:hideMark/>
          </w:tcPr>
          <w:p w:rsidR="00011EDA" w:rsidRPr="004B2656" w:rsidRDefault="00011EDA" w:rsidP="004B2656">
            <w:pPr>
              <w:suppressAutoHyphens w:val="0"/>
              <w:spacing w:after="0" w:line="240" w:lineRule="auto"/>
              <w:jc w:val="left"/>
              <w:rPr>
                <w:rFonts w:cs="Calibri"/>
                <w:sz w:val="16"/>
                <w:lang w:eastAsia="tr-TR"/>
              </w:rPr>
            </w:pPr>
            <w:r w:rsidRPr="004B2656">
              <w:rPr>
                <w:rFonts w:cs="Calibri"/>
                <w:sz w:val="16"/>
                <w:lang w:eastAsia="tr-TR"/>
              </w:rPr>
              <w:t> </w:t>
            </w:r>
          </w:p>
        </w:tc>
        <w:tc>
          <w:tcPr>
            <w:tcW w:w="1040" w:type="dxa"/>
            <w:tcBorders>
              <w:top w:val="nil"/>
              <w:left w:val="nil"/>
              <w:bottom w:val="double" w:sz="6" w:space="0" w:color="auto"/>
              <w:right w:val="nil"/>
            </w:tcBorders>
            <w:shd w:val="clear" w:color="auto" w:fill="auto"/>
            <w:noWrap/>
            <w:vAlign w:val="bottom"/>
            <w:hideMark/>
          </w:tcPr>
          <w:p w:rsidR="00011EDA" w:rsidRPr="004B2656" w:rsidRDefault="00011EDA" w:rsidP="004B2656">
            <w:pPr>
              <w:suppressAutoHyphens w:val="0"/>
              <w:spacing w:after="0" w:line="240" w:lineRule="auto"/>
              <w:jc w:val="center"/>
              <w:rPr>
                <w:rFonts w:cs="Calibri"/>
                <w:sz w:val="16"/>
                <w:lang w:eastAsia="tr-TR"/>
              </w:rPr>
            </w:pPr>
            <w:r w:rsidRPr="004B2656">
              <w:rPr>
                <w:rFonts w:cs="Calibri"/>
                <w:sz w:val="16"/>
                <w:lang w:eastAsia="tr-TR"/>
              </w:rPr>
              <w:t> </w:t>
            </w:r>
          </w:p>
        </w:tc>
        <w:tc>
          <w:tcPr>
            <w:tcW w:w="1040" w:type="dxa"/>
            <w:tcBorders>
              <w:top w:val="nil"/>
              <w:left w:val="nil"/>
              <w:bottom w:val="double" w:sz="6" w:space="0" w:color="auto"/>
              <w:right w:val="nil"/>
            </w:tcBorders>
            <w:shd w:val="clear" w:color="auto" w:fill="auto"/>
            <w:noWrap/>
            <w:vAlign w:val="bottom"/>
            <w:hideMark/>
          </w:tcPr>
          <w:p w:rsidR="00011EDA" w:rsidRPr="004B2656" w:rsidRDefault="00011EDA" w:rsidP="004B2656">
            <w:pPr>
              <w:suppressAutoHyphens w:val="0"/>
              <w:spacing w:after="0" w:line="240" w:lineRule="auto"/>
              <w:jc w:val="center"/>
              <w:rPr>
                <w:rFonts w:cs="Calibri"/>
                <w:sz w:val="16"/>
                <w:lang w:eastAsia="tr-TR"/>
              </w:rPr>
            </w:pPr>
            <w:r w:rsidRPr="004B2656">
              <w:rPr>
                <w:rFonts w:cs="Calibri"/>
                <w:sz w:val="16"/>
                <w:lang w:eastAsia="tr-TR"/>
              </w:rPr>
              <w:t> </w:t>
            </w:r>
          </w:p>
        </w:tc>
      </w:tr>
      <w:tr w:rsidR="00011EDA" w:rsidRPr="004B2656" w:rsidTr="00011EDA">
        <w:trPr>
          <w:trHeight w:hRule="exact" w:val="227"/>
          <w:jc w:val="center"/>
        </w:trPr>
        <w:tc>
          <w:tcPr>
            <w:tcW w:w="1480" w:type="dxa"/>
            <w:tcBorders>
              <w:top w:val="nil"/>
              <w:left w:val="nil"/>
              <w:bottom w:val="nil"/>
              <w:right w:val="single" w:sz="4" w:space="0" w:color="auto"/>
            </w:tcBorders>
            <w:shd w:val="clear" w:color="auto" w:fill="auto"/>
            <w:noWrap/>
            <w:vAlign w:val="bottom"/>
            <w:hideMark/>
          </w:tcPr>
          <w:p w:rsidR="00011EDA" w:rsidRPr="004B2656" w:rsidRDefault="00011EDA" w:rsidP="004B2656">
            <w:pPr>
              <w:suppressAutoHyphens w:val="0"/>
              <w:spacing w:after="0" w:line="240" w:lineRule="auto"/>
              <w:jc w:val="left"/>
              <w:rPr>
                <w:rFonts w:cs="Calibri"/>
                <w:sz w:val="16"/>
                <w:lang w:eastAsia="tr-TR"/>
              </w:rPr>
            </w:pPr>
            <w:r w:rsidRPr="004B2656">
              <w:rPr>
                <w:rFonts w:cs="Calibri"/>
                <w:sz w:val="16"/>
                <w:lang w:eastAsia="tr-TR"/>
              </w:rPr>
              <w:t>Gözlem sayısı</w:t>
            </w:r>
          </w:p>
        </w:tc>
        <w:tc>
          <w:tcPr>
            <w:tcW w:w="1040" w:type="dxa"/>
            <w:tcBorders>
              <w:top w:val="nil"/>
              <w:left w:val="nil"/>
              <w:bottom w:val="nil"/>
              <w:right w:val="nil"/>
            </w:tcBorders>
            <w:shd w:val="clear" w:color="auto" w:fill="auto"/>
            <w:noWrap/>
            <w:vAlign w:val="bottom"/>
            <w:hideMark/>
          </w:tcPr>
          <w:p w:rsidR="00011EDA" w:rsidRPr="004B2656" w:rsidRDefault="00011EDA" w:rsidP="004B2656">
            <w:pPr>
              <w:suppressAutoHyphens w:val="0"/>
              <w:spacing w:after="0" w:line="240" w:lineRule="auto"/>
              <w:jc w:val="center"/>
              <w:rPr>
                <w:rFonts w:cs="Calibri"/>
                <w:sz w:val="16"/>
                <w:lang w:eastAsia="tr-TR"/>
              </w:rPr>
            </w:pPr>
            <w:r w:rsidRPr="004B2656">
              <w:rPr>
                <w:rFonts w:cs="Calibri"/>
                <w:sz w:val="16"/>
                <w:lang w:eastAsia="tr-TR"/>
              </w:rPr>
              <w:t>525,548</w:t>
            </w:r>
          </w:p>
        </w:tc>
        <w:tc>
          <w:tcPr>
            <w:tcW w:w="1040" w:type="dxa"/>
            <w:tcBorders>
              <w:top w:val="nil"/>
              <w:left w:val="nil"/>
              <w:bottom w:val="nil"/>
              <w:right w:val="nil"/>
            </w:tcBorders>
            <w:shd w:val="clear" w:color="auto" w:fill="auto"/>
            <w:noWrap/>
            <w:vAlign w:val="bottom"/>
            <w:hideMark/>
          </w:tcPr>
          <w:p w:rsidR="00011EDA" w:rsidRPr="004B2656" w:rsidRDefault="00011EDA" w:rsidP="004B2656">
            <w:pPr>
              <w:suppressAutoHyphens w:val="0"/>
              <w:spacing w:after="0" w:line="240" w:lineRule="auto"/>
              <w:jc w:val="center"/>
              <w:rPr>
                <w:rFonts w:cs="Calibri"/>
                <w:sz w:val="16"/>
                <w:lang w:eastAsia="tr-TR"/>
              </w:rPr>
            </w:pPr>
            <w:r w:rsidRPr="004B2656">
              <w:rPr>
                <w:rFonts w:cs="Calibri"/>
                <w:sz w:val="16"/>
                <w:lang w:eastAsia="tr-TR"/>
              </w:rPr>
              <w:t>525,548</w:t>
            </w:r>
          </w:p>
        </w:tc>
      </w:tr>
      <w:tr w:rsidR="00011EDA" w:rsidRPr="004B2656" w:rsidTr="00011EDA">
        <w:trPr>
          <w:trHeight w:hRule="exact" w:val="227"/>
          <w:jc w:val="center"/>
        </w:trPr>
        <w:tc>
          <w:tcPr>
            <w:tcW w:w="3560" w:type="dxa"/>
            <w:gridSpan w:val="3"/>
            <w:tcBorders>
              <w:top w:val="nil"/>
              <w:left w:val="nil"/>
              <w:bottom w:val="nil"/>
              <w:right w:val="nil"/>
            </w:tcBorders>
            <w:shd w:val="clear" w:color="auto" w:fill="auto"/>
            <w:noWrap/>
            <w:vAlign w:val="bottom"/>
            <w:hideMark/>
          </w:tcPr>
          <w:p w:rsidR="00011EDA" w:rsidRPr="004B2656" w:rsidRDefault="00FA6E28" w:rsidP="004B2656">
            <w:pPr>
              <w:suppressAutoHyphens w:val="0"/>
              <w:spacing w:after="0" w:line="240" w:lineRule="auto"/>
              <w:jc w:val="left"/>
              <w:rPr>
                <w:rFonts w:cs="Calibri"/>
                <w:sz w:val="16"/>
                <w:lang w:eastAsia="tr-TR"/>
              </w:rPr>
            </w:pPr>
            <w:proofErr w:type="spellStart"/>
            <w:r w:rsidRPr="00734E9F">
              <w:rPr>
                <w:rFonts w:cs="Calibri"/>
                <w:sz w:val="16"/>
                <w:lang w:eastAsia="tr-TR"/>
              </w:rPr>
              <w:t>Robust</w:t>
            </w:r>
            <w:proofErr w:type="spellEnd"/>
            <w:r w:rsidRPr="00734E9F">
              <w:rPr>
                <w:rFonts w:cs="Calibri"/>
                <w:sz w:val="16"/>
                <w:lang w:eastAsia="tr-TR"/>
              </w:rPr>
              <w:t xml:space="preserve"> </w:t>
            </w:r>
            <w:r>
              <w:rPr>
                <w:rFonts w:cs="Calibri"/>
                <w:sz w:val="16"/>
                <w:lang w:eastAsia="tr-TR"/>
              </w:rPr>
              <w:t>standart hatalar parantezdedir.</w:t>
            </w:r>
          </w:p>
        </w:tc>
      </w:tr>
      <w:tr w:rsidR="00011EDA" w:rsidRPr="004B2656" w:rsidTr="00011EDA">
        <w:trPr>
          <w:trHeight w:hRule="exact" w:val="227"/>
          <w:jc w:val="center"/>
        </w:trPr>
        <w:tc>
          <w:tcPr>
            <w:tcW w:w="2520" w:type="dxa"/>
            <w:gridSpan w:val="2"/>
            <w:tcBorders>
              <w:top w:val="nil"/>
              <w:left w:val="nil"/>
              <w:bottom w:val="nil"/>
              <w:right w:val="nil"/>
            </w:tcBorders>
            <w:shd w:val="clear" w:color="auto" w:fill="auto"/>
            <w:noWrap/>
            <w:vAlign w:val="bottom"/>
            <w:hideMark/>
          </w:tcPr>
          <w:p w:rsidR="00011EDA" w:rsidRPr="004B2656" w:rsidRDefault="00011EDA" w:rsidP="004B2656">
            <w:pPr>
              <w:suppressAutoHyphens w:val="0"/>
              <w:spacing w:after="0" w:line="240" w:lineRule="auto"/>
              <w:jc w:val="left"/>
              <w:rPr>
                <w:rFonts w:cs="Calibri"/>
                <w:sz w:val="16"/>
                <w:lang w:eastAsia="tr-TR"/>
              </w:rPr>
            </w:pPr>
            <w:r w:rsidRPr="004B2656">
              <w:rPr>
                <w:rFonts w:cs="Calibri"/>
                <w:sz w:val="16"/>
                <w:lang w:eastAsia="tr-TR"/>
              </w:rPr>
              <w:t>*** p&lt;0.01, ** p&lt;0.05, * p&lt;0.1</w:t>
            </w:r>
          </w:p>
        </w:tc>
        <w:tc>
          <w:tcPr>
            <w:tcW w:w="1040" w:type="dxa"/>
            <w:tcBorders>
              <w:top w:val="nil"/>
              <w:left w:val="nil"/>
              <w:bottom w:val="nil"/>
              <w:right w:val="nil"/>
            </w:tcBorders>
            <w:shd w:val="clear" w:color="auto" w:fill="auto"/>
            <w:noWrap/>
            <w:vAlign w:val="bottom"/>
            <w:hideMark/>
          </w:tcPr>
          <w:p w:rsidR="00011EDA" w:rsidRPr="004B2656" w:rsidRDefault="00011EDA" w:rsidP="004B2656">
            <w:pPr>
              <w:suppressAutoHyphens w:val="0"/>
              <w:spacing w:after="0" w:line="240" w:lineRule="auto"/>
              <w:jc w:val="left"/>
              <w:rPr>
                <w:rFonts w:cs="Calibri"/>
                <w:sz w:val="16"/>
                <w:lang w:eastAsia="tr-TR"/>
              </w:rPr>
            </w:pPr>
          </w:p>
        </w:tc>
      </w:tr>
    </w:tbl>
    <w:p w:rsidR="00607381" w:rsidRPr="00607381" w:rsidRDefault="00A50F82" w:rsidP="00607381">
      <w:pPr>
        <w:pStyle w:val="Caption"/>
        <w:keepNext/>
        <w:rPr>
          <w:b w:val="0"/>
          <w:lang w:eastAsia="tr-TR"/>
        </w:rPr>
      </w:pPr>
      <w:r w:rsidRPr="001F72A8">
        <w:rPr>
          <w:lang w:eastAsia="tr-TR"/>
        </w:rPr>
        <w:t xml:space="preserve">Kaynak: </w:t>
      </w:r>
      <w:r w:rsidRPr="001F72A8">
        <w:rPr>
          <w:b w:val="0"/>
          <w:lang w:eastAsia="tr-TR"/>
        </w:rPr>
        <w:t>HİA 2009-2016</w:t>
      </w:r>
      <w:r w:rsidR="000F0D57" w:rsidRPr="001F72A8">
        <w:rPr>
          <w:b w:val="0"/>
          <w:lang w:eastAsia="tr-TR"/>
        </w:rPr>
        <w:t xml:space="preserve"> yıllık</w:t>
      </w:r>
      <w:r w:rsidRPr="001F72A8">
        <w:rPr>
          <w:b w:val="0"/>
          <w:lang w:eastAsia="tr-TR"/>
        </w:rPr>
        <w:t xml:space="preserve"> mikro veri, </w:t>
      </w:r>
      <w:r w:rsidR="00E902ED">
        <w:rPr>
          <w:b w:val="0"/>
          <w:lang w:eastAsia="tr-TR"/>
        </w:rPr>
        <w:t>Betam</w:t>
      </w:r>
      <w:r w:rsidRPr="001F72A8">
        <w:rPr>
          <w:b w:val="0"/>
          <w:lang w:eastAsia="tr-TR"/>
        </w:rPr>
        <w:t xml:space="preserve"> hesaplamaları</w:t>
      </w:r>
      <w:r w:rsidR="001D15E1" w:rsidRPr="001F72A8">
        <w:rPr>
          <w:b w:val="0"/>
          <w:lang w:eastAsia="tr-TR"/>
        </w:rPr>
        <w:t>.</w:t>
      </w:r>
      <w:r w:rsidRPr="001F72A8">
        <w:rPr>
          <w:b w:val="0"/>
          <w:lang w:eastAsia="tr-TR"/>
        </w:rPr>
        <w:t xml:space="preserve"> </w:t>
      </w:r>
      <w:r w:rsidRPr="001F72A8">
        <w:rPr>
          <w:lang w:eastAsia="tr-TR"/>
        </w:rPr>
        <w:t>Not:</w:t>
      </w:r>
      <w:r w:rsidR="001D15E1" w:rsidRPr="001F72A8">
        <w:rPr>
          <w:b w:val="0"/>
          <w:lang w:eastAsia="tr-TR"/>
        </w:rPr>
        <w:t xml:space="preserve"> Tüm modellerde bağımlı değişken </w:t>
      </w:r>
      <w:r w:rsidRPr="001F72A8">
        <w:rPr>
          <w:b w:val="0"/>
          <w:lang w:eastAsia="tr-TR"/>
        </w:rPr>
        <w:t>kayıt dışı çalışma durumunu</w:t>
      </w:r>
      <w:r w:rsidR="001D15E1" w:rsidRPr="001F72A8">
        <w:rPr>
          <w:b w:val="0"/>
          <w:lang w:eastAsia="tr-TR"/>
        </w:rPr>
        <w:t xml:space="preserve"> gösteren kategorik bir değişkendir.</w:t>
      </w:r>
      <w:r w:rsidR="0085711B" w:rsidRPr="001F72A8">
        <w:rPr>
          <w:b w:val="0"/>
          <w:lang w:eastAsia="tr-TR"/>
        </w:rPr>
        <w:t xml:space="preserve"> Bu sebeple </w:t>
      </w:r>
      <w:r w:rsidR="00980F64" w:rsidRPr="001F72A8">
        <w:rPr>
          <w:b w:val="0"/>
          <w:lang w:eastAsia="tr-TR"/>
        </w:rPr>
        <w:t xml:space="preserve">model kestirimi için </w:t>
      </w:r>
      <w:r w:rsidR="0085711B" w:rsidRPr="001F72A8">
        <w:rPr>
          <w:b w:val="0"/>
          <w:lang w:eastAsia="tr-TR"/>
        </w:rPr>
        <w:t xml:space="preserve">lojistik regresyon tercih edilmiştir. </w:t>
      </w:r>
      <w:r w:rsidR="001D15E1" w:rsidRPr="001F72A8">
        <w:rPr>
          <w:b w:val="0"/>
          <w:lang w:eastAsia="tr-TR"/>
        </w:rPr>
        <w:t xml:space="preserve"> 1. </w:t>
      </w:r>
      <w:r w:rsidR="00061259" w:rsidRPr="001F72A8">
        <w:rPr>
          <w:b w:val="0"/>
          <w:lang w:eastAsia="tr-TR"/>
        </w:rPr>
        <w:t>model bağımsız</w:t>
      </w:r>
      <w:r w:rsidRPr="001F72A8">
        <w:rPr>
          <w:b w:val="0"/>
          <w:lang w:eastAsia="tr-TR"/>
        </w:rPr>
        <w:t xml:space="preserve"> değişken olarak tabloda belirtilen değişkenlere ek olarak yalnızca</w:t>
      </w:r>
      <w:r w:rsidR="001D15E1" w:rsidRPr="001F72A8">
        <w:rPr>
          <w:b w:val="0"/>
          <w:lang w:eastAsia="tr-TR"/>
        </w:rPr>
        <w:t xml:space="preserve"> </w:t>
      </w:r>
      <w:r w:rsidR="000F0D57" w:rsidRPr="001F72A8">
        <w:rPr>
          <w:b w:val="0"/>
          <w:lang w:eastAsia="tr-TR"/>
        </w:rPr>
        <w:t>sektör</w:t>
      </w:r>
      <w:r w:rsidR="001D15E1" w:rsidRPr="001F72A8">
        <w:rPr>
          <w:b w:val="0"/>
          <w:lang w:eastAsia="tr-TR"/>
        </w:rPr>
        <w:t xml:space="preserve"> ve yıl</w:t>
      </w:r>
      <w:r w:rsidR="000F0D57" w:rsidRPr="001F72A8">
        <w:rPr>
          <w:b w:val="0"/>
          <w:lang w:eastAsia="tr-TR"/>
        </w:rPr>
        <w:t xml:space="preserve"> </w:t>
      </w:r>
      <w:r w:rsidR="001D15E1" w:rsidRPr="001F72A8">
        <w:rPr>
          <w:b w:val="0"/>
          <w:lang w:eastAsia="tr-TR"/>
        </w:rPr>
        <w:t xml:space="preserve">kukla değişkenlerini içermektedir. 2. model ise 1. modele ek olarak </w:t>
      </w:r>
      <w:r w:rsidR="00D238EB">
        <w:rPr>
          <w:b w:val="0"/>
          <w:lang w:eastAsia="tr-TR"/>
        </w:rPr>
        <w:t>bazı kişisel özellikler (</w:t>
      </w:r>
      <w:r w:rsidR="001D15E1" w:rsidRPr="001F72A8">
        <w:rPr>
          <w:b w:val="0"/>
          <w:lang w:eastAsia="tr-TR"/>
        </w:rPr>
        <w:t>tecrübe, eğitim</w:t>
      </w:r>
      <w:r w:rsidR="00D238EB">
        <w:rPr>
          <w:b w:val="0"/>
          <w:lang w:eastAsia="tr-TR"/>
        </w:rPr>
        <w:t>,</w:t>
      </w:r>
      <w:r w:rsidR="001D15E1" w:rsidRPr="001F72A8">
        <w:rPr>
          <w:b w:val="0"/>
          <w:lang w:eastAsia="tr-TR"/>
        </w:rPr>
        <w:t xml:space="preserve"> medeni durum</w:t>
      </w:r>
      <w:r w:rsidR="00D238EB">
        <w:rPr>
          <w:b w:val="0"/>
          <w:lang w:eastAsia="tr-TR"/>
        </w:rPr>
        <w:t xml:space="preserve">), NUTS 2 bölge kukla değişkenleri </w:t>
      </w:r>
      <w:r w:rsidR="001D15E1" w:rsidRPr="001F72A8">
        <w:rPr>
          <w:b w:val="0"/>
          <w:lang w:eastAsia="tr-TR"/>
        </w:rPr>
        <w:t xml:space="preserve">ile </w:t>
      </w:r>
      <w:proofErr w:type="spellStart"/>
      <w:r w:rsidR="001D15E1" w:rsidRPr="001F72A8">
        <w:rPr>
          <w:b w:val="0"/>
          <w:lang w:eastAsia="tr-TR"/>
        </w:rPr>
        <w:t>sektörel</w:t>
      </w:r>
      <w:proofErr w:type="spellEnd"/>
      <w:r w:rsidR="001D15E1" w:rsidRPr="001F72A8">
        <w:rPr>
          <w:b w:val="0"/>
          <w:lang w:eastAsia="tr-TR"/>
        </w:rPr>
        <w:t xml:space="preserve"> işgücü verimlilik düzeyini </w:t>
      </w:r>
      <w:r w:rsidRPr="001F72A8">
        <w:rPr>
          <w:b w:val="0"/>
          <w:lang w:eastAsia="tr-TR"/>
        </w:rPr>
        <w:t>içermektedir</w:t>
      </w:r>
      <w:r w:rsidR="002D147A" w:rsidRPr="001F72A8">
        <w:rPr>
          <w:b w:val="0"/>
          <w:lang w:eastAsia="tr-TR"/>
        </w:rPr>
        <w:t xml:space="preserve">. </w:t>
      </w:r>
    </w:p>
    <w:p w:rsidR="00ED2E04" w:rsidRDefault="00B21EB1" w:rsidP="00ED2E04">
      <w:pPr>
        <w:rPr>
          <w:rFonts w:eastAsiaTheme="minorHAnsi"/>
          <w:b/>
          <w:lang w:eastAsia="en-US"/>
        </w:rPr>
      </w:pPr>
      <w:r>
        <w:rPr>
          <w:rFonts w:eastAsiaTheme="minorHAnsi"/>
          <w:b/>
          <w:lang w:eastAsia="en-US"/>
        </w:rPr>
        <w:t>b) Çeyreklik veriler</w:t>
      </w:r>
    </w:p>
    <w:p w:rsidR="008D7636" w:rsidRDefault="00461DF5" w:rsidP="00461DF5">
      <w:r>
        <w:rPr>
          <w:rFonts w:eastAsiaTheme="minorHAnsi"/>
          <w:lang w:eastAsia="en-US"/>
        </w:rPr>
        <w:t>Asgari ücret artışının kayıt dışı çalışma (ve istihdama) olan etkileri incelenirken yıllık HİA verileri kullanımının bazı sakıncaları mevcuttur. İlk sakınca ölçüm sorunları ile ilgilidir.</w:t>
      </w:r>
      <w:r w:rsidR="00A24463">
        <w:rPr>
          <w:rFonts w:eastAsiaTheme="minorHAnsi"/>
          <w:lang w:eastAsia="en-US"/>
        </w:rPr>
        <w:t xml:space="preserve"> Bazı yıllar 2016 yılında olduğu gibi tek asgari ücret seviyesi geçerli iken çoğunlukla 2014 ve 2015 yıllarında olduğu gibi iki (hatta bazen üç) farklı asgari ücret seviyesi bulunmaktadır.</w:t>
      </w:r>
      <w:r>
        <w:rPr>
          <w:rStyle w:val="FootnoteReference"/>
          <w:rFonts w:eastAsiaTheme="minorHAnsi"/>
          <w:lang w:eastAsia="en-US"/>
        </w:rPr>
        <w:footnoteReference w:id="4"/>
      </w:r>
      <w:r>
        <w:rPr>
          <w:rFonts w:eastAsiaTheme="minorHAnsi"/>
          <w:lang w:eastAsia="en-US"/>
        </w:rPr>
        <w:t xml:space="preserve"> Yıllık verilerde </w:t>
      </w:r>
      <w:r w:rsidR="00A24463">
        <w:rPr>
          <w:rFonts w:eastAsiaTheme="minorHAnsi"/>
          <w:lang w:eastAsia="en-US"/>
        </w:rPr>
        <w:t xml:space="preserve">anket ayı eksik olduğu için iki asgari ücretin geçerli olduğu yıllarda kişilerin ücretinin asgari ücret üstünde mi yoksa altında mı kaldığı </w:t>
      </w:r>
      <w:r w:rsidR="008D7636">
        <w:rPr>
          <w:rFonts w:eastAsiaTheme="minorHAnsi"/>
          <w:lang w:eastAsia="en-US"/>
        </w:rPr>
        <w:t xml:space="preserve">bazı durumlarda kesin olarak bilinememektedir. Mesela </w:t>
      </w:r>
      <w:r w:rsidR="008D7636" w:rsidRPr="003B2D33">
        <w:t>2014</w:t>
      </w:r>
      <w:r w:rsidR="008D7636">
        <w:t xml:space="preserve"> yılında net aylık asgari ücretler</w:t>
      </w:r>
      <w:r w:rsidR="008D7636" w:rsidRPr="003B2D33">
        <w:t xml:space="preserve"> sırası ile 846 TL ve 891 TL’dir</w:t>
      </w:r>
      <w:r w:rsidR="008D7636">
        <w:t xml:space="preserve">. </w:t>
      </w:r>
      <w:r w:rsidR="008D7636">
        <w:lastRenderedPageBreak/>
        <w:t xml:space="preserve">Ocak ayında 850 TL kazanan bir çalışan asgari ücret üzerinde bir kazanca sahipken Temmuz ayında aynı ücreti kazanan bir diğeri asgari ücret altı bir kazanç elde etmektedir. Çeyreklik HİA verileri sadece 3 aylık bir döneme ait oldukları için yukarıdaki belirsizlik kendiliğinden ortadan kalkmaktadır. </w:t>
      </w:r>
    </w:p>
    <w:p w:rsidR="00593E2D" w:rsidRDefault="00593E2D" w:rsidP="00593E2D">
      <w:pPr>
        <w:pStyle w:val="Caption"/>
        <w:rPr>
          <w:sz w:val="22"/>
        </w:rPr>
      </w:pPr>
      <w:r w:rsidRPr="006B7F40">
        <w:rPr>
          <w:sz w:val="22"/>
        </w:rPr>
        <w:t xml:space="preserve">Tablo </w:t>
      </w:r>
      <w:r w:rsidRPr="006B7F40">
        <w:rPr>
          <w:sz w:val="22"/>
        </w:rPr>
        <w:fldChar w:fldCharType="begin"/>
      </w:r>
      <w:r w:rsidRPr="006B7F40">
        <w:rPr>
          <w:sz w:val="22"/>
        </w:rPr>
        <w:instrText xml:space="preserve"> SEQ Tablo \* ARABIC </w:instrText>
      </w:r>
      <w:r w:rsidRPr="006B7F40">
        <w:rPr>
          <w:sz w:val="22"/>
        </w:rPr>
        <w:fldChar w:fldCharType="separate"/>
      </w:r>
      <w:r>
        <w:rPr>
          <w:noProof/>
          <w:sz w:val="22"/>
        </w:rPr>
        <w:t>2</w:t>
      </w:r>
      <w:r w:rsidRPr="006B7F40">
        <w:rPr>
          <w:sz w:val="22"/>
        </w:rPr>
        <w:fldChar w:fldCharType="end"/>
      </w:r>
      <w:r w:rsidRPr="006B7F40">
        <w:rPr>
          <w:sz w:val="22"/>
        </w:rPr>
        <w:t xml:space="preserve">: </w:t>
      </w:r>
      <w:r w:rsidR="00AF7A9E">
        <w:rPr>
          <w:sz w:val="22"/>
        </w:rPr>
        <w:t xml:space="preserve">Ücretli çalışan erkekler için asgari ücret artışının kayıt dışı istihdama olan etkileri: </w:t>
      </w:r>
      <w:r w:rsidR="00AF7A9E" w:rsidRPr="001D15E1">
        <w:rPr>
          <w:sz w:val="22"/>
        </w:rPr>
        <w:t>regresyon sonuçları</w:t>
      </w:r>
      <w:r w:rsidRPr="006B7F40">
        <w:rPr>
          <w:sz w:val="22"/>
        </w:rPr>
        <w:t xml:space="preserve"> (</w:t>
      </w:r>
      <w:r>
        <w:rPr>
          <w:sz w:val="22"/>
        </w:rPr>
        <w:t xml:space="preserve">2009-2016, </w:t>
      </w:r>
      <w:r w:rsidRPr="006B7F40">
        <w:rPr>
          <w:sz w:val="22"/>
        </w:rPr>
        <w:t>çeyreklik veriler)</w:t>
      </w:r>
    </w:p>
    <w:tbl>
      <w:tblPr>
        <w:tblW w:w="3708" w:type="dxa"/>
        <w:jc w:val="center"/>
        <w:tblCellMar>
          <w:left w:w="70" w:type="dxa"/>
          <w:right w:w="70" w:type="dxa"/>
        </w:tblCellMar>
        <w:tblLook w:val="04A0" w:firstRow="1" w:lastRow="0" w:firstColumn="1" w:lastColumn="0" w:noHBand="0" w:noVBand="1"/>
      </w:tblPr>
      <w:tblGrid>
        <w:gridCol w:w="1267"/>
        <w:gridCol w:w="1219"/>
        <w:gridCol w:w="1222"/>
      </w:tblGrid>
      <w:tr w:rsidR="00593E2D" w:rsidRPr="00775278" w:rsidTr="00BD7706">
        <w:trPr>
          <w:trHeight w:hRule="exact" w:val="231"/>
          <w:jc w:val="center"/>
        </w:trPr>
        <w:tc>
          <w:tcPr>
            <w:tcW w:w="1267" w:type="dxa"/>
            <w:tcBorders>
              <w:top w:val="single" w:sz="4" w:space="0" w:color="auto"/>
              <w:left w:val="nil"/>
              <w:bottom w:val="single" w:sz="8" w:space="0" w:color="auto"/>
              <w:right w:val="single" w:sz="8" w:space="0" w:color="auto"/>
            </w:tcBorders>
            <w:shd w:val="clear" w:color="auto" w:fill="auto"/>
            <w:noWrap/>
            <w:vAlign w:val="bottom"/>
            <w:hideMark/>
          </w:tcPr>
          <w:p w:rsidR="00593E2D" w:rsidRPr="00775278" w:rsidRDefault="00593E2D" w:rsidP="003316B5">
            <w:pPr>
              <w:suppressAutoHyphens w:val="0"/>
              <w:spacing w:after="0" w:line="240" w:lineRule="auto"/>
              <w:jc w:val="left"/>
              <w:rPr>
                <w:rFonts w:cs="Calibri"/>
                <w:sz w:val="16"/>
                <w:lang w:eastAsia="tr-TR"/>
              </w:rPr>
            </w:pPr>
          </w:p>
        </w:tc>
        <w:tc>
          <w:tcPr>
            <w:tcW w:w="1219" w:type="dxa"/>
            <w:tcBorders>
              <w:top w:val="single" w:sz="4" w:space="0" w:color="auto"/>
              <w:left w:val="nil"/>
              <w:bottom w:val="single" w:sz="8" w:space="0" w:color="auto"/>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(1)</w:t>
            </w:r>
          </w:p>
        </w:tc>
        <w:tc>
          <w:tcPr>
            <w:tcW w:w="1221" w:type="dxa"/>
            <w:tcBorders>
              <w:top w:val="single" w:sz="4" w:space="0" w:color="auto"/>
              <w:left w:val="nil"/>
              <w:bottom w:val="single" w:sz="8" w:space="0" w:color="auto"/>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(2)</w:t>
            </w:r>
          </w:p>
        </w:tc>
      </w:tr>
      <w:tr w:rsidR="00593E2D" w:rsidRPr="00775278" w:rsidTr="00BD7706">
        <w:trPr>
          <w:trHeight w:hRule="exact" w:val="231"/>
          <w:jc w:val="center"/>
        </w:trPr>
        <w:tc>
          <w:tcPr>
            <w:tcW w:w="1267" w:type="dxa"/>
            <w:tcBorders>
              <w:top w:val="nil"/>
              <w:left w:val="nil"/>
              <w:bottom w:val="nil"/>
              <w:right w:val="single" w:sz="8" w:space="0" w:color="auto"/>
            </w:tcBorders>
            <w:shd w:val="clear" w:color="auto" w:fill="auto"/>
            <w:noWrap/>
            <w:vAlign w:val="bottom"/>
            <w:hideMark/>
          </w:tcPr>
          <w:p w:rsidR="00593E2D" w:rsidRPr="00775278" w:rsidRDefault="00593E2D" w:rsidP="003316B5">
            <w:pPr>
              <w:suppressAutoHyphens w:val="0"/>
              <w:spacing w:after="0" w:line="240" w:lineRule="auto"/>
              <w:jc w:val="left"/>
              <w:rPr>
                <w:rFonts w:cs="Calibri"/>
                <w:sz w:val="16"/>
                <w:lang w:eastAsia="tr-TR"/>
              </w:rPr>
            </w:pPr>
            <w:r w:rsidRPr="00775278">
              <w:rPr>
                <w:rFonts w:cs="Calibri"/>
                <w:sz w:val="16"/>
                <w:lang w:eastAsia="tr-TR"/>
              </w:rPr>
              <w:t> </w:t>
            </w:r>
          </w:p>
        </w:tc>
        <w:tc>
          <w:tcPr>
            <w:tcW w:w="1219"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p>
        </w:tc>
        <w:tc>
          <w:tcPr>
            <w:tcW w:w="1221"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p>
        </w:tc>
      </w:tr>
      <w:tr w:rsidR="00593E2D" w:rsidRPr="00775278" w:rsidTr="00BD7706">
        <w:trPr>
          <w:trHeight w:hRule="exact" w:val="231"/>
          <w:jc w:val="center"/>
        </w:trPr>
        <w:tc>
          <w:tcPr>
            <w:tcW w:w="1267" w:type="dxa"/>
            <w:tcBorders>
              <w:top w:val="nil"/>
              <w:left w:val="nil"/>
              <w:bottom w:val="nil"/>
              <w:right w:val="single" w:sz="8" w:space="0" w:color="auto"/>
            </w:tcBorders>
            <w:shd w:val="clear" w:color="auto" w:fill="auto"/>
            <w:noWrap/>
            <w:vAlign w:val="bottom"/>
            <w:hideMark/>
          </w:tcPr>
          <w:p w:rsidR="00593E2D" w:rsidRPr="00775278" w:rsidRDefault="00593E2D" w:rsidP="003316B5">
            <w:pPr>
              <w:suppressAutoHyphens w:val="0"/>
              <w:spacing w:after="0" w:line="240" w:lineRule="auto"/>
              <w:jc w:val="left"/>
              <w:rPr>
                <w:rFonts w:cs="Calibri"/>
                <w:sz w:val="16"/>
                <w:lang w:eastAsia="tr-TR"/>
              </w:rPr>
            </w:pPr>
            <w:r w:rsidRPr="00775278">
              <w:rPr>
                <w:rFonts w:cs="Calibri"/>
                <w:sz w:val="16"/>
                <w:lang w:eastAsia="tr-TR"/>
              </w:rPr>
              <w:t>sh14y15q1</w:t>
            </w:r>
          </w:p>
        </w:tc>
        <w:tc>
          <w:tcPr>
            <w:tcW w:w="1219"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-0.00793***</w:t>
            </w:r>
          </w:p>
        </w:tc>
        <w:tc>
          <w:tcPr>
            <w:tcW w:w="1221"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-0.00973***</w:t>
            </w:r>
          </w:p>
        </w:tc>
      </w:tr>
      <w:tr w:rsidR="00593E2D" w:rsidRPr="00775278" w:rsidTr="00BD7706">
        <w:trPr>
          <w:trHeight w:hRule="exact" w:val="231"/>
          <w:jc w:val="center"/>
        </w:trPr>
        <w:tc>
          <w:tcPr>
            <w:tcW w:w="1267" w:type="dxa"/>
            <w:tcBorders>
              <w:top w:val="nil"/>
              <w:left w:val="nil"/>
              <w:bottom w:val="nil"/>
              <w:right w:val="single" w:sz="8" w:space="0" w:color="auto"/>
            </w:tcBorders>
            <w:shd w:val="clear" w:color="auto" w:fill="auto"/>
            <w:noWrap/>
            <w:vAlign w:val="bottom"/>
            <w:hideMark/>
          </w:tcPr>
          <w:p w:rsidR="00593E2D" w:rsidRPr="00775278" w:rsidRDefault="00593E2D" w:rsidP="003316B5">
            <w:pPr>
              <w:suppressAutoHyphens w:val="0"/>
              <w:spacing w:after="0" w:line="240" w:lineRule="auto"/>
              <w:jc w:val="left"/>
              <w:rPr>
                <w:rFonts w:cs="Calibri"/>
                <w:sz w:val="16"/>
                <w:lang w:eastAsia="tr-TR"/>
              </w:rPr>
            </w:pPr>
            <w:r w:rsidRPr="00775278">
              <w:rPr>
                <w:rFonts w:cs="Calibri"/>
                <w:sz w:val="16"/>
                <w:lang w:eastAsia="tr-TR"/>
              </w:rPr>
              <w:t> </w:t>
            </w:r>
          </w:p>
        </w:tc>
        <w:tc>
          <w:tcPr>
            <w:tcW w:w="1219"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(0.00267)</w:t>
            </w:r>
          </w:p>
        </w:tc>
        <w:tc>
          <w:tcPr>
            <w:tcW w:w="1221"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(0.00277)</w:t>
            </w:r>
          </w:p>
        </w:tc>
      </w:tr>
      <w:tr w:rsidR="00593E2D" w:rsidRPr="00775278" w:rsidTr="00BD7706">
        <w:trPr>
          <w:trHeight w:hRule="exact" w:val="231"/>
          <w:jc w:val="center"/>
        </w:trPr>
        <w:tc>
          <w:tcPr>
            <w:tcW w:w="1267" w:type="dxa"/>
            <w:tcBorders>
              <w:top w:val="nil"/>
              <w:left w:val="nil"/>
              <w:bottom w:val="nil"/>
              <w:right w:val="single" w:sz="8" w:space="0" w:color="auto"/>
            </w:tcBorders>
            <w:shd w:val="clear" w:color="auto" w:fill="auto"/>
            <w:noWrap/>
            <w:vAlign w:val="bottom"/>
            <w:hideMark/>
          </w:tcPr>
          <w:p w:rsidR="00593E2D" w:rsidRPr="00775278" w:rsidRDefault="00593E2D" w:rsidP="003316B5">
            <w:pPr>
              <w:suppressAutoHyphens w:val="0"/>
              <w:spacing w:after="0" w:line="240" w:lineRule="auto"/>
              <w:jc w:val="left"/>
              <w:rPr>
                <w:rFonts w:cs="Calibri"/>
                <w:sz w:val="16"/>
                <w:lang w:eastAsia="tr-TR"/>
              </w:rPr>
            </w:pPr>
            <w:r w:rsidRPr="00775278">
              <w:rPr>
                <w:rFonts w:cs="Calibri"/>
                <w:sz w:val="16"/>
                <w:lang w:eastAsia="tr-TR"/>
              </w:rPr>
              <w:t>sh14y15q2</w:t>
            </w:r>
          </w:p>
        </w:tc>
        <w:tc>
          <w:tcPr>
            <w:tcW w:w="1219"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0.00195</w:t>
            </w:r>
          </w:p>
        </w:tc>
        <w:tc>
          <w:tcPr>
            <w:tcW w:w="1221"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-0.000220</w:t>
            </w:r>
          </w:p>
        </w:tc>
      </w:tr>
      <w:tr w:rsidR="00593E2D" w:rsidRPr="00775278" w:rsidTr="00BD7706">
        <w:trPr>
          <w:trHeight w:hRule="exact" w:val="231"/>
          <w:jc w:val="center"/>
        </w:trPr>
        <w:tc>
          <w:tcPr>
            <w:tcW w:w="1267" w:type="dxa"/>
            <w:tcBorders>
              <w:top w:val="nil"/>
              <w:left w:val="nil"/>
              <w:bottom w:val="nil"/>
              <w:right w:val="single" w:sz="8" w:space="0" w:color="auto"/>
            </w:tcBorders>
            <w:shd w:val="clear" w:color="auto" w:fill="auto"/>
            <w:noWrap/>
            <w:vAlign w:val="bottom"/>
            <w:hideMark/>
          </w:tcPr>
          <w:p w:rsidR="00593E2D" w:rsidRPr="00775278" w:rsidRDefault="00593E2D" w:rsidP="003316B5">
            <w:pPr>
              <w:suppressAutoHyphens w:val="0"/>
              <w:spacing w:after="0" w:line="240" w:lineRule="auto"/>
              <w:jc w:val="left"/>
              <w:rPr>
                <w:rFonts w:cs="Calibri"/>
                <w:sz w:val="16"/>
                <w:lang w:eastAsia="tr-TR"/>
              </w:rPr>
            </w:pPr>
            <w:r w:rsidRPr="00775278">
              <w:rPr>
                <w:rFonts w:cs="Calibri"/>
                <w:sz w:val="16"/>
                <w:lang w:eastAsia="tr-TR"/>
              </w:rPr>
              <w:t> </w:t>
            </w:r>
          </w:p>
        </w:tc>
        <w:tc>
          <w:tcPr>
            <w:tcW w:w="1219"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(0.00207)</w:t>
            </w:r>
          </w:p>
        </w:tc>
        <w:tc>
          <w:tcPr>
            <w:tcW w:w="1221"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(0.00210)</w:t>
            </w:r>
          </w:p>
        </w:tc>
      </w:tr>
      <w:tr w:rsidR="00593E2D" w:rsidRPr="00775278" w:rsidTr="00BD7706">
        <w:trPr>
          <w:trHeight w:hRule="exact" w:val="231"/>
          <w:jc w:val="center"/>
        </w:trPr>
        <w:tc>
          <w:tcPr>
            <w:tcW w:w="1267" w:type="dxa"/>
            <w:tcBorders>
              <w:top w:val="nil"/>
              <w:left w:val="nil"/>
              <w:bottom w:val="nil"/>
              <w:right w:val="single" w:sz="8" w:space="0" w:color="auto"/>
            </w:tcBorders>
            <w:shd w:val="clear" w:color="auto" w:fill="auto"/>
            <w:noWrap/>
            <w:vAlign w:val="bottom"/>
            <w:hideMark/>
          </w:tcPr>
          <w:p w:rsidR="00593E2D" w:rsidRPr="00775278" w:rsidRDefault="00593E2D" w:rsidP="003316B5">
            <w:pPr>
              <w:suppressAutoHyphens w:val="0"/>
              <w:spacing w:after="0" w:line="240" w:lineRule="auto"/>
              <w:jc w:val="left"/>
              <w:rPr>
                <w:rFonts w:cs="Calibri"/>
                <w:sz w:val="16"/>
                <w:lang w:eastAsia="tr-TR"/>
              </w:rPr>
            </w:pPr>
            <w:r w:rsidRPr="00775278">
              <w:rPr>
                <w:rFonts w:cs="Calibri"/>
                <w:sz w:val="16"/>
                <w:lang w:eastAsia="tr-TR"/>
              </w:rPr>
              <w:t>sh14y15q3</w:t>
            </w:r>
          </w:p>
        </w:tc>
        <w:tc>
          <w:tcPr>
            <w:tcW w:w="1219"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0.00786***</w:t>
            </w:r>
          </w:p>
        </w:tc>
        <w:tc>
          <w:tcPr>
            <w:tcW w:w="1221"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0.00536**</w:t>
            </w:r>
          </w:p>
        </w:tc>
      </w:tr>
      <w:tr w:rsidR="00593E2D" w:rsidRPr="00775278" w:rsidTr="00BD7706">
        <w:trPr>
          <w:trHeight w:hRule="exact" w:val="231"/>
          <w:jc w:val="center"/>
        </w:trPr>
        <w:tc>
          <w:tcPr>
            <w:tcW w:w="1267" w:type="dxa"/>
            <w:tcBorders>
              <w:top w:val="nil"/>
              <w:left w:val="nil"/>
              <w:bottom w:val="nil"/>
              <w:right w:val="single" w:sz="8" w:space="0" w:color="auto"/>
            </w:tcBorders>
            <w:shd w:val="clear" w:color="auto" w:fill="auto"/>
            <w:noWrap/>
            <w:vAlign w:val="bottom"/>
            <w:hideMark/>
          </w:tcPr>
          <w:p w:rsidR="00593E2D" w:rsidRPr="00775278" w:rsidRDefault="00593E2D" w:rsidP="003316B5">
            <w:pPr>
              <w:suppressAutoHyphens w:val="0"/>
              <w:spacing w:after="0" w:line="240" w:lineRule="auto"/>
              <w:jc w:val="left"/>
              <w:rPr>
                <w:rFonts w:cs="Calibri"/>
                <w:sz w:val="16"/>
                <w:lang w:eastAsia="tr-TR"/>
              </w:rPr>
            </w:pPr>
            <w:r w:rsidRPr="00775278">
              <w:rPr>
                <w:rFonts w:cs="Calibri"/>
                <w:sz w:val="16"/>
                <w:lang w:eastAsia="tr-TR"/>
              </w:rPr>
              <w:t> </w:t>
            </w:r>
          </w:p>
        </w:tc>
        <w:tc>
          <w:tcPr>
            <w:tcW w:w="1219"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(0.00249)</w:t>
            </w:r>
          </w:p>
        </w:tc>
        <w:tc>
          <w:tcPr>
            <w:tcW w:w="1221"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(0.00253)</w:t>
            </w:r>
          </w:p>
        </w:tc>
      </w:tr>
      <w:tr w:rsidR="00593E2D" w:rsidRPr="00775278" w:rsidTr="00BD7706">
        <w:trPr>
          <w:trHeight w:hRule="exact" w:val="231"/>
          <w:jc w:val="center"/>
        </w:trPr>
        <w:tc>
          <w:tcPr>
            <w:tcW w:w="1267" w:type="dxa"/>
            <w:tcBorders>
              <w:top w:val="nil"/>
              <w:left w:val="nil"/>
              <w:bottom w:val="nil"/>
              <w:right w:val="single" w:sz="8" w:space="0" w:color="auto"/>
            </w:tcBorders>
            <w:shd w:val="clear" w:color="auto" w:fill="auto"/>
            <w:noWrap/>
            <w:vAlign w:val="bottom"/>
            <w:hideMark/>
          </w:tcPr>
          <w:p w:rsidR="00593E2D" w:rsidRPr="00775278" w:rsidRDefault="00593E2D" w:rsidP="003316B5">
            <w:pPr>
              <w:suppressAutoHyphens w:val="0"/>
              <w:spacing w:after="0" w:line="240" w:lineRule="auto"/>
              <w:jc w:val="left"/>
              <w:rPr>
                <w:rFonts w:cs="Calibri"/>
                <w:sz w:val="16"/>
                <w:lang w:eastAsia="tr-TR"/>
              </w:rPr>
            </w:pPr>
            <w:r w:rsidRPr="00775278">
              <w:rPr>
                <w:rFonts w:cs="Calibri"/>
                <w:sz w:val="16"/>
                <w:lang w:eastAsia="tr-TR"/>
              </w:rPr>
              <w:t>sh14y15q4</w:t>
            </w:r>
          </w:p>
        </w:tc>
        <w:tc>
          <w:tcPr>
            <w:tcW w:w="1219"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-0.00204</w:t>
            </w:r>
          </w:p>
        </w:tc>
        <w:tc>
          <w:tcPr>
            <w:tcW w:w="1221"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-0.00370</w:t>
            </w:r>
          </w:p>
        </w:tc>
      </w:tr>
      <w:tr w:rsidR="00593E2D" w:rsidRPr="00775278" w:rsidTr="00BD7706">
        <w:trPr>
          <w:trHeight w:hRule="exact" w:val="231"/>
          <w:jc w:val="center"/>
        </w:trPr>
        <w:tc>
          <w:tcPr>
            <w:tcW w:w="1267" w:type="dxa"/>
            <w:tcBorders>
              <w:top w:val="nil"/>
              <w:left w:val="nil"/>
              <w:bottom w:val="nil"/>
              <w:right w:val="single" w:sz="8" w:space="0" w:color="auto"/>
            </w:tcBorders>
            <w:shd w:val="clear" w:color="auto" w:fill="auto"/>
            <w:noWrap/>
            <w:vAlign w:val="bottom"/>
            <w:hideMark/>
          </w:tcPr>
          <w:p w:rsidR="00593E2D" w:rsidRPr="00775278" w:rsidRDefault="00593E2D" w:rsidP="003316B5">
            <w:pPr>
              <w:suppressAutoHyphens w:val="0"/>
              <w:spacing w:after="0" w:line="240" w:lineRule="auto"/>
              <w:jc w:val="left"/>
              <w:rPr>
                <w:rFonts w:cs="Calibri"/>
                <w:sz w:val="16"/>
                <w:lang w:eastAsia="tr-TR"/>
              </w:rPr>
            </w:pPr>
            <w:r w:rsidRPr="00775278">
              <w:rPr>
                <w:rFonts w:cs="Calibri"/>
                <w:sz w:val="16"/>
                <w:lang w:eastAsia="tr-TR"/>
              </w:rPr>
              <w:t> </w:t>
            </w:r>
          </w:p>
        </w:tc>
        <w:tc>
          <w:tcPr>
            <w:tcW w:w="1219"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(0.00223)</w:t>
            </w:r>
          </w:p>
        </w:tc>
        <w:tc>
          <w:tcPr>
            <w:tcW w:w="1221"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(0.00230)</w:t>
            </w:r>
          </w:p>
        </w:tc>
      </w:tr>
      <w:tr w:rsidR="00593E2D" w:rsidRPr="00775278" w:rsidTr="00BD7706">
        <w:trPr>
          <w:trHeight w:hRule="exact" w:val="231"/>
          <w:jc w:val="center"/>
        </w:trPr>
        <w:tc>
          <w:tcPr>
            <w:tcW w:w="1267" w:type="dxa"/>
            <w:tcBorders>
              <w:top w:val="nil"/>
              <w:left w:val="nil"/>
              <w:bottom w:val="nil"/>
              <w:right w:val="single" w:sz="8" w:space="0" w:color="auto"/>
            </w:tcBorders>
            <w:shd w:val="clear" w:color="auto" w:fill="auto"/>
            <w:noWrap/>
            <w:vAlign w:val="bottom"/>
            <w:hideMark/>
          </w:tcPr>
          <w:p w:rsidR="00593E2D" w:rsidRPr="00775278" w:rsidRDefault="00593E2D" w:rsidP="003316B5">
            <w:pPr>
              <w:suppressAutoHyphens w:val="0"/>
              <w:spacing w:after="0" w:line="240" w:lineRule="auto"/>
              <w:jc w:val="left"/>
              <w:rPr>
                <w:rFonts w:cs="Calibri"/>
                <w:sz w:val="16"/>
                <w:lang w:eastAsia="tr-TR"/>
              </w:rPr>
            </w:pPr>
            <w:r w:rsidRPr="00775278">
              <w:rPr>
                <w:rFonts w:cs="Calibri"/>
                <w:sz w:val="16"/>
                <w:lang w:eastAsia="tr-TR"/>
              </w:rPr>
              <w:t>sh15y16q1</w:t>
            </w:r>
          </w:p>
        </w:tc>
        <w:tc>
          <w:tcPr>
            <w:tcW w:w="1219"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-0.000668</w:t>
            </w:r>
          </w:p>
        </w:tc>
        <w:tc>
          <w:tcPr>
            <w:tcW w:w="1221"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-0.00120</w:t>
            </w:r>
          </w:p>
        </w:tc>
      </w:tr>
      <w:tr w:rsidR="00593E2D" w:rsidRPr="00775278" w:rsidTr="00BD7706">
        <w:trPr>
          <w:trHeight w:hRule="exact" w:val="231"/>
          <w:jc w:val="center"/>
        </w:trPr>
        <w:tc>
          <w:tcPr>
            <w:tcW w:w="1267" w:type="dxa"/>
            <w:tcBorders>
              <w:top w:val="nil"/>
              <w:left w:val="nil"/>
              <w:bottom w:val="nil"/>
              <w:right w:val="single" w:sz="8" w:space="0" w:color="auto"/>
            </w:tcBorders>
            <w:shd w:val="clear" w:color="auto" w:fill="auto"/>
            <w:noWrap/>
            <w:vAlign w:val="bottom"/>
            <w:hideMark/>
          </w:tcPr>
          <w:p w:rsidR="00593E2D" w:rsidRPr="00775278" w:rsidRDefault="00593E2D" w:rsidP="003316B5">
            <w:pPr>
              <w:suppressAutoHyphens w:val="0"/>
              <w:spacing w:after="0" w:line="240" w:lineRule="auto"/>
              <w:jc w:val="left"/>
              <w:rPr>
                <w:rFonts w:cs="Calibri"/>
                <w:sz w:val="16"/>
                <w:lang w:eastAsia="tr-TR"/>
              </w:rPr>
            </w:pPr>
            <w:r w:rsidRPr="00775278">
              <w:rPr>
                <w:rFonts w:cs="Calibri"/>
                <w:sz w:val="16"/>
                <w:lang w:eastAsia="tr-TR"/>
              </w:rPr>
              <w:t> </w:t>
            </w:r>
          </w:p>
        </w:tc>
        <w:tc>
          <w:tcPr>
            <w:tcW w:w="1219"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(0.00275)</w:t>
            </w:r>
          </w:p>
        </w:tc>
        <w:tc>
          <w:tcPr>
            <w:tcW w:w="1221"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(0.00288)</w:t>
            </w:r>
          </w:p>
        </w:tc>
      </w:tr>
      <w:tr w:rsidR="00593E2D" w:rsidRPr="00775278" w:rsidTr="00BD7706">
        <w:trPr>
          <w:trHeight w:hRule="exact" w:val="231"/>
          <w:jc w:val="center"/>
        </w:trPr>
        <w:tc>
          <w:tcPr>
            <w:tcW w:w="1267" w:type="dxa"/>
            <w:tcBorders>
              <w:top w:val="nil"/>
              <w:left w:val="nil"/>
              <w:bottom w:val="nil"/>
              <w:right w:val="single" w:sz="8" w:space="0" w:color="auto"/>
            </w:tcBorders>
            <w:shd w:val="clear" w:color="auto" w:fill="auto"/>
            <w:noWrap/>
            <w:vAlign w:val="bottom"/>
            <w:hideMark/>
          </w:tcPr>
          <w:p w:rsidR="00593E2D" w:rsidRPr="00775278" w:rsidRDefault="00593E2D" w:rsidP="003316B5">
            <w:pPr>
              <w:suppressAutoHyphens w:val="0"/>
              <w:spacing w:after="0" w:line="240" w:lineRule="auto"/>
              <w:jc w:val="left"/>
              <w:rPr>
                <w:rFonts w:cs="Calibri"/>
                <w:sz w:val="16"/>
                <w:lang w:eastAsia="tr-TR"/>
              </w:rPr>
            </w:pPr>
            <w:r w:rsidRPr="00775278">
              <w:rPr>
                <w:rFonts w:cs="Calibri"/>
                <w:sz w:val="16"/>
                <w:lang w:eastAsia="tr-TR"/>
              </w:rPr>
              <w:t>sh15y16q2</w:t>
            </w:r>
          </w:p>
        </w:tc>
        <w:tc>
          <w:tcPr>
            <w:tcW w:w="1219"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0.00914***</w:t>
            </w:r>
          </w:p>
        </w:tc>
        <w:tc>
          <w:tcPr>
            <w:tcW w:w="1221"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0.00818***</w:t>
            </w:r>
          </w:p>
        </w:tc>
      </w:tr>
      <w:tr w:rsidR="00593E2D" w:rsidRPr="00775278" w:rsidTr="00BD7706">
        <w:trPr>
          <w:trHeight w:hRule="exact" w:val="231"/>
          <w:jc w:val="center"/>
        </w:trPr>
        <w:tc>
          <w:tcPr>
            <w:tcW w:w="1267" w:type="dxa"/>
            <w:tcBorders>
              <w:top w:val="nil"/>
              <w:left w:val="nil"/>
              <w:bottom w:val="nil"/>
              <w:right w:val="single" w:sz="8" w:space="0" w:color="auto"/>
            </w:tcBorders>
            <w:shd w:val="clear" w:color="auto" w:fill="auto"/>
            <w:noWrap/>
            <w:vAlign w:val="bottom"/>
            <w:hideMark/>
          </w:tcPr>
          <w:p w:rsidR="00593E2D" w:rsidRPr="00775278" w:rsidRDefault="00593E2D" w:rsidP="003316B5">
            <w:pPr>
              <w:suppressAutoHyphens w:val="0"/>
              <w:spacing w:after="0" w:line="240" w:lineRule="auto"/>
              <w:jc w:val="left"/>
              <w:rPr>
                <w:rFonts w:cs="Calibri"/>
                <w:sz w:val="16"/>
                <w:lang w:eastAsia="tr-TR"/>
              </w:rPr>
            </w:pPr>
            <w:r w:rsidRPr="00775278">
              <w:rPr>
                <w:rFonts w:cs="Calibri"/>
                <w:sz w:val="16"/>
                <w:lang w:eastAsia="tr-TR"/>
              </w:rPr>
              <w:t> </w:t>
            </w:r>
          </w:p>
        </w:tc>
        <w:tc>
          <w:tcPr>
            <w:tcW w:w="1219"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(0.00239)</w:t>
            </w:r>
          </w:p>
        </w:tc>
        <w:tc>
          <w:tcPr>
            <w:tcW w:w="1221"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(0.00245)</w:t>
            </w:r>
          </w:p>
        </w:tc>
      </w:tr>
      <w:tr w:rsidR="00593E2D" w:rsidRPr="00775278" w:rsidTr="00BD7706">
        <w:trPr>
          <w:trHeight w:hRule="exact" w:val="231"/>
          <w:jc w:val="center"/>
        </w:trPr>
        <w:tc>
          <w:tcPr>
            <w:tcW w:w="1267" w:type="dxa"/>
            <w:tcBorders>
              <w:top w:val="nil"/>
              <w:left w:val="nil"/>
              <w:bottom w:val="nil"/>
              <w:right w:val="single" w:sz="8" w:space="0" w:color="auto"/>
            </w:tcBorders>
            <w:shd w:val="clear" w:color="auto" w:fill="auto"/>
            <w:noWrap/>
            <w:vAlign w:val="bottom"/>
            <w:hideMark/>
          </w:tcPr>
          <w:p w:rsidR="00593E2D" w:rsidRPr="00775278" w:rsidRDefault="00593E2D" w:rsidP="003316B5">
            <w:pPr>
              <w:suppressAutoHyphens w:val="0"/>
              <w:spacing w:after="0" w:line="240" w:lineRule="auto"/>
              <w:jc w:val="left"/>
              <w:rPr>
                <w:rFonts w:cs="Calibri"/>
                <w:sz w:val="16"/>
                <w:lang w:eastAsia="tr-TR"/>
              </w:rPr>
            </w:pPr>
            <w:r w:rsidRPr="00775278">
              <w:rPr>
                <w:rFonts w:cs="Calibri"/>
                <w:sz w:val="16"/>
                <w:lang w:eastAsia="tr-TR"/>
              </w:rPr>
              <w:t>sh15y16q3</w:t>
            </w:r>
          </w:p>
        </w:tc>
        <w:tc>
          <w:tcPr>
            <w:tcW w:w="1219"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0.00872***</w:t>
            </w:r>
          </w:p>
        </w:tc>
        <w:tc>
          <w:tcPr>
            <w:tcW w:w="1221"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0.00678***</w:t>
            </w:r>
          </w:p>
        </w:tc>
      </w:tr>
      <w:tr w:rsidR="00593E2D" w:rsidRPr="00775278" w:rsidTr="00BD7706">
        <w:trPr>
          <w:trHeight w:hRule="exact" w:val="231"/>
          <w:jc w:val="center"/>
        </w:trPr>
        <w:tc>
          <w:tcPr>
            <w:tcW w:w="1267" w:type="dxa"/>
            <w:tcBorders>
              <w:top w:val="nil"/>
              <w:left w:val="nil"/>
              <w:bottom w:val="nil"/>
              <w:right w:val="single" w:sz="8" w:space="0" w:color="auto"/>
            </w:tcBorders>
            <w:shd w:val="clear" w:color="auto" w:fill="auto"/>
            <w:noWrap/>
            <w:vAlign w:val="bottom"/>
            <w:hideMark/>
          </w:tcPr>
          <w:p w:rsidR="00593E2D" w:rsidRPr="00775278" w:rsidRDefault="00593E2D" w:rsidP="003316B5">
            <w:pPr>
              <w:suppressAutoHyphens w:val="0"/>
              <w:spacing w:after="0" w:line="240" w:lineRule="auto"/>
              <w:jc w:val="left"/>
              <w:rPr>
                <w:rFonts w:cs="Calibri"/>
                <w:sz w:val="16"/>
                <w:lang w:eastAsia="tr-TR"/>
              </w:rPr>
            </w:pPr>
            <w:r w:rsidRPr="00775278">
              <w:rPr>
                <w:rFonts w:cs="Calibri"/>
                <w:sz w:val="16"/>
                <w:lang w:eastAsia="tr-TR"/>
              </w:rPr>
              <w:t> </w:t>
            </w:r>
          </w:p>
        </w:tc>
        <w:tc>
          <w:tcPr>
            <w:tcW w:w="1219"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(0.00249)</w:t>
            </w:r>
          </w:p>
        </w:tc>
        <w:tc>
          <w:tcPr>
            <w:tcW w:w="1221"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(0.00261)</w:t>
            </w:r>
          </w:p>
        </w:tc>
      </w:tr>
      <w:tr w:rsidR="00593E2D" w:rsidRPr="00775278" w:rsidTr="00BD7706">
        <w:trPr>
          <w:trHeight w:hRule="exact" w:val="231"/>
          <w:jc w:val="center"/>
        </w:trPr>
        <w:tc>
          <w:tcPr>
            <w:tcW w:w="1267" w:type="dxa"/>
            <w:tcBorders>
              <w:top w:val="nil"/>
              <w:left w:val="nil"/>
              <w:bottom w:val="nil"/>
              <w:right w:val="single" w:sz="8" w:space="0" w:color="auto"/>
            </w:tcBorders>
            <w:shd w:val="clear" w:color="auto" w:fill="auto"/>
            <w:noWrap/>
            <w:vAlign w:val="bottom"/>
            <w:hideMark/>
          </w:tcPr>
          <w:p w:rsidR="00593E2D" w:rsidRPr="00775278" w:rsidRDefault="00593E2D" w:rsidP="003316B5">
            <w:pPr>
              <w:suppressAutoHyphens w:val="0"/>
              <w:spacing w:after="0" w:line="240" w:lineRule="auto"/>
              <w:jc w:val="left"/>
              <w:rPr>
                <w:rFonts w:cs="Calibri"/>
                <w:sz w:val="16"/>
                <w:lang w:eastAsia="tr-TR"/>
              </w:rPr>
            </w:pPr>
            <w:r w:rsidRPr="00775278">
              <w:rPr>
                <w:rFonts w:cs="Calibri"/>
                <w:sz w:val="16"/>
                <w:lang w:eastAsia="tr-TR"/>
              </w:rPr>
              <w:t>sh15y16q4</w:t>
            </w:r>
          </w:p>
        </w:tc>
        <w:tc>
          <w:tcPr>
            <w:tcW w:w="1219"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0.000386</w:t>
            </w:r>
          </w:p>
        </w:tc>
        <w:tc>
          <w:tcPr>
            <w:tcW w:w="1221"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-0.000210</w:t>
            </w:r>
          </w:p>
        </w:tc>
      </w:tr>
      <w:tr w:rsidR="00593E2D" w:rsidRPr="00775278" w:rsidTr="00BD7706">
        <w:trPr>
          <w:trHeight w:hRule="exact" w:val="231"/>
          <w:jc w:val="center"/>
        </w:trPr>
        <w:tc>
          <w:tcPr>
            <w:tcW w:w="1267" w:type="dxa"/>
            <w:tcBorders>
              <w:top w:val="nil"/>
              <w:left w:val="nil"/>
              <w:bottom w:val="nil"/>
              <w:right w:val="single" w:sz="8" w:space="0" w:color="auto"/>
            </w:tcBorders>
            <w:shd w:val="clear" w:color="auto" w:fill="auto"/>
            <w:noWrap/>
            <w:vAlign w:val="bottom"/>
            <w:hideMark/>
          </w:tcPr>
          <w:p w:rsidR="00593E2D" w:rsidRPr="00775278" w:rsidRDefault="00593E2D" w:rsidP="003316B5">
            <w:pPr>
              <w:suppressAutoHyphens w:val="0"/>
              <w:spacing w:after="0" w:line="240" w:lineRule="auto"/>
              <w:jc w:val="left"/>
              <w:rPr>
                <w:rFonts w:cs="Calibri"/>
                <w:sz w:val="16"/>
                <w:lang w:eastAsia="tr-TR"/>
              </w:rPr>
            </w:pPr>
            <w:r w:rsidRPr="00775278">
              <w:rPr>
                <w:rFonts w:cs="Calibri"/>
                <w:sz w:val="16"/>
                <w:lang w:eastAsia="tr-TR"/>
              </w:rPr>
              <w:t> </w:t>
            </w:r>
          </w:p>
        </w:tc>
        <w:tc>
          <w:tcPr>
            <w:tcW w:w="1219"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(0.00239)</w:t>
            </w:r>
          </w:p>
        </w:tc>
        <w:tc>
          <w:tcPr>
            <w:tcW w:w="1221"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(0.00246)</w:t>
            </w:r>
          </w:p>
        </w:tc>
      </w:tr>
      <w:tr w:rsidR="00593E2D" w:rsidRPr="00775278" w:rsidTr="00BD7706">
        <w:trPr>
          <w:trHeight w:hRule="exact" w:val="231"/>
          <w:jc w:val="center"/>
        </w:trPr>
        <w:tc>
          <w:tcPr>
            <w:tcW w:w="1267" w:type="dxa"/>
            <w:tcBorders>
              <w:top w:val="nil"/>
              <w:left w:val="nil"/>
              <w:bottom w:val="nil"/>
              <w:right w:val="single" w:sz="8" w:space="0" w:color="auto"/>
            </w:tcBorders>
            <w:shd w:val="clear" w:color="auto" w:fill="auto"/>
            <w:noWrap/>
            <w:vAlign w:val="bottom"/>
            <w:hideMark/>
          </w:tcPr>
          <w:p w:rsidR="00593E2D" w:rsidRPr="00775278" w:rsidRDefault="00593E2D" w:rsidP="003316B5">
            <w:pPr>
              <w:suppressAutoHyphens w:val="0"/>
              <w:spacing w:after="0" w:line="240" w:lineRule="auto"/>
              <w:jc w:val="left"/>
              <w:rPr>
                <w:rFonts w:cs="Calibri"/>
                <w:sz w:val="16"/>
                <w:lang w:eastAsia="tr-TR"/>
              </w:rPr>
            </w:pPr>
            <w:r w:rsidRPr="00775278">
              <w:rPr>
                <w:rFonts w:cs="Calibri"/>
                <w:sz w:val="16"/>
                <w:lang w:eastAsia="tr-TR"/>
              </w:rPr>
              <w:t> </w:t>
            </w:r>
          </w:p>
        </w:tc>
        <w:tc>
          <w:tcPr>
            <w:tcW w:w="1219"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p>
        </w:tc>
        <w:tc>
          <w:tcPr>
            <w:tcW w:w="1221"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p>
        </w:tc>
      </w:tr>
      <w:tr w:rsidR="00593E2D" w:rsidRPr="00775278" w:rsidTr="00BD7706">
        <w:trPr>
          <w:trHeight w:hRule="exact" w:val="231"/>
          <w:jc w:val="center"/>
        </w:trPr>
        <w:tc>
          <w:tcPr>
            <w:tcW w:w="1267" w:type="dxa"/>
            <w:tcBorders>
              <w:top w:val="nil"/>
              <w:left w:val="nil"/>
              <w:bottom w:val="nil"/>
              <w:right w:val="single" w:sz="8" w:space="0" w:color="auto"/>
            </w:tcBorders>
            <w:shd w:val="clear" w:color="auto" w:fill="auto"/>
            <w:noWrap/>
            <w:vAlign w:val="bottom"/>
            <w:hideMark/>
          </w:tcPr>
          <w:p w:rsidR="00593E2D" w:rsidRPr="00775278" w:rsidRDefault="00BD7706" w:rsidP="003316B5">
            <w:pPr>
              <w:suppressAutoHyphens w:val="0"/>
              <w:spacing w:after="0" w:line="240" w:lineRule="auto"/>
              <w:jc w:val="left"/>
              <w:rPr>
                <w:rFonts w:cs="Calibri"/>
                <w:sz w:val="16"/>
                <w:lang w:eastAsia="tr-TR"/>
              </w:rPr>
            </w:pPr>
            <w:r>
              <w:rPr>
                <w:rFonts w:cs="Calibri"/>
                <w:sz w:val="16"/>
                <w:lang w:eastAsia="tr-TR"/>
              </w:rPr>
              <w:t>Sabit terim</w:t>
            </w:r>
          </w:p>
        </w:tc>
        <w:tc>
          <w:tcPr>
            <w:tcW w:w="1219"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1.725***</w:t>
            </w:r>
          </w:p>
        </w:tc>
        <w:tc>
          <w:tcPr>
            <w:tcW w:w="1221"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0.0361</w:t>
            </w:r>
          </w:p>
        </w:tc>
      </w:tr>
      <w:tr w:rsidR="00593E2D" w:rsidRPr="00775278" w:rsidTr="00BD7706">
        <w:trPr>
          <w:trHeight w:hRule="exact" w:val="231"/>
          <w:jc w:val="center"/>
        </w:trPr>
        <w:tc>
          <w:tcPr>
            <w:tcW w:w="1267" w:type="dxa"/>
            <w:tcBorders>
              <w:top w:val="nil"/>
              <w:left w:val="nil"/>
              <w:bottom w:val="nil"/>
              <w:right w:val="single" w:sz="8" w:space="0" w:color="auto"/>
            </w:tcBorders>
            <w:shd w:val="clear" w:color="auto" w:fill="auto"/>
            <w:noWrap/>
            <w:vAlign w:val="bottom"/>
            <w:hideMark/>
          </w:tcPr>
          <w:p w:rsidR="00593E2D" w:rsidRPr="00775278" w:rsidRDefault="00593E2D" w:rsidP="003316B5">
            <w:pPr>
              <w:suppressAutoHyphens w:val="0"/>
              <w:spacing w:after="0" w:line="240" w:lineRule="auto"/>
              <w:jc w:val="left"/>
              <w:rPr>
                <w:rFonts w:cs="Calibri"/>
                <w:sz w:val="16"/>
                <w:lang w:eastAsia="tr-TR"/>
              </w:rPr>
            </w:pPr>
            <w:r w:rsidRPr="00775278">
              <w:rPr>
                <w:rFonts w:cs="Calibri"/>
                <w:sz w:val="16"/>
                <w:lang w:eastAsia="tr-TR"/>
              </w:rPr>
              <w:t> </w:t>
            </w:r>
          </w:p>
        </w:tc>
        <w:tc>
          <w:tcPr>
            <w:tcW w:w="1219"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(0.0306)</w:t>
            </w:r>
          </w:p>
        </w:tc>
        <w:tc>
          <w:tcPr>
            <w:tcW w:w="1221"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(0.472)</w:t>
            </w:r>
          </w:p>
        </w:tc>
      </w:tr>
      <w:tr w:rsidR="00593E2D" w:rsidRPr="00775278" w:rsidTr="00BD7706">
        <w:trPr>
          <w:trHeight w:hRule="exact" w:val="231"/>
          <w:jc w:val="center"/>
        </w:trPr>
        <w:tc>
          <w:tcPr>
            <w:tcW w:w="1267" w:type="dxa"/>
            <w:tcBorders>
              <w:top w:val="nil"/>
              <w:left w:val="nil"/>
              <w:bottom w:val="double" w:sz="6" w:space="0" w:color="auto"/>
              <w:right w:val="single" w:sz="8" w:space="0" w:color="auto"/>
            </w:tcBorders>
            <w:shd w:val="clear" w:color="auto" w:fill="auto"/>
            <w:noWrap/>
            <w:vAlign w:val="bottom"/>
            <w:hideMark/>
          </w:tcPr>
          <w:p w:rsidR="00593E2D" w:rsidRPr="00775278" w:rsidRDefault="00593E2D" w:rsidP="003316B5">
            <w:pPr>
              <w:suppressAutoHyphens w:val="0"/>
              <w:spacing w:after="0" w:line="240" w:lineRule="auto"/>
              <w:jc w:val="left"/>
              <w:rPr>
                <w:rFonts w:cs="Calibri"/>
                <w:sz w:val="16"/>
                <w:lang w:eastAsia="tr-TR"/>
              </w:rPr>
            </w:pPr>
            <w:r w:rsidRPr="00775278">
              <w:rPr>
                <w:rFonts w:cs="Calibri"/>
                <w:sz w:val="16"/>
                <w:lang w:eastAsia="tr-TR"/>
              </w:rPr>
              <w:t> </w:t>
            </w:r>
          </w:p>
        </w:tc>
        <w:tc>
          <w:tcPr>
            <w:tcW w:w="1219" w:type="dxa"/>
            <w:tcBorders>
              <w:top w:val="nil"/>
              <w:left w:val="nil"/>
              <w:bottom w:val="double" w:sz="6" w:space="0" w:color="auto"/>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 </w:t>
            </w:r>
          </w:p>
        </w:tc>
        <w:tc>
          <w:tcPr>
            <w:tcW w:w="1221" w:type="dxa"/>
            <w:tcBorders>
              <w:top w:val="nil"/>
              <w:left w:val="nil"/>
              <w:bottom w:val="double" w:sz="6" w:space="0" w:color="auto"/>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 </w:t>
            </w:r>
          </w:p>
        </w:tc>
      </w:tr>
      <w:tr w:rsidR="00593E2D" w:rsidRPr="00775278" w:rsidTr="00BD7706">
        <w:trPr>
          <w:trHeight w:hRule="exact" w:val="231"/>
          <w:jc w:val="center"/>
        </w:trPr>
        <w:tc>
          <w:tcPr>
            <w:tcW w:w="1267" w:type="dxa"/>
            <w:tcBorders>
              <w:top w:val="nil"/>
              <w:left w:val="nil"/>
              <w:bottom w:val="nil"/>
              <w:right w:val="single" w:sz="8" w:space="0" w:color="auto"/>
            </w:tcBorders>
            <w:shd w:val="clear" w:color="auto" w:fill="auto"/>
            <w:noWrap/>
            <w:vAlign w:val="bottom"/>
            <w:hideMark/>
          </w:tcPr>
          <w:p w:rsidR="00BD7706" w:rsidRPr="00775278" w:rsidRDefault="00BD7706" w:rsidP="003316B5">
            <w:pPr>
              <w:suppressAutoHyphens w:val="0"/>
              <w:spacing w:after="0" w:line="240" w:lineRule="auto"/>
              <w:jc w:val="left"/>
              <w:rPr>
                <w:rFonts w:cs="Calibri"/>
                <w:sz w:val="16"/>
                <w:lang w:eastAsia="tr-TR"/>
              </w:rPr>
            </w:pPr>
            <w:r>
              <w:rPr>
                <w:rFonts w:cs="Calibri"/>
                <w:sz w:val="16"/>
                <w:lang w:eastAsia="tr-TR"/>
              </w:rPr>
              <w:t xml:space="preserve">Gözlem sayısı </w:t>
            </w:r>
          </w:p>
        </w:tc>
        <w:tc>
          <w:tcPr>
            <w:tcW w:w="1219"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453,984</w:t>
            </w:r>
          </w:p>
        </w:tc>
        <w:tc>
          <w:tcPr>
            <w:tcW w:w="1221" w:type="dxa"/>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center"/>
              <w:rPr>
                <w:rFonts w:cs="Calibri"/>
                <w:sz w:val="16"/>
                <w:lang w:eastAsia="tr-TR"/>
              </w:rPr>
            </w:pPr>
            <w:r w:rsidRPr="00775278">
              <w:rPr>
                <w:rFonts w:cs="Calibri"/>
                <w:sz w:val="16"/>
                <w:lang w:eastAsia="tr-TR"/>
              </w:rPr>
              <w:t>453,984</w:t>
            </w:r>
          </w:p>
        </w:tc>
      </w:tr>
      <w:tr w:rsidR="00593E2D" w:rsidRPr="00775278" w:rsidTr="00BD7706">
        <w:trPr>
          <w:trHeight w:hRule="exact" w:val="231"/>
          <w:jc w:val="center"/>
        </w:trPr>
        <w:tc>
          <w:tcPr>
            <w:tcW w:w="3708" w:type="dxa"/>
            <w:gridSpan w:val="3"/>
            <w:tcBorders>
              <w:top w:val="nil"/>
              <w:left w:val="nil"/>
              <w:bottom w:val="nil"/>
              <w:right w:val="nil"/>
            </w:tcBorders>
            <w:shd w:val="clear" w:color="auto" w:fill="auto"/>
            <w:noWrap/>
            <w:vAlign w:val="bottom"/>
            <w:hideMark/>
          </w:tcPr>
          <w:p w:rsidR="00593E2D" w:rsidRPr="00775278" w:rsidRDefault="00FA6E28" w:rsidP="003316B5">
            <w:pPr>
              <w:suppressAutoHyphens w:val="0"/>
              <w:spacing w:after="0" w:line="240" w:lineRule="auto"/>
              <w:jc w:val="left"/>
              <w:rPr>
                <w:rFonts w:cs="Calibri"/>
                <w:sz w:val="16"/>
                <w:lang w:eastAsia="tr-TR"/>
              </w:rPr>
            </w:pPr>
            <w:proofErr w:type="spellStart"/>
            <w:r w:rsidRPr="00734E9F">
              <w:rPr>
                <w:rFonts w:cs="Calibri"/>
                <w:sz w:val="16"/>
                <w:lang w:eastAsia="tr-TR"/>
              </w:rPr>
              <w:t>Robust</w:t>
            </w:r>
            <w:proofErr w:type="spellEnd"/>
            <w:r w:rsidRPr="00734E9F">
              <w:rPr>
                <w:rFonts w:cs="Calibri"/>
                <w:sz w:val="16"/>
                <w:lang w:eastAsia="tr-TR"/>
              </w:rPr>
              <w:t xml:space="preserve"> </w:t>
            </w:r>
            <w:r>
              <w:rPr>
                <w:rFonts w:cs="Calibri"/>
                <w:sz w:val="16"/>
                <w:lang w:eastAsia="tr-TR"/>
              </w:rPr>
              <w:t>standart hatalar parantezdedir.</w:t>
            </w:r>
          </w:p>
        </w:tc>
      </w:tr>
      <w:tr w:rsidR="00593E2D" w:rsidRPr="00775278" w:rsidTr="00BD7706">
        <w:trPr>
          <w:trHeight w:hRule="exact" w:val="231"/>
          <w:jc w:val="center"/>
        </w:trPr>
        <w:tc>
          <w:tcPr>
            <w:tcW w:w="3708" w:type="dxa"/>
            <w:gridSpan w:val="3"/>
            <w:tcBorders>
              <w:top w:val="nil"/>
              <w:left w:val="nil"/>
              <w:bottom w:val="nil"/>
              <w:right w:val="nil"/>
            </w:tcBorders>
            <w:shd w:val="clear" w:color="auto" w:fill="auto"/>
            <w:noWrap/>
            <w:vAlign w:val="bottom"/>
            <w:hideMark/>
          </w:tcPr>
          <w:p w:rsidR="00593E2D" w:rsidRPr="00775278" w:rsidRDefault="00593E2D" w:rsidP="003316B5">
            <w:pPr>
              <w:suppressAutoHyphens w:val="0"/>
              <w:spacing w:after="0" w:line="240" w:lineRule="auto"/>
              <w:jc w:val="left"/>
              <w:rPr>
                <w:rFonts w:cs="Calibri"/>
                <w:sz w:val="16"/>
                <w:lang w:eastAsia="tr-TR"/>
              </w:rPr>
            </w:pPr>
            <w:r w:rsidRPr="00775278">
              <w:rPr>
                <w:rFonts w:cs="Calibri"/>
                <w:sz w:val="16"/>
                <w:lang w:eastAsia="tr-TR"/>
              </w:rPr>
              <w:t>*** p&lt;0.01, ** p&lt;0.05, * p&lt;0.1</w:t>
            </w:r>
          </w:p>
        </w:tc>
      </w:tr>
    </w:tbl>
    <w:p w:rsidR="00593E2D" w:rsidRDefault="00593E2D" w:rsidP="00593E2D">
      <w:pPr>
        <w:suppressAutoHyphens w:val="0"/>
        <w:autoSpaceDE w:val="0"/>
        <w:autoSpaceDN w:val="0"/>
        <w:adjustRightInd w:val="0"/>
        <w:spacing w:after="0" w:line="240" w:lineRule="auto"/>
        <w:rPr>
          <w:sz w:val="18"/>
          <w:szCs w:val="20"/>
          <w:lang w:eastAsia="tr-TR"/>
        </w:rPr>
      </w:pPr>
      <w:r w:rsidRPr="000A3A3C">
        <w:rPr>
          <w:b/>
          <w:sz w:val="18"/>
          <w:szCs w:val="20"/>
          <w:lang w:eastAsia="tr-TR"/>
        </w:rPr>
        <w:t>Kaynak</w:t>
      </w:r>
      <w:r w:rsidRPr="000A3A3C">
        <w:rPr>
          <w:sz w:val="18"/>
          <w:szCs w:val="20"/>
          <w:lang w:eastAsia="tr-TR"/>
        </w:rPr>
        <w:t xml:space="preserve">: </w:t>
      </w:r>
      <w:r>
        <w:rPr>
          <w:sz w:val="18"/>
          <w:szCs w:val="20"/>
          <w:lang w:eastAsia="tr-TR"/>
        </w:rPr>
        <w:t xml:space="preserve">Çeyreklik </w:t>
      </w:r>
      <w:r w:rsidRPr="000A3A3C">
        <w:rPr>
          <w:sz w:val="18"/>
          <w:szCs w:val="20"/>
          <w:lang w:eastAsia="tr-TR"/>
        </w:rPr>
        <w:t xml:space="preserve">HİA 2009-2016 mikro veri, </w:t>
      </w:r>
      <w:r w:rsidR="00E902ED">
        <w:rPr>
          <w:sz w:val="18"/>
          <w:szCs w:val="20"/>
          <w:lang w:eastAsia="tr-TR"/>
        </w:rPr>
        <w:t>Betam</w:t>
      </w:r>
      <w:r w:rsidRPr="000A3A3C">
        <w:rPr>
          <w:sz w:val="18"/>
          <w:szCs w:val="20"/>
          <w:lang w:eastAsia="tr-TR"/>
        </w:rPr>
        <w:t xml:space="preserve"> hesaplamaları</w:t>
      </w:r>
      <w:r w:rsidR="00832E9D">
        <w:rPr>
          <w:sz w:val="18"/>
          <w:szCs w:val="20"/>
          <w:lang w:eastAsia="tr-TR"/>
        </w:rPr>
        <w:t>.</w:t>
      </w:r>
      <w:r w:rsidRPr="000A3A3C">
        <w:rPr>
          <w:sz w:val="18"/>
          <w:szCs w:val="20"/>
          <w:lang w:eastAsia="tr-TR"/>
        </w:rPr>
        <w:t xml:space="preserve"> </w:t>
      </w:r>
      <w:r w:rsidR="002A623C" w:rsidRPr="00832E9D">
        <w:rPr>
          <w:b/>
          <w:sz w:val="18"/>
          <w:szCs w:val="20"/>
          <w:lang w:eastAsia="tr-TR"/>
        </w:rPr>
        <w:t>Not:</w:t>
      </w:r>
      <w:r w:rsidR="002A623C" w:rsidRPr="002A623C">
        <w:rPr>
          <w:sz w:val="18"/>
          <w:szCs w:val="20"/>
          <w:lang w:eastAsia="tr-TR"/>
        </w:rPr>
        <w:t xml:space="preserve"> Tüm modellerde bağımlı değişken kayıt dışı çalışma durumunu gösteren kategorik bir değişkendir. Bu sebeple model kestirimi için lojistik regresyon tercih edilmiştir.  1. </w:t>
      </w:r>
      <w:r w:rsidR="00061259" w:rsidRPr="002A623C">
        <w:rPr>
          <w:sz w:val="18"/>
          <w:szCs w:val="20"/>
          <w:lang w:eastAsia="tr-TR"/>
        </w:rPr>
        <w:t>model bağımsız</w:t>
      </w:r>
      <w:r w:rsidR="002A623C" w:rsidRPr="002A623C">
        <w:rPr>
          <w:sz w:val="18"/>
          <w:szCs w:val="20"/>
          <w:lang w:eastAsia="tr-TR"/>
        </w:rPr>
        <w:t xml:space="preserve"> değişken olarak tabloda belirtilen değişkenlere ek olarak yalnızca sektör ve yıl kukla değişkenlerini içermektedir. 2. model ise 1. modele ek </w:t>
      </w:r>
      <w:r w:rsidR="00061259" w:rsidRPr="002A623C">
        <w:rPr>
          <w:sz w:val="18"/>
          <w:szCs w:val="20"/>
          <w:lang w:eastAsia="tr-TR"/>
        </w:rPr>
        <w:t>olarak tecrübe</w:t>
      </w:r>
      <w:r w:rsidR="002A623C" w:rsidRPr="002A623C">
        <w:rPr>
          <w:sz w:val="18"/>
          <w:szCs w:val="20"/>
          <w:lang w:eastAsia="tr-TR"/>
        </w:rPr>
        <w:t xml:space="preserve">, eğitim ve medeni durum değişkenleri ile </w:t>
      </w:r>
      <w:proofErr w:type="spellStart"/>
      <w:r w:rsidR="002A623C" w:rsidRPr="002A623C">
        <w:rPr>
          <w:sz w:val="18"/>
          <w:szCs w:val="20"/>
          <w:lang w:eastAsia="tr-TR"/>
        </w:rPr>
        <w:t>sektörel</w:t>
      </w:r>
      <w:proofErr w:type="spellEnd"/>
      <w:r w:rsidR="002A623C" w:rsidRPr="002A623C">
        <w:rPr>
          <w:sz w:val="18"/>
          <w:szCs w:val="20"/>
          <w:lang w:eastAsia="tr-TR"/>
        </w:rPr>
        <w:t xml:space="preserve"> işgücü verimlilik düzeyini içermektedir. </w:t>
      </w:r>
    </w:p>
    <w:p w:rsidR="00FE699B" w:rsidRDefault="00FE699B" w:rsidP="00593E2D">
      <w:pPr>
        <w:suppressAutoHyphens w:val="0"/>
        <w:autoSpaceDE w:val="0"/>
        <w:autoSpaceDN w:val="0"/>
        <w:adjustRightInd w:val="0"/>
        <w:spacing w:after="0" w:line="240" w:lineRule="auto"/>
        <w:rPr>
          <w:sz w:val="18"/>
          <w:szCs w:val="20"/>
          <w:lang w:eastAsia="tr-TR"/>
        </w:rPr>
      </w:pPr>
    </w:p>
    <w:p w:rsidR="00B4158A" w:rsidRDefault="00B4158A" w:rsidP="00B4158A">
      <w:pPr>
        <w:rPr>
          <w:rFonts w:eastAsiaTheme="minorHAnsi"/>
          <w:lang w:eastAsia="en-US"/>
        </w:rPr>
      </w:pPr>
      <w:r>
        <w:rPr>
          <w:rFonts w:eastAsiaTheme="minorHAnsi"/>
          <w:lang w:eastAsia="en-US"/>
        </w:rPr>
        <w:t xml:space="preserve">Tablo 2'deki sonuçlar çeyreklik HİA verileri kullanılarak elde edilmiştir. Her çeyrek ayrı ayrı bilindiğinden düşük ücret yoğunluğu sektör düzeyinde çok daha güvenilir şekilde hesaplanabilmektedir. Yukarıda özetlenen sebeplerden ötürü aynı regresyonları görece daha temiz olan çeyreklik verilerle yapmak gerekmektedir. </w:t>
      </w:r>
    </w:p>
    <w:p w:rsidR="00B4158A" w:rsidRDefault="00B4158A" w:rsidP="00B4158A">
      <w:pPr>
        <w:rPr>
          <w:rFonts w:eastAsiaTheme="minorHAnsi"/>
          <w:lang w:eastAsia="en-US"/>
        </w:rPr>
      </w:pPr>
      <w:r>
        <w:rPr>
          <w:rFonts w:eastAsiaTheme="minorHAnsi"/>
          <w:lang w:eastAsia="en-US"/>
        </w:rPr>
        <w:t>Tablo 2 çeyreklik veri sonuçlarını sunmaktadır. Yıllık verilerde olduğu gibi çarpım değişeni (</w:t>
      </w:r>
      <m:oMath>
        <m:sSub>
          <m:sSubPr>
            <m:ctrlPr>
              <w:rPr>
                <w:rFonts w:ascii="Cambria Math" w:hAnsi="Cambria Math"/>
                <w:szCs w:val="22"/>
              </w:rPr>
            </m:ctrlPr>
          </m:sSubPr>
          <m:e>
            <m:r>
              <m:rPr>
                <m:sty m:val="b"/>
              </m:rPr>
              <w:rPr>
                <w:rFonts w:ascii="Cambria Math" w:hAnsi="Cambria Math"/>
                <w:szCs w:val="22"/>
              </w:rPr>
              <m:t>M</m:t>
            </m:r>
          </m:e>
          <m:sub>
            <m:r>
              <m:rPr>
                <m:sty m:val="b"/>
              </m:rPr>
              <w:rPr>
                <w:rFonts w:ascii="Cambria Math" w:hAnsi="Cambria Math"/>
                <w:szCs w:val="22"/>
              </w:rPr>
              <m:t>st</m:t>
            </m:r>
          </m:sub>
        </m:sSub>
        <m:r>
          <m:rPr>
            <m:sty m:val="b"/>
          </m:rPr>
          <w:rPr>
            <w:rFonts w:ascii="Cambria Math"/>
            <w:szCs w:val="22"/>
          </w:rPr>
          <m:t>=</m:t>
        </m:r>
        <m:sSub>
          <m:sSubPr>
            <m:ctrlPr>
              <w:rPr>
                <w:rFonts w:ascii="Cambria Math" w:hAnsi="Cambria Math"/>
                <w:szCs w:val="22"/>
              </w:rPr>
            </m:ctrlPr>
          </m:sSubPr>
          <m:e>
            <m:sSub>
              <m:sSubPr>
                <m:ctrlPr>
                  <w:rPr>
                    <w:rFonts w:ascii="Cambria Math" w:hAnsi="Cambria Math"/>
                    <w:szCs w:val="22"/>
                  </w:rPr>
                </m:ctrlPr>
              </m:sSubPr>
              <m:e>
                <m:r>
                  <m:rPr>
                    <m:sty m:val="b"/>
                  </m:rPr>
                  <w:rPr>
                    <w:rFonts w:ascii="Cambria Math" w:hAnsi="Cambria Math"/>
                    <w:szCs w:val="22"/>
                  </w:rPr>
                  <m:t>Z</m:t>
                </m:r>
              </m:e>
              <m:sub>
                <m:r>
                  <m:rPr>
                    <m:sty m:val="b"/>
                  </m:rPr>
                  <w:rPr>
                    <w:rFonts w:ascii="Cambria Math" w:hAnsi="Cambria Math"/>
                    <w:szCs w:val="22"/>
                  </w:rPr>
                  <m:t>s</m:t>
                </m:r>
              </m:sub>
            </m:sSub>
            <m:r>
              <m:rPr>
                <m:sty m:val="b"/>
              </m:rPr>
              <w:rPr>
                <w:rFonts w:ascii="Cambria Math" w:hAnsi="Cambria Math"/>
                <w:szCs w:val="22"/>
              </w:rPr>
              <m:t>∙D</m:t>
            </m:r>
          </m:e>
          <m:sub>
            <m:r>
              <m:rPr>
                <m:sty m:val="b"/>
              </m:rPr>
              <w:rPr>
                <w:rFonts w:ascii="Cambria Math" w:hAnsi="Cambria Math"/>
                <w:szCs w:val="22"/>
              </w:rPr>
              <m:t>t</m:t>
            </m:r>
          </m:sub>
        </m:sSub>
      </m:oMath>
      <w:r>
        <w:rPr>
          <w:rFonts w:eastAsiaTheme="minorEastAsia"/>
          <w:szCs w:val="22"/>
        </w:rPr>
        <w:t>) "sh15y16q1", "sh15y16q2" vb. şekilde adlandırılmıştır. Bu çarpım değişkenlerinin çeyreklik veride ne anlama geldiklerini anlamak için "</w:t>
      </w:r>
      <w:r w:rsidRPr="001D15E1">
        <w:rPr>
          <w:rFonts w:eastAsiaTheme="minorHAnsi"/>
          <w:lang w:eastAsia="en-US"/>
        </w:rPr>
        <w:t>sh15y16</w:t>
      </w:r>
      <w:r>
        <w:rPr>
          <w:rFonts w:eastAsiaTheme="minorHAnsi"/>
          <w:lang w:eastAsia="en-US"/>
        </w:rPr>
        <w:t>q1</w:t>
      </w:r>
      <w:r w:rsidRPr="001D15E1">
        <w:rPr>
          <w:rFonts w:eastAsiaTheme="minorHAnsi"/>
          <w:lang w:eastAsia="en-US"/>
        </w:rPr>
        <w:t xml:space="preserve">” </w:t>
      </w:r>
      <w:r>
        <w:rPr>
          <w:rFonts w:eastAsiaTheme="minorHAnsi"/>
          <w:lang w:eastAsia="en-US"/>
        </w:rPr>
        <w:t xml:space="preserve">çarpım değişkenini ele alalım. Yine ilk kısım </w:t>
      </w:r>
      <w:r w:rsidRPr="001D15E1">
        <w:rPr>
          <w:rFonts w:eastAsiaTheme="minorHAnsi"/>
          <w:lang w:eastAsia="en-US"/>
        </w:rPr>
        <w:t xml:space="preserve">2015 </w:t>
      </w:r>
      <w:r>
        <w:rPr>
          <w:rFonts w:eastAsiaTheme="minorHAnsi"/>
          <w:lang w:eastAsia="en-US"/>
        </w:rPr>
        <w:t xml:space="preserve">yılı verilerinden elde edilen sektördeki </w:t>
      </w:r>
      <w:r w:rsidRPr="001D15E1">
        <w:rPr>
          <w:rFonts w:eastAsiaTheme="minorHAnsi"/>
          <w:lang w:eastAsia="en-US"/>
        </w:rPr>
        <w:t>düşük ücretli çalışan yoğunluğu</w:t>
      </w:r>
      <w:r>
        <w:rPr>
          <w:rFonts w:eastAsiaTheme="minorHAnsi"/>
          <w:lang w:eastAsia="en-US"/>
        </w:rPr>
        <w:t>nu ("sh15"), ikinci kısım ise 2016 yılı 1. çeyrek kukla değişkenini ("y16q1") temsil etmektedir. Asgari ücret artışı özellikle düşük ücret yoğunluğu yüksek sektörlerde bir kayıt dışı artışına yol açıyorsa 2016 yılı çeyreklerine ait çarpım değişkenleri (</w:t>
      </w:r>
      <w:r>
        <w:rPr>
          <w:rFonts w:eastAsiaTheme="minorEastAsia"/>
          <w:szCs w:val="22"/>
        </w:rPr>
        <w:t xml:space="preserve">"sh15y16q1", </w:t>
      </w:r>
      <w:r>
        <w:rPr>
          <w:rFonts w:eastAsiaTheme="minorEastAsia"/>
          <w:szCs w:val="22"/>
        </w:rPr>
        <w:lastRenderedPageBreak/>
        <w:t xml:space="preserve">"sh15y16q2", "sh15y16q3", "sh15y16q4") </w:t>
      </w:r>
      <w:r>
        <w:rPr>
          <w:rFonts w:eastAsiaTheme="minorHAnsi"/>
          <w:lang w:eastAsia="en-US"/>
        </w:rPr>
        <w:t>istatistiki olarak anlamlı (ve pozitif) çıkarken 2015 yılına ait çarpım değişkenleri (</w:t>
      </w:r>
      <w:r>
        <w:rPr>
          <w:rFonts w:eastAsiaTheme="minorEastAsia"/>
          <w:szCs w:val="22"/>
        </w:rPr>
        <w:t>"sh14y15q1", "sh14y15q2", "sh14y15q3", "sh14y15q4”) anlamsız</w:t>
      </w:r>
      <w:r>
        <w:rPr>
          <w:rFonts w:eastAsiaTheme="minorHAnsi"/>
          <w:lang w:eastAsia="en-US"/>
        </w:rPr>
        <w:t xml:space="preserve"> olmalıdır. </w:t>
      </w:r>
    </w:p>
    <w:p w:rsidR="00B4158A" w:rsidRPr="00B4158A" w:rsidRDefault="00B4158A" w:rsidP="00B4158A">
      <w:r>
        <w:rPr>
          <w:rFonts w:eastAsiaTheme="minorHAnsi"/>
          <w:lang w:eastAsia="en-US"/>
        </w:rPr>
        <w:t xml:space="preserve">Bu beklentinin kısmen doğrulandığını söyleyebiliriz. Sadece 2016 yılı 2. ve 3. çeyrekleri ile 2015 yılı 3. çeyrek çarpım değişkenleri anlamlı ve pozitif çıkmaktadır. Daha önce belirttiğimiz gibi 2016 yılı çarpımları için bu, beklenen sonuçtur. Şaşırtıcı olan 2015 3. çeyreğinde de kayıt dışılığın düşük ücret yoğunluğunun yüksek olduğu sektörlerde artış göstermesidir. </w:t>
      </w:r>
    </w:p>
    <w:p w:rsidR="005339D1" w:rsidRDefault="001F72A8" w:rsidP="0087645B">
      <w:pPr>
        <w:rPr>
          <w:rFonts w:eastAsiaTheme="minorHAnsi"/>
          <w:lang w:eastAsia="en-US"/>
        </w:rPr>
      </w:pPr>
      <w:r>
        <w:t>Yıllık HİA verileri ile ilgili d</w:t>
      </w:r>
      <w:r w:rsidR="008D7636">
        <w:t xml:space="preserve">iğer </w:t>
      </w:r>
      <w:r>
        <w:t xml:space="preserve">önemli </w:t>
      </w:r>
      <w:r w:rsidR="008D7636">
        <w:t>bir sorun İnsan Tunalı'nın "</w:t>
      </w:r>
      <w:proofErr w:type="spellStart"/>
      <w:r w:rsidR="008D7636">
        <w:t>kayıpranma</w:t>
      </w:r>
      <w:proofErr w:type="spellEnd"/>
      <w:r w:rsidR="008D7636">
        <w:t>" olarak adlandırdığı veri yıpranmasıdır (</w:t>
      </w:r>
      <w:proofErr w:type="spellStart"/>
      <w:r w:rsidR="008D7636" w:rsidRPr="008D7636">
        <w:rPr>
          <w:i/>
        </w:rPr>
        <w:t>attrition</w:t>
      </w:r>
      <w:proofErr w:type="spellEnd"/>
      <w:r w:rsidR="004B5442">
        <w:rPr>
          <w:i/>
        </w:rPr>
        <w:t xml:space="preserve"> problem</w:t>
      </w:r>
      <w:r w:rsidR="008D7636">
        <w:t xml:space="preserve">). Bu sorunu anlamak için HİA </w:t>
      </w:r>
      <w:r w:rsidR="00790E15">
        <w:t>verilerinin</w:t>
      </w:r>
      <w:r w:rsidR="008D7636">
        <w:t xml:space="preserve"> </w:t>
      </w:r>
      <w:r w:rsidR="00790E15">
        <w:t xml:space="preserve">örnekleme tasarımını hatırlatmaya ihtiyaç var. HİA verileri sahadan toplanırken </w:t>
      </w:r>
      <w:r w:rsidR="001938B9">
        <w:t>her hanenin 4 kez ziyaret edilmesi planlanmıştır.</w:t>
      </w:r>
      <w:r w:rsidR="002B48E0">
        <w:t xml:space="preserve"> İlk iki ve son iki ziyaret arasında 6 aylık bir süre olması gerektiğinden</w:t>
      </w:r>
      <w:r w:rsidR="003C76F6">
        <w:t>,</w:t>
      </w:r>
      <w:r w:rsidR="002B48E0">
        <w:t xml:space="preserve"> </w:t>
      </w:r>
      <w:r w:rsidR="003C76F6">
        <w:t xml:space="preserve">çeşitli sebeplerle (taşınma vs.), </w:t>
      </w:r>
      <w:r w:rsidR="00790E15" w:rsidRPr="004B5442">
        <w:rPr>
          <w:u w:val="single"/>
        </w:rPr>
        <w:t>bazı</w:t>
      </w:r>
      <w:r w:rsidR="00AB1611" w:rsidRPr="004B5442">
        <w:rPr>
          <w:u w:val="single"/>
        </w:rPr>
        <w:t xml:space="preserve"> haneler aynı yıl içinde iki kez HİA yıllık verilerinde yer alırken diğerleri sadece bir kez yer almaktadır</w:t>
      </w:r>
      <w:r w:rsidR="00AB1611">
        <w:t xml:space="preserve"> (Tunalı, 2009). </w:t>
      </w:r>
      <w:r w:rsidR="00AB1611">
        <w:rPr>
          <w:rFonts w:eastAsiaTheme="minorHAnsi"/>
          <w:lang w:eastAsia="en-US"/>
        </w:rPr>
        <w:t xml:space="preserve">Konumuz açısından önemli olan zamanla </w:t>
      </w:r>
      <w:proofErr w:type="spellStart"/>
      <w:r w:rsidR="00AB1611">
        <w:rPr>
          <w:rFonts w:eastAsiaTheme="minorHAnsi"/>
          <w:lang w:eastAsia="en-US"/>
        </w:rPr>
        <w:t>kayıpranan</w:t>
      </w:r>
      <w:proofErr w:type="spellEnd"/>
      <w:r w:rsidR="00AB1611">
        <w:rPr>
          <w:rFonts w:eastAsiaTheme="minorHAnsi"/>
          <w:lang w:eastAsia="en-US"/>
        </w:rPr>
        <w:t xml:space="preserve"> (örneklemden çıkan) haneler ile </w:t>
      </w:r>
      <w:proofErr w:type="spellStart"/>
      <w:r w:rsidR="00AB1611">
        <w:rPr>
          <w:rFonts w:eastAsiaTheme="minorHAnsi"/>
          <w:lang w:eastAsia="en-US"/>
        </w:rPr>
        <w:t>kayıpranmayan</w:t>
      </w:r>
      <w:proofErr w:type="spellEnd"/>
      <w:r w:rsidR="00AB1611">
        <w:rPr>
          <w:rFonts w:eastAsiaTheme="minorHAnsi"/>
          <w:lang w:eastAsia="en-US"/>
        </w:rPr>
        <w:t xml:space="preserve"> haneler arasında önemli nitelik farkları mevcuttur. Özellikle sabit bir iş ve düzenli bir geliri olmayan veya işsiz olan kişilerin daha sık yerleşim yerlerini değiştirmeleri beklenir. Tunalı (2009) bu yönde bulgular sunmaktadır. </w:t>
      </w:r>
      <w:r w:rsidR="0087645B">
        <w:rPr>
          <w:rFonts w:eastAsiaTheme="minorHAnsi"/>
          <w:lang w:eastAsia="en-US"/>
        </w:rPr>
        <w:t xml:space="preserve">İki kez bilgisi olan insanların görece daha kaliteli olan kayıtlı işlerde çalışma ihtimalleri yüksek olduğundan yıllık verilerle elde edilen sonuçların yanlı olabileceği endişesi doğmaktadır. Çünkü yerinde bulunamayan hanelerin yerine ankete </w:t>
      </w:r>
      <w:proofErr w:type="gramStart"/>
      <w:r w:rsidR="0087645B">
        <w:rPr>
          <w:rFonts w:eastAsiaTheme="minorHAnsi"/>
          <w:lang w:eastAsia="en-US"/>
        </w:rPr>
        <w:t>dahil</w:t>
      </w:r>
      <w:proofErr w:type="gramEnd"/>
      <w:r w:rsidR="0087645B">
        <w:rPr>
          <w:rFonts w:eastAsiaTheme="minorHAnsi"/>
          <w:lang w:eastAsia="en-US"/>
        </w:rPr>
        <w:t xml:space="preserve"> edilen hanelerin birebir </w:t>
      </w:r>
      <w:r w:rsidR="0087645B" w:rsidRPr="0087645B">
        <w:rPr>
          <w:rFonts w:eastAsiaTheme="minorHAnsi"/>
          <w:lang w:eastAsia="en-US"/>
        </w:rPr>
        <w:t xml:space="preserve">aynı </w:t>
      </w:r>
      <w:r w:rsidR="0087645B">
        <w:rPr>
          <w:rFonts w:eastAsiaTheme="minorHAnsi"/>
          <w:lang w:eastAsia="en-US"/>
        </w:rPr>
        <w:t xml:space="preserve">işgücü piyasası özelliklerine sahip olduklarını garanti etmek pek gerçekçi değildir. </w:t>
      </w:r>
    </w:p>
    <w:p w:rsidR="00011A71" w:rsidRDefault="00B50551" w:rsidP="002E42A6">
      <w:pPr>
        <w:suppressAutoHyphens w:val="0"/>
        <w:autoSpaceDE w:val="0"/>
        <w:autoSpaceDN w:val="0"/>
        <w:adjustRightInd w:val="0"/>
        <w:spacing w:after="0"/>
        <w:rPr>
          <w:rFonts w:eastAsiaTheme="minorHAnsi"/>
          <w:lang w:eastAsia="en-US"/>
        </w:rPr>
      </w:pPr>
      <w:r>
        <w:rPr>
          <w:szCs w:val="22"/>
          <w:lang w:eastAsia="tr-TR"/>
        </w:rPr>
        <w:t xml:space="preserve">Bu ikinci düzeltmeyi yapmanın bir yolu analizlerde </w:t>
      </w:r>
      <w:r w:rsidR="00623F61">
        <w:rPr>
          <w:szCs w:val="22"/>
          <w:lang w:eastAsia="tr-TR"/>
        </w:rPr>
        <w:t xml:space="preserve">yalnızca </w:t>
      </w:r>
      <w:r>
        <w:rPr>
          <w:szCs w:val="22"/>
          <w:lang w:eastAsia="tr-TR"/>
        </w:rPr>
        <w:t xml:space="preserve">her yılın aynı çeyreğine ait verileri kullanmaktır. Böylece, sadece </w:t>
      </w:r>
      <w:r>
        <w:rPr>
          <w:rFonts w:eastAsiaTheme="minorHAnsi"/>
          <w:lang w:eastAsia="en-US"/>
        </w:rPr>
        <w:t xml:space="preserve">düşük ücret yoğunluğu sektör düzeyinde çok daha güvenilir şekilde hesaplanmakla kalmayıp aynı zamanda </w:t>
      </w:r>
      <w:proofErr w:type="spellStart"/>
      <w:r>
        <w:rPr>
          <w:rFonts w:eastAsiaTheme="minorHAnsi"/>
          <w:lang w:eastAsia="en-US"/>
        </w:rPr>
        <w:t>kayıpranmadan</w:t>
      </w:r>
      <w:proofErr w:type="spellEnd"/>
      <w:r>
        <w:rPr>
          <w:rFonts w:eastAsiaTheme="minorHAnsi"/>
          <w:lang w:eastAsia="en-US"/>
        </w:rPr>
        <w:t xml:space="preserve"> kaynaklanan veri yanlılığı sorunu da ortadan kaldırılabilecektir. </w:t>
      </w:r>
      <w:r w:rsidR="007278FE" w:rsidRPr="002E42A6">
        <w:rPr>
          <w:rFonts w:eastAsiaTheme="minorHAnsi"/>
          <w:lang w:eastAsia="en-US"/>
        </w:rPr>
        <w:t xml:space="preserve">Bu </w:t>
      </w:r>
      <w:r w:rsidR="00962C29">
        <w:rPr>
          <w:rFonts w:eastAsiaTheme="minorHAnsi"/>
          <w:lang w:eastAsia="en-US"/>
        </w:rPr>
        <w:t>y</w:t>
      </w:r>
      <w:r>
        <w:rPr>
          <w:rFonts w:eastAsiaTheme="minorHAnsi"/>
          <w:lang w:eastAsia="en-US"/>
        </w:rPr>
        <w:t>aklaşımla elde edilen so</w:t>
      </w:r>
      <w:r w:rsidR="006A607D">
        <w:rPr>
          <w:rFonts w:eastAsiaTheme="minorHAnsi"/>
          <w:lang w:eastAsia="en-US"/>
        </w:rPr>
        <w:t>nuçlar bize göre daha güvenilir</w:t>
      </w:r>
      <w:r w:rsidR="007278FE" w:rsidRPr="002E42A6">
        <w:rPr>
          <w:rFonts w:eastAsiaTheme="minorHAnsi"/>
          <w:lang w:eastAsia="en-US"/>
        </w:rPr>
        <w:t xml:space="preserve"> ol</w:t>
      </w:r>
      <w:r w:rsidR="00AA3CF7">
        <w:rPr>
          <w:rFonts w:eastAsiaTheme="minorHAnsi"/>
          <w:lang w:eastAsia="en-US"/>
        </w:rPr>
        <w:t>maktadır.</w:t>
      </w:r>
      <w:r w:rsidR="00011A71">
        <w:rPr>
          <w:rFonts w:eastAsiaTheme="minorHAnsi"/>
          <w:lang w:eastAsia="en-US"/>
        </w:rPr>
        <w:t xml:space="preserve"> </w:t>
      </w:r>
    </w:p>
    <w:p w:rsidR="00011A71" w:rsidRDefault="00011A71" w:rsidP="002E42A6">
      <w:pPr>
        <w:suppressAutoHyphens w:val="0"/>
        <w:autoSpaceDE w:val="0"/>
        <w:autoSpaceDN w:val="0"/>
        <w:adjustRightInd w:val="0"/>
        <w:spacing w:after="0"/>
        <w:rPr>
          <w:rFonts w:eastAsiaTheme="minorHAnsi"/>
          <w:lang w:eastAsia="en-US"/>
        </w:rPr>
      </w:pPr>
    </w:p>
    <w:p w:rsidR="00B4158A" w:rsidRPr="00775278" w:rsidRDefault="00B4158A" w:rsidP="00B4158A">
      <w:pPr>
        <w:pStyle w:val="Caption"/>
        <w:keepNext/>
        <w:rPr>
          <w:sz w:val="22"/>
        </w:rPr>
      </w:pPr>
      <w:r w:rsidRPr="00F1649F">
        <w:rPr>
          <w:sz w:val="22"/>
        </w:rPr>
        <w:t xml:space="preserve">Tablo </w:t>
      </w:r>
      <w:r w:rsidRPr="00F1649F">
        <w:rPr>
          <w:sz w:val="22"/>
        </w:rPr>
        <w:fldChar w:fldCharType="begin"/>
      </w:r>
      <w:r w:rsidRPr="00F1649F">
        <w:rPr>
          <w:sz w:val="22"/>
        </w:rPr>
        <w:instrText xml:space="preserve"> SEQ Tablo \* ARABIC </w:instrText>
      </w:r>
      <w:r w:rsidRPr="00F1649F">
        <w:rPr>
          <w:sz w:val="22"/>
        </w:rPr>
        <w:fldChar w:fldCharType="separate"/>
      </w:r>
      <w:r w:rsidRPr="00F1649F">
        <w:rPr>
          <w:noProof/>
          <w:sz w:val="22"/>
        </w:rPr>
        <w:t>3</w:t>
      </w:r>
      <w:r w:rsidRPr="00F1649F">
        <w:rPr>
          <w:sz w:val="22"/>
        </w:rPr>
        <w:fldChar w:fldCharType="end"/>
      </w:r>
      <w:r w:rsidRPr="00F1649F">
        <w:rPr>
          <w:sz w:val="22"/>
        </w:rPr>
        <w:t xml:space="preserve">: </w:t>
      </w:r>
      <w:r>
        <w:rPr>
          <w:sz w:val="22"/>
        </w:rPr>
        <w:t xml:space="preserve">Ücretli çalışan erkekler için asgari ücret artışının kayıt dışı istihdama olan etkileri: </w:t>
      </w:r>
      <w:r w:rsidRPr="001D15E1">
        <w:rPr>
          <w:sz w:val="22"/>
        </w:rPr>
        <w:t xml:space="preserve">regresyon </w:t>
      </w:r>
      <w:r w:rsidR="00BD7706" w:rsidRPr="001D15E1">
        <w:rPr>
          <w:sz w:val="22"/>
        </w:rPr>
        <w:t>sonuçları</w:t>
      </w:r>
      <w:r w:rsidR="00BD7706" w:rsidRPr="00F1649F">
        <w:rPr>
          <w:sz w:val="22"/>
        </w:rPr>
        <w:t xml:space="preserve"> (</w:t>
      </w:r>
      <w:r>
        <w:rPr>
          <w:sz w:val="22"/>
        </w:rPr>
        <w:t xml:space="preserve">2009-2016, </w:t>
      </w:r>
      <w:r w:rsidRPr="00F1649F">
        <w:rPr>
          <w:sz w:val="22"/>
        </w:rPr>
        <w:t>çeyreklik veriler</w:t>
      </w:r>
      <w:r>
        <w:rPr>
          <w:sz w:val="22"/>
        </w:rPr>
        <w:t xml:space="preserve">, </w:t>
      </w:r>
      <w:proofErr w:type="spellStart"/>
      <w:r>
        <w:rPr>
          <w:sz w:val="22"/>
        </w:rPr>
        <w:t>kayıpranma</w:t>
      </w:r>
      <w:proofErr w:type="spellEnd"/>
      <w:r>
        <w:rPr>
          <w:sz w:val="22"/>
        </w:rPr>
        <w:t xml:space="preserve"> düzeltmesi ile</w:t>
      </w:r>
      <w:r w:rsidRPr="00F1649F">
        <w:rPr>
          <w:sz w:val="22"/>
        </w:rPr>
        <w:t>)</w:t>
      </w:r>
    </w:p>
    <w:tbl>
      <w:tblPr>
        <w:tblW w:w="6080" w:type="dxa"/>
        <w:jc w:val="center"/>
        <w:tblCellMar>
          <w:left w:w="70" w:type="dxa"/>
          <w:right w:w="70" w:type="dxa"/>
        </w:tblCellMar>
        <w:tblLook w:val="04A0" w:firstRow="1" w:lastRow="0" w:firstColumn="1" w:lastColumn="0" w:noHBand="0" w:noVBand="1"/>
      </w:tblPr>
      <w:tblGrid>
        <w:gridCol w:w="1440"/>
        <w:gridCol w:w="1160"/>
        <w:gridCol w:w="1160"/>
        <w:gridCol w:w="1160"/>
        <w:gridCol w:w="1160"/>
      </w:tblGrid>
      <w:tr w:rsidR="00B4158A" w:rsidRPr="00734E9F" w:rsidTr="00D4090D">
        <w:trPr>
          <w:trHeight w:hRule="exact" w:val="227"/>
          <w:jc w:val="center"/>
        </w:trPr>
        <w:tc>
          <w:tcPr>
            <w:tcW w:w="1440" w:type="dxa"/>
            <w:tcBorders>
              <w:top w:val="single" w:sz="4" w:space="0" w:color="auto"/>
              <w:left w:val="single" w:sz="4" w:space="0" w:color="auto"/>
              <w:bottom w:val="single" w:sz="4" w:space="0" w:color="auto"/>
              <w:right w:val="nil"/>
            </w:tcBorders>
            <w:shd w:val="clear" w:color="auto" w:fill="auto"/>
            <w:noWrap/>
            <w:vAlign w:val="bottom"/>
            <w:hideMark/>
          </w:tcPr>
          <w:p w:rsidR="00B4158A" w:rsidRPr="00734E9F" w:rsidRDefault="00B4158A" w:rsidP="00D4090D">
            <w:pPr>
              <w:suppressAutoHyphens w:val="0"/>
              <w:spacing w:after="0" w:line="240" w:lineRule="auto"/>
              <w:jc w:val="left"/>
              <w:rPr>
                <w:rFonts w:cs="Calibri"/>
                <w:sz w:val="16"/>
                <w:lang w:eastAsia="tr-TR"/>
              </w:rPr>
            </w:pPr>
            <w:r w:rsidRPr="00734E9F">
              <w:rPr>
                <w:rFonts w:cs="Calibri"/>
                <w:sz w:val="16"/>
                <w:lang w:eastAsia="tr-TR"/>
              </w:rPr>
              <w:t> </w:t>
            </w:r>
          </w:p>
        </w:tc>
        <w:tc>
          <w:tcPr>
            <w:tcW w:w="1160" w:type="dxa"/>
            <w:tcBorders>
              <w:top w:val="single" w:sz="4" w:space="0" w:color="auto"/>
              <w:left w:val="nil"/>
              <w:bottom w:val="single" w:sz="4" w:space="0" w:color="auto"/>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 xml:space="preserve"> Ç1</w:t>
            </w:r>
          </w:p>
        </w:tc>
        <w:tc>
          <w:tcPr>
            <w:tcW w:w="1160" w:type="dxa"/>
            <w:tcBorders>
              <w:top w:val="single" w:sz="4" w:space="0" w:color="auto"/>
              <w:left w:val="nil"/>
              <w:bottom w:val="single" w:sz="4" w:space="0" w:color="auto"/>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 xml:space="preserve"> Ç2</w:t>
            </w:r>
          </w:p>
        </w:tc>
        <w:tc>
          <w:tcPr>
            <w:tcW w:w="1160" w:type="dxa"/>
            <w:tcBorders>
              <w:top w:val="single" w:sz="4" w:space="0" w:color="auto"/>
              <w:left w:val="nil"/>
              <w:bottom w:val="single" w:sz="4" w:space="0" w:color="auto"/>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 xml:space="preserve"> Ç3</w:t>
            </w:r>
          </w:p>
        </w:tc>
        <w:tc>
          <w:tcPr>
            <w:tcW w:w="1160" w:type="dxa"/>
            <w:tcBorders>
              <w:top w:val="single" w:sz="4" w:space="0" w:color="auto"/>
              <w:left w:val="nil"/>
              <w:bottom w:val="single" w:sz="4" w:space="0" w:color="auto"/>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 xml:space="preserve"> Ç4</w:t>
            </w:r>
          </w:p>
        </w:tc>
      </w:tr>
      <w:tr w:rsidR="00B4158A" w:rsidRPr="00734E9F" w:rsidTr="00D4090D">
        <w:trPr>
          <w:trHeight w:hRule="exact" w:val="227"/>
          <w:jc w:val="center"/>
        </w:trPr>
        <w:tc>
          <w:tcPr>
            <w:tcW w:w="1440" w:type="dxa"/>
            <w:tcBorders>
              <w:top w:val="nil"/>
              <w:left w:val="nil"/>
              <w:bottom w:val="nil"/>
              <w:right w:val="single" w:sz="4" w:space="0" w:color="auto"/>
            </w:tcBorders>
            <w:shd w:val="clear" w:color="auto" w:fill="auto"/>
            <w:noWrap/>
            <w:vAlign w:val="bottom"/>
            <w:hideMark/>
          </w:tcPr>
          <w:p w:rsidR="00B4158A" w:rsidRPr="00734E9F" w:rsidRDefault="00B4158A" w:rsidP="00D4090D">
            <w:pPr>
              <w:suppressAutoHyphens w:val="0"/>
              <w:spacing w:after="0" w:line="240" w:lineRule="auto"/>
              <w:jc w:val="left"/>
              <w:rPr>
                <w:rFonts w:cs="Calibri"/>
                <w:sz w:val="16"/>
                <w:lang w:eastAsia="tr-TR"/>
              </w:rPr>
            </w:pPr>
            <w:r w:rsidRPr="00734E9F">
              <w:rPr>
                <w:rFonts w:cs="Calibri"/>
                <w:sz w:val="16"/>
                <w:lang w:eastAsia="tr-TR"/>
              </w:rPr>
              <w:t> </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p>
        </w:tc>
      </w:tr>
      <w:tr w:rsidR="00B4158A" w:rsidRPr="00734E9F" w:rsidTr="00D4090D">
        <w:trPr>
          <w:trHeight w:hRule="exact" w:val="227"/>
          <w:jc w:val="center"/>
        </w:trPr>
        <w:tc>
          <w:tcPr>
            <w:tcW w:w="1440" w:type="dxa"/>
            <w:tcBorders>
              <w:top w:val="nil"/>
              <w:left w:val="nil"/>
              <w:bottom w:val="nil"/>
              <w:right w:val="single" w:sz="4" w:space="0" w:color="auto"/>
            </w:tcBorders>
            <w:shd w:val="clear" w:color="auto" w:fill="auto"/>
            <w:noWrap/>
            <w:vAlign w:val="bottom"/>
            <w:hideMark/>
          </w:tcPr>
          <w:p w:rsidR="00B4158A" w:rsidRPr="00734E9F" w:rsidRDefault="00B4158A" w:rsidP="00D4090D">
            <w:pPr>
              <w:suppressAutoHyphens w:val="0"/>
              <w:spacing w:after="0" w:line="240" w:lineRule="auto"/>
              <w:jc w:val="left"/>
              <w:rPr>
                <w:rFonts w:cs="Calibri"/>
                <w:sz w:val="16"/>
                <w:lang w:eastAsia="tr-TR"/>
              </w:rPr>
            </w:pPr>
            <w:r w:rsidRPr="00734E9F">
              <w:rPr>
                <w:rFonts w:cs="Calibri"/>
                <w:sz w:val="16"/>
                <w:lang w:eastAsia="tr-TR"/>
              </w:rPr>
              <w:t>sh14y15</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-0.00380</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-0.00242</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0.00299</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-0.00430*</w:t>
            </w:r>
          </w:p>
        </w:tc>
      </w:tr>
      <w:tr w:rsidR="00B4158A" w:rsidRPr="00734E9F" w:rsidTr="00D4090D">
        <w:trPr>
          <w:trHeight w:hRule="exact" w:val="227"/>
          <w:jc w:val="center"/>
        </w:trPr>
        <w:tc>
          <w:tcPr>
            <w:tcW w:w="1440" w:type="dxa"/>
            <w:tcBorders>
              <w:top w:val="nil"/>
              <w:left w:val="nil"/>
              <w:bottom w:val="nil"/>
              <w:right w:val="single" w:sz="4" w:space="0" w:color="auto"/>
            </w:tcBorders>
            <w:shd w:val="clear" w:color="auto" w:fill="auto"/>
            <w:noWrap/>
            <w:vAlign w:val="bottom"/>
            <w:hideMark/>
          </w:tcPr>
          <w:p w:rsidR="00B4158A" w:rsidRPr="00734E9F" w:rsidRDefault="00B4158A" w:rsidP="00D4090D">
            <w:pPr>
              <w:suppressAutoHyphens w:val="0"/>
              <w:spacing w:after="0" w:line="240" w:lineRule="auto"/>
              <w:jc w:val="left"/>
              <w:rPr>
                <w:rFonts w:cs="Calibri"/>
                <w:sz w:val="16"/>
                <w:lang w:eastAsia="tr-TR"/>
              </w:rPr>
            </w:pPr>
            <w:r w:rsidRPr="00734E9F">
              <w:rPr>
                <w:rFonts w:cs="Calibri"/>
                <w:sz w:val="16"/>
                <w:lang w:eastAsia="tr-TR"/>
              </w:rPr>
              <w:t> </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(0.00298)</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(0.00223)</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(0.00267)</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(0.00246)</w:t>
            </w:r>
          </w:p>
        </w:tc>
      </w:tr>
      <w:tr w:rsidR="00B4158A" w:rsidRPr="00734E9F" w:rsidTr="00D4090D">
        <w:trPr>
          <w:trHeight w:hRule="exact" w:val="227"/>
          <w:jc w:val="center"/>
        </w:trPr>
        <w:tc>
          <w:tcPr>
            <w:tcW w:w="1440" w:type="dxa"/>
            <w:tcBorders>
              <w:top w:val="nil"/>
              <w:left w:val="nil"/>
              <w:bottom w:val="nil"/>
              <w:right w:val="single" w:sz="4" w:space="0" w:color="auto"/>
            </w:tcBorders>
            <w:shd w:val="clear" w:color="auto" w:fill="auto"/>
            <w:noWrap/>
            <w:vAlign w:val="bottom"/>
            <w:hideMark/>
          </w:tcPr>
          <w:p w:rsidR="00B4158A" w:rsidRPr="00734E9F" w:rsidRDefault="00B4158A" w:rsidP="00D4090D">
            <w:pPr>
              <w:suppressAutoHyphens w:val="0"/>
              <w:spacing w:after="0" w:line="240" w:lineRule="auto"/>
              <w:jc w:val="left"/>
              <w:rPr>
                <w:rFonts w:cs="Calibri"/>
                <w:sz w:val="16"/>
                <w:lang w:eastAsia="tr-TR"/>
              </w:rPr>
            </w:pPr>
            <w:r w:rsidRPr="00734E9F">
              <w:rPr>
                <w:rFonts w:cs="Calibri"/>
                <w:sz w:val="16"/>
                <w:lang w:eastAsia="tr-TR"/>
              </w:rPr>
              <w:t>sh15y16</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0.00348</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0.00631**</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0.00588**</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-0.00180</w:t>
            </w:r>
          </w:p>
        </w:tc>
      </w:tr>
      <w:tr w:rsidR="00B4158A" w:rsidRPr="00734E9F" w:rsidTr="00D4090D">
        <w:trPr>
          <w:trHeight w:hRule="exact" w:val="227"/>
          <w:jc w:val="center"/>
        </w:trPr>
        <w:tc>
          <w:tcPr>
            <w:tcW w:w="1440" w:type="dxa"/>
            <w:tcBorders>
              <w:top w:val="nil"/>
              <w:left w:val="nil"/>
              <w:bottom w:val="nil"/>
              <w:right w:val="single" w:sz="4" w:space="0" w:color="auto"/>
            </w:tcBorders>
            <w:shd w:val="clear" w:color="auto" w:fill="auto"/>
            <w:noWrap/>
            <w:vAlign w:val="bottom"/>
            <w:hideMark/>
          </w:tcPr>
          <w:p w:rsidR="00B4158A" w:rsidRPr="00734E9F" w:rsidRDefault="00B4158A" w:rsidP="00D4090D">
            <w:pPr>
              <w:suppressAutoHyphens w:val="0"/>
              <w:spacing w:after="0" w:line="240" w:lineRule="auto"/>
              <w:jc w:val="left"/>
              <w:rPr>
                <w:rFonts w:cs="Calibri"/>
                <w:sz w:val="16"/>
                <w:lang w:eastAsia="tr-TR"/>
              </w:rPr>
            </w:pPr>
            <w:r w:rsidRPr="00734E9F">
              <w:rPr>
                <w:rFonts w:cs="Calibri"/>
                <w:sz w:val="16"/>
                <w:lang w:eastAsia="tr-TR"/>
              </w:rPr>
              <w:t> </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(0.00301)</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(0.00259)</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(0.00274)</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(0.00261)</w:t>
            </w:r>
          </w:p>
        </w:tc>
      </w:tr>
      <w:tr w:rsidR="00B4158A" w:rsidRPr="00734E9F" w:rsidTr="00D4090D">
        <w:trPr>
          <w:trHeight w:hRule="exact" w:val="227"/>
          <w:jc w:val="center"/>
        </w:trPr>
        <w:tc>
          <w:tcPr>
            <w:tcW w:w="1440" w:type="dxa"/>
            <w:tcBorders>
              <w:top w:val="nil"/>
              <w:left w:val="nil"/>
              <w:bottom w:val="nil"/>
              <w:right w:val="single" w:sz="4" w:space="0" w:color="auto"/>
            </w:tcBorders>
            <w:shd w:val="clear" w:color="auto" w:fill="auto"/>
            <w:noWrap/>
            <w:vAlign w:val="bottom"/>
            <w:hideMark/>
          </w:tcPr>
          <w:p w:rsidR="00B4158A" w:rsidRPr="00734E9F" w:rsidRDefault="00B4158A" w:rsidP="00D4090D">
            <w:pPr>
              <w:suppressAutoHyphens w:val="0"/>
              <w:spacing w:after="0" w:line="240" w:lineRule="auto"/>
              <w:jc w:val="left"/>
              <w:rPr>
                <w:rFonts w:cs="Calibri"/>
                <w:sz w:val="16"/>
                <w:lang w:eastAsia="tr-TR"/>
              </w:rPr>
            </w:pPr>
            <w:r w:rsidRPr="00734E9F">
              <w:rPr>
                <w:rFonts w:cs="Calibri"/>
                <w:sz w:val="16"/>
                <w:lang w:eastAsia="tr-TR"/>
              </w:rPr>
              <w:t xml:space="preserve">Sabit Terim </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-1.042</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-0.818</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1.778*</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0.531</w:t>
            </w:r>
          </w:p>
        </w:tc>
      </w:tr>
      <w:tr w:rsidR="00B4158A" w:rsidRPr="00734E9F" w:rsidTr="00D4090D">
        <w:trPr>
          <w:trHeight w:hRule="exact" w:val="227"/>
          <w:jc w:val="center"/>
        </w:trPr>
        <w:tc>
          <w:tcPr>
            <w:tcW w:w="1440" w:type="dxa"/>
            <w:tcBorders>
              <w:top w:val="nil"/>
              <w:left w:val="nil"/>
              <w:bottom w:val="nil"/>
              <w:right w:val="single" w:sz="4" w:space="0" w:color="auto"/>
            </w:tcBorders>
            <w:shd w:val="clear" w:color="auto" w:fill="auto"/>
            <w:noWrap/>
            <w:vAlign w:val="bottom"/>
            <w:hideMark/>
          </w:tcPr>
          <w:p w:rsidR="00B4158A" w:rsidRPr="00734E9F" w:rsidRDefault="00B4158A" w:rsidP="00D4090D">
            <w:pPr>
              <w:suppressAutoHyphens w:val="0"/>
              <w:spacing w:after="0" w:line="240" w:lineRule="auto"/>
              <w:jc w:val="left"/>
              <w:rPr>
                <w:rFonts w:cs="Calibri"/>
                <w:sz w:val="16"/>
                <w:lang w:eastAsia="tr-TR"/>
              </w:rPr>
            </w:pPr>
            <w:r w:rsidRPr="00734E9F">
              <w:rPr>
                <w:rFonts w:cs="Calibri"/>
                <w:sz w:val="16"/>
                <w:lang w:eastAsia="tr-TR"/>
              </w:rPr>
              <w:t> </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(0.968)</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(0.935)</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(0.937)</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(0.939)</w:t>
            </w:r>
          </w:p>
        </w:tc>
      </w:tr>
      <w:tr w:rsidR="00B4158A" w:rsidRPr="00734E9F" w:rsidTr="00D4090D">
        <w:trPr>
          <w:trHeight w:hRule="exact" w:val="227"/>
          <w:jc w:val="center"/>
        </w:trPr>
        <w:tc>
          <w:tcPr>
            <w:tcW w:w="1440" w:type="dxa"/>
            <w:tcBorders>
              <w:top w:val="nil"/>
              <w:left w:val="nil"/>
              <w:bottom w:val="double" w:sz="6" w:space="0" w:color="auto"/>
              <w:right w:val="single" w:sz="4" w:space="0" w:color="auto"/>
            </w:tcBorders>
            <w:shd w:val="clear" w:color="auto" w:fill="auto"/>
            <w:noWrap/>
            <w:vAlign w:val="bottom"/>
            <w:hideMark/>
          </w:tcPr>
          <w:p w:rsidR="00B4158A" w:rsidRPr="00734E9F" w:rsidRDefault="00B4158A" w:rsidP="00D4090D">
            <w:pPr>
              <w:suppressAutoHyphens w:val="0"/>
              <w:spacing w:after="0" w:line="240" w:lineRule="auto"/>
              <w:jc w:val="left"/>
              <w:rPr>
                <w:rFonts w:cs="Calibri"/>
                <w:sz w:val="16"/>
                <w:lang w:eastAsia="tr-TR"/>
              </w:rPr>
            </w:pPr>
            <w:r w:rsidRPr="00734E9F">
              <w:rPr>
                <w:rFonts w:cs="Calibri"/>
                <w:sz w:val="16"/>
                <w:lang w:eastAsia="tr-TR"/>
              </w:rPr>
              <w:t> </w:t>
            </w:r>
          </w:p>
        </w:tc>
        <w:tc>
          <w:tcPr>
            <w:tcW w:w="1160" w:type="dxa"/>
            <w:tcBorders>
              <w:top w:val="nil"/>
              <w:left w:val="nil"/>
              <w:bottom w:val="double" w:sz="6" w:space="0" w:color="auto"/>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 </w:t>
            </w:r>
          </w:p>
        </w:tc>
        <w:tc>
          <w:tcPr>
            <w:tcW w:w="1160" w:type="dxa"/>
            <w:tcBorders>
              <w:top w:val="nil"/>
              <w:left w:val="nil"/>
              <w:bottom w:val="double" w:sz="6" w:space="0" w:color="auto"/>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 </w:t>
            </w:r>
          </w:p>
        </w:tc>
        <w:tc>
          <w:tcPr>
            <w:tcW w:w="1160" w:type="dxa"/>
            <w:tcBorders>
              <w:top w:val="nil"/>
              <w:left w:val="nil"/>
              <w:bottom w:val="double" w:sz="6" w:space="0" w:color="auto"/>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 </w:t>
            </w:r>
          </w:p>
        </w:tc>
        <w:tc>
          <w:tcPr>
            <w:tcW w:w="1160" w:type="dxa"/>
            <w:tcBorders>
              <w:top w:val="nil"/>
              <w:left w:val="nil"/>
              <w:bottom w:val="double" w:sz="6" w:space="0" w:color="auto"/>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 </w:t>
            </w:r>
          </w:p>
        </w:tc>
      </w:tr>
      <w:tr w:rsidR="00B4158A" w:rsidRPr="00734E9F" w:rsidTr="00D4090D">
        <w:trPr>
          <w:trHeight w:hRule="exact" w:val="227"/>
          <w:jc w:val="center"/>
        </w:trPr>
        <w:tc>
          <w:tcPr>
            <w:tcW w:w="1440" w:type="dxa"/>
            <w:tcBorders>
              <w:top w:val="nil"/>
              <w:left w:val="nil"/>
              <w:bottom w:val="nil"/>
              <w:right w:val="single" w:sz="4" w:space="0" w:color="auto"/>
            </w:tcBorders>
            <w:shd w:val="clear" w:color="auto" w:fill="auto"/>
            <w:noWrap/>
            <w:vAlign w:val="bottom"/>
            <w:hideMark/>
          </w:tcPr>
          <w:p w:rsidR="00B4158A" w:rsidRPr="00734E9F" w:rsidRDefault="00B4158A" w:rsidP="00D4090D">
            <w:pPr>
              <w:suppressAutoHyphens w:val="0"/>
              <w:spacing w:after="0" w:line="240" w:lineRule="auto"/>
              <w:jc w:val="left"/>
              <w:rPr>
                <w:rFonts w:cs="Calibri"/>
                <w:sz w:val="16"/>
                <w:lang w:eastAsia="tr-TR"/>
              </w:rPr>
            </w:pPr>
            <w:r w:rsidRPr="00734E9F">
              <w:rPr>
                <w:rFonts w:cs="Calibri"/>
                <w:sz w:val="16"/>
                <w:lang w:eastAsia="tr-TR"/>
              </w:rPr>
              <w:t>Gözlem sayısı</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107,343</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115,952</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115,926</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center"/>
              <w:rPr>
                <w:rFonts w:cs="Calibri"/>
                <w:sz w:val="16"/>
                <w:lang w:eastAsia="tr-TR"/>
              </w:rPr>
            </w:pPr>
            <w:r w:rsidRPr="00734E9F">
              <w:rPr>
                <w:rFonts w:cs="Calibri"/>
                <w:sz w:val="16"/>
                <w:lang w:eastAsia="tr-TR"/>
              </w:rPr>
              <w:t>114,763</w:t>
            </w:r>
          </w:p>
        </w:tc>
      </w:tr>
      <w:tr w:rsidR="00B4158A" w:rsidRPr="00734E9F" w:rsidTr="00D4090D">
        <w:trPr>
          <w:trHeight w:hRule="exact" w:val="227"/>
          <w:jc w:val="center"/>
        </w:trPr>
        <w:tc>
          <w:tcPr>
            <w:tcW w:w="3760" w:type="dxa"/>
            <w:gridSpan w:val="3"/>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left"/>
              <w:rPr>
                <w:rFonts w:cs="Calibri"/>
                <w:sz w:val="16"/>
                <w:lang w:eastAsia="tr-TR"/>
              </w:rPr>
            </w:pPr>
            <w:proofErr w:type="spellStart"/>
            <w:r w:rsidRPr="00734E9F">
              <w:rPr>
                <w:rFonts w:cs="Calibri"/>
                <w:sz w:val="16"/>
                <w:lang w:eastAsia="tr-TR"/>
              </w:rPr>
              <w:t>Robust</w:t>
            </w:r>
            <w:proofErr w:type="spellEnd"/>
            <w:r w:rsidRPr="00734E9F">
              <w:rPr>
                <w:rFonts w:cs="Calibri"/>
                <w:sz w:val="16"/>
                <w:lang w:eastAsia="tr-TR"/>
              </w:rPr>
              <w:t xml:space="preserve"> </w:t>
            </w:r>
            <w:r w:rsidR="00FA6E28">
              <w:rPr>
                <w:rFonts w:cs="Calibri"/>
                <w:sz w:val="16"/>
                <w:lang w:eastAsia="tr-TR"/>
              </w:rPr>
              <w:t xml:space="preserve">standart hatalar parantezdedir. </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left"/>
              <w:rPr>
                <w:rFonts w:cs="Calibri"/>
                <w:sz w:val="16"/>
                <w:lang w:eastAsia="tr-TR"/>
              </w:rPr>
            </w:pP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left"/>
              <w:rPr>
                <w:rFonts w:cs="Calibri"/>
                <w:sz w:val="16"/>
                <w:lang w:eastAsia="tr-TR"/>
              </w:rPr>
            </w:pPr>
          </w:p>
        </w:tc>
      </w:tr>
      <w:tr w:rsidR="00B4158A" w:rsidRPr="00734E9F" w:rsidTr="00D4090D">
        <w:trPr>
          <w:trHeight w:hRule="exact" w:val="227"/>
          <w:jc w:val="center"/>
        </w:trPr>
        <w:tc>
          <w:tcPr>
            <w:tcW w:w="2600" w:type="dxa"/>
            <w:gridSpan w:val="2"/>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left"/>
              <w:rPr>
                <w:rFonts w:cs="Calibri"/>
                <w:sz w:val="16"/>
                <w:lang w:eastAsia="tr-TR"/>
              </w:rPr>
            </w:pPr>
            <w:r w:rsidRPr="00734E9F">
              <w:rPr>
                <w:rFonts w:cs="Calibri"/>
                <w:sz w:val="16"/>
                <w:lang w:eastAsia="tr-TR"/>
              </w:rPr>
              <w:t>*** p&lt;0.01, ** p&lt;0.05, * p&lt;0.1</w:t>
            </w: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left"/>
              <w:rPr>
                <w:rFonts w:cs="Calibri"/>
                <w:sz w:val="16"/>
                <w:lang w:eastAsia="tr-TR"/>
              </w:rPr>
            </w:pP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left"/>
              <w:rPr>
                <w:rFonts w:cs="Calibri"/>
                <w:sz w:val="16"/>
                <w:lang w:eastAsia="tr-TR"/>
              </w:rPr>
            </w:pPr>
          </w:p>
        </w:tc>
        <w:tc>
          <w:tcPr>
            <w:tcW w:w="1160" w:type="dxa"/>
            <w:tcBorders>
              <w:top w:val="nil"/>
              <w:left w:val="nil"/>
              <w:bottom w:val="nil"/>
              <w:right w:val="nil"/>
            </w:tcBorders>
            <w:shd w:val="clear" w:color="auto" w:fill="auto"/>
            <w:noWrap/>
            <w:vAlign w:val="bottom"/>
            <w:hideMark/>
          </w:tcPr>
          <w:p w:rsidR="00B4158A" w:rsidRPr="00734E9F" w:rsidRDefault="00B4158A" w:rsidP="00D4090D">
            <w:pPr>
              <w:suppressAutoHyphens w:val="0"/>
              <w:spacing w:after="0" w:line="240" w:lineRule="auto"/>
              <w:jc w:val="left"/>
              <w:rPr>
                <w:rFonts w:cs="Calibri"/>
                <w:sz w:val="16"/>
                <w:lang w:eastAsia="tr-TR"/>
              </w:rPr>
            </w:pPr>
          </w:p>
        </w:tc>
      </w:tr>
    </w:tbl>
    <w:p w:rsidR="00B4158A" w:rsidRDefault="00B4158A" w:rsidP="00B4158A">
      <w:pPr>
        <w:suppressAutoHyphens w:val="0"/>
        <w:autoSpaceDE w:val="0"/>
        <w:autoSpaceDN w:val="0"/>
        <w:adjustRightInd w:val="0"/>
        <w:spacing w:after="0" w:line="240" w:lineRule="auto"/>
        <w:rPr>
          <w:sz w:val="18"/>
          <w:szCs w:val="20"/>
          <w:lang w:eastAsia="tr-TR"/>
        </w:rPr>
      </w:pPr>
      <w:r w:rsidRPr="000A3A3C">
        <w:rPr>
          <w:b/>
          <w:sz w:val="18"/>
          <w:szCs w:val="20"/>
          <w:lang w:eastAsia="tr-TR"/>
        </w:rPr>
        <w:lastRenderedPageBreak/>
        <w:t>Kaynak</w:t>
      </w:r>
      <w:r w:rsidRPr="000A3A3C">
        <w:rPr>
          <w:sz w:val="18"/>
          <w:szCs w:val="20"/>
          <w:lang w:eastAsia="tr-TR"/>
        </w:rPr>
        <w:t xml:space="preserve">: </w:t>
      </w:r>
      <w:r w:rsidR="00B23240">
        <w:rPr>
          <w:sz w:val="18"/>
          <w:szCs w:val="20"/>
          <w:lang w:eastAsia="tr-TR"/>
        </w:rPr>
        <w:t xml:space="preserve">Çeyreklik </w:t>
      </w:r>
      <w:r w:rsidR="00B23240" w:rsidRPr="000A3A3C">
        <w:rPr>
          <w:sz w:val="18"/>
          <w:szCs w:val="20"/>
          <w:lang w:eastAsia="tr-TR"/>
        </w:rPr>
        <w:t xml:space="preserve">HİA 2009-2016 mikro veri, </w:t>
      </w:r>
      <w:r w:rsidR="00E902ED">
        <w:rPr>
          <w:sz w:val="18"/>
          <w:szCs w:val="20"/>
          <w:lang w:eastAsia="tr-TR"/>
        </w:rPr>
        <w:t>Betam</w:t>
      </w:r>
      <w:r w:rsidR="00B23240" w:rsidRPr="000A3A3C">
        <w:rPr>
          <w:sz w:val="18"/>
          <w:szCs w:val="20"/>
          <w:lang w:eastAsia="tr-TR"/>
        </w:rPr>
        <w:t xml:space="preserve"> hesaplamaları</w:t>
      </w:r>
      <w:r>
        <w:rPr>
          <w:sz w:val="18"/>
          <w:szCs w:val="20"/>
          <w:lang w:eastAsia="tr-TR"/>
        </w:rPr>
        <w:t>.</w:t>
      </w:r>
      <w:r w:rsidRPr="000A3A3C">
        <w:rPr>
          <w:sz w:val="18"/>
          <w:szCs w:val="20"/>
          <w:lang w:eastAsia="tr-TR"/>
        </w:rPr>
        <w:t xml:space="preserve"> </w:t>
      </w:r>
      <w:r w:rsidRPr="00832E9D">
        <w:rPr>
          <w:b/>
          <w:sz w:val="18"/>
          <w:szCs w:val="20"/>
          <w:lang w:eastAsia="tr-TR"/>
        </w:rPr>
        <w:t>Not:</w:t>
      </w:r>
      <w:r w:rsidRPr="002A623C">
        <w:rPr>
          <w:sz w:val="18"/>
          <w:szCs w:val="20"/>
          <w:lang w:eastAsia="tr-TR"/>
        </w:rPr>
        <w:t xml:space="preserve"> Tüm modellerde bağımlı değişken kayıt dışı çalışma durumunu gösteren kategorik bir değişkendir. Bu sebeple model kestirimi için lojistik regresyon tercih edilmiştir.  </w:t>
      </w:r>
      <w:r>
        <w:rPr>
          <w:sz w:val="18"/>
          <w:szCs w:val="20"/>
          <w:lang w:eastAsia="tr-TR"/>
        </w:rPr>
        <w:t>Ç</w:t>
      </w:r>
      <w:r w:rsidRPr="002A623C">
        <w:rPr>
          <w:sz w:val="18"/>
          <w:szCs w:val="20"/>
          <w:lang w:eastAsia="tr-TR"/>
        </w:rPr>
        <w:t>1</w:t>
      </w:r>
      <w:r>
        <w:rPr>
          <w:sz w:val="18"/>
          <w:szCs w:val="20"/>
          <w:lang w:eastAsia="tr-TR"/>
        </w:rPr>
        <w:t xml:space="preserve"> - Ç4 sırası ile çeyrekleri göstermektedir. Regresyon modelinde açıklayıcı değişken olarak </w:t>
      </w:r>
      <w:r w:rsidRPr="002A623C">
        <w:rPr>
          <w:sz w:val="18"/>
          <w:szCs w:val="20"/>
          <w:lang w:eastAsia="tr-TR"/>
        </w:rPr>
        <w:t>se</w:t>
      </w:r>
      <w:r>
        <w:rPr>
          <w:sz w:val="18"/>
          <w:szCs w:val="20"/>
          <w:lang w:eastAsia="tr-TR"/>
        </w:rPr>
        <w:t xml:space="preserve">ktör ve yıl kukla değişkenlerine ek olarak </w:t>
      </w:r>
      <w:r w:rsidRPr="002A623C">
        <w:rPr>
          <w:sz w:val="18"/>
          <w:szCs w:val="20"/>
          <w:lang w:eastAsia="tr-TR"/>
        </w:rPr>
        <w:t xml:space="preserve">tecrübe, eğitim ve medeni durum değişkenleri ile </w:t>
      </w:r>
      <w:proofErr w:type="spellStart"/>
      <w:r w:rsidRPr="002A623C">
        <w:rPr>
          <w:sz w:val="18"/>
          <w:szCs w:val="20"/>
          <w:lang w:eastAsia="tr-TR"/>
        </w:rPr>
        <w:t>sektörel</w:t>
      </w:r>
      <w:proofErr w:type="spellEnd"/>
      <w:r w:rsidRPr="002A623C">
        <w:rPr>
          <w:sz w:val="18"/>
          <w:szCs w:val="20"/>
          <w:lang w:eastAsia="tr-TR"/>
        </w:rPr>
        <w:t xml:space="preserve"> işgücü verimlilik düzeyi</w:t>
      </w:r>
      <w:r>
        <w:rPr>
          <w:sz w:val="18"/>
          <w:szCs w:val="20"/>
          <w:lang w:eastAsia="tr-TR"/>
        </w:rPr>
        <w:t xml:space="preserve"> yer almaktadır. </w:t>
      </w:r>
    </w:p>
    <w:p w:rsidR="00B4158A" w:rsidRPr="00F42DEE" w:rsidRDefault="00B4158A" w:rsidP="00B4158A">
      <w:pPr>
        <w:suppressAutoHyphens w:val="0"/>
        <w:autoSpaceDE w:val="0"/>
        <w:autoSpaceDN w:val="0"/>
        <w:adjustRightInd w:val="0"/>
        <w:spacing w:after="0" w:line="240" w:lineRule="auto"/>
        <w:rPr>
          <w:sz w:val="18"/>
          <w:szCs w:val="20"/>
          <w:lang w:eastAsia="tr-TR"/>
        </w:rPr>
      </w:pPr>
    </w:p>
    <w:p w:rsidR="00AB211F" w:rsidRPr="00B4158A" w:rsidRDefault="00726035" w:rsidP="00B4158A">
      <w:pPr>
        <w:suppressAutoHyphens w:val="0"/>
        <w:autoSpaceDE w:val="0"/>
        <w:autoSpaceDN w:val="0"/>
        <w:adjustRightInd w:val="0"/>
        <w:spacing w:after="0"/>
        <w:rPr>
          <w:rFonts w:eastAsiaTheme="minorHAnsi"/>
          <w:lang w:eastAsia="en-US"/>
        </w:rPr>
      </w:pPr>
      <w:r>
        <w:rPr>
          <w:rFonts w:eastAsiaTheme="minorHAnsi"/>
          <w:lang w:eastAsia="en-US"/>
        </w:rPr>
        <w:t>Tablo 3</w:t>
      </w:r>
      <w:r w:rsidR="00CF306A">
        <w:rPr>
          <w:rFonts w:eastAsiaTheme="minorHAnsi"/>
          <w:lang w:eastAsia="en-US"/>
        </w:rPr>
        <w:t xml:space="preserve"> ücretli erkek çalışanlar için</w:t>
      </w:r>
      <w:r w:rsidR="007278FE" w:rsidRPr="002E42A6">
        <w:rPr>
          <w:rFonts w:eastAsiaTheme="minorHAnsi"/>
          <w:lang w:eastAsia="en-US"/>
        </w:rPr>
        <w:t xml:space="preserve"> yalnızca ilgili çeyreklerin verileri kullanılarak</w:t>
      </w:r>
      <w:r w:rsidR="006A607D">
        <w:rPr>
          <w:rFonts w:eastAsiaTheme="minorHAnsi"/>
          <w:lang w:eastAsia="en-US"/>
        </w:rPr>
        <w:t xml:space="preserve"> kestirilen</w:t>
      </w:r>
      <w:r w:rsidR="007278FE" w:rsidRPr="002E42A6">
        <w:rPr>
          <w:rFonts w:eastAsiaTheme="minorHAnsi"/>
          <w:lang w:eastAsia="en-US"/>
        </w:rPr>
        <w:t xml:space="preserve"> regresyon sonuçları</w:t>
      </w:r>
      <w:r w:rsidR="005A2BEC">
        <w:rPr>
          <w:rFonts w:eastAsiaTheme="minorHAnsi"/>
          <w:lang w:eastAsia="en-US"/>
        </w:rPr>
        <w:t xml:space="preserve">nı içermektedir. </w:t>
      </w:r>
      <w:r w:rsidR="00B01FAC">
        <w:rPr>
          <w:rFonts w:eastAsiaTheme="minorHAnsi"/>
          <w:lang w:eastAsia="en-US"/>
        </w:rPr>
        <w:t xml:space="preserve">Tabloda görüldüğü üzere </w:t>
      </w:r>
      <w:r w:rsidR="008F258B" w:rsidRPr="002E42A6">
        <w:rPr>
          <w:rFonts w:eastAsiaTheme="minorHAnsi"/>
          <w:lang w:eastAsia="en-US"/>
        </w:rPr>
        <w:t xml:space="preserve">“sh14y15” </w:t>
      </w:r>
      <w:r w:rsidR="00B01FAC">
        <w:rPr>
          <w:rFonts w:eastAsiaTheme="minorHAnsi"/>
          <w:lang w:eastAsia="en-US"/>
        </w:rPr>
        <w:t xml:space="preserve">çarpım değişkeni </w:t>
      </w:r>
      <w:r w:rsidR="00981D56" w:rsidRPr="002E42A6">
        <w:rPr>
          <w:rFonts w:eastAsiaTheme="minorHAnsi"/>
          <w:lang w:eastAsia="en-US"/>
        </w:rPr>
        <w:t>hiçbir çeyrekte</w:t>
      </w:r>
      <w:r w:rsidR="006A607D">
        <w:rPr>
          <w:rFonts w:eastAsiaTheme="minorHAnsi"/>
          <w:lang w:eastAsia="en-US"/>
        </w:rPr>
        <w:t xml:space="preserve"> </w:t>
      </w:r>
      <w:r w:rsidR="00B01FAC">
        <w:rPr>
          <w:rFonts w:eastAsiaTheme="minorHAnsi"/>
          <w:lang w:eastAsia="en-US"/>
        </w:rPr>
        <w:t xml:space="preserve">anlamlı çıkmamaktadır. Oysa </w:t>
      </w:r>
      <w:r w:rsidR="00B01FAC" w:rsidRPr="002E42A6">
        <w:rPr>
          <w:rFonts w:eastAsiaTheme="minorHAnsi"/>
          <w:lang w:eastAsia="en-US"/>
        </w:rPr>
        <w:t xml:space="preserve">“sh15y16” </w:t>
      </w:r>
      <w:r w:rsidR="00B01FAC">
        <w:rPr>
          <w:rFonts w:eastAsiaTheme="minorHAnsi"/>
          <w:lang w:eastAsia="en-US"/>
        </w:rPr>
        <w:t>çarpım değişkeni 2. ve 3. çeyreklerde anlamlı ve pozitif çıkmaktadır. Bu sonuçları beraber değerlendirirsek, 2016</w:t>
      </w:r>
      <w:r w:rsidR="00AC2C69" w:rsidRPr="002E42A6">
        <w:rPr>
          <w:rFonts w:eastAsiaTheme="minorHAnsi"/>
          <w:lang w:eastAsia="en-US"/>
        </w:rPr>
        <w:t xml:space="preserve"> yılında</w:t>
      </w:r>
      <w:r w:rsidR="00B01FAC">
        <w:rPr>
          <w:rFonts w:eastAsiaTheme="minorHAnsi"/>
          <w:lang w:eastAsia="en-US"/>
        </w:rPr>
        <w:t>,</w:t>
      </w:r>
      <w:r w:rsidR="00AC2C69" w:rsidRPr="002E42A6">
        <w:rPr>
          <w:rFonts w:eastAsiaTheme="minorHAnsi"/>
          <w:lang w:eastAsia="en-US"/>
        </w:rPr>
        <w:t xml:space="preserve"> </w:t>
      </w:r>
      <w:r w:rsidR="00B01FAC">
        <w:rPr>
          <w:rFonts w:eastAsiaTheme="minorHAnsi"/>
          <w:lang w:eastAsia="en-US"/>
        </w:rPr>
        <w:t xml:space="preserve">asgari ücret artışı öncesi </w:t>
      </w:r>
      <w:r w:rsidR="00AC2C69" w:rsidRPr="002E42A6">
        <w:rPr>
          <w:rFonts w:eastAsiaTheme="minorHAnsi"/>
          <w:lang w:eastAsia="en-US"/>
        </w:rPr>
        <w:t xml:space="preserve">düşük ücretli </w:t>
      </w:r>
      <w:bookmarkStart w:id="0" w:name="_GoBack"/>
      <w:bookmarkEnd w:id="0"/>
      <w:r w:rsidR="00061259" w:rsidRPr="002E42A6">
        <w:rPr>
          <w:rFonts w:eastAsiaTheme="minorHAnsi"/>
          <w:lang w:eastAsia="en-US"/>
        </w:rPr>
        <w:t>çalışan</w:t>
      </w:r>
      <w:r w:rsidR="00061259">
        <w:rPr>
          <w:rFonts w:eastAsiaTheme="minorHAnsi"/>
          <w:lang w:eastAsia="en-US"/>
        </w:rPr>
        <w:t xml:space="preserve"> </w:t>
      </w:r>
      <w:r w:rsidR="00061259" w:rsidRPr="002E42A6">
        <w:rPr>
          <w:rFonts w:eastAsiaTheme="minorHAnsi"/>
          <w:lang w:eastAsia="en-US"/>
        </w:rPr>
        <w:t>yoğunluğu</w:t>
      </w:r>
      <w:r w:rsidR="00B01FAC">
        <w:rPr>
          <w:rFonts w:eastAsiaTheme="minorHAnsi"/>
          <w:lang w:eastAsia="en-US"/>
        </w:rPr>
        <w:t xml:space="preserve"> yüksek olan sektörlerde kayıt dışı çalışma olasılığı </w:t>
      </w:r>
      <w:r w:rsidR="00B01FAC" w:rsidRPr="002E42A6">
        <w:rPr>
          <w:rFonts w:eastAsiaTheme="minorHAnsi"/>
          <w:lang w:eastAsia="en-US"/>
        </w:rPr>
        <w:t>düşük ücretli çalışan yoğunluğu</w:t>
      </w:r>
      <w:r w:rsidR="00B01FAC">
        <w:rPr>
          <w:rFonts w:eastAsiaTheme="minorHAnsi"/>
          <w:lang w:eastAsia="en-US"/>
        </w:rPr>
        <w:t xml:space="preserve"> düşük </w:t>
      </w:r>
      <w:r w:rsidR="001A2C6B">
        <w:rPr>
          <w:rFonts w:eastAsiaTheme="minorHAnsi"/>
          <w:lang w:eastAsia="en-US"/>
        </w:rPr>
        <w:t>olan sektörlere göre daha fazladır. 2015 yılı için düşük ücretli çalışan oranı belirleyici değil</w:t>
      </w:r>
      <w:r w:rsidR="00623F61">
        <w:rPr>
          <w:rFonts w:eastAsiaTheme="minorHAnsi"/>
          <w:lang w:eastAsia="en-US"/>
        </w:rPr>
        <w:t xml:space="preserve">dir. </w:t>
      </w:r>
      <w:r w:rsidR="00451D6B" w:rsidRPr="002E42A6">
        <w:rPr>
          <w:rFonts w:eastAsiaTheme="minorHAnsi"/>
          <w:lang w:eastAsia="en-US"/>
        </w:rPr>
        <w:t xml:space="preserve">Tablo </w:t>
      </w:r>
      <w:r w:rsidR="00AD763D">
        <w:rPr>
          <w:rFonts w:eastAsiaTheme="minorHAnsi"/>
          <w:lang w:eastAsia="en-US"/>
        </w:rPr>
        <w:t>3</w:t>
      </w:r>
      <w:r w:rsidR="00451D6B" w:rsidRPr="002E42A6">
        <w:rPr>
          <w:rFonts w:eastAsiaTheme="minorHAnsi"/>
          <w:lang w:eastAsia="en-US"/>
        </w:rPr>
        <w:t xml:space="preserve">’teki sonuçlara göre </w:t>
      </w:r>
      <w:r w:rsidR="007A5835" w:rsidRPr="002E42A6">
        <w:rPr>
          <w:rFonts w:eastAsiaTheme="minorHAnsi"/>
          <w:lang w:eastAsia="en-US"/>
        </w:rPr>
        <w:t xml:space="preserve">2016 yılının </w:t>
      </w:r>
      <w:r w:rsidR="00623453" w:rsidRPr="002E42A6">
        <w:rPr>
          <w:rFonts w:eastAsiaTheme="minorHAnsi"/>
          <w:lang w:eastAsia="en-US"/>
        </w:rPr>
        <w:t xml:space="preserve">birinci ve dördüncü çeyreğinde ise </w:t>
      </w:r>
      <w:r w:rsidR="002C3FA3" w:rsidRPr="002E42A6">
        <w:rPr>
          <w:rFonts w:eastAsiaTheme="minorHAnsi"/>
          <w:lang w:eastAsia="en-US"/>
        </w:rPr>
        <w:t>an</w:t>
      </w:r>
      <w:r w:rsidR="00623F61">
        <w:rPr>
          <w:rFonts w:eastAsiaTheme="minorHAnsi"/>
          <w:lang w:eastAsia="en-US"/>
        </w:rPr>
        <w:t xml:space="preserve">lamlı bir etki gözlenmemektedir, bu sonuçlar şokun etkisinin ekonomiye yayılmasının anında olmadığı, bir miktar </w:t>
      </w:r>
      <w:r w:rsidR="00DA04EE">
        <w:rPr>
          <w:rFonts w:eastAsiaTheme="minorHAnsi"/>
          <w:lang w:eastAsia="en-US"/>
        </w:rPr>
        <w:t>gecikmeyle geldiği</w:t>
      </w:r>
      <w:r w:rsidR="006C18AE">
        <w:rPr>
          <w:rFonts w:eastAsiaTheme="minorHAnsi"/>
          <w:lang w:eastAsia="en-US"/>
        </w:rPr>
        <w:t xml:space="preserve"> </w:t>
      </w:r>
      <w:r w:rsidR="00623F61">
        <w:rPr>
          <w:rFonts w:eastAsiaTheme="minorHAnsi"/>
          <w:lang w:eastAsia="en-US"/>
        </w:rPr>
        <w:t>ve zamanla sönümlendiği hipotez</w:t>
      </w:r>
      <w:r w:rsidR="006C18AE">
        <w:rPr>
          <w:rFonts w:eastAsiaTheme="minorHAnsi"/>
          <w:lang w:eastAsia="en-US"/>
        </w:rPr>
        <w:t>i</w:t>
      </w:r>
      <w:r w:rsidR="00623F61">
        <w:rPr>
          <w:rFonts w:eastAsiaTheme="minorHAnsi"/>
          <w:lang w:eastAsia="en-US"/>
        </w:rPr>
        <w:t xml:space="preserve"> ile de uyumludur. </w:t>
      </w:r>
    </w:p>
    <w:p w:rsidR="00DE5503" w:rsidRDefault="002030D5" w:rsidP="00DE5503">
      <w:pPr>
        <w:pStyle w:val="Heading2"/>
        <w:rPr>
          <w:rFonts w:eastAsiaTheme="minorHAnsi"/>
          <w:lang w:val="tr-TR" w:eastAsia="en-US"/>
        </w:rPr>
      </w:pPr>
      <w:r>
        <w:rPr>
          <w:rFonts w:eastAsiaTheme="minorHAnsi"/>
          <w:lang w:val="tr-TR" w:eastAsia="en-US"/>
        </w:rPr>
        <w:t>Genel değerlendirme, s</w:t>
      </w:r>
      <w:r w:rsidR="00DE5503">
        <w:rPr>
          <w:rFonts w:eastAsiaTheme="minorHAnsi"/>
          <w:lang w:val="tr-TR" w:eastAsia="en-US"/>
        </w:rPr>
        <w:t xml:space="preserve">onuç ve uyarılar </w:t>
      </w:r>
    </w:p>
    <w:p w:rsidR="00AF7A9E" w:rsidRPr="00642F60" w:rsidRDefault="00CF1D5F" w:rsidP="00E70CEB">
      <w:pPr>
        <w:rPr>
          <w:rFonts w:eastAsiaTheme="minorHAnsi"/>
          <w:color w:val="FF0000"/>
          <w:lang w:eastAsia="en-US"/>
        </w:rPr>
      </w:pPr>
      <w:r w:rsidRPr="00B13325">
        <w:rPr>
          <w:rFonts w:eastAsiaTheme="minorHAnsi"/>
          <w:lang w:eastAsia="en-US"/>
        </w:rPr>
        <w:t>Bu araştırma notunda ve konu ile ilgili önceki iki araştırma notunda elde edilen bulgular 1 Ocak 2016’da yürürlüğe giren yüksek asgari ücret artışının</w:t>
      </w:r>
      <w:r w:rsidR="00546F7F" w:rsidRPr="00B13325">
        <w:rPr>
          <w:rFonts w:eastAsiaTheme="minorHAnsi"/>
          <w:lang w:eastAsia="en-US"/>
        </w:rPr>
        <w:t xml:space="preserve"> (1000TL’den 1</w:t>
      </w:r>
      <w:r w:rsidR="006C18AE" w:rsidRPr="00B13325">
        <w:rPr>
          <w:rFonts w:eastAsiaTheme="minorHAnsi"/>
          <w:lang w:eastAsia="en-US"/>
        </w:rPr>
        <w:t>3</w:t>
      </w:r>
      <w:r w:rsidR="00546F7F" w:rsidRPr="00B13325">
        <w:rPr>
          <w:rFonts w:eastAsiaTheme="minorHAnsi"/>
          <w:lang w:eastAsia="en-US"/>
        </w:rPr>
        <w:t xml:space="preserve">00 TL’ye) </w:t>
      </w:r>
      <w:r w:rsidRPr="00B13325">
        <w:rPr>
          <w:rFonts w:eastAsiaTheme="minorHAnsi"/>
          <w:lang w:eastAsia="en-US"/>
        </w:rPr>
        <w:t>özellikle düşük ücretli sektörlerde</w:t>
      </w:r>
      <w:r w:rsidR="004673B6" w:rsidRPr="00B13325">
        <w:rPr>
          <w:rFonts w:eastAsiaTheme="minorHAnsi"/>
          <w:lang w:eastAsia="en-US"/>
        </w:rPr>
        <w:t xml:space="preserve"> </w:t>
      </w:r>
      <w:r w:rsidR="006C18AE" w:rsidRPr="00B13325">
        <w:rPr>
          <w:rFonts w:eastAsiaTheme="minorHAnsi"/>
          <w:lang w:eastAsia="en-US"/>
        </w:rPr>
        <w:t>ü</w:t>
      </w:r>
      <w:r w:rsidR="004673B6" w:rsidRPr="00B13325">
        <w:rPr>
          <w:rFonts w:eastAsiaTheme="minorHAnsi"/>
          <w:lang w:eastAsia="en-US"/>
        </w:rPr>
        <w:t xml:space="preserve">cretli </w:t>
      </w:r>
      <w:r w:rsidR="0081026B" w:rsidRPr="00B13325">
        <w:rPr>
          <w:rFonts w:eastAsiaTheme="minorHAnsi"/>
          <w:lang w:eastAsia="en-US"/>
        </w:rPr>
        <w:t xml:space="preserve">erkek </w:t>
      </w:r>
      <w:r w:rsidR="004673B6" w:rsidRPr="00B13325">
        <w:rPr>
          <w:rFonts w:eastAsiaTheme="minorHAnsi"/>
          <w:lang w:eastAsia="en-US"/>
        </w:rPr>
        <w:t>çalışanlar için</w:t>
      </w:r>
      <w:r w:rsidR="006C18AE" w:rsidRPr="00B13325">
        <w:rPr>
          <w:rFonts w:eastAsiaTheme="minorHAnsi"/>
          <w:lang w:eastAsia="en-US"/>
        </w:rPr>
        <w:t xml:space="preserve"> </w:t>
      </w:r>
      <w:r w:rsidRPr="00B13325">
        <w:rPr>
          <w:rFonts w:eastAsiaTheme="minorHAnsi"/>
          <w:lang w:eastAsia="en-US"/>
        </w:rPr>
        <w:t xml:space="preserve">kayıt dışı istihdamı arttırdığı savını doğrulamaktadır. </w:t>
      </w:r>
      <w:r w:rsidR="0081026B" w:rsidRPr="00B13325">
        <w:rPr>
          <w:rFonts w:eastAsiaTheme="minorHAnsi"/>
          <w:lang w:eastAsia="en-US"/>
        </w:rPr>
        <w:t xml:space="preserve">Bu etkinin </w:t>
      </w:r>
      <w:r w:rsidR="00B13325" w:rsidRPr="00642F60">
        <w:rPr>
          <w:rFonts w:eastAsiaTheme="minorHAnsi"/>
          <w:lang w:eastAsia="en-US"/>
        </w:rPr>
        <w:t xml:space="preserve">sadece erkeklerde görülmesini </w:t>
      </w:r>
      <w:r w:rsidR="006C18AE" w:rsidRPr="00642F60">
        <w:rPr>
          <w:rFonts w:eastAsiaTheme="minorHAnsi"/>
          <w:lang w:eastAsia="en-US"/>
        </w:rPr>
        <w:t xml:space="preserve">çalışan </w:t>
      </w:r>
      <w:r w:rsidR="0081026B" w:rsidRPr="00642F60">
        <w:rPr>
          <w:rFonts w:eastAsiaTheme="minorHAnsi"/>
          <w:lang w:eastAsia="en-US"/>
        </w:rPr>
        <w:t>kadın</w:t>
      </w:r>
      <w:r w:rsidR="00554DA1" w:rsidRPr="00642F60">
        <w:rPr>
          <w:rFonts w:eastAsiaTheme="minorHAnsi"/>
          <w:lang w:eastAsia="en-US"/>
        </w:rPr>
        <w:t xml:space="preserve">ların eğitim düzeyinin </w:t>
      </w:r>
      <w:r w:rsidR="006C18AE" w:rsidRPr="00642F60">
        <w:rPr>
          <w:rFonts w:eastAsiaTheme="minorHAnsi"/>
          <w:lang w:eastAsia="en-US"/>
        </w:rPr>
        <w:t xml:space="preserve">çalışan </w:t>
      </w:r>
      <w:r w:rsidR="00554DA1" w:rsidRPr="00642F60">
        <w:rPr>
          <w:rFonts w:eastAsiaTheme="minorHAnsi"/>
          <w:lang w:eastAsia="en-US"/>
        </w:rPr>
        <w:t>erkeklere kıyasla daha yüksek ol</w:t>
      </w:r>
      <w:r w:rsidR="00380903" w:rsidRPr="00642F60">
        <w:rPr>
          <w:rFonts w:eastAsiaTheme="minorHAnsi"/>
          <w:lang w:eastAsia="en-US"/>
        </w:rPr>
        <w:t xml:space="preserve">ması </w:t>
      </w:r>
      <w:r w:rsidR="00554DA1" w:rsidRPr="00642F60">
        <w:rPr>
          <w:rFonts w:eastAsiaTheme="minorHAnsi"/>
          <w:lang w:eastAsia="en-US"/>
        </w:rPr>
        <w:t xml:space="preserve">ile </w:t>
      </w:r>
      <w:r w:rsidR="009C1387">
        <w:rPr>
          <w:rFonts w:eastAsiaTheme="minorHAnsi"/>
          <w:lang w:eastAsia="en-US"/>
        </w:rPr>
        <w:t>ilgili olabileceğini belirtmiştik</w:t>
      </w:r>
      <w:r w:rsidR="006C18AE" w:rsidRPr="00642F60">
        <w:rPr>
          <w:rFonts w:eastAsiaTheme="minorHAnsi"/>
          <w:lang w:eastAsia="en-US"/>
        </w:rPr>
        <w:t>.</w:t>
      </w:r>
      <w:r w:rsidR="006C18AE" w:rsidRPr="00642F60">
        <w:rPr>
          <w:rFonts w:eastAsiaTheme="minorHAnsi"/>
          <w:color w:val="FF0000"/>
          <w:lang w:eastAsia="en-US"/>
        </w:rPr>
        <w:t xml:space="preserve"> </w:t>
      </w:r>
      <w:r w:rsidR="00717102" w:rsidRPr="00642F60">
        <w:rPr>
          <w:rFonts w:eastAsiaTheme="minorHAnsi"/>
          <w:lang w:eastAsia="en-US"/>
        </w:rPr>
        <w:t>Bu</w:t>
      </w:r>
      <w:r w:rsidR="006C18AE" w:rsidRPr="00642F60">
        <w:rPr>
          <w:rFonts w:eastAsiaTheme="minorHAnsi"/>
          <w:lang w:eastAsia="en-US"/>
        </w:rPr>
        <w:t>nun beklenen sonucu olarak</w:t>
      </w:r>
      <w:r w:rsidR="00717102" w:rsidRPr="00642F60">
        <w:rPr>
          <w:rFonts w:eastAsiaTheme="minorHAnsi"/>
          <w:lang w:eastAsia="en-US"/>
        </w:rPr>
        <w:t xml:space="preserve"> </w:t>
      </w:r>
      <w:r w:rsidR="00380903" w:rsidRPr="00642F60">
        <w:rPr>
          <w:rFonts w:eastAsiaTheme="minorHAnsi"/>
          <w:lang w:eastAsia="en-US"/>
        </w:rPr>
        <w:t>kadınların daha çok kayıtlı işlerde çalış</w:t>
      </w:r>
      <w:r w:rsidR="006C18AE" w:rsidRPr="00642F60">
        <w:rPr>
          <w:rFonts w:eastAsiaTheme="minorHAnsi"/>
          <w:lang w:eastAsia="en-US"/>
        </w:rPr>
        <w:t>ıyor olmasıdır. Bu</w:t>
      </w:r>
      <w:r w:rsidR="00582B98" w:rsidRPr="00642F60">
        <w:rPr>
          <w:rFonts w:eastAsiaTheme="minorHAnsi"/>
          <w:lang w:eastAsia="en-US"/>
        </w:rPr>
        <w:t xml:space="preserve"> </w:t>
      </w:r>
      <w:r w:rsidR="006C18AE" w:rsidRPr="00642F60">
        <w:rPr>
          <w:rFonts w:eastAsiaTheme="minorHAnsi"/>
          <w:lang w:eastAsia="en-US"/>
        </w:rPr>
        <w:t>açıklamayı</w:t>
      </w:r>
      <w:r w:rsidR="005C3994" w:rsidRPr="00642F60">
        <w:rPr>
          <w:rFonts w:eastAsiaTheme="minorHAnsi"/>
          <w:lang w:eastAsia="en-US"/>
        </w:rPr>
        <w:t xml:space="preserve"> detaylı incelemek ve </w:t>
      </w:r>
      <w:r w:rsidR="006C18AE" w:rsidRPr="00642F60">
        <w:rPr>
          <w:rFonts w:eastAsiaTheme="minorHAnsi"/>
          <w:lang w:eastAsia="en-US"/>
        </w:rPr>
        <w:t xml:space="preserve">doğrulamak (ya da </w:t>
      </w:r>
      <w:proofErr w:type="spellStart"/>
      <w:r w:rsidR="006C18AE" w:rsidRPr="00642F60">
        <w:rPr>
          <w:rFonts w:eastAsiaTheme="minorHAnsi"/>
          <w:lang w:eastAsia="en-US"/>
        </w:rPr>
        <w:t>yanlışlamak</w:t>
      </w:r>
      <w:proofErr w:type="spellEnd"/>
      <w:r w:rsidR="006C18AE" w:rsidRPr="00642F60">
        <w:rPr>
          <w:rFonts w:eastAsiaTheme="minorHAnsi"/>
          <w:lang w:eastAsia="en-US"/>
        </w:rPr>
        <w:t>) b</w:t>
      </w:r>
      <w:r w:rsidR="00582B98" w:rsidRPr="00642F60">
        <w:rPr>
          <w:rFonts w:eastAsiaTheme="minorHAnsi"/>
          <w:lang w:eastAsia="en-US"/>
        </w:rPr>
        <w:t xml:space="preserve">u araştırma notunun kapsamı dışında kalmaktadır. </w:t>
      </w:r>
      <w:r w:rsidR="00B13325" w:rsidRPr="00642F60">
        <w:rPr>
          <w:rFonts w:eastAsiaTheme="minorHAnsi"/>
          <w:lang w:eastAsia="en-US"/>
        </w:rPr>
        <w:t>Bununla birlikte, eğitim düzeyi ile kayıtlılık arasında güçlü bir bağın varlığı dikkate alındığında bu gözlemin şaşırtıcı olmadığı söylenebilir.</w:t>
      </w:r>
    </w:p>
    <w:p w:rsidR="00AF7A9E" w:rsidRPr="00703BF2" w:rsidRDefault="00B13325" w:rsidP="00AF7A9E">
      <w:pPr>
        <w:rPr>
          <w:rFonts w:eastAsiaTheme="minorHAnsi"/>
          <w:lang w:eastAsia="en-US"/>
        </w:rPr>
      </w:pPr>
      <w:proofErr w:type="spellStart"/>
      <w:r w:rsidRPr="00791661">
        <w:rPr>
          <w:rFonts w:eastAsiaTheme="minorHAnsi"/>
          <w:lang w:eastAsia="en-US"/>
        </w:rPr>
        <w:t>E</w:t>
      </w:r>
      <w:r w:rsidR="003D21F6" w:rsidRPr="00791661">
        <w:rPr>
          <w:rFonts w:eastAsiaTheme="minorHAnsi"/>
          <w:lang w:eastAsia="en-US"/>
        </w:rPr>
        <w:t>konometrik</w:t>
      </w:r>
      <w:proofErr w:type="spellEnd"/>
      <w:r w:rsidR="003D21F6" w:rsidRPr="00791661">
        <w:rPr>
          <w:rFonts w:eastAsiaTheme="minorHAnsi"/>
          <w:lang w:eastAsia="en-US"/>
        </w:rPr>
        <w:t xml:space="preserve"> analiz ile ilgili</w:t>
      </w:r>
      <w:r w:rsidR="00FF47F4" w:rsidRPr="00791661">
        <w:rPr>
          <w:rFonts w:eastAsiaTheme="minorHAnsi"/>
          <w:lang w:eastAsia="en-US"/>
        </w:rPr>
        <w:t xml:space="preserve"> diğer </w:t>
      </w:r>
      <w:r w:rsidR="003D21F6" w:rsidRPr="00791661">
        <w:rPr>
          <w:rFonts w:eastAsiaTheme="minorHAnsi"/>
          <w:lang w:eastAsia="en-US"/>
        </w:rPr>
        <w:t xml:space="preserve">bir </w:t>
      </w:r>
      <w:r w:rsidR="00FF47F4" w:rsidRPr="00791661">
        <w:rPr>
          <w:rFonts w:eastAsiaTheme="minorHAnsi"/>
          <w:lang w:eastAsia="en-US"/>
        </w:rPr>
        <w:t xml:space="preserve">önemli uyarı </w:t>
      </w:r>
      <w:r w:rsidR="00642F60" w:rsidRPr="00791661">
        <w:rPr>
          <w:rFonts w:eastAsiaTheme="minorHAnsi"/>
          <w:lang w:eastAsia="en-US"/>
        </w:rPr>
        <w:t>regresyon</w:t>
      </w:r>
      <w:r w:rsidRPr="00791661">
        <w:rPr>
          <w:rFonts w:eastAsiaTheme="minorHAnsi"/>
          <w:lang w:eastAsia="en-US"/>
        </w:rPr>
        <w:t xml:space="preserve"> </w:t>
      </w:r>
      <w:r w:rsidR="003D21F6" w:rsidRPr="00791661">
        <w:rPr>
          <w:rFonts w:eastAsiaTheme="minorHAnsi"/>
          <w:lang w:eastAsia="en-US"/>
        </w:rPr>
        <w:t>analizlerin</w:t>
      </w:r>
      <w:r w:rsidR="00642F60" w:rsidRPr="00791661">
        <w:rPr>
          <w:rFonts w:eastAsiaTheme="minorHAnsi"/>
          <w:lang w:eastAsia="en-US"/>
        </w:rPr>
        <w:t>in</w:t>
      </w:r>
      <w:r w:rsidR="003D21F6" w:rsidRPr="00791661">
        <w:rPr>
          <w:rFonts w:eastAsiaTheme="minorHAnsi"/>
          <w:lang w:eastAsia="en-US"/>
        </w:rPr>
        <w:t xml:space="preserve"> yalnızca ücretli kesimi kapsamasıdır.</w:t>
      </w:r>
      <w:r w:rsidR="00AF7A9E" w:rsidRPr="00791661">
        <w:rPr>
          <w:rFonts w:eastAsiaTheme="minorHAnsi"/>
          <w:lang w:eastAsia="en-US"/>
        </w:rPr>
        <w:t xml:space="preserve"> </w:t>
      </w:r>
      <w:r w:rsidR="004736AB" w:rsidRPr="00791661">
        <w:rPr>
          <w:rFonts w:eastAsiaTheme="minorHAnsi"/>
          <w:lang w:eastAsia="en-US"/>
        </w:rPr>
        <w:t xml:space="preserve">Konu ile ilgili ilk iki betimleyici </w:t>
      </w:r>
      <w:r w:rsidR="00B73142" w:rsidRPr="00791661">
        <w:rPr>
          <w:rFonts w:eastAsiaTheme="minorHAnsi"/>
          <w:lang w:eastAsia="en-US"/>
        </w:rPr>
        <w:t>araştırma notumuzda</w:t>
      </w:r>
      <w:r w:rsidR="004736AB" w:rsidRPr="00791661">
        <w:rPr>
          <w:rFonts w:eastAsiaTheme="minorHAnsi"/>
          <w:lang w:eastAsia="en-US"/>
        </w:rPr>
        <w:t xml:space="preserve"> tüm çalışanlar verisi</w:t>
      </w:r>
      <w:r w:rsidR="00B73142" w:rsidRPr="00791661">
        <w:rPr>
          <w:rFonts w:eastAsiaTheme="minorHAnsi"/>
          <w:lang w:eastAsia="en-US"/>
        </w:rPr>
        <w:t xml:space="preserve">ni kullanmış </w:t>
      </w:r>
      <w:r w:rsidR="004736AB" w:rsidRPr="00791661">
        <w:rPr>
          <w:rFonts w:eastAsiaTheme="minorHAnsi"/>
          <w:lang w:eastAsia="en-US"/>
        </w:rPr>
        <w:t xml:space="preserve">ve asgari </w:t>
      </w:r>
      <w:r w:rsidR="004736AB" w:rsidRPr="00791661">
        <w:rPr>
          <w:szCs w:val="22"/>
          <w:lang w:eastAsia="tr-TR"/>
        </w:rPr>
        <w:t xml:space="preserve">ücret artışının kayıt dışı çalışmaya olan etkisinin </w:t>
      </w:r>
      <w:r w:rsidR="004736AB" w:rsidRPr="00791661">
        <w:rPr>
          <w:rFonts w:eastAsiaTheme="minorHAnsi"/>
          <w:lang w:eastAsia="en-US"/>
        </w:rPr>
        <w:t xml:space="preserve">ücretli olmayan kesim için daha güçlü olduğunu tespit etmiştik. </w:t>
      </w:r>
      <w:r w:rsidR="00AF7A9E" w:rsidRPr="00791661">
        <w:rPr>
          <w:rFonts w:eastAsiaTheme="minorHAnsi"/>
          <w:lang w:eastAsia="en-US"/>
        </w:rPr>
        <w:t xml:space="preserve">Tüm çalışanlar için </w:t>
      </w:r>
      <w:r w:rsidR="004736AB" w:rsidRPr="00791661">
        <w:rPr>
          <w:rFonts w:eastAsiaTheme="minorHAnsi"/>
          <w:lang w:eastAsia="en-US"/>
        </w:rPr>
        <w:t>bu nottaki</w:t>
      </w:r>
      <w:r w:rsidR="00AF7A9E" w:rsidRPr="00791661">
        <w:rPr>
          <w:rFonts w:eastAsiaTheme="minorHAnsi"/>
          <w:lang w:eastAsia="en-US"/>
        </w:rPr>
        <w:t xml:space="preserve"> </w:t>
      </w:r>
      <w:r w:rsidR="00C624CD" w:rsidRPr="00791661">
        <w:rPr>
          <w:rFonts w:eastAsiaTheme="minorHAnsi"/>
          <w:lang w:eastAsia="en-US"/>
        </w:rPr>
        <w:t xml:space="preserve">regresyon </w:t>
      </w:r>
      <w:r w:rsidR="00AF7A9E" w:rsidRPr="00791661">
        <w:rPr>
          <w:rFonts w:eastAsiaTheme="minorHAnsi"/>
          <w:lang w:eastAsia="en-US"/>
        </w:rPr>
        <w:t>analiz</w:t>
      </w:r>
      <w:r w:rsidR="00C624CD" w:rsidRPr="00791661">
        <w:rPr>
          <w:rFonts w:eastAsiaTheme="minorHAnsi"/>
          <w:lang w:eastAsia="en-US"/>
        </w:rPr>
        <w:t>i</w:t>
      </w:r>
      <w:r w:rsidR="004736AB" w:rsidRPr="00791661">
        <w:rPr>
          <w:rFonts w:eastAsiaTheme="minorHAnsi"/>
          <w:lang w:eastAsia="en-US"/>
        </w:rPr>
        <w:t>ni</w:t>
      </w:r>
      <w:r w:rsidR="00AF7A9E" w:rsidRPr="00791661">
        <w:rPr>
          <w:rFonts w:eastAsiaTheme="minorHAnsi"/>
          <w:lang w:eastAsia="en-US"/>
        </w:rPr>
        <w:t xml:space="preserve"> yapmak mümkün olmakla birlikte</w:t>
      </w:r>
      <w:r w:rsidR="004736AB" w:rsidRPr="00791661">
        <w:rPr>
          <w:rFonts w:eastAsiaTheme="minorHAnsi"/>
          <w:lang w:eastAsia="en-US"/>
        </w:rPr>
        <w:t>,</w:t>
      </w:r>
      <w:r w:rsidR="00AF7A9E" w:rsidRPr="00791661">
        <w:rPr>
          <w:rFonts w:eastAsiaTheme="minorHAnsi"/>
          <w:lang w:eastAsia="en-US"/>
        </w:rPr>
        <w:t xml:space="preserve"> </w:t>
      </w:r>
      <w:r w:rsidR="00C25128" w:rsidRPr="00791661">
        <w:rPr>
          <w:rFonts w:eastAsiaTheme="minorHAnsi"/>
          <w:lang w:eastAsia="en-US"/>
        </w:rPr>
        <w:t xml:space="preserve">piyasa ilişkilerine tabi olması itibarı </w:t>
      </w:r>
      <w:proofErr w:type="gramStart"/>
      <w:r w:rsidR="00C25128" w:rsidRPr="00791661">
        <w:rPr>
          <w:rFonts w:eastAsiaTheme="minorHAnsi"/>
          <w:lang w:eastAsia="en-US"/>
        </w:rPr>
        <w:t>ile</w:t>
      </w:r>
      <w:r w:rsidR="004736AB" w:rsidRPr="00791661">
        <w:rPr>
          <w:rFonts w:eastAsiaTheme="minorHAnsi"/>
          <w:lang w:eastAsia="en-US"/>
        </w:rPr>
        <w:t>,</w:t>
      </w:r>
      <w:proofErr w:type="gramEnd"/>
      <w:r w:rsidR="00C25128" w:rsidRPr="00791661">
        <w:rPr>
          <w:rFonts w:eastAsiaTheme="minorHAnsi"/>
          <w:lang w:eastAsia="en-US"/>
        </w:rPr>
        <w:t xml:space="preserve"> asgari ücret artışının kayıt dışı çalışmaya olan etkilerini </w:t>
      </w:r>
      <w:r w:rsidR="004736AB" w:rsidRPr="00791661">
        <w:rPr>
          <w:rFonts w:eastAsiaTheme="minorHAnsi"/>
          <w:lang w:eastAsia="en-US"/>
        </w:rPr>
        <w:t xml:space="preserve">sadece ücretli çalışanlar özelinde </w:t>
      </w:r>
      <w:r w:rsidR="00B73142" w:rsidRPr="00791661">
        <w:rPr>
          <w:rFonts w:eastAsiaTheme="minorHAnsi"/>
          <w:lang w:eastAsia="en-US"/>
        </w:rPr>
        <w:t xml:space="preserve">incelemeyi </w:t>
      </w:r>
      <w:r w:rsidR="00C25128" w:rsidRPr="00791661">
        <w:rPr>
          <w:rFonts w:eastAsiaTheme="minorHAnsi"/>
          <w:lang w:eastAsia="en-US"/>
        </w:rPr>
        <w:t>tercih e</w:t>
      </w:r>
      <w:r w:rsidR="004736AB" w:rsidRPr="00791661">
        <w:rPr>
          <w:rFonts w:eastAsiaTheme="minorHAnsi"/>
          <w:lang w:eastAsia="en-US"/>
        </w:rPr>
        <w:t>diyoruz</w:t>
      </w:r>
      <w:r w:rsidR="00703BF2" w:rsidRPr="00791661">
        <w:rPr>
          <w:rFonts w:eastAsiaTheme="minorHAnsi"/>
          <w:lang w:eastAsia="en-US"/>
        </w:rPr>
        <w:t>.</w:t>
      </w:r>
      <w:r w:rsidR="00C624CD">
        <w:rPr>
          <w:rFonts w:eastAsiaTheme="minorHAnsi"/>
          <w:lang w:eastAsia="en-US"/>
        </w:rPr>
        <w:t xml:space="preserve"> </w:t>
      </w:r>
    </w:p>
    <w:p w:rsidR="0050612D" w:rsidRPr="00937392" w:rsidRDefault="00C806A7" w:rsidP="00E70CEB">
      <w:pPr>
        <w:rPr>
          <w:rFonts w:eastAsiaTheme="minorHAnsi"/>
          <w:lang w:eastAsia="en-US"/>
        </w:rPr>
      </w:pPr>
      <w:r w:rsidRPr="00703BF2">
        <w:rPr>
          <w:rFonts w:eastAsiaTheme="minorHAnsi"/>
          <w:lang w:eastAsia="en-US"/>
        </w:rPr>
        <w:t>Ç</w:t>
      </w:r>
      <w:r w:rsidR="00A033A9" w:rsidRPr="00703BF2">
        <w:rPr>
          <w:rFonts w:eastAsiaTheme="minorHAnsi"/>
          <w:lang w:eastAsia="en-US"/>
        </w:rPr>
        <w:t xml:space="preserve">eyreklik </w:t>
      </w:r>
      <w:r w:rsidRPr="00703BF2">
        <w:rPr>
          <w:rFonts w:eastAsiaTheme="minorHAnsi"/>
          <w:lang w:eastAsia="en-US"/>
        </w:rPr>
        <w:t xml:space="preserve">HİA </w:t>
      </w:r>
      <w:r w:rsidR="00A033A9" w:rsidRPr="00703BF2">
        <w:rPr>
          <w:rFonts w:eastAsiaTheme="minorHAnsi"/>
          <w:lang w:eastAsia="en-US"/>
        </w:rPr>
        <w:t>veriler</w:t>
      </w:r>
      <w:r w:rsidRPr="00703BF2">
        <w:rPr>
          <w:rFonts w:eastAsiaTheme="minorHAnsi"/>
          <w:lang w:eastAsia="en-US"/>
        </w:rPr>
        <w:t>ini</w:t>
      </w:r>
      <w:r w:rsidR="00A033A9" w:rsidRPr="00703BF2">
        <w:rPr>
          <w:rFonts w:eastAsiaTheme="minorHAnsi"/>
          <w:lang w:eastAsia="en-US"/>
        </w:rPr>
        <w:t xml:space="preserve"> kullanarak yaptığımız analizlerin yıllık </w:t>
      </w:r>
      <w:r w:rsidRPr="00703BF2">
        <w:rPr>
          <w:rFonts w:eastAsiaTheme="minorHAnsi"/>
          <w:lang w:eastAsia="en-US"/>
        </w:rPr>
        <w:t xml:space="preserve">HİA </w:t>
      </w:r>
      <w:r w:rsidR="00A033A9" w:rsidRPr="00703BF2">
        <w:rPr>
          <w:rFonts w:eastAsiaTheme="minorHAnsi"/>
          <w:lang w:eastAsia="en-US"/>
        </w:rPr>
        <w:t>veriler</w:t>
      </w:r>
      <w:r w:rsidRPr="00703BF2">
        <w:rPr>
          <w:rFonts w:eastAsiaTheme="minorHAnsi"/>
          <w:lang w:eastAsia="en-US"/>
        </w:rPr>
        <w:t>in</w:t>
      </w:r>
      <w:r w:rsidR="00A033A9" w:rsidRPr="00703BF2">
        <w:rPr>
          <w:rFonts w:eastAsiaTheme="minorHAnsi"/>
          <w:lang w:eastAsia="en-US"/>
        </w:rPr>
        <w:t xml:space="preserve">e kıyasla daha güvenilir olduklarından bahsetmiştik. </w:t>
      </w:r>
      <w:r w:rsidR="00703BF2" w:rsidRPr="00703BF2">
        <w:rPr>
          <w:rFonts w:eastAsiaTheme="minorHAnsi"/>
          <w:lang w:eastAsia="en-US"/>
        </w:rPr>
        <w:t>Ne ki</w:t>
      </w:r>
      <w:r w:rsidR="007D6AC4" w:rsidRPr="00703BF2">
        <w:rPr>
          <w:rFonts w:eastAsiaTheme="minorHAnsi"/>
          <w:lang w:eastAsia="en-US"/>
        </w:rPr>
        <w:t xml:space="preserve"> çeyreklik veriler</w:t>
      </w:r>
      <w:r w:rsidRPr="00703BF2">
        <w:rPr>
          <w:rFonts w:eastAsiaTheme="minorHAnsi"/>
          <w:lang w:eastAsia="en-US"/>
        </w:rPr>
        <w:t>de</w:t>
      </w:r>
      <w:r w:rsidR="007D6AC4" w:rsidRPr="00703BF2">
        <w:rPr>
          <w:rFonts w:eastAsiaTheme="minorHAnsi"/>
          <w:lang w:eastAsia="en-US"/>
        </w:rPr>
        <w:t xml:space="preserve"> </w:t>
      </w:r>
      <w:r w:rsidR="00560AB5" w:rsidRPr="00703BF2">
        <w:rPr>
          <w:rFonts w:eastAsiaTheme="minorHAnsi"/>
          <w:lang w:eastAsia="en-US"/>
        </w:rPr>
        <w:t>yalnızca 18 sektör</w:t>
      </w:r>
      <w:r w:rsidR="00C25128" w:rsidRPr="00703BF2">
        <w:rPr>
          <w:rFonts w:eastAsiaTheme="minorHAnsi"/>
          <w:lang w:eastAsia="en-US"/>
        </w:rPr>
        <w:t xml:space="preserve"> bilgisi</w:t>
      </w:r>
      <w:r w:rsidR="00560AB5" w:rsidRPr="00703BF2">
        <w:rPr>
          <w:rFonts w:eastAsiaTheme="minorHAnsi"/>
          <w:lang w:eastAsia="en-US"/>
        </w:rPr>
        <w:t xml:space="preserve"> mevcut olup </w:t>
      </w:r>
      <w:r w:rsidRPr="00703BF2">
        <w:rPr>
          <w:rFonts w:eastAsiaTheme="minorHAnsi"/>
          <w:lang w:eastAsia="en-US"/>
        </w:rPr>
        <w:t xml:space="preserve">NUTS 1 veya NUTS 2 düzeyinde </w:t>
      </w:r>
      <w:r w:rsidR="00560AB5" w:rsidRPr="00703BF2">
        <w:rPr>
          <w:rFonts w:eastAsiaTheme="minorHAnsi"/>
          <w:lang w:eastAsia="en-US"/>
        </w:rPr>
        <w:t xml:space="preserve">bölge bilgisi </w:t>
      </w:r>
      <w:r w:rsidRPr="00703BF2">
        <w:rPr>
          <w:rFonts w:eastAsiaTheme="minorHAnsi"/>
          <w:lang w:eastAsia="en-US"/>
        </w:rPr>
        <w:t>yer almamaktadır.</w:t>
      </w:r>
      <w:r w:rsidR="00560AB5" w:rsidRPr="00703BF2">
        <w:rPr>
          <w:rFonts w:eastAsiaTheme="minorHAnsi"/>
          <w:lang w:eastAsia="en-US"/>
        </w:rPr>
        <w:t xml:space="preserve"> </w:t>
      </w:r>
      <w:r w:rsidRPr="00703BF2">
        <w:rPr>
          <w:rFonts w:eastAsiaTheme="minorHAnsi"/>
          <w:lang w:eastAsia="en-US"/>
        </w:rPr>
        <w:t xml:space="preserve">Daha fazla </w:t>
      </w:r>
      <w:r w:rsidRPr="00642F60">
        <w:rPr>
          <w:rFonts w:eastAsiaTheme="minorHAnsi"/>
          <w:lang w:eastAsia="en-US"/>
        </w:rPr>
        <w:t xml:space="preserve">sektör (mesela iki dijit, 88 sektör) </w:t>
      </w:r>
      <w:proofErr w:type="spellStart"/>
      <w:r w:rsidRPr="00642F60">
        <w:rPr>
          <w:rFonts w:eastAsiaTheme="minorHAnsi"/>
          <w:lang w:eastAsia="en-US"/>
        </w:rPr>
        <w:t>kırılımı</w:t>
      </w:r>
      <w:proofErr w:type="spellEnd"/>
      <w:r w:rsidRPr="00642F60">
        <w:rPr>
          <w:rFonts w:eastAsiaTheme="minorHAnsi"/>
          <w:lang w:eastAsia="en-US"/>
        </w:rPr>
        <w:t xml:space="preserve"> ve bölge bilgisi ile tekrarlanacak bir analizin daha</w:t>
      </w:r>
      <w:r w:rsidR="00703BF2" w:rsidRPr="00642F60">
        <w:rPr>
          <w:rFonts w:eastAsiaTheme="minorHAnsi"/>
          <w:lang w:eastAsia="en-US"/>
        </w:rPr>
        <w:t xml:space="preserve"> öğretici olacağına</w:t>
      </w:r>
      <w:r w:rsidRPr="00642F60">
        <w:rPr>
          <w:rFonts w:eastAsiaTheme="minorHAnsi"/>
          <w:lang w:eastAsia="en-US"/>
        </w:rPr>
        <w:t xml:space="preserve"> şüphe yoktur</w:t>
      </w:r>
      <w:r w:rsidRPr="00703BF2">
        <w:rPr>
          <w:rFonts w:eastAsiaTheme="minorHAnsi"/>
          <w:lang w:eastAsia="en-US"/>
        </w:rPr>
        <w:t xml:space="preserve">. </w:t>
      </w:r>
    </w:p>
    <w:p w:rsidR="00EB7D96" w:rsidRPr="003E4AD5" w:rsidRDefault="008E4C8B" w:rsidP="00E70CEB">
      <w:pPr>
        <w:rPr>
          <w:strike/>
          <w:szCs w:val="22"/>
          <w:lang w:eastAsia="tr-TR"/>
        </w:rPr>
      </w:pPr>
      <w:r w:rsidRPr="00937392">
        <w:rPr>
          <w:szCs w:val="22"/>
          <w:lang w:eastAsia="tr-TR"/>
        </w:rPr>
        <w:lastRenderedPageBreak/>
        <w:t>Konu ile ilgili yayınladığımız üç araştırma notu</w:t>
      </w:r>
      <w:r w:rsidR="006F00AC" w:rsidRPr="00937392">
        <w:rPr>
          <w:szCs w:val="22"/>
          <w:lang w:eastAsia="tr-TR"/>
        </w:rPr>
        <w:t>nun</w:t>
      </w:r>
      <w:r w:rsidR="00B402A9" w:rsidRPr="00937392">
        <w:rPr>
          <w:szCs w:val="22"/>
          <w:lang w:eastAsia="tr-TR"/>
        </w:rPr>
        <w:t xml:space="preserve"> (Araştırma Notu </w:t>
      </w:r>
      <w:r w:rsidR="00B402A9" w:rsidRPr="00FF1825">
        <w:rPr>
          <w:szCs w:val="22"/>
          <w:lang w:eastAsia="tr-TR"/>
        </w:rPr>
        <w:t>18/220, 18/222 ve 18/2</w:t>
      </w:r>
      <w:r w:rsidR="008F0D7F" w:rsidRPr="00FF1825">
        <w:rPr>
          <w:szCs w:val="22"/>
          <w:lang w:eastAsia="tr-TR"/>
        </w:rPr>
        <w:t>3</w:t>
      </w:r>
      <w:r w:rsidR="00E879B9">
        <w:rPr>
          <w:szCs w:val="22"/>
          <w:lang w:eastAsia="tr-TR"/>
        </w:rPr>
        <w:t>1</w:t>
      </w:r>
      <w:r w:rsidR="00B402A9" w:rsidRPr="00FF1825">
        <w:rPr>
          <w:szCs w:val="22"/>
          <w:lang w:eastAsia="tr-TR"/>
        </w:rPr>
        <w:t>)</w:t>
      </w:r>
      <w:r w:rsidR="00937392" w:rsidRPr="00FF1825">
        <w:rPr>
          <w:szCs w:val="22"/>
          <w:lang w:eastAsia="tr-TR"/>
        </w:rPr>
        <w:t xml:space="preserve"> </w:t>
      </w:r>
      <w:r w:rsidR="006F00AC" w:rsidRPr="00937392">
        <w:rPr>
          <w:szCs w:val="22"/>
          <w:lang w:eastAsia="tr-TR"/>
        </w:rPr>
        <w:t>ortak bulgusu</w:t>
      </w:r>
      <w:r w:rsidRPr="00937392">
        <w:rPr>
          <w:szCs w:val="22"/>
          <w:lang w:eastAsia="tr-TR"/>
        </w:rPr>
        <w:t xml:space="preserve"> asgari ücret artışının kayıt dışı istihdamı olumsuz etkilediği</w:t>
      </w:r>
      <w:r w:rsidR="0022243E" w:rsidRPr="00937392">
        <w:rPr>
          <w:szCs w:val="22"/>
          <w:lang w:eastAsia="tr-TR"/>
        </w:rPr>
        <w:t xml:space="preserve"> yönündedir. Toplumsal refah için şüphesiz bu arzulanır bir durum değildir. Bununla birlikte </w:t>
      </w:r>
      <w:r w:rsidR="00DA2AFD" w:rsidRPr="00937392">
        <w:rPr>
          <w:szCs w:val="22"/>
          <w:lang w:eastAsia="tr-TR"/>
        </w:rPr>
        <w:t>a</w:t>
      </w:r>
      <w:r w:rsidR="00227C1E" w:rsidRPr="00937392">
        <w:rPr>
          <w:szCs w:val="22"/>
          <w:lang w:eastAsia="tr-TR"/>
        </w:rPr>
        <w:t xml:space="preserve">sgari ücret artışının </w:t>
      </w:r>
      <w:r w:rsidR="0022243E" w:rsidRPr="00937392">
        <w:rPr>
          <w:szCs w:val="22"/>
          <w:lang w:eastAsia="tr-TR"/>
        </w:rPr>
        <w:t xml:space="preserve">gelir dağılımını düzeltme, yoksullukla mücadele, eğitim yatırımlarını artırma gibi toplumsal refah açısından önemli katkıları da vardır. </w:t>
      </w:r>
      <w:proofErr w:type="spellStart"/>
      <w:r w:rsidR="0022243E" w:rsidRPr="00937392">
        <w:rPr>
          <w:szCs w:val="22"/>
          <w:lang w:eastAsia="tr-TR"/>
        </w:rPr>
        <w:t>Betam'ın</w:t>
      </w:r>
      <w:proofErr w:type="spellEnd"/>
      <w:r w:rsidR="0022243E" w:rsidRPr="00937392">
        <w:rPr>
          <w:szCs w:val="22"/>
          <w:lang w:eastAsia="tr-TR"/>
        </w:rPr>
        <w:t xml:space="preserve"> söz konusu araştırma notları sadece ilk gruptaki olumsuz </w:t>
      </w:r>
      <w:r w:rsidR="0022243E" w:rsidRPr="001724E1">
        <w:rPr>
          <w:szCs w:val="22"/>
          <w:lang w:eastAsia="tr-TR"/>
        </w:rPr>
        <w:t>etkilere odaklan</w:t>
      </w:r>
      <w:r w:rsidR="00937392" w:rsidRPr="001724E1">
        <w:rPr>
          <w:szCs w:val="22"/>
          <w:lang w:eastAsia="tr-TR"/>
        </w:rPr>
        <w:t>maktadır</w:t>
      </w:r>
      <w:r w:rsidR="0022243E" w:rsidRPr="001724E1">
        <w:rPr>
          <w:szCs w:val="22"/>
          <w:lang w:eastAsia="tr-TR"/>
        </w:rPr>
        <w:t xml:space="preserve">. Bu </w:t>
      </w:r>
      <w:r w:rsidR="00937392" w:rsidRPr="001724E1">
        <w:rPr>
          <w:szCs w:val="22"/>
          <w:lang w:eastAsia="tr-TR"/>
        </w:rPr>
        <w:t xml:space="preserve">tercihin </w:t>
      </w:r>
      <w:r w:rsidR="00BD5A66" w:rsidRPr="001724E1">
        <w:rPr>
          <w:szCs w:val="22"/>
          <w:lang w:eastAsia="tr-TR"/>
        </w:rPr>
        <w:t>yegâne</w:t>
      </w:r>
      <w:r w:rsidR="00937392" w:rsidRPr="001724E1">
        <w:rPr>
          <w:szCs w:val="22"/>
          <w:lang w:eastAsia="tr-TR"/>
        </w:rPr>
        <w:t xml:space="preserve"> nedeni, mevcut verilerin asgari ücret artışı-kayıt dışılık bağlantısını </w:t>
      </w:r>
      <w:r w:rsidR="00642F60" w:rsidRPr="001724E1">
        <w:rPr>
          <w:szCs w:val="22"/>
          <w:lang w:eastAsia="tr-TR"/>
        </w:rPr>
        <w:t xml:space="preserve">sınamaya </w:t>
      </w:r>
      <w:r w:rsidR="00937392" w:rsidRPr="001724E1">
        <w:rPr>
          <w:szCs w:val="22"/>
          <w:lang w:eastAsia="tr-TR"/>
        </w:rPr>
        <w:t xml:space="preserve">izin vermesidir. </w:t>
      </w:r>
      <w:r w:rsidR="003E4AD5" w:rsidRPr="001724E1">
        <w:rPr>
          <w:szCs w:val="22"/>
          <w:lang w:eastAsia="tr-TR"/>
        </w:rPr>
        <w:t>Yapılan tercih asgari ücret artışının orta ve uzun vadede ortaya çıkartacağı olumlu etkilerin önemsiz ya da araştırılmaya değer olmadığı anlamına gelmemektedir.</w:t>
      </w:r>
      <w:r w:rsidR="003E4AD5">
        <w:rPr>
          <w:szCs w:val="22"/>
          <w:lang w:eastAsia="tr-TR"/>
        </w:rPr>
        <w:t xml:space="preserve"> </w:t>
      </w:r>
      <w:r w:rsidR="0022243E" w:rsidRPr="003E4AD5">
        <w:rPr>
          <w:strike/>
          <w:szCs w:val="22"/>
          <w:lang w:eastAsia="tr-TR"/>
        </w:rPr>
        <w:t xml:space="preserve"> </w:t>
      </w:r>
    </w:p>
    <w:p w:rsidR="00AB1611" w:rsidRPr="006A5426" w:rsidRDefault="00AB1611" w:rsidP="00E70CEB">
      <w:pPr>
        <w:rPr>
          <w:b/>
          <w:sz w:val="26"/>
          <w:szCs w:val="26"/>
          <w:lang w:eastAsia="tr-TR"/>
        </w:rPr>
      </w:pPr>
      <w:r w:rsidRPr="006A5426">
        <w:rPr>
          <w:b/>
          <w:sz w:val="26"/>
          <w:szCs w:val="26"/>
          <w:lang w:eastAsia="tr-TR"/>
        </w:rPr>
        <w:t>Kaynaklar:</w:t>
      </w:r>
    </w:p>
    <w:p w:rsidR="00700EF5" w:rsidRDefault="00AB1611" w:rsidP="00AB1611">
      <w:pPr>
        <w:rPr>
          <w:szCs w:val="22"/>
          <w:lang w:eastAsia="tr-TR"/>
        </w:rPr>
      </w:pPr>
      <w:r>
        <w:rPr>
          <w:szCs w:val="22"/>
          <w:lang w:eastAsia="tr-TR"/>
        </w:rPr>
        <w:t xml:space="preserve">Tunalı, İ. (2009). </w:t>
      </w:r>
      <w:r w:rsidRPr="00AB1611">
        <w:rPr>
          <w:szCs w:val="22"/>
          <w:lang w:eastAsia="tr-TR"/>
        </w:rPr>
        <w:t xml:space="preserve">TÜİK </w:t>
      </w:r>
      <w:proofErr w:type="spellStart"/>
      <w:r w:rsidRPr="00AB1611">
        <w:rPr>
          <w:szCs w:val="22"/>
          <w:lang w:eastAsia="tr-TR"/>
        </w:rPr>
        <w:t>Hanehalkı</w:t>
      </w:r>
      <w:proofErr w:type="spellEnd"/>
      <w:r w:rsidRPr="00AB1611">
        <w:rPr>
          <w:szCs w:val="22"/>
          <w:lang w:eastAsia="tr-TR"/>
        </w:rPr>
        <w:t xml:space="preserve"> İşgücü Anketlerinde 2000-2002 dönemi </w:t>
      </w:r>
      <w:proofErr w:type="spellStart"/>
      <w:r w:rsidRPr="00AB1611">
        <w:rPr>
          <w:szCs w:val="22"/>
          <w:lang w:eastAsia="tr-TR"/>
        </w:rPr>
        <w:t>k</w:t>
      </w:r>
      <w:r>
        <w:rPr>
          <w:szCs w:val="22"/>
          <w:lang w:eastAsia="tr-TR"/>
        </w:rPr>
        <w:t>ayıpranma</w:t>
      </w:r>
      <w:proofErr w:type="spellEnd"/>
      <w:r>
        <w:rPr>
          <w:szCs w:val="22"/>
          <w:lang w:eastAsia="tr-TR"/>
        </w:rPr>
        <w:t xml:space="preserve"> örüntülerinin analizi, ODTÜ Gelişme Dergisi, 36, 217-252.</w:t>
      </w:r>
    </w:p>
    <w:p w:rsidR="00700EF5" w:rsidRPr="00955262" w:rsidRDefault="00955262" w:rsidP="00955262">
      <w:pPr>
        <w:pStyle w:val="Caption"/>
        <w:keepNext/>
        <w:rPr>
          <w:sz w:val="22"/>
        </w:rPr>
      </w:pPr>
      <w:bookmarkStart w:id="1" w:name="_Hlk516058897"/>
      <w:r w:rsidRPr="00955262">
        <w:rPr>
          <w:sz w:val="22"/>
        </w:rPr>
        <w:t>Ek</w:t>
      </w:r>
      <w:r>
        <w:rPr>
          <w:sz w:val="22"/>
        </w:rPr>
        <w:t xml:space="preserve"> Tablo</w:t>
      </w:r>
      <w:r w:rsidRPr="00955262">
        <w:rPr>
          <w:sz w:val="22"/>
        </w:rPr>
        <w:t>: İstihdamdaki</w:t>
      </w:r>
      <w:r w:rsidR="00791661">
        <w:rPr>
          <w:sz w:val="22"/>
        </w:rPr>
        <w:t xml:space="preserve"> ücretli</w:t>
      </w:r>
      <w:r w:rsidRPr="00955262">
        <w:rPr>
          <w:sz w:val="22"/>
        </w:rPr>
        <w:t xml:space="preserve"> kadınların ve erkeklerin eğitim düzeyleri </w:t>
      </w:r>
    </w:p>
    <w:tbl>
      <w:tblPr>
        <w:tblW w:w="7540" w:type="dxa"/>
        <w:tblCellMar>
          <w:left w:w="70" w:type="dxa"/>
          <w:right w:w="70" w:type="dxa"/>
        </w:tblCellMar>
        <w:tblLook w:val="04A0" w:firstRow="1" w:lastRow="0" w:firstColumn="1" w:lastColumn="0" w:noHBand="0" w:noVBand="1"/>
      </w:tblPr>
      <w:tblGrid>
        <w:gridCol w:w="1684"/>
        <w:gridCol w:w="1238"/>
        <w:gridCol w:w="762"/>
        <w:gridCol w:w="992"/>
        <w:gridCol w:w="1008"/>
        <w:gridCol w:w="992"/>
        <w:gridCol w:w="1008"/>
      </w:tblGrid>
      <w:tr w:rsidR="00700EF5" w:rsidRPr="00700EF5" w:rsidTr="00700EF5">
        <w:trPr>
          <w:trHeight w:val="315"/>
        </w:trPr>
        <w:tc>
          <w:tcPr>
            <w:tcW w:w="1540" w:type="dxa"/>
            <w:tcBorders>
              <w:top w:val="nil"/>
              <w:left w:val="nil"/>
              <w:bottom w:val="nil"/>
              <w:right w:val="nil"/>
            </w:tcBorders>
            <w:shd w:val="clear" w:color="auto" w:fill="auto"/>
            <w:noWrap/>
            <w:vAlign w:val="bottom"/>
            <w:hideMark/>
          </w:tcPr>
          <w:p w:rsidR="00700EF5" w:rsidRPr="00700EF5" w:rsidRDefault="00700EF5" w:rsidP="00700EF5">
            <w:pPr>
              <w:suppressAutoHyphens w:val="0"/>
              <w:spacing w:after="0" w:line="240" w:lineRule="auto"/>
              <w:jc w:val="left"/>
              <w:rPr>
                <w:rFonts w:cs="Times New Roman"/>
                <w:szCs w:val="22"/>
                <w:lang w:eastAsia="tr-TR"/>
              </w:rPr>
            </w:pPr>
          </w:p>
        </w:tc>
        <w:tc>
          <w:tcPr>
            <w:tcW w:w="2000" w:type="dxa"/>
            <w:gridSpan w:val="2"/>
            <w:tcBorders>
              <w:top w:val="single" w:sz="8" w:space="0" w:color="auto"/>
              <w:left w:val="single" w:sz="8" w:space="0" w:color="auto"/>
              <w:bottom w:val="nil"/>
              <w:right w:val="single" w:sz="8" w:space="0" w:color="000000"/>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2014</w:t>
            </w:r>
          </w:p>
        </w:tc>
        <w:tc>
          <w:tcPr>
            <w:tcW w:w="2000" w:type="dxa"/>
            <w:gridSpan w:val="2"/>
            <w:tcBorders>
              <w:top w:val="single" w:sz="8" w:space="0" w:color="auto"/>
              <w:left w:val="nil"/>
              <w:bottom w:val="nil"/>
              <w:right w:val="single" w:sz="8" w:space="0" w:color="000000"/>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2015</w:t>
            </w:r>
          </w:p>
        </w:tc>
        <w:tc>
          <w:tcPr>
            <w:tcW w:w="2000" w:type="dxa"/>
            <w:gridSpan w:val="2"/>
            <w:tcBorders>
              <w:top w:val="single" w:sz="8" w:space="0" w:color="auto"/>
              <w:left w:val="nil"/>
              <w:bottom w:val="nil"/>
              <w:right w:val="single" w:sz="8" w:space="0" w:color="000000"/>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2016</w:t>
            </w:r>
          </w:p>
        </w:tc>
      </w:tr>
      <w:tr w:rsidR="00700EF5" w:rsidRPr="00700EF5" w:rsidTr="00700EF5">
        <w:trPr>
          <w:trHeight w:val="315"/>
        </w:trPr>
        <w:tc>
          <w:tcPr>
            <w:tcW w:w="1540" w:type="dxa"/>
            <w:tcBorders>
              <w:top w:val="nil"/>
              <w:left w:val="nil"/>
              <w:bottom w:val="nil"/>
              <w:right w:val="nil"/>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p>
        </w:tc>
        <w:tc>
          <w:tcPr>
            <w:tcW w:w="1238" w:type="dxa"/>
            <w:tcBorders>
              <w:top w:val="single" w:sz="8" w:space="0" w:color="auto"/>
              <w:left w:val="single" w:sz="8" w:space="0" w:color="auto"/>
              <w:bottom w:val="single" w:sz="8" w:space="0" w:color="auto"/>
              <w:right w:val="nil"/>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Erkek</w:t>
            </w:r>
          </w:p>
        </w:tc>
        <w:tc>
          <w:tcPr>
            <w:tcW w:w="762" w:type="dxa"/>
            <w:tcBorders>
              <w:top w:val="single" w:sz="8" w:space="0" w:color="auto"/>
              <w:left w:val="nil"/>
              <w:bottom w:val="single" w:sz="8" w:space="0" w:color="auto"/>
              <w:right w:val="single" w:sz="8" w:space="0" w:color="auto"/>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Kadın</w:t>
            </w:r>
          </w:p>
        </w:tc>
        <w:tc>
          <w:tcPr>
            <w:tcW w:w="992" w:type="dxa"/>
            <w:tcBorders>
              <w:top w:val="single" w:sz="8" w:space="0" w:color="auto"/>
              <w:left w:val="nil"/>
              <w:bottom w:val="single" w:sz="8" w:space="0" w:color="auto"/>
              <w:right w:val="nil"/>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Erkek</w:t>
            </w:r>
          </w:p>
        </w:tc>
        <w:tc>
          <w:tcPr>
            <w:tcW w:w="1008" w:type="dxa"/>
            <w:tcBorders>
              <w:top w:val="single" w:sz="8" w:space="0" w:color="auto"/>
              <w:left w:val="nil"/>
              <w:bottom w:val="single" w:sz="8" w:space="0" w:color="auto"/>
              <w:right w:val="single" w:sz="8" w:space="0" w:color="auto"/>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Kadın</w:t>
            </w:r>
          </w:p>
        </w:tc>
        <w:tc>
          <w:tcPr>
            <w:tcW w:w="992" w:type="dxa"/>
            <w:tcBorders>
              <w:top w:val="single" w:sz="8" w:space="0" w:color="auto"/>
              <w:left w:val="nil"/>
              <w:bottom w:val="single" w:sz="8" w:space="0" w:color="auto"/>
              <w:right w:val="nil"/>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Erkek</w:t>
            </w:r>
          </w:p>
        </w:tc>
        <w:tc>
          <w:tcPr>
            <w:tcW w:w="1008" w:type="dxa"/>
            <w:tcBorders>
              <w:top w:val="single" w:sz="8" w:space="0" w:color="auto"/>
              <w:left w:val="nil"/>
              <w:bottom w:val="single" w:sz="8" w:space="0" w:color="auto"/>
              <w:right w:val="single" w:sz="8" w:space="0" w:color="auto"/>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Kadın</w:t>
            </w:r>
          </w:p>
        </w:tc>
      </w:tr>
      <w:tr w:rsidR="00700EF5" w:rsidRPr="00700EF5" w:rsidTr="00700EF5">
        <w:trPr>
          <w:trHeight w:val="300"/>
        </w:trPr>
        <w:tc>
          <w:tcPr>
            <w:tcW w:w="1540" w:type="dxa"/>
            <w:tcBorders>
              <w:top w:val="single" w:sz="8" w:space="0" w:color="auto"/>
              <w:left w:val="single" w:sz="8" w:space="0" w:color="auto"/>
              <w:bottom w:val="nil"/>
              <w:right w:val="nil"/>
            </w:tcBorders>
            <w:shd w:val="clear" w:color="auto" w:fill="auto"/>
            <w:noWrap/>
            <w:vAlign w:val="bottom"/>
            <w:hideMark/>
          </w:tcPr>
          <w:p w:rsidR="00700EF5" w:rsidRPr="00700EF5" w:rsidRDefault="00700EF5" w:rsidP="00700EF5">
            <w:pPr>
              <w:suppressAutoHyphens w:val="0"/>
              <w:spacing w:after="0" w:line="240" w:lineRule="auto"/>
              <w:jc w:val="left"/>
              <w:rPr>
                <w:rFonts w:cs="Times New Roman"/>
                <w:color w:val="000000"/>
                <w:szCs w:val="22"/>
                <w:lang w:eastAsia="tr-TR"/>
              </w:rPr>
            </w:pPr>
            <w:r w:rsidRPr="00700EF5">
              <w:rPr>
                <w:rFonts w:cs="Times New Roman"/>
                <w:color w:val="000000"/>
                <w:szCs w:val="22"/>
                <w:lang w:eastAsia="tr-TR"/>
              </w:rPr>
              <w:t xml:space="preserve">Lise altı </w:t>
            </w:r>
          </w:p>
        </w:tc>
        <w:tc>
          <w:tcPr>
            <w:tcW w:w="1238" w:type="dxa"/>
            <w:tcBorders>
              <w:top w:val="nil"/>
              <w:left w:val="single" w:sz="8" w:space="0" w:color="auto"/>
              <w:bottom w:val="nil"/>
              <w:right w:val="nil"/>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53.7</w:t>
            </w:r>
          </w:p>
        </w:tc>
        <w:tc>
          <w:tcPr>
            <w:tcW w:w="762" w:type="dxa"/>
            <w:tcBorders>
              <w:top w:val="nil"/>
              <w:left w:val="nil"/>
              <w:bottom w:val="nil"/>
              <w:right w:val="single" w:sz="8" w:space="0" w:color="auto"/>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41.4</w:t>
            </w:r>
          </w:p>
        </w:tc>
        <w:tc>
          <w:tcPr>
            <w:tcW w:w="992" w:type="dxa"/>
            <w:tcBorders>
              <w:top w:val="nil"/>
              <w:left w:val="nil"/>
              <w:bottom w:val="nil"/>
              <w:right w:val="nil"/>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52.5</w:t>
            </w:r>
          </w:p>
        </w:tc>
        <w:tc>
          <w:tcPr>
            <w:tcW w:w="1008" w:type="dxa"/>
            <w:tcBorders>
              <w:top w:val="nil"/>
              <w:left w:val="nil"/>
              <w:bottom w:val="nil"/>
              <w:right w:val="single" w:sz="8" w:space="0" w:color="auto"/>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40.6</w:t>
            </w:r>
          </w:p>
        </w:tc>
        <w:tc>
          <w:tcPr>
            <w:tcW w:w="992" w:type="dxa"/>
            <w:tcBorders>
              <w:top w:val="nil"/>
              <w:left w:val="nil"/>
              <w:bottom w:val="nil"/>
              <w:right w:val="nil"/>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51.5</w:t>
            </w:r>
          </w:p>
        </w:tc>
        <w:tc>
          <w:tcPr>
            <w:tcW w:w="1008" w:type="dxa"/>
            <w:tcBorders>
              <w:top w:val="nil"/>
              <w:left w:val="nil"/>
              <w:bottom w:val="nil"/>
              <w:right w:val="single" w:sz="8" w:space="0" w:color="auto"/>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39.7</w:t>
            </w:r>
          </w:p>
        </w:tc>
      </w:tr>
      <w:tr w:rsidR="00700EF5" w:rsidRPr="00700EF5" w:rsidTr="00700EF5">
        <w:trPr>
          <w:trHeight w:val="300"/>
        </w:trPr>
        <w:tc>
          <w:tcPr>
            <w:tcW w:w="1540" w:type="dxa"/>
            <w:tcBorders>
              <w:top w:val="nil"/>
              <w:left w:val="single" w:sz="8" w:space="0" w:color="auto"/>
              <w:bottom w:val="nil"/>
              <w:right w:val="nil"/>
            </w:tcBorders>
            <w:shd w:val="clear" w:color="auto" w:fill="auto"/>
            <w:noWrap/>
            <w:vAlign w:val="bottom"/>
            <w:hideMark/>
          </w:tcPr>
          <w:p w:rsidR="00700EF5" w:rsidRPr="00700EF5" w:rsidRDefault="00700EF5" w:rsidP="00700EF5">
            <w:pPr>
              <w:suppressAutoHyphens w:val="0"/>
              <w:spacing w:after="0" w:line="240" w:lineRule="auto"/>
              <w:jc w:val="left"/>
              <w:rPr>
                <w:rFonts w:cs="Times New Roman"/>
                <w:color w:val="000000"/>
                <w:szCs w:val="22"/>
                <w:lang w:eastAsia="tr-TR"/>
              </w:rPr>
            </w:pPr>
            <w:r w:rsidRPr="00700EF5">
              <w:rPr>
                <w:rFonts w:cs="Times New Roman"/>
                <w:color w:val="000000"/>
                <w:szCs w:val="22"/>
                <w:lang w:eastAsia="tr-TR"/>
              </w:rPr>
              <w:t>Genel lise</w:t>
            </w:r>
          </w:p>
        </w:tc>
        <w:tc>
          <w:tcPr>
            <w:tcW w:w="1238" w:type="dxa"/>
            <w:tcBorders>
              <w:top w:val="nil"/>
              <w:left w:val="single" w:sz="8" w:space="0" w:color="auto"/>
              <w:bottom w:val="nil"/>
              <w:right w:val="nil"/>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11.5</w:t>
            </w:r>
          </w:p>
        </w:tc>
        <w:tc>
          <w:tcPr>
            <w:tcW w:w="762" w:type="dxa"/>
            <w:tcBorders>
              <w:top w:val="nil"/>
              <w:left w:val="nil"/>
              <w:bottom w:val="nil"/>
              <w:right w:val="single" w:sz="8" w:space="0" w:color="auto"/>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11.2</w:t>
            </w:r>
          </w:p>
        </w:tc>
        <w:tc>
          <w:tcPr>
            <w:tcW w:w="992" w:type="dxa"/>
            <w:tcBorders>
              <w:top w:val="nil"/>
              <w:left w:val="nil"/>
              <w:bottom w:val="nil"/>
              <w:right w:val="nil"/>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11.2</w:t>
            </w:r>
          </w:p>
        </w:tc>
        <w:tc>
          <w:tcPr>
            <w:tcW w:w="1008" w:type="dxa"/>
            <w:tcBorders>
              <w:top w:val="nil"/>
              <w:left w:val="nil"/>
              <w:bottom w:val="nil"/>
              <w:right w:val="single" w:sz="8" w:space="0" w:color="auto"/>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10.3</w:t>
            </w:r>
          </w:p>
        </w:tc>
        <w:tc>
          <w:tcPr>
            <w:tcW w:w="992" w:type="dxa"/>
            <w:tcBorders>
              <w:top w:val="nil"/>
              <w:left w:val="nil"/>
              <w:bottom w:val="nil"/>
              <w:right w:val="nil"/>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11.0</w:t>
            </w:r>
          </w:p>
        </w:tc>
        <w:tc>
          <w:tcPr>
            <w:tcW w:w="1008" w:type="dxa"/>
            <w:tcBorders>
              <w:top w:val="nil"/>
              <w:left w:val="nil"/>
              <w:bottom w:val="nil"/>
              <w:right w:val="single" w:sz="8" w:space="0" w:color="auto"/>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10.0</w:t>
            </w:r>
          </w:p>
        </w:tc>
      </w:tr>
      <w:tr w:rsidR="00700EF5" w:rsidRPr="00700EF5" w:rsidTr="00700EF5">
        <w:trPr>
          <w:trHeight w:val="300"/>
        </w:trPr>
        <w:tc>
          <w:tcPr>
            <w:tcW w:w="1540" w:type="dxa"/>
            <w:tcBorders>
              <w:top w:val="nil"/>
              <w:left w:val="single" w:sz="8" w:space="0" w:color="auto"/>
              <w:bottom w:val="nil"/>
              <w:right w:val="nil"/>
            </w:tcBorders>
            <w:shd w:val="clear" w:color="auto" w:fill="auto"/>
            <w:noWrap/>
            <w:vAlign w:val="bottom"/>
            <w:hideMark/>
          </w:tcPr>
          <w:p w:rsidR="00700EF5" w:rsidRPr="00700EF5" w:rsidRDefault="00700EF5" w:rsidP="00700EF5">
            <w:pPr>
              <w:suppressAutoHyphens w:val="0"/>
              <w:spacing w:after="0" w:line="240" w:lineRule="auto"/>
              <w:jc w:val="left"/>
              <w:rPr>
                <w:rFonts w:cs="Times New Roman"/>
                <w:color w:val="000000"/>
                <w:szCs w:val="22"/>
                <w:lang w:eastAsia="tr-TR"/>
              </w:rPr>
            </w:pPr>
            <w:r w:rsidRPr="00700EF5">
              <w:rPr>
                <w:rFonts w:cs="Times New Roman"/>
                <w:color w:val="000000"/>
                <w:szCs w:val="22"/>
                <w:lang w:eastAsia="tr-TR"/>
              </w:rPr>
              <w:t>Meslek lisesi</w:t>
            </w:r>
          </w:p>
        </w:tc>
        <w:tc>
          <w:tcPr>
            <w:tcW w:w="1238" w:type="dxa"/>
            <w:tcBorders>
              <w:top w:val="nil"/>
              <w:left w:val="single" w:sz="8" w:space="0" w:color="auto"/>
              <w:bottom w:val="nil"/>
              <w:right w:val="nil"/>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12.6</w:t>
            </w:r>
          </w:p>
        </w:tc>
        <w:tc>
          <w:tcPr>
            <w:tcW w:w="762" w:type="dxa"/>
            <w:tcBorders>
              <w:top w:val="nil"/>
              <w:left w:val="nil"/>
              <w:bottom w:val="nil"/>
              <w:right w:val="single" w:sz="8" w:space="0" w:color="auto"/>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9.9</w:t>
            </w:r>
          </w:p>
        </w:tc>
        <w:tc>
          <w:tcPr>
            <w:tcW w:w="992" w:type="dxa"/>
            <w:tcBorders>
              <w:top w:val="nil"/>
              <w:left w:val="nil"/>
              <w:bottom w:val="nil"/>
              <w:right w:val="nil"/>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12.9</w:t>
            </w:r>
          </w:p>
        </w:tc>
        <w:tc>
          <w:tcPr>
            <w:tcW w:w="1008" w:type="dxa"/>
            <w:tcBorders>
              <w:top w:val="nil"/>
              <w:left w:val="nil"/>
              <w:bottom w:val="nil"/>
              <w:right w:val="single" w:sz="8" w:space="0" w:color="auto"/>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10.1</w:t>
            </w:r>
          </w:p>
        </w:tc>
        <w:tc>
          <w:tcPr>
            <w:tcW w:w="992" w:type="dxa"/>
            <w:tcBorders>
              <w:top w:val="nil"/>
              <w:left w:val="nil"/>
              <w:bottom w:val="nil"/>
              <w:right w:val="nil"/>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13.1</w:t>
            </w:r>
          </w:p>
        </w:tc>
        <w:tc>
          <w:tcPr>
            <w:tcW w:w="1008" w:type="dxa"/>
            <w:tcBorders>
              <w:top w:val="nil"/>
              <w:left w:val="nil"/>
              <w:bottom w:val="nil"/>
              <w:right w:val="single" w:sz="8" w:space="0" w:color="auto"/>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9.9</w:t>
            </w:r>
          </w:p>
        </w:tc>
      </w:tr>
      <w:tr w:rsidR="00700EF5" w:rsidRPr="00700EF5" w:rsidTr="00700EF5">
        <w:trPr>
          <w:trHeight w:val="300"/>
        </w:trPr>
        <w:tc>
          <w:tcPr>
            <w:tcW w:w="1540" w:type="dxa"/>
            <w:tcBorders>
              <w:top w:val="nil"/>
              <w:left w:val="single" w:sz="8" w:space="0" w:color="auto"/>
              <w:bottom w:val="nil"/>
              <w:right w:val="nil"/>
            </w:tcBorders>
            <w:shd w:val="clear" w:color="auto" w:fill="auto"/>
            <w:noWrap/>
            <w:vAlign w:val="bottom"/>
            <w:hideMark/>
          </w:tcPr>
          <w:p w:rsidR="00700EF5" w:rsidRPr="00700EF5" w:rsidRDefault="00700EF5" w:rsidP="00700EF5">
            <w:pPr>
              <w:suppressAutoHyphens w:val="0"/>
              <w:spacing w:after="0" w:line="240" w:lineRule="auto"/>
              <w:jc w:val="left"/>
              <w:rPr>
                <w:rFonts w:cs="Times New Roman"/>
                <w:color w:val="000000"/>
                <w:szCs w:val="22"/>
                <w:lang w:eastAsia="tr-TR"/>
              </w:rPr>
            </w:pPr>
            <w:r w:rsidRPr="00700EF5">
              <w:rPr>
                <w:rFonts w:cs="Times New Roman"/>
                <w:color w:val="000000"/>
                <w:szCs w:val="22"/>
                <w:lang w:eastAsia="tr-TR"/>
              </w:rPr>
              <w:t>Yükseköğrenim</w:t>
            </w:r>
          </w:p>
        </w:tc>
        <w:tc>
          <w:tcPr>
            <w:tcW w:w="1238" w:type="dxa"/>
            <w:tcBorders>
              <w:top w:val="nil"/>
              <w:left w:val="single" w:sz="8" w:space="0" w:color="auto"/>
              <w:bottom w:val="nil"/>
              <w:right w:val="nil"/>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22.2</w:t>
            </w:r>
          </w:p>
        </w:tc>
        <w:tc>
          <w:tcPr>
            <w:tcW w:w="762" w:type="dxa"/>
            <w:tcBorders>
              <w:top w:val="nil"/>
              <w:left w:val="nil"/>
              <w:bottom w:val="nil"/>
              <w:right w:val="single" w:sz="8" w:space="0" w:color="auto"/>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37.5</w:t>
            </w:r>
          </w:p>
        </w:tc>
        <w:tc>
          <w:tcPr>
            <w:tcW w:w="992" w:type="dxa"/>
            <w:tcBorders>
              <w:top w:val="nil"/>
              <w:left w:val="nil"/>
              <w:bottom w:val="nil"/>
              <w:right w:val="nil"/>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23.4</w:t>
            </w:r>
          </w:p>
        </w:tc>
        <w:tc>
          <w:tcPr>
            <w:tcW w:w="1008" w:type="dxa"/>
            <w:tcBorders>
              <w:top w:val="nil"/>
              <w:left w:val="nil"/>
              <w:bottom w:val="nil"/>
              <w:right w:val="single" w:sz="8" w:space="0" w:color="auto"/>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39.0</w:t>
            </w:r>
          </w:p>
        </w:tc>
        <w:tc>
          <w:tcPr>
            <w:tcW w:w="992" w:type="dxa"/>
            <w:tcBorders>
              <w:top w:val="nil"/>
              <w:left w:val="nil"/>
              <w:bottom w:val="nil"/>
              <w:right w:val="nil"/>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24.4</w:t>
            </w:r>
          </w:p>
        </w:tc>
        <w:tc>
          <w:tcPr>
            <w:tcW w:w="1008" w:type="dxa"/>
            <w:tcBorders>
              <w:top w:val="nil"/>
              <w:left w:val="nil"/>
              <w:bottom w:val="nil"/>
              <w:right w:val="single" w:sz="8" w:space="0" w:color="auto"/>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40.4</w:t>
            </w:r>
          </w:p>
        </w:tc>
      </w:tr>
      <w:tr w:rsidR="00700EF5" w:rsidRPr="00700EF5" w:rsidTr="00700EF5">
        <w:trPr>
          <w:trHeight w:val="315"/>
        </w:trPr>
        <w:tc>
          <w:tcPr>
            <w:tcW w:w="1540" w:type="dxa"/>
            <w:tcBorders>
              <w:top w:val="nil"/>
              <w:left w:val="single" w:sz="8" w:space="0" w:color="auto"/>
              <w:bottom w:val="single" w:sz="8" w:space="0" w:color="auto"/>
              <w:right w:val="nil"/>
            </w:tcBorders>
            <w:shd w:val="clear" w:color="auto" w:fill="auto"/>
            <w:noWrap/>
            <w:vAlign w:val="bottom"/>
            <w:hideMark/>
          </w:tcPr>
          <w:p w:rsidR="00700EF5" w:rsidRPr="00700EF5" w:rsidRDefault="00700EF5" w:rsidP="00700EF5">
            <w:pPr>
              <w:suppressAutoHyphens w:val="0"/>
              <w:spacing w:after="0" w:line="240" w:lineRule="auto"/>
              <w:jc w:val="left"/>
              <w:rPr>
                <w:rFonts w:cs="Times New Roman"/>
                <w:color w:val="000000"/>
                <w:szCs w:val="22"/>
                <w:lang w:eastAsia="tr-TR"/>
              </w:rPr>
            </w:pPr>
            <w:r w:rsidRPr="00700EF5">
              <w:rPr>
                <w:rFonts w:cs="Times New Roman"/>
                <w:color w:val="000000"/>
                <w:szCs w:val="22"/>
                <w:lang w:eastAsia="tr-TR"/>
              </w:rPr>
              <w:t xml:space="preserve">Toplam </w:t>
            </w:r>
          </w:p>
        </w:tc>
        <w:tc>
          <w:tcPr>
            <w:tcW w:w="1238" w:type="dxa"/>
            <w:tcBorders>
              <w:top w:val="nil"/>
              <w:left w:val="single" w:sz="8" w:space="0" w:color="auto"/>
              <w:bottom w:val="single" w:sz="8" w:space="0" w:color="auto"/>
              <w:right w:val="nil"/>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100</w:t>
            </w:r>
          </w:p>
        </w:tc>
        <w:tc>
          <w:tcPr>
            <w:tcW w:w="762" w:type="dxa"/>
            <w:tcBorders>
              <w:top w:val="nil"/>
              <w:left w:val="nil"/>
              <w:bottom w:val="single" w:sz="8" w:space="0" w:color="auto"/>
              <w:right w:val="single" w:sz="8" w:space="0" w:color="auto"/>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100</w:t>
            </w:r>
          </w:p>
        </w:tc>
        <w:tc>
          <w:tcPr>
            <w:tcW w:w="992" w:type="dxa"/>
            <w:tcBorders>
              <w:top w:val="nil"/>
              <w:left w:val="nil"/>
              <w:bottom w:val="single" w:sz="8" w:space="0" w:color="auto"/>
              <w:right w:val="nil"/>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100</w:t>
            </w:r>
          </w:p>
        </w:tc>
        <w:tc>
          <w:tcPr>
            <w:tcW w:w="1008" w:type="dxa"/>
            <w:tcBorders>
              <w:top w:val="nil"/>
              <w:left w:val="nil"/>
              <w:bottom w:val="single" w:sz="8" w:space="0" w:color="auto"/>
              <w:right w:val="single" w:sz="8" w:space="0" w:color="auto"/>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100</w:t>
            </w:r>
          </w:p>
        </w:tc>
        <w:tc>
          <w:tcPr>
            <w:tcW w:w="992" w:type="dxa"/>
            <w:tcBorders>
              <w:top w:val="nil"/>
              <w:left w:val="nil"/>
              <w:bottom w:val="single" w:sz="8" w:space="0" w:color="auto"/>
              <w:right w:val="nil"/>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100</w:t>
            </w:r>
          </w:p>
        </w:tc>
        <w:tc>
          <w:tcPr>
            <w:tcW w:w="1008" w:type="dxa"/>
            <w:tcBorders>
              <w:top w:val="nil"/>
              <w:left w:val="nil"/>
              <w:bottom w:val="single" w:sz="8" w:space="0" w:color="auto"/>
              <w:right w:val="single" w:sz="8" w:space="0" w:color="auto"/>
            </w:tcBorders>
            <w:shd w:val="clear" w:color="auto" w:fill="auto"/>
            <w:noWrap/>
            <w:vAlign w:val="bottom"/>
            <w:hideMark/>
          </w:tcPr>
          <w:p w:rsidR="00700EF5" w:rsidRPr="00700EF5" w:rsidRDefault="00700EF5" w:rsidP="00700EF5">
            <w:pPr>
              <w:suppressAutoHyphens w:val="0"/>
              <w:spacing w:after="0" w:line="240" w:lineRule="auto"/>
              <w:jc w:val="center"/>
              <w:rPr>
                <w:rFonts w:cs="Times New Roman"/>
                <w:color w:val="000000"/>
                <w:szCs w:val="22"/>
                <w:lang w:eastAsia="tr-TR"/>
              </w:rPr>
            </w:pPr>
            <w:r w:rsidRPr="00700EF5">
              <w:rPr>
                <w:rFonts w:cs="Times New Roman"/>
                <w:color w:val="000000"/>
                <w:szCs w:val="22"/>
                <w:lang w:eastAsia="tr-TR"/>
              </w:rPr>
              <w:t>100</w:t>
            </w:r>
          </w:p>
        </w:tc>
      </w:tr>
    </w:tbl>
    <w:p w:rsidR="00AB1611" w:rsidRPr="001C0F9B" w:rsidRDefault="00700EF5" w:rsidP="00FA6E28">
      <w:pPr>
        <w:suppressAutoHyphens w:val="0"/>
        <w:autoSpaceDE w:val="0"/>
        <w:autoSpaceDN w:val="0"/>
        <w:adjustRightInd w:val="0"/>
        <w:spacing w:after="0" w:line="240" w:lineRule="auto"/>
        <w:rPr>
          <w:sz w:val="20"/>
          <w:szCs w:val="20"/>
          <w:lang w:eastAsia="tr-TR"/>
        </w:rPr>
      </w:pPr>
      <w:r w:rsidRPr="001C0F9B">
        <w:rPr>
          <w:sz w:val="20"/>
          <w:szCs w:val="20"/>
          <w:lang w:eastAsia="tr-TR"/>
        </w:rPr>
        <w:t xml:space="preserve">Kaynak: TÜİK, HİA 2014,2015,2016 mikro veri seti </w:t>
      </w:r>
      <w:bookmarkEnd w:id="1"/>
    </w:p>
    <w:sectPr w:rsidR="00AB1611" w:rsidRPr="001C0F9B" w:rsidSect="00C965D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3B2" w:rsidRDefault="00BD13B2" w:rsidP="008342DA">
      <w:pPr>
        <w:spacing w:after="0" w:line="240" w:lineRule="auto"/>
      </w:pPr>
      <w:r>
        <w:separator/>
      </w:r>
    </w:p>
  </w:endnote>
  <w:endnote w:type="continuationSeparator" w:id="0">
    <w:p w:rsidR="00BD13B2" w:rsidRDefault="00BD13B2" w:rsidP="0083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2"/>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3B2" w:rsidRDefault="00BD13B2" w:rsidP="008342DA">
      <w:pPr>
        <w:spacing w:after="0" w:line="240" w:lineRule="auto"/>
      </w:pPr>
      <w:r>
        <w:separator/>
      </w:r>
    </w:p>
  </w:footnote>
  <w:footnote w:type="continuationSeparator" w:id="0">
    <w:p w:rsidR="00BD13B2" w:rsidRDefault="00BD13B2" w:rsidP="008342DA">
      <w:pPr>
        <w:spacing w:after="0" w:line="240" w:lineRule="auto"/>
      </w:pPr>
      <w:r>
        <w:continuationSeparator/>
      </w:r>
    </w:p>
  </w:footnote>
  <w:footnote w:id="1">
    <w:p w:rsidR="008D7636" w:rsidRPr="00E137F5" w:rsidRDefault="008D7636" w:rsidP="008A0C5D">
      <w:pPr>
        <w:pStyle w:val="FootnoteText"/>
        <w:spacing w:after="0" w:line="240" w:lineRule="auto"/>
        <w:rPr>
          <w:rFonts w:ascii="Palatino Linotype" w:hAnsi="Palatino Linotype"/>
          <w:sz w:val="16"/>
          <w:szCs w:val="16"/>
        </w:rPr>
      </w:pPr>
      <w:r w:rsidRPr="00E137F5">
        <w:rPr>
          <w:rStyle w:val="FootnoteReference"/>
          <w:rFonts w:ascii="Palatino Linotype" w:hAnsi="Palatino Linotype"/>
          <w:b/>
          <w:bCs/>
          <w:sz w:val="16"/>
          <w:szCs w:val="16"/>
        </w:rPr>
        <w:t>*</w:t>
      </w:r>
      <w:r w:rsidRPr="00E137F5">
        <w:rPr>
          <w:rFonts w:ascii="Palatino Linotype" w:hAnsi="Palatino Linotype" w:cs="Arial"/>
          <w:sz w:val="16"/>
          <w:szCs w:val="16"/>
        </w:rPr>
        <w:t xml:space="preserve">Prof. Dr. Seyfettin Gürsel, Betam, Direktör, </w:t>
      </w:r>
      <w:hyperlink r:id="rId1" w:history="1">
        <w:r w:rsidRPr="00E137F5">
          <w:rPr>
            <w:rStyle w:val="Hyperlink"/>
            <w:rFonts w:ascii="Palatino Linotype" w:hAnsi="Palatino Linotype"/>
            <w:sz w:val="16"/>
            <w:szCs w:val="16"/>
          </w:rPr>
          <w:t>seyfettin.gursel@eas.bau.edu.tr</w:t>
        </w:r>
      </w:hyperlink>
    </w:p>
  </w:footnote>
  <w:footnote w:id="2">
    <w:p w:rsidR="008D7636" w:rsidRPr="00E137F5" w:rsidRDefault="008D7636" w:rsidP="008A0C5D">
      <w:pPr>
        <w:pStyle w:val="FootnoteText"/>
        <w:spacing w:after="0" w:line="240" w:lineRule="auto"/>
        <w:rPr>
          <w:rFonts w:ascii="Palatino Linotype" w:hAnsi="Palatino Linotype" w:cs="Arial"/>
          <w:sz w:val="16"/>
          <w:szCs w:val="16"/>
        </w:rPr>
      </w:pPr>
      <w:r w:rsidRPr="00E137F5">
        <w:rPr>
          <w:rStyle w:val="FootnoteReference"/>
          <w:rFonts w:ascii="Palatino Linotype" w:hAnsi="Palatino Linotype"/>
          <w:sz w:val="16"/>
          <w:szCs w:val="16"/>
        </w:rPr>
        <w:sym w:font="Symbol" w:char="F02A"/>
      </w:r>
      <w:r w:rsidRPr="00E137F5">
        <w:rPr>
          <w:rStyle w:val="FootnoteReference"/>
          <w:rFonts w:ascii="Palatino Linotype" w:hAnsi="Palatino Linotype"/>
          <w:sz w:val="16"/>
          <w:szCs w:val="16"/>
        </w:rPr>
        <w:sym w:font="Symbol" w:char="F02A"/>
      </w:r>
      <w:r w:rsidRPr="00E137F5">
        <w:rPr>
          <w:rFonts w:ascii="Palatino Linotype" w:hAnsi="Palatino Linotype" w:cs="Arial"/>
          <w:sz w:val="16"/>
          <w:szCs w:val="16"/>
        </w:rPr>
        <w:t xml:space="preserve"> Ozan Bakış, Betam, Kıdemli Araştırmacı, </w:t>
      </w:r>
      <w:hyperlink r:id="rId2" w:history="1">
        <w:r w:rsidRPr="00E137F5">
          <w:rPr>
            <w:rStyle w:val="Hyperlink"/>
            <w:rFonts w:ascii="Palatino Linotype" w:hAnsi="Palatino Linotype"/>
            <w:sz w:val="16"/>
            <w:szCs w:val="16"/>
          </w:rPr>
          <w:t>ozan.bakis@eas.bau.edu.tr</w:t>
        </w:r>
      </w:hyperlink>
    </w:p>
    <w:p w:rsidR="008D7636" w:rsidRPr="00E137F5" w:rsidRDefault="008D7636" w:rsidP="008A0C5D">
      <w:pPr>
        <w:pStyle w:val="FootnoteText"/>
        <w:spacing w:after="0" w:line="240" w:lineRule="auto"/>
        <w:rPr>
          <w:rFonts w:ascii="Palatino Linotype" w:hAnsi="Palatino Linotype" w:cs="Arial"/>
          <w:sz w:val="16"/>
          <w:szCs w:val="16"/>
        </w:rPr>
      </w:pPr>
      <w:r w:rsidRPr="00E137F5">
        <w:rPr>
          <w:rFonts w:ascii="Palatino Linotype" w:hAnsi="Palatino Linotype" w:cs="Arial"/>
          <w:sz w:val="16"/>
          <w:szCs w:val="16"/>
        </w:rPr>
        <w:t xml:space="preserve">*** Yazgı Genç, Betam, Araştırma Görevlisi, </w:t>
      </w:r>
      <w:hyperlink r:id="rId3" w:history="1">
        <w:r w:rsidRPr="00E137F5">
          <w:rPr>
            <w:rStyle w:val="Hyperlink"/>
            <w:rFonts w:ascii="Palatino Linotype" w:hAnsi="Palatino Linotype"/>
            <w:sz w:val="16"/>
            <w:szCs w:val="16"/>
          </w:rPr>
          <w:t>yazgi.genc@eas.bau.edu.tr</w:t>
        </w:r>
      </w:hyperlink>
    </w:p>
  </w:footnote>
  <w:footnote w:id="3">
    <w:p w:rsidR="008720A9" w:rsidRDefault="008720A9" w:rsidP="008720A9">
      <w:pPr>
        <w:pStyle w:val="FootnoteText"/>
      </w:pPr>
      <w:r>
        <w:rPr>
          <w:rStyle w:val="FootnoteReference"/>
        </w:rPr>
        <w:footnoteRef/>
      </w:r>
      <w:r>
        <w:t xml:space="preserve"> </w:t>
      </w:r>
      <w:proofErr w:type="spellStart"/>
      <w:r w:rsidRPr="00E816D3">
        <w:t>Hanehalkı</w:t>
      </w:r>
      <w:proofErr w:type="spellEnd"/>
      <w:r w:rsidRPr="00E816D3">
        <w:t xml:space="preserve"> Bütçe Anketi çalışanları tam-zamanlı ve yarı-zamanlı olarak ayırırken esas işteki normal çalışma süresini dikkate almaktadır. Haftalık normal çalışma süresi 35 ve daha fazla olanlar tam-zamanlı çalışan olarak değerlendirilmektedir. Bu sebeple, biz de 18 sektör için</w:t>
      </w:r>
      <w:r>
        <w:t xml:space="preserve"> </w:t>
      </w:r>
      <w:r w:rsidRPr="00E816D3">
        <w:t>düşük ücret alan çalışanların oranlarını hesaplarken pozitif ücretli, haftalık 35 saatin üzerinde çalışan (tam zamanlı), asgari ücret ve altında aylık geliri olan ücretli çalışanları dikkate aldık.</w:t>
      </w:r>
    </w:p>
  </w:footnote>
  <w:footnote w:id="4">
    <w:p w:rsidR="008D7636" w:rsidRDefault="008D7636" w:rsidP="00461DF5">
      <w:pPr>
        <w:pStyle w:val="FootnoteText"/>
      </w:pPr>
      <w:r>
        <w:rPr>
          <w:rStyle w:val="FootnoteReference"/>
        </w:rPr>
        <w:footnoteRef/>
      </w:r>
      <w:r w:rsidRPr="00BD7706">
        <w:rPr>
          <w:rFonts w:ascii="Palatino Linotype" w:hAnsi="Palatino Linotype"/>
        </w:rPr>
        <w:t>2014’te Ocak ve Temmuz net aylık asgari ücretleri sırası ile 846 TL ve 891 TL’dir. 2015’te bu rakamlar sırası ile 849 ve 1000 TL olmuştur. Yıllık veride dönem bilgisi olmadığı için bu yılların asgari ücretini hesaplarken Ocak ve Temmuz asgari ücretlerinin ortalamaları esas alınmıştır (2014 için 865,5 TL ve 2015 için 975 TL). 2016 ve 2017 yılında tek asgari ücret seviyesi bulunmaktadır ve sırası ile 1301 ve 1404 TL’dir.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95518"/>
    <w:multiLevelType w:val="hybridMultilevel"/>
    <w:tmpl w:val="C81C8A5A"/>
    <w:lvl w:ilvl="0" w:tplc="0A1052B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DA"/>
    <w:rsid w:val="00004599"/>
    <w:rsid w:val="000054F3"/>
    <w:rsid w:val="0000598A"/>
    <w:rsid w:val="000065FB"/>
    <w:rsid w:val="00011A71"/>
    <w:rsid w:val="00011EDA"/>
    <w:rsid w:val="0001294B"/>
    <w:rsid w:val="00013C4B"/>
    <w:rsid w:val="0001516E"/>
    <w:rsid w:val="000155D8"/>
    <w:rsid w:val="00017D36"/>
    <w:rsid w:val="0002354A"/>
    <w:rsid w:val="00023990"/>
    <w:rsid w:val="000246D0"/>
    <w:rsid w:val="00027507"/>
    <w:rsid w:val="00033DA7"/>
    <w:rsid w:val="00034900"/>
    <w:rsid w:val="00034C80"/>
    <w:rsid w:val="00041514"/>
    <w:rsid w:val="000430B8"/>
    <w:rsid w:val="0004423C"/>
    <w:rsid w:val="00044F9E"/>
    <w:rsid w:val="0004598A"/>
    <w:rsid w:val="000473F1"/>
    <w:rsid w:val="00050F6D"/>
    <w:rsid w:val="000513AE"/>
    <w:rsid w:val="00055750"/>
    <w:rsid w:val="0005799C"/>
    <w:rsid w:val="00061259"/>
    <w:rsid w:val="00062732"/>
    <w:rsid w:val="00063376"/>
    <w:rsid w:val="00063C78"/>
    <w:rsid w:val="00064354"/>
    <w:rsid w:val="00064E24"/>
    <w:rsid w:val="00067391"/>
    <w:rsid w:val="00067F39"/>
    <w:rsid w:val="00071540"/>
    <w:rsid w:val="00076B58"/>
    <w:rsid w:val="0008234F"/>
    <w:rsid w:val="00092DE8"/>
    <w:rsid w:val="000934DC"/>
    <w:rsid w:val="000A1E4C"/>
    <w:rsid w:val="000A3A3C"/>
    <w:rsid w:val="000A750E"/>
    <w:rsid w:val="000B3714"/>
    <w:rsid w:val="000B4731"/>
    <w:rsid w:val="000C17AD"/>
    <w:rsid w:val="000C1815"/>
    <w:rsid w:val="000C408B"/>
    <w:rsid w:val="000C47B4"/>
    <w:rsid w:val="000C514D"/>
    <w:rsid w:val="000C5B61"/>
    <w:rsid w:val="000D0A72"/>
    <w:rsid w:val="000D1B8C"/>
    <w:rsid w:val="000D2F7B"/>
    <w:rsid w:val="000D38F2"/>
    <w:rsid w:val="000D3AAF"/>
    <w:rsid w:val="000D515E"/>
    <w:rsid w:val="000D534F"/>
    <w:rsid w:val="000D7374"/>
    <w:rsid w:val="000E3235"/>
    <w:rsid w:val="000E338D"/>
    <w:rsid w:val="000E3E04"/>
    <w:rsid w:val="000E4445"/>
    <w:rsid w:val="000F0D57"/>
    <w:rsid w:val="000F32B9"/>
    <w:rsid w:val="000F42D5"/>
    <w:rsid w:val="000F4DF3"/>
    <w:rsid w:val="000F735B"/>
    <w:rsid w:val="00110732"/>
    <w:rsid w:val="00113ADA"/>
    <w:rsid w:val="00114A4D"/>
    <w:rsid w:val="00126086"/>
    <w:rsid w:val="00127F70"/>
    <w:rsid w:val="00131E7B"/>
    <w:rsid w:val="001334D5"/>
    <w:rsid w:val="00141C63"/>
    <w:rsid w:val="00145AA4"/>
    <w:rsid w:val="00150666"/>
    <w:rsid w:val="00150B72"/>
    <w:rsid w:val="00151BD4"/>
    <w:rsid w:val="001625B0"/>
    <w:rsid w:val="00163019"/>
    <w:rsid w:val="00164F25"/>
    <w:rsid w:val="00164FF8"/>
    <w:rsid w:val="00170577"/>
    <w:rsid w:val="00170A75"/>
    <w:rsid w:val="001724E1"/>
    <w:rsid w:val="001744F2"/>
    <w:rsid w:val="001772C7"/>
    <w:rsid w:val="001806A4"/>
    <w:rsid w:val="0018126D"/>
    <w:rsid w:val="001815F0"/>
    <w:rsid w:val="001816CA"/>
    <w:rsid w:val="0018486A"/>
    <w:rsid w:val="0018725D"/>
    <w:rsid w:val="001938B9"/>
    <w:rsid w:val="001941F4"/>
    <w:rsid w:val="001A0A67"/>
    <w:rsid w:val="001A0C4D"/>
    <w:rsid w:val="001A2C6B"/>
    <w:rsid w:val="001A4683"/>
    <w:rsid w:val="001A5106"/>
    <w:rsid w:val="001A67CE"/>
    <w:rsid w:val="001B514B"/>
    <w:rsid w:val="001B779A"/>
    <w:rsid w:val="001C0F9B"/>
    <w:rsid w:val="001C484D"/>
    <w:rsid w:val="001D102F"/>
    <w:rsid w:val="001D15E1"/>
    <w:rsid w:val="001D26C9"/>
    <w:rsid w:val="001D2B3E"/>
    <w:rsid w:val="001D4632"/>
    <w:rsid w:val="001D47A1"/>
    <w:rsid w:val="001D5136"/>
    <w:rsid w:val="001D5555"/>
    <w:rsid w:val="001E0F97"/>
    <w:rsid w:val="001E7C19"/>
    <w:rsid w:val="001F2F20"/>
    <w:rsid w:val="001F4621"/>
    <w:rsid w:val="001F53BB"/>
    <w:rsid w:val="001F69E3"/>
    <w:rsid w:val="001F72A8"/>
    <w:rsid w:val="002006AC"/>
    <w:rsid w:val="0020215E"/>
    <w:rsid w:val="00202311"/>
    <w:rsid w:val="002030D5"/>
    <w:rsid w:val="00204BCE"/>
    <w:rsid w:val="00204E14"/>
    <w:rsid w:val="00210F8F"/>
    <w:rsid w:val="002123DB"/>
    <w:rsid w:val="00216253"/>
    <w:rsid w:val="002173A8"/>
    <w:rsid w:val="0022243E"/>
    <w:rsid w:val="00223E97"/>
    <w:rsid w:val="00226815"/>
    <w:rsid w:val="00227940"/>
    <w:rsid w:val="00227C1E"/>
    <w:rsid w:val="00227C7F"/>
    <w:rsid w:val="002303B9"/>
    <w:rsid w:val="0023667F"/>
    <w:rsid w:val="00242043"/>
    <w:rsid w:val="00242E05"/>
    <w:rsid w:val="00244D66"/>
    <w:rsid w:val="00246C2F"/>
    <w:rsid w:val="00252156"/>
    <w:rsid w:val="00253C7B"/>
    <w:rsid w:val="002558C6"/>
    <w:rsid w:val="00261A0E"/>
    <w:rsid w:val="00263FAA"/>
    <w:rsid w:val="00267697"/>
    <w:rsid w:val="00267B82"/>
    <w:rsid w:val="00273911"/>
    <w:rsid w:val="00274586"/>
    <w:rsid w:val="00281657"/>
    <w:rsid w:val="00283B17"/>
    <w:rsid w:val="002A24B9"/>
    <w:rsid w:val="002A2A9C"/>
    <w:rsid w:val="002A623C"/>
    <w:rsid w:val="002A7D3A"/>
    <w:rsid w:val="002B1F63"/>
    <w:rsid w:val="002B48E0"/>
    <w:rsid w:val="002B4C57"/>
    <w:rsid w:val="002B4EB5"/>
    <w:rsid w:val="002B61E5"/>
    <w:rsid w:val="002B7C99"/>
    <w:rsid w:val="002C0D66"/>
    <w:rsid w:val="002C15F6"/>
    <w:rsid w:val="002C3FA3"/>
    <w:rsid w:val="002D026E"/>
    <w:rsid w:val="002D147A"/>
    <w:rsid w:val="002D2E01"/>
    <w:rsid w:val="002D319D"/>
    <w:rsid w:val="002D5A48"/>
    <w:rsid w:val="002D6B80"/>
    <w:rsid w:val="002D6EDD"/>
    <w:rsid w:val="002E200F"/>
    <w:rsid w:val="002E364A"/>
    <w:rsid w:val="002E42A6"/>
    <w:rsid w:val="002E4DE1"/>
    <w:rsid w:val="002E5242"/>
    <w:rsid w:val="002E741A"/>
    <w:rsid w:val="002F0E3B"/>
    <w:rsid w:val="002F36AF"/>
    <w:rsid w:val="002F47A7"/>
    <w:rsid w:val="002F5217"/>
    <w:rsid w:val="002F636A"/>
    <w:rsid w:val="00302E1B"/>
    <w:rsid w:val="003034FC"/>
    <w:rsid w:val="00306296"/>
    <w:rsid w:val="003132AF"/>
    <w:rsid w:val="00313597"/>
    <w:rsid w:val="00313C5E"/>
    <w:rsid w:val="003177C0"/>
    <w:rsid w:val="00320E5C"/>
    <w:rsid w:val="00321465"/>
    <w:rsid w:val="00321547"/>
    <w:rsid w:val="00324D67"/>
    <w:rsid w:val="00326636"/>
    <w:rsid w:val="00333108"/>
    <w:rsid w:val="00333CC3"/>
    <w:rsid w:val="00333D3F"/>
    <w:rsid w:val="003372D5"/>
    <w:rsid w:val="0034220A"/>
    <w:rsid w:val="00350C84"/>
    <w:rsid w:val="00354F13"/>
    <w:rsid w:val="0036245D"/>
    <w:rsid w:val="0036531D"/>
    <w:rsid w:val="00366A97"/>
    <w:rsid w:val="00366E29"/>
    <w:rsid w:val="00370B16"/>
    <w:rsid w:val="00370B5C"/>
    <w:rsid w:val="00373358"/>
    <w:rsid w:val="003742DD"/>
    <w:rsid w:val="003747A5"/>
    <w:rsid w:val="00374B7B"/>
    <w:rsid w:val="00375477"/>
    <w:rsid w:val="00377122"/>
    <w:rsid w:val="00380903"/>
    <w:rsid w:val="00385AC2"/>
    <w:rsid w:val="00387384"/>
    <w:rsid w:val="00387940"/>
    <w:rsid w:val="00392975"/>
    <w:rsid w:val="003A0E1B"/>
    <w:rsid w:val="003A0F26"/>
    <w:rsid w:val="003A3623"/>
    <w:rsid w:val="003A3C90"/>
    <w:rsid w:val="003A4F82"/>
    <w:rsid w:val="003A77F9"/>
    <w:rsid w:val="003B2163"/>
    <w:rsid w:val="003B2D33"/>
    <w:rsid w:val="003C139A"/>
    <w:rsid w:val="003C157D"/>
    <w:rsid w:val="003C49C6"/>
    <w:rsid w:val="003C4FB4"/>
    <w:rsid w:val="003C6E02"/>
    <w:rsid w:val="003C7255"/>
    <w:rsid w:val="003C76F6"/>
    <w:rsid w:val="003C783B"/>
    <w:rsid w:val="003D1DD0"/>
    <w:rsid w:val="003D21F6"/>
    <w:rsid w:val="003D5326"/>
    <w:rsid w:val="003D5469"/>
    <w:rsid w:val="003D5470"/>
    <w:rsid w:val="003E139E"/>
    <w:rsid w:val="003E1BFB"/>
    <w:rsid w:val="003E2A4B"/>
    <w:rsid w:val="003E46E6"/>
    <w:rsid w:val="003E4AD5"/>
    <w:rsid w:val="003F0AD5"/>
    <w:rsid w:val="003F0D69"/>
    <w:rsid w:val="003F69DB"/>
    <w:rsid w:val="003F77AE"/>
    <w:rsid w:val="00400FD1"/>
    <w:rsid w:val="004024E5"/>
    <w:rsid w:val="00410E73"/>
    <w:rsid w:val="00411EB1"/>
    <w:rsid w:val="00413EEB"/>
    <w:rsid w:val="00414F5A"/>
    <w:rsid w:val="00417466"/>
    <w:rsid w:val="00421A7E"/>
    <w:rsid w:val="0042516E"/>
    <w:rsid w:val="00426920"/>
    <w:rsid w:val="00430144"/>
    <w:rsid w:val="00430421"/>
    <w:rsid w:val="0043065F"/>
    <w:rsid w:val="00430B02"/>
    <w:rsid w:val="0044050A"/>
    <w:rsid w:val="004432E5"/>
    <w:rsid w:val="00443EF0"/>
    <w:rsid w:val="00446568"/>
    <w:rsid w:val="00447B28"/>
    <w:rsid w:val="00451D6B"/>
    <w:rsid w:val="00451DBE"/>
    <w:rsid w:val="004576D7"/>
    <w:rsid w:val="00461A7F"/>
    <w:rsid w:val="00461DF5"/>
    <w:rsid w:val="00462319"/>
    <w:rsid w:val="00463849"/>
    <w:rsid w:val="00465AAC"/>
    <w:rsid w:val="004662C7"/>
    <w:rsid w:val="004673B6"/>
    <w:rsid w:val="00471B55"/>
    <w:rsid w:val="004736AB"/>
    <w:rsid w:val="0047488E"/>
    <w:rsid w:val="00482018"/>
    <w:rsid w:val="0049100E"/>
    <w:rsid w:val="004956CF"/>
    <w:rsid w:val="004A5F2A"/>
    <w:rsid w:val="004B2656"/>
    <w:rsid w:val="004B4475"/>
    <w:rsid w:val="004B4B2A"/>
    <w:rsid w:val="004B5442"/>
    <w:rsid w:val="004B5D77"/>
    <w:rsid w:val="004C00E2"/>
    <w:rsid w:val="004C3822"/>
    <w:rsid w:val="004C421E"/>
    <w:rsid w:val="004C4497"/>
    <w:rsid w:val="004C55C1"/>
    <w:rsid w:val="004D033F"/>
    <w:rsid w:val="004D03B4"/>
    <w:rsid w:val="004D0997"/>
    <w:rsid w:val="004D1955"/>
    <w:rsid w:val="004D4CC9"/>
    <w:rsid w:val="004D7068"/>
    <w:rsid w:val="004E019B"/>
    <w:rsid w:val="004F4053"/>
    <w:rsid w:val="004F615E"/>
    <w:rsid w:val="00500C6E"/>
    <w:rsid w:val="00503E90"/>
    <w:rsid w:val="0050417F"/>
    <w:rsid w:val="0050612D"/>
    <w:rsid w:val="00507C30"/>
    <w:rsid w:val="0051071F"/>
    <w:rsid w:val="0051092E"/>
    <w:rsid w:val="00512D59"/>
    <w:rsid w:val="00514BC8"/>
    <w:rsid w:val="00515020"/>
    <w:rsid w:val="0052360E"/>
    <w:rsid w:val="0052543B"/>
    <w:rsid w:val="00525CBC"/>
    <w:rsid w:val="005278FF"/>
    <w:rsid w:val="005339D1"/>
    <w:rsid w:val="0053430E"/>
    <w:rsid w:val="00534925"/>
    <w:rsid w:val="005465D2"/>
    <w:rsid w:val="00546F7F"/>
    <w:rsid w:val="00552E42"/>
    <w:rsid w:val="00554DA1"/>
    <w:rsid w:val="00560348"/>
    <w:rsid w:val="00560AB5"/>
    <w:rsid w:val="005656BB"/>
    <w:rsid w:val="005675A5"/>
    <w:rsid w:val="005732CD"/>
    <w:rsid w:val="0057413E"/>
    <w:rsid w:val="00576BDD"/>
    <w:rsid w:val="00577114"/>
    <w:rsid w:val="00580F0C"/>
    <w:rsid w:val="00582B98"/>
    <w:rsid w:val="0058681B"/>
    <w:rsid w:val="0058733F"/>
    <w:rsid w:val="00593E2D"/>
    <w:rsid w:val="0059696D"/>
    <w:rsid w:val="005A09FB"/>
    <w:rsid w:val="005A14DF"/>
    <w:rsid w:val="005A2BEC"/>
    <w:rsid w:val="005A499F"/>
    <w:rsid w:val="005A7703"/>
    <w:rsid w:val="005B1CAC"/>
    <w:rsid w:val="005B470F"/>
    <w:rsid w:val="005B6E99"/>
    <w:rsid w:val="005C088C"/>
    <w:rsid w:val="005C0B8B"/>
    <w:rsid w:val="005C2455"/>
    <w:rsid w:val="005C3994"/>
    <w:rsid w:val="005D632E"/>
    <w:rsid w:val="005E340A"/>
    <w:rsid w:val="005E4850"/>
    <w:rsid w:val="005F30B3"/>
    <w:rsid w:val="005F45DB"/>
    <w:rsid w:val="00600C19"/>
    <w:rsid w:val="0060278E"/>
    <w:rsid w:val="00602ED8"/>
    <w:rsid w:val="00603512"/>
    <w:rsid w:val="00604672"/>
    <w:rsid w:val="00604749"/>
    <w:rsid w:val="00607381"/>
    <w:rsid w:val="006112BC"/>
    <w:rsid w:val="00613596"/>
    <w:rsid w:val="0061362C"/>
    <w:rsid w:val="00615A6C"/>
    <w:rsid w:val="0061699D"/>
    <w:rsid w:val="00617F88"/>
    <w:rsid w:val="00621CD7"/>
    <w:rsid w:val="00623453"/>
    <w:rsid w:val="00623F61"/>
    <w:rsid w:val="006249C9"/>
    <w:rsid w:val="00630065"/>
    <w:rsid w:val="006306B6"/>
    <w:rsid w:val="00630C57"/>
    <w:rsid w:val="00632FB0"/>
    <w:rsid w:val="00636DEB"/>
    <w:rsid w:val="00637349"/>
    <w:rsid w:val="00640137"/>
    <w:rsid w:val="00640745"/>
    <w:rsid w:val="00641935"/>
    <w:rsid w:val="00641974"/>
    <w:rsid w:val="00642799"/>
    <w:rsid w:val="00642F60"/>
    <w:rsid w:val="00644EB2"/>
    <w:rsid w:val="00644F46"/>
    <w:rsid w:val="00646D4F"/>
    <w:rsid w:val="006476D5"/>
    <w:rsid w:val="00657C2A"/>
    <w:rsid w:val="00664CDA"/>
    <w:rsid w:val="0066549B"/>
    <w:rsid w:val="00665BB5"/>
    <w:rsid w:val="00667188"/>
    <w:rsid w:val="0066776A"/>
    <w:rsid w:val="00667E12"/>
    <w:rsid w:val="00672E9B"/>
    <w:rsid w:val="00692B2F"/>
    <w:rsid w:val="0069580C"/>
    <w:rsid w:val="006A2E46"/>
    <w:rsid w:val="006A363E"/>
    <w:rsid w:val="006A5426"/>
    <w:rsid w:val="006A607D"/>
    <w:rsid w:val="006B0FB2"/>
    <w:rsid w:val="006B1E03"/>
    <w:rsid w:val="006B57D3"/>
    <w:rsid w:val="006B7F40"/>
    <w:rsid w:val="006C0DFA"/>
    <w:rsid w:val="006C18AE"/>
    <w:rsid w:val="006C3855"/>
    <w:rsid w:val="006C3C44"/>
    <w:rsid w:val="006C60C1"/>
    <w:rsid w:val="006D0307"/>
    <w:rsid w:val="006D2086"/>
    <w:rsid w:val="006E0D0E"/>
    <w:rsid w:val="006E2266"/>
    <w:rsid w:val="006E4DB0"/>
    <w:rsid w:val="006F00AC"/>
    <w:rsid w:val="006F40A7"/>
    <w:rsid w:val="006F57EF"/>
    <w:rsid w:val="006F62A7"/>
    <w:rsid w:val="006F7909"/>
    <w:rsid w:val="00700EF5"/>
    <w:rsid w:val="00702BA5"/>
    <w:rsid w:val="00702DFC"/>
    <w:rsid w:val="00703BF2"/>
    <w:rsid w:val="007045C8"/>
    <w:rsid w:val="00705150"/>
    <w:rsid w:val="00705572"/>
    <w:rsid w:val="00707736"/>
    <w:rsid w:val="0071005E"/>
    <w:rsid w:val="00713A96"/>
    <w:rsid w:val="0071649C"/>
    <w:rsid w:val="00717102"/>
    <w:rsid w:val="007176CC"/>
    <w:rsid w:val="007212FD"/>
    <w:rsid w:val="00721870"/>
    <w:rsid w:val="00721AA1"/>
    <w:rsid w:val="00722FFE"/>
    <w:rsid w:val="007245F2"/>
    <w:rsid w:val="00726035"/>
    <w:rsid w:val="007276EF"/>
    <w:rsid w:val="007278FE"/>
    <w:rsid w:val="00734E9F"/>
    <w:rsid w:val="00736468"/>
    <w:rsid w:val="007437D1"/>
    <w:rsid w:val="00743CFC"/>
    <w:rsid w:val="007456A1"/>
    <w:rsid w:val="00746508"/>
    <w:rsid w:val="007727DD"/>
    <w:rsid w:val="00773EAA"/>
    <w:rsid w:val="0077456C"/>
    <w:rsid w:val="00774E20"/>
    <w:rsid w:val="00775278"/>
    <w:rsid w:val="0077765C"/>
    <w:rsid w:val="007831CE"/>
    <w:rsid w:val="00783BCD"/>
    <w:rsid w:val="00790B12"/>
    <w:rsid w:val="00790B87"/>
    <w:rsid w:val="00790E15"/>
    <w:rsid w:val="00791661"/>
    <w:rsid w:val="00795ACA"/>
    <w:rsid w:val="007A00AC"/>
    <w:rsid w:val="007A5835"/>
    <w:rsid w:val="007A5DBB"/>
    <w:rsid w:val="007B0077"/>
    <w:rsid w:val="007B02BB"/>
    <w:rsid w:val="007B304C"/>
    <w:rsid w:val="007B3871"/>
    <w:rsid w:val="007B3E2F"/>
    <w:rsid w:val="007C083B"/>
    <w:rsid w:val="007C3FBF"/>
    <w:rsid w:val="007C5BA7"/>
    <w:rsid w:val="007C6277"/>
    <w:rsid w:val="007D6AC4"/>
    <w:rsid w:val="007D6D32"/>
    <w:rsid w:val="007E1190"/>
    <w:rsid w:val="007E16C1"/>
    <w:rsid w:val="007E1A30"/>
    <w:rsid w:val="007E5149"/>
    <w:rsid w:val="007E551B"/>
    <w:rsid w:val="007F025D"/>
    <w:rsid w:val="007F0440"/>
    <w:rsid w:val="007F101F"/>
    <w:rsid w:val="007F3558"/>
    <w:rsid w:val="007F69C8"/>
    <w:rsid w:val="00801508"/>
    <w:rsid w:val="00802BFF"/>
    <w:rsid w:val="008031B3"/>
    <w:rsid w:val="008045EB"/>
    <w:rsid w:val="00807369"/>
    <w:rsid w:val="00810234"/>
    <w:rsid w:val="0081026B"/>
    <w:rsid w:val="0081251C"/>
    <w:rsid w:val="00813B4F"/>
    <w:rsid w:val="00814238"/>
    <w:rsid w:val="0081530F"/>
    <w:rsid w:val="00816AC3"/>
    <w:rsid w:val="00826A9E"/>
    <w:rsid w:val="00831CA3"/>
    <w:rsid w:val="00832E9D"/>
    <w:rsid w:val="008342DA"/>
    <w:rsid w:val="008378BE"/>
    <w:rsid w:val="008403F9"/>
    <w:rsid w:val="008458D4"/>
    <w:rsid w:val="00847C3B"/>
    <w:rsid w:val="0085711B"/>
    <w:rsid w:val="0086173D"/>
    <w:rsid w:val="00863DAB"/>
    <w:rsid w:val="00865C2C"/>
    <w:rsid w:val="00871327"/>
    <w:rsid w:val="008720A9"/>
    <w:rsid w:val="00872E3C"/>
    <w:rsid w:val="0087645B"/>
    <w:rsid w:val="00876F23"/>
    <w:rsid w:val="008815C1"/>
    <w:rsid w:val="008831D9"/>
    <w:rsid w:val="008904A1"/>
    <w:rsid w:val="00890782"/>
    <w:rsid w:val="00891E44"/>
    <w:rsid w:val="008963F6"/>
    <w:rsid w:val="00897164"/>
    <w:rsid w:val="0089729B"/>
    <w:rsid w:val="008A0C5D"/>
    <w:rsid w:val="008A190E"/>
    <w:rsid w:val="008A1F51"/>
    <w:rsid w:val="008A2DAF"/>
    <w:rsid w:val="008A665F"/>
    <w:rsid w:val="008B0EAA"/>
    <w:rsid w:val="008B22F2"/>
    <w:rsid w:val="008B3E30"/>
    <w:rsid w:val="008B4196"/>
    <w:rsid w:val="008B5F28"/>
    <w:rsid w:val="008B61C1"/>
    <w:rsid w:val="008B7DA2"/>
    <w:rsid w:val="008D0871"/>
    <w:rsid w:val="008D57B7"/>
    <w:rsid w:val="008D7636"/>
    <w:rsid w:val="008E21FB"/>
    <w:rsid w:val="008E4C8B"/>
    <w:rsid w:val="008F0D7F"/>
    <w:rsid w:val="008F258B"/>
    <w:rsid w:val="008F4BA5"/>
    <w:rsid w:val="008F6EE2"/>
    <w:rsid w:val="009001CB"/>
    <w:rsid w:val="00910915"/>
    <w:rsid w:val="0091572E"/>
    <w:rsid w:val="0092012D"/>
    <w:rsid w:val="00920DCC"/>
    <w:rsid w:val="00922C69"/>
    <w:rsid w:val="00924F54"/>
    <w:rsid w:val="00930009"/>
    <w:rsid w:val="00931604"/>
    <w:rsid w:val="00931F27"/>
    <w:rsid w:val="00935162"/>
    <w:rsid w:val="00937392"/>
    <w:rsid w:val="00940185"/>
    <w:rsid w:val="00940CF3"/>
    <w:rsid w:val="0094231D"/>
    <w:rsid w:val="0094438E"/>
    <w:rsid w:val="00945BFF"/>
    <w:rsid w:val="00955262"/>
    <w:rsid w:val="00957763"/>
    <w:rsid w:val="00962B47"/>
    <w:rsid w:val="00962C29"/>
    <w:rsid w:val="00970DC4"/>
    <w:rsid w:val="00974D20"/>
    <w:rsid w:val="0097658A"/>
    <w:rsid w:val="0097700B"/>
    <w:rsid w:val="00980F64"/>
    <w:rsid w:val="00981D56"/>
    <w:rsid w:val="009842CC"/>
    <w:rsid w:val="00985DF0"/>
    <w:rsid w:val="00986DC0"/>
    <w:rsid w:val="00991FDF"/>
    <w:rsid w:val="00993855"/>
    <w:rsid w:val="009942C9"/>
    <w:rsid w:val="00995A03"/>
    <w:rsid w:val="009B27CB"/>
    <w:rsid w:val="009B65FF"/>
    <w:rsid w:val="009B7984"/>
    <w:rsid w:val="009C1387"/>
    <w:rsid w:val="009C381C"/>
    <w:rsid w:val="009C40F2"/>
    <w:rsid w:val="009E0340"/>
    <w:rsid w:val="009E0CC3"/>
    <w:rsid w:val="009E2E27"/>
    <w:rsid w:val="009E43AB"/>
    <w:rsid w:val="009F015C"/>
    <w:rsid w:val="009F1D6B"/>
    <w:rsid w:val="009F2ABF"/>
    <w:rsid w:val="009F36AA"/>
    <w:rsid w:val="009F689F"/>
    <w:rsid w:val="009F7268"/>
    <w:rsid w:val="00A033A9"/>
    <w:rsid w:val="00A07F85"/>
    <w:rsid w:val="00A15DBD"/>
    <w:rsid w:val="00A22C64"/>
    <w:rsid w:val="00A24463"/>
    <w:rsid w:val="00A25096"/>
    <w:rsid w:val="00A25191"/>
    <w:rsid w:val="00A2620A"/>
    <w:rsid w:val="00A31273"/>
    <w:rsid w:val="00A42C2B"/>
    <w:rsid w:val="00A4453F"/>
    <w:rsid w:val="00A445BE"/>
    <w:rsid w:val="00A50F82"/>
    <w:rsid w:val="00A511CB"/>
    <w:rsid w:val="00A51C3E"/>
    <w:rsid w:val="00A524A9"/>
    <w:rsid w:val="00A543FA"/>
    <w:rsid w:val="00A54FC4"/>
    <w:rsid w:val="00A550AF"/>
    <w:rsid w:val="00A5648A"/>
    <w:rsid w:val="00A5781C"/>
    <w:rsid w:val="00A61282"/>
    <w:rsid w:val="00A66359"/>
    <w:rsid w:val="00A704FD"/>
    <w:rsid w:val="00A71734"/>
    <w:rsid w:val="00A86B75"/>
    <w:rsid w:val="00A908EF"/>
    <w:rsid w:val="00A92C44"/>
    <w:rsid w:val="00A92D72"/>
    <w:rsid w:val="00A95A6B"/>
    <w:rsid w:val="00A97EBB"/>
    <w:rsid w:val="00AA0CDF"/>
    <w:rsid w:val="00AA1D5C"/>
    <w:rsid w:val="00AA2F2A"/>
    <w:rsid w:val="00AA3CF7"/>
    <w:rsid w:val="00AA4414"/>
    <w:rsid w:val="00AB1611"/>
    <w:rsid w:val="00AB1DDB"/>
    <w:rsid w:val="00AB211F"/>
    <w:rsid w:val="00AB3989"/>
    <w:rsid w:val="00AB5B4D"/>
    <w:rsid w:val="00AB663F"/>
    <w:rsid w:val="00AC2C69"/>
    <w:rsid w:val="00AC580A"/>
    <w:rsid w:val="00AD086E"/>
    <w:rsid w:val="00AD763D"/>
    <w:rsid w:val="00AE1FE3"/>
    <w:rsid w:val="00AE5C02"/>
    <w:rsid w:val="00AE77EC"/>
    <w:rsid w:val="00AF07B9"/>
    <w:rsid w:val="00AF0A23"/>
    <w:rsid w:val="00AF1838"/>
    <w:rsid w:val="00AF3350"/>
    <w:rsid w:val="00AF529B"/>
    <w:rsid w:val="00AF7A9E"/>
    <w:rsid w:val="00AF7BC1"/>
    <w:rsid w:val="00B0143E"/>
    <w:rsid w:val="00B01FAC"/>
    <w:rsid w:val="00B06C2F"/>
    <w:rsid w:val="00B13325"/>
    <w:rsid w:val="00B13D92"/>
    <w:rsid w:val="00B16A94"/>
    <w:rsid w:val="00B2024F"/>
    <w:rsid w:val="00B212B0"/>
    <w:rsid w:val="00B21EB1"/>
    <w:rsid w:val="00B21F32"/>
    <w:rsid w:val="00B222B9"/>
    <w:rsid w:val="00B23113"/>
    <w:rsid w:val="00B23240"/>
    <w:rsid w:val="00B31C18"/>
    <w:rsid w:val="00B31E70"/>
    <w:rsid w:val="00B32C6A"/>
    <w:rsid w:val="00B359AF"/>
    <w:rsid w:val="00B402A9"/>
    <w:rsid w:val="00B4158A"/>
    <w:rsid w:val="00B4482E"/>
    <w:rsid w:val="00B46E13"/>
    <w:rsid w:val="00B50551"/>
    <w:rsid w:val="00B52360"/>
    <w:rsid w:val="00B5275D"/>
    <w:rsid w:val="00B5276F"/>
    <w:rsid w:val="00B52BE2"/>
    <w:rsid w:val="00B54D20"/>
    <w:rsid w:val="00B63A40"/>
    <w:rsid w:val="00B73142"/>
    <w:rsid w:val="00B73ADE"/>
    <w:rsid w:val="00B750D6"/>
    <w:rsid w:val="00B800F5"/>
    <w:rsid w:val="00B830D0"/>
    <w:rsid w:val="00B86F4F"/>
    <w:rsid w:val="00B944FC"/>
    <w:rsid w:val="00B96250"/>
    <w:rsid w:val="00BA46D9"/>
    <w:rsid w:val="00BA650D"/>
    <w:rsid w:val="00BA7E34"/>
    <w:rsid w:val="00BB3A54"/>
    <w:rsid w:val="00BB5287"/>
    <w:rsid w:val="00BC02D3"/>
    <w:rsid w:val="00BC2628"/>
    <w:rsid w:val="00BD0197"/>
    <w:rsid w:val="00BD13B2"/>
    <w:rsid w:val="00BD1C13"/>
    <w:rsid w:val="00BD5A66"/>
    <w:rsid w:val="00BD6F96"/>
    <w:rsid w:val="00BD7706"/>
    <w:rsid w:val="00BD7B84"/>
    <w:rsid w:val="00BD7D9B"/>
    <w:rsid w:val="00BE158F"/>
    <w:rsid w:val="00BE3FDA"/>
    <w:rsid w:val="00BE50EB"/>
    <w:rsid w:val="00BE56CD"/>
    <w:rsid w:val="00BE5C06"/>
    <w:rsid w:val="00BF09EA"/>
    <w:rsid w:val="00BF18AC"/>
    <w:rsid w:val="00BF396B"/>
    <w:rsid w:val="00BF7999"/>
    <w:rsid w:val="00C02A07"/>
    <w:rsid w:val="00C13C92"/>
    <w:rsid w:val="00C20AD0"/>
    <w:rsid w:val="00C22019"/>
    <w:rsid w:val="00C25128"/>
    <w:rsid w:val="00C27290"/>
    <w:rsid w:val="00C3319D"/>
    <w:rsid w:val="00C441B1"/>
    <w:rsid w:val="00C44E5A"/>
    <w:rsid w:val="00C50739"/>
    <w:rsid w:val="00C50F35"/>
    <w:rsid w:val="00C53D35"/>
    <w:rsid w:val="00C54491"/>
    <w:rsid w:val="00C548BD"/>
    <w:rsid w:val="00C54C75"/>
    <w:rsid w:val="00C5629D"/>
    <w:rsid w:val="00C61193"/>
    <w:rsid w:val="00C624CD"/>
    <w:rsid w:val="00C747FB"/>
    <w:rsid w:val="00C75FA0"/>
    <w:rsid w:val="00C7662C"/>
    <w:rsid w:val="00C806A7"/>
    <w:rsid w:val="00C809FB"/>
    <w:rsid w:val="00C85D75"/>
    <w:rsid w:val="00C900BF"/>
    <w:rsid w:val="00C90F0B"/>
    <w:rsid w:val="00C965DE"/>
    <w:rsid w:val="00C978D2"/>
    <w:rsid w:val="00C97DA2"/>
    <w:rsid w:val="00CA0ADC"/>
    <w:rsid w:val="00CA48A8"/>
    <w:rsid w:val="00CA6A7A"/>
    <w:rsid w:val="00CA7F19"/>
    <w:rsid w:val="00CB45B3"/>
    <w:rsid w:val="00CB5C5D"/>
    <w:rsid w:val="00CC26D0"/>
    <w:rsid w:val="00CC28BE"/>
    <w:rsid w:val="00CC6F96"/>
    <w:rsid w:val="00CE0BB7"/>
    <w:rsid w:val="00CE661F"/>
    <w:rsid w:val="00CF051A"/>
    <w:rsid w:val="00CF1565"/>
    <w:rsid w:val="00CF1D5F"/>
    <w:rsid w:val="00CF306A"/>
    <w:rsid w:val="00CF6B02"/>
    <w:rsid w:val="00D0183B"/>
    <w:rsid w:val="00D032AC"/>
    <w:rsid w:val="00D206C0"/>
    <w:rsid w:val="00D20962"/>
    <w:rsid w:val="00D209C1"/>
    <w:rsid w:val="00D214B9"/>
    <w:rsid w:val="00D222ED"/>
    <w:rsid w:val="00D238EB"/>
    <w:rsid w:val="00D34E16"/>
    <w:rsid w:val="00D37932"/>
    <w:rsid w:val="00D41AAE"/>
    <w:rsid w:val="00D502D0"/>
    <w:rsid w:val="00D62CE2"/>
    <w:rsid w:val="00D639A9"/>
    <w:rsid w:val="00D63E7F"/>
    <w:rsid w:val="00D72728"/>
    <w:rsid w:val="00D75577"/>
    <w:rsid w:val="00D75C65"/>
    <w:rsid w:val="00D76F10"/>
    <w:rsid w:val="00D828CA"/>
    <w:rsid w:val="00D835B6"/>
    <w:rsid w:val="00D85FF6"/>
    <w:rsid w:val="00D91D4D"/>
    <w:rsid w:val="00DA04EE"/>
    <w:rsid w:val="00DA23F0"/>
    <w:rsid w:val="00DA2AFD"/>
    <w:rsid w:val="00DA31AE"/>
    <w:rsid w:val="00DA7428"/>
    <w:rsid w:val="00DB4689"/>
    <w:rsid w:val="00DB5D2E"/>
    <w:rsid w:val="00DB6128"/>
    <w:rsid w:val="00DB69D1"/>
    <w:rsid w:val="00DC0DBF"/>
    <w:rsid w:val="00DC21F6"/>
    <w:rsid w:val="00DC3A0D"/>
    <w:rsid w:val="00DC3A86"/>
    <w:rsid w:val="00DC6146"/>
    <w:rsid w:val="00DD0E10"/>
    <w:rsid w:val="00DD2D52"/>
    <w:rsid w:val="00DE4EA2"/>
    <w:rsid w:val="00DE5503"/>
    <w:rsid w:val="00DE5AA9"/>
    <w:rsid w:val="00DF4193"/>
    <w:rsid w:val="00DF4A34"/>
    <w:rsid w:val="00E00C6A"/>
    <w:rsid w:val="00E00E7D"/>
    <w:rsid w:val="00E04100"/>
    <w:rsid w:val="00E049AE"/>
    <w:rsid w:val="00E066EE"/>
    <w:rsid w:val="00E137F5"/>
    <w:rsid w:val="00E162EE"/>
    <w:rsid w:val="00E16552"/>
    <w:rsid w:val="00E2008C"/>
    <w:rsid w:val="00E225C5"/>
    <w:rsid w:val="00E345C3"/>
    <w:rsid w:val="00E36BBD"/>
    <w:rsid w:val="00E3707E"/>
    <w:rsid w:val="00E410F1"/>
    <w:rsid w:val="00E4650A"/>
    <w:rsid w:val="00E53923"/>
    <w:rsid w:val="00E55C36"/>
    <w:rsid w:val="00E5609F"/>
    <w:rsid w:val="00E56500"/>
    <w:rsid w:val="00E62394"/>
    <w:rsid w:val="00E632E4"/>
    <w:rsid w:val="00E70AC8"/>
    <w:rsid w:val="00E70CEB"/>
    <w:rsid w:val="00E763B0"/>
    <w:rsid w:val="00E77166"/>
    <w:rsid w:val="00E80AEF"/>
    <w:rsid w:val="00E816D3"/>
    <w:rsid w:val="00E879B9"/>
    <w:rsid w:val="00E87A7E"/>
    <w:rsid w:val="00E902ED"/>
    <w:rsid w:val="00E91548"/>
    <w:rsid w:val="00E94D2C"/>
    <w:rsid w:val="00EA0A64"/>
    <w:rsid w:val="00EA1354"/>
    <w:rsid w:val="00EA13DA"/>
    <w:rsid w:val="00EA1E4E"/>
    <w:rsid w:val="00EA31BF"/>
    <w:rsid w:val="00EA46F7"/>
    <w:rsid w:val="00EA7787"/>
    <w:rsid w:val="00EB0959"/>
    <w:rsid w:val="00EB10BC"/>
    <w:rsid w:val="00EB1CF5"/>
    <w:rsid w:val="00EB5237"/>
    <w:rsid w:val="00EB6C16"/>
    <w:rsid w:val="00EB7692"/>
    <w:rsid w:val="00EB7D96"/>
    <w:rsid w:val="00EC52CE"/>
    <w:rsid w:val="00ED17A4"/>
    <w:rsid w:val="00ED2217"/>
    <w:rsid w:val="00ED2E04"/>
    <w:rsid w:val="00ED6477"/>
    <w:rsid w:val="00EE7A0F"/>
    <w:rsid w:val="00EF2073"/>
    <w:rsid w:val="00EF540A"/>
    <w:rsid w:val="00F0089B"/>
    <w:rsid w:val="00F00B3D"/>
    <w:rsid w:val="00F05434"/>
    <w:rsid w:val="00F1649F"/>
    <w:rsid w:val="00F20D52"/>
    <w:rsid w:val="00F252C2"/>
    <w:rsid w:val="00F31B58"/>
    <w:rsid w:val="00F3228F"/>
    <w:rsid w:val="00F420D7"/>
    <w:rsid w:val="00F42DEE"/>
    <w:rsid w:val="00F46382"/>
    <w:rsid w:val="00F466E3"/>
    <w:rsid w:val="00F4777E"/>
    <w:rsid w:val="00F539F6"/>
    <w:rsid w:val="00F55140"/>
    <w:rsid w:val="00F611EB"/>
    <w:rsid w:val="00F61D8C"/>
    <w:rsid w:val="00F62ED3"/>
    <w:rsid w:val="00F636CA"/>
    <w:rsid w:val="00F668F3"/>
    <w:rsid w:val="00F67577"/>
    <w:rsid w:val="00F70DFA"/>
    <w:rsid w:val="00F740ED"/>
    <w:rsid w:val="00F755E2"/>
    <w:rsid w:val="00F80503"/>
    <w:rsid w:val="00F90356"/>
    <w:rsid w:val="00F958DF"/>
    <w:rsid w:val="00F95EAD"/>
    <w:rsid w:val="00F96E99"/>
    <w:rsid w:val="00FA25BD"/>
    <w:rsid w:val="00FA44C3"/>
    <w:rsid w:val="00FA6ACA"/>
    <w:rsid w:val="00FA6E28"/>
    <w:rsid w:val="00FA7C7B"/>
    <w:rsid w:val="00FB3EF4"/>
    <w:rsid w:val="00FB47DF"/>
    <w:rsid w:val="00FB59BB"/>
    <w:rsid w:val="00FB717B"/>
    <w:rsid w:val="00FB752B"/>
    <w:rsid w:val="00FC391F"/>
    <w:rsid w:val="00FD5037"/>
    <w:rsid w:val="00FD6EB3"/>
    <w:rsid w:val="00FE1593"/>
    <w:rsid w:val="00FE211E"/>
    <w:rsid w:val="00FE699B"/>
    <w:rsid w:val="00FF1277"/>
    <w:rsid w:val="00FF1825"/>
    <w:rsid w:val="00FF47F4"/>
    <w:rsid w:val="00FF58B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F04B"/>
  <w15:docId w15:val="{78F31F41-B0C3-4503-AD9D-D89C66CF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2DA"/>
    <w:pPr>
      <w:suppressAutoHyphens/>
      <w:spacing w:after="240"/>
      <w:jc w:val="both"/>
    </w:pPr>
    <w:rPr>
      <w:rFonts w:ascii="Palatino Linotype" w:eastAsia="Times New Roman" w:hAnsi="Palatino Linotype" w:cs="Arial"/>
      <w:szCs w:val="16"/>
      <w:lang w:eastAsia="ar-SA"/>
    </w:rPr>
  </w:style>
  <w:style w:type="paragraph" w:styleId="Heading1">
    <w:name w:val="heading 1"/>
    <w:basedOn w:val="Normal"/>
    <w:next w:val="Normal"/>
    <w:link w:val="Heading1Char"/>
    <w:uiPriority w:val="9"/>
    <w:qFormat/>
    <w:rsid w:val="00E066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8342DA"/>
    <w:pPr>
      <w:keepNext/>
      <w:spacing w:before="240" w:after="60"/>
      <w:outlineLvl w:val="1"/>
    </w:pPr>
    <w:rPr>
      <w:b/>
      <w:bCs/>
      <w:iCs/>
      <w:sz w:val="26"/>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342DA"/>
    <w:rPr>
      <w:rFonts w:ascii="Palatino Linotype" w:eastAsia="Times New Roman" w:hAnsi="Palatino Linotype" w:cs="Arial"/>
      <w:b/>
      <w:bCs/>
      <w:iCs/>
      <w:sz w:val="26"/>
      <w:szCs w:val="28"/>
      <w:lang w:val="en-GB" w:eastAsia="ar-SA"/>
    </w:rPr>
  </w:style>
  <w:style w:type="paragraph" w:styleId="Caption">
    <w:name w:val="caption"/>
    <w:basedOn w:val="Normal"/>
    <w:next w:val="Normal"/>
    <w:uiPriority w:val="35"/>
    <w:qFormat/>
    <w:rsid w:val="008342DA"/>
    <w:rPr>
      <w:b/>
      <w:bCs/>
      <w:sz w:val="18"/>
      <w:szCs w:val="20"/>
    </w:rPr>
  </w:style>
  <w:style w:type="character" w:styleId="FootnoteReference">
    <w:name w:val="footnote reference"/>
    <w:basedOn w:val="DefaultParagraphFont"/>
    <w:uiPriority w:val="99"/>
    <w:semiHidden/>
    <w:rsid w:val="008342DA"/>
    <w:rPr>
      <w:vertAlign w:val="superscript"/>
    </w:rPr>
  </w:style>
  <w:style w:type="paragraph" w:styleId="FootnoteText">
    <w:name w:val="footnote text"/>
    <w:basedOn w:val="Normal"/>
    <w:link w:val="FootnoteTextChar"/>
    <w:uiPriority w:val="99"/>
    <w:semiHidden/>
    <w:rsid w:val="008342DA"/>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8342DA"/>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8342DA"/>
    <w:pPr>
      <w:tabs>
        <w:tab w:val="center" w:pos="4703"/>
        <w:tab w:val="right" w:pos="9406"/>
      </w:tabs>
    </w:pPr>
  </w:style>
  <w:style w:type="character" w:customStyle="1" w:styleId="FooterChar">
    <w:name w:val="Footer Char"/>
    <w:basedOn w:val="DefaultParagraphFont"/>
    <w:link w:val="Footer"/>
    <w:uiPriority w:val="99"/>
    <w:rsid w:val="008342DA"/>
    <w:rPr>
      <w:rFonts w:ascii="Palatino Linotype" w:eastAsia="Times New Roman" w:hAnsi="Palatino Linotype" w:cs="Arial"/>
      <w:szCs w:val="16"/>
      <w:lang w:eastAsia="ar-SA"/>
    </w:rPr>
  </w:style>
  <w:style w:type="paragraph" w:styleId="NoSpacing">
    <w:name w:val="No Spacing"/>
    <w:uiPriority w:val="1"/>
    <w:qFormat/>
    <w:rsid w:val="008342DA"/>
    <w:pPr>
      <w:suppressAutoHyphens/>
      <w:spacing w:after="0" w:line="240" w:lineRule="auto"/>
    </w:pPr>
    <w:rPr>
      <w:rFonts w:ascii="Arial" w:eastAsia="Times New Roman" w:hAnsi="Arial" w:cs="Arial"/>
      <w:sz w:val="16"/>
      <w:szCs w:val="16"/>
      <w:lang w:eastAsia="ar-SA"/>
    </w:rPr>
  </w:style>
  <w:style w:type="character" w:styleId="Hyperlink">
    <w:name w:val="Hyperlink"/>
    <w:basedOn w:val="DefaultParagraphFont"/>
    <w:uiPriority w:val="99"/>
    <w:unhideWhenUsed/>
    <w:rsid w:val="008A0C5D"/>
    <w:rPr>
      <w:color w:val="0000FF"/>
      <w:u w:val="single"/>
    </w:rPr>
  </w:style>
  <w:style w:type="character" w:styleId="Emphasis">
    <w:name w:val="Emphasis"/>
    <w:basedOn w:val="DefaultParagraphFont"/>
    <w:uiPriority w:val="20"/>
    <w:qFormat/>
    <w:rsid w:val="00354F13"/>
    <w:rPr>
      <w:i/>
      <w:iCs/>
    </w:rPr>
  </w:style>
  <w:style w:type="character" w:customStyle="1" w:styleId="zmlenmeyenBahsetme1">
    <w:name w:val="Çözümlenmeyen Bahsetme1"/>
    <w:basedOn w:val="DefaultParagraphFont"/>
    <w:uiPriority w:val="99"/>
    <w:semiHidden/>
    <w:unhideWhenUsed/>
    <w:rsid w:val="007B0077"/>
    <w:rPr>
      <w:color w:val="808080"/>
      <w:shd w:val="clear" w:color="auto" w:fill="E6E6E6"/>
    </w:rPr>
  </w:style>
  <w:style w:type="character" w:styleId="FollowedHyperlink">
    <w:name w:val="FollowedHyperlink"/>
    <w:basedOn w:val="DefaultParagraphFont"/>
    <w:uiPriority w:val="99"/>
    <w:semiHidden/>
    <w:unhideWhenUsed/>
    <w:rsid w:val="007B0077"/>
    <w:rPr>
      <w:color w:val="800080" w:themeColor="followedHyperlink"/>
      <w:u w:val="single"/>
    </w:rPr>
  </w:style>
  <w:style w:type="paragraph" w:styleId="Header">
    <w:name w:val="header"/>
    <w:basedOn w:val="Normal"/>
    <w:link w:val="HeaderChar"/>
    <w:uiPriority w:val="99"/>
    <w:unhideWhenUsed/>
    <w:rsid w:val="00BA46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46D9"/>
    <w:rPr>
      <w:rFonts w:ascii="Palatino Linotype" w:eastAsia="Times New Roman" w:hAnsi="Palatino Linotype" w:cs="Arial"/>
      <w:szCs w:val="16"/>
      <w:lang w:eastAsia="ar-SA"/>
    </w:rPr>
  </w:style>
  <w:style w:type="character" w:styleId="CommentReference">
    <w:name w:val="annotation reference"/>
    <w:basedOn w:val="DefaultParagraphFont"/>
    <w:uiPriority w:val="99"/>
    <w:semiHidden/>
    <w:unhideWhenUsed/>
    <w:rsid w:val="00EB5237"/>
    <w:rPr>
      <w:sz w:val="16"/>
      <w:szCs w:val="16"/>
    </w:rPr>
  </w:style>
  <w:style w:type="paragraph" w:styleId="CommentText">
    <w:name w:val="annotation text"/>
    <w:basedOn w:val="Normal"/>
    <w:link w:val="CommentTextChar"/>
    <w:uiPriority w:val="99"/>
    <w:semiHidden/>
    <w:unhideWhenUsed/>
    <w:rsid w:val="00EB5237"/>
    <w:pPr>
      <w:spacing w:line="240" w:lineRule="auto"/>
    </w:pPr>
    <w:rPr>
      <w:sz w:val="20"/>
      <w:szCs w:val="20"/>
    </w:rPr>
  </w:style>
  <w:style w:type="character" w:customStyle="1" w:styleId="CommentTextChar">
    <w:name w:val="Comment Text Char"/>
    <w:basedOn w:val="DefaultParagraphFont"/>
    <w:link w:val="CommentText"/>
    <w:uiPriority w:val="99"/>
    <w:semiHidden/>
    <w:rsid w:val="00EB5237"/>
    <w:rPr>
      <w:rFonts w:ascii="Palatino Linotype" w:eastAsia="Times New Roman" w:hAnsi="Palatino Linotype" w:cs="Arial"/>
      <w:sz w:val="20"/>
      <w:szCs w:val="20"/>
      <w:lang w:eastAsia="ar-SA"/>
    </w:rPr>
  </w:style>
  <w:style w:type="paragraph" w:styleId="CommentSubject">
    <w:name w:val="annotation subject"/>
    <w:basedOn w:val="CommentText"/>
    <w:next w:val="CommentText"/>
    <w:link w:val="CommentSubjectChar"/>
    <w:uiPriority w:val="99"/>
    <w:semiHidden/>
    <w:unhideWhenUsed/>
    <w:rsid w:val="00EB5237"/>
    <w:rPr>
      <w:b/>
      <w:bCs/>
    </w:rPr>
  </w:style>
  <w:style w:type="character" w:customStyle="1" w:styleId="CommentSubjectChar">
    <w:name w:val="Comment Subject Char"/>
    <w:basedOn w:val="CommentTextChar"/>
    <w:link w:val="CommentSubject"/>
    <w:uiPriority w:val="99"/>
    <w:semiHidden/>
    <w:rsid w:val="00EB5237"/>
    <w:rPr>
      <w:rFonts w:ascii="Palatino Linotype" w:eastAsia="Times New Roman" w:hAnsi="Palatino Linotype" w:cs="Arial"/>
      <w:b/>
      <w:bCs/>
      <w:sz w:val="20"/>
      <w:szCs w:val="20"/>
      <w:lang w:eastAsia="ar-SA"/>
    </w:rPr>
  </w:style>
  <w:style w:type="paragraph" w:styleId="BalloonText">
    <w:name w:val="Balloon Text"/>
    <w:basedOn w:val="Normal"/>
    <w:link w:val="BalloonTextChar"/>
    <w:uiPriority w:val="99"/>
    <w:semiHidden/>
    <w:unhideWhenUsed/>
    <w:rsid w:val="00EB5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237"/>
    <w:rPr>
      <w:rFonts w:ascii="Segoe UI" w:eastAsia="Times New Roman" w:hAnsi="Segoe UI" w:cs="Segoe UI"/>
      <w:sz w:val="18"/>
      <w:szCs w:val="18"/>
      <w:lang w:eastAsia="ar-SA"/>
    </w:rPr>
  </w:style>
  <w:style w:type="character" w:customStyle="1" w:styleId="Heading1Char">
    <w:name w:val="Heading 1 Char"/>
    <w:basedOn w:val="DefaultParagraphFont"/>
    <w:link w:val="Heading1"/>
    <w:uiPriority w:val="9"/>
    <w:rsid w:val="00E066EE"/>
    <w:rPr>
      <w:rFonts w:asciiTheme="majorHAnsi" w:eastAsiaTheme="majorEastAsia" w:hAnsiTheme="majorHAnsi" w:cstheme="majorBidi"/>
      <w:color w:val="365F91" w:themeColor="accent1" w:themeShade="BF"/>
      <w:sz w:val="32"/>
      <w:szCs w:val="32"/>
      <w:lang w:eastAsia="ar-SA"/>
    </w:rPr>
  </w:style>
  <w:style w:type="paragraph" w:styleId="ListParagraph">
    <w:name w:val="List Paragraph"/>
    <w:basedOn w:val="Normal"/>
    <w:uiPriority w:val="34"/>
    <w:qFormat/>
    <w:rsid w:val="00CE661F"/>
    <w:pPr>
      <w:suppressAutoHyphens w:val="0"/>
      <w:spacing w:after="200"/>
      <w:ind w:left="720"/>
      <w:contextualSpacing/>
      <w:jc w:val="left"/>
    </w:pPr>
    <w:rPr>
      <w:rFonts w:asciiTheme="minorHAnsi" w:eastAsiaTheme="minorEastAsia" w:hAnsiTheme="minorHAnsi" w:cstheme="minorBidi"/>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548">
      <w:bodyDiv w:val="1"/>
      <w:marLeft w:val="0"/>
      <w:marRight w:val="0"/>
      <w:marTop w:val="0"/>
      <w:marBottom w:val="0"/>
      <w:divBdr>
        <w:top w:val="none" w:sz="0" w:space="0" w:color="auto"/>
        <w:left w:val="none" w:sz="0" w:space="0" w:color="auto"/>
        <w:bottom w:val="none" w:sz="0" w:space="0" w:color="auto"/>
        <w:right w:val="none" w:sz="0" w:space="0" w:color="auto"/>
      </w:divBdr>
    </w:div>
    <w:div w:id="79177386">
      <w:bodyDiv w:val="1"/>
      <w:marLeft w:val="0"/>
      <w:marRight w:val="0"/>
      <w:marTop w:val="0"/>
      <w:marBottom w:val="0"/>
      <w:divBdr>
        <w:top w:val="none" w:sz="0" w:space="0" w:color="auto"/>
        <w:left w:val="none" w:sz="0" w:space="0" w:color="auto"/>
        <w:bottom w:val="none" w:sz="0" w:space="0" w:color="auto"/>
        <w:right w:val="none" w:sz="0" w:space="0" w:color="auto"/>
      </w:divBdr>
    </w:div>
    <w:div w:id="96482307">
      <w:bodyDiv w:val="1"/>
      <w:marLeft w:val="0"/>
      <w:marRight w:val="0"/>
      <w:marTop w:val="0"/>
      <w:marBottom w:val="0"/>
      <w:divBdr>
        <w:top w:val="none" w:sz="0" w:space="0" w:color="auto"/>
        <w:left w:val="none" w:sz="0" w:space="0" w:color="auto"/>
        <w:bottom w:val="none" w:sz="0" w:space="0" w:color="auto"/>
        <w:right w:val="none" w:sz="0" w:space="0" w:color="auto"/>
      </w:divBdr>
    </w:div>
    <w:div w:id="198519837">
      <w:bodyDiv w:val="1"/>
      <w:marLeft w:val="0"/>
      <w:marRight w:val="0"/>
      <w:marTop w:val="0"/>
      <w:marBottom w:val="0"/>
      <w:divBdr>
        <w:top w:val="none" w:sz="0" w:space="0" w:color="auto"/>
        <w:left w:val="none" w:sz="0" w:space="0" w:color="auto"/>
        <w:bottom w:val="none" w:sz="0" w:space="0" w:color="auto"/>
        <w:right w:val="none" w:sz="0" w:space="0" w:color="auto"/>
      </w:divBdr>
    </w:div>
    <w:div w:id="212426493">
      <w:bodyDiv w:val="1"/>
      <w:marLeft w:val="0"/>
      <w:marRight w:val="0"/>
      <w:marTop w:val="0"/>
      <w:marBottom w:val="0"/>
      <w:divBdr>
        <w:top w:val="none" w:sz="0" w:space="0" w:color="auto"/>
        <w:left w:val="none" w:sz="0" w:space="0" w:color="auto"/>
        <w:bottom w:val="none" w:sz="0" w:space="0" w:color="auto"/>
        <w:right w:val="none" w:sz="0" w:space="0" w:color="auto"/>
      </w:divBdr>
    </w:div>
    <w:div w:id="472914960">
      <w:bodyDiv w:val="1"/>
      <w:marLeft w:val="0"/>
      <w:marRight w:val="0"/>
      <w:marTop w:val="0"/>
      <w:marBottom w:val="0"/>
      <w:divBdr>
        <w:top w:val="none" w:sz="0" w:space="0" w:color="auto"/>
        <w:left w:val="none" w:sz="0" w:space="0" w:color="auto"/>
        <w:bottom w:val="none" w:sz="0" w:space="0" w:color="auto"/>
        <w:right w:val="none" w:sz="0" w:space="0" w:color="auto"/>
      </w:divBdr>
    </w:div>
    <w:div w:id="538593965">
      <w:bodyDiv w:val="1"/>
      <w:marLeft w:val="0"/>
      <w:marRight w:val="0"/>
      <w:marTop w:val="0"/>
      <w:marBottom w:val="0"/>
      <w:divBdr>
        <w:top w:val="none" w:sz="0" w:space="0" w:color="auto"/>
        <w:left w:val="none" w:sz="0" w:space="0" w:color="auto"/>
        <w:bottom w:val="none" w:sz="0" w:space="0" w:color="auto"/>
        <w:right w:val="none" w:sz="0" w:space="0" w:color="auto"/>
      </w:divBdr>
    </w:div>
    <w:div w:id="589631045">
      <w:bodyDiv w:val="1"/>
      <w:marLeft w:val="0"/>
      <w:marRight w:val="0"/>
      <w:marTop w:val="0"/>
      <w:marBottom w:val="0"/>
      <w:divBdr>
        <w:top w:val="none" w:sz="0" w:space="0" w:color="auto"/>
        <w:left w:val="none" w:sz="0" w:space="0" w:color="auto"/>
        <w:bottom w:val="none" w:sz="0" w:space="0" w:color="auto"/>
        <w:right w:val="none" w:sz="0" w:space="0" w:color="auto"/>
      </w:divBdr>
    </w:div>
    <w:div w:id="714044022">
      <w:bodyDiv w:val="1"/>
      <w:marLeft w:val="0"/>
      <w:marRight w:val="0"/>
      <w:marTop w:val="0"/>
      <w:marBottom w:val="0"/>
      <w:divBdr>
        <w:top w:val="none" w:sz="0" w:space="0" w:color="auto"/>
        <w:left w:val="none" w:sz="0" w:space="0" w:color="auto"/>
        <w:bottom w:val="none" w:sz="0" w:space="0" w:color="auto"/>
        <w:right w:val="none" w:sz="0" w:space="0" w:color="auto"/>
      </w:divBdr>
    </w:div>
    <w:div w:id="829711537">
      <w:bodyDiv w:val="1"/>
      <w:marLeft w:val="0"/>
      <w:marRight w:val="0"/>
      <w:marTop w:val="0"/>
      <w:marBottom w:val="0"/>
      <w:divBdr>
        <w:top w:val="none" w:sz="0" w:space="0" w:color="auto"/>
        <w:left w:val="none" w:sz="0" w:space="0" w:color="auto"/>
        <w:bottom w:val="none" w:sz="0" w:space="0" w:color="auto"/>
        <w:right w:val="none" w:sz="0" w:space="0" w:color="auto"/>
      </w:divBdr>
    </w:div>
    <w:div w:id="862204129">
      <w:bodyDiv w:val="1"/>
      <w:marLeft w:val="0"/>
      <w:marRight w:val="0"/>
      <w:marTop w:val="0"/>
      <w:marBottom w:val="0"/>
      <w:divBdr>
        <w:top w:val="none" w:sz="0" w:space="0" w:color="auto"/>
        <w:left w:val="none" w:sz="0" w:space="0" w:color="auto"/>
        <w:bottom w:val="none" w:sz="0" w:space="0" w:color="auto"/>
        <w:right w:val="none" w:sz="0" w:space="0" w:color="auto"/>
      </w:divBdr>
    </w:div>
    <w:div w:id="893153079">
      <w:bodyDiv w:val="1"/>
      <w:marLeft w:val="0"/>
      <w:marRight w:val="0"/>
      <w:marTop w:val="0"/>
      <w:marBottom w:val="0"/>
      <w:divBdr>
        <w:top w:val="none" w:sz="0" w:space="0" w:color="auto"/>
        <w:left w:val="none" w:sz="0" w:space="0" w:color="auto"/>
        <w:bottom w:val="none" w:sz="0" w:space="0" w:color="auto"/>
        <w:right w:val="none" w:sz="0" w:space="0" w:color="auto"/>
      </w:divBdr>
    </w:div>
    <w:div w:id="906888376">
      <w:bodyDiv w:val="1"/>
      <w:marLeft w:val="0"/>
      <w:marRight w:val="0"/>
      <w:marTop w:val="0"/>
      <w:marBottom w:val="0"/>
      <w:divBdr>
        <w:top w:val="none" w:sz="0" w:space="0" w:color="auto"/>
        <w:left w:val="none" w:sz="0" w:space="0" w:color="auto"/>
        <w:bottom w:val="none" w:sz="0" w:space="0" w:color="auto"/>
        <w:right w:val="none" w:sz="0" w:space="0" w:color="auto"/>
      </w:divBdr>
    </w:div>
    <w:div w:id="996763290">
      <w:bodyDiv w:val="1"/>
      <w:marLeft w:val="0"/>
      <w:marRight w:val="0"/>
      <w:marTop w:val="0"/>
      <w:marBottom w:val="0"/>
      <w:divBdr>
        <w:top w:val="none" w:sz="0" w:space="0" w:color="auto"/>
        <w:left w:val="none" w:sz="0" w:space="0" w:color="auto"/>
        <w:bottom w:val="none" w:sz="0" w:space="0" w:color="auto"/>
        <w:right w:val="none" w:sz="0" w:space="0" w:color="auto"/>
      </w:divBdr>
    </w:div>
    <w:div w:id="1010253983">
      <w:bodyDiv w:val="1"/>
      <w:marLeft w:val="0"/>
      <w:marRight w:val="0"/>
      <w:marTop w:val="0"/>
      <w:marBottom w:val="0"/>
      <w:divBdr>
        <w:top w:val="none" w:sz="0" w:space="0" w:color="auto"/>
        <w:left w:val="none" w:sz="0" w:space="0" w:color="auto"/>
        <w:bottom w:val="none" w:sz="0" w:space="0" w:color="auto"/>
        <w:right w:val="none" w:sz="0" w:space="0" w:color="auto"/>
      </w:divBdr>
    </w:div>
    <w:div w:id="1077941629">
      <w:bodyDiv w:val="1"/>
      <w:marLeft w:val="0"/>
      <w:marRight w:val="0"/>
      <w:marTop w:val="0"/>
      <w:marBottom w:val="0"/>
      <w:divBdr>
        <w:top w:val="none" w:sz="0" w:space="0" w:color="auto"/>
        <w:left w:val="none" w:sz="0" w:space="0" w:color="auto"/>
        <w:bottom w:val="none" w:sz="0" w:space="0" w:color="auto"/>
        <w:right w:val="none" w:sz="0" w:space="0" w:color="auto"/>
      </w:divBdr>
    </w:div>
    <w:div w:id="1113750282">
      <w:bodyDiv w:val="1"/>
      <w:marLeft w:val="0"/>
      <w:marRight w:val="0"/>
      <w:marTop w:val="0"/>
      <w:marBottom w:val="0"/>
      <w:divBdr>
        <w:top w:val="none" w:sz="0" w:space="0" w:color="auto"/>
        <w:left w:val="none" w:sz="0" w:space="0" w:color="auto"/>
        <w:bottom w:val="none" w:sz="0" w:space="0" w:color="auto"/>
        <w:right w:val="none" w:sz="0" w:space="0" w:color="auto"/>
      </w:divBdr>
    </w:div>
    <w:div w:id="1131822183">
      <w:bodyDiv w:val="1"/>
      <w:marLeft w:val="0"/>
      <w:marRight w:val="0"/>
      <w:marTop w:val="0"/>
      <w:marBottom w:val="0"/>
      <w:divBdr>
        <w:top w:val="none" w:sz="0" w:space="0" w:color="auto"/>
        <w:left w:val="none" w:sz="0" w:space="0" w:color="auto"/>
        <w:bottom w:val="none" w:sz="0" w:space="0" w:color="auto"/>
        <w:right w:val="none" w:sz="0" w:space="0" w:color="auto"/>
      </w:divBdr>
    </w:div>
    <w:div w:id="1320500215">
      <w:bodyDiv w:val="1"/>
      <w:marLeft w:val="0"/>
      <w:marRight w:val="0"/>
      <w:marTop w:val="0"/>
      <w:marBottom w:val="0"/>
      <w:divBdr>
        <w:top w:val="none" w:sz="0" w:space="0" w:color="auto"/>
        <w:left w:val="none" w:sz="0" w:space="0" w:color="auto"/>
        <w:bottom w:val="none" w:sz="0" w:space="0" w:color="auto"/>
        <w:right w:val="none" w:sz="0" w:space="0" w:color="auto"/>
      </w:divBdr>
    </w:div>
    <w:div w:id="1404139559">
      <w:bodyDiv w:val="1"/>
      <w:marLeft w:val="0"/>
      <w:marRight w:val="0"/>
      <w:marTop w:val="0"/>
      <w:marBottom w:val="0"/>
      <w:divBdr>
        <w:top w:val="none" w:sz="0" w:space="0" w:color="auto"/>
        <w:left w:val="none" w:sz="0" w:space="0" w:color="auto"/>
        <w:bottom w:val="none" w:sz="0" w:space="0" w:color="auto"/>
        <w:right w:val="none" w:sz="0" w:space="0" w:color="auto"/>
      </w:divBdr>
    </w:div>
    <w:div w:id="1406806617">
      <w:bodyDiv w:val="1"/>
      <w:marLeft w:val="0"/>
      <w:marRight w:val="0"/>
      <w:marTop w:val="0"/>
      <w:marBottom w:val="0"/>
      <w:divBdr>
        <w:top w:val="none" w:sz="0" w:space="0" w:color="auto"/>
        <w:left w:val="none" w:sz="0" w:space="0" w:color="auto"/>
        <w:bottom w:val="none" w:sz="0" w:space="0" w:color="auto"/>
        <w:right w:val="none" w:sz="0" w:space="0" w:color="auto"/>
      </w:divBdr>
    </w:div>
    <w:div w:id="1458835196">
      <w:bodyDiv w:val="1"/>
      <w:marLeft w:val="0"/>
      <w:marRight w:val="0"/>
      <w:marTop w:val="0"/>
      <w:marBottom w:val="0"/>
      <w:divBdr>
        <w:top w:val="none" w:sz="0" w:space="0" w:color="auto"/>
        <w:left w:val="none" w:sz="0" w:space="0" w:color="auto"/>
        <w:bottom w:val="none" w:sz="0" w:space="0" w:color="auto"/>
        <w:right w:val="none" w:sz="0" w:space="0" w:color="auto"/>
      </w:divBdr>
    </w:div>
    <w:div w:id="1603564602">
      <w:bodyDiv w:val="1"/>
      <w:marLeft w:val="0"/>
      <w:marRight w:val="0"/>
      <w:marTop w:val="0"/>
      <w:marBottom w:val="0"/>
      <w:divBdr>
        <w:top w:val="none" w:sz="0" w:space="0" w:color="auto"/>
        <w:left w:val="none" w:sz="0" w:space="0" w:color="auto"/>
        <w:bottom w:val="none" w:sz="0" w:space="0" w:color="auto"/>
        <w:right w:val="none" w:sz="0" w:space="0" w:color="auto"/>
      </w:divBdr>
    </w:div>
    <w:div w:id="1610547485">
      <w:bodyDiv w:val="1"/>
      <w:marLeft w:val="0"/>
      <w:marRight w:val="0"/>
      <w:marTop w:val="0"/>
      <w:marBottom w:val="0"/>
      <w:divBdr>
        <w:top w:val="none" w:sz="0" w:space="0" w:color="auto"/>
        <w:left w:val="none" w:sz="0" w:space="0" w:color="auto"/>
        <w:bottom w:val="none" w:sz="0" w:space="0" w:color="auto"/>
        <w:right w:val="none" w:sz="0" w:space="0" w:color="auto"/>
      </w:divBdr>
    </w:div>
    <w:div w:id="1843809727">
      <w:bodyDiv w:val="1"/>
      <w:marLeft w:val="0"/>
      <w:marRight w:val="0"/>
      <w:marTop w:val="0"/>
      <w:marBottom w:val="0"/>
      <w:divBdr>
        <w:top w:val="none" w:sz="0" w:space="0" w:color="auto"/>
        <w:left w:val="none" w:sz="0" w:space="0" w:color="auto"/>
        <w:bottom w:val="none" w:sz="0" w:space="0" w:color="auto"/>
        <w:right w:val="none" w:sz="0" w:space="0" w:color="auto"/>
      </w:divBdr>
    </w:div>
    <w:div w:id="1852985096">
      <w:bodyDiv w:val="1"/>
      <w:marLeft w:val="0"/>
      <w:marRight w:val="0"/>
      <w:marTop w:val="0"/>
      <w:marBottom w:val="0"/>
      <w:divBdr>
        <w:top w:val="none" w:sz="0" w:space="0" w:color="auto"/>
        <w:left w:val="none" w:sz="0" w:space="0" w:color="auto"/>
        <w:bottom w:val="none" w:sz="0" w:space="0" w:color="auto"/>
        <w:right w:val="none" w:sz="0" w:space="0" w:color="auto"/>
      </w:divBdr>
    </w:div>
    <w:div w:id="1907648240">
      <w:bodyDiv w:val="1"/>
      <w:marLeft w:val="0"/>
      <w:marRight w:val="0"/>
      <w:marTop w:val="0"/>
      <w:marBottom w:val="0"/>
      <w:divBdr>
        <w:top w:val="none" w:sz="0" w:space="0" w:color="auto"/>
        <w:left w:val="none" w:sz="0" w:space="0" w:color="auto"/>
        <w:bottom w:val="none" w:sz="0" w:space="0" w:color="auto"/>
        <w:right w:val="none" w:sz="0" w:space="0" w:color="auto"/>
      </w:divBdr>
    </w:div>
    <w:div w:id="1974560432">
      <w:bodyDiv w:val="1"/>
      <w:marLeft w:val="0"/>
      <w:marRight w:val="0"/>
      <w:marTop w:val="0"/>
      <w:marBottom w:val="0"/>
      <w:divBdr>
        <w:top w:val="none" w:sz="0" w:space="0" w:color="auto"/>
        <w:left w:val="none" w:sz="0" w:space="0" w:color="auto"/>
        <w:bottom w:val="none" w:sz="0" w:space="0" w:color="auto"/>
        <w:right w:val="none" w:sz="0" w:space="0" w:color="auto"/>
      </w:divBdr>
    </w:div>
    <w:div w:id="2021924843">
      <w:bodyDiv w:val="1"/>
      <w:marLeft w:val="0"/>
      <w:marRight w:val="0"/>
      <w:marTop w:val="0"/>
      <w:marBottom w:val="0"/>
      <w:divBdr>
        <w:top w:val="none" w:sz="0" w:space="0" w:color="auto"/>
        <w:left w:val="none" w:sz="0" w:space="0" w:color="auto"/>
        <w:bottom w:val="none" w:sz="0" w:space="0" w:color="auto"/>
        <w:right w:val="none" w:sz="0" w:space="0" w:color="auto"/>
      </w:divBdr>
    </w:div>
    <w:div w:id="2118134240">
      <w:bodyDiv w:val="1"/>
      <w:marLeft w:val="0"/>
      <w:marRight w:val="0"/>
      <w:marTop w:val="0"/>
      <w:marBottom w:val="0"/>
      <w:divBdr>
        <w:top w:val="none" w:sz="0" w:space="0" w:color="auto"/>
        <w:left w:val="none" w:sz="0" w:space="0" w:color="auto"/>
        <w:bottom w:val="none" w:sz="0" w:space="0" w:color="auto"/>
        <w:right w:val="none" w:sz="0" w:space="0" w:color="auto"/>
      </w:divBdr>
    </w:div>
    <w:div w:id="21185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10" Type="http://schemas.openxmlformats.org/officeDocument/2006/relationships/oleObject" Target="embeddings/oleObject1.bin"/><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_rels/footnotes.xml.rels><?xml version="1.0" encoding="UTF-8" standalone="yes"?>
<Relationships xmlns="http://schemas.openxmlformats.org/package/2006/relationships"><Relationship Id="rId3" Type="http://schemas.openxmlformats.org/officeDocument/2006/relationships/hyperlink" Target="mailto:yazgi.genc@eas.bau.edu.tr" TargetMode="External"/><Relationship Id="rId2" Type="http://schemas.openxmlformats.org/officeDocument/2006/relationships/hyperlink" Target="mailto:ozan.bakis@eas.bau.edu.tr" TargetMode="External"/><Relationship Id="rId1" Type="http://schemas.openxmlformats.org/officeDocument/2006/relationships/hyperlink" Target="file:///C:\Documents%20and%20Settings\seyfettin.gursel\Local%20Settings\Temporary%20Internet%20Files\Content.Outlook\XEHMCRWR\seyfettin.gursel@eas.ba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7DEB8-6719-4A06-90E0-863B1C92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3943</Words>
  <Characters>22476</Characters>
  <Application>Microsoft Office Word</Application>
  <DocSecurity>0</DocSecurity>
  <Lines>187</Lines>
  <Paragraphs>52</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Yazgi GENC</dc:creator>
  <cp:keywords/>
  <dc:description/>
  <cp:lastModifiedBy>merve.akgul</cp:lastModifiedBy>
  <cp:revision>32</cp:revision>
  <dcterms:created xsi:type="dcterms:W3CDTF">2018-06-05T10:52:00Z</dcterms:created>
  <dcterms:modified xsi:type="dcterms:W3CDTF">2018-08-03T07:58:00Z</dcterms:modified>
</cp:coreProperties>
</file>