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0088628"/>
    <w:bookmarkEnd w:id="0"/>
    <w:p w14:paraId="74AE5406" w14:textId="77777777" w:rsidR="00B047D4" w:rsidRPr="009B4428" w:rsidRDefault="00516E15" w:rsidP="00ED3B36">
      <w:pPr>
        <w:jc w:val="both"/>
      </w:pPr>
      <w:r w:rsidRPr="009B4428">
        <w:rPr>
          <w:noProof/>
        </w:rPr>
        <mc:AlternateContent>
          <mc:Choice Requires="wps">
            <w:drawing>
              <wp:anchor distT="0" distB="0" distL="114935" distR="114935" simplePos="0" relativeHeight="251662336" behindDoc="0" locked="0" layoutInCell="1" allowOverlap="1" wp14:anchorId="34528050" wp14:editId="5C113B1A">
                <wp:simplePos x="0" y="0"/>
                <wp:positionH relativeFrom="column">
                  <wp:posOffset>4915535</wp:posOffset>
                </wp:positionH>
                <wp:positionV relativeFrom="paragraph">
                  <wp:posOffset>114935</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53F30" w14:textId="789B838F" w:rsidR="00C275AD" w:rsidRPr="00DF0B5B" w:rsidRDefault="00C275AD"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w:t>
                            </w:r>
                            <w:r w:rsidR="00007C44">
                              <w:rPr>
                                <w:rFonts w:ascii="Cambria" w:hAnsi="Cambria"/>
                                <w:color w:val="FFFFFF"/>
                                <w:sz w:val="24"/>
                                <w:szCs w:val="24"/>
                                <w:lang w:val="tr-TR"/>
                              </w:rPr>
                              <w:t>27</w:t>
                            </w:r>
                            <w:r>
                              <w:rPr>
                                <w:rFonts w:ascii="Cambria" w:hAnsi="Cambria"/>
                                <w:color w:val="FFFFFF"/>
                                <w:sz w:val="24"/>
                                <w:szCs w:val="24"/>
                                <w:lang w:val="tr-TR"/>
                              </w:rPr>
                              <w:t xml:space="preserve"> Nisan</w:t>
                            </w:r>
                            <w:r w:rsidRPr="00DF0B5B">
                              <w:rPr>
                                <w:rFonts w:ascii="Cambria" w:hAnsi="Cambria"/>
                                <w:color w:val="FFFFFF"/>
                                <w:sz w:val="24"/>
                                <w:szCs w:val="24"/>
                                <w:lang w:val="tr-TR"/>
                              </w:rPr>
                              <w:t xml:space="preserve"> 201</w:t>
                            </w:r>
                            <w:r>
                              <w:rPr>
                                <w:rFonts w:ascii="Cambria" w:hAnsi="Cambria"/>
                                <w:color w:val="FFFFFF"/>
                                <w:sz w:val="24"/>
                                <w:szCs w:val="24"/>
                                <w:lang w:val="tr-TR"/>
                              </w:rPr>
                              <w:t>8</w:t>
                            </w:r>
                          </w:p>
                          <w:p w14:paraId="6F35F82A" w14:textId="77777777" w:rsidR="00C275AD" w:rsidRPr="00DF0B5B" w:rsidRDefault="00C275AD" w:rsidP="00B047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528050" id="_x0000_t202" coordsize="21600,21600" o:spt="202" path="m,l,21600r21600,l21600,xe">
                <v:stroke joinstyle="miter"/>
                <v:path gradientshapeok="t" o:connecttype="rect"/>
              </v:shapetype>
              <v:shape id="Text Box 4" o:spid="_x0000_s1026" type="#_x0000_t202" style="position:absolute;left:0;text-align:left;margin-left:387.05pt;margin-top:9.0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ySig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" stroked="f">
                <v:fill opacity="0"/>
                <v:textbox inset="0,0,0,0">
                  <w:txbxContent>
                    <w:p w14:paraId="48653F30" w14:textId="789B838F" w:rsidR="00C275AD" w:rsidRPr="00DF0B5B" w:rsidRDefault="00C275AD" w:rsidP="00B047D4">
                      <w:pPr>
                        <w:pStyle w:val="Balk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w:t>
                      </w:r>
                      <w:r w:rsidR="00007C44">
                        <w:rPr>
                          <w:rFonts w:ascii="Cambria" w:hAnsi="Cambria"/>
                          <w:color w:val="FFFFFF"/>
                          <w:sz w:val="24"/>
                          <w:szCs w:val="24"/>
                          <w:lang w:val="tr-TR"/>
                        </w:rPr>
                        <w:t>27</w:t>
                      </w:r>
                      <w:r>
                        <w:rPr>
                          <w:rFonts w:ascii="Cambria" w:hAnsi="Cambria"/>
                          <w:color w:val="FFFFFF"/>
                          <w:sz w:val="24"/>
                          <w:szCs w:val="24"/>
                          <w:lang w:val="tr-TR"/>
                        </w:rPr>
                        <w:t xml:space="preserve"> Nisan</w:t>
                      </w:r>
                      <w:r w:rsidRPr="00DF0B5B">
                        <w:rPr>
                          <w:rFonts w:ascii="Cambria" w:hAnsi="Cambria"/>
                          <w:color w:val="FFFFFF"/>
                          <w:sz w:val="24"/>
                          <w:szCs w:val="24"/>
                          <w:lang w:val="tr-TR"/>
                        </w:rPr>
                        <w:t xml:space="preserve"> 201</w:t>
                      </w:r>
                      <w:r>
                        <w:rPr>
                          <w:rFonts w:ascii="Cambria" w:hAnsi="Cambria"/>
                          <w:color w:val="FFFFFF"/>
                          <w:sz w:val="24"/>
                          <w:szCs w:val="24"/>
                          <w:lang w:val="tr-TR"/>
                        </w:rPr>
                        <w:t>8</w:t>
                      </w:r>
                    </w:p>
                    <w:p w14:paraId="6F35F82A" w14:textId="77777777" w:rsidR="00C275AD" w:rsidRPr="00DF0B5B" w:rsidRDefault="00C275AD" w:rsidP="00B047D4"/>
                  </w:txbxContent>
                </v:textbox>
              </v:shape>
            </w:pict>
          </mc:Fallback>
        </mc:AlternateContent>
      </w:r>
      <w:r w:rsidRPr="009B4428">
        <w:rPr>
          <w:noProof/>
        </w:rPr>
        <mc:AlternateContent>
          <mc:Choice Requires="wps">
            <w:drawing>
              <wp:anchor distT="0" distB="0" distL="114300" distR="114300" simplePos="0" relativeHeight="251661312" behindDoc="0" locked="0" layoutInCell="1" allowOverlap="1" wp14:anchorId="1C153D92" wp14:editId="75E7DDCE">
                <wp:simplePos x="0" y="0"/>
                <wp:positionH relativeFrom="column">
                  <wp:posOffset>1919605</wp:posOffset>
                </wp:positionH>
                <wp:positionV relativeFrom="paragraph">
                  <wp:posOffset>-497205</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EA755" w14:textId="74CAAC0F" w:rsidR="00C275AD" w:rsidRPr="00196536" w:rsidRDefault="00C275AD" w:rsidP="00B047D4">
                            <w:pPr>
                              <w:rPr>
                                <w:rFonts w:ascii="Cambria" w:hAnsi="Cambria"/>
                                <w:b/>
                                <w:sz w:val="44"/>
                                <w:szCs w:val="44"/>
                              </w:rPr>
                            </w:pPr>
                            <w:r>
                              <w:rPr>
                                <w:rFonts w:ascii="Cambria" w:hAnsi="Cambria"/>
                                <w:b/>
                                <w:sz w:val="44"/>
                                <w:szCs w:val="44"/>
                              </w:rPr>
                              <w:t>Araştırma Notu 18/</w:t>
                            </w:r>
                            <w:r w:rsidR="00EC1704">
                              <w:rPr>
                                <w:rFonts w:ascii="Cambria" w:hAnsi="Cambria"/>
                                <w:b/>
                                <w:sz w:val="44"/>
                                <w:szCs w:val="44"/>
                              </w:rPr>
                              <w:t>227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53D92" id="_x0000_t202" coordsize="21600,21600" o:spt="202" path="m,l,21600r21600,l21600,xe">
                <v:stroke joinstyle="miter"/>
                <v:path gradientshapeok="t" o:connecttype="rect"/>
              </v:shapetype>
              <v:shape id="Text Box 3" o:spid="_x0000_s1027" type="#_x0000_t202" style="position:absolute;left:0;text-align:left;margin-left:151.15pt;margin-top:-39.15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EgsgIAAME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" filled="f" stroked="f">
                <v:textbox inset=",7.2pt,,7.2pt">
                  <w:txbxContent>
                    <w:p w14:paraId="7E5EA755" w14:textId="74CAAC0F" w:rsidR="00C275AD" w:rsidRPr="00196536" w:rsidRDefault="00C275AD" w:rsidP="00B047D4">
                      <w:pPr>
                        <w:rPr>
                          <w:rFonts w:ascii="Cambria" w:hAnsi="Cambria"/>
                          <w:b/>
                          <w:sz w:val="44"/>
                          <w:szCs w:val="44"/>
                        </w:rPr>
                      </w:pPr>
                      <w:r>
                        <w:rPr>
                          <w:rFonts w:ascii="Cambria" w:hAnsi="Cambria"/>
                          <w:b/>
                          <w:sz w:val="44"/>
                          <w:szCs w:val="44"/>
                        </w:rPr>
                        <w:t>Araştırma Notu 18/</w:t>
                      </w:r>
                      <w:r w:rsidR="00EC1704">
                        <w:rPr>
                          <w:rFonts w:ascii="Cambria" w:hAnsi="Cambria"/>
                          <w:b/>
                          <w:sz w:val="44"/>
                          <w:szCs w:val="44"/>
                        </w:rPr>
                        <w:t>227</w:t>
                      </w:r>
                    </w:p>
                  </w:txbxContent>
                </v:textbox>
              </v:shape>
            </w:pict>
          </mc:Fallback>
        </mc:AlternateContent>
      </w:r>
      <w:r w:rsidR="00B047D4" w:rsidRPr="009B4428">
        <w:rPr>
          <w:noProof/>
        </w:rPr>
        <w:drawing>
          <wp:anchor distT="0" distB="0" distL="114300" distR="114300" simplePos="0" relativeHeight="251658240" behindDoc="1" locked="0" layoutInCell="1" allowOverlap="1" wp14:anchorId="5B352AE2" wp14:editId="21BB1478">
            <wp:simplePos x="0" y="0"/>
            <wp:positionH relativeFrom="column">
              <wp:posOffset>-833120</wp:posOffset>
            </wp:positionH>
            <wp:positionV relativeFrom="paragraph">
              <wp:posOffset>-795020</wp:posOffset>
            </wp:positionV>
            <wp:extent cx="7391400" cy="13430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561125" w:rsidRPr="009B4428">
        <w:tab/>
      </w:r>
    </w:p>
    <w:p w14:paraId="5EDA4E22" w14:textId="77777777" w:rsidR="00B047D4" w:rsidRPr="009B4428" w:rsidRDefault="00B047D4" w:rsidP="00ED3B36">
      <w:pPr>
        <w:jc w:val="both"/>
      </w:pPr>
    </w:p>
    <w:p w14:paraId="77F4542D" w14:textId="77777777" w:rsidR="00B047D4" w:rsidRPr="009B4428" w:rsidRDefault="00B047D4" w:rsidP="00ED3B36">
      <w:pPr>
        <w:jc w:val="both"/>
      </w:pPr>
    </w:p>
    <w:p w14:paraId="734E3CC7" w14:textId="6DB7BA20" w:rsidR="008C087D" w:rsidRPr="009B4428" w:rsidRDefault="00B7001D" w:rsidP="00FF087F">
      <w:pPr>
        <w:pStyle w:val="Heading3"/>
        <w:spacing w:line="276" w:lineRule="auto"/>
        <w:jc w:val="center"/>
        <w:rPr>
          <w:lang w:val="tr-TR"/>
        </w:rPr>
      </w:pPr>
      <w:r w:rsidRPr="009B4428">
        <w:rPr>
          <w:lang w:val="tr-TR"/>
        </w:rPr>
        <w:t xml:space="preserve">İŞSİZLİKTE </w:t>
      </w:r>
      <w:r w:rsidR="0007252A" w:rsidRPr="009B4428">
        <w:rPr>
          <w:lang w:val="tr-TR"/>
        </w:rPr>
        <w:t xml:space="preserve">EN İYİ </w:t>
      </w:r>
      <w:r w:rsidRPr="009B4428">
        <w:rPr>
          <w:lang w:val="tr-TR"/>
        </w:rPr>
        <w:t xml:space="preserve">VE </w:t>
      </w:r>
      <w:r w:rsidR="0007252A" w:rsidRPr="009B4428">
        <w:rPr>
          <w:lang w:val="tr-TR"/>
        </w:rPr>
        <w:t xml:space="preserve">EN KÖTÜ </w:t>
      </w:r>
      <w:r w:rsidRPr="009B4428">
        <w:rPr>
          <w:lang w:val="tr-TR"/>
        </w:rPr>
        <w:t>BÖLGELER</w:t>
      </w:r>
    </w:p>
    <w:p w14:paraId="1B7E9701" w14:textId="0CF65869" w:rsidR="008C087D" w:rsidRPr="009B4428" w:rsidRDefault="008C087D" w:rsidP="00FF087F">
      <w:pPr>
        <w:jc w:val="center"/>
        <w:rPr>
          <w:rFonts w:cs="Arial"/>
        </w:rPr>
      </w:pPr>
      <w:r w:rsidRPr="009B4428">
        <w:rPr>
          <w:rFonts w:cs="Arial"/>
        </w:rPr>
        <w:t>Seyfettin Gürsel</w:t>
      </w:r>
      <w:r w:rsidRPr="009B4428">
        <w:rPr>
          <w:rStyle w:val="FootnoteReference"/>
          <w:rFonts w:cs="Arial"/>
        </w:rPr>
        <w:footnoteReference w:customMarkFollows="1" w:id="1"/>
        <w:t>*</w:t>
      </w:r>
      <w:r w:rsidRPr="009B4428">
        <w:rPr>
          <w:rFonts w:cs="Arial"/>
        </w:rPr>
        <w:t xml:space="preserve">, </w:t>
      </w:r>
      <w:r w:rsidR="00862C95" w:rsidRPr="009B4428">
        <w:rPr>
          <w:rFonts w:cs="Arial"/>
        </w:rPr>
        <w:t>Yazgı Genç</w:t>
      </w:r>
      <w:r w:rsidRPr="009B4428">
        <w:rPr>
          <w:rStyle w:val="FootnoteReference"/>
          <w:rFonts w:cs="Arial"/>
        </w:rPr>
        <w:footnoteReference w:customMarkFollows="1" w:id="2"/>
        <w:t>**</w:t>
      </w:r>
      <w:r w:rsidRPr="009B4428">
        <w:rPr>
          <w:rFonts w:cs="Arial"/>
        </w:rPr>
        <w:t xml:space="preserve"> ve </w:t>
      </w:r>
      <w:r w:rsidR="00862C95" w:rsidRPr="009B4428">
        <w:rPr>
          <w:rFonts w:cs="Arial"/>
        </w:rPr>
        <w:t>Mine Durmaz Aslan</w:t>
      </w:r>
      <w:r w:rsidR="00862C95" w:rsidRPr="009B4428">
        <w:rPr>
          <w:rStyle w:val="FootnoteReference"/>
          <w:rFonts w:cs="Arial"/>
        </w:rPr>
        <w:t xml:space="preserve"> </w:t>
      </w:r>
      <w:r w:rsidRPr="009B4428">
        <w:rPr>
          <w:rStyle w:val="FootnoteReference"/>
          <w:rFonts w:cs="Arial"/>
        </w:rPr>
        <w:footnoteReference w:customMarkFollows="1" w:id="3"/>
        <w:t>**</w:t>
      </w:r>
      <w:r w:rsidRPr="009B4428">
        <w:rPr>
          <w:rStyle w:val="FootnoteReference"/>
          <w:rFonts w:cs="Arial"/>
        </w:rPr>
        <w:footnoteReference w:customMarkFollows="1" w:id="4"/>
        <w:t>*</w:t>
      </w:r>
    </w:p>
    <w:p w14:paraId="6273CCD0" w14:textId="77777777" w:rsidR="008C087D" w:rsidRPr="009B4428" w:rsidRDefault="008C087D" w:rsidP="00FF087F">
      <w:pPr>
        <w:jc w:val="center"/>
        <w:rPr>
          <w:rFonts w:cs="Arial"/>
          <w:b/>
          <w:sz w:val="28"/>
          <w:szCs w:val="28"/>
        </w:rPr>
      </w:pPr>
      <w:r w:rsidRPr="009B4428">
        <w:rPr>
          <w:rFonts w:cs="Arial"/>
          <w:b/>
          <w:sz w:val="28"/>
          <w:szCs w:val="28"/>
        </w:rPr>
        <w:t>Yönetici özeti</w:t>
      </w:r>
    </w:p>
    <w:p w14:paraId="54400692" w14:textId="5305B5FA" w:rsidR="00F23A7B" w:rsidRPr="009B4428" w:rsidRDefault="00F23A7B" w:rsidP="00ED3B36">
      <w:pPr>
        <w:jc w:val="both"/>
        <w:rPr>
          <w:rFonts w:cs="Arial"/>
        </w:rPr>
      </w:pPr>
      <w:bookmarkStart w:id="1" w:name="_GoBack"/>
      <w:r w:rsidRPr="009B4428">
        <w:rPr>
          <w:rFonts w:cs="Arial"/>
        </w:rPr>
        <w:t>2016’dan 2017’ye</w:t>
      </w:r>
      <w:r w:rsidR="00363FED" w:rsidRPr="009B4428">
        <w:rPr>
          <w:rFonts w:cs="Arial"/>
        </w:rPr>
        <w:t xml:space="preserve"> Türkiye’de tarım dışı işsizlik oranı yüzde 13,0’da sabit kaldı. </w:t>
      </w:r>
      <w:r w:rsidR="00204734" w:rsidRPr="009B4428">
        <w:rPr>
          <w:rFonts w:cs="Arial"/>
        </w:rPr>
        <w:t>Bununla birlikte bölgesel işgücü piyasaları</w:t>
      </w:r>
      <w:r w:rsidR="005505DA" w:rsidRPr="009B4428">
        <w:rPr>
          <w:rFonts w:cs="Arial"/>
        </w:rPr>
        <w:t>nın</w:t>
      </w:r>
      <w:r w:rsidR="00204734" w:rsidRPr="009B4428">
        <w:rPr>
          <w:rFonts w:cs="Arial"/>
        </w:rPr>
        <w:t xml:space="preserve"> çok farklı hareket </w:t>
      </w:r>
      <w:r w:rsidR="005505DA" w:rsidRPr="009B4428">
        <w:rPr>
          <w:rFonts w:cs="Arial"/>
        </w:rPr>
        <w:t xml:space="preserve">ettiği </w:t>
      </w:r>
      <w:r w:rsidR="00965FD6" w:rsidRPr="009B4428">
        <w:rPr>
          <w:rFonts w:cs="Arial"/>
        </w:rPr>
        <w:t>görülmektedir</w:t>
      </w:r>
      <w:r w:rsidR="00204734" w:rsidRPr="009B4428">
        <w:rPr>
          <w:rFonts w:cs="Arial"/>
        </w:rPr>
        <w:t xml:space="preserve">. </w:t>
      </w:r>
      <w:r w:rsidR="00F54526" w:rsidRPr="009B4428">
        <w:rPr>
          <w:rFonts w:cs="Arial"/>
        </w:rPr>
        <w:t xml:space="preserve">26 bölgenin (Düzey 2) </w:t>
      </w:r>
      <w:r w:rsidR="007203E0" w:rsidRPr="009B4428">
        <w:rPr>
          <w:rFonts w:cs="Arial"/>
        </w:rPr>
        <w:t>13’ünde tarım dışı işsizlik azalırken 11’inde artmış, 2’sinde ise değişme</w:t>
      </w:r>
      <w:r w:rsidR="00204734" w:rsidRPr="009B4428">
        <w:rPr>
          <w:rFonts w:cs="Arial"/>
        </w:rPr>
        <w:t>miştir</w:t>
      </w:r>
      <w:r w:rsidR="007203E0" w:rsidRPr="009B4428">
        <w:rPr>
          <w:rFonts w:cs="Arial"/>
        </w:rPr>
        <w:t xml:space="preserve">. </w:t>
      </w:r>
      <w:r w:rsidR="000E5830" w:rsidRPr="009B4428">
        <w:rPr>
          <w:rFonts w:cs="Arial"/>
        </w:rPr>
        <w:t xml:space="preserve">Bölgeler tarım dışı işsizlik oranları ile karşılaştırıldığında </w:t>
      </w:r>
      <w:r w:rsidR="00724850" w:rsidRPr="009B4428">
        <w:rPr>
          <w:rFonts w:cs="Arial"/>
        </w:rPr>
        <w:t xml:space="preserve">yüzde 6,1 ile en düşük tarım dışı işsizlik oranına sahip </w:t>
      </w:r>
      <w:r w:rsidR="00A03E8F" w:rsidRPr="009B4428">
        <w:rPr>
          <w:rFonts w:cs="Arial"/>
        </w:rPr>
        <w:t>Trabzon</w:t>
      </w:r>
      <w:r w:rsidR="00724850" w:rsidRPr="009B4428">
        <w:rPr>
          <w:rFonts w:cs="Arial"/>
        </w:rPr>
        <w:t xml:space="preserve"> (TR90) bölgesi ile yüzde 30,1 işsizlik oranına sahip Mardin (TRC3) bölgesi arasında adeta uçurum vardır. </w:t>
      </w:r>
    </w:p>
    <w:p w14:paraId="378EBA3A" w14:textId="01D442B9" w:rsidR="00724850" w:rsidRPr="009B4428" w:rsidRDefault="00724850" w:rsidP="00ED3B36">
      <w:pPr>
        <w:jc w:val="both"/>
      </w:pPr>
      <w:r w:rsidRPr="009B4428">
        <w:rPr>
          <w:rFonts w:cs="Arial"/>
        </w:rPr>
        <w:t>İşgücü piyasası dinamikleri</w:t>
      </w:r>
      <w:r w:rsidR="00204734" w:rsidRPr="009B4428">
        <w:rPr>
          <w:rFonts w:cs="Arial"/>
        </w:rPr>
        <w:t xml:space="preserve"> dikkate alınarak</w:t>
      </w:r>
      <w:r w:rsidRPr="009B4428">
        <w:rPr>
          <w:rFonts w:cs="Arial"/>
        </w:rPr>
        <w:t xml:space="preserve"> daha kapsamlı bir değerlendirme yapıldığında</w:t>
      </w:r>
      <w:r w:rsidRPr="009B4428">
        <w:t xml:space="preserve"> Mardin bölgesi </w:t>
      </w:r>
      <w:r w:rsidR="00204734" w:rsidRPr="009B4428">
        <w:t>gerek işsizlik düzeyi</w:t>
      </w:r>
      <w:r w:rsidR="00965FD6" w:rsidRPr="009B4428">
        <w:t xml:space="preserve"> (yüzde 30,1)</w:t>
      </w:r>
      <w:r w:rsidR="00204734" w:rsidRPr="009B4428">
        <w:t xml:space="preserve"> gerek tarım dışı istihdam oranı </w:t>
      </w:r>
      <w:r w:rsidR="00965FD6" w:rsidRPr="009B4428">
        <w:t xml:space="preserve">(yüzde 24,8) </w:t>
      </w:r>
      <w:r w:rsidR="00204734" w:rsidRPr="009B4428">
        <w:t xml:space="preserve">gerekse azalan işgücü ve istihdamı itibariyle en </w:t>
      </w:r>
      <w:r w:rsidR="008C5944" w:rsidRPr="009B4428">
        <w:t>kötü durumdaki</w:t>
      </w:r>
      <w:r w:rsidRPr="009B4428">
        <w:t xml:space="preserve"> bölge olarak öne çıkmaktadır. </w:t>
      </w:r>
      <w:r w:rsidR="00A03E8F" w:rsidRPr="009B4428">
        <w:t>B</w:t>
      </w:r>
      <w:r w:rsidR="00A77389" w:rsidRPr="009B4428">
        <w:t>u bölgeyi yüzde 19,7 tarım dışı işsizlik oranına sahip Van (TRB2) bölgesi</w:t>
      </w:r>
      <w:r w:rsidR="00CC65E0" w:rsidRPr="009B4428">
        <w:t xml:space="preserve"> takip etmektedir. B</w:t>
      </w:r>
      <w:r w:rsidR="00A77389" w:rsidRPr="009B4428">
        <w:t xml:space="preserve">u bölge Mardin bölgesinden </w:t>
      </w:r>
      <w:r w:rsidR="00CC65E0" w:rsidRPr="009B4428">
        <w:t>sonra yüzde</w:t>
      </w:r>
      <w:r w:rsidR="00A77389" w:rsidRPr="009B4428">
        <w:t xml:space="preserve"> 29,5 ile</w:t>
      </w:r>
      <w:r w:rsidR="00851037" w:rsidRPr="009B4428">
        <w:t xml:space="preserve"> ikinci</w:t>
      </w:r>
      <w:r w:rsidR="00A77389" w:rsidRPr="009B4428">
        <w:t xml:space="preserve"> en düşük tarım</w:t>
      </w:r>
      <w:r w:rsidR="00CC65E0" w:rsidRPr="009B4428">
        <w:t xml:space="preserve"> dışı istihdam oranına sahip</w:t>
      </w:r>
      <w:r w:rsidR="00A03E8F" w:rsidRPr="009B4428">
        <w:t>tir,</w:t>
      </w:r>
      <w:r w:rsidR="00CC65E0" w:rsidRPr="009B4428">
        <w:t xml:space="preserve"> işsizlik artışı </w:t>
      </w:r>
      <w:r w:rsidR="00851037" w:rsidRPr="009B4428">
        <w:t xml:space="preserve">itibariyle de birinci sıradadır (5,3 yüzde puan). </w:t>
      </w:r>
    </w:p>
    <w:p w14:paraId="1CD44DF5" w14:textId="3BF343FE" w:rsidR="00313849" w:rsidRPr="009B4428" w:rsidRDefault="00851037" w:rsidP="00ED3B36">
      <w:pPr>
        <w:jc w:val="both"/>
        <w:rPr>
          <w:rFonts w:cs="Arial"/>
          <w:b/>
          <w:sz w:val="24"/>
          <w:szCs w:val="24"/>
        </w:rPr>
      </w:pPr>
      <w:r w:rsidRPr="009B4428">
        <w:t xml:space="preserve">Kapsamlı değerlendirmelerde en </w:t>
      </w:r>
      <w:r w:rsidR="00934F52" w:rsidRPr="009B4428">
        <w:t xml:space="preserve">iyi </w:t>
      </w:r>
      <w:r w:rsidR="0098317E" w:rsidRPr="009B4428">
        <w:t xml:space="preserve">bölgeler </w:t>
      </w:r>
      <w:r w:rsidRPr="009B4428">
        <w:t>grubunda Trakya (TR21)</w:t>
      </w:r>
      <w:r w:rsidR="0098317E" w:rsidRPr="009B4428">
        <w:t xml:space="preserve"> </w:t>
      </w:r>
      <w:r w:rsidR="00973DD3" w:rsidRPr="009B4428">
        <w:t xml:space="preserve">ile Ankara (TR51) </w:t>
      </w:r>
      <w:r w:rsidR="0098317E" w:rsidRPr="009B4428">
        <w:t>öne çıkmaktadır.</w:t>
      </w:r>
      <w:r w:rsidR="00E46C67" w:rsidRPr="009B4428">
        <w:t xml:space="preserve"> </w:t>
      </w:r>
      <w:r w:rsidR="0044209B" w:rsidRPr="009B4428">
        <w:t xml:space="preserve">Trakya </w:t>
      </w:r>
      <w:r w:rsidR="00DC18DB" w:rsidRPr="009B4428">
        <w:t xml:space="preserve">hem </w:t>
      </w:r>
      <w:r w:rsidR="00A03E8F" w:rsidRPr="009B4428">
        <w:t xml:space="preserve">nispeten </w:t>
      </w:r>
      <w:r w:rsidR="00973DD3" w:rsidRPr="009B4428">
        <w:t xml:space="preserve">düşük </w:t>
      </w:r>
      <w:r w:rsidR="0044209B" w:rsidRPr="009B4428">
        <w:t>tarım dışı işsiz</w:t>
      </w:r>
      <w:r w:rsidR="00DC18DB" w:rsidRPr="009B4428">
        <w:t xml:space="preserve">lik oranının </w:t>
      </w:r>
      <w:r w:rsidR="0044209B" w:rsidRPr="009B4428">
        <w:t>(yüzde 9,8</w:t>
      </w:r>
      <w:r w:rsidR="00DC18DB" w:rsidRPr="009B4428">
        <w:t>) hem de en</w:t>
      </w:r>
      <w:r w:rsidR="0044209B" w:rsidRPr="009B4428">
        <w:t xml:space="preserve"> yüksek tarım dışı istihdam</w:t>
      </w:r>
      <w:r w:rsidR="00973DD3" w:rsidRPr="009B4428">
        <w:t xml:space="preserve"> oranının (yüzde 49,5)</w:t>
      </w:r>
      <w:r w:rsidR="0044209B" w:rsidRPr="009B4428">
        <w:t xml:space="preserve"> görüldüğü bölgedir. </w:t>
      </w:r>
      <w:r w:rsidR="00973DD3" w:rsidRPr="009B4428">
        <w:t xml:space="preserve">Ankara’da tarım dışı işsizlik oranı nispeten yüksek (yüzde 11,6) olmakla birlikte en </w:t>
      </w:r>
      <w:r w:rsidR="00934F52" w:rsidRPr="009B4428">
        <w:t>iyiler</w:t>
      </w:r>
      <w:r w:rsidR="00973DD3" w:rsidRPr="009B4428">
        <w:t xml:space="preserve"> alan</w:t>
      </w:r>
      <w:r w:rsidR="00934F52" w:rsidRPr="009B4428">
        <w:t>ın</w:t>
      </w:r>
      <w:r w:rsidR="00973DD3" w:rsidRPr="009B4428">
        <w:t>da iş</w:t>
      </w:r>
      <w:r w:rsidR="00071541" w:rsidRPr="009B4428">
        <w:t>siz</w:t>
      </w:r>
      <w:r w:rsidR="00973DD3" w:rsidRPr="009B4428">
        <w:t xml:space="preserve">lik oranı azalan (0,1 yüzde puan) </w:t>
      </w:r>
      <w:r w:rsidR="002E2CA7" w:rsidRPr="009B4428">
        <w:t>yegâne</w:t>
      </w:r>
      <w:r w:rsidR="00973DD3" w:rsidRPr="009B4428">
        <w:t xml:space="preserve"> bölgedir. Tarım dışı istihdam oranı (yüzde</w:t>
      </w:r>
      <w:r w:rsidR="00071541" w:rsidRPr="009B4428">
        <w:t xml:space="preserve"> 46,7</w:t>
      </w:r>
      <w:r w:rsidR="002E2CA7" w:rsidRPr="009B4428">
        <w:t>) itibariyle de</w:t>
      </w:r>
      <w:r w:rsidR="00071541" w:rsidRPr="009B4428">
        <w:t xml:space="preserve"> bu alanda Trakya’dan sonra gelmektedir.</w:t>
      </w:r>
      <w:r w:rsidR="00973DD3" w:rsidRPr="009B4428">
        <w:t xml:space="preserve"> </w:t>
      </w:r>
      <w:bookmarkEnd w:id="1"/>
    </w:p>
    <w:p w14:paraId="069DA1B3" w14:textId="6483B5A8" w:rsidR="00045E7A" w:rsidRPr="009B4428" w:rsidRDefault="00045E7A" w:rsidP="00ED3B36">
      <w:pPr>
        <w:jc w:val="both"/>
        <w:rPr>
          <w:rFonts w:cs="Arial"/>
          <w:b/>
          <w:sz w:val="24"/>
          <w:szCs w:val="24"/>
        </w:rPr>
      </w:pPr>
      <w:r w:rsidRPr="009B4428">
        <w:rPr>
          <w:rFonts w:cs="Arial"/>
          <w:b/>
          <w:sz w:val="24"/>
          <w:szCs w:val="24"/>
        </w:rPr>
        <w:t xml:space="preserve">İşsizliğin bölgesel </w:t>
      </w:r>
      <w:r w:rsidR="004D49A8" w:rsidRPr="009B4428">
        <w:rPr>
          <w:rFonts w:cs="Arial"/>
          <w:b/>
          <w:sz w:val="24"/>
          <w:szCs w:val="24"/>
        </w:rPr>
        <w:t xml:space="preserve">analizine </w:t>
      </w:r>
      <w:r w:rsidR="00C72A4C" w:rsidRPr="009B4428">
        <w:rPr>
          <w:rFonts w:cs="Arial"/>
          <w:b/>
          <w:sz w:val="24"/>
          <w:szCs w:val="24"/>
        </w:rPr>
        <w:t xml:space="preserve">dair </w:t>
      </w:r>
      <w:r w:rsidR="004D49A8" w:rsidRPr="009B4428">
        <w:rPr>
          <w:rFonts w:cs="Arial"/>
          <w:b/>
          <w:sz w:val="24"/>
          <w:szCs w:val="24"/>
        </w:rPr>
        <w:t>yöntemsel hatırlatma</w:t>
      </w:r>
    </w:p>
    <w:p w14:paraId="65D163AB" w14:textId="77777777" w:rsidR="0049716A" w:rsidRPr="009B4428" w:rsidRDefault="004D49A8" w:rsidP="00ED3B36">
      <w:pPr>
        <w:jc w:val="both"/>
        <w:rPr>
          <w:rFonts w:cs="Arial"/>
        </w:rPr>
      </w:pPr>
      <w:r w:rsidRPr="009B4428">
        <w:rPr>
          <w:rFonts w:cs="Arial"/>
        </w:rPr>
        <w:t xml:space="preserve">TÜİK her ay yayınladığı Hanehalkı İşgücü Anketinin (HİA) dönemsel verilerini Mart ayında tüm yılı kapsayacak şekilde </w:t>
      </w:r>
      <w:r w:rsidR="00487DBE" w:rsidRPr="009B4428">
        <w:rPr>
          <w:rFonts w:cs="Arial"/>
        </w:rPr>
        <w:t xml:space="preserve">derleyerek </w:t>
      </w:r>
      <w:r w:rsidRPr="009B4428">
        <w:rPr>
          <w:rFonts w:cs="Arial"/>
        </w:rPr>
        <w:t>yayınlar. Bölgesel işgücü piyasalarında</w:t>
      </w:r>
      <w:r w:rsidR="00487DBE" w:rsidRPr="009B4428">
        <w:rPr>
          <w:rFonts w:cs="Arial"/>
        </w:rPr>
        <w:t>ki gelişmeler de</w:t>
      </w:r>
      <w:r w:rsidRPr="009B4428">
        <w:rPr>
          <w:rFonts w:cs="Arial"/>
        </w:rPr>
        <w:t xml:space="preserve"> bu yıllık veriler sayesinde öğreni</w:t>
      </w:r>
      <w:r w:rsidR="005079BF" w:rsidRPr="009B4428">
        <w:rPr>
          <w:rFonts w:cs="Arial"/>
        </w:rPr>
        <w:t>lir</w:t>
      </w:r>
      <w:r w:rsidRPr="009B4428">
        <w:rPr>
          <w:rFonts w:cs="Arial"/>
        </w:rPr>
        <w:t xml:space="preserve">. Geçen yıl 17 Mayıs tarihinde “Bölgesel işsizlikte en kötüler ve en iyiler” başlığı altında yayınladığımız araştırma notunda (AN </w:t>
      </w:r>
      <w:r w:rsidR="00B8337B" w:rsidRPr="009B4428">
        <w:rPr>
          <w:rFonts w:cs="Arial"/>
        </w:rPr>
        <w:t>17/</w:t>
      </w:r>
      <w:r w:rsidRPr="009B4428">
        <w:rPr>
          <w:rFonts w:cs="Arial"/>
        </w:rPr>
        <w:t xml:space="preserve">211) ilk kez tarım dışı kesimde </w:t>
      </w:r>
      <w:r w:rsidR="002E2CA7" w:rsidRPr="009B4428">
        <w:rPr>
          <w:rFonts w:cs="Arial"/>
        </w:rPr>
        <w:t>işsizliğin</w:t>
      </w:r>
      <w:r w:rsidR="001E334B" w:rsidRPr="009B4428">
        <w:rPr>
          <w:rFonts w:cs="Arial"/>
        </w:rPr>
        <w:t xml:space="preserve"> yanı sıra </w:t>
      </w:r>
      <w:r w:rsidRPr="009B4428">
        <w:rPr>
          <w:rFonts w:cs="Arial"/>
        </w:rPr>
        <w:t xml:space="preserve">istihdama katılımı </w:t>
      </w:r>
      <w:r w:rsidR="005079BF" w:rsidRPr="009B4428">
        <w:rPr>
          <w:rFonts w:cs="Arial"/>
        </w:rPr>
        <w:t xml:space="preserve">da </w:t>
      </w:r>
      <w:r w:rsidRPr="009B4428">
        <w:rPr>
          <w:rFonts w:cs="Arial"/>
        </w:rPr>
        <w:t xml:space="preserve">kapsayacak şekilde </w:t>
      </w:r>
      <w:r w:rsidR="005079BF" w:rsidRPr="009B4428">
        <w:rPr>
          <w:rFonts w:cs="Arial"/>
        </w:rPr>
        <w:t xml:space="preserve">2016 yılında </w:t>
      </w:r>
      <w:r w:rsidR="00EF52AF" w:rsidRPr="009B4428">
        <w:rPr>
          <w:rFonts w:cs="Arial"/>
        </w:rPr>
        <w:t xml:space="preserve">bölgesel </w:t>
      </w:r>
      <w:r w:rsidR="00487DBE" w:rsidRPr="009B4428">
        <w:rPr>
          <w:rFonts w:cs="Arial"/>
        </w:rPr>
        <w:t xml:space="preserve">işgücü piyasalarındaki gelişmeleri </w:t>
      </w:r>
      <w:r w:rsidR="005079BF" w:rsidRPr="009B4428">
        <w:rPr>
          <w:rFonts w:cs="Arial"/>
        </w:rPr>
        <w:t xml:space="preserve">(26 bölge Düzey 2) </w:t>
      </w:r>
      <w:r w:rsidR="00487DBE" w:rsidRPr="009B4428">
        <w:rPr>
          <w:rFonts w:cs="Arial"/>
        </w:rPr>
        <w:t xml:space="preserve">incelemiştik. Notta bölgesel işsizlikteki derin eşitsizliklerin ve </w:t>
      </w:r>
      <w:r w:rsidR="005079BF" w:rsidRPr="009B4428">
        <w:rPr>
          <w:rFonts w:cs="Arial"/>
        </w:rPr>
        <w:t xml:space="preserve">farklı şiddette ve zıt yönlerde </w:t>
      </w:r>
      <w:r w:rsidR="000A7353" w:rsidRPr="009B4428">
        <w:rPr>
          <w:rFonts w:cs="Arial"/>
        </w:rPr>
        <w:t xml:space="preserve">hareketlerin </w:t>
      </w:r>
      <w:r w:rsidR="005079BF" w:rsidRPr="009B4428">
        <w:rPr>
          <w:rFonts w:cs="Arial"/>
        </w:rPr>
        <w:t>nedenlerini değerlendirmeye çalışmıştık. Bu araştırma notunda bölgesel işsizli</w:t>
      </w:r>
      <w:r w:rsidR="00B8337B" w:rsidRPr="009B4428">
        <w:rPr>
          <w:rFonts w:cs="Arial"/>
        </w:rPr>
        <w:t xml:space="preserve">kleri aynı yaklaşımla 2016-2017 dönemi için irdeliyoruz.  </w:t>
      </w:r>
    </w:p>
    <w:p w14:paraId="100B8B82" w14:textId="1680C9FB" w:rsidR="00AD4DBA" w:rsidRPr="009B4428" w:rsidRDefault="00DC6BD5" w:rsidP="00ED3B36">
      <w:pPr>
        <w:jc w:val="both"/>
        <w:rPr>
          <w:rFonts w:cs="Arial"/>
        </w:rPr>
      </w:pPr>
      <w:r w:rsidRPr="009B4428">
        <w:rPr>
          <w:rFonts w:cs="Arial"/>
        </w:rPr>
        <w:t>Konuyla ilgili önceki araştırma notunda vurguladığımız gibi tarım dışı işsizlik oranları genel işsizlik oranlarına kıyasla bölgesel eşitsizlikleri daha gerçekçi bir biçimde kavramamızı sağlasa da</w:t>
      </w:r>
      <w:r w:rsidR="000A7353" w:rsidRPr="009B4428">
        <w:rPr>
          <w:rFonts w:cs="Arial"/>
        </w:rPr>
        <w:t xml:space="preserve"> </w:t>
      </w:r>
      <w:r w:rsidRPr="009B4428">
        <w:rPr>
          <w:rFonts w:cs="Arial"/>
        </w:rPr>
        <w:t>işsizliğin</w:t>
      </w:r>
      <w:r w:rsidR="000A7353" w:rsidRPr="009B4428">
        <w:rPr>
          <w:rFonts w:cs="Arial"/>
        </w:rPr>
        <w:t xml:space="preserve"> </w:t>
      </w:r>
      <w:r w:rsidRPr="009B4428">
        <w:rPr>
          <w:rFonts w:cs="Arial"/>
        </w:rPr>
        <w:lastRenderedPageBreak/>
        <w:t xml:space="preserve">bölgesel vahameti konusunda yeterli bir kanaat oluşturmak </w:t>
      </w:r>
      <w:r w:rsidR="00807DAF" w:rsidRPr="009B4428">
        <w:rPr>
          <w:rFonts w:cs="Arial"/>
        </w:rPr>
        <w:t>için yeterli değildir</w:t>
      </w:r>
      <w:r w:rsidRPr="009B4428">
        <w:rPr>
          <w:rFonts w:cs="Arial"/>
        </w:rPr>
        <w:t>.</w:t>
      </w:r>
      <w:r w:rsidR="000A7353" w:rsidRPr="009B4428">
        <w:rPr>
          <w:rStyle w:val="FootnoteReference"/>
          <w:rFonts w:cs="Arial"/>
        </w:rPr>
        <w:footnoteReference w:id="5"/>
      </w:r>
      <w:r w:rsidRPr="009B4428">
        <w:rPr>
          <w:rFonts w:cs="Arial"/>
        </w:rPr>
        <w:t xml:space="preserve"> Bir bölgede tarım dışı işsizlik oranı kadar o bölgede tarım dışı istihdamın tarım dışı çalışabilir nüfus içindeki payı da</w:t>
      </w:r>
      <w:r w:rsidR="00487DBE" w:rsidRPr="009B4428">
        <w:rPr>
          <w:rFonts w:cs="Arial"/>
        </w:rPr>
        <w:t xml:space="preserve"> (tarım dışı istihdam oranı)</w:t>
      </w:r>
      <w:r w:rsidRPr="009B4428">
        <w:rPr>
          <w:rFonts w:cs="Arial"/>
        </w:rPr>
        <w:t xml:space="preserve"> önemlidir. Bu nedenle </w:t>
      </w:r>
      <w:r w:rsidR="00487DBE" w:rsidRPr="009B4428">
        <w:rPr>
          <w:rFonts w:cs="Arial"/>
        </w:rPr>
        <w:t>bu iki göstergeyi birlikte ele alarak</w:t>
      </w:r>
      <w:r w:rsidRPr="009B4428">
        <w:rPr>
          <w:rFonts w:cs="Arial"/>
        </w:rPr>
        <w:t xml:space="preserve"> bölgesel işgücü piyasalarının karşılaştırmasının daha öğretici olduğunu düşünüyoruz.</w:t>
      </w:r>
      <w:r w:rsidR="00F1568D" w:rsidRPr="009B4428">
        <w:rPr>
          <w:rFonts w:cs="Arial"/>
        </w:rPr>
        <w:t xml:space="preserve"> Daha kapsamlı bir analiz için “</w:t>
      </w:r>
      <w:r w:rsidR="00F1568D" w:rsidRPr="009B4428">
        <w:t xml:space="preserve">Tarım istihdamının bölgesel işsizlik oranlarına etkisi” başlıklı </w:t>
      </w:r>
      <w:proofErr w:type="spellStart"/>
      <w:r w:rsidR="00F1568D" w:rsidRPr="009B4428">
        <w:t>Kutu’ya</w:t>
      </w:r>
      <w:proofErr w:type="spellEnd"/>
      <w:r w:rsidR="00F1568D" w:rsidRPr="009B4428">
        <w:t xml:space="preserve"> ve Ek Şekil 1’e bakılabilir.</w:t>
      </w:r>
    </w:p>
    <w:p w14:paraId="6850FCAF" w14:textId="2CE98DE2" w:rsidR="00045E7A" w:rsidRPr="009B4428" w:rsidRDefault="00807DAF" w:rsidP="00ED3B36">
      <w:pPr>
        <w:jc w:val="both"/>
        <w:rPr>
          <w:rFonts w:cs="Arial"/>
        </w:rPr>
      </w:pPr>
      <w:r w:rsidRPr="009B4428">
        <w:rPr>
          <w:rFonts w:cs="Arial"/>
        </w:rPr>
        <w:t xml:space="preserve">2016’dan </w:t>
      </w:r>
      <w:r w:rsidR="00E5089B" w:rsidRPr="009B4428">
        <w:rPr>
          <w:rFonts w:cs="Arial"/>
        </w:rPr>
        <w:t>2017</w:t>
      </w:r>
      <w:r w:rsidRPr="009B4428">
        <w:rPr>
          <w:rFonts w:cs="Arial"/>
        </w:rPr>
        <w:t xml:space="preserve">’ye yıllık ortalama tarım dışı işsizlik oranının </w:t>
      </w:r>
      <w:r w:rsidR="002E2CA7" w:rsidRPr="009B4428">
        <w:rPr>
          <w:rFonts w:cs="Arial"/>
        </w:rPr>
        <w:t>yüzde</w:t>
      </w:r>
      <w:r w:rsidRPr="009B4428">
        <w:rPr>
          <w:rFonts w:cs="Arial"/>
        </w:rPr>
        <w:t xml:space="preserve"> 13’te sabit kalması</w:t>
      </w:r>
      <w:r w:rsidR="000A7353" w:rsidRPr="009B4428">
        <w:rPr>
          <w:rFonts w:cs="Arial"/>
        </w:rPr>
        <w:t xml:space="preserve"> </w:t>
      </w:r>
      <w:r w:rsidRPr="009B4428">
        <w:rPr>
          <w:rFonts w:cs="Arial"/>
        </w:rPr>
        <w:t>bölgeler düzeyinde işsizliği</w:t>
      </w:r>
      <w:r w:rsidR="003C2A24" w:rsidRPr="009B4428">
        <w:rPr>
          <w:rFonts w:cs="Arial"/>
        </w:rPr>
        <w:t>n</w:t>
      </w:r>
      <w:r w:rsidRPr="009B4428">
        <w:rPr>
          <w:rFonts w:cs="Arial"/>
        </w:rPr>
        <w:t xml:space="preserve"> </w:t>
      </w:r>
      <w:r w:rsidR="00325FD1" w:rsidRPr="009B4428">
        <w:rPr>
          <w:rFonts w:cs="Arial"/>
        </w:rPr>
        <w:t xml:space="preserve">geçmiş yıllarda olduğu gibi </w:t>
      </w:r>
      <w:r w:rsidRPr="009B4428">
        <w:rPr>
          <w:rFonts w:cs="Arial"/>
        </w:rPr>
        <w:t xml:space="preserve">çok farklı </w:t>
      </w:r>
      <w:r w:rsidR="002E2CA7" w:rsidRPr="009B4428">
        <w:rPr>
          <w:rFonts w:cs="Arial"/>
        </w:rPr>
        <w:t>ölçülerde</w:t>
      </w:r>
      <w:r w:rsidRPr="009B4428">
        <w:rPr>
          <w:rFonts w:cs="Arial"/>
        </w:rPr>
        <w:t xml:space="preserve"> ve zıt yönlerde değişmesini engellememiştir.</w:t>
      </w:r>
      <w:r w:rsidR="000A7353" w:rsidRPr="009B4428">
        <w:rPr>
          <w:rStyle w:val="FootnoteReference"/>
          <w:rFonts w:cs="Arial"/>
        </w:rPr>
        <w:footnoteReference w:id="6"/>
      </w:r>
      <w:r w:rsidRPr="009B4428">
        <w:rPr>
          <w:rFonts w:cs="Arial"/>
        </w:rPr>
        <w:t xml:space="preserve"> </w:t>
      </w:r>
      <w:r w:rsidR="002005E4" w:rsidRPr="009B4428">
        <w:rPr>
          <w:rFonts w:cs="Arial"/>
        </w:rPr>
        <w:t xml:space="preserve">13 bölgede tarım dışı işsizlik azalırken 11 bölgede artmış ve </w:t>
      </w:r>
      <w:r w:rsidR="000E2B57" w:rsidRPr="009B4428">
        <w:rPr>
          <w:rFonts w:cs="Arial"/>
        </w:rPr>
        <w:t xml:space="preserve">sadece </w:t>
      </w:r>
      <w:r w:rsidR="002005E4" w:rsidRPr="009B4428">
        <w:rPr>
          <w:rFonts w:cs="Arial"/>
        </w:rPr>
        <w:t xml:space="preserve">2 bölgede sabit kalmıştır. </w:t>
      </w:r>
      <w:r w:rsidRPr="009B4428">
        <w:rPr>
          <w:rFonts w:cs="Arial"/>
        </w:rPr>
        <w:t>B</w:t>
      </w:r>
      <w:r w:rsidR="00100F08" w:rsidRPr="009B4428">
        <w:rPr>
          <w:rFonts w:cs="Arial"/>
        </w:rPr>
        <w:t xml:space="preserve">ölgeleri salt işsizlikteki artış ve azalışların şiddetleri itibariyle karşılaştırmak </w:t>
      </w:r>
      <w:r w:rsidRPr="009B4428">
        <w:rPr>
          <w:rFonts w:cs="Arial"/>
        </w:rPr>
        <w:t xml:space="preserve">da </w:t>
      </w:r>
      <w:r w:rsidR="00100F08" w:rsidRPr="009B4428">
        <w:rPr>
          <w:rFonts w:cs="Arial"/>
        </w:rPr>
        <w:t>yeterli değildir. İşsizlik artışı istihdamın azalmasından kaynaklanabileceği gibi güçlü istihdam artışına rağmen daha güçlü bir işgücü artışından da kaynaklanabilir. Birinci şıkta işsizlik artışının vahameti aşikardır. İkinci şıkta ise söz konusu bölgenin işsizliğin istihdamda gerileme sonucu azaldığı bir bölge</w:t>
      </w:r>
      <w:r w:rsidR="00325FD1" w:rsidRPr="009B4428">
        <w:rPr>
          <w:rFonts w:cs="Arial"/>
        </w:rPr>
        <w:t xml:space="preserve">de olduğu gibi tamamen </w:t>
      </w:r>
      <w:r w:rsidR="00100F08" w:rsidRPr="009B4428">
        <w:rPr>
          <w:rFonts w:cs="Arial"/>
        </w:rPr>
        <w:t xml:space="preserve">olumsuz bir gelişme gösterdiği </w:t>
      </w:r>
      <w:r w:rsidRPr="009B4428">
        <w:rPr>
          <w:rFonts w:cs="Arial"/>
        </w:rPr>
        <w:t>i</w:t>
      </w:r>
      <w:r w:rsidR="00325FD1" w:rsidRPr="009B4428">
        <w:rPr>
          <w:rFonts w:cs="Arial"/>
        </w:rPr>
        <w:t>d</w:t>
      </w:r>
      <w:r w:rsidRPr="009B4428">
        <w:rPr>
          <w:rFonts w:cs="Arial"/>
        </w:rPr>
        <w:t>dia edilemez</w:t>
      </w:r>
      <w:r w:rsidR="00100F08" w:rsidRPr="009B4428">
        <w:rPr>
          <w:rFonts w:cs="Arial"/>
        </w:rPr>
        <w:t>. Kısacası, işsizlikteki değişimlerin bölgesel karşılaştırmasında işgücü piyasasında gözlemlenen temel dinamikler</w:t>
      </w:r>
      <w:r w:rsidR="00325FD1" w:rsidRPr="009B4428">
        <w:rPr>
          <w:rFonts w:cs="Arial"/>
        </w:rPr>
        <w:t>in niteliği değerl</w:t>
      </w:r>
      <w:r w:rsidR="001D6328" w:rsidRPr="009B4428">
        <w:rPr>
          <w:rFonts w:cs="Arial"/>
        </w:rPr>
        <w:t>e</w:t>
      </w:r>
      <w:r w:rsidR="00325FD1" w:rsidRPr="009B4428">
        <w:rPr>
          <w:rFonts w:cs="Arial"/>
        </w:rPr>
        <w:t>ndirmelerde hesaba katılmalıdır</w:t>
      </w:r>
      <w:r w:rsidR="00100F08" w:rsidRPr="009B4428">
        <w:rPr>
          <w:rFonts w:cs="Arial"/>
        </w:rPr>
        <w:t xml:space="preserve">. Tüm bu yöntemsel </w:t>
      </w:r>
      <w:r w:rsidR="00325FD1" w:rsidRPr="009B4428">
        <w:rPr>
          <w:rFonts w:cs="Arial"/>
        </w:rPr>
        <w:t>sorunlarla</w:t>
      </w:r>
      <w:r w:rsidR="00100F08" w:rsidRPr="009B4428">
        <w:rPr>
          <w:rFonts w:cs="Arial"/>
        </w:rPr>
        <w:t xml:space="preserve"> ilgili </w:t>
      </w:r>
      <w:r w:rsidR="006A702E" w:rsidRPr="009B4428">
        <w:rPr>
          <w:rFonts w:cs="Arial"/>
        </w:rPr>
        <w:t xml:space="preserve">daha </w:t>
      </w:r>
      <w:r w:rsidR="00325FD1" w:rsidRPr="009B4428">
        <w:rPr>
          <w:rFonts w:cs="Arial"/>
        </w:rPr>
        <w:t>ayrıntılı bilgiye</w:t>
      </w:r>
      <w:r w:rsidR="00100F08" w:rsidRPr="009B4428">
        <w:rPr>
          <w:rFonts w:cs="Arial"/>
        </w:rPr>
        <w:t xml:space="preserve"> konu ile ilgili bir önceki ara</w:t>
      </w:r>
      <w:r w:rsidR="00950758" w:rsidRPr="009B4428">
        <w:rPr>
          <w:rFonts w:cs="Arial"/>
        </w:rPr>
        <w:t>ştırma notumuzdan ulaşılabilir (bkz. Betam Araştırma Notu 17/211, “Bölgesel işsizlikte en kötüler ve en iyiler”)</w:t>
      </w:r>
    </w:p>
    <w:p w14:paraId="05FAA94F" w14:textId="3917C66C" w:rsidR="00045E7A" w:rsidRPr="009B4428" w:rsidRDefault="00485258" w:rsidP="00ED3B36">
      <w:pPr>
        <w:jc w:val="both"/>
        <w:rPr>
          <w:rFonts w:cs="Arial"/>
          <w:b/>
          <w:sz w:val="24"/>
          <w:szCs w:val="24"/>
        </w:rPr>
      </w:pPr>
      <w:r w:rsidRPr="009B4428">
        <w:rPr>
          <w:rFonts w:cs="Arial"/>
          <w:b/>
          <w:sz w:val="24"/>
          <w:szCs w:val="24"/>
        </w:rPr>
        <w:t>İ</w:t>
      </w:r>
      <w:r w:rsidR="00045E7A" w:rsidRPr="009B4428">
        <w:rPr>
          <w:rFonts w:cs="Arial"/>
          <w:b/>
          <w:sz w:val="24"/>
          <w:szCs w:val="24"/>
        </w:rPr>
        <w:t>şsizli</w:t>
      </w:r>
      <w:r w:rsidR="00D64828" w:rsidRPr="009B4428">
        <w:rPr>
          <w:rFonts w:cs="Arial"/>
          <w:b/>
          <w:sz w:val="24"/>
          <w:szCs w:val="24"/>
        </w:rPr>
        <w:t>k ve istihdamda en</w:t>
      </w:r>
      <w:r w:rsidR="001900F3" w:rsidRPr="009B4428">
        <w:rPr>
          <w:rFonts w:cs="Arial"/>
          <w:b/>
          <w:sz w:val="24"/>
          <w:szCs w:val="24"/>
        </w:rPr>
        <w:t xml:space="preserve"> kötü</w:t>
      </w:r>
      <w:r w:rsidRPr="009B4428">
        <w:rPr>
          <w:rFonts w:cs="Arial"/>
          <w:b/>
          <w:sz w:val="24"/>
          <w:szCs w:val="24"/>
        </w:rPr>
        <w:t xml:space="preserve"> bölgeler</w:t>
      </w:r>
      <w:r w:rsidR="00045E7A" w:rsidRPr="009B4428">
        <w:rPr>
          <w:rFonts w:cs="Arial"/>
          <w:b/>
          <w:sz w:val="24"/>
          <w:szCs w:val="24"/>
        </w:rPr>
        <w:t xml:space="preserve"> </w:t>
      </w:r>
    </w:p>
    <w:p w14:paraId="7C3DE61B" w14:textId="04A1B40E" w:rsidR="00D463C1" w:rsidRPr="009B4428" w:rsidRDefault="00045E7A" w:rsidP="00ED3B36">
      <w:pPr>
        <w:spacing w:after="0"/>
        <w:jc w:val="both"/>
        <w:rPr>
          <w:b/>
        </w:rPr>
      </w:pPr>
      <w:r w:rsidRPr="009B4428">
        <w:t>Şekil 1’de 26 bölgenin 2016 ve 2017 yıllarına ait tarım dışı işsizlik oranları</w:t>
      </w:r>
      <w:r w:rsidR="00DC2AB3" w:rsidRPr="009B4428">
        <w:t xml:space="preserve"> 2017’ye göre büyükten küçüğe sıralanarak verilmektedir.  Türkiye genelinde tarım dışı işsizlik oranı 2016’dan 2017’ye yüzde 13,0’da sabit kalırken</w:t>
      </w:r>
      <w:r w:rsidR="00F4194E" w:rsidRPr="009B4428">
        <w:t xml:space="preserve">; </w:t>
      </w:r>
      <w:r w:rsidR="00DC2AB3" w:rsidRPr="009B4428">
        <w:t>2016</w:t>
      </w:r>
      <w:r w:rsidR="00F4194E" w:rsidRPr="009B4428">
        <w:t xml:space="preserve"> itibariyle</w:t>
      </w:r>
      <w:r w:rsidR="00DC2AB3" w:rsidRPr="009B4428">
        <w:t xml:space="preserve"> bölgesel işsizlik oranlarında var olan muazzam farklar (yüzde 30,1’den yüzde 7,2’ye) 2017’de de yüzde 30,1 ile yüzde 6,1 arasında değişerek devam etm</w:t>
      </w:r>
      <w:r w:rsidR="00325FD1" w:rsidRPr="009B4428">
        <w:t>iş,</w:t>
      </w:r>
      <w:r w:rsidR="00DC2AB3" w:rsidRPr="009B4428">
        <w:t xml:space="preserve"> </w:t>
      </w:r>
      <w:r w:rsidR="00325FD1" w:rsidRPr="009B4428">
        <w:t>i</w:t>
      </w:r>
      <w:r w:rsidR="00E13BA5" w:rsidRPr="009B4428">
        <w:t xml:space="preserve">şsizlik oranları arasındaki </w:t>
      </w:r>
      <w:r w:rsidR="000E2B57" w:rsidRPr="009B4428">
        <w:t>ortalama mutlak sapma</w:t>
      </w:r>
      <w:r w:rsidR="00E13BA5" w:rsidRPr="009B4428">
        <w:t xml:space="preserve"> </w:t>
      </w:r>
      <w:r w:rsidR="000E2B57" w:rsidRPr="009B4428">
        <w:t xml:space="preserve">da </w:t>
      </w:r>
      <w:r w:rsidR="00E13BA5" w:rsidRPr="009B4428">
        <w:t xml:space="preserve">3,5’ten 3,7’ye yükselmiştir. </w:t>
      </w:r>
      <w:r w:rsidR="00E13BA5" w:rsidRPr="009B4428">
        <w:rPr>
          <w:b/>
        </w:rPr>
        <w:t>Kısacası, işsizlikte bölgeler arası eşitsizlik azalacağına artmıştır.</w:t>
      </w:r>
      <w:r w:rsidR="000509F3" w:rsidRPr="009B4428">
        <w:rPr>
          <w:b/>
        </w:rPr>
        <w:t xml:space="preserve"> </w:t>
      </w:r>
      <w:r w:rsidR="000509F3" w:rsidRPr="009B4428">
        <w:t>İşsizlikte bölgesel eşitsizlik bakımından Türkiye’nin Avrupa’da İspanya</w:t>
      </w:r>
      <w:r w:rsidR="00E13BA5" w:rsidRPr="009B4428">
        <w:rPr>
          <w:b/>
        </w:rPr>
        <w:t xml:space="preserve"> </w:t>
      </w:r>
      <w:r w:rsidR="000509F3" w:rsidRPr="009B4428">
        <w:t>ve İtalya’nın ardından</w:t>
      </w:r>
      <w:r w:rsidR="000509F3" w:rsidRPr="009B4428">
        <w:rPr>
          <w:b/>
        </w:rPr>
        <w:t xml:space="preserve"> </w:t>
      </w:r>
      <w:r w:rsidR="000509F3" w:rsidRPr="009B4428">
        <w:t>3. sırada olduğunu belirtmek isteriz.</w:t>
      </w:r>
      <w:r w:rsidR="000509F3" w:rsidRPr="009B4428">
        <w:rPr>
          <w:rStyle w:val="FootnoteReference"/>
        </w:rPr>
        <w:footnoteReference w:id="7"/>
      </w:r>
    </w:p>
    <w:p w14:paraId="7DA02960" w14:textId="77777777" w:rsidR="00F23047" w:rsidRPr="009B4428" w:rsidRDefault="00F23047" w:rsidP="00ED3B36">
      <w:pPr>
        <w:spacing w:after="0"/>
        <w:jc w:val="both"/>
      </w:pPr>
    </w:p>
    <w:p w14:paraId="33DC0D76" w14:textId="5AF125E1" w:rsidR="000579C3" w:rsidRPr="009B4428" w:rsidRDefault="00B0401F" w:rsidP="00ED3B36">
      <w:pPr>
        <w:spacing w:after="0"/>
        <w:jc w:val="both"/>
        <w:rPr>
          <w:rFonts w:cs="Arial"/>
          <w:b/>
        </w:rPr>
      </w:pPr>
      <w:r w:rsidRPr="009B4428">
        <w:t xml:space="preserve">2017’de </w:t>
      </w:r>
      <w:r w:rsidR="00F4194E" w:rsidRPr="009B4428">
        <w:rPr>
          <w:b/>
        </w:rPr>
        <w:t>işsizliğin en yüksek olduğu bölge</w:t>
      </w:r>
      <w:r w:rsidR="00663DA6" w:rsidRPr="009B4428">
        <w:rPr>
          <w:b/>
        </w:rPr>
        <w:t>,</w:t>
      </w:r>
      <w:r w:rsidR="00F4194E" w:rsidRPr="009B4428">
        <w:rPr>
          <w:b/>
        </w:rPr>
        <w:t xml:space="preserve"> yüzde 30,1 ile 2016’da olduğu gibi Mardin-Batman-Şırnak-Siirt (TRC3) </w:t>
      </w:r>
      <w:r w:rsidR="00326790" w:rsidRPr="009B4428">
        <w:t>bölgesidir.</w:t>
      </w:r>
      <w:r w:rsidR="00326790" w:rsidRPr="009B4428">
        <w:rPr>
          <w:rFonts w:cs="Arial"/>
        </w:rPr>
        <w:t xml:space="preserve"> </w:t>
      </w:r>
      <w:r w:rsidR="00E13BA5" w:rsidRPr="009B4428">
        <w:rPr>
          <w:rFonts w:cs="Arial"/>
        </w:rPr>
        <w:t>Bu bölgede i</w:t>
      </w:r>
      <w:r w:rsidR="00164C1E" w:rsidRPr="009B4428">
        <w:rPr>
          <w:rFonts w:cs="Arial"/>
        </w:rPr>
        <w:t>şsizli</w:t>
      </w:r>
      <w:r w:rsidR="00AE5D39" w:rsidRPr="009B4428">
        <w:rPr>
          <w:rFonts w:cs="Arial"/>
        </w:rPr>
        <w:t>ğin olağanüstü yüksekliğini</w:t>
      </w:r>
      <w:r w:rsidR="00326790" w:rsidRPr="009B4428">
        <w:rPr>
          <w:rFonts w:cs="Arial"/>
        </w:rPr>
        <w:t xml:space="preserve"> vurgulamak için Büyük Buhran (1930-34) ve </w:t>
      </w:r>
      <w:r w:rsidR="001045BE" w:rsidRPr="009B4428">
        <w:rPr>
          <w:rFonts w:cs="Arial"/>
        </w:rPr>
        <w:t>Büyük Resesyon</w:t>
      </w:r>
      <w:r w:rsidR="00814461" w:rsidRPr="009B4428">
        <w:rPr>
          <w:rFonts w:cs="Arial"/>
        </w:rPr>
        <w:t xml:space="preserve"> (2008-09)</w:t>
      </w:r>
      <w:r w:rsidR="001045BE" w:rsidRPr="009B4428">
        <w:rPr>
          <w:rFonts w:cs="Arial"/>
        </w:rPr>
        <w:t xml:space="preserve"> </w:t>
      </w:r>
      <w:r w:rsidR="00326790" w:rsidRPr="009B4428">
        <w:rPr>
          <w:rFonts w:cs="Arial"/>
        </w:rPr>
        <w:t xml:space="preserve">sırasında </w:t>
      </w:r>
      <w:r w:rsidR="00325FD1" w:rsidRPr="009B4428">
        <w:rPr>
          <w:rFonts w:cs="Arial"/>
        </w:rPr>
        <w:t xml:space="preserve">ülkeler düzeyinde </w:t>
      </w:r>
      <w:r w:rsidR="00326790" w:rsidRPr="009B4428">
        <w:rPr>
          <w:rFonts w:cs="Arial"/>
        </w:rPr>
        <w:t>en yüksek işsizlik oranlarının yüzde 25 civarında kaldığını hatırlatalım.</w:t>
      </w:r>
      <w:r w:rsidR="00F6692D" w:rsidRPr="009B4428">
        <w:rPr>
          <w:rFonts w:cs="Arial"/>
        </w:rPr>
        <w:t xml:space="preserve"> </w:t>
      </w:r>
      <w:r w:rsidR="008C5F3F" w:rsidRPr="009B4428">
        <w:rPr>
          <w:rFonts w:cs="Arial"/>
          <w:b/>
        </w:rPr>
        <w:t>2016’da en yüksek yedinci işsizlik oranına sahip</w:t>
      </w:r>
      <w:r w:rsidR="00F6692D" w:rsidRPr="009B4428">
        <w:rPr>
          <w:rFonts w:cs="Arial"/>
          <w:b/>
        </w:rPr>
        <w:t xml:space="preserve"> Van</w:t>
      </w:r>
      <w:r w:rsidR="00325FD1" w:rsidRPr="009B4428">
        <w:rPr>
          <w:rFonts w:cs="Arial"/>
          <w:b/>
        </w:rPr>
        <w:t>-</w:t>
      </w:r>
      <w:r w:rsidR="00F6692D" w:rsidRPr="009B4428">
        <w:rPr>
          <w:rFonts w:cs="Arial"/>
          <w:b/>
        </w:rPr>
        <w:t>Muş</w:t>
      </w:r>
      <w:r w:rsidR="00325FD1" w:rsidRPr="009B4428">
        <w:rPr>
          <w:rFonts w:cs="Arial"/>
          <w:b/>
        </w:rPr>
        <w:t>-</w:t>
      </w:r>
      <w:r w:rsidR="00F6692D" w:rsidRPr="009B4428">
        <w:rPr>
          <w:rFonts w:cs="Arial"/>
          <w:b/>
        </w:rPr>
        <w:t>Bitlis</w:t>
      </w:r>
      <w:r w:rsidR="00325FD1" w:rsidRPr="009B4428">
        <w:rPr>
          <w:rFonts w:cs="Arial"/>
          <w:b/>
        </w:rPr>
        <w:t>-</w:t>
      </w:r>
      <w:r w:rsidR="00F6692D" w:rsidRPr="009B4428">
        <w:rPr>
          <w:rFonts w:cs="Arial"/>
          <w:b/>
        </w:rPr>
        <w:t xml:space="preserve"> Hakkâri (TRB2)</w:t>
      </w:r>
      <w:r w:rsidR="00F6692D" w:rsidRPr="009B4428">
        <w:rPr>
          <w:rFonts w:cs="Arial"/>
        </w:rPr>
        <w:t xml:space="preserve"> </w:t>
      </w:r>
      <w:r w:rsidR="00F6692D" w:rsidRPr="009B4428">
        <w:rPr>
          <w:rFonts w:cs="Arial"/>
          <w:b/>
        </w:rPr>
        <w:t xml:space="preserve">bölgesi </w:t>
      </w:r>
      <w:r w:rsidR="008C5F3F" w:rsidRPr="009B4428">
        <w:rPr>
          <w:rFonts w:cs="Arial"/>
          <w:b/>
        </w:rPr>
        <w:t xml:space="preserve">2017’de yüzde 19,7 ile </w:t>
      </w:r>
      <w:r w:rsidR="00FD2094" w:rsidRPr="009B4428">
        <w:rPr>
          <w:rFonts w:cs="Arial"/>
          <w:b/>
        </w:rPr>
        <w:t>ikinci sıraya çıkmıştır.</w:t>
      </w:r>
      <w:r w:rsidR="00FD2094" w:rsidRPr="009B4428">
        <w:rPr>
          <w:rFonts w:cs="Arial"/>
        </w:rPr>
        <w:t xml:space="preserve"> </w:t>
      </w:r>
      <w:r w:rsidR="002339FE" w:rsidRPr="009B4428">
        <w:rPr>
          <w:rFonts w:cs="Arial"/>
        </w:rPr>
        <w:t xml:space="preserve"> </w:t>
      </w:r>
      <w:r w:rsidR="00E13BA5" w:rsidRPr="009B4428">
        <w:rPr>
          <w:rFonts w:cs="Arial"/>
        </w:rPr>
        <w:t>B</w:t>
      </w:r>
      <w:r w:rsidR="002339FE" w:rsidRPr="009B4428">
        <w:rPr>
          <w:rFonts w:cs="Arial"/>
        </w:rPr>
        <w:t xml:space="preserve">u </w:t>
      </w:r>
      <w:r w:rsidR="00325FD1" w:rsidRPr="009B4428">
        <w:rPr>
          <w:rFonts w:cs="Arial"/>
        </w:rPr>
        <w:t>iki bölgeyi</w:t>
      </w:r>
      <w:r w:rsidR="002339FE" w:rsidRPr="009B4428">
        <w:rPr>
          <w:rFonts w:cs="Arial"/>
        </w:rPr>
        <w:t xml:space="preserve"> </w:t>
      </w:r>
      <w:r w:rsidR="002339FE" w:rsidRPr="009B4428">
        <w:rPr>
          <w:rFonts w:cs="Arial"/>
          <w:b/>
        </w:rPr>
        <w:t>yüzde 19,5 işsizlik</w:t>
      </w:r>
      <w:r w:rsidR="0049716A" w:rsidRPr="009B4428">
        <w:rPr>
          <w:rFonts w:cs="Arial"/>
          <w:b/>
        </w:rPr>
        <w:t xml:space="preserve"> </w:t>
      </w:r>
      <w:r w:rsidR="002339FE" w:rsidRPr="009B4428">
        <w:rPr>
          <w:rFonts w:cs="Arial"/>
          <w:b/>
        </w:rPr>
        <w:t>oranı ile Şanlıurfa</w:t>
      </w:r>
      <w:r w:rsidR="00325FD1" w:rsidRPr="009B4428">
        <w:rPr>
          <w:rFonts w:cs="Arial"/>
          <w:b/>
        </w:rPr>
        <w:t>-</w:t>
      </w:r>
      <w:r w:rsidR="002339FE" w:rsidRPr="009B4428">
        <w:rPr>
          <w:rFonts w:cs="Arial"/>
          <w:b/>
        </w:rPr>
        <w:t>Diyarbakır (TRC2), yüzde 16,5 ile Gaziantep</w:t>
      </w:r>
      <w:r w:rsidR="00325FD1" w:rsidRPr="009B4428">
        <w:rPr>
          <w:rFonts w:cs="Arial"/>
          <w:b/>
        </w:rPr>
        <w:t>-</w:t>
      </w:r>
      <w:r w:rsidR="002339FE" w:rsidRPr="009B4428">
        <w:rPr>
          <w:rFonts w:cs="Arial"/>
          <w:b/>
        </w:rPr>
        <w:t xml:space="preserve"> Adıyaman</w:t>
      </w:r>
      <w:r w:rsidR="00325FD1" w:rsidRPr="009B4428">
        <w:rPr>
          <w:rFonts w:cs="Arial"/>
          <w:b/>
        </w:rPr>
        <w:t>-</w:t>
      </w:r>
      <w:r w:rsidR="002339FE" w:rsidRPr="009B4428">
        <w:rPr>
          <w:rFonts w:cs="Arial"/>
          <w:b/>
        </w:rPr>
        <w:t xml:space="preserve"> Kilis (TRC1), yüzde 15,3 ile Kayseri, </w:t>
      </w:r>
      <w:r w:rsidR="007634D6" w:rsidRPr="009B4428">
        <w:rPr>
          <w:rFonts w:cs="Arial"/>
          <w:b/>
        </w:rPr>
        <w:t>Sivas,</w:t>
      </w:r>
      <w:r w:rsidR="002339FE" w:rsidRPr="009B4428">
        <w:rPr>
          <w:rFonts w:cs="Arial"/>
          <w:b/>
        </w:rPr>
        <w:t xml:space="preserve"> Yozgat (TR72) bölgeleri izlemektedir.</w:t>
      </w:r>
    </w:p>
    <w:p w14:paraId="29F32946" w14:textId="78634B3C" w:rsidR="00CA34AC" w:rsidRDefault="00CA34AC" w:rsidP="00CA34AC">
      <w:pPr>
        <w:pStyle w:val="Caption"/>
        <w:rPr>
          <w:b w:val="0"/>
        </w:rPr>
      </w:pPr>
      <w:r w:rsidRPr="00CA34AC">
        <w:rPr>
          <w:color w:val="auto"/>
          <w:sz w:val="22"/>
          <w:szCs w:val="22"/>
        </w:rPr>
        <w:lastRenderedPageBreak/>
        <w:t xml:space="preserve">Şekil </w:t>
      </w:r>
      <w:r w:rsidRPr="00CA34AC">
        <w:rPr>
          <w:color w:val="auto"/>
          <w:sz w:val="22"/>
          <w:szCs w:val="22"/>
        </w:rPr>
        <w:fldChar w:fldCharType="begin"/>
      </w:r>
      <w:r w:rsidRPr="00CA34AC">
        <w:rPr>
          <w:color w:val="auto"/>
          <w:sz w:val="22"/>
          <w:szCs w:val="22"/>
        </w:rPr>
        <w:instrText xml:space="preserve"> SEQ Şekil \* ARABIC </w:instrText>
      </w:r>
      <w:r w:rsidRPr="00CA34AC">
        <w:rPr>
          <w:color w:val="auto"/>
          <w:sz w:val="22"/>
          <w:szCs w:val="22"/>
        </w:rPr>
        <w:fldChar w:fldCharType="separate"/>
      </w:r>
      <w:r w:rsidR="00D60E62">
        <w:rPr>
          <w:noProof/>
          <w:color w:val="auto"/>
          <w:sz w:val="22"/>
          <w:szCs w:val="22"/>
        </w:rPr>
        <w:t>1</w:t>
      </w:r>
      <w:r w:rsidRPr="00CA34AC">
        <w:rPr>
          <w:color w:val="auto"/>
          <w:sz w:val="22"/>
          <w:szCs w:val="22"/>
        </w:rPr>
        <w:fldChar w:fldCharType="end"/>
      </w:r>
      <w:r w:rsidRPr="00CA34AC">
        <w:rPr>
          <w:color w:val="auto"/>
          <w:sz w:val="22"/>
          <w:szCs w:val="22"/>
        </w:rPr>
        <w:t>:Bölgelere göre tarım dışı işsizlik oranları: 2016 ve 2017 (%)</w:t>
      </w:r>
      <w:r w:rsidR="00F23047" w:rsidRPr="009B4428">
        <w:rPr>
          <w:noProof/>
        </w:rPr>
        <w:drawing>
          <wp:anchor distT="0" distB="0" distL="114300" distR="114300" simplePos="0" relativeHeight="251672064" behindDoc="0" locked="0" layoutInCell="1" allowOverlap="1" wp14:anchorId="210CF672" wp14:editId="2C475721">
            <wp:simplePos x="0" y="0"/>
            <wp:positionH relativeFrom="margin">
              <wp:align>center</wp:align>
            </wp:positionH>
            <wp:positionV relativeFrom="paragraph">
              <wp:posOffset>172034</wp:posOffset>
            </wp:positionV>
            <wp:extent cx="6444615" cy="7556500"/>
            <wp:effectExtent l="0" t="0" r="0" b="6350"/>
            <wp:wrapThrough wrapText="bothSides">
              <wp:wrapPolygon edited="0">
                <wp:start x="0" y="0"/>
                <wp:lineTo x="0" y="21564"/>
                <wp:lineTo x="21517" y="21564"/>
                <wp:lineTo x="21517" y="0"/>
                <wp:lineTo x="0" y="0"/>
              </wp:wrapPolygon>
            </wp:wrapThrough>
            <wp:docPr id="1" name="Grafik 1">
              <a:extLst xmlns:a="http://schemas.openxmlformats.org/drawingml/2006/main">
                <a:ext uri="{FF2B5EF4-FFF2-40B4-BE49-F238E27FC236}">
                  <a16:creationId xmlns:a16="http://schemas.microsoft.com/office/drawing/2014/main" id="{9A9B7968-A3B7-487F-BABF-C18E57695C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4463B2E3" w14:textId="05FBDA52" w:rsidR="00227A44" w:rsidRPr="009B4428" w:rsidRDefault="00DF0A91" w:rsidP="00CA34AC">
      <w:pPr>
        <w:spacing w:after="0"/>
        <w:jc w:val="both"/>
        <w:rPr>
          <w:rFonts w:cs="Arial"/>
          <w:b/>
          <w:sz w:val="28"/>
          <w:szCs w:val="28"/>
        </w:rPr>
      </w:pPr>
      <w:r w:rsidRPr="009B4428">
        <w:rPr>
          <w:color w:val="000000" w:themeColor="text1"/>
          <w:sz w:val="16"/>
          <w:szCs w:val="16"/>
        </w:rPr>
        <w:t xml:space="preserve">Kaynak: TUIK, Betam. </w:t>
      </w:r>
      <w:r w:rsidR="00E61EC5" w:rsidRPr="009B4428">
        <w:rPr>
          <w:color w:val="000000" w:themeColor="text1"/>
          <w:sz w:val="16"/>
          <w:szCs w:val="16"/>
        </w:rPr>
        <w:t>TRC3:Mardin, Batman, Şırnak, Siirt, TRB2:Van, Muş, Bitlis, Hakkari, TRC2:Şanlıurfa, Diyarbakır, TRC1:Gaziantep, Adıyaman, Kilis, TR72:Kayseri, Sivas, Yozgat, TR31:İzmir, TR71:Kırıkkale, Aksaray, Niğde, Nevşehir, Kırşehir , TR61:Antalya, Isparta, Burdur, TR10: İstanbul, TR63:Hatay, Kahramanmaraş, Osmaniye, TR62:Adana, Mersin, TR42:Kocaeli, Sakarya, Düzce, Bolu, Yalova, TR51:Ankara, TRA2:Ağrı, Kars, Iğdır, Ardahan, TR41:Bursa, Eskişehir, Bilecik, TR83:Samsun, Tokat, Çorum, Amasya, TR81:Zonguldak, Karabük, Bartın, TRB1:Malatya, Elazığ, Bingöl, Tunceli, TR21:Tekirdağ, Edirne, Kırklareli, TR32:Aydın, Denizli, Muğla, TR33:Manisa, Afyon, Kütahya, Uşak, TRA1:Erzurum, Erzincan, Bayburt, TR22:Balıkesir, Çanakkale, TR82:Kastamonu, Çankırı, Sinop, TR52:Konya, Karaman, TR90:Trabzon, Ordu, Giresun, Rize, Artvin, Gümüşhane.</w:t>
      </w:r>
    </w:p>
    <w:p w14:paraId="4C428D6C" w14:textId="77777777" w:rsidR="00814461" w:rsidRPr="009B4428" w:rsidRDefault="00A41C65" w:rsidP="00227A44">
      <w:pPr>
        <w:spacing w:after="0"/>
        <w:jc w:val="both"/>
        <w:rPr>
          <w:rFonts w:cs="Arial"/>
        </w:rPr>
      </w:pPr>
      <w:r w:rsidRPr="009B4428">
        <w:rPr>
          <w:rFonts w:cs="Arial"/>
        </w:rPr>
        <w:lastRenderedPageBreak/>
        <w:t>Giriş bölümünde tarım dışı işsizlik oranları ile sınırl</w:t>
      </w:r>
      <w:r w:rsidR="00E6598F" w:rsidRPr="009B4428">
        <w:rPr>
          <w:rFonts w:cs="Arial"/>
        </w:rPr>
        <w:t>anan</w:t>
      </w:r>
      <w:r w:rsidRPr="009B4428">
        <w:rPr>
          <w:rFonts w:cs="Arial"/>
        </w:rPr>
        <w:t xml:space="preserve"> bir karşılaştırmanın yetersiz olduğunu belirtmiştik. Tarım dışı işsizlik oranının tarım dışı istihdam oranı</w:t>
      </w:r>
      <w:r w:rsidR="00E6598F" w:rsidRPr="009B4428">
        <w:rPr>
          <w:rFonts w:cs="Arial"/>
        </w:rPr>
        <w:t xml:space="preserve"> </w:t>
      </w:r>
      <w:r w:rsidR="00BE0C84" w:rsidRPr="009B4428">
        <w:rPr>
          <w:rFonts w:cs="Arial"/>
        </w:rPr>
        <w:t>(Ek Tablo 1</w:t>
      </w:r>
      <w:r w:rsidRPr="009B4428">
        <w:rPr>
          <w:rFonts w:cs="Arial"/>
        </w:rPr>
        <w:t xml:space="preserve">) ile birlikte değerlendirilmesi bölgesel işgücü piyasasının </w:t>
      </w:r>
      <w:r w:rsidR="002E2CA7" w:rsidRPr="009B4428">
        <w:rPr>
          <w:rFonts w:cs="Arial"/>
        </w:rPr>
        <w:t>performansının daha</w:t>
      </w:r>
      <w:r w:rsidRPr="009B4428">
        <w:rPr>
          <w:rFonts w:cs="Arial"/>
        </w:rPr>
        <w:t xml:space="preserve"> anlamlı bir ölçütü olacaktır. Yaklaşık olarak aynı düze</w:t>
      </w:r>
      <w:r w:rsidR="00AE5D39" w:rsidRPr="009B4428">
        <w:rPr>
          <w:rFonts w:cs="Arial"/>
        </w:rPr>
        <w:t>y</w:t>
      </w:r>
      <w:r w:rsidRPr="009B4428">
        <w:rPr>
          <w:rFonts w:cs="Arial"/>
        </w:rPr>
        <w:t>de işsizliğe sahip iki bölgeden birinde tarım dışı istihdam oranı diğerine kıyasla daha yüksekse, bu bölgenin işgücü piyasası performansı açısından daha iyi durumda olduğu rahatlıkla söy</w:t>
      </w:r>
      <w:r w:rsidR="00377122" w:rsidRPr="009B4428">
        <w:rPr>
          <w:rFonts w:cs="Arial"/>
        </w:rPr>
        <w:t>le</w:t>
      </w:r>
      <w:r w:rsidRPr="009B4428">
        <w:rPr>
          <w:rFonts w:cs="Arial"/>
        </w:rPr>
        <w:t xml:space="preserve">nebilir. </w:t>
      </w:r>
    </w:p>
    <w:p w14:paraId="2C9273A4" w14:textId="3884643C" w:rsidR="00DF0A91" w:rsidRPr="009B4428" w:rsidRDefault="00A41C65" w:rsidP="00972C95">
      <w:pPr>
        <w:spacing w:after="0"/>
        <w:jc w:val="both"/>
        <w:rPr>
          <w:rFonts w:cs="Arial"/>
          <w:b/>
          <w:sz w:val="28"/>
          <w:szCs w:val="28"/>
        </w:rPr>
      </w:pPr>
      <w:r w:rsidRPr="009B4428">
        <w:rPr>
          <w:rFonts w:cs="Arial"/>
        </w:rPr>
        <w:t xml:space="preserve">Bu iki performans göstergesi birlikte kullanıldığında en </w:t>
      </w:r>
      <w:r w:rsidR="00934F52" w:rsidRPr="009B4428">
        <w:rPr>
          <w:rFonts w:cs="Arial"/>
        </w:rPr>
        <w:t>iyi</w:t>
      </w:r>
      <w:r w:rsidR="00377122" w:rsidRPr="009B4428">
        <w:rPr>
          <w:rFonts w:cs="Arial"/>
        </w:rPr>
        <w:t xml:space="preserve"> ve en </w:t>
      </w:r>
      <w:r w:rsidR="00934F52" w:rsidRPr="009B4428">
        <w:rPr>
          <w:rFonts w:cs="Arial"/>
        </w:rPr>
        <w:t xml:space="preserve">kötü </w:t>
      </w:r>
      <w:r w:rsidR="00377122" w:rsidRPr="009B4428">
        <w:rPr>
          <w:rFonts w:cs="Arial"/>
        </w:rPr>
        <w:t>bölgeler</w:t>
      </w:r>
      <w:r w:rsidR="00814461" w:rsidRPr="009B4428">
        <w:rPr>
          <w:rFonts w:cs="Arial"/>
        </w:rPr>
        <w:t xml:space="preserve"> </w:t>
      </w:r>
      <w:r w:rsidR="00972C95" w:rsidRPr="009B4428">
        <w:rPr>
          <w:rFonts w:cs="Arial"/>
        </w:rPr>
        <w:t>belirlenebilir</w:t>
      </w:r>
      <w:r w:rsidR="00814461" w:rsidRPr="009B4428">
        <w:rPr>
          <w:rFonts w:cs="Arial"/>
        </w:rPr>
        <w:t>.</w:t>
      </w:r>
      <w:r w:rsidR="00AF22FB" w:rsidRPr="009B4428">
        <w:rPr>
          <w:rFonts w:cs="Arial"/>
        </w:rPr>
        <w:t xml:space="preserve"> </w:t>
      </w:r>
      <w:r w:rsidRPr="009B4428">
        <w:rPr>
          <w:rFonts w:cs="Arial"/>
        </w:rPr>
        <w:t>Tarım dışı işsizlik ile tarım dışı istihdam oran</w:t>
      </w:r>
      <w:r w:rsidR="00C3513B" w:rsidRPr="009B4428">
        <w:rPr>
          <w:rFonts w:cs="Arial"/>
        </w:rPr>
        <w:t>ların</w:t>
      </w:r>
      <w:r w:rsidRPr="009B4428">
        <w:rPr>
          <w:rFonts w:cs="Arial"/>
        </w:rPr>
        <w:t>ın oluşturduğu bir planda 26 bölgeyi konumlandırabiliriz. Plan Türkiye tarım dışı işsizlik oranı (yüzde 13) ile tarım dışı istihdam oranı (yüzde 41,8) itibariyle dört alana bölündüğünde</w:t>
      </w:r>
      <w:r w:rsidR="00C3513B" w:rsidRPr="009B4428">
        <w:rPr>
          <w:rFonts w:cs="Arial"/>
        </w:rPr>
        <w:t xml:space="preserve"> (Şekil 2)</w:t>
      </w:r>
      <w:r w:rsidRPr="009B4428">
        <w:rPr>
          <w:rFonts w:cs="Arial"/>
        </w:rPr>
        <w:t xml:space="preserve"> bölgeler arası karşılaştırma </w:t>
      </w:r>
      <w:r w:rsidR="00D03B5B" w:rsidRPr="009B4428">
        <w:rPr>
          <w:rFonts w:cs="Arial"/>
        </w:rPr>
        <w:t>nispeten kolaylaşmakta ve anlam kazanmaktadır</w:t>
      </w:r>
      <w:r w:rsidRPr="009B4428">
        <w:rPr>
          <w:rFonts w:cs="Arial"/>
        </w:rPr>
        <w:t xml:space="preserve">. </w:t>
      </w:r>
      <w:r w:rsidRPr="009B4428">
        <w:rPr>
          <w:rFonts w:cs="Arial"/>
          <w:b/>
        </w:rPr>
        <w:t xml:space="preserve">Sol üst alanda en </w:t>
      </w:r>
      <w:r w:rsidR="0087061D" w:rsidRPr="009B4428">
        <w:rPr>
          <w:rFonts w:cs="Arial"/>
          <w:b/>
        </w:rPr>
        <w:t>kötü</w:t>
      </w:r>
      <w:r w:rsidRPr="009B4428">
        <w:rPr>
          <w:rFonts w:cs="Arial"/>
          <w:b/>
        </w:rPr>
        <w:t xml:space="preserve"> durumdaki bölgeler</w:t>
      </w:r>
      <w:r w:rsidRPr="009B4428">
        <w:rPr>
          <w:rFonts w:cs="Arial"/>
        </w:rPr>
        <w:t xml:space="preserve"> yer al</w:t>
      </w:r>
      <w:r w:rsidR="00AE5D39" w:rsidRPr="009B4428">
        <w:rPr>
          <w:rFonts w:cs="Arial"/>
        </w:rPr>
        <w:t>maktadır</w:t>
      </w:r>
      <w:r w:rsidRPr="009B4428">
        <w:rPr>
          <w:rFonts w:cs="Arial"/>
        </w:rPr>
        <w:t>. Bu bölgelerde işsizlik ortalamadan yüksek olurken tarım dışı istihdam oranı da ortalamanın altında kal</w:t>
      </w:r>
      <w:r w:rsidR="008B55E6" w:rsidRPr="009B4428">
        <w:rPr>
          <w:rFonts w:cs="Arial"/>
        </w:rPr>
        <w:t>maktadır</w:t>
      </w:r>
      <w:r w:rsidRPr="009B4428">
        <w:rPr>
          <w:rFonts w:cs="Arial"/>
        </w:rPr>
        <w:t>.</w:t>
      </w:r>
      <w:r w:rsidR="00814461" w:rsidRPr="009B4428">
        <w:rPr>
          <w:rFonts w:cs="Arial"/>
        </w:rPr>
        <w:t xml:space="preserve"> </w:t>
      </w:r>
      <w:r w:rsidR="00814461" w:rsidRPr="009B4428">
        <w:rPr>
          <w:rFonts w:cs="Arial"/>
          <w:b/>
        </w:rPr>
        <w:t>Sağ alt alan</w:t>
      </w:r>
      <w:r w:rsidR="00814461" w:rsidRPr="009B4428">
        <w:rPr>
          <w:rFonts w:cs="Arial"/>
        </w:rPr>
        <w:t xml:space="preserve"> ise ortalamanın altında</w:t>
      </w:r>
      <w:r w:rsidR="00972C95" w:rsidRPr="009B4428">
        <w:rPr>
          <w:rFonts w:cs="Arial"/>
        </w:rPr>
        <w:t xml:space="preserve"> </w:t>
      </w:r>
      <w:r w:rsidR="00814461" w:rsidRPr="009B4428">
        <w:rPr>
          <w:rFonts w:cs="Arial"/>
        </w:rPr>
        <w:t xml:space="preserve">işsizliğe ve üstünde istihdama sahip </w:t>
      </w:r>
      <w:r w:rsidR="00814461" w:rsidRPr="009B4428">
        <w:rPr>
          <w:rFonts w:cs="Arial"/>
          <w:b/>
        </w:rPr>
        <w:t>en iyi durumdaki bölgeleri</w:t>
      </w:r>
      <w:r w:rsidR="00972C95" w:rsidRPr="009B4428">
        <w:rPr>
          <w:rFonts w:cs="Arial"/>
        </w:rPr>
        <w:t xml:space="preserve"> kapsamaktadır. </w:t>
      </w:r>
      <w:r w:rsidR="00814461" w:rsidRPr="009B4428">
        <w:rPr>
          <w:rFonts w:cs="Arial"/>
        </w:rPr>
        <w:t>Sağ üst ve sol alt alanlarda yer alan bölgeler tartışmalıdır. Sağ üst alanda tarım dışı işsizlik ve istihdam oranları yüksek bölgeler</w:t>
      </w:r>
      <w:r w:rsidR="00972C95" w:rsidRPr="009B4428">
        <w:rPr>
          <w:rFonts w:cs="Arial"/>
        </w:rPr>
        <w:t>,</w:t>
      </w:r>
      <w:r w:rsidR="00814461" w:rsidRPr="009B4428">
        <w:rPr>
          <w:rFonts w:cs="Arial"/>
        </w:rPr>
        <w:t xml:space="preserve"> </w:t>
      </w:r>
      <w:r w:rsidR="00972C95" w:rsidRPr="009B4428">
        <w:rPr>
          <w:rFonts w:cs="Arial"/>
        </w:rPr>
        <w:t>s</w:t>
      </w:r>
      <w:r w:rsidR="00814461" w:rsidRPr="009B4428">
        <w:rPr>
          <w:rFonts w:cs="Arial"/>
        </w:rPr>
        <w:t xml:space="preserve">ol alt alanda ise tarım dışı işsizlik ve istihdam oranları düşük bölgeler yer almaktadır. </w:t>
      </w:r>
    </w:p>
    <w:p w14:paraId="3A28F945" w14:textId="77777777" w:rsidR="00972C95" w:rsidRPr="009B4428" w:rsidRDefault="00972C95" w:rsidP="00972C95">
      <w:pPr>
        <w:spacing w:after="0"/>
        <w:jc w:val="both"/>
        <w:rPr>
          <w:rFonts w:cs="Arial"/>
          <w:b/>
          <w:sz w:val="28"/>
          <w:szCs w:val="28"/>
        </w:rPr>
      </w:pPr>
    </w:p>
    <w:p w14:paraId="096B31A6" w14:textId="0BB118A3" w:rsidR="00CA369B" w:rsidRPr="009B4428" w:rsidRDefault="00DF0A91" w:rsidP="00ED3B36">
      <w:pPr>
        <w:pStyle w:val="Caption"/>
        <w:keepNext/>
        <w:spacing w:line="276" w:lineRule="auto"/>
        <w:jc w:val="both"/>
        <w:rPr>
          <w:color w:val="auto"/>
          <w:sz w:val="22"/>
          <w:szCs w:val="22"/>
        </w:rPr>
      </w:pPr>
      <w:bookmarkStart w:id="2" w:name="_Ref381804810"/>
      <w:bookmarkStart w:id="3" w:name="_Ref381804801"/>
      <w:r w:rsidRPr="009B4428">
        <w:rPr>
          <w:color w:val="auto"/>
          <w:sz w:val="22"/>
          <w:szCs w:val="22"/>
        </w:rPr>
        <w:t xml:space="preserve">Şekil </w:t>
      </w:r>
      <w:bookmarkEnd w:id="2"/>
      <w:r w:rsidRPr="009B4428">
        <w:rPr>
          <w:color w:val="auto"/>
          <w:sz w:val="22"/>
          <w:szCs w:val="22"/>
        </w:rPr>
        <w:t xml:space="preserve">2: </w:t>
      </w:r>
      <w:bookmarkStart w:id="4" w:name="OLE_LINK1"/>
      <w:bookmarkEnd w:id="3"/>
      <w:r w:rsidRPr="009B4428">
        <w:rPr>
          <w:color w:val="auto"/>
          <w:sz w:val="22"/>
          <w:szCs w:val="22"/>
        </w:rPr>
        <w:t xml:space="preserve">Bölgelerin tarım dışı işsizlik ve tarım dışı istihdam oranları itibariyle dağılımı </w:t>
      </w:r>
      <w:r w:rsidR="00D03B5B" w:rsidRPr="009B4428">
        <w:rPr>
          <w:color w:val="auto"/>
          <w:sz w:val="22"/>
          <w:szCs w:val="22"/>
        </w:rPr>
        <w:t xml:space="preserve">2017 </w:t>
      </w:r>
      <w:r w:rsidRPr="009B4428">
        <w:rPr>
          <w:color w:val="auto"/>
          <w:sz w:val="22"/>
          <w:szCs w:val="22"/>
        </w:rPr>
        <w:t>(%</w:t>
      </w:r>
      <w:r w:rsidR="00D03B5B" w:rsidRPr="009B4428">
        <w:rPr>
          <w:color w:val="auto"/>
          <w:sz w:val="22"/>
          <w:szCs w:val="22"/>
        </w:rPr>
        <w:t>)</w:t>
      </w:r>
      <w:bookmarkEnd w:id="4"/>
    </w:p>
    <w:p w14:paraId="2AF6F42A" w14:textId="32652CB0" w:rsidR="00E14383" w:rsidRPr="009B4428" w:rsidRDefault="00ED3B36" w:rsidP="00ED3B36">
      <w:pPr>
        <w:jc w:val="both"/>
      </w:pPr>
      <w:r w:rsidRPr="009B4428">
        <w:rPr>
          <w:noProof/>
        </w:rPr>
        <w:drawing>
          <wp:inline distT="0" distB="0" distL="0" distR="0" wp14:anchorId="7F725A0E" wp14:editId="5E248B5C">
            <wp:extent cx="5664982" cy="3896635"/>
            <wp:effectExtent l="0" t="0" r="0" b="889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8979" cy="3899384"/>
                    </a:xfrm>
                    <a:prstGeom prst="rect">
                      <a:avLst/>
                    </a:prstGeom>
                    <a:noFill/>
                  </pic:spPr>
                </pic:pic>
              </a:graphicData>
            </a:graphic>
          </wp:inline>
        </w:drawing>
      </w:r>
    </w:p>
    <w:p w14:paraId="262646D1" w14:textId="3FD29963" w:rsidR="005505DA" w:rsidRPr="009B4428" w:rsidRDefault="00DF0A91" w:rsidP="00ED3B36">
      <w:pPr>
        <w:jc w:val="both"/>
        <w:rPr>
          <w:rFonts w:cstheme="minorHAnsi"/>
          <w:color w:val="000000" w:themeColor="text1"/>
          <w:sz w:val="18"/>
          <w:szCs w:val="18"/>
        </w:rPr>
      </w:pPr>
      <w:r w:rsidRPr="009B4428">
        <w:rPr>
          <w:color w:val="000000" w:themeColor="text1"/>
          <w:sz w:val="16"/>
          <w:szCs w:val="16"/>
        </w:rPr>
        <w:t xml:space="preserve">Kaynak: </w:t>
      </w:r>
      <w:r w:rsidR="00F648C4" w:rsidRPr="009B4428">
        <w:rPr>
          <w:color w:val="000000" w:themeColor="text1"/>
          <w:sz w:val="16"/>
          <w:szCs w:val="16"/>
        </w:rPr>
        <w:t xml:space="preserve">TUIK, Betam. TRC3:Mardin, Batman, Şırnak, Siirt, TRB2:Van, Muş, Bitlis, Hakkari, TRC2:Şanlıurfa, Diyarbakır, TRC1:Gaziantep, Adıyaman, Kilis, TR72:Kayseri, Sivas, Yozgat, TR31:İzmir, TR71:Kırıkkale, Aksaray, Niğde, Nevşehir, Kırşehir , TR61:Antalya, Isparta, Burdur, TR10: İstanbul, TR63:Hatay, Kahramanmaraş, Osmaniye, TR62:Adana, Mersin, TR42:Kocaeli, Sakarya, Düzce, Bolu, Yalova, TR51:Ankara, TRA2:Ağrı, Kars, Iğdır, Ardahan, TR41:Bursa, Eskişehir, Bilecik, TR83:Samsun, Tokat, Çorum, Amasya, TR81:Zonguldak, Karabük, Bartın, TRB1:Malatya, Elazığ, Bingöl, Tunceli, TR21:Tekirdağ, Edirne, Kırklareli, TR32:Aydın, Denizli, Muğla, TR33:Manisa, Afyon, Kütahya, Uşak, TRA1:Erzurum, Erzincan, Bayburt, TR22:Balıkesir, Çanakkale, TR82:Kastamonu, Çankırı, Sinop, TR52:Konya, Karaman, TR90:Trabzon, Ordu, </w:t>
      </w:r>
      <w:proofErr w:type="spellStart"/>
      <w:r w:rsidR="00F648C4" w:rsidRPr="009B4428">
        <w:rPr>
          <w:color w:val="000000" w:themeColor="text1"/>
          <w:sz w:val="16"/>
          <w:szCs w:val="16"/>
        </w:rPr>
        <w:t>Giresun,Rize,Artvin,Gümüşhane</w:t>
      </w:r>
      <w:proofErr w:type="spellEnd"/>
      <w:r w:rsidR="00F648C4" w:rsidRPr="009B4428">
        <w:rPr>
          <w:color w:val="000000" w:themeColor="text1"/>
          <w:sz w:val="16"/>
          <w:szCs w:val="16"/>
        </w:rPr>
        <w:t>.</w:t>
      </w:r>
      <w:r w:rsidRPr="009B4428">
        <w:rPr>
          <w:color w:val="000000" w:themeColor="text1"/>
          <w:sz w:val="16"/>
          <w:szCs w:val="16"/>
        </w:rPr>
        <w:br/>
      </w:r>
      <w:r w:rsidRPr="009B4428">
        <w:rPr>
          <w:rFonts w:cstheme="minorHAnsi"/>
          <w:color w:val="000000" w:themeColor="text1"/>
          <w:sz w:val="18"/>
          <w:szCs w:val="18"/>
        </w:rPr>
        <w:t>Not:</w:t>
      </w:r>
      <m:oMath>
        <m:r>
          <w:rPr>
            <w:rFonts w:ascii="Cambria Math" w:hAnsi="Cambria Math" w:cstheme="minorHAnsi"/>
            <w:sz w:val="18"/>
            <w:szCs w:val="18"/>
          </w:rPr>
          <m:t xml:space="preserve"> </m:t>
        </m:r>
      </m:oMath>
      <w:r w:rsidRPr="009B4428">
        <w:rPr>
          <w:rFonts w:cstheme="minorHAnsi"/>
          <w:color w:val="000000" w:themeColor="text1"/>
          <w:sz w:val="18"/>
          <w:szCs w:val="18"/>
        </w:rPr>
        <w:t>Bu görünüm Doç. Dr. İnsan Tunalı tarafından önerilmiştir, kendisine teşekkür ederiz.</w:t>
      </w:r>
    </w:p>
    <w:p w14:paraId="523FE87F" w14:textId="6367FC77" w:rsidR="00AE5D39" w:rsidRPr="009B4428" w:rsidRDefault="00115167" w:rsidP="00ED3B36">
      <w:pPr>
        <w:jc w:val="both"/>
        <w:rPr>
          <w:rFonts w:cs="Arial"/>
        </w:rPr>
      </w:pPr>
      <w:r w:rsidRPr="009B4428">
        <w:rPr>
          <w:rFonts w:cs="Arial"/>
        </w:rPr>
        <w:lastRenderedPageBreak/>
        <w:t xml:space="preserve">2017 itibariyle </w:t>
      </w:r>
      <w:r w:rsidRPr="009B4428">
        <w:rPr>
          <w:rFonts w:cs="Arial"/>
          <w:b/>
        </w:rPr>
        <w:t xml:space="preserve">en </w:t>
      </w:r>
      <w:r w:rsidR="00E24C6D" w:rsidRPr="009B4428">
        <w:rPr>
          <w:rFonts w:cs="Arial"/>
          <w:b/>
        </w:rPr>
        <w:t>kötüler</w:t>
      </w:r>
      <w:r w:rsidRPr="009B4428">
        <w:rPr>
          <w:rFonts w:cs="Arial"/>
          <w:b/>
        </w:rPr>
        <w:t xml:space="preserve"> alan</w:t>
      </w:r>
      <w:r w:rsidR="00E24C6D" w:rsidRPr="009B4428">
        <w:rPr>
          <w:rFonts w:cs="Arial"/>
          <w:b/>
        </w:rPr>
        <w:t>ın</w:t>
      </w:r>
      <w:r w:rsidRPr="009B4428">
        <w:rPr>
          <w:rFonts w:cs="Arial"/>
          <w:b/>
        </w:rPr>
        <w:t>da 7 bölge</w:t>
      </w:r>
      <w:r w:rsidRPr="009B4428">
        <w:rPr>
          <w:rFonts w:cs="Arial"/>
        </w:rPr>
        <w:t xml:space="preserve"> yer almaktadır: </w:t>
      </w:r>
      <w:r w:rsidR="003041B1" w:rsidRPr="009B4428">
        <w:rPr>
          <w:rFonts w:cs="Arial"/>
          <w:b/>
        </w:rPr>
        <w:t xml:space="preserve">Açık ara en </w:t>
      </w:r>
      <w:r w:rsidR="00545A44" w:rsidRPr="009B4428">
        <w:rPr>
          <w:rFonts w:cs="Arial"/>
          <w:b/>
        </w:rPr>
        <w:t>kötü durumdaki</w:t>
      </w:r>
      <w:r w:rsidR="003041B1" w:rsidRPr="009B4428">
        <w:rPr>
          <w:rFonts w:cs="Arial"/>
          <w:b/>
        </w:rPr>
        <w:t xml:space="preserve"> bölge Mardin-Batman-</w:t>
      </w:r>
      <w:r w:rsidR="00CE6C8C" w:rsidRPr="009B4428">
        <w:rPr>
          <w:rFonts w:cs="Arial"/>
          <w:b/>
        </w:rPr>
        <w:t>Ş</w:t>
      </w:r>
      <w:r w:rsidR="003041B1" w:rsidRPr="009B4428">
        <w:rPr>
          <w:rFonts w:cs="Arial"/>
          <w:b/>
        </w:rPr>
        <w:t>ırnak-</w:t>
      </w:r>
      <w:r w:rsidR="002E2CA7" w:rsidRPr="009B4428">
        <w:rPr>
          <w:rFonts w:cs="Arial"/>
          <w:b/>
        </w:rPr>
        <w:t>Siirt</w:t>
      </w:r>
      <w:r w:rsidR="003041B1" w:rsidRPr="009B4428">
        <w:rPr>
          <w:rFonts w:cs="Arial"/>
          <w:b/>
        </w:rPr>
        <w:t xml:space="preserve"> </w:t>
      </w:r>
      <w:r w:rsidR="00CE6C8C" w:rsidRPr="009B4428">
        <w:rPr>
          <w:rFonts w:cs="Arial"/>
          <w:b/>
        </w:rPr>
        <w:t xml:space="preserve">(TR3) </w:t>
      </w:r>
      <w:r w:rsidR="003041B1" w:rsidRPr="009B4428">
        <w:rPr>
          <w:rFonts w:cs="Arial"/>
          <w:b/>
        </w:rPr>
        <w:t>bölgesidir;</w:t>
      </w:r>
      <w:r w:rsidR="003041B1" w:rsidRPr="009B4428">
        <w:rPr>
          <w:rFonts w:cs="Arial"/>
        </w:rPr>
        <w:t xml:space="preserve"> çok yüksek işsizlik oranının yanı sıra en düşük i</w:t>
      </w:r>
      <w:r w:rsidR="000947E3" w:rsidRPr="009B4428">
        <w:rPr>
          <w:rFonts w:cs="Arial"/>
        </w:rPr>
        <w:t xml:space="preserve">stihdam oranına sahip bölgedir. </w:t>
      </w:r>
      <w:r w:rsidR="003041B1" w:rsidRPr="009B4428">
        <w:rPr>
          <w:rFonts w:cs="Arial"/>
        </w:rPr>
        <w:t>Van-Muş-Bitlis-</w:t>
      </w:r>
      <w:r w:rsidR="002E2CA7" w:rsidRPr="009B4428">
        <w:rPr>
          <w:rFonts w:cs="Arial"/>
        </w:rPr>
        <w:t>Hakkâri</w:t>
      </w:r>
      <w:r w:rsidR="00CE6C8C" w:rsidRPr="009B4428">
        <w:rPr>
          <w:rFonts w:cs="Arial"/>
        </w:rPr>
        <w:t xml:space="preserve"> (TRB2)</w:t>
      </w:r>
      <w:r w:rsidR="003041B1" w:rsidRPr="009B4428">
        <w:rPr>
          <w:rFonts w:cs="Arial"/>
        </w:rPr>
        <w:t xml:space="preserve"> ile Şanlıurfa-Diyarbakır</w:t>
      </w:r>
      <w:r w:rsidR="00CE6C8C" w:rsidRPr="009B4428">
        <w:rPr>
          <w:rFonts w:cs="Arial"/>
        </w:rPr>
        <w:t xml:space="preserve"> (TRC2)</w:t>
      </w:r>
      <w:r w:rsidR="003041B1" w:rsidRPr="009B4428">
        <w:rPr>
          <w:rFonts w:cs="Arial"/>
        </w:rPr>
        <w:t xml:space="preserve"> bölge</w:t>
      </w:r>
      <w:r w:rsidR="00CE6C8C" w:rsidRPr="009B4428">
        <w:rPr>
          <w:rFonts w:cs="Arial"/>
        </w:rPr>
        <w:t xml:space="preserve">lerinde </w:t>
      </w:r>
      <w:r w:rsidR="003041B1" w:rsidRPr="009B4428">
        <w:rPr>
          <w:rFonts w:cs="Arial"/>
        </w:rPr>
        <w:t>işsizlik yaklaşık a</w:t>
      </w:r>
      <w:r w:rsidR="00CE6C8C" w:rsidRPr="009B4428">
        <w:rPr>
          <w:rFonts w:cs="Arial"/>
        </w:rPr>
        <w:t>yn</w:t>
      </w:r>
      <w:r w:rsidR="003041B1" w:rsidRPr="009B4428">
        <w:rPr>
          <w:rFonts w:cs="Arial"/>
        </w:rPr>
        <w:t xml:space="preserve">ı düzeydedir. Bununla birlikte istihdam oranı </w:t>
      </w:r>
      <w:r w:rsidR="002E2CA7" w:rsidRPr="009B4428">
        <w:rPr>
          <w:rFonts w:cs="Arial"/>
        </w:rPr>
        <w:t>Şanlıurfa</w:t>
      </w:r>
      <w:r w:rsidR="003041B1" w:rsidRPr="009B4428">
        <w:rPr>
          <w:rFonts w:cs="Arial"/>
        </w:rPr>
        <w:t>-Diyarbakır’da biraz daha yüksektir. En</w:t>
      </w:r>
      <w:r w:rsidR="00C27769" w:rsidRPr="009B4428">
        <w:rPr>
          <w:rFonts w:cs="Arial"/>
        </w:rPr>
        <w:t xml:space="preserve"> kötü</w:t>
      </w:r>
      <w:r w:rsidR="003041B1" w:rsidRPr="009B4428">
        <w:rPr>
          <w:rFonts w:cs="Arial"/>
        </w:rPr>
        <w:t xml:space="preserve"> bu üç bölgenin Güneydoğu bölgesini oluşturduğu not edilmelidir. </w:t>
      </w:r>
      <w:r w:rsidR="00AE5D39" w:rsidRPr="009B4428">
        <w:rPr>
          <w:rFonts w:cs="Arial"/>
        </w:rPr>
        <w:t>Güneydoğu’da yüksek işsizlik-düşük istihdamın düşük gelir ve kalkınma düzeyi, düşük kadın katılım oranı gibi yapısal etkenlerden kaynaklandığı malumdur.</w:t>
      </w:r>
    </w:p>
    <w:p w14:paraId="25D41272" w14:textId="5B7A269D" w:rsidR="00000E76" w:rsidRPr="009B4428" w:rsidRDefault="003041B1" w:rsidP="00ED3B36">
      <w:pPr>
        <w:jc w:val="both"/>
        <w:rPr>
          <w:rFonts w:cs="Arial"/>
        </w:rPr>
      </w:pPr>
      <w:r w:rsidRPr="009B4428">
        <w:rPr>
          <w:rFonts w:cs="Arial"/>
        </w:rPr>
        <w:t>Diğer 4 bölge (Gaziantep-Adıyaman-Kilis</w:t>
      </w:r>
      <w:r w:rsidR="00CE6C8C" w:rsidRPr="009B4428">
        <w:rPr>
          <w:rFonts w:cs="Arial"/>
        </w:rPr>
        <w:t xml:space="preserve"> (TRC1)</w:t>
      </w:r>
      <w:r w:rsidRPr="009B4428">
        <w:rPr>
          <w:rFonts w:cs="Arial"/>
        </w:rPr>
        <w:t xml:space="preserve">, </w:t>
      </w:r>
      <w:r w:rsidR="0064382A" w:rsidRPr="009B4428">
        <w:rPr>
          <w:rFonts w:cs="Arial"/>
        </w:rPr>
        <w:t>Kayseri-Sivas-Yozgat</w:t>
      </w:r>
      <w:r w:rsidR="00CE6C8C" w:rsidRPr="009B4428">
        <w:rPr>
          <w:rFonts w:cs="Arial"/>
        </w:rPr>
        <w:t xml:space="preserve"> (TR72)</w:t>
      </w:r>
      <w:r w:rsidR="0064382A" w:rsidRPr="009B4428">
        <w:rPr>
          <w:rFonts w:cs="Arial"/>
        </w:rPr>
        <w:t>, Kırıkkale-Aksaray-Niğde-Nevşehir-Kırşehir</w:t>
      </w:r>
      <w:r w:rsidR="00CE6C8C" w:rsidRPr="009B4428">
        <w:rPr>
          <w:rFonts w:cs="Arial"/>
        </w:rPr>
        <w:t xml:space="preserve"> (TR</w:t>
      </w:r>
      <w:r w:rsidR="002E2CA7" w:rsidRPr="009B4428">
        <w:rPr>
          <w:rFonts w:cs="Arial"/>
        </w:rPr>
        <w:t>71, Kapadokya</w:t>
      </w:r>
      <w:r w:rsidR="001723E0" w:rsidRPr="009B4428">
        <w:rPr>
          <w:rFonts w:cs="Arial"/>
        </w:rPr>
        <w:t>)</w:t>
      </w:r>
      <w:r w:rsidR="0064382A" w:rsidRPr="009B4428">
        <w:rPr>
          <w:rFonts w:cs="Arial"/>
        </w:rPr>
        <w:t>, Hatay-Kahramanmaraş-Osmaniye</w:t>
      </w:r>
      <w:r w:rsidR="00CE6C8C" w:rsidRPr="009B4428">
        <w:rPr>
          <w:rFonts w:cs="Arial"/>
        </w:rPr>
        <w:t xml:space="preserve"> (TR63)</w:t>
      </w:r>
      <w:r w:rsidR="0064382A" w:rsidRPr="009B4428">
        <w:rPr>
          <w:rFonts w:cs="Arial"/>
        </w:rPr>
        <w:t>) hemen hemen aynı istihdam oranlarına sahip olup işsizlik oranları da birbirine yakındır.</w:t>
      </w:r>
      <w:r w:rsidRPr="009B4428">
        <w:rPr>
          <w:rFonts w:cs="Arial"/>
        </w:rPr>
        <w:t xml:space="preserve"> </w:t>
      </w:r>
      <w:r w:rsidR="0095407E" w:rsidRPr="009B4428">
        <w:rPr>
          <w:rFonts w:cs="Arial"/>
        </w:rPr>
        <w:t>2017 yılı tarım dışı işsizlik ve istihdam oranları</w:t>
      </w:r>
      <w:r w:rsidR="0064382A" w:rsidRPr="009B4428">
        <w:rPr>
          <w:rFonts w:cs="Arial"/>
        </w:rPr>
        <w:t xml:space="preserve"> itibariyle </w:t>
      </w:r>
      <w:r w:rsidR="0095407E" w:rsidRPr="009B4428">
        <w:rPr>
          <w:rFonts w:cs="Arial"/>
        </w:rPr>
        <w:t xml:space="preserve">2016 yılı ile karşılaştırıldığında </w:t>
      </w:r>
      <w:r w:rsidR="0064382A" w:rsidRPr="009B4428">
        <w:rPr>
          <w:rFonts w:cs="Arial"/>
          <w:b/>
        </w:rPr>
        <w:t xml:space="preserve">en </w:t>
      </w:r>
      <w:r w:rsidR="00C27769" w:rsidRPr="009B4428">
        <w:rPr>
          <w:rFonts w:cs="Arial"/>
          <w:b/>
        </w:rPr>
        <w:t>kötüle</w:t>
      </w:r>
      <w:r w:rsidR="0064382A" w:rsidRPr="009B4428">
        <w:rPr>
          <w:rFonts w:cs="Arial"/>
          <w:b/>
        </w:rPr>
        <w:t xml:space="preserve">r alanına </w:t>
      </w:r>
      <w:r w:rsidR="0095407E" w:rsidRPr="009B4428">
        <w:rPr>
          <w:rFonts w:cs="Arial"/>
          <w:b/>
        </w:rPr>
        <w:t>Kayseri</w:t>
      </w:r>
      <w:r w:rsidR="0064382A" w:rsidRPr="009B4428">
        <w:rPr>
          <w:rFonts w:cs="Arial"/>
          <w:b/>
        </w:rPr>
        <w:t>-</w:t>
      </w:r>
      <w:r w:rsidR="0095407E" w:rsidRPr="009B4428">
        <w:rPr>
          <w:rFonts w:cs="Arial"/>
          <w:b/>
        </w:rPr>
        <w:t>Sivas</w:t>
      </w:r>
      <w:r w:rsidR="0064382A" w:rsidRPr="009B4428">
        <w:rPr>
          <w:rFonts w:cs="Arial"/>
          <w:b/>
        </w:rPr>
        <w:t>-</w:t>
      </w:r>
      <w:r w:rsidR="0095407E" w:rsidRPr="009B4428">
        <w:rPr>
          <w:rFonts w:cs="Arial"/>
          <w:b/>
        </w:rPr>
        <w:t>Yozgat (TR72)</w:t>
      </w:r>
      <w:r w:rsidR="0064382A" w:rsidRPr="009B4428">
        <w:rPr>
          <w:rFonts w:cs="Arial"/>
          <w:b/>
        </w:rPr>
        <w:t xml:space="preserve"> bölgesinin eklendiği</w:t>
      </w:r>
      <w:r w:rsidR="00000E76" w:rsidRPr="009B4428">
        <w:rPr>
          <w:rFonts w:cs="Arial"/>
        </w:rPr>
        <w:t xml:space="preserve">, diğer altı bölgenin alan değiştiremediği </w:t>
      </w:r>
      <w:r w:rsidR="0064382A" w:rsidRPr="009B4428">
        <w:rPr>
          <w:rFonts w:cs="Arial"/>
        </w:rPr>
        <w:t>görülmektedir</w:t>
      </w:r>
      <w:r w:rsidR="0095407E" w:rsidRPr="009B4428">
        <w:rPr>
          <w:rFonts w:cs="Arial"/>
        </w:rPr>
        <w:t xml:space="preserve"> </w:t>
      </w:r>
      <w:r w:rsidR="00691B92" w:rsidRPr="009B4428">
        <w:rPr>
          <w:rFonts w:cs="Arial"/>
        </w:rPr>
        <w:t>(Ek Şekil 1</w:t>
      </w:r>
      <w:r w:rsidR="0095407E" w:rsidRPr="009B4428">
        <w:rPr>
          <w:rFonts w:cs="Arial"/>
        </w:rPr>
        <w:t xml:space="preserve">). </w:t>
      </w:r>
    </w:p>
    <w:p w14:paraId="25BDB624" w14:textId="3B79F80F" w:rsidR="006B2696" w:rsidRPr="009B4428" w:rsidRDefault="001723E0" w:rsidP="00ED3B36">
      <w:pPr>
        <w:jc w:val="both"/>
        <w:rPr>
          <w:rFonts w:cs="Arial"/>
        </w:rPr>
      </w:pPr>
      <w:r w:rsidRPr="009B4428">
        <w:rPr>
          <w:rFonts w:cs="Arial"/>
        </w:rPr>
        <w:t>Gaziantep-Adıyaman-Kilis ile Kapadokya bölgeler</w:t>
      </w:r>
      <w:r w:rsidR="00CE6C8C" w:rsidRPr="009B4428">
        <w:rPr>
          <w:rFonts w:cs="Arial"/>
        </w:rPr>
        <w:t>i 2015’ten 2016’ya en yüksek iş</w:t>
      </w:r>
      <w:r w:rsidRPr="009B4428">
        <w:rPr>
          <w:rFonts w:cs="Arial"/>
        </w:rPr>
        <w:t>s</w:t>
      </w:r>
      <w:r w:rsidR="00CE6C8C" w:rsidRPr="009B4428">
        <w:rPr>
          <w:rFonts w:cs="Arial"/>
        </w:rPr>
        <w:t>i</w:t>
      </w:r>
      <w:r w:rsidRPr="009B4428">
        <w:rPr>
          <w:rFonts w:cs="Arial"/>
        </w:rPr>
        <w:t>z</w:t>
      </w:r>
      <w:r w:rsidR="00CE6C8C" w:rsidRPr="009B4428">
        <w:rPr>
          <w:rFonts w:cs="Arial"/>
        </w:rPr>
        <w:t>lik</w:t>
      </w:r>
      <w:r w:rsidRPr="009B4428">
        <w:rPr>
          <w:rFonts w:cs="Arial"/>
        </w:rPr>
        <w:t xml:space="preserve"> artışına sahip bölgeler olarak en </w:t>
      </w:r>
      <w:r w:rsidR="00CE1DC4" w:rsidRPr="009B4428">
        <w:rPr>
          <w:rFonts w:cs="Arial"/>
        </w:rPr>
        <w:t>kötüler</w:t>
      </w:r>
      <w:r w:rsidRPr="009B4428">
        <w:rPr>
          <w:rFonts w:cs="Arial"/>
        </w:rPr>
        <w:t xml:space="preserve"> al</w:t>
      </w:r>
      <w:r w:rsidR="00CE6C8C" w:rsidRPr="009B4428">
        <w:rPr>
          <w:rFonts w:cs="Arial"/>
        </w:rPr>
        <w:t>a</w:t>
      </w:r>
      <w:r w:rsidRPr="009B4428">
        <w:rPr>
          <w:rFonts w:cs="Arial"/>
        </w:rPr>
        <w:t xml:space="preserve">nına intikal etmişlerdi (Betam AN </w:t>
      </w:r>
      <w:r w:rsidR="00000E76" w:rsidRPr="009B4428">
        <w:rPr>
          <w:rFonts w:cs="Arial"/>
        </w:rPr>
        <w:t xml:space="preserve"> </w:t>
      </w:r>
      <w:r w:rsidRPr="009B4428">
        <w:rPr>
          <w:rFonts w:cs="Arial"/>
        </w:rPr>
        <w:t>17/211). Gaziantep bölgesinde Suriye krizinin etkileri öne çıkarken Kapadokya’da tur</w:t>
      </w:r>
      <w:r w:rsidR="00996A09" w:rsidRPr="009B4428">
        <w:rPr>
          <w:rFonts w:cs="Arial"/>
        </w:rPr>
        <w:t>izm</w:t>
      </w:r>
      <w:r w:rsidRPr="009B4428">
        <w:rPr>
          <w:rFonts w:cs="Arial"/>
        </w:rPr>
        <w:t>de yaşanan şok</w:t>
      </w:r>
      <w:r w:rsidR="00996A09" w:rsidRPr="009B4428">
        <w:rPr>
          <w:rFonts w:cs="Arial"/>
        </w:rPr>
        <w:t xml:space="preserve"> etkili olmuştu. </w:t>
      </w:r>
      <w:r w:rsidR="003140F1" w:rsidRPr="009B4428">
        <w:rPr>
          <w:rFonts w:cs="Arial"/>
        </w:rPr>
        <w:t xml:space="preserve">Yüzde 17 ile en </w:t>
      </w:r>
      <w:r w:rsidR="009B4428" w:rsidRPr="009B4428">
        <w:rPr>
          <w:rFonts w:cs="Arial"/>
        </w:rPr>
        <w:t>yüksek Suriyeli</w:t>
      </w:r>
      <w:r w:rsidR="003140F1" w:rsidRPr="009B4428">
        <w:rPr>
          <w:rFonts w:cs="Arial"/>
        </w:rPr>
        <w:t xml:space="preserve"> / Bölge nüfusu oranına sahip </w:t>
      </w:r>
      <w:r w:rsidR="00D9356A" w:rsidRPr="009B4428">
        <w:rPr>
          <w:rFonts w:cs="Arial"/>
        </w:rPr>
        <w:t xml:space="preserve">Gaziantep bölgesinde </w:t>
      </w:r>
      <w:r w:rsidR="003140F1" w:rsidRPr="009B4428">
        <w:rPr>
          <w:rFonts w:cs="Arial"/>
        </w:rPr>
        <w:t>son yıllarda gözlemlenen şiddetli işsizlik artışında Suriyeli göçünün payı önemlidir.</w:t>
      </w:r>
      <w:r w:rsidR="004F2CB0" w:rsidRPr="009B4428">
        <w:rPr>
          <w:rStyle w:val="FootnoteReference"/>
          <w:rFonts w:cs="Arial"/>
        </w:rPr>
        <w:footnoteReference w:id="8"/>
      </w:r>
      <w:r w:rsidR="00D9356A" w:rsidRPr="009B4428">
        <w:rPr>
          <w:rFonts w:cs="Arial"/>
        </w:rPr>
        <w:t xml:space="preserve"> Buna karşılık Kapadokya </w:t>
      </w:r>
      <w:r w:rsidR="002E2CA7" w:rsidRPr="009B4428">
        <w:rPr>
          <w:rFonts w:cs="Arial"/>
        </w:rPr>
        <w:t>bölgesinde</w:t>
      </w:r>
      <w:r w:rsidR="00D9356A" w:rsidRPr="009B4428">
        <w:rPr>
          <w:rFonts w:cs="Arial"/>
        </w:rPr>
        <w:t xml:space="preserve"> işsizlik oranında yüzde 18’den 15’e hacimli bir düşüş gerçekleşmiştir. Bu </w:t>
      </w:r>
      <w:r w:rsidR="002E2CA7" w:rsidRPr="009B4428">
        <w:rPr>
          <w:rFonts w:cs="Arial"/>
        </w:rPr>
        <w:t>iyileşmenin 2017’de</w:t>
      </w:r>
      <w:r w:rsidR="00D9356A" w:rsidRPr="009B4428">
        <w:rPr>
          <w:rFonts w:cs="Arial"/>
        </w:rPr>
        <w:t xml:space="preserve"> canlanan turizminden kaynaklandığı tahmin edilebilir. </w:t>
      </w:r>
      <w:r w:rsidR="00996A09" w:rsidRPr="009B4428">
        <w:rPr>
          <w:rFonts w:cs="Arial"/>
        </w:rPr>
        <w:t xml:space="preserve">İki yıl </w:t>
      </w:r>
      <w:r w:rsidR="002E2CA7" w:rsidRPr="009B4428">
        <w:rPr>
          <w:rFonts w:cs="Arial"/>
        </w:rPr>
        <w:t>üst üste</w:t>
      </w:r>
      <w:r w:rsidR="00CE6C8C" w:rsidRPr="009B4428">
        <w:rPr>
          <w:rFonts w:cs="Arial"/>
        </w:rPr>
        <w:t xml:space="preserve"> işsizliğin azaldığı </w:t>
      </w:r>
      <w:r w:rsidR="00A223BC" w:rsidRPr="009B4428">
        <w:rPr>
          <w:rFonts w:cs="Arial"/>
        </w:rPr>
        <w:t>yegâne</w:t>
      </w:r>
      <w:r w:rsidR="00CE6C8C" w:rsidRPr="009B4428">
        <w:rPr>
          <w:rFonts w:cs="Arial"/>
        </w:rPr>
        <w:t xml:space="preserve"> bö</w:t>
      </w:r>
      <w:r w:rsidR="00996A09" w:rsidRPr="009B4428">
        <w:rPr>
          <w:rFonts w:cs="Arial"/>
        </w:rPr>
        <w:t>lge Hatay-Kahramanmaraş-Osmaniye bölgesidir.</w:t>
      </w:r>
      <w:r w:rsidR="003140F1" w:rsidRPr="009B4428">
        <w:rPr>
          <w:rStyle w:val="FootnoteReference"/>
          <w:rFonts w:cs="Arial"/>
        </w:rPr>
        <w:footnoteReference w:id="9"/>
      </w:r>
      <w:r w:rsidR="00996A09" w:rsidRPr="009B4428">
        <w:rPr>
          <w:rFonts w:cs="Arial"/>
        </w:rPr>
        <w:t xml:space="preserve"> Ancak bu iyileşme bu bölgeyi en </w:t>
      </w:r>
      <w:r w:rsidR="00BC4428" w:rsidRPr="009B4428">
        <w:rPr>
          <w:rFonts w:cs="Arial"/>
        </w:rPr>
        <w:t>kötüler</w:t>
      </w:r>
      <w:r w:rsidR="00996A09" w:rsidRPr="009B4428">
        <w:rPr>
          <w:rFonts w:cs="Arial"/>
        </w:rPr>
        <w:t xml:space="preserve"> alanından kurtarmaya yetmemiştir.</w:t>
      </w:r>
      <w:r w:rsidR="00B46B83" w:rsidRPr="009B4428">
        <w:rPr>
          <w:rFonts w:cs="Arial"/>
        </w:rPr>
        <w:t xml:space="preserve"> Kayseri-Sivas-Yozgat bölgesinde yaşanan olumsuzluğu daha aşağıda ele alacağız.</w:t>
      </w:r>
    </w:p>
    <w:p w14:paraId="235B65EF" w14:textId="1D4662EB" w:rsidR="0095407E" w:rsidRPr="009B4428" w:rsidRDefault="006B2696" w:rsidP="00ED3B36">
      <w:pPr>
        <w:jc w:val="both"/>
        <w:rPr>
          <w:rFonts w:cs="Arial"/>
          <w:color w:val="FF0000"/>
        </w:rPr>
      </w:pPr>
      <w:r w:rsidRPr="009B4428">
        <w:rPr>
          <w:rFonts w:cs="Arial"/>
        </w:rPr>
        <w:t xml:space="preserve">Şekil 2’de sağ üst </w:t>
      </w:r>
      <w:r w:rsidR="00412360" w:rsidRPr="009B4428">
        <w:rPr>
          <w:rFonts w:cs="Arial"/>
        </w:rPr>
        <w:t>alanda</w:t>
      </w:r>
      <w:r w:rsidRPr="009B4428">
        <w:rPr>
          <w:rFonts w:cs="Arial"/>
        </w:rPr>
        <w:t xml:space="preserve"> yer alan</w:t>
      </w:r>
      <w:r w:rsidR="00B46B83" w:rsidRPr="009B4428">
        <w:rPr>
          <w:rFonts w:cs="Arial"/>
        </w:rPr>
        <w:t xml:space="preserve"> </w:t>
      </w:r>
      <w:r w:rsidR="007D2775" w:rsidRPr="009B4428">
        <w:rPr>
          <w:rFonts w:cs="Arial"/>
        </w:rPr>
        <w:t>3 bölgenin</w:t>
      </w:r>
      <w:r w:rsidR="00996A09" w:rsidRPr="009B4428">
        <w:rPr>
          <w:rFonts w:cs="Arial"/>
        </w:rPr>
        <w:t xml:space="preserve"> </w:t>
      </w:r>
      <w:r w:rsidR="00D9356A" w:rsidRPr="009B4428">
        <w:rPr>
          <w:rFonts w:cs="Arial"/>
        </w:rPr>
        <w:t>üzerinde durulmaya değer: Ö</w:t>
      </w:r>
      <w:r w:rsidR="007D2775" w:rsidRPr="009B4428">
        <w:rPr>
          <w:rFonts w:cs="Arial"/>
        </w:rPr>
        <w:t>nce bu 3 bölge</w:t>
      </w:r>
      <w:r w:rsidR="002E2CA7" w:rsidRPr="009B4428">
        <w:rPr>
          <w:rFonts w:cs="Arial"/>
        </w:rPr>
        <w:t>d</w:t>
      </w:r>
      <w:r w:rsidR="007D2775" w:rsidRPr="009B4428">
        <w:rPr>
          <w:rFonts w:cs="Arial"/>
        </w:rPr>
        <w:t>en 2016’yılında da aynı alanda yer aldıklarını belirtelim. İstanbul (TR10) Trakya’dan sonra en yüksek tarım dışı istihdam oranına sahip bölgedir, işsizlik oranı da (yüzde 14) Türki</w:t>
      </w:r>
      <w:r w:rsidR="00D9356A" w:rsidRPr="009B4428">
        <w:rPr>
          <w:rFonts w:cs="Arial"/>
        </w:rPr>
        <w:t>y</w:t>
      </w:r>
      <w:r w:rsidR="007D2775" w:rsidRPr="009B4428">
        <w:rPr>
          <w:rFonts w:cs="Arial"/>
        </w:rPr>
        <w:t xml:space="preserve">e ortalamasının (yüzde 13) biraz üzerindedir. Bu bakımdan en </w:t>
      </w:r>
      <w:r w:rsidR="00A82119" w:rsidRPr="009B4428">
        <w:rPr>
          <w:rFonts w:cs="Arial"/>
        </w:rPr>
        <w:t>iyi</w:t>
      </w:r>
      <w:r w:rsidR="007D2775" w:rsidRPr="009B4428">
        <w:rPr>
          <w:rFonts w:cs="Arial"/>
        </w:rPr>
        <w:t xml:space="preserve"> bölgelere oldukça yakın bir konumdadır. Antalya-Isparta-Burdur (TR61) daha yüksek işsizlik oranına</w:t>
      </w:r>
      <w:r w:rsidR="00D9356A" w:rsidRPr="009B4428">
        <w:rPr>
          <w:rFonts w:cs="Arial"/>
        </w:rPr>
        <w:t xml:space="preserve"> (yüzde 14,2)</w:t>
      </w:r>
      <w:r w:rsidR="007D2775" w:rsidRPr="009B4428">
        <w:rPr>
          <w:rFonts w:cs="Arial"/>
        </w:rPr>
        <w:t xml:space="preserve"> </w:t>
      </w:r>
      <w:r w:rsidR="00BB6F86" w:rsidRPr="009B4428">
        <w:rPr>
          <w:rFonts w:cs="Arial"/>
        </w:rPr>
        <w:t xml:space="preserve">ve daha düşük </w:t>
      </w:r>
      <w:r w:rsidR="007D2775" w:rsidRPr="009B4428">
        <w:rPr>
          <w:rFonts w:cs="Arial"/>
        </w:rPr>
        <w:t>istihdam oranı</w:t>
      </w:r>
      <w:r w:rsidR="00BB6F86" w:rsidRPr="009B4428">
        <w:rPr>
          <w:rFonts w:cs="Arial"/>
        </w:rPr>
        <w:t xml:space="preserve">na (yüzde 43,7) sahiptir. Turizm şoku nedeniyle 2016 yılında tarım dışı işsizlik oranı 2,1 yüzde puan artış kaydetmiş, 2017 yılında da 0,2 yüzde puanlık bir artış söz konusudur. Bu alanda yer </w:t>
      </w:r>
      <w:r w:rsidR="00D9356A" w:rsidRPr="009B4428">
        <w:rPr>
          <w:rFonts w:cs="Arial"/>
        </w:rPr>
        <w:t xml:space="preserve">alan </w:t>
      </w:r>
      <w:r w:rsidR="00BB6F86" w:rsidRPr="009B4428">
        <w:rPr>
          <w:rFonts w:cs="Arial"/>
        </w:rPr>
        <w:t xml:space="preserve">İzmir’in (TR31) </w:t>
      </w:r>
      <w:r w:rsidR="00D9356A" w:rsidRPr="009B4428">
        <w:rPr>
          <w:rFonts w:cs="Arial"/>
        </w:rPr>
        <w:t xml:space="preserve">durumu </w:t>
      </w:r>
      <w:r w:rsidR="00BB6F86" w:rsidRPr="009B4428">
        <w:rPr>
          <w:rFonts w:cs="Arial"/>
        </w:rPr>
        <w:t xml:space="preserve">oldukça dikkat çekicidir. </w:t>
      </w:r>
      <w:r w:rsidR="00BB6F86" w:rsidRPr="009B4428">
        <w:rPr>
          <w:rFonts w:cs="Arial"/>
          <w:b/>
        </w:rPr>
        <w:t>İzmir yüzde 15,1 ile Batı’nın en yüksek işsizlik oranına sahip bölgesidir.</w:t>
      </w:r>
      <w:r w:rsidR="00BB6F86" w:rsidRPr="009B4428">
        <w:rPr>
          <w:rFonts w:cs="Arial"/>
        </w:rPr>
        <w:t xml:space="preserve"> Aynı zamanda yüksek tarım dışı istihdam oranına (yüzde 44,9) sahiptir. Yüksek işsizliğin başlıca nedeni kadın işsizliğinin yüksekliğidir</w:t>
      </w:r>
      <w:r w:rsidR="00EE489F" w:rsidRPr="009B4428">
        <w:rPr>
          <w:rStyle w:val="FootnoteReference"/>
          <w:rFonts w:cs="Arial"/>
        </w:rPr>
        <w:footnoteReference w:id="10"/>
      </w:r>
      <w:r w:rsidR="00BB6F86" w:rsidRPr="009B4428">
        <w:rPr>
          <w:rFonts w:cs="Arial"/>
        </w:rPr>
        <w:t xml:space="preserve">. </w:t>
      </w:r>
    </w:p>
    <w:p w14:paraId="5F3D0497" w14:textId="6023F4E6" w:rsidR="00A41C65" w:rsidRPr="009B4428" w:rsidRDefault="00A41C65" w:rsidP="00ED3B36">
      <w:pPr>
        <w:jc w:val="both"/>
        <w:rPr>
          <w:rFonts w:cs="Arial"/>
          <w:b/>
          <w:sz w:val="24"/>
          <w:szCs w:val="24"/>
        </w:rPr>
      </w:pPr>
      <w:r w:rsidRPr="009B4428">
        <w:rPr>
          <w:rFonts w:cs="Arial"/>
          <w:b/>
          <w:sz w:val="24"/>
          <w:szCs w:val="24"/>
        </w:rPr>
        <w:t xml:space="preserve">İşsizlik ve istihdamda en </w:t>
      </w:r>
      <w:r w:rsidR="00A82119" w:rsidRPr="009B4428">
        <w:rPr>
          <w:rFonts w:cs="Arial"/>
          <w:b/>
          <w:sz w:val="24"/>
          <w:szCs w:val="24"/>
        </w:rPr>
        <w:t xml:space="preserve">iyi </w:t>
      </w:r>
      <w:r w:rsidRPr="009B4428">
        <w:rPr>
          <w:rFonts w:cs="Arial"/>
          <w:b/>
          <w:sz w:val="24"/>
          <w:szCs w:val="24"/>
        </w:rPr>
        <w:t>bölgeler</w:t>
      </w:r>
    </w:p>
    <w:p w14:paraId="0B6DC6DA" w14:textId="692C6281" w:rsidR="0020546E" w:rsidRPr="009B4428" w:rsidRDefault="00A41C65" w:rsidP="0020546E">
      <w:pPr>
        <w:spacing w:after="0"/>
        <w:jc w:val="both"/>
        <w:rPr>
          <w:rFonts w:cs="Arial"/>
          <w:color w:val="FF0000"/>
        </w:rPr>
      </w:pPr>
      <w:r w:rsidRPr="009B4428">
        <w:rPr>
          <w:rFonts w:cs="Arial"/>
          <w:b/>
        </w:rPr>
        <w:t>2017’de yüzde 6,1 ile en düşük işsizliğe sahip bölge Trabzon</w:t>
      </w:r>
      <w:r w:rsidR="00B46B83" w:rsidRPr="009B4428">
        <w:rPr>
          <w:rFonts w:cs="Arial"/>
          <w:b/>
        </w:rPr>
        <w:t>-</w:t>
      </w:r>
      <w:r w:rsidRPr="009B4428">
        <w:rPr>
          <w:rFonts w:cs="Arial"/>
          <w:b/>
        </w:rPr>
        <w:t>Ordu</w:t>
      </w:r>
      <w:r w:rsidR="00B46B83" w:rsidRPr="009B4428">
        <w:rPr>
          <w:rFonts w:cs="Arial"/>
          <w:b/>
        </w:rPr>
        <w:t>-</w:t>
      </w:r>
      <w:r w:rsidRPr="009B4428">
        <w:rPr>
          <w:rFonts w:cs="Arial"/>
          <w:b/>
        </w:rPr>
        <w:t>Giresun</w:t>
      </w:r>
      <w:r w:rsidR="00B46B83" w:rsidRPr="009B4428">
        <w:rPr>
          <w:rFonts w:cs="Arial"/>
          <w:b/>
        </w:rPr>
        <w:t>-</w:t>
      </w:r>
      <w:r w:rsidRPr="009B4428">
        <w:rPr>
          <w:rFonts w:cs="Arial"/>
          <w:b/>
        </w:rPr>
        <w:t>Rize</w:t>
      </w:r>
      <w:r w:rsidR="00B46B83" w:rsidRPr="009B4428">
        <w:rPr>
          <w:rFonts w:cs="Arial"/>
          <w:b/>
        </w:rPr>
        <w:t>-</w:t>
      </w:r>
      <w:r w:rsidRPr="009B4428">
        <w:rPr>
          <w:rFonts w:cs="Arial"/>
          <w:b/>
        </w:rPr>
        <w:t xml:space="preserve"> Artvin</w:t>
      </w:r>
      <w:r w:rsidR="00B46B83" w:rsidRPr="009B4428">
        <w:rPr>
          <w:rFonts w:cs="Arial"/>
          <w:b/>
        </w:rPr>
        <w:t>-</w:t>
      </w:r>
      <w:r w:rsidRPr="009B4428">
        <w:rPr>
          <w:rFonts w:cs="Arial"/>
          <w:b/>
        </w:rPr>
        <w:t xml:space="preserve"> Gümüşhane (TR90</w:t>
      </w:r>
      <w:r w:rsidR="00B46B83" w:rsidRPr="009B4428">
        <w:rPr>
          <w:rFonts w:cs="Arial"/>
          <w:b/>
        </w:rPr>
        <w:t>, Doğu Karadeniz)</w:t>
      </w:r>
      <w:r w:rsidRPr="009B4428">
        <w:rPr>
          <w:rFonts w:cs="Arial"/>
          <w:b/>
        </w:rPr>
        <w:t xml:space="preserve"> bölgesidir. </w:t>
      </w:r>
      <w:r w:rsidRPr="009B4428">
        <w:rPr>
          <w:rFonts w:cs="Arial"/>
        </w:rPr>
        <w:t>Bu bölgeyi yüzde 7,8 ile Konya</w:t>
      </w:r>
      <w:r w:rsidR="00B46B83" w:rsidRPr="009B4428">
        <w:rPr>
          <w:rFonts w:cs="Arial"/>
        </w:rPr>
        <w:t>-</w:t>
      </w:r>
      <w:r w:rsidRPr="009B4428">
        <w:rPr>
          <w:rFonts w:cs="Arial"/>
        </w:rPr>
        <w:t>Karaman (TR52)</w:t>
      </w:r>
      <w:r w:rsidR="001C2961" w:rsidRPr="009B4428">
        <w:rPr>
          <w:rFonts w:cs="Arial"/>
        </w:rPr>
        <w:t>,</w:t>
      </w:r>
      <w:r w:rsidRPr="009B4428">
        <w:rPr>
          <w:rFonts w:cs="Arial"/>
        </w:rPr>
        <w:t xml:space="preserve"> yüzde 8,2 ile Kastamonu</w:t>
      </w:r>
      <w:r w:rsidR="00B46B83" w:rsidRPr="009B4428">
        <w:rPr>
          <w:rFonts w:cs="Arial"/>
        </w:rPr>
        <w:t>-</w:t>
      </w:r>
      <w:r w:rsidRPr="009B4428">
        <w:rPr>
          <w:rFonts w:cs="Arial"/>
        </w:rPr>
        <w:t>Çankırı</w:t>
      </w:r>
      <w:r w:rsidR="00B46B83" w:rsidRPr="009B4428">
        <w:rPr>
          <w:rFonts w:cs="Arial"/>
        </w:rPr>
        <w:t>-</w:t>
      </w:r>
      <w:r w:rsidRPr="009B4428">
        <w:rPr>
          <w:rFonts w:cs="Arial"/>
        </w:rPr>
        <w:t>Sinop (TR82), yüzde 8,3 ile Balıkesir</w:t>
      </w:r>
      <w:r w:rsidR="00B46B83" w:rsidRPr="009B4428">
        <w:rPr>
          <w:rFonts w:cs="Arial"/>
        </w:rPr>
        <w:t>-</w:t>
      </w:r>
      <w:r w:rsidRPr="009B4428">
        <w:rPr>
          <w:rFonts w:cs="Arial"/>
        </w:rPr>
        <w:t>Çanakkale (TR22)</w:t>
      </w:r>
      <w:r w:rsidR="00627B56" w:rsidRPr="009B4428">
        <w:rPr>
          <w:rFonts w:cs="Arial"/>
        </w:rPr>
        <w:t xml:space="preserve"> </w:t>
      </w:r>
      <w:r w:rsidR="00B46B83" w:rsidRPr="009B4428">
        <w:rPr>
          <w:rFonts w:cs="Arial"/>
        </w:rPr>
        <w:t>izlemektedir</w:t>
      </w:r>
      <w:r w:rsidR="00627B56" w:rsidRPr="009B4428">
        <w:rPr>
          <w:rFonts w:cs="Arial"/>
        </w:rPr>
        <w:t xml:space="preserve">. </w:t>
      </w:r>
      <w:r w:rsidRPr="009B4428">
        <w:rPr>
          <w:rFonts w:cs="Arial"/>
        </w:rPr>
        <w:t xml:space="preserve">Erzurum, </w:t>
      </w:r>
      <w:r w:rsidRPr="009B4428">
        <w:rPr>
          <w:rFonts w:cs="Arial"/>
        </w:rPr>
        <w:lastRenderedPageBreak/>
        <w:t>Erzincan</w:t>
      </w:r>
      <w:r w:rsidR="00B46B83" w:rsidRPr="009B4428">
        <w:rPr>
          <w:rFonts w:cs="Arial"/>
        </w:rPr>
        <w:t>-</w:t>
      </w:r>
      <w:r w:rsidRPr="009B4428">
        <w:rPr>
          <w:rFonts w:cs="Arial"/>
        </w:rPr>
        <w:t>Bayburt</w:t>
      </w:r>
      <w:r w:rsidR="006E6A33" w:rsidRPr="009B4428">
        <w:rPr>
          <w:rFonts w:cs="Arial"/>
        </w:rPr>
        <w:t xml:space="preserve"> (TRA1) </w:t>
      </w:r>
      <w:r w:rsidR="00627B56" w:rsidRPr="009B4428">
        <w:rPr>
          <w:rFonts w:cs="Arial"/>
        </w:rPr>
        <w:t>ile Manisa</w:t>
      </w:r>
      <w:r w:rsidR="00B46B83" w:rsidRPr="009B4428">
        <w:rPr>
          <w:rFonts w:cs="Arial"/>
        </w:rPr>
        <w:t>-</w:t>
      </w:r>
      <w:r w:rsidR="00627B56" w:rsidRPr="009B4428">
        <w:rPr>
          <w:rFonts w:cs="Arial"/>
        </w:rPr>
        <w:t>Afyon</w:t>
      </w:r>
      <w:r w:rsidR="00B46B83" w:rsidRPr="009B4428">
        <w:rPr>
          <w:rFonts w:cs="Arial"/>
        </w:rPr>
        <w:t>-</w:t>
      </w:r>
      <w:r w:rsidR="00627B56" w:rsidRPr="009B4428">
        <w:rPr>
          <w:rFonts w:cs="Arial"/>
        </w:rPr>
        <w:t>Kütahya</w:t>
      </w:r>
      <w:r w:rsidR="00B46B83" w:rsidRPr="009B4428">
        <w:rPr>
          <w:rFonts w:cs="Arial"/>
        </w:rPr>
        <w:t>-</w:t>
      </w:r>
      <w:r w:rsidR="00627B56" w:rsidRPr="009B4428">
        <w:rPr>
          <w:rFonts w:cs="Arial"/>
        </w:rPr>
        <w:t xml:space="preserve">Uşak (TR33) </w:t>
      </w:r>
      <w:r w:rsidR="006E6A33" w:rsidRPr="009B4428">
        <w:rPr>
          <w:rFonts w:cs="Arial"/>
        </w:rPr>
        <w:t xml:space="preserve">bölgeleri </w:t>
      </w:r>
      <w:r w:rsidR="00627B56" w:rsidRPr="009B4428">
        <w:rPr>
          <w:rFonts w:cs="Arial"/>
        </w:rPr>
        <w:t>yüzde 8,6 işsizlik oranına sahip bölgelerdir.</w:t>
      </w:r>
      <w:r w:rsidR="00D9356A" w:rsidRPr="009B4428">
        <w:rPr>
          <w:rFonts w:cs="Arial"/>
        </w:rPr>
        <w:t xml:space="preserve"> </w:t>
      </w:r>
      <w:r w:rsidR="00D9356A" w:rsidRPr="009B4428">
        <w:rPr>
          <w:rFonts w:cs="Arial"/>
          <w:b/>
        </w:rPr>
        <w:t xml:space="preserve">Ancak bu bölgelerin tümü diğer </w:t>
      </w:r>
      <w:r w:rsidR="001E0829" w:rsidRPr="009B4428">
        <w:rPr>
          <w:rFonts w:cs="Arial"/>
          <w:b/>
        </w:rPr>
        <w:t>tartışmalı alanda</w:t>
      </w:r>
      <w:r w:rsidR="00D9356A" w:rsidRPr="009B4428">
        <w:rPr>
          <w:rFonts w:cs="Arial"/>
          <w:b/>
        </w:rPr>
        <w:t xml:space="preserve"> (sol alt </w:t>
      </w:r>
      <w:r w:rsidR="00C275AD">
        <w:rPr>
          <w:rFonts w:cs="Arial"/>
          <w:b/>
        </w:rPr>
        <w:t>alan</w:t>
      </w:r>
      <w:r w:rsidR="00D9356A" w:rsidRPr="009B4428">
        <w:rPr>
          <w:rFonts w:cs="Arial"/>
          <w:b/>
        </w:rPr>
        <w:t xml:space="preserve">, şekil 2), </w:t>
      </w:r>
      <w:r w:rsidR="00A223BC" w:rsidRPr="009B4428">
        <w:rPr>
          <w:rFonts w:cs="Arial"/>
          <w:b/>
        </w:rPr>
        <w:t>diğer</w:t>
      </w:r>
      <w:r w:rsidR="00D9356A" w:rsidRPr="009B4428">
        <w:rPr>
          <w:rFonts w:cs="Arial"/>
          <w:b/>
        </w:rPr>
        <w:t xml:space="preserve"> ifadeyle ülke </w:t>
      </w:r>
      <w:r w:rsidR="004E5179" w:rsidRPr="009B4428">
        <w:rPr>
          <w:rFonts w:cs="Arial"/>
          <w:b/>
        </w:rPr>
        <w:t>ortalamasından</w:t>
      </w:r>
      <w:r w:rsidR="00D9356A" w:rsidRPr="009B4428">
        <w:rPr>
          <w:rFonts w:cs="Arial"/>
          <w:b/>
        </w:rPr>
        <w:t xml:space="preserve"> daha düşük tarım dışı istihdam oranlarına sahip bölgelerdir.</w:t>
      </w:r>
      <w:r w:rsidR="00D9356A" w:rsidRPr="009B4428">
        <w:rPr>
          <w:rFonts w:cs="Arial"/>
        </w:rPr>
        <w:t xml:space="preserve"> </w:t>
      </w:r>
      <w:r w:rsidR="0020546E" w:rsidRPr="009B4428">
        <w:rPr>
          <w:rFonts w:cs="Arial"/>
        </w:rPr>
        <w:t>Bu bölgelerde tarım dışı istihdam oranının düşüklüğü önemli ölçüde kadınların tarım dışında işgücüne katılımlarının düşüklüğünden kaynaklanmaktadır.</w:t>
      </w:r>
      <w:r w:rsidR="0020546E" w:rsidRPr="009B4428">
        <w:rPr>
          <w:rStyle w:val="FootnoteReference"/>
          <w:rFonts w:cs="Arial"/>
        </w:rPr>
        <w:footnoteReference w:id="11"/>
      </w:r>
      <w:r w:rsidR="0020546E" w:rsidRPr="009B4428">
        <w:rPr>
          <w:rFonts w:cs="Arial"/>
        </w:rPr>
        <w:t xml:space="preserve"> </w:t>
      </w:r>
    </w:p>
    <w:p w14:paraId="20A53144" w14:textId="77777777" w:rsidR="007A6A30" w:rsidRPr="009B4428" w:rsidRDefault="007A6A30" w:rsidP="00ED3B36">
      <w:pPr>
        <w:spacing w:after="0"/>
        <w:jc w:val="both"/>
        <w:rPr>
          <w:rFonts w:cs="Arial"/>
        </w:rPr>
      </w:pPr>
    </w:p>
    <w:p w14:paraId="144BCDE7" w14:textId="5F19E204" w:rsidR="00FF324D" w:rsidRPr="009B4428" w:rsidRDefault="007A6A30" w:rsidP="00ED3B36">
      <w:pPr>
        <w:spacing w:after="0"/>
        <w:jc w:val="both"/>
        <w:rPr>
          <w:rFonts w:cs="Arial"/>
        </w:rPr>
      </w:pPr>
      <w:r w:rsidRPr="009B4428">
        <w:rPr>
          <w:rFonts w:cs="Arial"/>
          <w:b/>
        </w:rPr>
        <w:t xml:space="preserve">Tarım dışı işsizlik ve tarım dışı istihdam oranları itibariyle en </w:t>
      </w:r>
      <w:r w:rsidR="00127946" w:rsidRPr="009B4428">
        <w:rPr>
          <w:rFonts w:cs="Arial"/>
          <w:b/>
        </w:rPr>
        <w:t>iyi durumdaki</w:t>
      </w:r>
      <w:r w:rsidRPr="009B4428">
        <w:rPr>
          <w:rFonts w:cs="Arial"/>
          <w:b/>
        </w:rPr>
        <w:t xml:space="preserve"> </w:t>
      </w:r>
      <w:r w:rsidR="00074C7B" w:rsidRPr="009B4428">
        <w:rPr>
          <w:rFonts w:cs="Arial"/>
          <w:b/>
        </w:rPr>
        <w:t xml:space="preserve">alanda (Şekil 2, sağ alt </w:t>
      </w:r>
      <w:r w:rsidR="00C275AD">
        <w:rPr>
          <w:rFonts w:cs="Arial"/>
          <w:b/>
        </w:rPr>
        <w:t>alan</w:t>
      </w:r>
      <w:r w:rsidR="00074C7B" w:rsidRPr="009B4428">
        <w:rPr>
          <w:rFonts w:cs="Arial"/>
          <w:b/>
        </w:rPr>
        <w:t xml:space="preserve">) </w:t>
      </w:r>
      <w:r w:rsidRPr="009B4428">
        <w:rPr>
          <w:rFonts w:cs="Arial"/>
          <w:b/>
        </w:rPr>
        <w:t>5 bölge</w:t>
      </w:r>
      <w:r w:rsidR="0038280B" w:rsidRPr="009B4428">
        <w:rPr>
          <w:rFonts w:cs="Arial"/>
          <w:b/>
        </w:rPr>
        <w:t xml:space="preserve"> </w:t>
      </w:r>
      <w:r w:rsidRPr="009B4428">
        <w:rPr>
          <w:rFonts w:cs="Arial"/>
          <w:b/>
        </w:rPr>
        <w:t>mevcuttur</w:t>
      </w:r>
      <w:r w:rsidR="00074C7B" w:rsidRPr="009B4428">
        <w:rPr>
          <w:rFonts w:cs="Arial"/>
          <w:b/>
        </w:rPr>
        <w:t>.</w:t>
      </w:r>
      <w:r w:rsidR="0038280B" w:rsidRPr="009B4428">
        <w:rPr>
          <w:rFonts w:cs="Arial"/>
        </w:rPr>
        <w:t xml:space="preserve"> İşsizlik oranları itibariyle bu bölgeler düşükten yükseğe şöyle sıralanmaktadır: Aydın-Denizli-Muğla (TR32), Tekirdağ-Edirne-Kırklareli (TR21, Trakya), Bursa-Eskişehir-Bilecik (TR41), Ankara (TR51) ve Kocaeli-Sakary</w:t>
      </w:r>
      <w:r w:rsidR="00074C7B" w:rsidRPr="009B4428">
        <w:rPr>
          <w:rFonts w:cs="Arial"/>
        </w:rPr>
        <w:t>a</w:t>
      </w:r>
      <w:r w:rsidR="0038280B" w:rsidRPr="009B4428">
        <w:rPr>
          <w:rFonts w:cs="Arial"/>
        </w:rPr>
        <w:t>-Düzce-Bolu-Yalova (TR42</w:t>
      </w:r>
      <w:r w:rsidR="00074C7B" w:rsidRPr="009B4428">
        <w:rPr>
          <w:rFonts w:cs="Arial"/>
        </w:rPr>
        <w:t>)</w:t>
      </w:r>
      <w:r w:rsidR="0038280B" w:rsidRPr="009B4428">
        <w:rPr>
          <w:rFonts w:cs="Arial"/>
        </w:rPr>
        <w:t xml:space="preserve">. </w:t>
      </w:r>
      <w:r w:rsidR="0020546E" w:rsidRPr="009B4428">
        <w:rPr>
          <w:rFonts w:cs="Arial"/>
        </w:rPr>
        <w:t>Bu</w:t>
      </w:r>
      <w:r w:rsidR="0038280B" w:rsidRPr="009B4428">
        <w:rPr>
          <w:rFonts w:cs="Arial"/>
        </w:rPr>
        <w:t xml:space="preserve"> 5 bölge 2016’da da en </w:t>
      </w:r>
      <w:r w:rsidR="00127946" w:rsidRPr="009B4428">
        <w:rPr>
          <w:rFonts w:cs="Arial"/>
        </w:rPr>
        <w:t>iyiler</w:t>
      </w:r>
      <w:r w:rsidR="00650DCE" w:rsidRPr="009B4428">
        <w:rPr>
          <w:rFonts w:cs="Arial"/>
        </w:rPr>
        <w:t xml:space="preserve"> </w:t>
      </w:r>
      <w:r w:rsidR="0038280B" w:rsidRPr="009B4428">
        <w:rPr>
          <w:rFonts w:cs="Arial"/>
        </w:rPr>
        <w:t xml:space="preserve">alanında yer </w:t>
      </w:r>
      <w:r w:rsidR="0020546E" w:rsidRPr="009B4428">
        <w:rPr>
          <w:rFonts w:cs="Arial"/>
        </w:rPr>
        <w:t xml:space="preserve">almışlardır. Bu bölgeler </w:t>
      </w:r>
      <w:r w:rsidR="00F001D7" w:rsidRPr="009B4428">
        <w:rPr>
          <w:rFonts w:cs="Arial"/>
        </w:rPr>
        <w:t>Türkiye’nin sanayi ağırlıklı en kalkınmış bölgeleri</w:t>
      </w:r>
      <w:r w:rsidR="0020546E" w:rsidRPr="009B4428">
        <w:rPr>
          <w:rFonts w:cs="Arial"/>
        </w:rPr>
        <w:t>dir</w:t>
      </w:r>
      <w:r w:rsidR="00FF324D" w:rsidRPr="009B4428">
        <w:rPr>
          <w:rFonts w:cs="Arial"/>
        </w:rPr>
        <w:t xml:space="preserve"> ve tarım dışı istihdam oranları Türkiye ortala</w:t>
      </w:r>
      <w:r w:rsidR="004E5179" w:rsidRPr="009B4428">
        <w:rPr>
          <w:rFonts w:cs="Arial"/>
        </w:rPr>
        <w:t>ma</w:t>
      </w:r>
      <w:r w:rsidR="00FF324D" w:rsidRPr="009B4428">
        <w:rPr>
          <w:rFonts w:cs="Arial"/>
        </w:rPr>
        <w:t xml:space="preserve">sının üzerinde olup </w:t>
      </w:r>
      <w:r w:rsidR="004E5179" w:rsidRPr="009B4428">
        <w:rPr>
          <w:rFonts w:cs="Arial"/>
        </w:rPr>
        <w:t>yüksek</w:t>
      </w:r>
      <w:r w:rsidR="00FF324D" w:rsidRPr="009B4428">
        <w:rPr>
          <w:rFonts w:cs="Arial"/>
        </w:rPr>
        <w:t xml:space="preserve"> kadın katılımları dikkat çekmektedir</w:t>
      </w:r>
      <w:r w:rsidR="0020546E" w:rsidRPr="009B4428">
        <w:rPr>
          <w:rFonts w:cs="Arial"/>
        </w:rPr>
        <w:t>.</w:t>
      </w:r>
      <w:r w:rsidR="00FF324D" w:rsidRPr="009B4428">
        <w:rPr>
          <w:rStyle w:val="FootnoteReference"/>
          <w:rFonts w:cs="Arial"/>
        </w:rPr>
        <w:footnoteReference w:id="12"/>
      </w:r>
      <w:r w:rsidR="006B2696" w:rsidRPr="009B4428">
        <w:rPr>
          <w:rFonts w:cs="Arial"/>
        </w:rPr>
        <w:t xml:space="preserve"> </w:t>
      </w:r>
    </w:p>
    <w:p w14:paraId="5D823015" w14:textId="77777777" w:rsidR="00FF324D" w:rsidRPr="009B4428" w:rsidRDefault="00FF324D" w:rsidP="00ED3B36">
      <w:pPr>
        <w:spacing w:after="0"/>
        <w:jc w:val="both"/>
        <w:rPr>
          <w:rFonts w:cs="Arial"/>
        </w:rPr>
      </w:pPr>
    </w:p>
    <w:p w14:paraId="783C4530" w14:textId="71E734D4" w:rsidR="0036214B" w:rsidRPr="009B4428" w:rsidRDefault="00F001D7" w:rsidP="00ED3B36">
      <w:pPr>
        <w:spacing w:after="0"/>
        <w:jc w:val="both"/>
        <w:rPr>
          <w:rFonts w:cs="Arial"/>
          <w:color w:val="FF0000"/>
        </w:rPr>
      </w:pPr>
      <w:r w:rsidRPr="009B4428">
        <w:rPr>
          <w:rFonts w:cs="Arial"/>
        </w:rPr>
        <w:t>Bu bölgel</w:t>
      </w:r>
      <w:r w:rsidR="003F2C3B" w:rsidRPr="009B4428">
        <w:rPr>
          <w:rFonts w:cs="Arial"/>
        </w:rPr>
        <w:t>erin i</w:t>
      </w:r>
      <w:r w:rsidRPr="009B4428">
        <w:rPr>
          <w:rFonts w:cs="Arial"/>
        </w:rPr>
        <w:t xml:space="preserve">çinde Trakya uzak ara en yüksek tarım dışı istihdam oranına (yüzde 49,5, Ek tablo 1) sahip bölgedir. </w:t>
      </w:r>
      <w:r w:rsidR="00220512" w:rsidRPr="009B4428">
        <w:rPr>
          <w:rFonts w:cs="Arial"/>
        </w:rPr>
        <w:t>Ayrıca tarım dışı kadın istihdam</w:t>
      </w:r>
      <w:r w:rsidR="00335AAF" w:rsidRPr="009B4428">
        <w:rPr>
          <w:rFonts w:cs="Arial"/>
        </w:rPr>
        <w:t xml:space="preserve"> oranı itibariyle de İsta</w:t>
      </w:r>
      <w:r w:rsidR="00CD3EA8" w:rsidRPr="009B4428">
        <w:rPr>
          <w:rFonts w:cs="Arial"/>
        </w:rPr>
        <w:t xml:space="preserve">nbul’un ardından 2. </w:t>
      </w:r>
      <w:r w:rsidR="0042159F" w:rsidRPr="009B4428">
        <w:rPr>
          <w:rFonts w:cs="Arial"/>
        </w:rPr>
        <w:t>S</w:t>
      </w:r>
      <w:r w:rsidR="00CD3EA8" w:rsidRPr="009B4428">
        <w:rPr>
          <w:rFonts w:cs="Arial"/>
        </w:rPr>
        <w:t>ıradadır</w:t>
      </w:r>
      <w:r w:rsidR="0042159F" w:rsidRPr="009B4428">
        <w:rPr>
          <w:rFonts w:cs="Arial"/>
        </w:rPr>
        <w:t xml:space="preserve"> (Ek Tablo 2)</w:t>
      </w:r>
      <w:r w:rsidR="00CD3EA8" w:rsidRPr="009B4428">
        <w:rPr>
          <w:rFonts w:cs="Arial"/>
        </w:rPr>
        <w:t>.</w:t>
      </w:r>
      <w:r w:rsidR="00220512" w:rsidRPr="009B4428">
        <w:rPr>
          <w:rFonts w:cs="Arial"/>
        </w:rPr>
        <w:t xml:space="preserve"> </w:t>
      </w:r>
      <w:r w:rsidRPr="009B4428">
        <w:rPr>
          <w:rFonts w:cs="Arial"/>
        </w:rPr>
        <w:t>Buna karşılık</w:t>
      </w:r>
      <w:r w:rsidR="00335AAF" w:rsidRPr="009B4428">
        <w:rPr>
          <w:rFonts w:cs="Arial"/>
        </w:rPr>
        <w:t>,</w:t>
      </w:r>
      <w:r w:rsidRPr="009B4428">
        <w:rPr>
          <w:rFonts w:cs="Arial"/>
        </w:rPr>
        <w:t xml:space="preserve"> tarım dışı işsizlik oranı (yüzde 9,8) itibariyle 8. sıradadır.  Bu oran yine de </w:t>
      </w:r>
      <w:r w:rsidR="00550760" w:rsidRPr="009B4428">
        <w:rPr>
          <w:rFonts w:cs="Arial"/>
        </w:rPr>
        <w:t>T</w:t>
      </w:r>
      <w:r w:rsidRPr="009B4428">
        <w:rPr>
          <w:rFonts w:cs="Arial"/>
        </w:rPr>
        <w:t xml:space="preserve">ürkiye ortalamasının (yüzde 13) bir hayli altındadır. </w:t>
      </w:r>
      <w:r w:rsidR="00550760" w:rsidRPr="009B4428">
        <w:rPr>
          <w:rFonts w:cs="Arial"/>
        </w:rPr>
        <w:t xml:space="preserve">En düşük </w:t>
      </w:r>
      <w:r w:rsidR="004E5179" w:rsidRPr="009B4428">
        <w:rPr>
          <w:rFonts w:cs="Arial"/>
        </w:rPr>
        <w:t>işsizlik</w:t>
      </w:r>
      <w:r w:rsidR="00550760" w:rsidRPr="009B4428">
        <w:rPr>
          <w:rFonts w:cs="Arial"/>
        </w:rPr>
        <w:t xml:space="preserve"> oranına (yüzde 6,1) sahip Doğu Karadeniz ise </w:t>
      </w:r>
      <w:r w:rsidR="00335AAF" w:rsidRPr="009B4428">
        <w:rPr>
          <w:rFonts w:cs="Arial"/>
        </w:rPr>
        <w:t>nispeten</w:t>
      </w:r>
      <w:r w:rsidR="00550760" w:rsidRPr="009B4428">
        <w:rPr>
          <w:rFonts w:cs="Arial"/>
        </w:rPr>
        <w:t xml:space="preserve"> düşük tarım dışı istihdam oranına (yüzde 38,3) sahiptir. Bu iki bölge işgücü piyasası performansı açısından karşılaştırıldığında nasıl bir yargıya varmak gerektiği tartışmaya açıktır. Bununla birlikte </w:t>
      </w:r>
      <w:r w:rsidR="00550760" w:rsidRPr="009B4428">
        <w:rPr>
          <w:rFonts w:cs="Arial"/>
          <w:b/>
        </w:rPr>
        <w:t>düşük işsizlik-yüksek istihdam ölçü</w:t>
      </w:r>
      <w:r w:rsidR="008A7C6F" w:rsidRPr="009B4428">
        <w:rPr>
          <w:rFonts w:cs="Arial"/>
          <w:b/>
        </w:rPr>
        <w:t>tü</w:t>
      </w:r>
      <w:r w:rsidR="00550760" w:rsidRPr="009B4428">
        <w:rPr>
          <w:rFonts w:cs="Arial"/>
          <w:b/>
        </w:rPr>
        <w:t xml:space="preserve"> </w:t>
      </w:r>
      <w:r w:rsidR="006B2696" w:rsidRPr="009B4428">
        <w:rPr>
          <w:rFonts w:cs="Arial"/>
          <w:b/>
        </w:rPr>
        <w:t xml:space="preserve">önemsendiğinde </w:t>
      </w:r>
      <w:r w:rsidR="00550760" w:rsidRPr="009B4428">
        <w:rPr>
          <w:rFonts w:cs="Arial"/>
          <w:b/>
        </w:rPr>
        <w:t xml:space="preserve">Trakya’nın en </w:t>
      </w:r>
      <w:r w:rsidR="007A32EA" w:rsidRPr="009B4428">
        <w:rPr>
          <w:rFonts w:cs="Arial"/>
          <w:b/>
        </w:rPr>
        <w:t>iyi durumdaki</w:t>
      </w:r>
      <w:r w:rsidR="00550760" w:rsidRPr="009B4428">
        <w:rPr>
          <w:rFonts w:cs="Arial"/>
          <w:b/>
        </w:rPr>
        <w:t xml:space="preserve"> bölge olduğu </w:t>
      </w:r>
      <w:r w:rsidR="00220512" w:rsidRPr="009B4428">
        <w:rPr>
          <w:rFonts w:cs="Arial"/>
          <w:b/>
        </w:rPr>
        <w:t>iddia edilebilir.</w:t>
      </w:r>
      <w:r w:rsidR="00550760" w:rsidRPr="009B4428">
        <w:rPr>
          <w:rFonts w:cs="Arial"/>
        </w:rPr>
        <w:t xml:space="preserve"> </w:t>
      </w:r>
      <w:r w:rsidR="006B2696" w:rsidRPr="009B4428">
        <w:rPr>
          <w:rFonts w:cs="Arial"/>
        </w:rPr>
        <w:t>Bununla birlikte</w:t>
      </w:r>
      <w:r w:rsidR="00550760" w:rsidRPr="009B4428">
        <w:rPr>
          <w:rFonts w:cs="Arial"/>
        </w:rPr>
        <w:t xml:space="preserve"> Trakya’nın </w:t>
      </w:r>
      <w:r w:rsidR="006B2696" w:rsidRPr="009B4428">
        <w:rPr>
          <w:rFonts w:cs="Arial"/>
        </w:rPr>
        <w:t xml:space="preserve">2016’da </w:t>
      </w:r>
      <w:r w:rsidR="00550760" w:rsidRPr="009B4428">
        <w:rPr>
          <w:rFonts w:cs="Arial"/>
        </w:rPr>
        <w:t xml:space="preserve">daha tartışmasız şekilde en </w:t>
      </w:r>
      <w:r w:rsidR="00127946" w:rsidRPr="009B4428">
        <w:rPr>
          <w:rFonts w:cs="Arial"/>
        </w:rPr>
        <w:t>iyi durumdaki</w:t>
      </w:r>
      <w:r w:rsidR="00550760" w:rsidRPr="009B4428">
        <w:rPr>
          <w:rFonts w:cs="Arial"/>
        </w:rPr>
        <w:t xml:space="preserve"> bölge olduğu, son bir yılda tarım dışı işsizlik oranının bu bölgede yüzde 8,8’den 9,</w:t>
      </w:r>
      <w:r w:rsidR="001B16C4" w:rsidRPr="009B4428">
        <w:rPr>
          <w:rFonts w:cs="Arial"/>
        </w:rPr>
        <w:t>8</w:t>
      </w:r>
      <w:r w:rsidR="00550760" w:rsidRPr="009B4428">
        <w:rPr>
          <w:rFonts w:cs="Arial"/>
        </w:rPr>
        <w:t xml:space="preserve">’e yükseldiği not edilmelidir. </w:t>
      </w:r>
    </w:p>
    <w:p w14:paraId="4FD3D878" w14:textId="77777777" w:rsidR="0036214B" w:rsidRPr="009B4428" w:rsidRDefault="0036214B" w:rsidP="00ED3B36">
      <w:pPr>
        <w:spacing w:after="0"/>
        <w:jc w:val="both"/>
        <w:rPr>
          <w:rFonts w:cs="Arial"/>
        </w:rPr>
      </w:pPr>
    </w:p>
    <w:p w14:paraId="4F893EDA" w14:textId="307A617E" w:rsidR="00A41C65" w:rsidRPr="009B4428" w:rsidRDefault="001B16C4" w:rsidP="00ED3B36">
      <w:pPr>
        <w:spacing w:after="0"/>
        <w:jc w:val="both"/>
        <w:rPr>
          <w:rFonts w:cs="Arial"/>
        </w:rPr>
      </w:pPr>
      <w:r w:rsidRPr="009B4428">
        <w:rPr>
          <w:rFonts w:cs="Arial"/>
        </w:rPr>
        <w:t>Dikkate aldığımız</w:t>
      </w:r>
      <w:r w:rsidR="008A7C6F" w:rsidRPr="009B4428">
        <w:rPr>
          <w:rFonts w:cs="Arial"/>
        </w:rPr>
        <w:t xml:space="preserve"> kıstaslar itibariyle </w:t>
      </w:r>
      <w:r w:rsidR="008A7C6F" w:rsidRPr="009B4428">
        <w:rPr>
          <w:rFonts w:cs="Arial"/>
          <w:b/>
        </w:rPr>
        <w:t xml:space="preserve">en </w:t>
      </w:r>
      <w:r w:rsidR="00B41C3C" w:rsidRPr="009B4428">
        <w:rPr>
          <w:rFonts w:cs="Arial"/>
          <w:b/>
        </w:rPr>
        <w:t>iyi</w:t>
      </w:r>
      <w:r w:rsidR="008A7C6F" w:rsidRPr="009B4428">
        <w:rPr>
          <w:rFonts w:cs="Arial"/>
          <w:b/>
        </w:rPr>
        <w:t xml:space="preserve"> 2. bölgenin Ankara</w:t>
      </w:r>
      <w:r w:rsidR="008A7C6F" w:rsidRPr="009B4428">
        <w:rPr>
          <w:rFonts w:cs="Arial"/>
        </w:rPr>
        <w:t xml:space="preserve"> olduğu</w:t>
      </w:r>
      <w:r w:rsidR="0036214B" w:rsidRPr="009B4428">
        <w:rPr>
          <w:rFonts w:cs="Arial"/>
        </w:rPr>
        <w:t xml:space="preserve"> söylenebilir</w:t>
      </w:r>
      <w:r w:rsidR="008A7C6F" w:rsidRPr="009B4428">
        <w:rPr>
          <w:rFonts w:cs="Arial"/>
        </w:rPr>
        <w:t>.</w:t>
      </w:r>
      <w:r w:rsidR="001615F6" w:rsidRPr="009B4428">
        <w:rPr>
          <w:rFonts w:cs="Arial"/>
        </w:rPr>
        <w:t xml:space="preserve"> </w:t>
      </w:r>
      <w:r w:rsidR="0036214B" w:rsidRPr="009B4428">
        <w:rPr>
          <w:rFonts w:cs="Arial"/>
        </w:rPr>
        <w:t xml:space="preserve">Ankara ülke ortalamasının altında olmakla birlikte nispeten yüksek işsizlik oranına (yüzde 11,6) sahiptir. Ancak yüzde 46,7’lik tarım dışı istihdam </w:t>
      </w:r>
      <w:r w:rsidR="006F5D5E" w:rsidRPr="009B4428">
        <w:rPr>
          <w:rFonts w:cs="Arial"/>
        </w:rPr>
        <w:t xml:space="preserve">ve kadın istihdam </w:t>
      </w:r>
      <w:r w:rsidR="0036214B" w:rsidRPr="009B4428">
        <w:rPr>
          <w:rFonts w:cs="Arial"/>
        </w:rPr>
        <w:t>oran</w:t>
      </w:r>
      <w:r w:rsidR="006F5D5E" w:rsidRPr="009B4428">
        <w:rPr>
          <w:rFonts w:cs="Arial"/>
        </w:rPr>
        <w:t xml:space="preserve">ları </w:t>
      </w:r>
      <w:r w:rsidR="0036214B" w:rsidRPr="009B4428">
        <w:rPr>
          <w:rFonts w:cs="Arial"/>
        </w:rPr>
        <w:t xml:space="preserve">ile Trakya ve İstanbul’un ardından 3. </w:t>
      </w:r>
      <w:r w:rsidR="006F5D5E" w:rsidRPr="009B4428">
        <w:rPr>
          <w:rFonts w:cs="Arial"/>
        </w:rPr>
        <w:t>s</w:t>
      </w:r>
      <w:r w:rsidR="0036214B" w:rsidRPr="009B4428">
        <w:rPr>
          <w:rFonts w:cs="Arial"/>
        </w:rPr>
        <w:t xml:space="preserve">ıradadır. </w:t>
      </w:r>
      <w:r w:rsidR="001615F6" w:rsidRPr="009B4428">
        <w:rPr>
          <w:rFonts w:cs="Arial"/>
        </w:rPr>
        <w:t xml:space="preserve">Son olarak en </w:t>
      </w:r>
      <w:r w:rsidR="007A32EA" w:rsidRPr="009B4428">
        <w:rPr>
          <w:rFonts w:cs="Arial"/>
        </w:rPr>
        <w:t xml:space="preserve">iyilerin olduğu </w:t>
      </w:r>
      <w:r w:rsidR="001615F6" w:rsidRPr="009B4428">
        <w:rPr>
          <w:rFonts w:cs="Arial"/>
        </w:rPr>
        <w:t>alanda yer alan 5 bölgenin de Türkiye’nin Batı’sında yer aldığı not ed</w:t>
      </w:r>
      <w:r w:rsidR="006B2696" w:rsidRPr="009B4428">
        <w:rPr>
          <w:rFonts w:cs="Arial"/>
        </w:rPr>
        <w:t>i</w:t>
      </w:r>
      <w:r w:rsidR="001615F6" w:rsidRPr="009B4428">
        <w:rPr>
          <w:rFonts w:cs="Arial"/>
        </w:rPr>
        <w:t>l</w:t>
      </w:r>
      <w:r w:rsidR="006B2696" w:rsidRPr="009B4428">
        <w:rPr>
          <w:rFonts w:cs="Arial"/>
        </w:rPr>
        <w:t>melidir</w:t>
      </w:r>
      <w:r w:rsidR="001615F6" w:rsidRPr="009B4428">
        <w:rPr>
          <w:rFonts w:cs="Arial"/>
        </w:rPr>
        <w:t xml:space="preserve">.  </w:t>
      </w:r>
    </w:p>
    <w:p w14:paraId="3797CC92" w14:textId="77777777" w:rsidR="00D02D15" w:rsidRPr="009B4428" w:rsidRDefault="00D02D15" w:rsidP="00ED3B36">
      <w:pPr>
        <w:spacing w:after="0"/>
        <w:jc w:val="both"/>
        <w:rPr>
          <w:rFonts w:cs="Arial"/>
        </w:rPr>
      </w:pPr>
    </w:p>
    <w:p w14:paraId="231AB396" w14:textId="77777777" w:rsidR="00AA7169" w:rsidRPr="009B4428" w:rsidRDefault="00AA7169" w:rsidP="00ED3B36">
      <w:pPr>
        <w:jc w:val="both"/>
        <w:rPr>
          <w:b/>
          <w:sz w:val="24"/>
          <w:szCs w:val="24"/>
        </w:rPr>
      </w:pPr>
      <w:r w:rsidRPr="009B4428">
        <w:rPr>
          <w:b/>
          <w:sz w:val="24"/>
          <w:szCs w:val="24"/>
        </w:rPr>
        <w:t>İşsizliğin arttığı bölgeler</w:t>
      </w:r>
    </w:p>
    <w:p w14:paraId="6A953D6C" w14:textId="4B682954" w:rsidR="00AA7169" w:rsidRPr="009B4428" w:rsidRDefault="00946591" w:rsidP="00ED3B36">
      <w:pPr>
        <w:jc w:val="both"/>
      </w:pPr>
      <w:r w:rsidRPr="009B4428">
        <w:rPr>
          <w:rFonts w:cs="Arial"/>
        </w:rPr>
        <w:t xml:space="preserve">Giriş bölümünde de </w:t>
      </w:r>
      <w:r w:rsidR="004E5179" w:rsidRPr="009B4428">
        <w:rPr>
          <w:rFonts w:cs="Arial"/>
        </w:rPr>
        <w:t>belirttiğimiz</w:t>
      </w:r>
      <w:r w:rsidRPr="009B4428">
        <w:rPr>
          <w:rFonts w:cs="Arial"/>
        </w:rPr>
        <w:t xml:space="preserve"> gibi 2016’dan 2017’ye Türkiye genelinde tarım dışı işsizlik oranı yıllık olarak yüzde 13’te sabit kalırken, kimi bölgelerde işsizlik artarken kimi bölgelerde azalmıştır. Bu yeni bir olgu olmayıp geçmiş yıllarda da gözlemlenmektedir. İşsizlikte değişimlerin bölgesel işgücü piyasalarının hangi özgün dina</w:t>
      </w:r>
      <w:r w:rsidR="004E5179" w:rsidRPr="009B4428">
        <w:rPr>
          <w:rFonts w:cs="Arial"/>
        </w:rPr>
        <w:t>mik</w:t>
      </w:r>
      <w:r w:rsidRPr="009B4428">
        <w:rPr>
          <w:rFonts w:cs="Arial"/>
        </w:rPr>
        <w:t xml:space="preserve">lerinden kaynaklandığının belirlenmesi, bölgesel performansların değerlendirilmesine ilave bir boyut kazandırmaktadır. </w:t>
      </w:r>
    </w:p>
    <w:p w14:paraId="7776CD32" w14:textId="7CB2D710" w:rsidR="006D5334" w:rsidRPr="009B4428" w:rsidRDefault="00946591" w:rsidP="00ED3B36">
      <w:pPr>
        <w:jc w:val="both"/>
      </w:pPr>
      <w:r w:rsidRPr="009B4428">
        <w:rPr>
          <w:rFonts w:cs="Arial"/>
        </w:rPr>
        <w:t xml:space="preserve">Toplamda </w:t>
      </w:r>
      <w:r w:rsidRPr="009B4428">
        <w:rPr>
          <w:rFonts w:cs="Arial"/>
          <w:b/>
        </w:rPr>
        <w:t xml:space="preserve">11 bölgede tarım dışı işsizlik artarken, 13 bölgede azalmış ve 2 bölgede sabit kalmıştır. </w:t>
      </w:r>
      <w:r w:rsidR="00A904A9" w:rsidRPr="009B4428">
        <w:t xml:space="preserve">Şekil 3’te tarım dışı işsizliğin arttığı </w:t>
      </w:r>
      <w:r w:rsidR="00625FB6" w:rsidRPr="009B4428">
        <w:t xml:space="preserve">ve sabit kaldığı </w:t>
      </w:r>
      <w:r w:rsidR="00A904A9" w:rsidRPr="009B4428">
        <w:t xml:space="preserve">bölgeler yüzde puan olarak </w:t>
      </w:r>
      <w:r w:rsidR="00446AF0" w:rsidRPr="009B4428">
        <w:t xml:space="preserve">büyükten küçüğe </w:t>
      </w:r>
      <w:r w:rsidR="00A904A9" w:rsidRPr="009B4428">
        <w:lastRenderedPageBreak/>
        <w:t xml:space="preserve">sıralanmaktadır. </w:t>
      </w:r>
      <w:r w:rsidR="00A904A9" w:rsidRPr="009B4428">
        <w:rPr>
          <w:b/>
        </w:rPr>
        <w:t>İşsizlik artışının uzak ara en yoğun yaşandığı iki bölge</w:t>
      </w:r>
      <w:r w:rsidR="00625FB6" w:rsidRPr="009B4428">
        <w:rPr>
          <w:b/>
        </w:rPr>
        <w:t>,</w:t>
      </w:r>
      <w:r w:rsidR="00446AF0" w:rsidRPr="009B4428">
        <w:rPr>
          <w:b/>
        </w:rPr>
        <w:t xml:space="preserve"> </w:t>
      </w:r>
      <w:r w:rsidR="00BF108C" w:rsidRPr="009B4428">
        <w:rPr>
          <w:b/>
        </w:rPr>
        <w:t>en</w:t>
      </w:r>
      <w:r w:rsidR="00146097" w:rsidRPr="009B4428">
        <w:rPr>
          <w:b/>
        </w:rPr>
        <w:t xml:space="preserve"> kötüler</w:t>
      </w:r>
      <w:r w:rsidR="00524BEE" w:rsidRPr="009B4428">
        <w:rPr>
          <w:b/>
        </w:rPr>
        <w:t xml:space="preserve"> sıralamasında</w:t>
      </w:r>
      <w:r w:rsidR="00BF108C" w:rsidRPr="009B4428">
        <w:rPr>
          <w:b/>
        </w:rPr>
        <w:t xml:space="preserve"> ikinci sırayı alan </w:t>
      </w:r>
      <w:r w:rsidR="00446AF0" w:rsidRPr="009B4428">
        <w:rPr>
          <w:b/>
        </w:rPr>
        <w:t>Van</w:t>
      </w:r>
      <w:r w:rsidR="00BB0B11" w:rsidRPr="009B4428">
        <w:rPr>
          <w:b/>
        </w:rPr>
        <w:t>-Muş-Bitlis-</w:t>
      </w:r>
      <w:r w:rsidR="00524BEE" w:rsidRPr="009B4428">
        <w:rPr>
          <w:b/>
        </w:rPr>
        <w:t>Hakkâri</w:t>
      </w:r>
      <w:r w:rsidR="00446AF0" w:rsidRPr="009B4428">
        <w:rPr>
          <w:b/>
        </w:rPr>
        <w:t xml:space="preserve"> (TRB2) </w:t>
      </w:r>
      <w:r w:rsidRPr="009B4428">
        <w:rPr>
          <w:b/>
        </w:rPr>
        <w:t>ile</w:t>
      </w:r>
      <w:r w:rsidR="00446AF0" w:rsidRPr="009B4428">
        <w:rPr>
          <w:b/>
        </w:rPr>
        <w:t xml:space="preserve"> </w:t>
      </w:r>
      <w:r w:rsidR="00BB0B11" w:rsidRPr="009B4428">
        <w:rPr>
          <w:b/>
        </w:rPr>
        <w:t xml:space="preserve">en </w:t>
      </w:r>
      <w:r w:rsidR="00146097" w:rsidRPr="009B4428">
        <w:rPr>
          <w:b/>
        </w:rPr>
        <w:t>kötüler</w:t>
      </w:r>
      <w:r w:rsidR="00BB0B11" w:rsidRPr="009B4428">
        <w:rPr>
          <w:b/>
        </w:rPr>
        <w:t xml:space="preserve"> alanına intikal eden </w:t>
      </w:r>
      <w:r w:rsidR="00446AF0" w:rsidRPr="009B4428">
        <w:rPr>
          <w:b/>
        </w:rPr>
        <w:t>Kayseri</w:t>
      </w:r>
      <w:r w:rsidR="00BB0B11" w:rsidRPr="009B4428">
        <w:rPr>
          <w:b/>
        </w:rPr>
        <w:t>-Sivas-Yozgat</w:t>
      </w:r>
      <w:r w:rsidR="00446AF0" w:rsidRPr="009B4428">
        <w:rPr>
          <w:b/>
        </w:rPr>
        <w:t xml:space="preserve"> (TR72) bölgeleridir. </w:t>
      </w:r>
      <w:r w:rsidR="00446AF0" w:rsidRPr="009B4428">
        <w:t xml:space="preserve">Bu bölgelerde tarım dışı işsizlik oranı 5,3 ve 3,9 yüzde puanlık artışlar göstererek yüzde 19,7 ve 15,3’e yükselmiştir. </w:t>
      </w:r>
      <w:r w:rsidR="000078F5" w:rsidRPr="009B4428">
        <w:t xml:space="preserve">İki bölgede de yoğun işsizlik artışının kaynağı tarım dışı istihdam artışının tarım dışı işgücü artışı karşısında yetersiz kalmasıdır (Tablo 1). </w:t>
      </w:r>
      <w:r w:rsidR="001E0A12" w:rsidRPr="009B4428">
        <w:t xml:space="preserve">Van </w:t>
      </w:r>
      <w:r w:rsidR="00E20352" w:rsidRPr="009B4428">
        <w:t xml:space="preserve">bölgesinde </w:t>
      </w:r>
      <w:r w:rsidR="0085529A" w:rsidRPr="009B4428">
        <w:t xml:space="preserve">tarım dışı </w:t>
      </w:r>
      <w:r w:rsidR="00E20352" w:rsidRPr="009B4428">
        <w:t xml:space="preserve">istihdam artışı </w:t>
      </w:r>
      <w:r w:rsidR="0085529A" w:rsidRPr="009B4428">
        <w:t xml:space="preserve">yüzde </w:t>
      </w:r>
      <w:r w:rsidR="00E20352" w:rsidRPr="009B4428">
        <w:t>9,8</w:t>
      </w:r>
      <w:r w:rsidR="00BB0B11" w:rsidRPr="009B4428">
        <w:t xml:space="preserve"> olurken</w:t>
      </w:r>
      <w:r w:rsidR="000078F5" w:rsidRPr="009B4428">
        <w:t xml:space="preserve"> </w:t>
      </w:r>
      <w:r w:rsidR="0085529A" w:rsidRPr="009B4428">
        <w:t xml:space="preserve">tarım dışı </w:t>
      </w:r>
      <w:r w:rsidR="000078F5" w:rsidRPr="009B4428">
        <w:t>işg</w:t>
      </w:r>
      <w:r w:rsidR="00E20352" w:rsidRPr="009B4428">
        <w:t>ücü artışı</w:t>
      </w:r>
      <w:r w:rsidR="000078F5" w:rsidRPr="009B4428">
        <w:t xml:space="preserve"> </w:t>
      </w:r>
      <w:r w:rsidR="0085529A" w:rsidRPr="009B4428">
        <w:t xml:space="preserve">yüzde </w:t>
      </w:r>
      <w:r w:rsidR="00E20352" w:rsidRPr="009B4428">
        <w:t>17,1</w:t>
      </w:r>
      <w:r w:rsidR="0085529A" w:rsidRPr="009B4428">
        <w:t>’dir.</w:t>
      </w:r>
      <w:r w:rsidR="00E20352" w:rsidRPr="009B4428">
        <w:t xml:space="preserve"> </w:t>
      </w:r>
      <w:r w:rsidR="00BB0B11" w:rsidRPr="009B4428">
        <w:t xml:space="preserve">Bunlar çok güçlü artışlardır. Bu bakımdan yüksek işsizlik artışının </w:t>
      </w:r>
      <w:r w:rsidR="00524BEE" w:rsidRPr="009B4428">
        <w:t>vahametini</w:t>
      </w:r>
      <w:r w:rsidR="00BB0B11" w:rsidRPr="009B4428">
        <w:t xml:space="preserve"> kısmen hafifletmişlerdir. </w:t>
      </w:r>
      <w:r w:rsidR="00E20352" w:rsidRPr="009B4428">
        <w:t>B</w:t>
      </w:r>
      <w:r w:rsidR="000078F5" w:rsidRPr="009B4428">
        <w:t xml:space="preserve">u artışlar Kayseri bölgesi için sırasıyla </w:t>
      </w:r>
      <w:r w:rsidR="0085529A" w:rsidRPr="009B4428">
        <w:t xml:space="preserve">yüzde </w:t>
      </w:r>
      <w:r w:rsidR="00E20352" w:rsidRPr="009B4428">
        <w:t xml:space="preserve">2,5 ve </w:t>
      </w:r>
      <w:r w:rsidR="0085529A" w:rsidRPr="009B4428">
        <w:t xml:space="preserve">yüzde </w:t>
      </w:r>
      <w:r w:rsidR="00E20352" w:rsidRPr="009B4428">
        <w:t xml:space="preserve">7,2 </w:t>
      </w:r>
      <w:r w:rsidR="000078F5" w:rsidRPr="009B4428">
        <w:t xml:space="preserve">olarak </w:t>
      </w:r>
      <w:bookmarkStart w:id="5" w:name="_Ref381804912"/>
      <w:r w:rsidR="00625FB6" w:rsidRPr="009B4428">
        <w:t>kaydedilmiştir.</w:t>
      </w:r>
      <w:r w:rsidR="00BB0B11" w:rsidRPr="009B4428">
        <w:t xml:space="preserve"> Kayseri bölgesinde istihdam artışının düşüklüğü dikkat çekicidir.</w:t>
      </w:r>
    </w:p>
    <w:p w14:paraId="39F2E593" w14:textId="2145C837" w:rsidR="00C032B6" w:rsidRPr="009B4428" w:rsidRDefault="00311F2A" w:rsidP="00ED3B36">
      <w:pPr>
        <w:jc w:val="both"/>
      </w:pPr>
      <w:r w:rsidRPr="009B4428">
        <w:t>Ağrı</w:t>
      </w:r>
      <w:r w:rsidR="001364EA" w:rsidRPr="009B4428">
        <w:t xml:space="preserve"> bölgesinde (TRA2) işgücü piyasası dinamikleri itibariyle oldukça olumsuz bir gelişme söz konusudur. Bu bölgede işsizlik oranı artışı 0,9 yüzde puanla nispeten ılımlı olmakla birlikte işsizlikteki artış istihdamın işgücünden mut</w:t>
      </w:r>
      <w:r w:rsidR="0026568E" w:rsidRPr="009B4428">
        <w:t>lak</w:t>
      </w:r>
      <w:r w:rsidR="001364EA" w:rsidRPr="009B4428">
        <w:t xml:space="preserve"> olarak </w:t>
      </w:r>
      <w:r w:rsidR="0026568E" w:rsidRPr="009B4428">
        <w:t xml:space="preserve">daha fazla azalmasından kaynaklanmıştır (Tablo 1). Bu türden bir gelişmenin gözlemlendiği diğer bölge Mardin (TRC3) bölgesidir. </w:t>
      </w:r>
      <w:r w:rsidR="00C032B6" w:rsidRPr="009B4428">
        <w:rPr>
          <w:rFonts w:cs="Arial"/>
        </w:rPr>
        <w:t xml:space="preserve">En yüksek işsizlik oranına (yüzde 30,1) sahip </w:t>
      </w:r>
      <w:r w:rsidR="0026568E" w:rsidRPr="009B4428">
        <w:rPr>
          <w:rFonts w:cs="Arial"/>
        </w:rPr>
        <w:t>bu bölgede</w:t>
      </w:r>
      <w:r w:rsidR="00C032B6" w:rsidRPr="009B4428">
        <w:rPr>
          <w:rFonts w:cs="Arial"/>
        </w:rPr>
        <w:t xml:space="preserve"> tarım dışı işsizlik oranı sabit kalmıştır. </w:t>
      </w:r>
      <w:r w:rsidR="0026568E" w:rsidRPr="009B4428">
        <w:rPr>
          <w:rFonts w:cs="Arial"/>
        </w:rPr>
        <w:t>Ancak b</w:t>
      </w:r>
      <w:r w:rsidR="00C032B6" w:rsidRPr="009B4428">
        <w:rPr>
          <w:rFonts w:cs="Arial"/>
        </w:rPr>
        <w:t xml:space="preserve">u bölge </w:t>
      </w:r>
      <w:r w:rsidR="0026568E" w:rsidRPr="009B4428">
        <w:rPr>
          <w:rFonts w:cs="Arial"/>
        </w:rPr>
        <w:t xml:space="preserve">aynı zamanda </w:t>
      </w:r>
      <w:r w:rsidR="00C032B6" w:rsidRPr="009B4428">
        <w:rPr>
          <w:rFonts w:cs="Arial"/>
        </w:rPr>
        <w:t xml:space="preserve">tarım dışı istihdamda </w:t>
      </w:r>
      <w:r w:rsidR="00921C67" w:rsidRPr="009B4428">
        <w:rPr>
          <w:rFonts w:cs="Arial"/>
        </w:rPr>
        <w:t xml:space="preserve">mutlak olarak </w:t>
      </w:r>
      <w:r w:rsidR="00C032B6" w:rsidRPr="009B4428">
        <w:rPr>
          <w:rFonts w:cs="Arial"/>
        </w:rPr>
        <w:t xml:space="preserve">en </w:t>
      </w:r>
      <w:r w:rsidR="00921C67" w:rsidRPr="009B4428">
        <w:rPr>
          <w:rFonts w:cs="Arial"/>
        </w:rPr>
        <w:t>büyük</w:t>
      </w:r>
      <w:r w:rsidR="00C032B6" w:rsidRPr="009B4428">
        <w:rPr>
          <w:rFonts w:cs="Arial"/>
        </w:rPr>
        <w:t xml:space="preserve"> azalmanın görüldüğü (9 bin) bölgedir.</w:t>
      </w:r>
      <w:r w:rsidR="00C032B6" w:rsidRPr="009B4428">
        <w:rPr>
          <w:rFonts w:cs="Arial"/>
          <w:b/>
        </w:rPr>
        <w:t xml:space="preserve"> </w:t>
      </w:r>
      <w:r w:rsidR="00C032B6" w:rsidRPr="009B4428">
        <w:rPr>
          <w:rFonts w:cs="Arial"/>
        </w:rPr>
        <w:t xml:space="preserve">İşsizlik oranının sabit kalmasının nedeni tarım dışı işgücünde </w:t>
      </w:r>
      <w:r w:rsidR="00921C67" w:rsidRPr="009B4428">
        <w:rPr>
          <w:rFonts w:cs="Arial"/>
        </w:rPr>
        <w:t xml:space="preserve">de </w:t>
      </w:r>
      <w:r w:rsidR="00C032B6" w:rsidRPr="009B4428">
        <w:rPr>
          <w:rFonts w:cs="Arial"/>
        </w:rPr>
        <w:t xml:space="preserve">en </w:t>
      </w:r>
      <w:r w:rsidR="00921C67" w:rsidRPr="009B4428">
        <w:rPr>
          <w:rFonts w:cs="Arial"/>
        </w:rPr>
        <w:t>büyük</w:t>
      </w:r>
      <w:r w:rsidR="00C032B6" w:rsidRPr="009B4428">
        <w:rPr>
          <w:rFonts w:cs="Arial"/>
        </w:rPr>
        <w:t xml:space="preserve"> ve istisnai bir düşüşün (13 bin) gerçekleşmiş olmasıdır</w:t>
      </w:r>
      <w:r w:rsidR="0026568E" w:rsidRPr="009B4428">
        <w:rPr>
          <w:rFonts w:cs="Arial"/>
        </w:rPr>
        <w:t>.</w:t>
      </w:r>
      <w:r w:rsidR="00C032B6" w:rsidRPr="009B4428">
        <w:rPr>
          <w:rFonts w:cs="Arial"/>
        </w:rPr>
        <w:t xml:space="preserve"> Bu bölgenin olağanüstü yüksek tarım dışı işsizlik oranı ile birlikte çok düşük tarım dışı istihdam oranına sahip olduğunu </w:t>
      </w:r>
      <w:r w:rsidR="0026568E" w:rsidRPr="009B4428">
        <w:rPr>
          <w:rFonts w:cs="Arial"/>
        </w:rPr>
        <w:t>hatırlatalım</w:t>
      </w:r>
      <w:r w:rsidR="00C032B6" w:rsidRPr="009B4428">
        <w:rPr>
          <w:rFonts w:cs="Arial"/>
        </w:rPr>
        <w:t xml:space="preserve">. </w:t>
      </w:r>
      <w:r w:rsidR="0026568E" w:rsidRPr="009B4428">
        <w:rPr>
          <w:rFonts w:cs="Arial"/>
        </w:rPr>
        <w:t>T</w:t>
      </w:r>
      <w:r w:rsidR="00C032B6" w:rsidRPr="009B4428">
        <w:rPr>
          <w:rFonts w:cs="Arial"/>
        </w:rPr>
        <w:t xml:space="preserve">üm işgücü piyasası göstergeleri itibariyle </w:t>
      </w:r>
      <w:r w:rsidR="0026568E" w:rsidRPr="009B4428">
        <w:rPr>
          <w:rFonts w:cs="Arial"/>
        </w:rPr>
        <w:t xml:space="preserve">de </w:t>
      </w:r>
      <w:r w:rsidR="00C032B6" w:rsidRPr="009B4428">
        <w:rPr>
          <w:b/>
        </w:rPr>
        <w:t>Mardin</w:t>
      </w:r>
      <w:r w:rsidR="0026568E" w:rsidRPr="009B4428">
        <w:rPr>
          <w:b/>
        </w:rPr>
        <w:t>-Batman-Şırnak-Siirt (TRC3) bölgesinin</w:t>
      </w:r>
      <w:r w:rsidR="00C032B6" w:rsidRPr="009B4428">
        <w:rPr>
          <w:b/>
        </w:rPr>
        <w:t xml:space="preserve"> en </w:t>
      </w:r>
      <w:r w:rsidR="009D4823" w:rsidRPr="009B4428">
        <w:rPr>
          <w:b/>
        </w:rPr>
        <w:t xml:space="preserve">kötü durumdaki </w:t>
      </w:r>
      <w:r w:rsidR="00C032B6" w:rsidRPr="009B4428">
        <w:rPr>
          <w:b/>
        </w:rPr>
        <w:t>bölge olduğu</w:t>
      </w:r>
      <w:r w:rsidR="0026568E" w:rsidRPr="009B4428">
        <w:rPr>
          <w:b/>
        </w:rPr>
        <w:t xml:space="preserve"> görülmektedir.</w:t>
      </w:r>
    </w:p>
    <w:p w14:paraId="23AAE755" w14:textId="77777777" w:rsidR="00A30575" w:rsidRPr="009B4428" w:rsidRDefault="005B2242" w:rsidP="00ED3B36">
      <w:pPr>
        <w:pStyle w:val="Caption"/>
        <w:keepNext/>
        <w:spacing w:line="276" w:lineRule="auto"/>
        <w:jc w:val="both"/>
        <w:rPr>
          <w:color w:val="auto"/>
          <w:sz w:val="22"/>
          <w:szCs w:val="22"/>
        </w:rPr>
      </w:pPr>
      <w:r w:rsidRPr="009B4428">
        <w:rPr>
          <w:color w:val="auto"/>
          <w:sz w:val="22"/>
          <w:szCs w:val="22"/>
        </w:rPr>
        <w:t>Şekil</w:t>
      </w:r>
      <w:r w:rsidR="0060482C" w:rsidRPr="009B4428">
        <w:rPr>
          <w:color w:val="auto"/>
          <w:sz w:val="22"/>
          <w:szCs w:val="22"/>
        </w:rPr>
        <w:t xml:space="preserve"> </w:t>
      </w:r>
      <w:bookmarkEnd w:id="5"/>
      <w:r w:rsidR="007722CC" w:rsidRPr="009B4428">
        <w:rPr>
          <w:color w:val="auto"/>
          <w:sz w:val="22"/>
          <w:szCs w:val="22"/>
        </w:rPr>
        <w:t>3</w:t>
      </w:r>
      <w:r w:rsidR="0060482C" w:rsidRPr="009B4428">
        <w:rPr>
          <w:color w:val="auto"/>
          <w:sz w:val="22"/>
          <w:szCs w:val="22"/>
        </w:rPr>
        <w:t xml:space="preserve">: </w:t>
      </w:r>
      <w:r w:rsidR="00F018A7" w:rsidRPr="009B4428">
        <w:rPr>
          <w:color w:val="auto"/>
          <w:sz w:val="22"/>
          <w:szCs w:val="22"/>
        </w:rPr>
        <w:t xml:space="preserve">Tarım dışı işsizlik oranı artan </w:t>
      </w:r>
      <w:r w:rsidR="00D463C1" w:rsidRPr="009B4428">
        <w:rPr>
          <w:color w:val="auto"/>
          <w:sz w:val="22"/>
          <w:szCs w:val="22"/>
        </w:rPr>
        <w:t>bölgeler:</w:t>
      </w:r>
      <m:oMath>
        <m:r>
          <m:rPr>
            <m:sty m:val="bi"/>
          </m:rPr>
          <w:rPr>
            <w:rFonts w:ascii="Cambria Math" w:hAnsi="Cambria Math"/>
            <w:sz w:val="16"/>
            <w:szCs w:val="16"/>
          </w:rPr>
          <m:t xml:space="preserve"> </m:t>
        </m:r>
        <m:sSub>
          <m:sSubPr>
            <m:ctrlPr>
              <w:rPr>
                <w:rFonts w:ascii="Cambria Math" w:hAnsi="Cambria Math"/>
                <w:b w:val="0"/>
                <w:i/>
                <w:color w:val="000000" w:themeColor="text1"/>
                <w:sz w:val="16"/>
                <w:szCs w:val="16"/>
              </w:rPr>
            </m:ctrlPr>
          </m:sSubPr>
          <m:e>
            <m:r>
              <m:rPr>
                <m:sty m:val="bi"/>
              </m:rPr>
              <w:rPr>
                <w:rFonts w:ascii="Cambria Math" w:hAnsi="Cambria Math"/>
                <w:color w:val="000000" w:themeColor="text1"/>
                <w:sz w:val="16"/>
                <w:szCs w:val="16"/>
              </w:rPr>
              <m:t>u</m:t>
            </m:r>
          </m:e>
          <m:sub>
            <m:r>
              <m:rPr>
                <m:sty m:val="bi"/>
              </m:rPr>
              <w:rPr>
                <w:rFonts w:ascii="Cambria Math" w:hAnsi="Cambria Math"/>
                <w:color w:val="000000" w:themeColor="text1"/>
                <w:sz w:val="16"/>
                <w:szCs w:val="16"/>
              </w:rPr>
              <m:t>td</m:t>
            </m:r>
          </m:sub>
        </m:sSub>
      </m:oMath>
      <w:r w:rsidR="00F018A7" w:rsidRPr="009B4428">
        <w:rPr>
          <w:color w:val="auto"/>
          <w:sz w:val="22"/>
          <w:szCs w:val="22"/>
        </w:rPr>
        <w:t xml:space="preserve"> (yüzde puan, </w:t>
      </w:r>
      <w:r w:rsidR="00FD6ADD" w:rsidRPr="009B4428">
        <w:rPr>
          <w:color w:val="auto"/>
          <w:sz w:val="22"/>
          <w:szCs w:val="22"/>
        </w:rPr>
        <w:t>201</w:t>
      </w:r>
      <w:r w:rsidR="00D463C1" w:rsidRPr="009B4428">
        <w:rPr>
          <w:color w:val="auto"/>
          <w:sz w:val="22"/>
          <w:szCs w:val="22"/>
        </w:rPr>
        <w:t>6</w:t>
      </w:r>
      <w:r w:rsidR="00FD6ADD" w:rsidRPr="009B4428">
        <w:rPr>
          <w:color w:val="auto"/>
          <w:sz w:val="22"/>
          <w:szCs w:val="22"/>
        </w:rPr>
        <w:t>-</w:t>
      </w:r>
      <w:r w:rsidR="00F018A7" w:rsidRPr="009B4428">
        <w:rPr>
          <w:color w:val="auto"/>
          <w:sz w:val="22"/>
          <w:szCs w:val="22"/>
        </w:rPr>
        <w:t>201</w:t>
      </w:r>
      <w:r w:rsidR="00D463C1" w:rsidRPr="009B4428">
        <w:rPr>
          <w:color w:val="auto"/>
          <w:sz w:val="22"/>
          <w:szCs w:val="22"/>
        </w:rPr>
        <w:t>7</w:t>
      </w:r>
      <w:r w:rsidR="00F018A7" w:rsidRPr="009B4428">
        <w:rPr>
          <w:color w:val="auto"/>
          <w:sz w:val="22"/>
          <w:szCs w:val="22"/>
        </w:rPr>
        <w:t>)</w:t>
      </w:r>
    </w:p>
    <w:p w14:paraId="6E797E92" w14:textId="4F31CDA8" w:rsidR="004A7030" w:rsidRPr="009B4428" w:rsidRDefault="002D2A5F" w:rsidP="00EC2308">
      <w:pPr>
        <w:pStyle w:val="Caption"/>
        <w:keepNext/>
        <w:spacing w:line="276" w:lineRule="auto"/>
        <w:rPr>
          <w:b w:val="0"/>
          <w:color w:val="000000" w:themeColor="text1"/>
          <w:sz w:val="16"/>
          <w:szCs w:val="16"/>
        </w:rPr>
      </w:pPr>
      <w:r w:rsidRPr="009B4428">
        <w:rPr>
          <w:noProof/>
        </w:rPr>
        <w:drawing>
          <wp:inline distT="0" distB="0" distL="0" distR="0" wp14:anchorId="1738DA13" wp14:editId="5544246A">
            <wp:extent cx="5610758" cy="2684679"/>
            <wp:effectExtent l="0" t="0" r="0" b="1905"/>
            <wp:docPr id="13" name="Grafik 13">
              <a:extLst xmlns:a="http://schemas.openxmlformats.org/drawingml/2006/main">
                <a:ext uri="{FF2B5EF4-FFF2-40B4-BE49-F238E27FC236}">
                  <a16:creationId xmlns:a16="http://schemas.microsoft.com/office/drawing/2014/main" id="{D05A05D1-BDB2-45A9-9275-81AC721FCC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8665D" w:rsidRPr="009B4428">
        <w:rPr>
          <w:b w:val="0"/>
          <w:sz w:val="24"/>
          <w:szCs w:val="24"/>
        </w:rPr>
        <w:br/>
      </w:r>
      <w:r w:rsidR="0018665D" w:rsidRPr="009B4428">
        <w:rPr>
          <w:b w:val="0"/>
          <w:color w:val="000000" w:themeColor="text1"/>
          <w:sz w:val="16"/>
          <w:szCs w:val="16"/>
        </w:rPr>
        <w:t xml:space="preserve">Kaynak: TUIK, Betam. </w:t>
      </w:r>
      <w:r w:rsidR="00205DE6" w:rsidRPr="009B4428">
        <w:rPr>
          <w:b w:val="0"/>
          <w:color w:val="000000" w:themeColor="text1"/>
          <w:sz w:val="16"/>
          <w:szCs w:val="16"/>
        </w:rPr>
        <w:t>TRB</w:t>
      </w:r>
      <w:r w:rsidR="00D463C1" w:rsidRPr="009B4428">
        <w:rPr>
          <w:b w:val="0"/>
          <w:color w:val="000000" w:themeColor="text1"/>
          <w:sz w:val="16"/>
          <w:szCs w:val="16"/>
        </w:rPr>
        <w:t>2: Van</w:t>
      </w:r>
      <w:r w:rsidR="00205DE6" w:rsidRPr="009B4428">
        <w:rPr>
          <w:b w:val="0"/>
          <w:color w:val="000000" w:themeColor="text1"/>
          <w:sz w:val="16"/>
          <w:szCs w:val="16"/>
        </w:rPr>
        <w:t xml:space="preserve">, Muş, Bitlis, </w:t>
      </w:r>
      <w:r w:rsidR="00313849" w:rsidRPr="009B4428">
        <w:rPr>
          <w:b w:val="0"/>
          <w:color w:val="000000" w:themeColor="text1"/>
          <w:sz w:val="16"/>
          <w:szCs w:val="16"/>
        </w:rPr>
        <w:t>Hakkâri</w:t>
      </w:r>
      <w:r w:rsidR="00205DE6" w:rsidRPr="009B4428">
        <w:rPr>
          <w:b w:val="0"/>
          <w:color w:val="000000" w:themeColor="text1"/>
          <w:sz w:val="16"/>
          <w:szCs w:val="16"/>
        </w:rPr>
        <w:t>, TR</w:t>
      </w:r>
      <w:r w:rsidR="001B0A55" w:rsidRPr="009B4428">
        <w:rPr>
          <w:b w:val="0"/>
          <w:color w:val="000000" w:themeColor="text1"/>
          <w:sz w:val="16"/>
          <w:szCs w:val="16"/>
        </w:rPr>
        <w:t>72: Kayseri</w:t>
      </w:r>
      <w:r w:rsidR="00205DE6" w:rsidRPr="009B4428">
        <w:rPr>
          <w:b w:val="0"/>
          <w:color w:val="000000" w:themeColor="text1"/>
          <w:sz w:val="16"/>
          <w:szCs w:val="16"/>
        </w:rPr>
        <w:t>, Sivas, Yozgat, TR</w:t>
      </w:r>
      <w:r w:rsidR="00506379" w:rsidRPr="009B4428">
        <w:rPr>
          <w:b w:val="0"/>
          <w:color w:val="000000" w:themeColor="text1"/>
          <w:sz w:val="16"/>
          <w:szCs w:val="16"/>
        </w:rPr>
        <w:t>33: Manisa</w:t>
      </w:r>
      <w:r w:rsidR="00205DE6" w:rsidRPr="009B4428">
        <w:rPr>
          <w:b w:val="0"/>
          <w:color w:val="000000" w:themeColor="text1"/>
          <w:sz w:val="16"/>
          <w:szCs w:val="16"/>
        </w:rPr>
        <w:t>, Afyon, Kütahya, Uşak, TR</w:t>
      </w:r>
      <w:r w:rsidR="00DA60DA" w:rsidRPr="009B4428">
        <w:rPr>
          <w:b w:val="0"/>
          <w:color w:val="000000" w:themeColor="text1"/>
          <w:sz w:val="16"/>
          <w:szCs w:val="16"/>
        </w:rPr>
        <w:t>21: Tekirdağ</w:t>
      </w:r>
      <w:r w:rsidR="00205DE6" w:rsidRPr="009B4428">
        <w:rPr>
          <w:b w:val="0"/>
          <w:color w:val="000000" w:themeColor="text1"/>
          <w:sz w:val="16"/>
          <w:szCs w:val="16"/>
        </w:rPr>
        <w:t>, Edirne, Kırklareli, TRA</w:t>
      </w:r>
      <w:r w:rsidR="00625FB6" w:rsidRPr="009B4428">
        <w:rPr>
          <w:b w:val="0"/>
          <w:color w:val="000000" w:themeColor="text1"/>
          <w:sz w:val="16"/>
          <w:szCs w:val="16"/>
        </w:rPr>
        <w:t>2: Ağrı</w:t>
      </w:r>
      <w:r w:rsidR="00205DE6" w:rsidRPr="009B4428">
        <w:rPr>
          <w:b w:val="0"/>
          <w:color w:val="000000" w:themeColor="text1"/>
          <w:sz w:val="16"/>
          <w:szCs w:val="16"/>
        </w:rPr>
        <w:t>, Kars, Iğdır, Ardahan, TR</w:t>
      </w:r>
      <w:r w:rsidR="00625FB6" w:rsidRPr="009B4428">
        <w:rPr>
          <w:b w:val="0"/>
          <w:color w:val="000000" w:themeColor="text1"/>
          <w:sz w:val="16"/>
          <w:szCs w:val="16"/>
        </w:rPr>
        <w:t>41: Bursa</w:t>
      </w:r>
      <w:r w:rsidR="00205DE6" w:rsidRPr="009B4428">
        <w:rPr>
          <w:b w:val="0"/>
          <w:color w:val="000000" w:themeColor="text1"/>
          <w:sz w:val="16"/>
          <w:szCs w:val="16"/>
        </w:rPr>
        <w:t>, Eskişehir, Bilecik, TRC1:</w:t>
      </w:r>
      <w:r w:rsidR="00625FB6" w:rsidRPr="009B4428">
        <w:rPr>
          <w:b w:val="0"/>
          <w:color w:val="000000" w:themeColor="text1"/>
          <w:sz w:val="16"/>
          <w:szCs w:val="16"/>
        </w:rPr>
        <w:t xml:space="preserve"> </w:t>
      </w:r>
      <w:r w:rsidR="00205DE6" w:rsidRPr="009B4428">
        <w:rPr>
          <w:b w:val="0"/>
          <w:color w:val="000000" w:themeColor="text1"/>
          <w:sz w:val="16"/>
          <w:szCs w:val="16"/>
        </w:rPr>
        <w:t>Gaziantep, Adıyaman, Kilis, TR10: İstanbul, TR32:</w:t>
      </w:r>
      <w:r w:rsidR="00625FB6" w:rsidRPr="009B4428">
        <w:rPr>
          <w:b w:val="0"/>
          <w:color w:val="000000" w:themeColor="text1"/>
          <w:sz w:val="16"/>
          <w:szCs w:val="16"/>
        </w:rPr>
        <w:t xml:space="preserve"> </w:t>
      </w:r>
      <w:r w:rsidR="00205DE6" w:rsidRPr="009B4428">
        <w:rPr>
          <w:b w:val="0"/>
          <w:color w:val="000000" w:themeColor="text1"/>
          <w:sz w:val="16"/>
          <w:szCs w:val="16"/>
        </w:rPr>
        <w:t>Aydın, Denizli, Muğla, TR42:</w:t>
      </w:r>
      <w:r w:rsidR="00625FB6" w:rsidRPr="009B4428">
        <w:rPr>
          <w:b w:val="0"/>
          <w:color w:val="000000" w:themeColor="text1"/>
          <w:sz w:val="16"/>
          <w:szCs w:val="16"/>
        </w:rPr>
        <w:t xml:space="preserve"> </w:t>
      </w:r>
      <w:r w:rsidR="00205DE6" w:rsidRPr="009B4428">
        <w:rPr>
          <w:b w:val="0"/>
          <w:color w:val="000000" w:themeColor="text1"/>
          <w:sz w:val="16"/>
          <w:szCs w:val="16"/>
        </w:rPr>
        <w:t>Kocaeli, Sakarya, Düzce, Bolu, Yalova, TR61:</w:t>
      </w:r>
      <w:r w:rsidR="00625FB6" w:rsidRPr="009B4428">
        <w:rPr>
          <w:b w:val="0"/>
          <w:color w:val="000000" w:themeColor="text1"/>
          <w:sz w:val="16"/>
          <w:szCs w:val="16"/>
        </w:rPr>
        <w:t xml:space="preserve"> </w:t>
      </w:r>
      <w:r w:rsidR="00205DE6" w:rsidRPr="009B4428">
        <w:rPr>
          <w:b w:val="0"/>
          <w:color w:val="000000" w:themeColor="text1"/>
          <w:sz w:val="16"/>
          <w:szCs w:val="16"/>
        </w:rPr>
        <w:t>Antalya, Isparta, Burdur, TR62:</w:t>
      </w:r>
      <w:r w:rsidR="00625FB6" w:rsidRPr="009B4428">
        <w:rPr>
          <w:b w:val="0"/>
          <w:color w:val="000000" w:themeColor="text1"/>
          <w:sz w:val="16"/>
          <w:szCs w:val="16"/>
        </w:rPr>
        <w:t xml:space="preserve"> </w:t>
      </w:r>
      <w:r w:rsidR="00205DE6" w:rsidRPr="009B4428">
        <w:rPr>
          <w:b w:val="0"/>
          <w:color w:val="000000" w:themeColor="text1"/>
          <w:sz w:val="16"/>
          <w:szCs w:val="16"/>
        </w:rPr>
        <w:t>Adana, Mersin, TRC3:</w:t>
      </w:r>
      <w:r w:rsidR="00B3409A" w:rsidRPr="009B4428">
        <w:rPr>
          <w:b w:val="0"/>
          <w:color w:val="000000" w:themeColor="text1"/>
          <w:sz w:val="16"/>
          <w:szCs w:val="16"/>
        </w:rPr>
        <w:t xml:space="preserve"> </w:t>
      </w:r>
      <w:r w:rsidR="00205DE6" w:rsidRPr="009B4428">
        <w:rPr>
          <w:b w:val="0"/>
          <w:color w:val="000000" w:themeColor="text1"/>
          <w:sz w:val="16"/>
          <w:szCs w:val="16"/>
        </w:rPr>
        <w:t>Mardin, Batman, Şırnak, Siirt</w:t>
      </w:r>
      <w:r w:rsidR="0046020A" w:rsidRPr="009B4428">
        <w:rPr>
          <w:b w:val="0"/>
          <w:color w:val="000000" w:themeColor="text1"/>
          <w:sz w:val="16"/>
          <w:szCs w:val="16"/>
        </w:rPr>
        <w:br/>
      </w:r>
      <w:r w:rsidR="0046020A" w:rsidRPr="009B4428">
        <w:rPr>
          <w:color w:val="000000" w:themeColor="text1"/>
          <w:sz w:val="16"/>
          <w:szCs w:val="16"/>
        </w:rPr>
        <w:t>Not:</w:t>
      </w:r>
      <m:oMath>
        <m:r>
          <m:rPr>
            <m:sty m:val="bi"/>
          </m:rPr>
          <w:rPr>
            <w:rFonts w:ascii="Cambria Math" w:hAnsi="Cambria Math"/>
            <w:sz w:val="16"/>
            <w:szCs w:val="16"/>
          </w:rPr>
          <m:t xml:space="preserve"> </m:t>
        </m:r>
        <m:sSub>
          <m:sSubPr>
            <m:ctrlPr>
              <w:rPr>
                <w:rFonts w:ascii="Cambria Math" w:hAnsi="Cambria Math"/>
                <w:b w:val="0"/>
                <w:i/>
                <w:color w:val="000000" w:themeColor="text1"/>
                <w:sz w:val="16"/>
                <w:szCs w:val="16"/>
              </w:rPr>
            </m:ctrlPr>
          </m:sSubPr>
          <m:e>
            <m:r>
              <m:rPr>
                <m:sty m:val="bi"/>
              </m:rPr>
              <w:rPr>
                <w:rFonts w:ascii="Cambria Math" w:hAnsi="Cambria Math"/>
                <w:color w:val="000000" w:themeColor="text1"/>
                <w:sz w:val="16"/>
                <w:szCs w:val="16"/>
              </w:rPr>
              <m:t>u</m:t>
            </m:r>
          </m:e>
          <m:sub>
            <m:r>
              <m:rPr>
                <m:sty m:val="bi"/>
              </m:rPr>
              <w:rPr>
                <w:rFonts w:ascii="Cambria Math" w:hAnsi="Cambria Math"/>
                <w:color w:val="000000" w:themeColor="text1"/>
                <w:sz w:val="16"/>
                <w:szCs w:val="16"/>
              </w:rPr>
              <m:t>td</m:t>
            </m:r>
          </m:sub>
        </m:sSub>
      </m:oMath>
      <w:r w:rsidR="0046020A" w:rsidRPr="009B4428">
        <w:rPr>
          <w:b w:val="0"/>
          <w:color w:val="000000" w:themeColor="text1"/>
          <w:sz w:val="16"/>
          <w:szCs w:val="16"/>
        </w:rPr>
        <w:t>: Tarım dışı işsizlik oranı</w:t>
      </w:r>
    </w:p>
    <w:p w14:paraId="0C77A33C" w14:textId="655F0D45" w:rsidR="00C22FB7" w:rsidRPr="009B4428" w:rsidRDefault="00C22FB7" w:rsidP="00C22FB7">
      <w:pPr>
        <w:jc w:val="both"/>
        <w:rPr>
          <w:b/>
        </w:rPr>
      </w:pPr>
      <w:bookmarkStart w:id="6" w:name="_Ref381805093"/>
      <w:bookmarkStart w:id="7" w:name="_Ref381867101"/>
      <w:r w:rsidRPr="009B4428">
        <w:t>2015-2016 döneminin işgücü piyasası dinamiklerini bir önceki bölgesel işsizlik notumuzda incelemiştik (</w:t>
      </w:r>
      <w:proofErr w:type="spellStart"/>
      <w:r w:rsidRPr="009B4428">
        <w:t>bknz</w:t>
      </w:r>
      <w:proofErr w:type="spellEnd"/>
      <w:r w:rsidRPr="009B4428">
        <w:t xml:space="preserve">. Betam, Araştırma Notu 17/211). Bahsi geçen araştırma notunda Adana-Mersin (TR62) bölgesinin tarım dışı istihdamda en büyük azalmayı göstererek oldukça kötüye gittiğini belirtmiştik. 2016-2017 döneminde ise bu bölge kendini toparlamış görünmektedir. Bir önceki dönemde görülen tarım dışı istihdam ve işgücü azalışları (sırasıyla 23 bin ve 14 bin) yerini sırasıyla 56 ve 64 binlik artışlara </w:t>
      </w:r>
      <w:r w:rsidRPr="009B4428">
        <w:lastRenderedPageBreak/>
        <w:t xml:space="preserve">bırakmıştır. </w:t>
      </w:r>
      <w:r w:rsidRPr="009B4428">
        <w:rPr>
          <w:b/>
        </w:rPr>
        <w:t xml:space="preserve">Böylece tarım dışı işsizlik oranı Adana-Mersin (TR62) bölgesinde 2016-2017 döneminde değişmeden kalmıştır </w:t>
      </w:r>
      <w:r w:rsidRPr="009B4428">
        <w:t>(Tablo 1).</w:t>
      </w:r>
    </w:p>
    <w:p w14:paraId="45F986F2" w14:textId="77777777" w:rsidR="00AA35CC" w:rsidRPr="009B4428" w:rsidRDefault="002C5CDA" w:rsidP="00ED3B36">
      <w:pPr>
        <w:pStyle w:val="Caption"/>
        <w:keepNext/>
        <w:spacing w:line="276" w:lineRule="auto"/>
        <w:jc w:val="both"/>
        <w:rPr>
          <w:color w:val="auto"/>
          <w:sz w:val="22"/>
          <w:szCs w:val="22"/>
        </w:rPr>
      </w:pPr>
      <w:r w:rsidRPr="009B4428">
        <w:rPr>
          <w:color w:val="auto"/>
          <w:sz w:val="22"/>
          <w:szCs w:val="22"/>
        </w:rPr>
        <w:t xml:space="preserve">Tablo </w:t>
      </w:r>
      <w:bookmarkEnd w:id="6"/>
      <w:bookmarkEnd w:id="7"/>
      <w:r w:rsidR="005B2242" w:rsidRPr="009B4428">
        <w:rPr>
          <w:color w:val="auto"/>
          <w:sz w:val="22"/>
          <w:szCs w:val="22"/>
        </w:rPr>
        <w:t>1</w:t>
      </w:r>
      <w:r w:rsidRPr="009B4428">
        <w:rPr>
          <w:color w:val="auto"/>
          <w:sz w:val="22"/>
          <w:szCs w:val="22"/>
        </w:rPr>
        <w:t>:</w:t>
      </w:r>
      <w:r w:rsidR="005B2242" w:rsidRPr="009B4428">
        <w:rPr>
          <w:color w:val="auto"/>
          <w:sz w:val="22"/>
          <w:szCs w:val="22"/>
        </w:rPr>
        <w:t xml:space="preserve"> </w:t>
      </w:r>
      <w:r w:rsidR="007D5311" w:rsidRPr="009B4428">
        <w:rPr>
          <w:color w:val="auto"/>
          <w:sz w:val="22"/>
          <w:szCs w:val="22"/>
        </w:rPr>
        <w:t>Tarım dışı işsizlik oranı artan</w:t>
      </w:r>
      <w:r w:rsidR="005B2242" w:rsidRPr="009B4428">
        <w:rPr>
          <w:color w:val="auto"/>
          <w:sz w:val="22"/>
          <w:szCs w:val="22"/>
        </w:rPr>
        <w:t xml:space="preserve"> bölgelerin tarım dışı işgücü ve istihdam durumu</w:t>
      </w:r>
      <w:r w:rsidRPr="009B4428">
        <w:rPr>
          <w:color w:val="auto"/>
          <w:sz w:val="22"/>
          <w:szCs w:val="22"/>
        </w:rPr>
        <w:t xml:space="preserve"> </w:t>
      </w:r>
      <w:r w:rsidR="005B2242" w:rsidRPr="009B4428">
        <w:rPr>
          <w:color w:val="auto"/>
          <w:sz w:val="22"/>
          <w:szCs w:val="22"/>
        </w:rPr>
        <w:t>(bin,2016</w:t>
      </w:r>
      <w:r w:rsidR="00AA35CC" w:rsidRPr="009B4428">
        <w:rPr>
          <w:color w:val="auto"/>
          <w:sz w:val="22"/>
          <w:szCs w:val="22"/>
        </w:rPr>
        <w:t xml:space="preserve">) </w:t>
      </w:r>
    </w:p>
    <w:tbl>
      <w:tblPr>
        <w:tblW w:w="8910" w:type="dxa"/>
        <w:tblInd w:w="75" w:type="dxa"/>
        <w:tblCellMar>
          <w:left w:w="70" w:type="dxa"/>
          <w:right w:w="70" w:type="dxa"/>
        </w:tblCellMar>
        <w:tblLook w:val="04A0" w:firstRow="1" w:lastRow="0" w:firstColumn="1" w:lastColumn="0" w:noHBand="0" w:noVBand="1"/>
      </w:tblPr>
      <w:tblGrid>
        <w:gridCol w:w="5180"/>
        <w:gridCol w:w="1374"/>
        <w:gridCol w:w="1178"/>
        <w:gridCol w:w="1178"/>
      </w:tblGrid>
      <w:tr w:rsidR="00E77BE5" w:rsidRPr="009B4428" w14:paraId="02498CAD" w14:textId="77777777" w:rsidTr="00EC2308">
        <w:trPr>
          <w:trHeight w:val="256"/>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DEF0" w14:textId="44A5528D" w:rsidR="0032462A" w:rsidRPr="009B4428" w:rsidRDefault="0032462A" w:rsidP="00ED3B36">
            <w:pPr>
              <w:spacing w:after="0" w:line="240" w:lineRule="auto"/>
              <w:jc w:val="both"/>
              <w:rPr>
                <w:rFonts w:eastAsia="Times New Roman" w:cs="Times New Roman"/>
                <w:color w:val="000000"/>
              </w:rPr>
            </w:pPr>
            <w:r w:rsidRPr="009B4428">
              <w:rPr>
                <w:rFonts w:eastAsia="Times New Roman" w:cs="Times New Roman"/>
                <w:color w:val="000000"/>
              </w:rPr>
              <w:t xml:space="preserve">Bölgeler </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6C075BAD"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 xml:space="preserve">Δ </w:t>
            </w:r>
            <w:proofErr w:type="spellStart"/>
            <w:r w:rsidRPr="009B4428">
              <w:rPr>
                <w:rFonts w:eastAsia="Times New Roman" w:cs="Times New Roman"/>
                <w:color w:val="000000"/>
              </w:rPr>
              <w:t>LFtd</w:t>
            </w:r>
            <w:proofErr w:type="spellEnd"/>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7154E86B"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 xml:space="preserve">Δ </w:t>
            </w:r>
            <w:proofErr w:type="spellStart"/>
            <w:r w:rsidRPr="009B4428">
              <w:rPr>
                <w:rFonts w:eastAsia="Times New Roman" w:cs="Times New Roman"/>
                <w:color w:val="000000"/>
              </w:rPr>
              <w:t>Etd</w:t>
            </w:r>
            <w:proofErr w:type="spellEnd"/>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6165325A"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 xml:space="preserve">Δ </w:t>
            </w:r>
            <w:proofErr w:type="spellStart"/>
            <w:r w:rsidRPr="009B4428">
              <w:rPr>
                <w:rFonts w:eastAsia="Times New Roman" w:cs="Times New Roman"/>
                <w:color w:val="000000"/>
              </w:rPr>
              <w:t>utd</w:t>
            </w:r>
            <w:proofErr w:type="spellEnd"/>
          </w:p>
        </w:tc>
      </w:tr>
      <w:tr w:rsidR="00E77BE5" w:rsidRPr="009B4428" w14:paraId="2B11E31E"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AA6847D"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 xml:space="preserve">TRB2 (Van, Muş, Bitlis, </w:t>
            </w:r>
            <w:r w:rsidR="002E7B20" w:rsidRPr="009B4428">
              <w:rPr>
                <w:rFonts w:eastAsia="Times New Roman" w:cs="Times New Roman"/>
                <w:color w:val="000000"/>
              </w:rPr>
              <w:t>Hakkâri</w:t>
            </w:r>
            <w:r w:rsidRPr="009B4428">
              <w:rPr>
                <w:rFonts w:eastAsia="Times New Roman" w:cs="Times New Roman"/>
                <w:color w:val="000000"/>
              </w:rPr>
              <w:t>)</w:t>
            </w:r>
          </w:p>
        </w:tc>
        <w:tc>
          <w:tcPr>
            <w:tcW w:w="1374" w:type="dxa"/>
            <w:tcBorders>
              <w:top w:val="nil"/>
              <w:left w:val="nil"/>
              <w:bottom w:val="single" w:sz="4" w:space="0" w:color="auto"/>
              <w:right w:val="single" w:sz="4" w:space="0" w:color="auto"/>
            </w:tcBorders>
            <w:shd w:val="clear" w:color="auto" w:fill="auto"/>
            <w:noWrap/>
            <w:vAlign w:val="bottom"/>
            <w:hideMark/>
          </w:tcPr>
          <w:p w14:paraId="41359FBB"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61</w:t>
            </w:r>
          </w:p>
        </w:tc>
        <w:tc>
          <w:tcPr>
            <w:tcW w:w="1178" w:type="dxa"/>
            <w:tcBorders>
              <w:top w:val="nil"/>
              <w:left w:val="nil"/>
              <w:bottom w:val="single" w:sz="4" w:space="0" w:color="auto"/>
              <w:right w:val="single" w:sz="4" w:space="0" w:color="auto"/>
            </w:tcBorders>
            <w:shd w:val="clear" w:color="auto" w:fill="auto"/>
            <w:noWrap/>
            <w:vAlign w:val="bottom"/>
            <w:hideMark/>
          </w:tcPr>
          <w:p w14:paraId="413D9E21"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30</w:t>
            </w:r>
          </w:p>
        </w:tc>
        <w:tc>
          <w:tcPr>
            <w:tcW w:w="1178" w:type="dxa"/>
            <w:tcBorders>
              <w:top w:val="nil"/>
              <w:left w:val="nil"/>
              <w:bottom w:val="single" w:sz="4" w:space="0" w:color="auto"/>
              <w:right w:val="single" w:sz="4" w:space="0" w:color="auto"/>
            </w:tcBorders>
            <w:shd w:val="clear" w:color="auto" w:fill="auto"/>
            <w:noWrap/>
            <w:vAlign w:val="bottom"/>
            <w:hideMark/>
          </w:tcPr>
          <w:p w14:paraId="73E81F9E"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5,3</w:t>
            </w:r>
          </w:p>
        </w:tc>
      </w:tr>
      <w:tr w:rsidR="00E77BE5" w:rsidRPr="009B4428" w14:paraId="2B0E97C9"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842ACF8"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TR72 (Kayseri, Sivas, Yozgat)</w:t>
            </w:r>
          </w:p>
        </w:tc>
        <w:tc>
          <w:tcPr>
            <w:tcW w:w="1374" w:type="dxa"/>
            <w:tcBorders>
              <w:top w:val="nil"/>
              <w:left w:val="nil"/>
              <w:bottom w:val="single" w:sz="4" w:space="0" w:color="auto"/>
              <w:right w:val="single" w:sz="4" w:space="0" w:color="auto"/>
            </w:tcBorders>
            <w:shd w:val="clear" w:color="auto" w:fill="auto"/>
            <w:noWrap/>
            <w:vAlign w:val="bottom"/>
            <w:hideMark/>
          </w:tcPr>
          <w:p w14:paraId="60F29356"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46</w:t>
            </w:r>
          </w:p>
        </w:tc>
        <w:tc>
          <w:tcPr>
            <w:tcW w:w="1178" w:type="dxa"/>
            <w:tcBorders>
              <w:top w:val="nil"/>
              <w:left w:val="nil"/>
              <w:bottom w:val="single" w:sz="4" w:space="0" w:color="auto"/>
              <w:right w:val="single" w:sz="4" w:space="0" w:color="auto"/>
            </w:tcBorders>
            <w:shd w:val="clear" w:color="auto" w:fill="auto"/>
            <w:noWrap/>
            <w:vAlign w:val="bottom"/>
            <w:hideMark/>
          </w:tcPr>
          <w:p w14:paraId="550B4400"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14</w:t>
            </w:r>
          </w:p>
        </w:tc>
        <w:tc>
          <w:tcPr>
            <w:tcW w:w="1178" w:type="dxa"/>
            <w:tcBorders>
              <w:top w:val="nil"/>
              <w:left w:val="nil"/>
              <w:bottom w:val="single" w:sz="4" w:space="0" w:color="auto"/>
              <w:right w:val="single" w:sz="4" w:space="0" w:color="auto"/>
            </w:tcBorders>
            <w:shd w:val="clear" w:color="auto" w:fill="auto"/>
            <w:noWrap/>
            <w:vAlign w:val="bottom"/>
            <w:hideMark/>
          </w:tcPr>
          <w:p w14:paraId="2C3C9436"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3,9</w:t>
            </w:r>
          </w:p>
        </w:tc>
      </w:tr>
      <w:tr w:rsidR="00E77BE5" w:rsidRPr="009B4428" w14:paraId="13925F60"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9E1CE63"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TR33 (Manisa, Afyon, Kütahya, Uşak)</w:t>
            </w:r>
          </w:p>
        </w:tc>
        <w:tc>
          <w:tcPr>
            <w:tcW w:w="1374" w:type="dxa"/>
            <w:tcBorders>
              <w:top w:val="nil"/>
              <w:left w:val="nil"/>
              <w:bottom w:val="single" w:sz="4" w:space="0" w:color="auto"/>
              <w:right w:val="single" w:sz="4" w:space="0" w:color="auto"/>
            </w:tcBorders>
            <w:shd w:val="clear" w:color="auto" w:fill="auto"/>
            <w:noWrap/>
            <w:vAlign w:val="bottom"/>
            <w:hideMark/>
          </w:tcPr>
          <w:p w14:paraId="16B79A0A"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53</w:t>
            </w:r>
          </w:p>
        </w:tc>
        <w:tc>
          <w:tcPr>
            <w:tcW w:w="1178" w:type="dxa"/>
            <w:tcBorders>
              <w:top w:val="nil"/>
              <w:left w:val="nil"/>
              <w:bottom w:val="single" w:sz="4" w:space="0" w:color="auto"/>
              <w:right w:val="single" w:sz="4" w:space="0" w:color="auto"/>
            </w:tcBorders>
            <w:shd w:val="clear" w:color="auto" w:fill="auto"/>
            <w:noWrap/>
            <w:vAlign w:val="bottom"/>
            <w:hideMark/>
          </w:tcPr>
          <w:p w14:paraId="1C9D1E98"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37</w:t>
            </w:r>
          </w:p>
        </w:tc>
        <w:tc>
          <w:tcPr>
            <w:tcW w:w="1178" w:type="dxa"/>
            <w:tcBorders>
              <w:top w:val="nil"/>
              <w:left w:val="nil"/>
              <w:bottom w:val="single" w:sz="4" w:space="0" w:color="auto"/>
              <w:right w:val="single" w:sz="4" w:space="0" w:color="auto"/>
            </w:tcBorders>
            <w:shd w:val="clear" w:color="auto" w:fill="auto"/>
            <w:noWrap/>
            <w:vAlign w:val="bottom"/>
            <w:hideMark/>
          </w:tcPr>
          <w:p w14:paraId="52AB6018"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1,4</w:t>
            </w:r>
          </w:p>
        </w:tc>
      </w:tr>
      <w:tr w:rsidR="00E77BE5" w:rsidRPr="009B4428" w14:paraId="38F4188B"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1619381"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TR21 (Tekirdağ, Edirne, Kırklareli)</w:t>
            </w:r>
          </w:p>
        </w:tc>
        <w:tc>
          <w:tcPr>
            <w:tcW w:w="1374" w:type="dxa"/>
            <w:tcBorders>
              <w:top w:val="nil"/>
              <w:left w:val="nil"/>
              <w:bottom w:val="single" w:sz="4" w:space="0" w:color="auto"/>
              <w:right w:val="single" w:sz="4" w:space="0" w:color="auto"/>
            </w:tcBorders>
            <w:shd w:val="clear" w:color="auto" w:fill="auto"/>
            <w:noWrap/>
            <w:vAlign w:val="bottom"/>
            <w:hideMark/>
          </w:tcPr>
          <w:p w14:paraId="4764AD74"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38</w:t>
            </w:r>
          </w:p>
        </w:tc>
        <w:tc>
          <w:tcPr>
            <w:tcW w:w="1178" w:type="dxa"/>
            <w:tcBorders>
              <w:top w:val="nil"/>
              <w:left w:val="nil"/>
              <w:bottom w:val="single" w:sz="4" w:space="0" w:color="auto"/>
              <w:right w:val="single" w:sz="4" w:space="0" w:color="auto"/>
            </w:tcBorders>
            <w:shd w:val="clear" w:color="auto" w:fill="auto"/>
            <w:noWrap/>
            <w:vAlign w:val="bottom"/>
            <w:hideMark/>
          </w:tcPr>
          <w:p w14:paraId="7C5F2310"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28</w:t>
            </w:r>
          </w:p>
        </w:tc>
        <w:tc>
          <w:tcPr>
            <w:tcW w:w="1178" w:type="dxa"/>
            <w:tcBorders>
              <w:top w:val="nil"/>
              <w:left w:val="nil"/>
              <w:bottom w:val="single" w:sz="4" w:space="0" w:color="auto"/>
              <w:right w:val="single" w:sz="4" w:space="0" w:color="auto"/>
            </w:tcBorders>
            <w:shd w:val="clear" w:color="auto" w:fill="auto"/>
            <w:noWrap/>
            <w:vAlign w:val="bottom"/>
            <w:hideMark/>
          </w:tcPr>
          <w:p w14:paraId="68D11A8A"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1</w:t>
            </w:r>
            <w:r w:rsidR="00B65BB6" w:rsidRPr="009B4428">
              <w:rPr>
                <w:rFonts w:eastAsia="Times New Roman" w:cs="Times New Roman"/>
                <w:color w:val="000000"/>
              </w:rPr>
              <w:t>,0</w:t>
            </w:r>
          </w:p>
        </w:tc>
      </w:tr>
      <w:tr w:rsidR="00E77BE5" w:rsidRPr="009B4428" w14:paraId="4605DE5A"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75E625E"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TRA2 (Ağrı, Kars, Iğdır, Ardahan)</w:t>
            </w:r>
          </w:p>
        </w:tc>
        <w:tc>
          <w:tcPr>
            <w:tcW w:w="1374" w:type="dxa"/>
            <w:tcBorders>
              <w:top w:val="nil"/>
              <w:left w:val="nil"/>
              <w:bottom w:val="single" w:sz="4" w:space="0" w:color="auto"/>
              <w:right w:val="single" w:sz="4" w:space="0" w:color="auto"/>
            </w:tcBorders>
            <w:shd w:val="clear" w:color="auto" w:fill="auto"/>
            <w:noWrap/>
            <w:vAlign w:val="bottom"/>
            <w:hideMark/>
          </w:tcPr>
          <w:p w14:paraId="4AF069C5"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-1</w:t>
            </w:r>
          </w:p>
        </w:tc>
        <w:tc>
          <w:tcPr>
            <w:tcW w:w="1178" w:type="dxa"/>
            <w:tcBorders>
              <w:top w:val="nil"/>
              <w:left w:val="nil"/>
              <w:bottom w:val="single" w:sz="4" w:space="0" w:color="auto"/>
              <w:right w:val="single" w:sz="4" w:space="0" w:color="auto"/>
            </w:tcBorders>
            <w:shd w:val="clear" w:color="auto" w:fill="auto"/>
            <w:noWrap/>
            <w:vAlign w:val="bottom"/>
            <w:hideMark/>
          </w:tcPr>
          <w:p w14:paraId="04167832"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-3</w:t>
            </w:r>
          </w:p>
        </w:tc>
        <w:tc>
          <w:tcPr>
            <w:tcW w:w="1178" w:type="dxa"/>
            <w:tcBorders>
              <w:top w:val="nil"/>
              <w:left w:val="nil"/>
              <w:bottom w:val="single" w:sz="4" w:space="0" w:color="auto"/>
              <w:right w:val="single" w:sz="4" w:space="0" w:color="auto"/>
            </w:tcBorders>
            <w:shd w:val="clear" w:color="auto" w:fill="auto"/>
            <w:noWrap/>
            <w:vAlign w:val="bottom"/>
            <w:hideMark/>
          </w:tcPr>
          <w:p w14:paraId="6D0DD088"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0,9</w:t>
            </w:r>
          </w:p>
        </w:tc>
      </w:tr>
      <w:tr w:rsidR="00E77BE5" w:rsidRPr="009B4428" w14:paraId="40EBB636"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A3000BA"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TR41 (Bursa, Eskişehir, Bilecik)</w:t>
            </w:r>
          </w:p>
        </w:tc>
        <w:tc>
          <w:tcPr>
            <w:tcW w:w="1374" w:type="dxa"/>
            <w:tcBorders>
              <w:top w:val="nil"/>
              <w:left w:val="nil"/>
              <w:bottom w:val="single" w:sz="4" w:space="0" w:color="auto"/>
              <w:right w:val="single" w:sz="4" w:space="0" w:color="auto"/>
            </w:tcBorders>
            <w:shd w:val="clear" w:color="auto" w:fill="auto"/>
            <w:noWrap/>
            <w:vAlign w:val="bottom"/>
            <w:hideMark/>
          </w:tcPr>
          <w:p w14:paraId="4E98DE33"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68</w:t>
            </w:r>
          </w:p>
        </w:tc>
        <w:tc>
          <w:tcPr>
            <w:tcW w:w="1178" w:type="dxa"/>
            <w:tcBorders>
              <w:top w:val="nil"/>
              <w:left w:val="nil"/>
              <w:bottom w:val="single" w:sz="4" w:space="0" w:color="auto"/>
              <w:right w:val="single" w:sz="4" w:space="0" w:color="auto"/>
            </w:tcBorders>
            <w:shd w:val="clear" w:color="auto" w:fill="auto"/>
            <w:noWrap/>
            <w:vAlign w:val="bottom"/>
            <w:hideMark/>
          </w:tcPr>
          <w:p w14:paraId="59912351"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51</w:t>
            </w:r>
          </w:p>
        </w:tc>
        <w:tc>
          <w:tcPr>
            <w:tcW w:w="1178" w:type="dxa"/>
            <w:tcBorders>
              <w:top w:val="nil"/>
              <w:left w:val="nil"/>
              <w:bottom w:val="single" w:sz="4" w:space="0" w:color="auto"/>
              <w:right w:val="single" w:sz="4" w:space="0" w:color="auto"/>
            </w:tcBorders>
            <w:shd w:val="clear" w:color="auto" w:fill="auto"/>
            <w:noWrap/>
            <w:vAlign w:val="bottom"/>
            <w:hideMark/>
          </w:tcPr>
          <w:p w14:paraId="3004BDA2"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0,7</w:t>
            </w:r>
          </w:p>
        </w:tc>
      </w:tr>
      <w:tr w:rsidR="00E77BE5" w:rsidRPr="009B4428" w14:paraId="1F35B645"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DB9FE99"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TRC1 (Gaziantep, Adıyaman, Kilis)</w:t>
            </w:r>
          </w:p>
        </w:tc>
        <w:tc>
          <w:tcPr>
            <w:tcW w:w="1374" w:type="dxa"/>
            <w:tcBorders>
              <w:top w:val="nil"/>
              <w:left w:val="nil"/>
              <w:bottom w:val="single" w:sz="4" w:space="0" w:color="auto"/>
              <w:right w:val="single" w:sz="4" w:space="0" w:color="auto"/>
            </w:tcBorders>
            <w:shd w:val="clear" w:color="auto" w:fill="auto"/>
            <w:noWrap/>
            <w:vAlign w:val="bottom"/>
            <w:hideMark/>
          </w:tcPr>
          <w:p w14:paraId="53690A46"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29</w:t>
            </w:r>
          </w:p>
        </w:tc>
        <w:tc>
          <w:tcPr>
            <w:tcW w:w="1178" w:type="dxa"/>
            <w:tcBorders>
              <w:top w:val="nil"/>
              <w:left w:val="nil"/>
              <w:bottom w:val="single" w:sz="4" w:space="0" w:color="auto"/>
              <w:right w:val="single" w:sz="4" w:space="0" w:color="auto"/>
            </w:tcBorders>
            <w:shd w:val="clear" w:color="auto" w:fill="auto"/>
            <w:noWrap/>
            <w:vAlign w:val="bottom"/>
            <w:hideMark/>
          </w:tcPr>
          <w:p w14:paraId="7FBBFF56"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19</w:t>
            </w:r>
          </w:p>
        </w:tc>
        <w:tc>
          <w:tcPr>
            <w:tcW w:w="1178" w:type="dxa"/>
            <w:tcBorders>
              <w:top w:val="nil"/>
              <w:left w:val="nil"/>
              <w:bottom w:val="single" w:sz="4" w:space="0" w:color="auto"/>
              <w:right w:val="single" w:sz="4" w:space="0" w:color="auto"/>
            </w:tcBorders>
            <w:shd w:val="clear" w:color="auto" w:fill="auto"/>
            <w:noWrap/>
            <w:vAlign w:val="bottom"/>
            <w:hideMark/>
          </w:tcPr>
          <w:p w14:paraId="6A3F7343"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0,7</w:t>
            </w:r>
          </w:p>
        </w:tc>
      </w:tr>
      <w:tr w:rsidR="00E77BE5" w:rsidRPr="009B4428" w14:paraId="0E23E4BF"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A9E423E"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TR10 (İstanbul)</w:t>
            </w:r>
          </w:p>
        </w:tc>
        <w:tc>
          <w:tcPr>
            <w:tcW w:w="1374" w:type="dxa"/>
            <w:tcBorders>
              <w:top w:val="nil"/>
              <w:left w:val="nil"/>
              <w:bottom w:val="single" w:sz="4" w:space="0" w:color="auto"/>
              <w:right w:val="single" w:sz="4" w:space="0" w:color="auto"/>
            </w:tcBorders>
            <w:shd w:val="clear" w:color="auto" w:fill="auto"/>
            <w:noWrap/>
            <w:vAlign w:val="bottom"/>
            <w:hideMark/>
          </w:tcPr>
          <w:p w14:paraId="546021CF"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135</w:t>
            </w:r>
          </w:p>
        </w:tc>
        <w:tc>
          <w:tcPr>
            <w:tcW w:w="1178" w:type="dxa"/>
            <w:tcBorders>
              <w:top w:val="nil"/>
              <w:left w:val="nil"/>
              <w:bottom w:val="single" w:sz="4" w:space="0" w:color="auto"/>
              <w:right w:val="single" w:sz="4" w:space="0" w:color="auto"/>
            </w:tcBorders>
            <w:shd w:val="clear" w:color="auto" w:fill="auto"/>
            <w:noWrap/>
            <w:vAlign w:val="bottom"/>
            <w:hideMark/>
          </w:tcPr>
          <w:p w14:paraId="06FDE183"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91</w:t>
            </w:r>
          </w:p>
        </w:tc>
        <w:tc>
          <w:tcPr>
            <w:tcW w:w="1178" w:type="dxa"/>
            <w:tcBorders>
              <w:top w:val="nil"/>
              <w:left w:val="nil"/>
              <w:bottom w:val="single" w:sz="4" w:space="0" w:color="auto"/>
              <w:right w:val="single" w:sz="4" w:space="0" w:color="auto"/>
            </w:tcBorders>
            <w:shd w:val="clear" w:color="auto" w:fill="auto"/>
            <w:noWrap/>
            <w:vAlign w:val="bottom"/>
            <w:hideMark/>
          </w:tcPr>
          <w:p w14:paraId="54C113DD"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0,4</w:t>
            </w:r>
          </w:p>
        </w:tc>
      </w:tr>
      <w:tr w:rsidR="00E77BE5" w:rsidRPr="009B4428" w14:paraId="4A229F9D"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20B369A"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TR32 (Aydın, Denizli, Muğla)</w:t>
            </w:r>
          </w:p>
        </w:tc>
        <w:tc>
          <w:tcPr>
            <w:tcW w:w="1374" w:type="dxa"/>
            <w:tcBorders>
              <w:top w:val="nil"/>
              <w:left w:val="nil"/>
              <w:bottom w:val="single" w:sz="4" w:space="0" w:color="auto"/>
              <w:right w:val="single" w:sz="4" w:space="0" w:color="auto"/>
            </w:tcBorders>
            <w:shd w:val="clear" w:color="auto" w:fill="auto"/>
            <w:noWrap/>
            <w:vAlign w:val="bottom"/>
            <w:hideMark/>
          </w:tcPr>
          <w:p w14:paraId="533A62CC"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78</w:t>
            </w:r>
          </w:p>
        </w:tc>
        <w:tc>
          <w:tcPr>
            <w:tcW w:w="1178" w:type="dxa"/>
            <w:tcBorders>
              <w:top w:val="nil"/>
              <w:left w:val="nil"/>
              <w:bottom w:val="single" w:sz="4" w:space="0" w:color="auto"/>
              <w:right w:val="single" w:sz="4" w:space="0" w:color="auto"/>
            </w:tcBorders>
            <w:shd w:val="clear" w:color="auto" w:fill="auto"/>
            <w:noWrap/>
            <w:vAlign w:val="bottom"/>
            <w:hideMark/>
          </w:tcPr>
          <w:p w14:paraId="01ED1670"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67</w:t>
            </w:r>
          </w:p>
        </w:tc>
        <w:tc>
          <w:tcPr>
            <w:tcW w:w="1178" w:type="dxa"/>
            <w:tcBorders>
              <w:top w:val="nil"/>
              <w:left w:val="nil"/>
              <w:bottom w:val="single" w:sz="4" w:space="0" w:color="auto"/>
              <w:right w:val="single" w:sz="4" w:space="0" w:color="auto"/>
            </w:tcBorders>
            <w:shd w:val="clear" w:color="auto" w:fill="auto"/>
            <w:noWrap/>
            <w:vAlign w:val="bottom"/>
            <w:hideMark/>
          </w:tcPr>
          <w:p w14:paraId="7F82707E"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0,4</w:t>
            </w:r>
          </w:p>
        </w:tc>
      </w:tr>
      <w:tr w:rsidR="00E77BE5" w:rsidRPr="009B4428" w14:paraId="001288B5"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D5234F6"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TR42 (Kocaeli, Sakarya, Düzce, Bolu, Yalova)</w:t>
            </w:r>
          </w:p>
        </w:tc>
        <w:tc>
          <w:tcPr>
            <w:tcW w:w="1374" w:type="dxa"/>
            <w:tcBorders>
              <w:top w:val="nil"/>
              <w:left w:val="nil"/>
              <w:bottom w:val="single" w:sz="4" w:space="0" w:color="auto"/>
              <w:right w:val="single" w:sz="4" w:space="0" w:color="auto"/>
            </w:tcBorders>
            <w:shd w:val="clear" w:color="auto" w:fill="auto"/>
            <w:noWrap/>
            <w:vAlign w:val="bottom"/>
            <w:hideMark/>
          </w:tcPr>
          <w:p w14:paraId="45C67C8F"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74</w:t>
            </w:r>
          </w:p>
        </w:tc>
        <w:tc>
          <w:tcPr>
            <w:tcW w:w="1178" w:type="dxa"/>
            <w:tcBorders>
              <w:top w:val="nil"/>
              <w:left w:val="nil"/>
              <w:bottom w:val="single" w:sz="4" w:space="0" w:color="auto"/>
              <w:right w:val="single" w:sz="4" w:space="0" w:color="auto"/>
            </w:tcBorders>
            <w:shd w:val="clear" w:color="auto" w:fill="auto"/>
            <w:noWrap/>
            <w:vAlign w:val="bottom"/>
            <w:hideMark/>
          </w:tcPr>
          <w:p w14:paraId="6AA566D1"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61</w:t>
            </w:r>
          </w:p>
        </w:tc>
        <w:tc>
          <w:tcPr>
            <w:tcW w:w="1178" w:type="dxa"/>
            <w:tcBorders>
              <w:top w:val="nil"/>
              <w:left w:val="nil"/>
              <w:bottom w:val="single" w:sz="4" w:space="0" w:color="auto"/>
              <w:right w:val="single" w:sz="4" w:space="0" w:color="auto"/>
            </w:tcBorders>
            <w:shd w:val="clear" w:color="auto" w:fill="auto"/>
            <w:noWrap/>
            <w:vAlign w:val="bottom"/>
            <w:hideMark/>
          </w:tcPr>
          <w:p w14:paraId="66665D34"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0,3</w:t>
            </w:r>
          </w:p>
        </w:tc>
      </w:tr>
      <w:tr w:rsidR="00E77BE5" w:rsidRPr="009B4428" w14:paraId="3CF83D8C"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213420C"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TR61 (Antalya, Isparta, Burdur)</w:t>
            </w:r>
          </w:p>
        </w:tc>
        <w:tc>
          <w:tcPr>
            <w:tcW w:w="1374" w:type="dxa"/>
            <w:tcBorders>
              <w:top w:val="nil"/>
              <w:left w:val="nil"/>
              <w:bottom w:val="single" w:sz="4" w:space="0" w:color="auto"/>
              <w:right w:val="single" w:sz="4" w:space="0" w:color="auto"/>
            </w:tcBorders>
            <w:shd w:val="clear" w:color="auto" w:fill="auto"/>
            <w:noWrap/>
            <w:vAlign w:val="bottom"/>
            <w:hideMark/>
          </w:tcPr>
          <w:p w14:paraId="17D9AC57"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65</w:t>
            </w:r>
          </w:p>
        </w:tc>
        <w:tc>
          <w:tcPr>
            <w:tcW w:w="1178" w:type="dxa"/>
            <w:tcBorders>
              <w:top w:val="nil"/>
              <w:left w:val="nil"/>
              <w:bottom w:val="single" w:sz="4" w:space="0" w:color="auto"/>
              <w:right w:val="single" w:sz="4" w:space="0" w:color="auto"/>
            </w:tcBorders>
            <w:shd w:val="clear" w:color="auto" w:fill="auto"/>
            <w:noWrap/>
            <w:vAlign w:val="bottom"/>
            <w:hideMark/>
          </w:tcPr>
          <w:p w14:paraId="14B54EE3"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54</w:t>
            </w:r>
          </w:p>
        </w:tc>
        <w:tc>
          <w:tcPr>
            <w:tcW w:w="1178" w:type="dxa"/>
            <w:tcBorders>
              <w:top w:val="nil"/>
              <w:left w:val="nil"/>
              <w:bottom w:val="single" w:sz="4" w:space="0" w:color="auto"/>
              <w:right w:val="single" w:sz="4" w:space="0" w:color="auto"/>
            </w:tcBorders>
            <w:shd w:val="clear" w:color="auto" w:fill="auto"/>
            <w:noWrap/>
            <w:vAlign w:val="bottom"/>
            <w:hideMark/>
          </w:tcPr>
          <w:p w14:paraId="0AA026AC"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0,2</w:t>
            </w:r>
          </w:p>
        </w:tc>
      </w:tr>
      <w:tr w:rsidR="00E77BE5" w:rsidRPr="009B4428" w14:paraId="33BCE7C1"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A5DEC05"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TR62 (Adana, Mersin)</w:t>
            </w:r>
          </w:p>
        </w:tc>
        <w:tc>
          <w:tcPr>
            <w:tcW w:w="1374" w:type="dxa"/>
            <w:tcBorders>
              <w:top w:val="nil"/>
              <w:left w:val="nil"/>
              <w:bottom w:val="single" w:sz="4" w:space="0" w:color="auto"/>
              <w:right w:val="single" w:sz="4" w:space="0" w:color="auto"/>
            </w:tcBorders>
            <w:shd w:val="clear" w:color="auto" w:fill="auto"/>
            <w:noWrap/>
            <w:vAlign w:val="bottom"/>
            <w:hideMark/>
          </w:tcPr>
          <w:p w14:paraId="20342C39"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64</w:t>
            </w:r>
          </w:p>
        </w:tc>
        <w:tc>
          <w:tcPr>
            <w:tcW w:w="1178" w:type="dxa"/>
            <w:tcBorders>
              <w:top w:val="nil"/>
              <w:left w:val="nil"/>
              <w:bottom w:val="single" w:sz="4" w:space="0" w:color="auto"/>
              <w:right w:val="single" w:sz="4" w:space="0" w:color="auto"/>
            </w:tcBorders>
            <w:shd w:val="clear" w:color="auto" w:fill="auto"/>
            <w:noWrap/>
            <w:vAlign w:val="bottom"/>
            <w:hideMark/>
          </w:tcPr>
          <w:p w14:paraId="0C914739"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56</w:t>
            </w:r>
          </w:p>
        </w:tc>
        <w:tc>
          <w:tcPr>
            <w:tcW w:w="1178" w:type="dxa"/>
            <w:tcBorders>
              <w:top w:val="nil"/>
              <w:left w:val="nil"/>
              <w:bottom w:val="single" w:sz="4" w:space="0" w:color="auto"/>
              <w:right w:val="single" w:sz="4" w:space="0" w:color="auto"/>
            </w:tcBorders>
            <w:shd w:val="clear" w:color="auto" w:fill="auto"/>
            <w:noWrap/>
            <w:vAlign w:val="bottom"/>
            <w:hideMark/>
          </w:tcPr>
          <w:p w14:paraId="3C66183E"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0</w:t>
            </w:r>
            <w:r w:rsidR="00B65BB6" w:rsidRPr="009B4428">
              <w:rPr>
                <w:rFonts w:eastAsia="Times New Roman" w:cs="Times New Roman"/>
                <w:color w:val="000000"/>
              </w:rPr>
              <w:t>,0</w:t>
            </w:r>
          </w:p>
        </w:tc>
      </w:tr>
      <w:tr w:rsidR="00E77BE5" w:rsidRPr="009B4428" w14:paraId="443C66C6" w14:textId="77777777" w:rsidTr="00EC2308">
        <w:trPr>
          <w:trHeight w:val="256"/>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11399CC" w14:textId="77777777" w:rsidR="00E77BE5" w:rsidRPr="009B4428" w:rsidRDefault="00E77BE5" w:rsidP="00ED3B36">
            <w:pPr>
              <w:spacing w:after="0" w:line="240" w:lineRule="auto"/>
              <w:jc w:val="both"/>
              <w:rPr>
                <w:rFonts w:eastAsia="Times New Roman" w:cs="Times New Roman"/>
                <w:color w:val="000000"/>
              </w:rPr>
            </w:pPr>
            <w:r w:rsidRPr="009B4428">
              <w:rPr>
                <w:rFonts w:eastAsia="Times New Roman" w:cs="Times New Roman"/>
                <w:color w:val="000000"/>
              </w:rPr>
              <w:t>TRC3 (Mardin, Batman, Şırnak, Siirt)</w:t>
            </w:r>
          </w:p>
        </w:tc>
        <w:tc>
          <w:tcPr>
            <w:tcW w:w="1374" w:type="dxa"/>
            <w:tcBorders>
              <w:top w:val="nil"/>
              <w:left w:val="nil"/>
              <w:bottom w:val="single" w:sz="4" w:space="0" w:color="auto"/>
              <w:right w:val="single" w:sz="4" w:space="0" w:color="auto"/>
            </w:tcBorders>
            <w:shd w:val="clear" w:color="auto" w:fill="auto"/>
            <w:noWrap/>
            <w:vAlign w:val="bottom"/>
            <w:hideMark/>
          </w:tcPr>
          <w:p w14:paraId="18001A47"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-13</w:t>
            </w:r>
          </w:p>
        </w:tc>
        <w:tc>
          <w:tcPr>
            <w:tcW w:w="1178" w:type="dxa"/>
            <w:tcBorders>
              <w:top w:val="nil"/>
              <w:left w:val="nil"/>
              <w:bottom w:val="single" w:sz="4" w:space="0" w:color="auto"/>
              <w:right w:val="single" w:sz="4" w:space="0" w:color="auto"/>
            </w:tcBorders>
            <w:shd w:val="clear" w:color="auto" w:fill="auto"/>
            <w:noWrap/>
            <w:vAlign w:val="bottom"/>
            <w:hideMark/>
          </w:tcPr>
          <w:p w14:paraId="56FCD050"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-9</w:t>
            </w:r>
          </w:p>
        </w:tc>
        <w:tc>
          <w:tcPr>
            <w:tcW w:w="1178" w:type="dxa"/>
            <w:tcBorders>
              <w:top w:val="nil"/>
              <w:left w:val="nil"/>
              <w:bottom w:val="single" w:sz="4" w:space="0" w:color="auto"/>
              <w:right w:val="single" w:sz="4" w:space="0" w:color="auto"/>
            </w:tcBorders>
            <w:shd w:val="clear" w:color="auto" w:fill="auto"/>
            <w:noWrap/>
            <w:vAlign w:val="bottom"/>
            <w:hideMark/>
          </w:tcPr>
          <w:p w14:paraId="3BD06195" w14:textId="77777777" w:rsidR="00E77BE5" w:rsidRPr="009B4428" w:rsidRDefault="00E77BE5" w:rsidP="00EC2308">
            <w:pPr>
              <w:spacing w:after="0" w:line="240" w:lineRule="auto"/>
              <w:jc w:val="center"/>
              <w:rPr>
                <w:rFonts w:eastAsia="Times New Roman" w:cs="Times New Roman"/>
                <w:color w:val="000000"/>
              </w:rPr>
            </w:pPr>
            <w:r w:rsidRPr="009B4428">
              <w:rPr>
                <w:rFonts w:eastAsia="Times New Roman" w:cs="Times New Roman"/>
                <w:color w:val="000000"/>
              </w:rPr>
              <w:t>0</w:t>
            </w:r>
            <w:r w:rsidR="00B65BB6" w:rsidRPr="009B4428">
              <w:rPr>
                <w:rFonts w:eastAsia="Times New Roman" w:cs="Times New Roman"/>
                <w:color w:val="000000"/>
              </w:rPr>
              <w:t>,0</w:t>
            </w:r>
          </w:p>
        </w:tc>
      </w:tr>
    </w:tbl>
    <w:p w14:paraId="5C3F8502" w14:textId="77777777" w:rsidR="00D463C1" w:rsidRPr="009B4428" w:rsidRDefault="00D463C1" w:rsidP="00ED3B36">
      <w:pPr>
        <w:pStyle w:val="Caption"/>
        <w:keepNext/>
        <w:spacing w:after="0" w:line="276" w:lineRule="auto"/>
        <w:jc w:val="both"/>
        <w:rPr>
          <w:b w:val="0"/>
          <w:color w:val="000000" w:themeColor="text1"/>
          <w:sz w:val="16"/>
          <w:szCs w:val="16"/>
        </w:rPr>
      </w:pPr>
      <w:r w:rsidRPr="009B4428">
        <w:rPr>
          <w:b w:val="0"/>
          <w:color w:val="000000" w:themeColor="text1"/>
          <w:sz w:val="16"/>
          <w:szCs w:val="16"/>
        </w:rPr>
        <w:t>Kaynak: TUIK, Betam.</w:t>
      </w:r>
    </w:p>
    <w:p w14:paraId="0BDE77B8" w14:textId="77777777" w:rsidR="00D463C1" w:rsidRPr="009B4428" w:rsidRDefault="00D463C1" w:rsidP="00ED3B36">
      <w:pPr>
        <w:spacing w:after="0"/>
        <w:jc w:val="both"/>
        <w:rPr>
          <w:color w:val="000000" w:themeColor="text1"/>
          <w:sz w:val="16"/>
          <w:szCs w:val="16"/>
        </w:rPr>
      </w:pPr>
      <w:r w:rsidRPr="009B4428">
        <w:rPr>
          <w:color w:val="000000" w:themeColor="text1"/>
          <w:sz w:val="16"/>
          <w:szCs w:val="16"/>
        </w:rPr>
        <w:t xml:space="preserve">Not: Δ </w:t>
      </w:r>
      <w:proofErr w:type="spellStart"/>
      <w:r w:rsidRPr="009B4428">
        <w:rPr>
          <w:color w:val="000000" w:themeColor="text1"/>
          <w:sz w:val="16"/>
          <w:szCs w:val="16"/>
        </w:rPr>
        <w:t>LFtd</w:t>
      </w:r>
      <w:proofErr w:type="spellEnd"/>
      <w:r w:rsidRPr="009B4428">
        <w:rPr>
          <w:color w:val="000000" w:themeColor="text1"/>
          <w:sz w:val="16"/>
          <w:szCs w:val="16"/>
        </w:rPr>
        <w:t xml:space="preserve">: Tarım dışı işgücü değişimi, Δ </w:t>
      </w:r>
      <w:proofErr w:type="spellStart"/>
      <w:r w:rsidRPr="009B4428">
        <w:rPr>
          <w:color w:val="000000" w:themeColor="text1"/>
          <w:sz w:val="16"/>
          <w:szCs w:val="16"/>
        </w:rPr>
        <w:t>Etd</w:t>
      </w:r>
      <w:proofErr w:type="spellEnd"/>
      <w:r w:rsidRPr="009B4428">
        <w:rPr>
          <w:color w:val="000000" w:themeColor="text1"/>
          <w:sz w:val="16"/>
          <w:szCs w:val="16"/>
        </w:rPr>
        <w:t xml:space="preserve">: Tarım dışı istihdam değişimi, Δ </w:t>
      </w:r>
      <w:proofErr w:type="spellStart"/>
      <w:r w:rsidRPr="009B4428">
        <w:rPr>
          <w:color w:val="000000" w:themeColor="text1"/>
          <w:sz w:val="16"/>
          <w:szCs w:val="16"/>
        </w:rPr>
        <w:t>utd</w:t>
      </w:r>
      <w:proofErr w:type="spellEnd"/>
      <w:r w:rsidRPr="009B4428">
        <w:rPr>
          <w:color w:val="000000" w:themeColor="text1"/>
          <w:sz w:val="16"/>
          <w:szCs w:val="16"/>
        </w:rPr>
        <w:t>: Tarım dışı işsizlik değişimi</w:t>
      </w:r>
    </w:p>
    <w:p w14:paraId="4C824E81" w14:textId="77777777" w:rsidR="00072FE5" w:rsidRPr="009B4428" w:rsidRDefault="00072FE5" w:rsidP="00ED3B36">
      <w:pPr>
        <w:jc w:val="both"/>
      </w:pPr>
    </w:p>
    <w:p w14:paraId="50D2BC05" w14:textId="77777777" w:rsidR="009E1229" w:rsidRPr="009B4428" w:rsidRDefault="009E1229" w:rsidP="00ED3B36">
      <w:pPr>
        <w:jc w:val="both"/>
        <w:rPr>
          <w:b/>
          <w:sz w:val="24"/>
          <w:szCs w:val="24"/>
        </w:rPr>
      </w:pPr>
      <w:r w:rsidRPr="009B4428">
        <w:rPr>
          <w:b/>
          <w:sz w:val="24"/>
          <w:szCs w:val="24"/>
        </w:rPr>
        <w:t>İşsizliğin azaldığı bölgeler</w:t>
      </w:r>
    </w:p>
    <w:p w14:paraId="604673A6" w14:textId="220864BB" w:rsidR="00E80BCD" w:rsidRPr="009B4428" w:rsidRDefault="009E1229" w:rsidP="00ED3B36">
      <w:pPr>
        <w:jc w:val="both"/>
      </w:pPr>
      <w:r w:rsidRPr="009B4428">
        <w:t xml:space="preserve">Şekil 4’te tarım dışı işsizliğin azaldığı bölgeler yer almaktadır. </w:t>
      </w:r>
      <w:r w:rsidR="00B3409A" w:rsidRPr="009B4428">
        <w:rPr>
          <w:b/>
        </w:rPr>
        <w:t>3,</w:t>
      </w:r>
      <w:r w:rsidR="00D82DDE" w:rsidRPr="009B4428">
        <w:rPr>
          <w:b/>
        </w:rPr>
        <w:t>7 yüzde puan ile en yüksek azalış</w:t>
      </w:r>
      <w:r w:rsidR="00E85A96" w:rsidRPr="009B4428">
        <w:rPr>
          <w:b/>
        </w:rPr>
        <w:t>,</w:t>
      </w:r>
      <w:r w:rsidR="00D82DDE" w:rsidRPr="009B4428">
        <w:rPr>
          <w:b/>
        </w:rPr>
        <w:t xml:space="preserve"> </w:t>
      </w:r>
      <w:r w:rsidR="00E85A96" w:rsidRPr="009B4428">
        <w:rPr>
          <w:b/>
        </w:rPr>
        <w:t xml:space="preserve">en yüksek üçüncü tarım işsizlik oranının görüldüğü </w:t>
      </w:r>
      <w:r w:rsidR="00D82DDE" w:rsidRPr="009B4428">
        <w:rPr>
          <w:b/>
        </w:rPr>
        <w:t xml:space="preserve">Şanlıurfa-Diyarbakır (TRC2) bölgesinde </w:t>
      </w:r>
      <w:r w:rsidR="00D82DDE" w:rsidRPr="009B4428">
        <w:t>gerçekleşmiş</w:t>
      </w:r>
      <w:r w:rsidR="00260704" w:rsidRPr="009B4428">
        <w:t>tir</w:t>
      </w:r>
      <w:r w:rsidR="00D82DDE" w:rsidRPr="009B4428">
        <w:t xml:space="preserve">. </w:t>
      </w:r>
      <w:r w:rsidR="001D2D70" w:rsidRPr="009B4428">
        <w:t xml:space="preserve"> Bu güçlü azalışın nedeni tarım dışı istihdamdaki güçlü artışın (54 bin) işgücü artışından (34 bin) daha yüksek gerçekleşmesidir (Tablo 2). </w:t>
      </w:r>
      <w:r w:rsidR="00822DA1" w:rsidRPr="009B4428">
        <w:t xml:space="preserve">Bu bakımdan </w:t>
      </w:r>
      <w:r w:rsidR="00822DA1" w:rsidRPr="009B4428">
        <w:rPr>
          <w:b/>
        </w:rPr>
        <w:t>oldukça olumlu bir gelişme</w:t>
      </w:r>
      <w:r w:rsidR="00822DA1" w:rsidRPr="009B4428">
        <w:t xml:space="preserve"> söz konusudur.</w:t>
      </w:r>
      <w:r w:rsidR="00A212D9" w:rsidRPr="009B4428">
        <w:t xml:space="preserve"> Ancak işsizlikteki olumlu gelişme bu bölgenin en kötüler bölgesinden kurtulmasına yetmemiştir.</w:t>
      </w:r>
      <w:r w:rsidR="00822DA1" w:rsidRPr="009B4428">
        <w:t xml:space="preserve"> Bu bölgenin tarım dışı istihdam oranının yüzde 30,7 ile</w:t>
      </w:r>
      <w:r w:rsidR="006476E0" w:rsidRPr="009B4428">
        <w:t xml:space="preserve"> oldukça düşük bir düzeyde bulun</w:t>
      </w:r>
      <w:r w:rsidR="00650DCE" w:rsidRPr="009B4428">
        <w:t>du</w:t>
      </w:r>
      <w:r w:rsidR="009B4428">
        <w:t>ğu</w:t>
      </w:r>
      <w:r w:rsidR="00650DCE" w:rsidRPr="009B4428">
        <w:t>nu da hatırlatalım</w:t>
      </w:r>
      <w:r w:rsidR="00822DA1" w:rsidRPr="009B4428">
        <w:t xml:space="preserve"> (Ek Tablo</w:t>
      </w:r>
      <w:r w:rsidR="00B3409A" w:rsidRPr="009B4428">
        <w:t xml:space="preserve"> 1</w:t>
      </w:r>
      <w:r w:rsidR="00822DA1" w:rsidRPr="009B4428">
        <w:t xml:space="preserve">). </w:t>
      </w:r>
    </w:p>
    <w:p w14:paraId="6C36D99A" w14:textId="5CB6599D" w:rsidR="00F273BD" w:rsidRPr="009B4428" w:rsidRDefault="005E6B44" w:rsidP="00F273BD">
      <w:pPr>
        <w:jc w:val="both"/>
      </w:pPr>
      <w:r w:rsidRPr="009B4428">
        <w:t>2015</w:t>
      </w:r>
      <w:r w:rsidR="007C5D21" w:rsidRPr="009B4428">
        <w:t>-2016 döneminde</w:t>
      </w:r>
      <w:r w:rsidRPr="009B4428">
        <w:t xml:space="preserve"> Kapadokya (TR71)</w:t>
      </w:r>
      <w:r w:rsidR="007C5D21" w:rsidRPr="009B4428">
        <w:t xml:space="preserve"> bölge</w:t>
      </w:r>
      <w:r w:rsidRPr="009B4428">
        <w:t>sinin son derece şiddetli bir işsizlik artışına maruz kalması ve bu artışın istihdamdaki azalıştan kaynaklanıyor olması bakımından işgücü piyasasının gidişatı bakımından en olumsuz bölge olduğu</w:t>
      </w:r>
      <w:r w:rsidR="008261D3" w:rsidRPr="009B4428">
        <w:t>nu belirtmiştik (</w:t>
      </w:r>
      <w:proofErr w:type="spellStart"/>
      <w:r w:rsidR="008261D3" w:rsidRPr="009B4428">
        <w:t>bknz</w:t>
      </w:r>
      <w:proofErr w:type="spellEnd"/>
      <w:r w:rsidR="008261D3" w:rsidRPr="009B4428">
        <w:t xml:space="preserve">. Betam, Araştırma Notu 17/211). </w:t>
      </w:r>
      <w:r w:rsidRPr="009B4428">
        <w:t>Buna karşın 2016-2017 döneminde</w:t>
      </w:r>
      <w:r w:rsidRPr="009B4428">
        <w:rPr>
          <w:b/>
        </w:rPr>
        <w:t xml:space="preserve"> işsizlikte azalış itibariyle 3 yüzde puanla Kapadokya bölgesi (TR71) ikinci sırada</w:t>
      </w:r>
      <w:r w:rsidRPr="009B4428">
        <w:t xml:space="preserve"> geliyor. </w:t>
      </w:r>
      <w:r w:rsidR="008261D3" w:rsidRPr="009B4428">
        <w:t>B</w:t>
      </w:r>
      <w:r w:rsidR="00A3393A" w:rsidRPr="009B4428">
        <w:t xml:space="preserve">u azalışın kaynağında da istihdamın işgücünden daha yüksek bir artış göstermesi yatıyor (sırasıyla 24 ve 14 </w:t>
      </w:r>
      <w:r w:rsidR="003416C0" w:rsidRPr="009B4428">
        <w:t>bin</w:t>
      </w:r>
      <w:r w:rsidR="00A3393A" w:rsidRPr="009B4428">
        <w:t xml:space="preserve">) (Tablo 2). </w:t>
      </w:r>
      <w:r w:rsidR="008261D3" w:rsidRPr="009B4428">
        <w:t>Bu olumlu gelişmeye rağmen Kapadokya (TR71) yüzde 15,0 tarım dışı işsizlik oranı ile hala ülke ortalamasının (yüzde 13) üstünde</w:t>
      </w:r>
      <w:r w:rsidR="003416C0" w:rsidRPr="009B4428">
        <w:t>, tarım dışı istihdam oranı it</w:t>
      </w:r>
      <w:r w:rsidR="00524BEE" w:rsidRPr="009B4428">
        <w:t>i</w:t>
      </w:r>
      <w:r w:rsidR="003416C0" w:rsidRPr="009B4428">
        <w:t>b</w:t>
      </w:r>
      <w:r w:rsidR="00524BEE" w:rsidRPr="009B4428">
        <w:t>a</w:t>
      </w:r>
      <w:r w:rsidR="003416C0" w:rsidRPr="009B4428">
        <w:t>r</w:t>
      </w:r>
      <w:r w:rsidR="00524BEE" w:rsidRPr="009B4428">
        <w:t>i</w:t>
      </w:r>
      <w:r w:rsidR="003416C0" w:rsidRPr="009B4428">
        <w:t xml:space="preserve">yle de (yüzde 36,5) </w:t>
      </w:r>
      <w:r w:rsidR="00524BEE" w:rsidRPr="009B4428">
        <w:t>altında bulunuyor</w:t>
      </w:r>
      <w:r w:rsidR="008261D3" w:rsidRPr="009B4428">
        <w:t>.</w:t>
      </w:r>
      <w:r w:rsidR="003416C0" w:rsidRPr="009B4428">
        <w:t xml:space="preserve"> </w:t>
      </w:r>
      <w:bookmarkStart w:id="8" w:name="_Ref381805740"/>
    </w:p>
    <w:p w14:paraId="38BBFA70" w14:textId="02D75187" w:rsidR="00F273BD" w:rsidRPr="009B4428" w:rsidRDefault="00F273BD" w:rsidP="00F273BD">
      <w:pPr>
        <w:jc w:val="both"/>
      </w:pPr>
      <w:r w:rsidRPr="009B4428">
        <w:t>Tarım dışı işgücü artışlarından daha yüksek tarım dışı istihdam artışları sayesinde işsizliğin azaldığı dört bölge daha mevcuttur: Sırasıyla Hatay (TR63) (-2,9 yüzde puan), Kastamonu (TR82) (-2,2 yüzde puan), Samsun (TR83) (-1,8 yüzde puan) ve Balıkesir (TR22) (-0,5 yüzde puan).  Ancak işsizlikteki azalmaya rağmen Hatay bölgesinin halen yüksek işsizlik oranından (</w:t>
      </w:r>
      <w:r w:rsidR="006D14E3" w:rsidRPr="009B4428">
        <w:t>yüz</w:t>
      </w:r>
      <w:r w:rsidRPr="009B4428">
        <w:t>de 14,0) mustarip olmaya devam ettiği vurgulanmalıdır.  Buna karşılık zaten düşük işsizlik oranına sahip Balıkesir (TR22) bölgesinde tarım dışı işsizlik oranının yüzde 8,8’den yüzde 8,3’gerilemesi oldukça etkileyici bir gelişmedir.</w:t>
      </w:r>
    </w:p>
    <w:p w14:paraId="4D6B750D" w14:textId="155CD673" w:rsidR="00686A22" w:rsidRPr="009B4428" w:rsidRDefault="00686A22" w:rsidP="00ED3B36">
      <w:pPr>
        <w:pStyle w:val="Caption"/>
        <w:keepNext/>
        <w:spacing w:line="276" w:lineRule="auto"/>
        <w:jc w:val="both"/>
        <w:rPr>
          <w:color w:val="auto"/>
          <w:sz w:val="22"/>
          <w:szCs w:val="22"/>
        </w:rPr>
      </w:pPr>
      <w:r w:rsidRPr="009B4428">
        <w:rPr>
          <w:color w:val="auto"/>
          <w:sz w:val="22"/>
          <w:szCs w:val="22"/>
        </w:rPr>
        <w:lastRenderedPageBreak/>
        <w:t xml:space="preserve">Şekil </w:t>
      </w:r>
      <w:bookmarkEnd w:id="8"/>
      <w:r w:rsidRPr="009B4428">
        <w:rPr>
          <w:color w:val="auto"/>
          <w:sz w:val="22"/>
          <w:szCs w:val="22"/>
        </w:rPr>
        <w:t xml:space="preserve">4: Tarım dışı işsizlik oranı azalan bölgeler </w:t>
      </w:r>
      <m:oMath>
        <m:sSub>
          <m:sSubPr>
            <m:ctrlPr>
              <w:rPr>
                <w:rFonts w:ascii="Cambria Math" w:hAnsi="Cambria Math"/>
                <w:b w:val="0"/>
                <w:i/>
                <w:color w:val="000000" w:themeColor="text1"/>
                <w:sz w:val="16"/>
                <w:szCs w:val="16"/>
              </w:rPr>
            </m:ctrlPr>
          </m:sSubPr>
          <m:e>
            <m:r>
              <m:rPr>
                <m:sty m:val="bi"/>
              </m:rPr>
              <w:rPr>
                <w:rFonts w:ascii="Cambria Math" w:hAnsi="Cambria Math"/>
                <w:color w:val="000000" w:themeColor="text1"/>
                <w:sz w:val="16"/>
                <w:szCs w:val="16"/>
              </w:rPr>
              <m:t>u</m:t>
            </m:r>
          </m:e>
          <m:sub>
            <m:r>
              <m:rPr>
                <m:sty m:val="bi"/>
              </m:rPr>
              <w:rPr>
                <w:rFonts w:ascii="Cambria Math" w:hAnsi="Cambria Math"/>
                <w:color w:val="000000" w:themeColor="text1"/>
                <w:sz w:val="16"/>
                <w:szCs w:val="16"/>
              </w:rPr>
              <m:t>td</m:t>
            </m:r>
          </m:sub>
        </m:sSub>
      </m:oMath>
      <w:r w:rsidRPr="009B4428">
        <w:rPr>
          <w:color w:val="auto"/>
          <w:sz w:val="22"/>
          <w:szCs w:val="22"/>
        </w:rPr>
        <w:t xml:space="preserve"> (yüzde puan, 2016-2017)</w:t>
      </w:r>
    </w:p>
    <w:p w14:paraId="32F3D1B0" w14:textId="28D300FA" w:rsidR="00CE492F" w:rsidRPr="009B4428" w:rsidRDefault="002D2A5F" w:rsidP="00ED3B36">
      <w:pPr>
        <w:pStyle w:val="Caption"/>
        <w:keepNext/>
        <w:spacing w:after="0" w:line="276" w:lineRule="auto"/>
        <w:jc w:val="both"/>
        <w:rPr>
          <w:b w:val="0"/>
          <w:color w:val="000000" w:themeColor="text1"/>
          <w:sz w:val="16"/>
          <w:szCs w:val="16"/>
        </w:rPr>
      </w:pPr>
      <w:r w:rsidRPr="009B4428">
        <w:rPr>
          <w:noProof/>
        </w:rPr>
        <w:drawing>
          <wp:inline distT="0" distB="0" distL="0" distR="0" wp14:anchorId="1CDB95D9" wp14:editId="1E586BD4">
            <wp:extent cx="5753100" cy="3143250"/>
            <wp:effectExtent l="0" t="0" r="0" b="0"/>
            <wp:docPr id="15" name="Grafik 15">
              <a:extLst xmlns:a="http://schemas.openxmlformats.org/drawingml/2006/main">
                <a:ext uri="{FF2B5EF4-FFF2-40B4-BE49-F238E27FC236}">
                  <a16:creationId xmlns:a16="http://schemas.microsoft.com/office/drawing/2014/main" id="{32B0A494-3D50-4B7E-8BE8-D0951F9A43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D5311" w:rsidRPr="009B4428">
        <w:br/>
      </w:r>
      <w:r w:rsidR="007D5311" w:rsidRPr="009B4428">
        <w:rPr>
          <w:b w:val="0"/>
          <w:color w:val="000000" w:themeColor="text1"/>
          <w:sz w:val="16"/>
          <w:szCs w:val="16"/>
        </w:rPr>
        <w:t xml:space="preserve">Kaynak: TUIK, Betam. </w:t>
      </w:r>
      <w:bookmarkStart w:id="9" w:name="_Ref381805757"/>
      <w:proofErr w:type="gramStart"/>
      <w:r w:rsidR="00CE492F" w:rsidRPr="009B4428">
        <w:rPr>
          <w:b w:val="0"/>
          <w:color w:val="000000" w:themeColor="text1"/>
          <w:sz w:val="16"/>
          <w:szCs w:val="16"/>
        </w:rPr>
        <w:t>TRC2: Şanlıurfa, Diyarbakır, TR</w:t>
      </w:r>
      <w:r w:rsidR="00D463C1" w:rsidRPr="009B4428">
        <w:rPr>
          <w:b w:val="0"/>
          <w:color w:val="000000" w:themeColor="text1"/>
          <w:sz w:val="16"/>
          <w:szCs w:val="16"/>
        </w:rPr>
        <w:t>71: Kırıkkale</w:t>
      </w:r>
      <w:r w:rsidR="00CE492F" w:rsidRPr="009B4428">
        <w:rPr>
          <w:b w:val="0"/>
          <w:color w:val="000000" w:themeColor="text1"/>
          <w:sz w:val="16"/>
          <w:szCs w:val="16"/>
        </w:rPr>
        <w:t xml:space="preserve">, Aksaray, Niğde, Nevşehir, </w:t>
      </w:r>
      <w:r w:rsidR="00D463C1" w:rsidRPr="009B4428">
        <w:rPr>
          <w:b w:val="0"/>
          <w:color w:val="000000" w:themeColor="text1"/>
          <w:sz w:val="16"/>
          <w:szCs w:val="16"/>
        </w:rPr>
        <w:t>Kırşehir,</w:t>
      </w:r>
      <w:r w:rsidR="00CE492F" w:rsidRPr="009B4428">
        <w:rPr>
          <w:b w:val="0"/>
          <w:color w:val="000000" w:themeColor="text1"/>
          <w:sz w:val="16"/>
          <w:szCs w:val="16"/>
        </w:rPr>
        <w:t xml:space="preserve"> TR</w:t>
      </w:r>
      <w:r w:rsidR="001B0A55" w:rsidRPr="009B4428">
        <w:rPr>
          <w:b w:val="0"/>
          <w:color w:val="000000" w:themeColor="text1"/>
          <w:sz w:val="16"/>
          <w:szCs w:val="16"/>
        </w:rPr>
        <w:t>63: Hatay</w:t>
      </w:r>
      <w:r w:rsidR="00CE492F" w:rsidRPr="009B4428">
        <w:rPr>
          <w:b w:val="0"/>
          <w:color w:val="000000" w:themeColor="text1"/>
          <w:sz w:val="16"/>
          <w:szCs w:val="16"/>
        </w:rPr>
        <w:t>, Kahramanmaraş, Osmaniye, TR</w:t>
      </w:r>
      <w:r w:rsidR="00D22157" w:rsidRPr="009B4428">
        <w:rPr>
          <w:b w:val="0"/>
          <w:color w:val="000000" w:themeColor="text1"/>
          <w:sz w:val="16"/>
          <w:szCs w:val="16"/>
        </w:rPr>
        <w:t>82: Kastamonu</w:t>
      </w:r>
      <w:r w:rsidR="00CE492F" w:rsidRPr="009B4428">
        <w:rPr>
          <w:b w:val="0"/>
          <w:color w:val="000000" w:themeColor="text1"/>
          <w:sz w:val="16"/>
          <w:szCs w:val="16"/>
        </w:rPr>
        <w:t>, Çankırı, Sinop, TRB</w:t>
      </w:r>
      <w:r w:rsidR="00D22157" w:rsidRPr="009B4428">
        <w:rPr>
          <w:b w:val="0"/>
          <w:color w:val="000000" w:themeColor="text1"/>
          <w:sz w:val="16"/>
          <w:szCs w:val="16"/>
        </w:rPr>
        <w:t>1: Malatya</w:t>
      </w:r>
      <w:r w:rsidR="00CE492F" w:rsidRPr="009B4428">
        <w:rPr>
          <w:b w:val="0"/>
          <w:color w:val="000000" w:themeColor="text1"/>
          <w:sz w:val="16"/>
          <w:szCs w:val="16"/>
        </w:rPr>
        <w:t>, Elazığ, Bingöl, Tunceli, TR</w:t>
      </w:r>
      <w:r w:rsidR="002E7B20" w:rsidRPr="009B4428">
        <w:rPr>
          <w:b w:val="0"/>
          <w:color w:val="000000" w:themeColor="text1"/>
          <w:sz w:val="16"/>
          <w:szCs w:val="16"/>
        </w:rPr>
        <w:t>81: Zonguldak</w:t>
      </w:r>
      <w:r w:rsidR="00CE492F" w:rsidRPr="009B4428">
        <w:rPr>
          <w:b w:val="0"/>
          <w:color w:val="000000" w:themeColor="text1"/>
          <w:sz w:val="16"/>
          <w:szCs w:val="16"/>
        </w:rPr>
        <w:t>, Karabük, Bartın, TR</w:t>
      </w:r>
      <w:r w:rsidR="00591381" w:rsidRPr="009B4428">
        <w:rPr>
          <w:b w:val="0"/>
          <w:color w:val="000000" w:themeColor="text1"/>
          <w:sz w:val="16"/>
          <w:szCs w:val="16"/>
        </w:rPr>
        <w:t>83: Samsun</w:t>
      </w:r>
      <w:r w:rsidR="00CE492F" w:rsidRPr="009B4428">
        <w:rPr>
          <w:b w:val="0"/>
          <w:color w:val="000000" w:themeColor="text1"/>
          <w:sz w:val="16"/>
          <w:szCs w:val="16"/>
        </w:rPr>
        <w:t>, Tokat, Çorum, Amasya, TR</w:t>
      </w:r>
      <w:r w:rsidR="009D0C60" w:rsidRPr="009B4428">
        <w:rPr>
          <w:b w:val="0"/>
          <w:color w:val="000000" w:themeColor="text1"/>
          <w:sz w:val="16"/>
          <w:szCs w:val="16"/>
        </w:rPr>
        <w:t>90: Trabzon</w:t>
      </w:r>
      <w:r w:rsidR="00CE492F" w:rsidRPr="009B4428">
        <w:rPr>
          <w:b w:val="0"/>
          <w:color w:val="000000" w:themeColor="text1"/>
          <w:sz w:val="16"/>
          <w:szCs w:val="16"/>
        </w:rPr>
        <w:t>, Ordu, Giresun, Rize, Artvin, Gümüşhane, TR</w:t>
      </w:r>
      <w:r w:rsidR="00B3409A" w:rsidRPr="009B4428">
        <w:rPr>
          <w:b w:val="0"/>
          <w:color w:val="000000" w:themeColor="text1"/>
          <w:sz w:val="16"/>
          <w:szCs w:val="16"/>
        </w:rPr>
        <w:t>22: Balıkesir</w:t>
      </w:r>
      <w:r w:rsidR="00CE492F" w:rsidRPr="009B4428">
        <w:rPr>
          <w:b w:val="0"/>
          <w:color w:val="000000" w:themeColor="text1"/>
          <w:sz w:val="16"/>
          <w:szCs w:val="16"/>
        </w:rPr>
        <w:t>, Çanakkale, TRA1:</w:t>
      </w:r>
      <w:r w:rsidR="00B3409A" w:rsidRPr="009B4428">
        <w:rPr>
          <w:b w:val="0"/>
          <w:color w:val="000000" w:themeColor="text1"/>
          <w:sz w:val="16"/>
          <w:szCs w:val="16"/>
        </w:rPr>
        <w:t xml:space="preserve"> </w:t>
      </w:r>
      <w:r w:rsidR="00CE492F" w:rsidRPr="009B4428">
        <w:rPr>
          <w:b w:val="0"/>
          <w:color w:val="000000" w:themeColor="text1"/>
          <w:sz w:val="16"/>
          <w:szCs w:val="16"/>
        </w:rPr>
        <w:t>Erzurum, Erzincan, Bayburt, TR52:</w:t>
      </w:r>
      <w:r w:rsidR="00B3409A" w:rsidRPr="009B4428">
        <w:rPr>
          <w:b w:val="0"/>
          <w:color w:val="000000" w:themeColor="text1"/>
          <w:sz w:val="16"/>
          <w:szCs w:val="16"/>
        </w:rPr>
        <w:t xml:space="preserve"> </w:t>
      </w:r>
      <w:r w:rsidR="00CE492F" w:rsidRPr="009B4428">
        <w:rPr>
          <w:b w:val="0"/>
          <w:color w:val="000000" w:themeColor="text1"/>
          <w:sz w:val="16"/>
          <w:szCs w:val="16"/>
        </w:rPr>
        <w:t>Konya, Karaman, TR31:</w:t>
      </w:r>
      <w:r w:rsidR="00B3409A" w:rsidRPr="009B4428">
        <w:rPr>
          <w:b w:val="0"/>
          <w:color w:val="000000" w:themeColor="text1"/>
          <w:sz w:val="16"/>
          <w:szCs w:val="16"/>
        </w:rPr>
        <w:t xml:space="preserve"> </w:t>
      </w:r>
      <w:r w:rsidR="00CE492F" w:rsidRPr="009B4428">
        <w:rPr>
          <w:b w:val="0"/>
          <w:color w:val="000000" w:themeColor="text1"/>
          <w:sz w:val="16"/>
          <w:szCs w:val="16"/>
        </w:rPr>
        <w:t>İzmir, TR</w:t>
      </w:r>
      <w:r w:rsidR="00374C4B" w:rsidRPr="009B4428">
        <w:rPr>
          <w:b w:val="0"/>
          <w:color w:val="000000" w:themeColor="text1"/>
          <w:sz w:val="16"/>
          <w:szCs w:val="16"/>
        </w:rPr>
        <w:t>51: Ankara</w:t>
      </w:r>
      <w:r w:rsidR="00CE492F" w:rsidRPr="009B4428">
        <w:rPr>
          <w:b w:val="0"/>
          <w:color w:val="000000" w:themeColor="text1"/>
          <w:sz w:val="16"/>
          <w:szCs w:val="16"/>
        </w:rPr>
        <w:t>.</w:t>
      </w:r>
      <w:proofErr w:type="gramEnd"/>
    </w:p>
    <w:p w14:paraId="397D55EB" w14:textId="77777777" w:rsidR="0016353F" w:rsidRPr="009B4428" w:rsidRDefault="0016353F" w:rsidP="00ED3B36">
      <w:pPr>
        <w:pStyle w:val="Caption"/>
        <w:keepNext/>
        <w:spacing w:line="276" w:lineRule="auto"/>
        <w:jc w:val="both"/>
        <w:rPr>
          <w:color w:val="000000" w:themeColor="text1"/>
          <w:sz w:val="16"/>
          <w:szCs w:val="16"/>
        </w:rPr>
      </w:pPr>
    </w:p>
    <w:p w14:paraId="1855EC85" w14:textId="65CEBDD9" w:rsidR="002E7B20" w:rsidRPr="009B4428" w:rsidRDefault="00061961" w:rsidP="00ED3B36">
      <w:pPr>
        <w:jc w:val="both"/>
      </w:pPr>
      <w:r w:rsidRPr="009B4428">
        <w:t>İşsizliğin azaldığı 13 bölgenin üçü diğer bölgelerden ayrışmaktadır.</w:t>
      </w:r>
      <w:r w:rsidR="002402C2" w:rsidRPr="009B4428">
        <w:t xml:space="preserve"> Bu bölgelerde yaşanan tarım dışı işsizlik</w:t>
      </w:r>
      <w:r w:rsidR="007952B4" w:rsidRPr="009B4428">
        <w:t>teki düşüşlerde</w:t>
      </w:r>
      <w:r w:rsidR="002402C2" w:rsidRPr="009B4428">
        <w:t xml:space="preserve"> işgücündeki </w:t>
      </w:r>
      <w:r w:rsidR="00524BEE" w:rsidRPr="009B4428">
        <w:t>azalmaların</w:t>
      </w:r>
      <w:r w:rsidR="007952B4" w:rsidRPr="009B4428">
        <w:t xml:space="preserve"> etkisi dikkat çekmektedir. </w:t>
      </w:r>
      <w:r w:rsidR="008A15A8" w:rsidRPr="009B4428">
        <w:t xml:space="preserve">Malatya (TRB1) </w:t>
      </w:r>
      <w:r w:rsidR="007952B4" w:rsidRPr="009B4428">
        <w:t xml:space="preserve">bölesinde işgücü 10 bin </w:t>
      </w:r>
      <w:r w:rsidR="00524BEE" w:rsidRPr="009B4428">
        <w:t>azalarken</w:t>
      </w:r>
      <w:r w:rsidR="007952B4" w:rsidRPr="009B4428">
        <w:t xml:space="preserve"> istihdam değişmemiş,</w:t>
      </w:r>
      <w:r w:rsidR="008A15A8" w:rsidRPr="009B4428">
        <w:t xml:space="preserve"> </w:t>
      </w:r>
      <w:r w:rsidR="007952B4" w:rsidRPr="009B4428">
        <w:t xml:space="preserve">tarım dışı işsizlik oranında 1,9 yüzde puanlık düşüş gerçekleşmiştir. </w:t>
      </w:r>
      <w:r w:rsidR="008A15A8" w:rsidRPr="009B4428">
        <w:t xml:space="preserve">Zonguldak (TR81) </w:t>
      </w:r>
      <w:r w:rsidR="009911B1" w:rsidRPr="009B4428">
        <w:t xml:space="preserve">ve Trabzon (TR90) </w:t>
      </w:r>
      <w:r w:rsidR="008A15A8" w:rsidRPr="009B4428">
        <w:t>bölge</w:t>
      </w:r>
      <w:r w:rsidR="009911B1" w:rsidRPr="009B4428">
        <w:t xml:space="preserve">lerinde işgücü sınırlı ölçüde 1-2 bin kadar azalırken istihdamda 4-8 binlik artışlar gerçekleştiğinden </w:t>
      </w:r>
      <w:r w:rsidR="00A7389E" w:rsidRPr="009B4428">
        <w:t>işsizlik</w:t>
      </w:r>
      <w:r w:rsidR="009911B1" w:rsidRPr="009B4428">
        <w:t xml:space="preserve"> oranlarında 1,9 ve 1,4 yüzde puanlık düşüşler yaşanmıştır. </w:t>
      </w:r>
    </w:p>
    <w:p w14:paraId="335F5D1E" w14:textId="77777777" w:rsidR="007D5311" w:rsidRPr="009B4428" w:rsidRDefault="00EC582D" w:rsidP="00ED3B36">
      <w:pPr>
        <w:pStyle w:val="Caption"/>
        <w:keepNext/>
        <w:spacing w:line="276" w:lineRule="auto"/>
        <w:jc w:val="both"/>
        <w:rPr>
          <w:color w:val="auto"/>
          <w:sz w:val="22"/>
          <w:szCs w:val="22"/>
        </w:rPr>
      </w:pPr>
      <w:r w:rsidRPr="009B4428">
        <w:rPr>
          <w:color w:val="auto"/>
          <w:sz w:val="22"/>
          <w:szCs w:val="22"/>
        </w:rPr>
        <w:t>T</w:t>
      </w:r>
      <w:r w:rsidR="00E569A9" w:rsidRPr="009B4428">
        <w:rPr>
          <w:color w:val="auto"/>
          <w:sz w:val="22"/>
          <w:szCs w:val="22"/>
        </w:rPr>
        <w:t xml:space="preserve">ablo </w:t>
      </w:r>
      <w:bookmarkEnd w:id="9"/>
      <w:r w:rsidR="007D5311" w:rsidRPr="009B4428">
        <w:rPr>
          <w:color w:val="auto"/>
          <w:sz w:val="22"/>
          <w:szCs w:val="22"/>
        </w:rPr>
        <w:t>2</w:t>
      </w:r>
      <w:r w:rsidR="00E569A9" w:rsidRPr="009B4428">
        <w:rPr>
          <w:color w:val="auto"/>
          <w:sz w:val="22"/>
          <w:szCs w:val="22"/>
        </w:rPr>
        <w:t xml:space="preserve">: </w:t>
      </w:r>
      <w:r w:rsidR="007D5311" w:rsidRPr="009B4428">
        <w:rPr>
          <w:color w:val="auto"/>
          <w:sz w:val="22"/>
          <w:szCs w:val="22"/>
        </w:rPr>
        <w:t xml:space="preserve">Tarım dışı işsizlik oranı azalan bölgelerin tarım dışı işgücü ve istihdam durumu (bin,2016) </w:t>
      </w:r>
    </w:p>
    <w:tbl>
      <w:tblPr>
        <w:tblW w:w="8908" w:type="dxa"/>
        <w:tblInd w:w="75" w:type="dxa"/>
        <w:tblCellMar>
          <w:left w:w="70" w:type="dxa"/>
          <w:right w:w="70" w:type="dxa"/>
        </w:tblCellMar>
        <w:tblLook w:val="04A0" w:firstRow="1" w:lastRow="0" w:firstColumn="1" w:lastColumn="0" w:noHBand="0" w:noVBand="1"/>
      </w:tblPr>
      <w:tblGrid>
        <w:gridCol w:w="5462"/>
        <w:gridCol w:w="1367"/>
        <w:gridCol w:w="1151"/>
        <w:gridCol w:w="928"/>
      </w:tblGrid>
      <w:tr w:rsidR="001D2D70" w:rsidRPr="009B4428" w14:paraId="2F80207E" w14:textId="77777777" w:rsidTr="001D2D70">
        <w:trPr>
          <w:trHeight w:val="288"/>
        </w:trPr>
        <w:tc>
          <w:tcPr>
            <w:tcW w:w="5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F96C5"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Bölgeler</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00F7C236" w14:textId="77777777" w:rsidR="001D2D70" w:rsidRPr="009B4428" w:rsidRDefault="001D2D70" w:rsidP="0015376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 xml:space="preserve">Δ </w:t>
            </w:r>
            <w:proofErr w:type="spellStart"/>
            <w:r w:rsidRPr="009B4428">
              <w:rPr>
                <w:rFonts w:ascii="Calibri" w:eastAsia="Times New Roman" w:hAnsi="Calibri" w:cs="Times New Roman"/>
                <w:color w:val="000000"/>
              </w:rPr>
              <w:t>LFtd</w:t>
            </w:r>
            <w:proofErr w:type="spellEnd"/>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BE23F66" w14:textId="77777777" w:rsidR="001D2D70" w:rsidRPr="009B4428" w:rsidRDefault="001D2D70" w:rsidP="0015376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 xml:space="preserve">Δ </w:t>
            </w:r>
            <w:proofErr w:type="spellStart"/>
            <w:r w:rsidRPr="009B4428">
              <w:rPr>
                <w:rFonts w:ascii="Calibri" w:eastAsia="Times New Roman" w:hAnsi="Calibri" w:cs="Times New Roman"/>
                <w:color w:val="000000"/>
              </w:rPr>
              <w:t>Etd</w:t>
            </w:r>
            <w:proofErr w:type="spellEnd"/>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71A70538" w14:textId="77777777" w:rsidR="001D2D70" w:rsidRPr="009B4428" w:rsidRDefault="001D2D70" w:rsidP="0015376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 xml:space="preserve">Δ </w:t>
            </w:r>
            <w:proofErr w:type="spellStart"/>
            <w:r w:rsidRPr="009B4428">
              <w:rPr>
                <w:rFonts w:ascii="Calibri" w:eastAsia="Times New Roman" w:hAnsi="Calibri" w:cs="Times New Roman"/>
                <w:color w:val="000000"/>
              </w:rPr>
              <w:t>utd</w:t>
            </w:r>
            <w:proofErr w:type="spellEnd"/>
          </w:p>
        </w:tc>
      </w:tr>
      <w:tr w:rsidR="001D2D70" w:rsidRPr="009B4428" w14:paraId="048D7584"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616B5205"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TRC2 (Şanlıurfa, Diyarbakır)</w:t>
            </w:r>
          </w:p>
        </w:tc>
        <w:tc>
          <w:tcPr>
            <w:tcW w:w="1367" w:type="dxa"/>
            <w:tcBorders>
              <w:top w:val="nil"/>
              <w:left w:val="nil"/>
              <w:bottom w:val="single" w:sz="4" w:space="0" w:color="auto"/>
              <w:right w:val="single" w:sz="4" w:space="0" w:color="auto"/>
            </w:tcBorders>
            <w:shd w:val="clear" w:color="auto" w:fill="auto"/>
            <w:noWrap/>
            <w:vAlign w:val="bottom"/>
            <w:hideMark/>
          </w:tcPr>
          <w:p w14:paraId="6D367842"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34</w:t>
            </w:r>
          </w:p>
        </w:tc>
        <w:tc>
          <w:tcPr>
            <w:tcW w:w="1151" w:type="dxa"/>
            <w:tcBorders>
              <w:top w:val="nil"/>
              <w:left w:val="nil"/>
              <w:bottom w:val="single" w:sz="4" w:space="0" w:color="auto"/>
              <w:right w:val="single" w:sz="4" w:space="0" w:color="auto"/>
            </w:tcBorders>
            <w:shd w:val="clear" w:color="auto" w:fill="auto"/>
            <w:noWrap/>
            <w:vAlign w:val="bottom"/>
            <w:hideMark/>
          </w:tcPr>
          <w:p w14:paraId="5DB07223"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54</w:t>
            </w:r>
          </w:p>
        </w:tc>
        <w:tc>
          <w:tcPr>
            <w:tcW w:w="928" w:type="dxa"/>
            <w:tcBorders>
              <w:top w:val="nil"/>
              <w:left w:val="nil"/>
              <w:bottom w:val="single" w:sz="4" w:space="0" w:color="auto"/>
              <w:right w:val="single" w:sz="4" w:space="0" w:color="auto"/>
            </w:tcBorders>
            <w:shd w:val="clear" w:color="auto" w:fill="auto"/>
            <w:noWrap/>
            <w:vAlign w:val="bottom"/>
            <w:hideMark/>
          </w:tcPr>
          <w:p w14:paraId="551793C9"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-3.7</w:t>
            </w:r>
          </w:p>
        </w:tc>
      </w:tr>
      <w:tr w:rsidR="001D2D70" w:rsidRPr="009B4428" w14:paraId="259CCBA4"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41E20738" w14:textId="5768E45C"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TR71 (Kırıkkale, Aksaray, Niğde, Nevşehir, Kırşehir)</w:t>
            </w:r>
          </w:p>
        </w:tc>
        <w:tc>
          <w:tcPr>
            <w:tcW w:w="1367" w:type="dxa"/>
            <w:tcBorders>
              <w:top w:val="nil"/>
              <w:left w:val="nil"/>
              <w:bottom w:val="single" w:sz="4" w:space="0" w:color="auto"/>
              <w:right w:val="single" w:sz="4" w:space="0" w:color="auto"/>
            </w:tcBorders>
            <w:shd w:val="clear" w:color="auto" w:fill="auto"/>
            <w:noWrap/>
            <w:vAlign w:val="bottom"/>
            <w:hideMark/>
          </w:tcPr>
          <w:p w14:paraId="173BC703"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14</w:t>
            </w:r>
          </w:p>
        </w:tc>
        <w:tc>
          <w:tcPr>
            <w:tcW w:w="1151" w:type="dxa"/>
            <w:tcBorders>
              <w:top w:val="nil"/>
              <w:left w:val="nil"/>
              <w:bottom w:val="single" w:sz="4" w:space="0" w:color="auto"/>
              <w:right w:val="single" w:sz="4" w:space="0" w:color="auto"/>
            </w:tcBorders>
            <w:shd w:val="clear" w:color="auto" w:fill="auto"/>
            <w:noWrap/>
            <w:vAlign w:val="bottom"/>
            <w:hideMark/>
          </w:tcPr>
          <w:p w14:paraId="6B4E857F"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24</w:t>
            </w:r>
          </w:p>
        </w:tc>
        <w:tc>
          <w:tcPr>
            <w:tcW w:w="928" w:type="dxa"/>
            <w:tcBorders>
              <w:top w:val="nil"/>
              <w:left w:val="nil"/>
              <w:bottom w:val="single" w:sz="4" w:space="0" w:color="auto"/>
              <w:right w:val="single" w:sz="4" w:space="0" w:color="auto"/>
            </w:tcBorders>
            <w:shd w:val="clear" w:color="auto" w:fill="auto"/>
            <w:noWrap/>
            <w:vAlign w:val="bottom"/>
            <w:hideMark/>
          </w:tcPr>
          <w:p w14:paraId="3E6436F3" w14:textId="695C9D71"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-3</w:t>
            </w:r>
            <w:r w:rsidR="003416C0" w:rsidRPr="009B4428">
              <w:rPr>
                <w:rFonts w:ascii="Calibri" w:eastAsia="Times New Roman" w:hAnsi="Calibri" w:cs="Times New Roman"/>
                <w:color w:val="000000"/>
              </w:rPr>
              <w:t>.0</w:t>
            </w:r>
          </w:p>
        </w:tc>
      </w:tr>
      <w:tr w:rsidR="001D2D70" w:rsidRPr="009B4428" w14:paraId="5C34EAD8"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0B3D115F"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TR63 (Hatay, Kahramanmaraş, Osmaniye)</w:t>
            </w:r>
          </w:p>
        </w:tc>
        <w:tc>
          <w:tcPr>
            <w:tcW w:w="1367" w:type="dxa"/>
            <w:tcBorders>
              <w:top w:val="nil"/>
              <w:left w:val="nil"/>
              <w:bottom w:val="single" w:sz="4" w:space="0" w:color="auto"/>
              <w:right w:val="single" w:sz="4" w:space="0" w:color="auto"/>
            </w:tcBorders>
            <w:shd w:val="clear" w:color="auto" w:fill="auto"/>
            <w:noWrap/>
            <w:vAlign w:val="bottom"/>
            <w:hideMark/>
          </w:tcPr>
          <w:p w14:paraId="40D0253B"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38</w:t>
            </w:r>
          </w:p>
        </w:tc>
        <w:tc>
          <w:tcPr>
            <w:tcW w:w="1151" w:type="dxa"/>
            <w:tcBorders>
              <w:top w:val="nil"/>
              <w:left w:val="nil"/>
              <w:bottom w:val="single" w:sz="4" w:space="0" w:color="auto"/>
              <w:right w:val="single" w:sz="4" w:space="0" w:color="auto"/>
            </w:tcBorders>
            <w:shd w:val="clear" w:color="auto" w:fill="auto"/>
            <w:noWrap/>
            <w:vAlign w:val="bottom"/>
            <w:hideMark/>
          </w:tcPr>
          <w:p w14:paraId="0C31195C"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56</w:t>
            </w:r>
          </w:p>
        </w:tc>
        <w:tc>
          <w:tcPr>
            <w:tcW w:w="928" w:type="dxa"/>
            <w:tcBorders>
              <w:top w:val="nil"/>
              <w:left w:val="nil"/>
              <w:bottom w:val="single" w:sz="4" w:space="0" w:color="auto"/>
              <w:right w:val="single" w:sz="4" w:space="0" w:color="auto"/>
            </w:tcBorders>
            <w:shd w:val="clear" w:color="auto" w:fill="auto"/>
            <w:noWrap/>
            <w:vAlign w:val="bottom"/>
            <w:hideMark/>
          </w:tcPr>
          <w:p w14:paraId="52A6987E"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-2.9</w:t>
            </w:r>
          </w:p>
        </w:tc>
      </w:tr>
      <w:tr w:rsidR="001D2D70" w:rsidRPr="009B4428" w14:paraId="7842354C"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75224ED6"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TR82 (Kastamonu, Çankırı, Sinop)</w:t>
            </w:r>
          </w:p>
        </w:tc>
        <w:tc>
          <w:tcPr>
            <w:tcW w:w="1367" w:type="dxa"/>
            <w:tcBorders>
              <w:top w:val="nil"/>
              <w:left w:val="nil"/>
              <w:bottom w:val="single" w:sz="4" w:space="0" w:color="auto"/>
              <w:right w:val="single" w:sz="4" w:space="0" w:color="auto"/>
            </w:tcBorders>
            <w:shd w:val="clear" w:color="auto" w:fill="auto"/>
            <w:noWrap/>
            <w:vAlign w:val="bottom"/>
            <w:hideMark/>
          </w:tcPr>
          <w:p w14:paraId="403756F0"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7</w:t>
            </w:r>
          </w:p>
        </w:tc>
        <w:tc>
          <w:tcPr>
            <w:tcW w:w="1151" w:type="dxa"/>
            <w:tcBorders>
              <w:top w:val="nil"/>
              <w:left w:val="nil"/>
              <w:bottom w:val="single" w:sz="4" w:space="0" w:color="auto"/>
              <w:right w:val="single" w:sz="4" w:space="0" w:color="auto"/>
            </w:tcBorders>
            <w:shd w:val="clear" w:color="auto" w:fill="auto"/>
            <w:noWrap/>
            <w:vAlign w:val="bottom"/>
            <w:hideMark/>
          </w:tcPr>
          <w:p w14:paraId="260EFDF2"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10</w:t>
            </w:r>
          </w:p>
        </w:tc>
        <w:tc>
          <w:tcPr>
            <w:tcW w:w="928" w:type="dxa"/>
            <w:tcBorders>
              <w:top w:val="nil"/>
              <w:left w:val="nil"/>
              <w:bottom w:val="single" w:sz="4" w:space="0" w:color="auto"/>
              <w:right w:val="single" w:sz="4" w:space="0" w:color="auto"/>
            </w:tcBorders>
            <w:shd w:val="clear" w:color="auto" w:fill="auto"/>
            <w:noWrap/>
            <w:vAlign w:val="bottom"/>
            <w:hideMark/>
          </w:tcPr>
          <w:p w14:paraId="2830EEB4"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-2.2</w:t>
            </w:r>
          </w:p>
        </w:tc>
      </w:tr>
      <w:tr w:rsidR="001D2D70" w:rsidRPr="009B4428" w14:paraId="67598F83"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1F039082" w14:textId="146EA4FB"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TRB1 (Malatya, Elâzığ, Bingöl, Tunceli)</w:t>
            </w:r>
          </w:p>
        </w:tc>
        <w:tc>
          <w:tcPr>
            <w:tcW w:w="1367" w:type="dxa"/>
            <w:tcBorders>
              <w:top w:val="nil"/>
              <w:left w:val="nil"/>
              <w:bottom w:val="single" w:sz="4" w:space="0" w:color="auto"/>
              <w:right w:val="single" w:sz="4" w:space="0" w:color="auto"/>
            </w:tcBorders>
            <w:shd w:val="clear" w:color="auto" w:fill="auto"/>
            <w:noWrap/>
            <w:vAlign w:val="bottom"/>
            <w:hideMark/>
          </w:tcPr>
          <w:p w14:paraId="66CB9448"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-10</w:t>
            </w:r>
          </w:p>
        </w:tc>
        <w:tc>
          <w:tcPr>
            <w:tcW w:w="1151" w:type="dxa"/>
            <w:tcBorders>
              <w:top w:val="nil"/>
              <w:left w:val="nil"/>
              <w:bottom w:val="single" w:sz="4" w:space="0" w:color="auto"/>
              <w:right w:val="single" w:sz="4" w:space="0" w:color="auto"/>
            </w:tcBorders>
            <w:shd w:val="clear" w:color="auto" w:fill="auto"/>
            <w:noWrap/>
            <w:vAlign w:val="bottom"/>
            <w:hideMark/>
          </w:tcPr>
          <w:p w14:paraId="2B046BD1"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14:paraId="63A90CB6"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-1.9</w:t>
            </w:r>
          </w:p>
        </w:tc>
      </w:tr>
      <w:tr w:rsidR="001D2D70" w:rsidRPr="009B4428" w14:paraId="6490AD2E"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71E375EB"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TR81 (Zonguldak, Karabük, Bartın)</w:t>
            </w:r>
          </w:p>
        </w:tc>
        <w:tc>
          <w:tcPr>
            <w:tcW w:w="1367" w:type="dxa"/>
            <w:tcBorders>
              <w:top w:val="nil"/>
              <w:left w:val="nil"/>
              <w:bottom w:val="single" w:sz="4" w:space="0" w:color="auto"/>
              <w:right w:val="single" w:sz="4" w:space="0" w:color="auto"/>
            </w:tcBorders>
            <w:shd w:val="clear" w:color="auto" w:fill="auto"/>
            <w:noWrap/>
            <w:vAlign w:val="bottom"/>
            <w:hideMark/>
          </w:tcPr>
          <w:p w14:paraId="3E2FB6B3"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w:t>
            </w:r>
          </w:p>
        </w:tc>
        <w:tc>
          <w:tcPr>
            <w:tcW w:w="1151" w:type="dxa"/>
            <w:tcBorders>
              <w:top w:val="nil"/>
              <w:left w:val="nil"/>
              <w:bottom w:val="single" w:sz="4" w:space="0" w:color="auto"/>
              <w:right w:val="single" w:sz="4" w:space="0" w:color="auto"/>
            </w:tcBorders>
            <w:shd w:val="clear" w:color="auto" w:fill="auto"/>
            <w:noWrap/>
            <w:vAlign w:val="bottom"/>
            <w:hideMark/>
          </w:tcPr>
          <w:p w14:paraId="4780D475"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4</w:t>
            </w:r>
          </w:p>
        </w:tc>
        <w:tc>
          <w:tcPr>
            <w:tcW w:w="928" w:type="dxa"/>
            <w:tcBorders>
              <w:top w:val="nil"/>
              <w:left w:val="nil"/>
              <w:bottom w:val="single" w:sz="4" w:space="0" w:color="auto"/>
              <w:right w:val="single" w:sz="4" w:space="0" w:color="auto"/>
            </w:tcBorders>
            <w:shd w:val="clear" w:color="auto" w:fill="auto"/>
            <w:noWrap/>
            <w:vAlign w:val="bottom"/>
            <w:hideMark/>
          </w:tcPr>
          <w:p w14:paraId="346367C5"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-1.9</w:t>
            </w:r>
          </w:p>
        </w:tc>
      </w:tr>
      <w:tr w:rsidR="001D2D70" w:rsidRPr="009B4428" w14:paraId="7AF1C9C5"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1D50BBE5"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TR83 (Samsun, Tokat, Çorum, Amasya)</w:t>
            </w:r>
          </w:p>
        </w:tc>
        <w:tc>
          <w:tcPr>
            <w:tcW w:w="1367" w:type="dxa"/>
            <w:tcBorders>
              <w:top w:val="nil"/>
              <w:left w:val="nil"/>
              <w:bottom w:val="single" w:sz="4" w:space="0" w:color="auto"/>
              <w:right w:val="single" w:sz="4" w:space="0" w:color="auto"/>
            </w:tcBorders>
            <w:shd w:val="clear" w:color="auto" w:fill="auto"/>
            <w:noWrap/>
            <w:vAlign w:val="bottom"/>
            <w:hideMark/>
          </w:tcPr>
          <w:p w14:paraId="3D44EF2C"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14</w:t>
            </w:r>
          </w:p>
        </w:tc>
        <w:tc>
          <w:tcPr>
            <w:tcW w:w="1151" w:type="dxa"/>
            <w:tcBorders>
              <w:top w:val="nil"/>
              <w:left w:val="nil"/>
              <w:bottom w:val="single" w:sz="4" w:space="0" w:color="auto"/>
              <w:right w:val="single" w:sz="4" w:space="0" w:color="auto"/>
            </w:tcBorders>
            <w:shd w:val="clear" w:color="auto" w:fill="auto"/>
            <w:noWrap/>
            <w:vAlign w:val="bottom"/>
            <w:hideMark/>
          </w:tcPr>
          <w:p w14:paraId="1898408E"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25</w:t>
            </w:r>
          </w:p>
        </w:tc>
        <w:tc>
          <w:tcPr>
            <w:tcW w:w="928" w:type="dxa"/>
            <w:tcBorders>
              <w:top w:val="nil"/>
              <w:left w:val="nil"/>
              <w:bottom w:val="single" w:sz="4" w:space="0" w:color="auto"/>
              <w:right w:val="single" w:sz="4" w:space="0" w:color="auto"/>
            </w:tcBorders>
            <w:shd w:val="clear" w:color="auto" w:fill="auto"/>
            <w:noWrap/>
            <w:vAlign w:val="bottom"/>
            <w:hideMark/>
          </w:tcPr>
          <w:p w14:paraId="23F14BB3"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-1.8</w:t>
            </w:r>
          </w:p>
        </w:tc>
      </w:tr>
      <w:tr w:rsidR="001D2D70" w:rsidRPr="009B4428" w14:paraId="5CF9BF4D"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28D6902A"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TR90 (Trabzon, Ordu, Giresun, Rize, Artvin, Gümüşhane)</w:t>
            </w:r>
          </w:p>
        </w:tc>
        <w:tc>
          <w:tcPr>
            <w:tcW w:w="1367" w:type="dxa"/>
            <w:tcBorders>
              <w:top w:val="nil"/>
              <w:left w:val="nil"/>
              <w:bottom w:val="single" w:sz="4" w:space="0" w:color="auto"/>
              <w:right w:val="single" w:sz="4" w:space="0" w:color="auto"/>
            </w:tcBorders>
            <w:shd w:val="clear" w:color="auto" w:fill="auto"/>
            <w:noWrap/>
            <w:vAlign w:val="bottom"/>
            <w:hideMark/>
          </w:tcPr>
          <w:p w14:paraId="4A657000"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w:t>
            </w:r>
          </w:p>
        </w:tc>
        <w:tc>
          <w:tcPr>
            <w:tcW w:w="1151" w:type="dxa"/>
            <w:tcBorders>
              <w:top w:val="nil"/>
              <w:left w:val="nil"/>
              <w:bottom w:val="single" w:sz="4" w:space="0" w:color="auto"/>
              <w:right w:val="single" w:sz="4" w:space="0" w:color="auto"/>
            </w:tcBorders>
            <w:shd w:val="clear" w:color="auto" w:fill="auto"/>
            <w:noWrap/>
            <w:vAlign w:val="bottom"/>
            <w:hideMark/>
          </w:tcPr>
          <w:p w14:paraId="30869A8D"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8</w:t>
            </w:r>
          </w:p>
        </w:tc>
        <w:tc>
          <w:tcPr>
            <w:tcW w:w="928" w:type="dxa"/>
            <w:tcBorders>
              <w:top w:val="nil"/>
              <w:left w:val="nil"/>
              <w:bottom w:val="single" w:sz="4" w:space="0" w:color="auto"/>
              <w:right w:val="single" w:sz="4" w:space="0" w:color="auto"/>
            </w:tcBorders>
            <w:shd w:val="clear" w:color="auto" w:fill="auto"/>
            <w:noWrap/>
            <w:vAlign w:val="bottom"/>
            <w:hideMark/>
          </w:tcPr>
          <w:p w14:paraId="36E3D1F0"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-1.4</w:t>
            </w:r>
          </w:p>
        </w:tc>
      </w:tr>
      <w:tr w:rsidR="001D2D70" w:rsidRPr="009B4428" w14:paraId="733A2A9E"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742CC203"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TR22 (Balıkesir, Çanakkale)</w:t>
            </w:r>
          </w:p>
        </w:tc>
        <w:tc>
          <w:tcPr>
            <w:tcW w:w="1367" w:type="dxa"/>
            <w:tcBorders>
              <w:top w:val="nil"/>
              <w:left w:val="nil"/>
              <w:bottom w:val="single" w:sz="4" w:space="0" w:color="auto"/>
              <w:right w:val="single" w:sz="4" w:space="0" w:color="auto"/>
            </w:tcBorders>
            <w:shd w:val="clear" w:color="auto" w:fill="auto"/>
            <w:noWrap/>
            <w:vAlign w:val="bottom"/>
            <w:hideMark/>
          </w:tcPr>
          <w:p w14:paraId="741BF382"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8</w:t>
            </w:r>
          </w:p>
        </w:tc>
        <w:tc>
          <w:tcPr>
            <w:tcW w:w="1151" w:type="dxa"/>
            <w:tcBorders>
              <w:top w:val="nil"/>
              <w:left w:val="nil"/>
              <w:bottom w:val="single" w:sz="4" w:space="0" w:color="auto"/>
              <w:right w:val="single" w:sz="4" w:space="0" w:color="auto"/>
            </w:tcBorders>
            <w:shd w:val="clear" w:color="auto" w:fill="auto"/>
            <w:noWrap/>
            <w:vAlign w:val="bottom"/>
            <w:hideMark/>
          </w:tcPr>
          <w:p w14:paraId="6F59BD55"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10</w:t>
            </w:r>
          </w:p>
        </w:tc>
        <w:tc>
          <w:tcPr>
            <w:tcW w:w="928" w:type="dxa"/>
            <w:tcBorders>
              <w:top w:val="nil"/>
              <w:left w:val="nil"/>
              <w:bottom w:val="single" w:sz="4" w:space="0" w:color="auto"/>
              <w:right w:val="single" w:sz="4" w:space="0" w:color="auto"/>
            </w:tcBorders>
            <w:shd w:val="clear" w:color="auto" w:fill="auto"/>
            <w:noWrap/>
            <w:vAlign w:val="bottom"/>
            <w:hideMark/>
          </w:tcPr>
          <w:p w14:paraId="60C15080"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-0.5</w:t>
            </w:r>
          </w:p>
        </w:tc>
      </w:tr>
      <w:tr w:rsidR="001D2D70" w:rsidRPr="009B4428" w14:paraId="5E36C720"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1981F3B9"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TRA1 (Erzurum, Erzincan, Bayburt)</w:t>
            </w:r>
          </w:p>
        </w:tc>
        <w:tc>
          <w:tcPr>
            <w:tcW w:w="1367" w:type="dxa"/>
            <w:tcBorders>
              <w:top w:val="nil"/>
              <w:left w:val="nil"/>
              <w:bottom w:val="single" w:sz="4" w:space="0" w:color="auto"/>
              <w:right w:val="single" w:sz="4" w:space="0" w:color="auto"/>
            </w:tcBorders>
            <w:shd w:val="clear" w:color="auto" w:fill="auto"/>
            <w:noWrap/>
            <w:vAlign w:val="bottom"/>
            <w:hideMark/>
          </w:tcPr>
          <w:p w14:paraId="296FD1A8"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19</w:t>
            </w:r>
          </w:p>
        </w:tc>
        <w:tc>
          <w:tcPr>
            <w:tcW w:w="1151" w:type="dxa"/>
            <w:tcBorders>
              <w:top w:val="nil"/>
              <w:left w:val="nil"/>
              <w:bottom w:val="single" w:sz="4" w:space="0" w:color="auto"/>
              <w:right w:val="single" w:sz="4" w:space="0" w:color="auto"/>
            </w:tcBorders>
            <w:shd w:val="clear" w:color="auto" w:fill="auto"/>
            <w:noWrap/>
            <w:vAlign w:val="bottom"/>
            <w:hideMark/>
          </w:tcPr>
          <w:p w14:paraId="41CADE84"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18</w:t>
            </w:r>
          </w:p>
        </w:tc>
        <w:tc>
          <w:tcPr>
            <w:tcW w:w="928" w:type="dxa"/>
            <w:tcBorders>
              <w:top w:val="nil"/>
              <w:left w:val="nil"/>
              <w:bottom w:val="single" w:sz="4" w:space="0" w:color="auto"/>
              <w:right w:val="single" w:sz="4" w:space="0" w:color="auto"/>
            </w:tcBorders>
            <w:shd w:val="clear" w:color="auto" w:fill="auto"/>
            <w:noWrap/>
            <w:vAlign w:val="bottom"/>
            <w:hideMark/>
          </w:tcPr>
          <w:p w14:paraId="1EC7488B"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-0.2</w:t>
            </w:r>
          </w:p>
        </w:tc>
      </w:tr>
      <w:tr w:rsidR="001D2D70" w:rsidRPr="009B4428" w14:paraId="53743044"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7681ED2A"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TR52 (Konya, Karaman)</w:t>
            </w:r>
          </w:p>
        </w:tc>
        <w:tc>
          <w:tcPr>
            <w:tcW w:w="1367" w:type="dxa"/>
            <w:tcBorders>
              <w:top w:val="nil"/>
              <w:left w:val="nil"/>
              <w:bottom w:val="single" w:sz="4" w:space="0" w:color="auto"/>
              <w:right w:val="single" w:sz="4" w:space="0" w:color="auto"/>
            </w:tcBorders>
            <w:shd w:val="clear" w:color="auto" w:fill="auto"/>
            <w:noWrap/>
            <w:vAlign w:val="bottom"/>
            <w:hideMark/>
          </w:tcPr>
          <w:p w14:paraId="71745C97"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21</w:t>
            </w:r>
          </w:p>
        </w:tc>
        <w:tc>
          <w:tcPr>
            <w:tcW w:w="1151" w:type="dxa"/>
            <w:tcBorders>
              <w:top w:val="nil"/>
              <w:left w:val="nil"/>
              <w:bottom w:val="single" w:sz="4" w:space="0" w:color="auto"/>
              <w:right w:val="single" w:sz="4" w:space="0" w:color="auto"/>
            </w:tcBorders>
            <w:shd w:val="clear" w:color="auto" w:fill="auto"/>
            <w:noWrap/>
            <w:vAlign w:val="bottom"/>
            <w:hideMark/>
          </w:tcPr>
          <w:p w14:paraId="18110245"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21</w:t>
            </w:r>
          </w:p>
        </w:tc>
        <w:tc>
          <w:tcPr>
            <w:tcW w:w="928" w:type="dxa"/>
            <w:tcBorders>
              <w:top w:val="nil"/>
              <w:left w:val="nil"/>
              <w:bottom w:val="single" w:sz="4" w:space="0" w:color="auto"/>
              <w:right w:val="single" w:sz="4" w:space="0" w:color="auto"/>
            </w:tcBorders>
            <w:shd w:val="clear" w:color="auto" w:fill="auto"/>
            <w:noWrap/>
            <w:vAlign w:val="bottom"/>
            <w:hideMark/>
          </w:tcPr>
          <w:p w14:paraId="5F90DCD1"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-0.2</w:t>
            </w:r>
          </w:p>
        </w:tc>
      </w:tr>
      <w:tr w:rsidR="001D2D70" w:rsidRPr="009B4428" w14:paraId="47243BBC"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2B6C8196"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TR31 (İzmir)</w:t>
            </w:r>
          </w:p>
        </w:tc>
        <w:tc>
          <w:tcPr>
            <w:tcW w:w="1367" w:type="dxa"/>
            <w:tcBorders>
              <w:top w:val="nil"/>
              <w:left w:val="nil"/>
              <w:bottom w:val="single" w:sz="4" w:space="0" w:color="auto"/>
              <w:right w:val="single" w:sz="4" w:space="0" w:color="auto"/>
            </w:tcBorders>
            <w:shd w:val="clear" w:color="auto" w:fill="auto"/>
            <w:noWrap/>
            <w:vAlign w:val="bottom"/>
            <w:hideMark/>
          </w:tcPr>
          <w:p w14:paraId="7CB42C02"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56</w:t>
            </w:r>
          </w:p>
        </w:tc>
        <w:tc>
          <w:tcPr>
            <w:tcW w:w="1151" w:type="dxa"/>
            <w:tcBorders>
              <w:top w:val="nil"/>
              <w:left w:val="nil"/>
              <w:bottom w:val="single" w:sz="4" w:space="0" w:color="auto"/>
              <w:right w:val="single" w:sz="4" w:space="0" w:color="auto"/>
            </w:tcBorders>
            <w:shd w:val="clear" w:color="auto" w:fill="auto"/>
            <w:noWrap/>
            <w:vAlign w:val="bottom"/>
            <w:hideMark/>
          </w:tcPr>
          <w:p w14:paraId="270944BC" w14:textId="77777777" w:rsidR="001D2D70" w:rsidRPr="009B4428" w:rsidRDefault="001D2D70" w:rsidP="00094590">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49</w:t>
            </w:r>
          </w:p>
        </w:tc>
        <w:tc>
          <w:tcPr>
            <w:tcW w:w="928" w:type="dxa"/>
            <w:tcBorders>
              <w:top w:val="nil"/>
              <w:left w:val="nil"/>
              <w:bottom w:val="single" w:sz="4" w:space="0" w:color="auto"/>
              <w:right w:val="single" w:sz="4" w:space="0" w:color="auto"/>
            </w:tcBorders>
            <w:shd w:val="clear" w:color="auto" w:fill="auto"/>
            <w:noWrap/>
            <w:vAlign w:val="bottom"/>
            <w:hideMark/>
          </w:tcPr>
          <w:p w14:paraId="299EAB74"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-0.1</w:t>
            </w:r>
          </w:p>
        </w:tc>
      </w:tr>
      <w:tr w:rsidR="001D2D70" w:rsidRPr="009B4428" w14:paraId="0FDB8765" w14:textId="77777777" w:rsidTr="001D2D70">
        <w:trPr>
          <w:trHeight w:val="288"/>
        </w:trPr>
        <w:tc>
          <w:tcPr>
            <w:tcW w:w="5462" w:type="dxa"/>
            <w:tcBorders>
              <w:top w:val="nil"/>
              <w:left w:val="single" w:sz="4" w:space="0" w:color="auto"/>
              <w:bottom w:val="single" w:sz="4" w:space="0" w:color="auto"/>
              <w:right w:val="single" w:sz="4" w:space="0" w:color="auto"/>
            </w:tcBorders>
            <w:shd w:val="clear" w:color="auto" w:fill="auto"/>
            <w:noWrap/>
            <w:vAlign w:val="bottom"/>
            <w:hideMark/>
          </w:tcPr>
          <w:p w14:paraId="541476C9" w14:textId="77777777" w:rsidR="001D2D70" w:rsidRPr="009B4428" w:rsidRDefault="001D2D70"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TR51 (Ankara)</w:t>
            </w:r>
          </w:p>
        </w:tc>
        <w:tc>
          <w:tcPr>
            <w:tcW w:w="1367" w:type="dxa"/>
            <w:tcBorders>
              <w:top w:val="nil"/>
              <w:left w:val="nil"/>
              <w:bottom w:val="single" w:sz="4" w:space="0" w:color="auto"/>
              <w:right w:val="single" w:sz="4" w:space="0" w:color="auto"/>
            </w:tcBorders>
            <w:shd w:val="clear" w:color="auto" w:fill="auto"/>
            <w:noWrap/>
            <w:vAlign w:val="bottom"/>
            <w:hideMark/>
          </w:tcPr>
          <w:p w14:paraId="301DCE8B" w14:textId="77777777" w:rsidR="001D2D70" w:rsidRPr="009B4428" w:rsidRDefault="001D2D70" w:rsidP="008638C9">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62</w:t>
            </w:r>
          </w:p>
        </w:tc>
        <w:tc>
          <w:tcPr>
            <w:tcW w:w="1151" w:type="dxa"/>
            <w:tcBorders>
              <w:top w:val="nil"/>
              <w:left w:val="nil"/>
              <w:bottom w:val="single" w:sz="4" w:space="0" w:color="auto"/>
              <w:right w:val="single" w:sz="4" w:space="0" w:color="auto"/>
            </w:tcBorders>
            <w:shd w:val="clear" w:color="auto" w:fill="auto"/>
            <w:noWrap/>
            <w:vAlign w:val="bottom"/>
            <w:hideMark/>
          </w:tcPr>
          <w:p w14:paraId="028975F4" w14:textId="77777777" w:rsidR="001D2D70" w:rsidRPr="009B4428" w:rsidRDefault="001D2D70" w:rsidP="008638C9">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57</w:t>
            </w:r>
          </w:p>
        </w:tc>
        <w:tc>
          <w:tcPr>
            <w:tcW w:w="928" w:type="dxa"/>
            <w:tcBorders>
              <w:top w:val="nil"/>
              <w:left w:val="nil"/>
              <w:bottom w:val="single" w:sz="4" w:space="0" w:color="auto"/>
              <w:right w:val="single" w:sz="4" w:space="0" w:color="auto"/>
            </w:tcBorders>
            <w:shd w:val="clear" w:color="auto" w:fill="auto"/>
            <w:noWrap/>
            <w:vAlign w:val="bottom"/>
            <w:hideMark/>
          </w:tcPr>
          <w:p w14:paraId="6E7EC1BE" w14:textId="77777777" w:rsidR="001D2D70" w:rsidRPr="009B4428" w:rsidRDefault="001D2D70" w:rsidP="008638C9">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-0.1</w:t>
            </w:r>
          </w:p>
        </w:tc>
      </w:tr>
    </w:tbl>
    <w:p w14:paraId="44A1A469" w14:textId="77777777" w:rsidR="00357679" w:rsidRPr="009B4428" w:rsidRDefault="00E800CE" w:rsidP="00ED3B36">
      <w:pPr>
        <w:pStyle w:val="Caption"/>
        <w:keepNext/>
        <w:spacing w:after="0" w:line="276" w:lineRule="auto"/>
        <w:jc w:val="both"/>
        <w:rPr>
          <w:b w:val="0"/>
          <w:color w:val="000000" w:themeColor="text1"/>
          <w:sz w:val="16"/>
          <w:szCs w:val="16"/>
        </w:rPr>
      </w:pPr>
      <w:r w:rsidRPr="009B4428">
        <w:rPr>
          <w:b w:val="0"/>
          <w:color w:val="000000" w:themeColor="text1"/>
          <w:sz w:val="16"/>
          <w:szCs w:val="16"/>
        </w:rPr>
        <w:t>Kaynak: TUIK, Betam.</w:t>
      </w:r>
    </w:p>
    <w:p w14:paraId="0850E67F" w14:textId="3A1E3045" w:rsidR="00465F20" w:rsidRPr="009B4428" w:rsidRDefault="00357679" w:rsidP="0032462A">
      <w:pPr>
        <w:spacing w:after="0"/>
        <w:jc w:val="both"/>
        <w:rPr>
          <w:color w:val="000000" w:themeColor="text1"/>
          <w:sz w:val="16"/>
          <w:szCs w:val="16"/>
        </w:rPr>
      </w:pPr>
      <w:r w:rsidRPr="009B4428">
        <w:rPr>
          <w:color w:val="000000" w:themeColor="text1"/>
          <w:sz w:val="16"/>
          <w:szCs w:val="16"/>
        </w:rPr>
        <w:t xml:space="preserve">Not: Δ </w:t>
      </w:r>
      <w:proofErr w:type="spellStart"/>
      <w:r w:rsidRPr="009B4428">
        <w:rPr>
          <w:color w:val="000000" w:themeColor="text1"/>
          <w:sz w:val="16"/>
          <w:szCs w:val="16"/>
        </w:rPr>
        <w:t>L</w:t>
      </w:r>
      <w:r w:rsidR="0063266F" w:rsidRPr="009B4428">
        <w:rPr>
          <w:color w:val="000000" w:themeColor="text1"/>
          <w:sz w:val="16"/>
          <w:szCs w:val="16"/>
        </w:rPr>
        <w:t>F</w:t>
      </w:r>
      <w:r w:rsidRPr="009B4428">
        <w:rPr>
          <w:color w:val="000000" w:themeColor="text1"/>
          <w:sz w:val="16"/>
          <w:szCs w:val="16"/>
        </w:rPr>
        <w:t>td</w:t>
      </w:r>
      <w:proofErr w:type="spellEnd"/>
      <w:r w:rsidR="0063266F" w:rsidRPr="009B4428">
        <w:rPr>
          <w:color w:val="000000" w:themeColor="text1"/>
          <w:sz w:val="16"/>
          <w:szCs w:val="16"/>
        </w:rPr>
        <w:t>:</w:t>
      </w:r>
      <w:r w:rsidRPr="009B4428">
        <w:rPr>
          <w:color w:val="000000" w:themeColor="text1"/>
          <w:sz w:val="16"/>
          <w:szCs w:val="16"/>
        </w:rPr>
        <w:t xml:space="preserve"> Tarım dışı işgücü değişimi, Δ </w:t>
      </w:r>
      <w:proofErr w:type="spellStart"/>
      <w:r w:rsidRPr="009B4428">
        <w:rPr>
          <w:color w:val="000000" w:themeColor="text1"/>
          <w:sz w:val="16"/>
          <w:szCs w:val="16"/>
        </w:rPr>
        <w:t>Etd</w:t>
      </w:r>
      <w:proofErr w:type="spellEnd"/>
      <w:r w:rsidRPr="009B4428">
        <w:rPr>
          <w:color w:val="000000" w:themeColor="text1"/>
          <w:sz w:val="16"/>
          <w:szCs w:val="16"/>
        </w:rPr>
        <w:t xml:space="preserve">: Tarım dışı istihdam değişimi, Δ </w:t>
      </w:r>
      <w:proofErr w:type="spellStart"/>
      <w:r w:rsidRPr="009B4428">
        <w:rPr>
          <w:color w:val="000000" w:themeColor="text1"/>
          <w:sz w:val="16"/>
          <w:szCs w:val="16"/>
        </w:rPr>
        <w:t>utd</w:t>
      </w:r>
      <w:proofErr w:type="spellEnd"/>
      <w:r w:rsidRPr="009B4428">
        <w:rPr>
          <w:color w:val="000000" w:themeColor="text1"/>
          <w:sz w:val="16"/>
          <w:szCs w:val="16"/>
        </w:rPr>
        <w:t>:</w:t>
      </w:r>
      <w:r w:rsidR="0063266F" w:rsidRPr="009B4428">
        <w:rPr>
          <w:color w:val="000000" w:themeColor="text1"/>
          <w:sz w:val="16"/>
          <w:szCs w:val="16"/>
        </w:rPr>
        <w:t xml:space="preserve"> T</w:t>
      </w:r>
      <w:r w:rsidRPr="009B4428">
        <w:rPr>
          <w:color w:val="000000" w:themeColor="text1"/>
          <w:sz w:val="16"/>
          <w:szCs w:val="16"/>
        </w:rPr>
        <w:t>arım dışı işsizlik değişimi</w:t>
      </w:r>
    </w:p>
    <w:p w14:paraId="3B335DB8" w14:textId="77777777" w:rsidR="000B52B5" w:rsidRPr="009B4428" w:rsidRDefault="000B52B5" w:rsidP="00ED3B36">
      <w:pPr>
        <w:jc w:val="both"/>
        <w:rPr>
          <w:b/>
          <w:sz w:val="24"/>
          <w:szCs w:val="24"/>
        </w:rPr>
      </w:pPr>
      <w:r w:rsidRPr="009B4428">
        <w:rPr>
          <w:b/>
          <w:sz w:val="24"/>
          <w:szCs w:val="24"/>
        </w:rPr>
        <w:lastRenderedPageBreak/>
        <w:t>Genel değerlendirme</w:t>
      </w:r>
    </w:p>
    <w:p w14:paraId="6A93AD6D" w14:textId="7FDFA9F0" w:rsidR="0026052D" w:rsidRPr="009B4428" w:rsidRDefault="000B52B5" w:rsidP="00ED3B36">
      <w:pPr>
        <w:jc w:val="both"/>
      </w:pPr>
      <w:r w:rsidRPr="009B4428">
        <w:t>2016’dan 2017’ye Türkiye genelinde tarım dışı işsizlik yüzde 13,0’d</w:t>
      </w:r>
      <w:r w:rsidR="00EA54B7" w:rsidRPr="009B4428">
        <w:t>e</w:t>
      </w:r>
      <w:r w:rsidRPr="009B4428">
        <w:t xml:space="preserve"> sabit kalırken bölgesel işgücü piyasaları çok farklı</w:t>
      </w:r>
      <w:r w:rsidR="00460B8B" w:rsidRPr="009B4428">
        <w:t xml:space="preserve"> gelişmeler sergilemişlerdir. </w:t>
      </w:r>
      <w:r w:rsidR="00D51079" w:rsidRPr="009B4428">
        <w:t xml:space="preserve">Tarım dışı işsizlik oranı </w:t>
      </w:r>
      <w:r w:rsidR="00460B8B" w:rsidRPr="009B4428">
        <w:t>13 bölgede azalırken, 11</w:t>
      </w:r>
      <w:r w:rsidRPr="009B4428">
        <w:t xml:space="preserve"> bölgede a</w:t>
      </w:r>
      <w:r w:rsidR="00460B8B" w:rsidRPr="009B4428">
        <w:t>rtmış</w:t>
      </w:r>
      <w:r w:rsidRPr="009B4428">
        <w:t xml:space="preserve"> ve 2 bölgede sabit kalmış</w:t>
      </w:r>
      <w:r w:rsidR="009C10F4" w:rsidRPr="009B4428">
        <w:t>,</w:t>
      </w:r>
      <w:r w:rsidRPr="009B4428">
        <w:t xml:space="preserve"> </w:t>
      </w:r>
      <w:r w:rsidR="009C10F4" w:rsidRPr="009B4428">
        <w:t xml:space="preserve">bölgesel </w:t>
      </w:r>
      <w:r w:rsidR="00A7389E" w:rsidRPr="009B4428">
        <w:t>işsizlik</w:t>
      </w:r>
      <w:r w:rsidR="009C10F4" w:rsidRPr="009B4428">
        <w:t xml:space="preserve"> </w:t>
      </w:r>
      <w:r w:rsidR="00A7389E" w:rsidRPr="009B4428">
        <w:t>oranlarının</w:t>
      </w:r>
      <w:r w:rsidR="009C10F4" w:rsidRPr="009B4428">
        <w:t xml:space="preserve"> </w:t>
      </w:r>
      <w:r w:rsidR="00E77D2F" w:rsidRPr="009B4428">
        <w:t>ortalama mutlak sapma</w:t>
      </w:r>
      <w:r w:rsidR="00F15E54" w:rsidRPr="009B4428">
        <w:t xml:space="preserve">sı </w:t>
      </w:r>
      <w:r w:rsidR="009C10F4" w:rsidRPr="009B4428">
        <w:t>da 3,5’ten 3,7’ye yükselerek</w:t>
      </w:r>
      <w:r w:rsidR="00B95903" w:rsidRPr="009B4428">
        <w:t xml:space="preserve"> mevcut devasa ayrışma </w:t>
      </w:r>
      <w:r w:rsidR="009C10F4" w:rsidRPr="009B4428">
        <w:t xml:space="preserve">biraz </w:t>
      </w:r>
      <w:r w:rsidR="00B95903" w:rsidRPr="009B4428">
        <w:t>daha</w:t>
      </w:r>
      <w:r w:rsidR="009C10F4" w:rsidRPr="009B4428">
        <w:t xml:space="preserve"> d</w:t>
      </w:r>
      <w:r w:rsidR="00B95903" w:rsidRPr="009B4428">
        <w:t xml:space="preserve">erinleşmiştir. </w:t>
      </w:r>
      <w:r w:rsidR="00E84D8D" w:rsidRPr="009B4428">
        <w:rPr>
          <w:b/>
        </w:rPr>
        <w:t xml:space="preserve">En düşük </w:t>
      </w:r>
      <w:r w:rsidR="002E4989" w:rsidRPr="009B4428">
        <w:rPr>
          <w:b/>
        </w:rPr>
        <w:t xml:space="preserve">tarım dışı </w:t>
      </w:r>
      <w:r w:rsidR="00E84D8D" w:rsidRPr="009B4428">
        <w:rPr>
          <w:b/>
        </w:rPr>
        <w:t xml:space="preserve">işsizlik oranı (yüzde 6,1) ile en yüksek </w:t>
      </w:r>
      <w:r w:rsidR="002E4989" w:rsidRPr="009B4428">
        <w:rPr>
          <w:b/>
        </w:rPr>
        <w:t xml:space="preserve">tarım dışı </w:t>
      </w:r>
      <w:r w:rsidR="00E84D8D" w:rsidRPr="009B4428">
        <w:rPr>
          <w:b/>
        </w:rPr>
        <w:t>işsizlik oranı (yüzde 30,1) arasında büyük bir uçurum vardır.</w:t>
      </w:r>
      <w:r w:rsidR="0026052D" w:rsidRPr="009B4428">
        <w:rPr>
          <w:b/>
        </w:rPr>
        <w:t xml:space="preserve"> </w:t>
      </w:r>
      <w:r w:rsidR="009C10F4" w:rsidRPr="009B4428">
        <w:t>Bölgesel işgücü piyasalarının</w:t>
      </w:r>
      <w:r w:rsidR="009C10F4" w:rsidRPr="009B4428">
        <w:rPr>
          <w:b/>
        </w:rPr>
        <w:t xml:space="preserve"> </w:t>
      </w:r>
      <w:r w:rsidR="009C10F4" w:rsidRPr="009B4428">
        <w:t>a</w:t>
      </w:r>
      <w:r w:rsidR="0026052D" w:rsidRPr="009B4428">
        <w:t>deta çok farklı ülkeler</w:t>
      </w:r>
      <w:r w:rsidR="009C10F4" w:rsidRPr="009B4428">
        <w:t>i temsil et</w:t>
      </w:r>
      <w:r w:rsidR="004543BF" w:rsidRPr="009B4428">
        <w:t>tikleri izlenimini veren</w:t>
      </w:r>
      <w:r w:rsidR="0026052D" w:rsidRPr="009B4428">
        <w:t xml:space="preserve"> bir durum söz konusudur. Bu ayrışma salt işgücünün bölgeler arası yetersiz hareket</w:t>
      </w:r>
      <w:r w:rsidR="003E7F64" w:rsidRPr="009B4428">
        <w:t>li</w:t>
      </w:r>
      <w:r w:rsidR="0026052D" w:rsidRPr="009B4428">
        <w:t xml:space="preserve">liği ile açıklanamaz.  Ekonomik gelişmişlikteki büyük eşitsizlikler, kadınların işgücüne katılımındaki muazzam farklılıklar ve ekonomik şokların bölgeleri çok farklı etkilemesi gibi etkenlerle </w:t>
      </w:r>
      <w:r w:rsidR="001C5B91" w:rsidRPr="009B4428">
        <w:t>bölgesel</w:t>
      </w:r>
      <w:r w:rsidR="0026052D" w:rsidRPr="009B4428">
        <w:t xml:space="preserve"> işgücü piyasaları</w:t>
      </w:r>
      <w:r w:rsidR="003E7F64" w:rsidRPr="009B4428">
        <w:t>nın</w:t>
      </w:r>
      <w:r w:rsidR="0026052D" w:rsidRPr="009B4428">
        <w:t xml:space="preserve"> özgün yapılara ve dinamiklere sahip</w:t>
      </w:r>
      <w:r w:rsidR="003E7F64" w:rsidRPr="009B4428">
        <w:t xml:space="preserve"> olduğu anlaşılmaktadır</w:t>
      </w:r>
      <w:r w:rsidR="0026052D" w:rsidRPr="009B4428">
        <w:t>.</w:t>
      </w:r>
    </w:p>
    <w:p w14:paraId="47722C51" w14:textId="4245C53D" w:rsidR="00141698" w:rsidRPr="009B4428" w:rsidRDefault="00141698" w:rsidP="00ED3B36">
      <w:pPr>
        <w:jc w:val="both"/>
      </w:pPr>
      <w:r w:rsidRPr="009B4428">
        <w:t xml:space="preserve">Bir yandan tarım dışı işsizlik ve istihdam düzeylerini diğer yandan da işsizlikte meydana gelen zıt yönlü değişimleri dikkate alan tek bir sentetik gösterge mevcut olmadığından bölgeleri en </w:t>
      </w:r>
      <w:r w:rsidR="007A32EA" w:rsidRPr="009B4428">
        <w:t xml:space="preserve">kötüsünden </w:t>
      </w:r>
      <w:r w:rsidR="00990047" w:rsidRPr="009B4428">
        <w:t xml:space="preserve">en </w:t>
      </w:r>
      <w:r w:rsidR="007A32EA" w:rsidRPr="009B4428">
        <w:t xml:space="preserve">iyisine </w:t>
      </w:r>
      <w:r w:rsidR="00990047" w:rsidRPr="009B4428">
        <w:t>kesin olarak</w:t>
      </w:r>
      <w:r w:rsidRPr="009B4428">
        <w:t xml:space="preserve"> sıralamak mümkün değildir. Bununla birlikte bu araştırma notunda yaptığımız gibi belli başlı işgücü piyasası göstergelerini kullanarak en azından </w:t>
      </w:r>
      <w:r w:rsidR="00990047" w:rsidRPr="009B4428">
        <w:t xml:space="preserve">bariz </w:t>
      </w:r>
      <w:r w:rsidR="00C117CD" w:rsidRPr="009B4428">
        <w:t xml:space="preserve">iyileri ve kötüleri </w:t>
      </w:r>
      <w:r w:rsidR="00A7389E" w:rsidRPr="009B4428">
        <w:t>belirlemek</w:t>
      </w:r>
      <w:r w:rsidRPr="009B4428">
        <w:t xml:space="preserve"> mümkün görünüyor.</w:t>
      </w:r>
    </w:p>
    <w:p w14:paraId="71077DCE" w14:textId="54E37986" w:rsidR="00141698" w:rsidRPr="009B4428" w:rsidRDefault="00141698" w:rsidP="00ED3B36">
      <w:pPr>
        <w:jc w:val="both"/>
      </w:pPr>
      <w:r w:rsidRPr="009B4428">
        <w:rPr>
          <w:b/>
        </w:rPr>
        <w:t xml:space="preserve">Tartışmasız en </w:t>
      </w:r>
      <w:r w:rsidR="00C117CD" w:rsidRPr="009B4428">
        <w:rPr>
          <w:b/>
        </w:rPr>
        <w:t xml:space="preserve">kötü durumdaki </w:t>
      </w:r>
      <w:r w:rsidR="00990047" w:rsidRPr="009B4428">
        <w:rPr>
          <w:b/>
        </w:rPr>
        <w:t>bö</w:t>
      </w:r>
      <w:r w:rsidRPr="009B4428">
        <w:rPr>
          <w:b/>
        </w:rPr>
        <w:t xml:space="preserve">lge Mardin-Batman-Şırnak-Siirt bölgesidir. </w:t>
      </w:r>
      <w:r w:rsidRPr="009B4428">
        <w:t xml:space="preserve">Bu bölge 2016’da olduğu gibi 2017’de de yüzde 30,1 ile </w:t>
      </w:r>
      <w:r w:rsidR="00990047" w:rsidRPr="009B4428">
        <w:t xml:space="preserve">uzak ara </w:t>
      </w:r>
      <w:r w:rsidRPr="009B4428">
        <w:t>en yüksek tarım dışı işsizlik oranına sahiptir.</w:t>
      </w:r>
      <w:r w:rsidR="001374B4" w:rsidRPr="009B4428">
        <w:t xml:space="preserve"> Üstelik yüzde 24,8 ile en düşük tarım dışı istihdam oranına sahip bölgedir. </w:t>
      </w:r>
      <w:r w:rsidR="004543BF" w:rsidRPr="009B4428">
        <w:t xml:space="preserve">Bu bölgede her </w:t>
      </w:r>
      <w:r w:rsidR="00A7389E" w:rsidRPr="009B4428">
        <w:t>ne kadar</w:t>
      </w:r>
      <w:r w:rsidR="004543BF" w:rsidRPr="009B4428">
        <w:t xml:space="preserve"> işsizlik oranı değişmemiş olsa da işgücünde ve istihdamda düşüşler gerçekleşmiştir. </w:t>
      </w:r>
      <w:r w:rsidR="004543BF" w:rsidRPr="009B4428">
        <w:rPr>
          <w:b/>
        </w:rPr>
        <w:t>İ</w:t>
      </w:r>
      <w:r w:rsidR="00990047" w:rsidRPr="009B4428">
        <w:rPr>
          <w:b/>
        </w:rPr>
        <w:t xml:space="preserve">kinci sırada da yüzde 19,7’lik </w:t>
      </w:r>
      <w:r w:rsidR="00933F5A" w:rsidRPr="009B4428">
        <w:rPr>
          <w:b/>
        </w:rPr>
        <w:t>t</w:t>
      </w:r>
      <w:r w:rsidR="00246C8D" w:rsidRPr="009B4428">
        <w:rPr>
          <w:b/>
        </w:rPr>
        <w:t xml:space="preserve">arım dışı işsizlik </w:t>
      </w:r>
      <w:r w:rsidR="00990047" w:rsidRPr="009B4428">
        <w:rPr>
          <w:b/>
        </w:rPr>
        <w:t xml:space="preserve">ve yüzde 29,5’luk tarım dışı istihdam oranlarına </w:t>
      </w:r>
      <w:r w:rsidR="00A7389E" w:rsidRPr="009B4428">
        <w:rPr>
          <w:b/>
        </w:rPr>
        <w:t>sahip</w:t>
      </w:r>
      <w:r w:rsidR="00990047" w:rsidRPr="009B4428">
        <w:rPr>
          <w:b/>
        </w:rPr>
        <w:t xml:space="preserve"> olan</w:t>
      </w:r>
      <w:r w:rsidR="00933F5A" w:rsidRPr="009B4428">
        <w:rPr>
          <w:b/>
        </w:rPr>
        <w:t xml:space="preserve"> Van</w:t>
      </w:r>
      <w:r w:rsidR="00990047" w:rsidRPr="009B4428">
        <w:rPr>
          <w:b/>
        </w:rPr>
        <w:t>-</w:t>
      </w:r>
      <w:r w:rsidR="00933F5A" w:rsidRPr="009B4428">
        <w:rPr>
          <w:b/>
        </w:rPr>
        <w:t>Muş</w:t>
      </w:r>
      <w:r w:rsidR="00990047" w:rsidRPr="009B4428">
        <w:rPr>
          <w:b/>
        </w:rPr>
        <w:t>-</w:t>
      </w:r>
      <w:r w:rsidR="00933F5A" w:rsidRPr="009B4428">
        <w:rPr>
          <w:b/>
        </w:rPr>
        <w:t xml:space="preserve">Bitlis bölgesi gelmektedir. </w:t>
      </w:r>
      <w:r w:rsidR="00990047" w:rsidRPr="009B4428">
        <w:t xml:space="preserve">Dahası bu bölge en yüksek işsizlik </w:t>
      </w:r>
      <w:r w:rsidR="004543BF" w:rsidRPr="009B4428">
        <w:t>artışı (5,3 yüzde puan) kaydedi</w:t>
      </w:r>
      <w:r w:rsidR="00990047" w:rsidRPr="009B4428">
        <w:t>len bölgedir.</w:t>
      </w:r>
      <w:r w:rsidR="000358A2" w:rsidRPr="009B4428">
        <w:t xml:space="preserve"> </w:t>
      </w:r>
      <w:r w:rsidR="000358A2" w:rsidRPr="009B4428">
        <w:rPr>
          <w:b/>
        </w:rPr>
        <w:t>Üçüncü sıraya Kayseri-Sivas-Yozgat bölgesi konulabilir.</w:t>
      </w:r>
      <w:r w:rsidR="000358A2" w:rsidRPr="009B4428">
        <w:t xml:space="preserve"> Tarım dışı istihdam oranı ülke ortalam</w:t>
      </w:r>
      <w:r w:rsidR="004543BF" w:rsidRPr="009B4428">
        <w:t>a</w:t>
      </w:r>
      <w:r w:rsidR="000358A2" w:rsidRPr="009B4428">
        <w:t>s</w:t>
      </w:r>
      <w:r w:rsidR="004543BF" w:rsidRPr="009B4428">
        <w:t>ı</w:t>
      </w:r>
      <w:r w:rsidR="000358A2" w:rsidRPr="009B4428">
        <w:t xml:space="preserve">nın altında olan bu bölge 2017’de 3,9 yüzde puan ile ikinci en yüksek işsizlik oranı artışına maruz kalmış ve bu artışla en </w:t>
      </w:r>
      <w:r w:rsidR="002C2DA0" w:rsidRPr="009B4428">
        <w:t xml:space="preserve">kötüler </w:t>
      </w:r>
      <w:r w:rsidR="00015D84" w:rsidRPr="009B4428">
        <w:t>ala</w:t>
      </w:r>
      <w:r w:rsidR="000358A2" w:rsidRPr="009B4428">
        <w:t>n</w:t>
      </w:r>
      <w:r w:rsidR="00015D84" w:rsidRPr="009B4428">
        <w:t>ı</w:t>
      </w:r>
      <w:r w:rsidR="000358A2" w:rsidRPr="009B4428">
        <w:t xml:space="preserve">na geçmiştir.  </w:t>
      </w:r>
      <w:r w:rsidR="00990047" w:rsidRPr="009B4428">
        <w:t xml:space="preserve"> </w:t>
      </w:r>
    </w:p>
    <w:p w14:paraId="040FA72E" w14:textId="0EE40044" w:rsidR="00F8667D" w:rsidRPr="009B4428" w:rsidRDefault="00015D84" w:rsidP="00ED3B36">
      <w:pPr>
        <w:jc w:val="both"/>
      </w:pPr>
      <w:r w:rsidRPr="009B4428">
        <w:rPr>
          <w:b/>
        </w:rPr>
        <w:t>2016’dan 2017’ye değişmeyen e</w:t>
      </w:r>
      <w:r w:rsidR="00195AAD" w:rsidRPr="009B4428">
        <w:rPr>
          <w:b/>
        </w:rPr>
        <w:t xml:space="preserve">n </w:t>
      </w:r>
      <w:r w:rsidR="00B569A2" w:rsidRPr="009B4428">
        <w:rPr>
          <w:b/>
        </w:rPr>
        <w:t>iyi</w:t>
      </w:r>
      <w:r w:rsidR="000358A2" w:rsidRPr="009B4428">
        <w:rPr>
          <w:b/>
        </w:rPr>
        <w:t xml:space="preserve"> </w:t>
      </w:r>
      <w:r w:rsidR="00195AAD" w:rsidRPr="009B4428">
        <w:rPr>
          <w:b/>
        </w:rPr>
        <w:t xml:space="preserve">bölgeler grubunda </w:t>
      </w:r>
      <w:r w:rsidRPr="009B4428">
        <w:rPr>
          <w:b/>
        </w:rPr>
        <w:t>bariz olarak öne çıkan bir bölge belirlemek güç görünmektedir.</w:t>
      </w:r>
      <w:r w:rsidRPr="009B4428">
        <w:t xml:space="preserve"> </w:t>
      </w:r>
      <w:r w:rsidR="000358A2" w:rsidRPr="009B4428">
        <w:t xml:space="preserve">2016’da </w:t>
      </w:r>
      <w:r w:rsidRPr="009B4428">
        <w:t xml:space="preserve">en </w:t>
      </w:r>
      <w:r w:rsidR="00B569A2" w:rsidRPr="009B4428">
        <w:t xml:space="preserve">iyi konumdaki </w:t>
      </w:r>
      <w:r w:rsidRPr="009B4428">
        <w:t>bölge olarak Trakya’yı belirlemiştik.</w:t>
      </w:r>
      <w:r w:rsidR="00195AAD" w:rsidRPr="009B4428">
        <w:t xml:space="preserve"> Bu bölge </w:t>
      </w:r>
      <w:r w:rsidR="00A7389E" w:rsidRPr="009B4428">
        <w:t>yine oldukça</w:t>
      </w:r>
      <w:r w:rsidR="00195AAD" w:rsidRPr="009B4428">
        <w:t xml:space="preserve"> düşük işsizlik oranına (yüzde 9,8) </w:t>
      </w:r>
      <w:r w:rsidRPr="009B4428">
        <w:t xml:space="preserve">sahip olmakla birlikte işsizlik oranı 1 yüzde puan artış </w:t>
      </w:r>
      <w:r w:rsidR="00EA54B7" w:rsidRPr="009B4428">
        <w:t>kaydetmiştir</w:t>
      </w:r>
      <w:r w:rsidRPr="009B4428">
        <w:t xml:space="preserve">. </w:t>
      </w:r>
      <w:r w:rsidR="00AD2F18" w:rsidRPr="009B4428">
        <w:t>Gerçi bu artış güçlü işgücü ve istihdam artışlarının yaşandığı bir bağlamda gerçekleşmiş ve tarım dışı istihdam oranı da yükselerek yüzde 49,5’e çıkmış</w:t>
      </w:r>
      <w:r w:rsidR="008638C9" w:rsidRPr="009B4428">
        <w:t>,</w:t>
      </w:r>
      <w:r w:rsidR="00AD2F18" w:rsidRPr="009B4428">
        <w:t xml:space="preserve"> bu gösterge i</w:t>
      </w:r>
      <w:r w:rsidR="00343CAD" w:rsidRPr="009B4428">
        <w:t>tibariyle</w:t>
      </w:r>
      <w:r w:rsidR="00AD2F18" w:rsidRPr="009B4428">
        <w:t xml:space="preserve"> </w:t>
      </w:r>
      <w:r w:rsidR="008638C9" w:rsidRPr="009B4428">
        <w:t xml:space="preserve">de </w:t>
      </w:r>
      <w:r w:rsidR="00AD2F18" w:rsidRPr="009B4428">
        <w:t xml:space="preserve">birinci sırasını korumuştur. Yine de işsizlik artışının Trakya’nın </w:t>
      </w:r>
      <w:r w:rsidR="00523C1B" w:rsidRPr="009B4428">
        <w:t xml:space="preserve">iyi durumuna </w:t>
      </w:r>
      <w:r w:rsidR="00AD2F18" w:rsidRPr="009B4428">
        <w:t xml:space="preserve">gölge düşürdüğü göz ardı edilemez. </w:t>
      </w:r>
      <w:r w:rsidR="008638C9" w:rsidRPr="009B4428">
        <w:t xml:space="preserve">En </w:t>
      </w:r>
      <w:r w:rsidR="00D309AA" w:rsidRPr="009B4428">
        <w:t xml:space="preserve">iyiler </w:t>
      </w:r>
      <w:r w:rsidR="008638C9" w:rsidRPr="009B4428">
        <w:t>alanında konumlanan d</w:t>
      </w:r>
      <w:r w:rsidR="00AD2F18" w:rsidRPr="009B4428">
        <w:t>iğer 3 bölgede (</w:t>
      </w:r>
      <w:r w:rsidR="00F9337E" w:rsidRPr="009B4428">
        <w:t>Aydın-Denizli-Muğla</w:t>
      </w:r>
      <w:r w:rsidR="00AD2F18" w:rsidRPr="009B4428">
        <w:t>, Bursa-Eskişehir-Bilecik ve Kocaeli-Sakarya-Düzce-Bolu-Yalova) Trakya’da olduğu gibi işsizlik oranları 0,3-0,7 yüzde puan arasında yükselmiş</w:t>
      </w:r>
      <w:r w:rsidR="00F9337E" w:rsidRPr="009B4428">
        <w:t>tir.</w:t>
      </w:r>
      <w:r w:rsidR="00AD2F18" w:rsidRPr="009B4428">
        <w:t xml:space="preserve"> </w:t>
      </w:r>
      <w:r w:rsidR="00F9337E" w:rsidRPr="009B4428">
        <w:t xml:space="preserve">Bu bölgelerde işgücü ve istihdam artmış olsa da bariz bir </w:t>
      </w:r>
      <w:r w:rsidR="00523C1B" w:rsidRPr="009B4428">
        <w:t xml:space="preserve">iyileşmeden </w:t>
      </w:r>
      <w:r w:rsidR="00F9337E" w:rsidRPr="009B4428">
        <w:t>söz etmek güçtür.</w:t>
      </w:r>
      <w:r w:rsidR="00AD2F18" w:rsidRPr="009B4428">
        <w:t xml:space="preserve"> Tek istisna </w:t>
      </w:r>
      <w:r w:rsidR="00A7389E" w:rsidRPr="009B4428">
        <w:t>Ankara’dır</w:t>
      </w:r>
      <w:r w:rsidR="00AD2F18" w:rsidRPr="009B4428">
        <w:t xml:space="preserve">. Bu bölge de </w:t>
      </w:r>
      <w:r w:rsidR="00F9337E" w:rsidRPr="009B4428">
        <w:t xml:space="preserve">işgücü ve istihdam artarken </w:t>
      </w:r>
      <w:r w:rsidR="00AD2F18" w:rsidRPr="009B4428">
        <w:t xml:space="preserve">işsizlik oranı az da olsa 0,1 yüzde puan </w:t>
      </w:r>
      <w:r w:rsidR="00A7389E" w:rsidRPr="009B4428">
        <w:t>azalmıştır</w:t>
      </w:r>
      <w:r w:rsidR="00AD2F18" w:rsidRPr="009B4428">
        <w:t xml:space="preserve">. Bu gelişmeler dikkate alındığında </w:t>
      </w:r>
      <w:r w:rsidR="00AD2F18" w:rsidRPr="009B4428">
        <w:rPr>
          <w:b/>
        </w:rPr>
        <w:t>Trakya ile Ankara</w:t>
      </w:r>
      <w:r w:rsidR="00D2038A" w:rsidRPr="009B4428">
        <w:rPr>
          <w:b/>
        </w:rPr>
        <w:t xml:space="preserve">’nın 2017’nin en </w:t>
      </w:r>
      <w:r w:rsidR="00D309AA" w:rsidRPr="009B4428">
        <w:rPr>
          <w:b/>
        </w:rPr>
        <w:t xml:space="preserve">iyi durumdaki </w:t>
      </w:r>
      <w:r w:rsidR="00D2038A" w:rsidRPr="009B4428">
        <w:rPr>
          <w:b/>
        </w:rPr>
        <w:t>bölgeleri olarak temayüz ettikleri öne sürülebilir.</w:t>
      </w:r>
      <w:r w:rsidR="00D2038A" w:rsidRPr="009B4428">
        <w:t xml:space="preserve"> </w:t>
      </w:r>
      <w:r w:rsidR="00F9337E" w:rsidRPr="009B4428">
        <w:t>Ayrıca bu iki böl</w:t>
      </w:r>
      <w:r w:rsidR="00D309AA" w:rsidRPr="009B4428">
        <w:t>g</w:t>
      </w:r>
      <w:r w:rsidR="00F9337E" w:rsidRPr="009B4428">
        <w:t xml:space="preserve">enin en </w:t>
      </w:r>
      <w:r w:rsidR="00D309AA" w:rsidRPr="009B4428">
        <w:t>iyiler</w:t>
      </w:r>
      <w:r w:rsidR="00F9337E" w:rsidRPr="009B4428">
        <w:t xml:space="preserve"> alanın en sağında yer aldıklarını not edebiliriz (Şekil 2).</w:t>
      </w:r>
    </w:p>
    <w:p w14:paraId="1EBD3782" w14:textId="77777777" w:rsidR="0032462A" w:rsidRPr="009B4428" w:rsidRDefault="0032462A" w:rsidP="00ED3B36">
      <w:pPr>
        <w:jc w:val="both"/>
        <w:rPr>
          <w:b/>
        </w:rPr>
      </w:pPr>
    </w:p>
    <w:p w14:paraId="1B6FDDB3" w14:textId="77777777" w:rsidR="0032462A" w:rsidRPr="009B4428" w:rsidRDefault="0032462A" w:rsidP="00ED3B36">
      <w:pPr>
        <w:jc w:val="both"/>
        <w:rPr>
          <w:b/>
        </w:rPr>
      </w:pPr>
    </w:p>
    <w:p w14:paraId="1AD09A3C" w14:textId="5C073457" w:rsidR="0016353F" w:rsidRPr="009B4428" w:rsidRDefault="0016353F" w:rsidP="00ED3B36">
      <w:pPr>
        <w:jc w:val="both"/>
      </w:pPr>
      <w:r w:rsidRPr="009B4428">
        <w:rPr>
          <w:b/>
        </w:rPr>
        <w:lastRenderedPageBreak/>
        <w:t>Ek Tablo</w:t>
      </w:r>
      <w:r w:rsidR="00D22157" w:rsidRPr="009B4428">
        <w:rPr>
          <w:b/>
        </w:rPr>
        <w:t xml:space="preserve"> 1</w:t>
      </w:r>
      <w:r w:rsidRPr="009B4428">
        <w:rPr>
          <w:b/>
        </w:rPr>
        <w:t xml:space="preserve">: </w:t>
      </w:r>
      <w:r w:rsidR="00040E8E" w:rsidRPr="009B4428">
        <w:rPr>
          <w:b/>
        </w:rPr>
        <w:t>Bölge</w:t>
      </w:r>
      <w:r w:rsidR="00B16BFD" w:rsidRPr="009B4428">
        <w:rPr>
          <w:b/>
        </w:rPr>
        <w:t>l</w:t>
      </w:r>
      <w:r w:rsidR="00040E8E" w:rsidRPr="009B4428">
        <w:rPr>
          <w:b/>
        </w:rPr>
        <w:t>e göre tarım dışı işsizlik ve tarım dışı i</w:t>
      </w:r>
      <w:r w:rsidR="00DB02EF" w:rsidRPr="009B4428">
        <w:rPr>
          <w:b/>
        </w:rPr>
        <w:t>stihdam oranları ve farkları</w:t>
      </w:r>
      <w:r w:rsidR="00013563" w:rsidRPr="009B4428">
        <w:rPr>
          <w:b/>
        </w:rPr>
        <w:t xml:space="preserve"> (2017)</w:t>
      </w:r>
    </w:p>
    <w:tbl>
      <w:tblPr>
        <w:tblpPr w:leftFromText="141" w:rightFromText="141" w:vertAnchor="text" w:tblpY="1"/>
        <w:tblOverlap w:val="neve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5"/>
        <w:gridCol w:w="1060"/>
        <w:gridCol w:w="1311"/>
      </w:tblGrid>
      <w:tr w:rsidR="00CE492F" w:rsidRPr="009B4428" w14:paraId="75AF7E0C" w14:textId="77777777" w:rsidTr="00CE492F">
        <w:trPr>
          <w:trHeight w:val="644"/>
        </w:trPr>
        <w:tc>
          <w:tcPr>
            <w:tcW w:w="6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9B5C7" w14:textId="77777777" w:rsidR="00CE492F" w:rsidRPr="009B4428" w:rsidRDefault="00CE492F"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Bölgeler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F8629" w14:textId="77777777" w:rsidR="00CE492F" w:rsidRPr="009B4428" w:rsidRDefault="00CE492F"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TD işsizlik oranı</w:t>
            </w:r>
          </w:p>
        </w:tc>
        <w:tc>
          <w:tcPr>
            <w:tcW w:w="1311" w:type="dxa"/>
            <w:tcBorders>
              <w:top w:val="single" w:sz="4" w:space="0" w:color="auto"/>
              <w:left w:val="single" w:sz="4" w:space="0" w:color="auto"/>
              <w:bottom w:val="single" w:sz="4" w:space="0" w:color="auto"/>
              <w:right w:val="single" w:sz="4" w:space="0" w:color="auto"/>
            </w:tcBorders>
          </w:tcPr>
          <w:p w14:paraId="114A97D5" w14:textId="77777777" w:rsidR="00CE492F" w:rsidRPr="009B4428" w:rsidRDefault="00CE492F" w:rsidP="00ED3B36">
            <w:pPr>
              <w:spacing w:after="0" w:line="240" w:lineRule="auto"/>
              <w:jc w:val="both"/>
              <w:rPr>
                <w:rFonts w:ascii="Calibri" w:eastAsia="Times New Roman" w:hAnsi="Calibri" w:cs="Times New Roman"/>
                <w:color w:val="000000"/>
              </w:rPr>
            </w:pPr>
            <w:r w:rsidRPr="009B4428">
              <w:rPr>
                <w:rFonts w:ascii="Calibri" w:eastAsia="Times New Roman" w:hAnsi="Calibri" w:cs="Times New Roman"/>
                <w:noProof/>
                <w:color w:val="000000"/>
              </w:rPr>
              <w:drawing>
                <wp:anchor distT="0" distB="0" distL="114300" distR="114300" simplePos="0" relativeHeight="251671040" behindDoc="0" locked="0" layoutInCell="1" allowOverlap="1" wp14:anchorId="48C4C8DA" wp14:editId="405A3A86">
                  <wp:simplePos x="0" y="0"/>
                  <wp:positionH relativeFrom="column">
                    <wp:posOffset>9525</wp:posOffset>
                  </wp:positionH>
                  <wp:positionV relativeFrom="paragraph">
                    <wp:posOffset>28575</wp:posOffset>
                  </wp:positionV>
                  <wp:extent cx="704850" cy="390525"/>
                  <wp:effectExtent l="0" t="0" r="0" b="0"/>
                  <wp:wrapNone/>
                  <wp:docPr id="6" name="Resim 6">
                    <a:extLst xmlns:a="http://schemas.openxmlformats.org/drawingml/2006/main">
                      <a:ext uri="{FF2B5EF4-FFF2-40B4-BE49-F238E27FC236}">
                        <a16:creationId xmlns:a16="http://schemas.microsoft.com/office/drawing/2014/main" id="{725F8196-DDB4-482C-8175-2608DAFA7880}"/>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725F8196-DDB4-482C-8175-2608DAFA7880}"/>
                              </a:ext>
                            </a:extLst>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5B19E6" w:rsidRPr="009B4428" w14:paraId="03B8EF31" w14:textId="77777777" w:rsidTr="00CE492F">
        <w:trPr>
          <w:trHeight w:val="293"/>
        </w:trPr>
        <w:tc>
          <w:tcPr>
            <w:tcW w:w="6165" w:type="dxa"/>
            <w:tcBorders>
              <w:top w:val="single" w:sz="4" w:space="0" w:color="auto"/>
            </w:tcBorders>
            <w:shd w:val="clear" w:color="auto" w:fill="auto"/>
            <w:noWrap/>
            <w:vAlign w:val="bottom"/>
          </w:tcPr>
          <w:p w14:paraId="10FF4A3E" w14:textId="538AA749" w:rsidR="005B19E6" w:rsidRPr="009B4428" w:rsidRDefault="005B19E6"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Türkiye</w:t>
            </w:r>
          </w:p>
        </w:tc>
        <w:tc>
          <w:tcPr>
            <w:tcW w:w="1060" w:type="dxa"/>
            <w:tcBorders>
              <w:top w:val="single" w:sz="4" w:space="0" w:color="auto"/>
            </w:tcBorders>
            <w:shd w:val="clear" w:color="auto" w:fill="auto"/>
            <w:noWrap/>
            <w:vAlign w:val="bottom"/>
          </w:tcPr>
          <w:p w14:paraId="2CCFE3E6" w14:textId="37D830C8" w:rsidR="005B19E6" w:rsidRPr="009B4428" w:rsidRDefault="00973DD3"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13,0</w:t>
            </w:r>
          </w:p>
        </w:tc>
        <w:tc>
          <w:tcPr>
            <w:tcW w:w="1311" w:type="dxa"/>
            <w:vAlign w:val="bottom"/>
          </w:tcPr>
          <w:p w14:paraId="3E66AAF3" w14:textId="1BA04DC6" w:rsidR="005B19E6" w:rsidRPr="009B4428" w:rsidRDefault="00973DD3"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41,8</w:t>
            </w:r>
          </w:p>
        </w:tc>
      </w:tr>
      <w:tr w:rsidR="00CE492F" w:rsidRPr="009B4428" w14:paraId="4F39D7EF" w14:textId="77777777" w:rsidTr="00CE492F">
        <w:trPr>
          <w:trHeight w:val="293"/>
        </w:trPr>
        <w:tc>
          <w:tcPr>
            <w:tcW w:w="6165" w:type="dxa"/>
            <w:tcBorders>
              <w:top w:val="single" w:sz="4" w:space="0" w:color="auto"/>
            </w:tcBorders>
            <w:shd w:val="clear" w:color="auto" w:fill="auto"/>
            <w:noWrap/>
            <w:vAlign w:val="bottom"/>
            <w:hideMark/>
          </w:tcPr>
          <w:p w14:paraId="688390FC"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TR21 (Tekirdağ, Edirne, Kırklareli)</w:t>
            </w:r>
          </w:p>
        </w:tc>
        <w:tc>
          <w:tcPr>
            <w:tcW w:w="1060" w:type="dxa"/>
            <w:tcBorders>
              <w:top w:val="single" w:sz="4" w:space="0" w:color="auto"/>
            </w:tcBorders>
            <w:shd w:val="clear" w:color="auto" w:fill="auto"/>
            <w:noWrap/>
            <w:vAlign w:val="bottom"/>
            <w:hideMark/>
          </w:tcPr>
          <w:p w14:paraId="1A5E12DA"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9,8</w:t>
            </w:r>
          </w:p>
        </w:tc>
        <w:tc>
          <w:tcPr>
            <w:tcW w:w="1311" w:type="dxa"/>
            <w:vAlign w:val="bottom"/>
          </w:tcPr>
          <w:p w14:paraId="2605FFFA"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49,5</w:t>
            </w:r>
          </w:p>
        </w:tc>
      </w:tr>
      <w:tr w:rsidR="00CE492F" w:rsidRPr="009B4428" w14:paraId="2CD8D404" w14:textId="77777777" w:rsidTr="00CE492F">
        <w:trPr>
          <w:trHeight w:val="293"/>
        </w:trPr>
        <w:tc>
          <w:tcPr>
            <w:tcW w:w="6165" w:type="dxa"/>
            <w:shd w:val="clear" w:color="auto" w:fill="auto"/>
            <w:noWrap/>
            <w:vAlign w:val="bottom"/>
            <w:hideMark/>
          </w:tcPr>
          <w:p w14:paraId="791DDBEA"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TR10 (İstanbul)</w:t>
            </w:r>
          </w:p>
        </w:tc>
        <w:tc>
          <w:tcPr>
            <w:tcW w:w="1060" w:type="dxa"/>
            <w:shd w:val="clear" w:color="auto" w:fill="auto"/>
            <w:noWrap/>
            <w:vAlign w:val="bottom"/>
            <w:hideMark/>
          </w:tcPr>
          <w:p w14:paraId="098A9606"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14,0</w:t>
            </w:r>
          </w:p>
        </w:tc>
        <w:tc>
          <w:tcPr>
            <w:tcW w:w="1311" w:type="dxa"/>
            <w:vAlign w:val="bottom"/>
          </w:tcPr>
          <w:p w14:paraId="24AA1AF4"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49,1</w:t>
            </w:r>
          </w:p>
        </w:tc>
      </w:tr>
      <w:tr w:rsidR="00CE492F" w:rsidRPr="009B4428" w14:paraId="65F6BB6B" w14:textId="77777777" w:rsidTr="00CE492F">
        <w:trPr>
          <w:trHeight w:val="293"/>
        </w:trPr>
        <w:tc>
          <w:tcPr>
            <w:tcW w:w="6165" w:type="dxa"/>
            <w:shd w:val="clear" w:color="auto" w:fill="auto"/>
            <w:noWrap/>
            <w:vAlign w:val="bottom"/>
            <w:hideMark/>
          </w:tcPr>
          <w:p w14:paraId="154A5AF9"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TR51 (Ankara)</w:t>
            </w:r>
          </w:p>
        </w:tc>
        <w:tc>
          <w:tcPr>
            <w:tcW w:w="1060" w:type="dxa"/>
            <w:shd w:val="clear" w:color="auto" w:fill="auto"/>
            <w:noWrap/>
            <w:vAlign w:val="bottom"/>
            <w:hideMark/>
          </w:tcPr>
          <w:p w14:paraId="6090BACD"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11,6</w:t>
            </w:r>
          </w:p>
        </w:tc>
        <w:tc>
          <w:tcPr>
            <w:tcW w:w="1311" w:type="dxa"/>
            <w:vAlign w:val="bottom"/>
          </w:tcPr>
          <w:p w14:paraId="2B5B3B17"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46,7</w:t>
            </w:r>
          </w:p>
        </w:tc>
      </w:tr>
      <w:tr w:rsidR="00CE492F" w:rsidRPr="009B4428" w14:paraId="6736C6B3" w14:textId="77777777" w:rsidTr="00CE492F">
        <w:trPr>
          <w:trHeight w:val="293"/>
        </w:trPr>
        <w:tc>
          <w:tcPr>
            <w:tcW w:w="6165" w:type="dxa"/>
            <w:shd w:val="clear" w:color="auto" w:fill="auto"/>
            <w:noWrap/>
            <w:vAlign w:val="bottom"/>
            <w:hideMark/>
          </w:tcPr>
          <w:p w14:paraId="4580DE73"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TR31 (İzmir)</w:t>
            </w:r>
          </w:p>
        </w:tc>
        <w:tc>
          <w:tcPr>
            <w:tcW w:w="1060" w:type="dxa"/>
            <w:shd w:val="clear" w:color="auto" w:fill="auto"/>
            <w:noWrap/>
            <w:vAlign w:val="bottom"/>
            <w:hideMark/>
          </w:tcPr>
          <w:p w14:paraId="7BE2AECD"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15,1</w:t>
            </w:r>
          </w:p>
        </w:tc>
        <w:tc>
          <w:tcPr>
            <w:tcW w:w="1311" w:type="dxa"/>
            <w:vAlign w:val="bottom"/>
          </w:tcPr>
          <w:p w14:paraId="4258E42F"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44,9</w:t>
            </w:r>
          </w:p>
        </w:tc>
      </w:tr>
      <w:tr w:rsidR="00CE492F" w:rsidRPr="009B4428" w14:paraId="2E4237A2" w14:textId="77777777" w:rsidTr="00CE492F">
        <w:trPr>
          <w:trHeight w:val="293"/>
        </w:trPr>
        <w:tc>
          <w:tcPr>
            <w:tcW w:w="6165" w:type="dxa"/>
            <w:shd w:val="clear" w:color="auto" w:fill="auto"/>
            <w:noWrap/>
            <w:vAlign w:val="bottom"/>
            <w:hideMark/>
          </w:tcPr>
          <w:p w14:paraId="3B71A2E2"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TR42 (Kocaeli, Sakarya, Düzce, Bolu, Yalova)</w:t>
            </w:r>
          </w:p>
        </w:tc>
        <w:tc>
          <w:tcPr>
            <w:tcW w:w="1060" w:type="dxa"/>
            <w:shd w:val="clear" w:color="auto" w:fill="auto"/>
            <w:noWrap/>
            <w:vAlign w:val="bottom"/>
            <w:hideMark/>
          </w:tcPr>
          <w:p w14:paraId="11829A7C"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12,4</w:t>
            </w:r>
          </w:p>
        </w:tc>
        <w:tc>
          <w:tcPr>
            <w:tcW w:w="1311" w:type="dxa"/>
            <w:vAlign w:val="bottom"/>
          </w:tcPr>
          <w:p w14:paraId="5A6D4D7A"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44,8</w:t>
            </w:r>
          </w:p>
        </w:tc>
      </w:tr>
      <w:tr w:rsidR="00CE492F" w:rsidRPr="009B4428" w14:paraId="2599AA64" w14:textId="77777777" w:rsidTr="00CE492F">
        <w:trPr>
          <w:trHeight w:val="293"/>
        </w:trPr>
        <w:tc>
          <w:tcPr>
            <w:tcW w:w="6165" w:type="dxa"/>
            <w:shd w:val="clear" w:color="auto" w:fill="auto"/>
            <w:noWrap/>
            <w:vAlign w:val="bottom"/>
            <w:hideMark/>
          </w:tcPr>
          <w:p w14:paraId="3D5D146C"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TR41 (Bursa, Eskişehir, Bilecik)</w:t>
            </w:r>
          </w:p>
        </w:tc>
        <w:tc>
          <w:tcPr>
            <w:tcW w:w="1060" w:type="dxa"/>
            <w:shd w:val="clear" w:color="auto" w:fill="auto"/>
            <w:noWrap/>
            <w:vAlign w:val="bottom"/>
            <w:hideMark/>
          </w:tcPr>
          <w:p w14:paraId="36E55385"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10,6</w:t>
            </w:r>
          </w:p>
        </w:tc>
        <w:tc>
          <w:tcPr>
            <w:tcW w:w="1311" w:type="dxa"/>
            <w:vAlign w:val="bottom"/>
          </w:tcPr>
          <w:p w14:paraId="16C1D874"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43,9</w:t>
            </w:r>
          </w:p>
        </w:tc>
      </w:tr>
      <w:tr w:rsidR="00CE492F" w:rsidRPr="009B4428" w14:paraId="5EAE8C62" w14:textId="77777777" w:rsidTr="00CE492F">
        <w:trPr>
          <w:trHeight w:val="293"/>
        </w:trPr>
        <w:tc>
          <w:tcPr>
            <w:tcW w:w="6165" w:type="dxa"/>
            <w:shd w:val="clear" w:color="auto" w:fill="auto"/>
            <w:noWrap/>
            <w:vAlign w:val="bottom"/>
            <w:hideMark/>
          </w:tcPr>
          <w:p w14:paraId="132A866A"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TR32 (Aydın, Denizli, Muğla)</w:t>
            </w:r>
          </w:p>
        </w:tc>
        <w:tc>
          <w:tcPr>
            <w:tcW w:w="1060" w:type="dxa"/>
            <w:shd w:val="clear" w:color="auto" w:fill="auto"/>
            <w:noWrap/>
            <w:vAlign w:val="bottom"/>
            <w:hideMark/>
          </w:tcPr>
          <w:p w14:paraId="617339F1"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9,2</w:t>
            </w:r>
          </w:p>
        </w:tc>
        <w:tc>
          <w:tcPr>
            <w:tcW w:w="1311" w:type="dxa"/>
            <w:vAlign w:val="bottom"/>
          </w:tcPr>
          <w:p w14:paraId="1C82BD8D"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43,8</w:t>
            </w:r>
          </w:p>
        </w:tc>
      </w:tr>
      <w:tr w:rsidR="00CE492F" w:rsidRPr="009B4428" w14:paraId="0C60D729" w14:textId="77777777" w:rsidTr="00CE492F">
        <w:trPr>
          <w:trHeight w:val="293"/>
        </w:trPr>
        <w:tc>
          <w:tcPr>
            <w:tcW w:w="6165" w:type="dxa"/>
            <w:shd w:val="clear" w:color="auto" w:fill="auto"/>
            <w:noWrap/>
            <w:vAlign w:val="bottom"/>
            <w:hideMark/>
          </w:tcPr>
          <w:p w14:paraId="694C7459"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TR61 (Antalya, Isparta, Burdur)</w:t>
            </w:r>
          </w:p>
        </w:tc>
        <w:tc>
          <w:tcPr>
            <w:tcW w:w="1060" w:type="dxa"/>
            <w:shd w:val="clear" w:color="auto" w:fill="auto"/>
            <w:noWrap/>
            <w:vAlign w:val="bottom"/>
            <w:hideMark/>
          </w:tcPr>
          <w:p w14:paraId="351877FD"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14,4</w:t>
            </w:r>
          </w:p>
        </w:tc>
        <w:tc>
          <w:tcPr>
            <w:tcW w:w="1311" w:type="dxa"/>
            <w:vAlign w:val="bottom"/>
          </w:tcPr>
          <w:p w14:paraId="06BFEFD8"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43,7</w:t>
            </w:r>
          </w:p>
        </w:tc>
      </w:tr>
      <w:tr w:rsidR="00CE492F" w:rsidRPr="009B4428" w14:paraId="23EFC88B" w14:textId="77777777" w:rsidTr="00CE492F">
        <w:trPr>
          <w:trHeight w:val="293"/>
        </w:trPr>
        <w:tc>
          <w:tcPr>
            <w:tcW w:w="6165" w:type="dxa"/>
            <w:shd w:val="clear" w:color="auto" w:fill="auto"/>
            <w:noWrap/>
            <w:vAlign w:val="bottom"/>
            <w:hideMark/>
          </w:tcPr>
          <w:p w14:paraId="6E73F426"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TR33 (Manisa, Afyon, Kütahya, Uşak)</w:t>
            </w:r>
          </w:p>
        </w:tc>
        <w:tc>
          <w:tcPr>
            <w:tcW w:w="1060" w:type="dxa"/>
            <w:shd w:val="clear" w:color="auto" w:fill="auto"/>
            <w:noWrap/>
            <w:vAlign w:val="bottom"/>
            <w:hideMark/>
          </w:tcPr>
          <w:p w14:paraId="716A37A9"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8,6</w:t>
            </w:r>
          </w:p>
        </w:tc>
        <w:tc>
          <w:tcPr>
            <w:tcW w:w="1311" w:type="dxa"/>
            <w:vAlign w:val="bottom"/>
          </w:tcPr>
          <w:p w14:paraId="12E630EE"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40,0</w:t>
            </w:r>
          </w:p>
        </w:tc>
      </w:tr>
      <w:tr w:rsidR="00CE492F" w:rsidRPr="009B4428" w14:paraId="4BBA6D11" w14:textId="77777777" w:rsidTr="00CE492F">
        <w:trPr>
          <w:trHeight w:val="293"/>
        </w:trPr>
        <w:tc>
          <w:tcPr>
            <w:tcW w:w="6165" w:type="dxa"/>
            <w:shd w:val="clear" w:color="auto" w:fill="auto"/>
            <w:noWrap/>
            <w:vAlign w:val="bottom"/>
            <w:hideMark/>
          </w:tcPr>
          <w:p w14:paraId="40ED4B2C"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TR52 (Konya, Karaman)</w:t>
            </w:r>
          </w:p>
        </w:tc>
        <w:tc>
          <w:tcPr>
            <w:tcW w:w="1060" w:type="dxa"/>
            <w:shd w:val="clear" w:color="auto" w:fill="auto"/>
            <w:noWrap/>
            <w:vAlign w:val="bottom"/>
            <w:hideMark/>
          </w:tcPr>
          <w:p w14:paraId="6A69A62E"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7,8</w:t>
            </w:r>
          </w:p>
        </w:tc>
        <w:tc>
          <w:tcPr>
            <w:tcW w:w="1311" w:type="dxa"/>
            <w:vAlign w:val="bottom"/>
          </w:tcPr>
          <w:p w14:paraId="721932B0"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39,8</w:t>
            </w:r>
          </w:p>
        </w:tc>
      </w:tr>
      <w:tr w:rsidR="00CE492F" w:rsidRPr="009B4428" w14:paraId="2F39771F" w14:textId="77777777" w:rsidTr="00CE492F">
        <w:trPr>
          <w:trHeight w:val="293"/>
        </w:trPr>
        <w:tc>
          <w:tcPr>
            <w:tcW w:w="6165" w:type="dxa"/>
            <w:shd w:val="clear" w:color="auto" w:fill="auto"/>
            <w:noWrap/>
            <w:vAlign w:val="bottom"/>
            <w:hideMark/>
          </w:tcPr>
          <w:p w14:paraId="49F70B01"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TR62 (Adana, Mersin)</w:t>
            </w:r>
          </w:p>
        </w:tc>
        <w:tc>
          <w:tcPr>
            <w:tcW w:w="1060" w:type="dxa"/>
            <w:shd w:val="clear" w:color="auto" w:fill="auto"/>
            <w:noWrap/>
            <w:vAlign w:val="bottom"/>
            <w:hideMark/>
          </w:tcPr>
          <w:p w14:paraId="256DF96F"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12,8</w:t>
            </w:r>
          </w:p>
        </w:tc>
        <w:tc>
          <w:tcPr>
            <w:tcW w:w="1311" w:type="dxa"/>
            <w:vAlign w:val="bottom"/>
          </w:tcPr>
          <w:p w14:paraId="0706E986"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38,9</w:t>
            </w:r>
          </w:p>
        </w:tc>
      </w:tr>
      <w:tr w:rsidR="00CE492F" w:rsidRPr="009B4428" w14:paraId="33B1686E" w14:textId="77777777" w:rsidTr="00CE492F">
        <w:trPr>
          <w:trHeight w:val="293"/>
        </w:trPr>
        <w:tc>
          <w:tcPr>
            <w:tcW w:w="6165" w:type="dxa"/>
            <w:shd w:val="clear" w:color="auto" w:fill="auto"/>
            <w:noWrap/>
            <w:vAlign w:val="bottom"/>
            <w:hideMark/>
          </w:tcPr>
          <w:p w14:paraId="4A9BB801"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TR82 (Kastamonu, Çankırı, Sinop)</w:t>
            </w:r>
          </w:p>
        </w:tc>
        <w:tc>
          <w:tcPr>
            <w:tcW w:w="1060" w:type="dxa"/>
            <w:shd w:val="clear" w:color="auto" w:fill="auto"/>
            <w:noWrap/>
            <w:vAlign w:val="bottom"/>
            <w:hideMark/>
          </w:tcPr>
          <w:p w14:paraId="52EECCBD"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8,2</w:t>
            </w:r>
          </w:p>
        </w:tc>
        <w:tc>
          <w:tcPr>
            <w:tcW w:w="1311" w:type="dxa"/>
            <w:vAlign w:val="bottom"/>
          </w:tcPr>
          <w:p w14:paraId="2E31485A"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38,5</w:t>
            </w:r>
          </w:p>
        </w:tc>
      </w:tr>
      <w:tr w:rsidR="00CE492F" w:rsidRPr="009B4428" w14:paraId="086D8DC5" w14:textId="77777777" w:rsidTr="00CE492F">
        <w:trPr>
          <w:trHeight w:val="293"/>
        </w:trPr>
        <w:tc>
          <w:tcPr>
            <w:tcW w:w="6165" w:type="dxa"/>
            <w:shd w:val="clear" w:color="auto" w:fill="auto"/>
            <w:noWrap/>
            <w:vAlign w:val="bottom"/>
            <w:hideMark/>
          </w:tcPr>
          <w:p w14:paraId="38002598"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TR90 (Trabzon, Ordu, Giresun, Rize, Artvin, Gümüşhane)</w:t>
            </w:r>
          </w:p>
        </w:tc>
        <w:tc>
          <w:tcPr>
            <w:tcW w:w="1060" w:type="dxa"/>
            <w:shd w:val="clear" w:color="auto" w:fill="auto"/>
            <w:noWrap/>
            <w:vAlign w:val="bottom"/>
            <w:hideMark/>
          </w:tcPr>
          <w:p w14:paraId="78AF05B1"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6,1</w:t>
            </w:r>
          </w:p>
        </w:tc>
        <w:tc>
          <w:tcPr>
            <w:tcW w:w="1311" w:type="dxa"/>
            <w:vAlign w:val="bottom"/>
          </w:tcPr>
          <w:p w14:paraId="6D7A5075"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38,3</w:t>
            </w:r>
          </w:p>
        </w:tc>
      </w:tr>
      <w:tr w:rsidR="00CE492F" w:rsidRPr="009B4428" w14:paraId="3EF049DF" w14:textId="77777777" w:rsidTr="00CE492F">
        <w:trPr>
          <w:trHeight w:val="293"/>
        </w:trPr>
        <w:tc>
          <w:tcPr>
            <w:tcW w:w="6165" w:type="dxa"/>
            <w:shd w:val="clear" w:color="auto" w:fill="auto"/>
            <w:noWrap/>
            <w:vAlign w:val="bottom"/>
            <w:hideMark/>
          </w:tcPr>
          <w:p w14:paraId="6DE47C61"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TR22 (Balıkesir, Çanakkale)</w:t>
            </w:r>
          </w:p>
        </w:tc>
        <w:tc>
          <w:tcPr>
            <w:tcW w:w="1060" w:type="dxa"/>
            <w:shd w:val="clear" w:color="auto" w:fill="auto"/>
            <w:noWrap/>
            <w:vAlign w:val="bottom"/>
            <w:hideMark/>
          </w:tcPr>
          <w:p w14:paraId="71848FD1"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8,3</w:t>
            </w:r>
          </w:p>
        </w:tc>
        <w:tc>
          <w:tcPr>
            <w:tcW w:w="1311" w:type="dxa"/>
            <w:vAlign w:val="bottom"/>
          </w:tcPr>
          <w:p w14:paraId="058E4B6D"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37,8</w:t>
            </w:r>
          </w:p>
        </w:tc>
      </w:tr>
      <w:tr w:rsidR="00CE492F" w:rsidRPr="009B4428" w14:paraId="2272FC11" w14:textId="77777777" w:rsidTr="00CE492F">
        <w:trPr>
          <w:trHeight w:val="293"/>
        </w:trPr>
        <w:tc>
          <w:tcPr>
            <w:tcW w:w="6165" w:type="dxa"/>
            <w:shd w:val="clear" w:color="auto" w:fill="auto"/>
            <w:noWrap/>
            <w:vAlign w:val="bottom"/>
            <w:hideMark/>
          </w:tcPr>
          <w:p w14:paraId="234ECF79"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 xml:space="preserve">TRB1 (Malatya, </w:t>
            </w:r>
            <w:r w:rsidR="00357679" w:rsidRPr="009B4428">
              <w:rPr>
                <w:rFonts w:ascii="Calibri" w:eastAsia="Times New Roman" w:hAnsi="Calibri" w:cs="Times New Roman"/>
              </w:rPr>
              <w:t>Elâzığ</w:t>
            </w:r>
            <w:r w:rsidRPr="009B4428">
              <w:rPr>
                <w:rFonts w:ascii="Calibri" w:eastAsia="Times New Roman" w:hAnsi="Calibri" w:cs="Times New Roman"/>
              </w:rPr>
              <w:t>, Bingöl, Tunceli)</w:t>
            </w:r>
          </w:p>
        </w:tc>
        <w:tc>
          <w:tcPr>
            <w:tcW w:w="1060" w:type="dxa"/>
            <w:shd w:val="clear" w:color="auto" w:fill="auto"/>
            <w:noWrap/>
            <w:vAlign w:val="bottom"/>
            <w:hideMark/>
          </w:tcPr>
          <w:p w14:paraId="217A182B"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10,2</w:t>
            </w:r>
          </w:p>
        </w:tc>
        <w:tc>
          <w:tcPr>
            <w:tcW w:w="1311" w:type="dxa"/>
            <w:vAlign w:val="bottom"/>
          </w:tcPr>
          <w:p w14:paraId="63FE00D6"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37,7</w:t>
            </w:r>
          </w:p>
        </w:tc>
      </w:tr>
      <w:tr w:rsidR="00CE492F" w:rsidRPr="009B4428" w14:paraId="6448AB85" w14:textId="77777777" w:rsidTr="00CE492F">
        <w:trPr>
          <w:trHeight w:val="293"/>
        </w:trPr>
        <w:tc>
          <w:tcPr>
            <w:tcW w:w="6165" w:type="dxa"/>
            <w:shd w:val="clear" w:color="auto" w:fill="auto"/>
            <w:noWrap/>
            <w:vAlign w:val="bottom"/>
            <w:hideMark/>
          </w:tcPr>
          <w:p w14:paraId="303CE85A"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TR81 (Zonguldak, Karabük, Bartın)</w:t>
            </w:r>
          </w:p>
        </w:tc>
        <w:tc>
          <w:tcPr>
            <w:tcW w:w="1060" w:type="dxa"/>
            <w:shd w:val="clear" w:color="auto" w:fill="auto"/>
            <w:noWrap/>
            <w:vAlign w:val="bottom"/>
            <w:hideMark/>
          </w:tcPr>
          <w:p w14:paraId="2BAA85CF"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10,3</w:t>
            </w:r>
          </w:p>
        </w:tc>
        <w:tc>
          <w:tcPr>
            <w:tcW w:w="1311" w:type="dxa"/>
            <w:vAlign w:val="bottom"/>
          </w:tcPr>
          <w:p w14:paraId="47DC2A1E"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37,1</w:t>
            </w:r>
          </w:p>
        </w:tc>
      </w:tr>
      <w:tr w:rsidR="00CE492F" w:rsidRPr="009B4428" w14:paraId="70B920A7" w14:textId="77777777" w:rsidTr="00CE492F">
        <w:trPr>
          <w:trHeight w:val="293"/>
        </w:trPr>
        <w:tc>
          <w:tcPr>
            <w:tcW w:w="6165" w:type="dxa"/>
            <w:shd w:val="clear" w:color="auto" w:fill="auto"/>
            <w:noWrap/>
            <w:vAlign w:val="bottom"/>
            <w:hideMark/>
          </w:tcPr>
          <w:p w14:paraId="52E8F95D"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 xml:space="preserve">TR71 (Kırıkkale, Aksaray, Niğde, Nevşehir, </w:t>
            </w:r>
            <w:r w:rsidR="00357679" w:rsidRPr="009B4428">
              <w:rPr>
                <w:rFonts w:ascii="Calibri" w:eastAsia="Times New Roman" w:hAnsi="Calibri" w:cs="Times New Roman"/>
              </w:rPr>
              <w:t>Kırşehir)</w:t>
            </w:r>
          </w:p>
        </w:tc>
        <w:tc>
          <w:tcPr>
            <w:tcW w:w="1060" w:type="dxa"/>
            <w:shd w:val="clear" w:color="auto" w:fill="auto"/>
            <w:noWrap/>
            <w:vAlign w:val="bottom"/>
            <w:hideMark/>
          </w:tcPr>
          <w:p w14:paraId="4EB33BC7"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15,0</w:t>
            </w:r>
          </w:p>
        </w:tc>
        <w:tc>
          <w:tcPr>
            <w:tcW w:w="1311" w:type="dxa"/>
            <w:vAlign w:val="bottom"/>
          </w:tcPr>
          <w:p w14:paraId="4D0916B6"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36,5</w:t>
            </w:r>
          </w:p>
        </w:tc>
      </w:tr>
      <w:tr w:rsidR="00CE492F" w:rsidRPr="009B4428" w14:paraId="1ECE73C9" w14:textId="77777777" w:rsidTr="00CE492F">
        <w:trPr>
          <w:trHeight w:val="293"/>
        </w:trPr>
        <w:tc>
          <w:tcPr>
            <w:tcW w:w="6165" w:type="dxa"/>
            <w:shd w:val="clear" w:color="auto" w:fill="auto"/>
            <w:noWrap/>
            <w:vAlign w:val="bottom"/>
            <w:hideMark/>
          </w:tcPr>
          <w:p w14:paraId="09268D06"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TR72 (Kayseri, Sivas, Yozgat)</w:t>
            </w:r>
          </w:p>
        </w:tc>
        <w:tc>
          <w:tcPr>
            <w:tcW w:w="1060" w:type="dxa"/>
            <w:shd w:val="clear" w:color="auto" w:fill="auto"/>
            <w:noWrap/>
            <w:vAlign w:val="bottom"/>
            <w:hideMark/>
          </w:tcPr>
          <w:p w14:paraId="26FCD774"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15,3</w:t>
            </w:r>
          </w:p>
        </w:tc>
        <w:tc>
          <w:tcPr>
            <w:tcW w:w="1311" w:type="dxa"/>
            <w:vAlign w:val="bottom"/>
          </w:tcPr>
          <w:p w14:paraId="4CE2406D"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36,5</w:t>
            </w:r>
          </w:p>
        </w:tc>
      </w:tr>
      <w:tr w:rsidR="00CE492F" w:rsidRPr="009B4428" w14:paraId="7C270468" w14:textId="77777777" w:rsidTr="00CE492F">
        <w:trPr>
          <w:trHeight w:val="293"/>
        </w:trPr>
        <w:tc>
          <w:tcPr>
            <w:tcW w:w="6165" w:type="dxa"/>
            <w:shd w:val="clear" w:color="auto" w:fill="auto"/>
            <w:noWrap/>
            <w:vAlign w:val="bottom"/>
            <w:hideMark/>
          </w:tcPr>
          <w:p w14:paraId="713CA5DB"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TRC1 (Gaziantep, Adıyaman, Kilis)</w:t>
            </w:r>
          </w:p>
        </w:tc>
        <w:tc>
          <w:tcPr>
            <w:tcW w:w="1060" w:type="dxa"/>
            <w:shd w:val="clear" w:color="auto" w:fill="auto"/>
            <w:noWrap/>
            <w:vAlign w:val="bottom"/>
            <w:hideMark/>
          </w:tcPr>
          <w:p w14:paraId="3EB3B978"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16,5</w:t>
            </w:r>
          </w:p>
        </w:tc>
        <w:tc>
          <w:tcPr>
            <w:tcW w:w="1311" w:type="dxa"/>
            <w:vAlign w:val="bottom"/>
          </w:tcPr>
          <w:p w14:paraId="0FDF14A0"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36,5</w:t>
            </w:r>
          </w:p>
        </w:tc>
      </w:tr>
      <w:tr w:rsidR="00CE492F" w:rsidRPr="009B4428" w14:paraId="0590F6E2" w14:textId="77777777" w:rsidTr="00CE492F">
        <w:trPr>
          <w:trHeight w:val="293"/>
        </w:trPr>
        <w:tc>
          <w:tcPr>
            <w:tcW w:w="6165" w:type="dxa"/>
            <w:shd w:val="clear" w:color="auto" w:fill="auto"/>
            <w:noWrap/>
            <w:vAlign w:val="bottom"/>
            <w:hideMark/>
          </w:tcPr>
          <w:p w14:paraId="7FE0F227"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TR83 (Samsun, Tokat, Çorum, Amasya)</w:t>
            </w:r>
          </w:p>
        </w:tc>
        <w:tc>
          <w:tcPr>
            <w:tcW w:w="1060" w:type="dxa"/>
            <w:shd w:val="clear" w:color="auto" w:fill="auto"/>
            <w:noWrap/>
            <w:vAlign w:val="bottom"/>
            <w:hideMark/>
          </w:tcPr>
          <w:p w14:paraId="73B6C36B"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10,6</w:t>
            </w:r>
          </w:p>
        </w:tc>
        <w:tc>
          <w:tcPr>
            <w:tcW w:w="1311" w:type="dxa"/>
            <w:vAlign w:val="bottom"/>
          </w:tcPr>
          <w:p w14:paraId="4573C673"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36,4</w:t>
            </w:r>
          </w:p>
        </w:tc>
      </w:tr>
      <w:tr w:rsidR="00CE492F" w:rsidRPr="009B4428" w14:paraId="301DCFF6" w14:textId="77777777" w:rsidTr="00CE492F">
        <w:trPr>
          <w:trHeight w:val="293"/>
        </w:trPr>
        <w:tc>
          <w:tcPr>
            <w:tcW w:w="6165" w:type="dxa"/>
            <w:shd w:val="clear" w:color="auto" w:fill="auto"/>
            <w:noWrap/>
            <w:vAlign w:val="bottom"/>
            <w:hideMark/>
          </w:tcPr>
          <w:p w14:paraId="255BEC0F"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TR63 (Hatay, Kahramanmaraş, Osmaniye)</w:t>
            </w:r>
          </w:p>
        </w:tc>
        <w:tc>
          <w:tcPr>
            <w:tcW w:w="1060" w:type="dxa"/>
            <w:shd w:val="clear" w:color="auto" w:fill="auto"/>
            <w:noWrap/>
            <w:vAlign w:val="bottom"/>
            <w:hideMark/>
          </w:tcPr>
          <w:p w14:paraId="527BB884"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14,0</w:t>
            </w:r>
          </w:p>
        </w:tc>
        <w:tc>
          <w:tcPr>
            <w:tcW w:w="1311" w:type="dxa"/>
            <w:vAlign w:val="bottom"/>
          </w:tcPr>
          <w:p w14:paraId="6F627B37"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36,0</w:t>
            </w:r>
          </w:p>
        </w:tc>
      </w:tr>
      <w:tr w:rsidR="00CE492F" w:rsidRPr="009B4428" w14:paraId="02D5285F" w14:textId="77777777" w:rsidTr="00CE492F">
        <w:trPr>
          <w:trHeight w:val="293"/>
        </w:trPr>
        <w:tc>
          <w:tcPr>
            <w:tcW w:w="6165" w:type="dxa"/>
            <w:shd w:val="clear" w:color="auto" w:fill="auto"/>
            <w:noWrap/>
            <w:vAlign w:val="bottom"/>
            <w:hideMark/>
          </w:tcPr>
          <w:p w14:paraId="02BFE843"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TRA1 (Erzurum, Erzincan, Bayburt)</w:t>
            </w:r>
          </w:p>
        </w:tc>
        <w:tc>
          <w:tcPr>
            <w:tcW w:w="1060" w:type="dxa"/>
            <w:shd w:val="clear" w:color="auto" w:fill="auto"/>
            <w:noWrap/>
            <w:vAlign w:val="bottom"/>
            <w:hideMark/>
          </w:tcPr>
          <w:p w14:paraId="173E084B"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8,6</w:t>
            </w:r>
          </w:p>
        </w:tc>
        <w:tc>
          <w:tcPr>
            <w:tcW w:w="1311" w:type="dxa"/>
            <w:vAlign w:val="bottom"/>
          </w:tcPr>
          <w:p w14:paraId="41D0D055"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34,3</w:t>
            </w:r>
          </w:p>
        </w:tc>
      </w:tr>
      <w:tr w:rsidR="00CE492F" w:rsidRPr="009B4428" w14:paraId="3B31ED55" w14:textId="77777777" w:rsidTr="00CE492F">
        <w:trPr>
          <w:trHeight w:val="293"/>
        </w:trPr>
        <w:tc>
          <w:tcPr>
            <w:tcW w:w="6165" w:type="dxa"/>
            <w:shd w:val="clear" w:color="auto" w:fill="auto"/>
            <w:noWrap/>
            <w:vAlign w:val="bottom"/>
            <w:hideMark/>
          </w:tcPr>
          <w:p w14:paraId="467A6FAC"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TRC2 (Şanlıurfa, Diyarbakır)</w:t>
            </w:r>
          </w:p>
        </w:tc>
        <w:tc>
          <w:tcPr>
            <w:tcW w:w="1060" w:type="dxa"/>
            <w:shd w:val="clear" w:color="auto" w:fill="auto"/>
            <w:noWrap/>
            <w:vAlign w:val="bottom"/>
            <w:hideMark/>
          </w:tcPr>
          <w:p w14:paraId="621AE4F0"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19,5</w:t>
            </w:r>
          </w:p>
        </w:tc>
        <w:tc>
          <w:tcPr>
            <w:tcW w:w="1311" w:type="dxa"/>
            <w:vAlign w:val="bottom"/>
          </w:tcPr>
          <w:p w14:paraId="3CCDB8A9"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30,7</w:t>
            </w:r>
          </w:p>
        </w:tc>
      </w:tr>
      <w:tr w:rsidR="00CE492F" w:rsidRPr="009B4428" w14:paraId="375959F9" w14:textId="77777777" w:rsidTr="00CE492F">
        <w:trPr>
          <w:trHeight w:val="293"/>
        </w:trPr>
        <w:tc>
          <w:tcPr>
            <w:tcW w:w="6165" w:type="dxa"/>
            <w:shd w:val="clear" w:color="auto" w:fill="auto"/>
            <w:noWrap/>
            <w:vAlign w:val="bottom"/>
            <w:hideMark/>
          </w:tcPr>
          <w:p w14:paraId="056AA9BA"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TRA2 (Ağrı, Kars, Iğdır, Ardahan)</w:t>
            </w:r>
          </w:p>
        </w:tc>
        <w:tc>
          <w:tcPr>
            <w:tcW w:w="1060" w:type="dxa"/>
            <w:shd w:val="clear" w:color="auto" w:fill="auto"/>
            <w:noWrap/>
            <w:vAlign w:val="bottom"/>
            <w:hideMark/>
          </w:tcPr>
          <w:p w14:paraId="67FE01DC"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11,2</w:t>
            </w:r>
          </w:p>
        </w:tc>
        <w:tc>
          <w:tcPr>
            <w:tcW w:w="1311" w:type="dxa"/>
            <w:vAlign w:val="bottom"/>
          </w:tcPr>
          <w:p w14:paraId="169A4518"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29,7</w:t>
            </w:r>
          </w:p>
        </w:tc>
      </w:tr>
      <w:tr w:rsidR="00CE492F" w:rsidRPr="009B4428" w14:paraId="170A1565" w14:textId="77777777" w:rsidTr="00CE492F">
        <w:trPr>
          <w:trHeight w:val="293"/>
        </w:trPr>
        <w:tc>
          <w:tcPr>
            <w:tcW w:w="6165" w:type="dxa"/>
            <w:shd w:val="clear" w:color="auto" w:fill="auto"/>
            <w:noWrap/>
            <w:vAlign w:val="bottom"/>
            <w:hideMark/>
          </w:tcPr>
          <w:p w14:paraId="79DD7E65"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 xml:space="preserve">TRB2 (Van, Muş, Bitlis, </w:t>
            </w:r>
            <w:r w:rsidR="00357679" w:rsidRPr="009B4428">
              <w:rPr>
                <w:rFonts w:ascii="Calibri" w:eastAsia="Times New Roman" w:hAnsi="Calibri" w:cs="Times New Roman"/>
              </w:rPr>
              <w:t>Hakkâri</w:t>
            </w:r>
            <w:r w:rsidRPr="009B4428">
              <w:rPr>
                <w:rFonts w:ascii="Calibri" w:eastAsia="Times New Roman" w:hAnsi="Calibri" w:cs="Times New Roman"/>
              </w:rPr>
              <w:t>)</w:t>
            </w:r>
          </w:p>
        </w:tc>
        <w:tc>
          <w:tcPr>
            <w:tcW w:w="1060" w:type="dxa"/>
            <w:shd w:val="clear" w:color="auto" w:fill="auto"/>
            <w:noWrap/>
            <w:vAlign w:val="bottom"/>
            <w:hideMark/>
          </w:tcPr>
          <w:p w14:paraId="4146D9D5"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19,7</w:t>
            </w:r>
          </w:p>
        </w:tc>
        <w:tc>
          <w:tcPr>
            <w:tcW w:w="1311" w:type="dxa"/>
            <w:vAlign w:val="bottom"/>
          </w:tcPr>
          <w:p w14:paraId="561FA502"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29,5</w:t>
            </w:r>
          </w:p>
        </w:tc>
      </w:tr>
      <w:tr w:rsidR="00CE492F" w:rsidRPr="009B4428" w14:paraId="11747D61" w14:textId="77777777" w:rsidTr="00CE492F">
        <w:trPr>
          <w:trHeight w:val="293"/>
        </w:trPr>
        <w:tc>
          <w:tcPr>
            <w:tcW w:w="6165" w:type="dxa"/>
            <w:shd w:val="clear" w:color="auto" w:fill="auto"/>
            <w:noWrap/>
            <w:vAlign w:val="bottom"/>
            <w:hideMark/>
          </w:tcPr>
          <w:p w14:paraId="78E38B18" w14:textId="77777777" w:rsidR="00CE492F" w:rsidRPr="009B4428" w:rsidRDefault="00CE492F" w:rsidP="00ED3B36">
            <w:pPr>
              <w:spacing w:after="0" w:line="240" w:lineRule="auto"/>
              <w:jc w:val="both"/>
              <w:rPr>
                <w:rFonts w:ascii="Calibri" w:eastAsia="Times New Roman" w:hAnsi="Calibri" w:cs="Times New Roman"/>
              </w:rPr>
            </w:pPr>
            <w:r w:rsidRPr="009B4428">
              <w:rPr>
                <w:rFonts w:ascii="Calibri" w:eastAsia="Times New Roman" w:hAnsi="Calibri" w:cs="Times New Roman"/>
              </w:rPr>
              <w:t>TRC3 (Mardin, Batman, Şırnak, Siirt)</w:t>
            </w:r>
          </w:p>
        </w:tc>
        <w:tc>
          <w:tcPr>
            <w:tcW w:w="1060" w:type="dxa"/>
            <w:shd w:val="clear" w:color="auto" w:fill="auto"/>
            <w:noWrap/>
            <w:vAlign w:val="bottom"/>
            <w:hideMark/>
          </w:tcPr>
          <w:p w14:paraId="4C5C1BE4"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30,1</w:t>
            </w:r>
          </w:p>
        </w:tc>
        <w:tc>
          <w:tcPr>
            <w:tcW w:w="1311" w:type="dxa"/>
            <w:vAlign w:val="bottom"/>
          </w:tcPr>
          <w:p w14:paraId="04A6E38E" w14:textId="77777777" w:rsidR="00CE492F" w:rsidRPr="009B4428" w:rsidRDefault="00CE492F" w:rsidP="00973DD3">
            <w:pPr>
              <w:spacing w:after="0" w:line="240" w:lineRule="auto"/>
              <w:jc w:val="center"/>
              <w:rPr>
                <w:rFonts w:ascii="Calibri" w:eastAsia="Times New Roman" w:hAnsi="Calibri" w:cs="Times New Roman"/>
              </w:rPr>
            </w:pPr>
            <w:r w:rsidRPr="009B4428">
              <w:rPr>
                <w:rFonts w:ascii="Calibri" w:eastAsia="Times New Roman" w:hAnsi="Calibri" w:cs="Times New Roman"/>
              </w:rPr>
              <w:t>24,8</w:t>
            </w:r>
          </w:p>
        </w:tc>
      </w:tr>
    </w:tbl>
    <w:p w14:paraId="3CFAADF5" w14:textId="77777777" w:rsidR="00533E95" w:rsidRPr="009B4428" w:rsidRDefault="00CE492F" w:rsidP="004A1255">
      <w:pPr>
        <w:rPr>
          <w:sz w:val="16"/>
          <w:szCs w:val="16"/>
        </w:rPr>
      </w:pPr>
      <w:r w:rsidRPr="009B4428">
        <w:rPr>
          <w:sz w:val="16"/>
          <w:szCs w:val="16"/>
        </w:rPr>
        <w:br w:type="textWrapping" w:clear="all"/>
      </w:r>
      <w:r w:rsidR="00376669" w:rsidRPr="009B4428">
        <w:rPr>
          <w:sz w:val="16"/>
          <w:szCs w:val="16"/>
        </w:rPr>
        <w:t>Kaynak: TUIK, Betam</w:t>
      </w:r>
      <w:r w:rsidR="00533E95" w:rsidRPr="009B4428">
        <w:rPr>
          <w:sz w:val="16"/>
          <w:szCs w:val="16"/>
        </w:rPr>
        <w:br/>
        <w:t xml:space="preserve">Not: </w:t>
      </w:r>
      <m:oMath>
        <m:sSub>
          <m:sSubPr>
            <m:ctrlPr>
              <w:rPr>
                <w:rFonts w:ascii="Cambria Math" w:hAnsi="Cambria Math"/>
                <w:i/>
                <w:color w:val="000000" w:themeColor="text1"/>
                <w:sz w:val="16"/>
                <w:szCs w:val="16"/>
              </w:rPr>
            </m:ctrlPr>
          </m:sSubPr>
          <m:e>
            <m:r>
              <m:rPr>
                <m:sty m:val="bi"/>
              </m:rPr>
              <w:rPr>
                <w:rFonts w:ascii="Cambria Math" w:hAnsi="Cambria Math"/>
                <w:color w:val="000000" w:themeColor="text1"/>
                <w:sz w:val="16"/>
                <w:szCs w:val="16"/>
              </w:rPr>
              <m:t>E</m:t>
            </m:r>
          </m:e>
          <m:sub>
            <m:r>
              <m:rPr>
                <m:sty m:val="bi"/>
              </m:rPr>
              <w:rPr>
                <w:rFonts w:ascii="Cambria Math" w:hAnsi="Cambria Math"/>
                <w:color w:val="000000" w:themeColor="text1"/>
                <w:sz w:val="16"/>
                <w:szCs w:val="16"/>
              </w:rPr>
              <m:t xml:space="preserve">t </m:t>
            </m:r>
          </m:sub>
        </m:sSub>
        <m:r>
          <m:rPr>
            <m:sty m:val="bi"/>
          </m:rPr>
          <w:rPr>
            <w:rFonts w:ascii="Cambria Math" w:hAnsi="Cambria Math"/>
            <w:color w:val="000000" w:themeColor="text1"/>
            <w:sz w:val="16"/>
            <w:szCs w:val="16"/>
          </w:rPr>
          <m:t>:</m:t>
        </m:r>
      </m:oMath>
      <w:r w:rsidR="00533E95" w:rsidRPr="009B4428">
        <w:rPr>
          <w:color w:val="000000" w:themeColor="text1"/>
          <w:sz w:val="16"/>
          <w:szCs w:val="16"/>
        </w:rPr>
        <w:t xml:space="preserve"> Tarım istihdamı, </w:t>
      </w:r>
      <m:oMath>
        <m:sSub>
          <m:sSubPr>
            <m:ctrlPr>
              <w:rPr>
                <w:rFonts w:ascii="Cambria Math" w:hAnsi="Cambria Math"/>
                <w:i/>
                <w:color w:val="000000" w:themeColor="text1"/>
                <w:sz w:val="16"/>
                <w:szCs w:val="16"/>
              </w:rPr>
            </m:ctrlPr>
          </m:sSubPr>
          <m:e>
            <m:r>
              <m:rPr>
                <m:sty m:val="bi"/>
              </m:rPr>
              <w:rPr>
                <w:rFonts w:ascii="Cambria Math" w:hAnsi="Cambria Math"/>
                <w:color w:val="000000" w:themeColor="text1"/>
                <w:sz w:val="16"/>
                <w:szCs w:val="16"/>
              </w:rPr>
              <m:t>E</m:t>
            </m:r>
          </m:e>
          <m:sub>
            <m:r>
              <m:rPr>
                <m:sty m:val="bi"/>
              </m:rPr>
              <w:rPr>
                <w:rFonts w:ascii="Cambria Math" w:hAnsi="Cambria Math"/>
                <w:color w:val="000000" w:themeColor="text1"/>
                <w:sz w:val="16"/>
                <w:szCs w:val="16"/>
              </w:rPr>
              <m:t>td</m:t>
            </m:r>
          </m:sub>
        </m:sSub>
        <m:r>
          <m:rPr>
            <m:sty m:val="bi"/>
          </m:rPr>
          <w:rPr>
            <w:rFonts w:ascii="Cambria Math" w:hAnsi="Cambria Math"/>
            <w:color w:val="000000" w:themeColor="text1"/>
            <w:sz w:val="16"/>
            <w:szCs w:val="16"/>
          </w:rPr>
          <m:t>:</m:t>
        </m:r>
      </m:oMath>
      <w:r w:rsidR="00533E95" w:rsidRPr="009B4428">
        <w:rPr>
          <w:color w:val="000000" w:themeColor="text1"/>
          <w:sz w:val="16"/>
          <w:szCs w:val="16"/>
        </w:rPr>
        <w:t xml:space="preserve"> Tarım dışı istihdam, </w:t>
      </w:r>
      <w:r w:rsidR="00357679" w:rsidRPr="009B4428">
        <w:rPr>
          <w:i/>
          <w:color w:val="000000" w:themeColor="text1"/>
          <w:sz w:val="16"/>
          <w:szCs w:val="16"/>
        </w:rPr>
        <w:t>WAP (</w:t>
      </w:r>
      <w:proofErr w:type="spellStart"/>
      <w:r w:rsidR="00533E95" w:rsidRPr="009B4428">
        <w:rPr>
          <w:i/>
          <w:color w:val="000000" w:themeColor="text1"/>
          <w:sz w:val="16"/>
          <w:szCs w:val="16"/>
        </w:rPr>
        <w:t>Working</w:t>
      </w:r>
      <w:proofErr w:type="spellEnd"/>
      <w:r w:rsidR="00533E95" w:rsidRPr="009B4428">
        <w:rPr>
          <w:i/>
          <w:color w:val="000000" w:themeColor="text1"/>
          <w:sz w:val="16"/>
          <w:szCs w:val="16"/>
        </w:rPr>
        <w:t xml:space="preserve"> Age </w:t>
      </w:r>
      <w:proofErr w:type="spellStart"/>
      <w:r w:rsidR="00533E95" w:rsidRPr="009B4428">
        <w:rPr>
          <w:i/>
          <w:color w:val="000000" w:themeColor="text1"/>
          <w:sz w:val="16"/>
          <w:szCs w:val="16"/>
        </w:rPr>
        <w:t>Population</w:t>
      </w:r>
      <w:proofErr w:type="spellEnd"/>
      <w:r w:rsidR="00533E95" w:rsidRPr="009B4428">
        <w:rPr>
          <w:i/>
          <w:color w:val="000000" w:themeColor="text1"/>
          <w:sz w:val="16"/>
          <w:szCs w:val="16"/>
        </w:rPr>
        <w:t>)</w:t>
      </w:r>
      <w:r w:rsidR="00533E95" w:rsidRPr="009B4428">
        <w:rPr>
          <w:color w:val="000000" w:themeColor="text1"/>
          <w:sz w:val="16"/>
          <w:szCs w:val="16"/>
        </w:rPr>
        <w:t>: Çalışma çağındaki (15+) nüfus</w:t>
      </w:r>
    </w:p>
    <w:p w14:paraId="77F060EC" w14:textId="77777777" w:rsidR="00614312" w:rsidRPr="009B4428" w:rsidRDefault="00614312" w:rsidP="00ED3B36">
      <w:pPr>
        <w:jc w:val="both"/>
      </w:pPr>
    </w:p>
    <w:p w14:paraId="5BC34487" w14:textId="77777777" w:rsidR="001B4061" w:rsidRPr="009B4428" w:rsidRDefault="001B4061" w:rsidP="00ED3B36">
      <w:pPr>
        <w:jc w:val="both"/>
      </w:pPr>
    </w:p>
    <w:p w14:paraId="29C10CBF" w14:textId="77777777" w:rsidR="00DC42FF" w:rsidRPr="009B4428" w:rsidRDefault="00DC42FF" w:rsidP="00ED3B36">
      <w:pPr>
        <w:jc w:val="both"/>
        <w:rPr>
          <w:b/>
        </w:rPr>
      </w:pPr>
    </w:p>
    <w:p w14:paraId="60466960" w14:textId="77777777" w:rsidR="00DC42FF" w:rsidRPr="009B4428" w:rsidRDefault="00DC42FF" w:rsidP="00ED3B36">
      <w:pPr>
        <w:jc w:val="both"/>
      </w:pPr>
    </w:p>
    <w:p w14:paraId="2F8FD3F7" w14:textId="2B305290" w:rsidR="000C7C12" w:rsidRPr="009B4428" w:rsidRDefault="00614312" w:rsidP="00ED3B36">
      <w:pPr>
        <w:jc w:val="both"/>
        <w:rPr>
          <w:b/>
        </w:rPr>
      </w:pPr>
      <w:r w:rsidRPr="009B4428">
        <w:br/>
      </w:r>
      <w:r w:rsidRPr="009B4428">
        <w:br/>
      </w:r>
    </w:p>
    <w:p w14:paraId="54BF1DDC" w14:textId="77777777" w:rsidR="000C7C12" w:rsidRPr="009B4428" w:rsidRDefault="000C7C12" w:rsidP="00ED3B36">
      <w:pPr>
        <w:jc w:val="both"/>
        <w:rPr>
          <w:b/>
        </w:rPr>
      </w:pPr>
    </w:p>
    <w:p w14:paraId="45765194" w14:textId="6F64E050" w:rsidR="002B5DBD" w:rsidRPr="009B4428" w:rsidRDefault="002B5DBD" w:rsidP="00ED3B36">
      <w:pPr>
        <w:jc w:val="both"/>
        <w:rPr>
          <w:b/>
        </w:rPr>
      </w:pPr>
    </w:p>
    <w:p w14:paraId="0BFE5434" w14:textId="2C5B4024" w:rsidR="00F32255" w:rsidRPr="009B4428" w:rsidRDefault="00F32255" w:rsidP="00ED3B36">
      <w:pPr>
        <w:jc w:val="both"/>
      </w:pPr>
      <w:r w:rsidRPr="009B4428">
        <w:rPr>
          <w:b/>
        </w:rPr>
        <w:lastRenderedPageBreak/>
        <w:t>Ek Tablo 2: Bölgele</w:t>
      </w:r>
      <w:r w:rsidR="007237A9" w:rsidRPr="009B4428">
        <w:rPr>
          <w:b/>
        </w:rPr>
        <w:t>re</w:t>
      </w:r>
      <w:r w:rsidRPr="009B4428">
        <w:rPr>
          <w:b/>
        </w:rPr>
        <w:t xml:space="preserve"> göre tarım dışı kadın istihdam oranları (2017)</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2800"/>
      </w:tblGrid>
      <w:tr w:rsidR="00F32255" w:rsidRPr="009B4428" w14:paraId="22AA236B" w14:textId="77777777" w:rsidTr="00F32255">
        <w:trPr>
          <w:trHeight w:val="300"/>
        </w:trPr>
        <w:tc>
          <w:tcPr>
            <w:tcW w:w="5400" w:type="dxa"/>
            <w:shd w:val="clear" w:color="auto" w:fill="auto"/>
            <w:noWrap/>
            <w:vAlign w:val="bottom"/>
            <w:hideMark/>
          </w:tcPr>
          <w:p w14:paraId="4C3DB01A" w14:textId="14D8D078" w:rsidR="00F32255" w:rsidRPr="009B4428" w:rsidRDefault="0053261D" w:rsidP="0053261D">
            <w:pPr>
              <w:spacing w:after="0" w:line="240" w:lineRule="auto"/>
              <w:jc w:val="both"/>
              <w:rPr>
                <w:rFonts w:ascii="Calibri" w:eastAsia="Times New Roman" w:hAnsi="Calibri" w:cs="Times New Roman"/>
              </w:rPr>
            </w:pPr>
            <w:r w:rsidRPr="009B4428">
              <w:rPr>
                <w:rFonts w:ascii="Calibri" w:eastAsia="Times New Roman" w:hAnsi="Calibri" w:cs="Times New Roman"/>
              </w:rPr>
              <w:t xml:space="preserve">Bölgeler </w:t>
            </w:r>
          </w:p>
        </w:tc>
        <w:tc>
          <w:tcPr>
            <w:tcW w:w="2800" w:type="dxa"/>
            <w:shd w:val="clear" w:color="auto" w:fill="auto"/>
            <w:noWrap/>
            <w:vAlign w:val="bottom"/>
            <w:hideMark/>
          </w:tcPr>
          <w:p w14:paraId="7599A70A" w14:textId="7EBA4824"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 xml:space="preserve">Tarım dışı </w:t>
            </w:r>
            <w:r w:rsidR="00F353CC" w:rsidRPr="009B4428">
              <w:rPr>
                <w:rFonts w:ascii="Calibri" w:eastAsia="Times New Roman" w:hAnsi="Calibri" w:cs="Times New Roman"/>
                <w:color w:val="000000"/>
              </w:rPr>
              <w:t xml:space="preserve">kadın </w:t>
            </w:r>
            <w:r w:rsidRPr="009B4428">
              <w:rPr>
                <w:rFonts w:ascii="Calibri" w:eastAsia="Times New Roman" w:hAnsi="Calibri" w:cs="Times New Roman"/>
                <w:color w:val="000000"/>
              </w:rPr>
              <w:t xml:space="preserve">istihdam oranı (%) </w:t>
            </w:r>
          </w:p>
        </w:tc>
      </w:tr>
      <w:tr w:rsidR="00F32255" w:rsidRPr="009B4428" w14:paraId="04D63DDC" w14:textId="77777777" w:rsidTr="00F32255">
        <w:trPr>
          <w:trHeight w:val="300"/>
        </w:trPr>
        <w:tc>
          <w:tcPr>
            <w:tcW w:w="5400" w:type="dxa"/>
            <w:shd w:val="clear" w:color="auto" w:fill="auto"/>
            <w:noWrap/>
            <w:vAlign w:val="center"/>
            <w:hideMark/>
          </w:tcPr>
          <w:p w14:paraId="741D9237"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Türkiye</w:t>
            </w:r>
          </w:p>
        </w:tc>
        <w:tc>
          <w:tcPr>
            <w:tcW w:w="2800" w:type="dxa"/>
            <w:shd w:val="clear" w:color="auto" w:fill="auto"/>
            <w:noWrap/>
            <w:vAlign w:val="center"/>
            <w:hideMark/>
          </w:tcPr>
          <w:p w14:paraId="2D7F39B9"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22.5</w:t>
            </w:r>
          </w:p>
        </w:tc>
      </w:tr>
      <w:tr w:rsidR="00F32255" w:rsidRPr="009B4428" w14:paraId="07FF6843" w14:textId="77777777" w:rsidTr="00F32255">
        <w:trPr>
          <w:trHeight w:val="300"/>
        </w:trPr>
        <w:tc>
          <w:tcPr>
            <w:tcW w:w="5400" w:type="dxa"/>
            <w:shd w:val="clear" w:color="auto" w:fill="auto"/>
            <w:noWrap/>
            <w:vAlign w:val="center"/>
            <w:hideMark/>
          </w:tcPr>
          <w:p w14:paraId="2A0FD79F"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TR10 (İstanbul)</w:t>
            </w:r>
          </w:p>
        </w:tc>
        <w:tc>
          <w:tcPr>
            <w:tcW w:w="2800" w:type="dxa"/>
            <w:shd w:val="clear" w:color="auto" w:fill="auto"/>
            <w:noWrap/>
            <w:vAlign w:val="center"/>
            <w:hideMark/>
          </w:tcPr>
          <w:p w14:paraId="3CCFB92B"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30.4</w:t>
            </w:r>
          </w:p>
        </w:tc>
      </w:tr>
      <w:tr w:rsidR="00F32255" w:rsidRPr="009B4428" w14:paraId="5A7FBC8F" w14:textId="77777777" w:rsidTr="00F32255">
        <w:trPr>
          <w:trHeight w:val="300"/>
        </w:trPr>
        <w:tc>
          <w:tcPr>
            <w:tcW w:w="5400" w:type="dxa"/>
            <w:shd w:val="clear" w:color="auto" w:fill="auto"/>
            <w:noWrap/>
            <w:vAlign w:val="center"/>
            <w:hideMark/>
          </w:tcPr>
          <w:p w14:paraId="6C4F8A4F"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TR21 (Tekirdağ, Edirne, Kırklareli)</w:t>
            </w:r>
          </w:p>
        </w:tc>
        <w:tc>
          <w:tcPr>
            <w:tcW w:w="2800" w:type="dxa"/>
            <w:shd w:val="clear" w:color="auto" w:fill="auto"/>
            <w:noWrap/>
            <w:vAlign w:val="center"/>
            <w:hideMark/>
          </w:tcPr>
          <w:p w14:paraId="4279ECD7"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29.3</w:t>
            </w:r>
          </w:p>
        </w:tc>
      </w:tr>
      <w:tr w:rsidR="00F32255" w:rsidRPr="009B4428" w14:paraId="0CDEA25D" w14:textId="77777777" w:rsidTr="00F32255">
        <w:trPr>
          <w:trHeight w:val="300"/>
        </w:trPr>
        <w:tc>
          <w:tcPr>
            <w:tcW w:w="5400" w:type="dxa"/>
            <w:shd w:val="clear" w:color="auto" w:fill="auto"/>
            <w:noWrap/>
            <w:vAlign w:val="center"/>
            <w:hideMark/>
          </w:tcPr>
          <w:p w14:paraId="7171AC96"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TR51 (Ankara)</w:t>
            </w:r>
          </w:p>
        </w:tc>
        <w:tc>
          <w:tcPr>
            <w:tcW w:w="2800" w:type="dxa"/>
            <w:shd w:val="clear" w:color="auto" w:fill="auto"/>
            <w:noWrap/>
            <w:vAlign w:val="center"/>
            <w:hideMark/>
          </w:tcPr>
          <w:p w14:paraId="30F6F340"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27.6</w:t>
            </w:r>
          </w:p>
        </w:tc>
      </w:tr>
      <w:tr w:rsidR="00F32255" w:rsidRPr="009B4428" w14:paraId="28DAF140" w14:textId="77777777" w:rsidTr="00F32255">
        <w:trPr>
          <w:trHeight w:val="300"/>
        </w:trPr>
        <w:tc>
          <w:tcPr>
            <w:tcW w:w="5400" w:type="dxa"/>
            <w:shd w:val="clear" w:color="auto" w:fill="auto"/>
            <w:noWrap/>
            <w:vAlign w:val="center"/>
            <w:hideMark/>
          </w:tcPr>
          <w:p w14:paraId="54078188"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TR31 (İzmir)</w:t>
            </w:r>
          </w:p>
        </w:tc>
        <w:tc>
          <w:tcPr>
            <w:tcW w:w="2800" w:type="dxa"/>
            <w:shd w:val="clear" w:color="auto" w:fill="auto"/>
            <w:noWrap/>
            <w:vAlign w:val="center"/>
            <w:hideMark/>
          </w:tcPr>
          <w:p w14:paraId="3F011DA4"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27.5</w:t>
            </w:r>
          </w:p>
        </w:tc>
      </w:tr>
      <w:tr w:rsidR="00F32255" w:rsidRPr="009B4428" w14:paraId="6D9705B2" w14:textId="77777777" w:rsidTr="00F32255">
        <w:trPr>
          <w:trHeight w:val="300"/>
        </w:trPr>
        <w:tc>
          <w:tcPr>
            <w:tcW w:w="5400" w:type="dxa"/>
            <w:shd w:val="clear" w:color="auto" w:fill="auto"/>
            <w:noWrap/>
            <w:vAlign w:val="center"/>
            <w:hideMark/>
          </w:tcPr>
          <w:p w14:paraId="7265E177"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TR32 (Aydın, Denizli, Muğla)</w:t>
            </w:r>
          </w:p>
        </w:tc>
        <w:tc>
          <w:tcPr>
            <w:tcW w:w="2800" w:type="dxa"/>
            <w:shd w:val="clear" w:color="auto" w:fill="auto"/>
            <w:noWrap/>
            <w:vAlign w:val="center"/>
            <w:hideMark/>
          </w:tcPr>
          <w:p w14:paraId="49877B6E"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26.5</w:t>
            </w:r>
          </w:p>
        </w:tc>
      </w:tr>
      <w:tr w:rsidR="00F32255" w:rsidRPr="009B4428" w14:paraId="2E70FDC8" w14:textId="77777777" w:rsidTr="00F32255">
        <w:trPr>
          <w:trHeight w:val="300"/>
        </w:trPr>
        <w:tc>
          <w:tcPr>
            <w:tcW w:w="5400" w:type="dxa"/>
            <w:shd w:val="clear" w:color="auto" w:fill="auto"/>
            <w:noWrap/>
            <w:vAlign w:val="center"/>
            <w:hideMark/>
          </w:tcPr>
          <w:p w14:paraId="55C27C97"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TR61 (Antalya, Isparta, Burdur)</w:t>
            </w:r>
          </w:p>
        </w:tc>
        <w:tc>
          <w:tcPr>
            <w:tcW w:w="2800" w:type="dxa"/>
            <w:shd w:val="clear" w:color="auto" w:fill="auto"/>
            <w:noWrap/>
            <w:vAlign w:val="center"/>
            <w:hideMark/>
          </w:tcPr>
          <w:p w14:paraId="2132A1AC"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25.6</w:t>
            </w:r>
          </w:p>
        </w:tc>
      </w:tr>
      <w:tr w:rsidR="00F32255" w:rsidRPr="009B4428" w14:paraId="4034C0DB" w14:textId="77777777" w:rsidTr="00F32255">
        <w:trPr>
          <w:trHeight w:val="300"/>
        </w:trPr>
        <w:tc>
          <w:tcPr>
            <w:tcW w:w="5400" w:type="dxa"/>
            <w:shd w:val="clear" w:color="auto" w:fill="auto"/>
            <w:noWrap/>
            <w:vAlign w:val="center"/>
            <w:hideMark/>
          </w:tcPr>
          <w:p w14:paraId="3FC4A145"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TR41 (Bursa, Eskişehir, Bilecik)</w:t>
            </w:r>
          </w:p>
        </w:tc>
        <w:tc>
          <w:tcPr>
            <w:tcW w:w="2800" w:type="dxa"/>
            <w:shd w:val="clear" w:color="auto" w:fill="auto"/>
            <w:noWrap/>
            <w:vAlign w:val="center"/>
            <w:hideMark/>
          </w:tcPr>
          <w:p w14:paraId="756BB612"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24.7</w:t>
            </w:r>
          </w:p>
        </w:tc>
      </w:tr>
      <w:tr w:rsidR="00F32255" w:rsidRPr="009B4428" w14:paraId="01F7BE38" w14:textId="77777777" w:rsidTr="00F32255">
        <w:trPr>
          <w:trHeight w:val="300"/>
        </w:trPr>
        <w:tc>
          <w:tcPr>
            <w:tcW w:w="5400" w:type="dxa"/>
            <w:shd w:val="clear" w:color="auto" w:fill="auto"/>
            <w:noWrap/>
            <w:vAlign w:val="center"/>
            <w:hideMark/>
          </w:tcPr>
          <w:p w14:paraId="42D77630"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TR42 (Kocaeli, Sakarya, Düzce, Bolu, Yalova)</w:t>
            </w:r>
          </w:p>
        </w:tc>
        <w:tc>
          <w:tcPr>
            <w:tcW w:w="2800" w:type="dxa"/>
            <w:shd w:val="clear" w:color="auto" w:fill="auto"/>
            <w:noWrap/>
            <w:vAlign w:val="center"/>
            <w:hideMark/>
          </w:tcPr>
          <w:p w14:paraId="5EDDE71A"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24.6</w:t>
            </w:r>
          </w:p>
        </w:tc>
      </w:tr>
      <w:tr w:rsidR="00F32255" w:rsidRPr="009B4428" w14:paraId="108303F8" w14:textId="77777777" w:rsidTr="00F32255">
        <w:trPr>
          <w:trHeight w:val="300"/>
        </w:trPr>
        <w:tc>
          <w:tcPr>
            <w:tcW w:w="5400" w:type="dxa"/>
            <w:shd w:val="clear" w:color="auto" w:fill="auto"/>
            <w:noWrap/>
            <w:vAlign w:val="center"/>
            <w:hideMark/>
          </w:tcPr>
          <w:p w14:paraId="184921CB"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TR62 (Adana, Mersin)</w:t>
            </w:r>
          </w:p>
        </w:tc>
        <w:tc>
          <w:tcPr>
            <w:tcW w:w="2800" w:type="dxa"/>
            <w:shd w:val="clear" w:color="auto" w:fill="auto"/>
            <w:noWrap/>
            <w:vAlign w:val="center"/>
            <w:hideMark/>
          </w:tcPr>
          <w:p w14:paraId="48A22C1C"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21.2</w:t>
            </w:r>
          </w:p>
        </w:tc>
      </w:tr>
      <w:tr w:rsidR="00F32255" w:rsidRPr="009B4428" w14:paraId="135ED0B6" w14:textId="77777777" w:rsidTr="00F32255">
        <w:trPr>
          <w:trHeight w:val="300"/>
        </w:trPr>
        <w:tc>
          <w:tcPr>
            <w:tcW w:w="5400" w:type="dxa"/>
            <w:shd w:val="clear" w:color="auto" w:fill="auto"/>
            <w:noWrap/>
            <w:vAlign w:val="center"/>
            <w:hideMark/>
          </w:tcPr>
          <w:p w14:paraId="0D3BF3C0"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TR82 (Kastamonu, Çankırı, Sinop)</w:t>
            </w:r>
          </w:p>
        </w:tc>
        <w:tc>
          <w:tcPr>
            <w:tcW w:w="2800" w:type="dxa"/>
            <w:shd w:val="clear" w:color="auto" w:fill="auto"/>
            <w:noWrap/>
            <w:vAlign w:val="center"/>
            <w:hideMark/>
          </w:tcPr>
          <w:p w14:paraId="5002B822"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21.0</w:t>
            </w:r>
          </w:p>
        </w:tc>
      </w:tr>
      <w:tr w:rsidR="00F32255" w:rsidRPr="009B4428" w14:paraId="564FB832" w14:textId="77777777" w:rsidTr="00F32255">
        <w:trPr>
          <w:trHeight w:val="300"/>
        </w:trPr>
        <w:tc>
          <w:tcPr>
            <w:tcW w:w="5400" w:type="dxa"/>
            <w:shd w:val="clear" w:color="auto" w:fill="auto"/>
            <w:noWrap/>
            <w:vAlign w:val="center"/>
            <w:hideMark/>
          </w:tcPr>
          <w:p w14:paraId="3779A039"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TR90 (Trabzon, Ordu, Giresun, Rize, Artvin, Gümüşhane)</w:t>
            </w:r>
          </w:p>
        </w:tc>
        <w:tc>
          <w:tcPr>
            <w:tcW w:w="2800" w:type="dxa"/>
            <w:shd w:val="clear" w:color="auto" w:fill="auto"/>
            <w:noWrap/>
            <w:vAlign w:val="center"/>
            <w:hideMark/>
          </w:tcPr>
          <w:p w14:paraId="500476D5"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20.7</w:t>
            </w:r>
          </w:p>
        </w:tc>
      </w:tr>
      <w:tr w:rsidR="00F32255" w:rsidRPr="009B4428" w14:paraId="7FDEE477" w14:textId="77777777" w:rsidTr="00F32255">
        <w:trPr>
          <w:trHeight w:val="300"/>
        </w:trPr>
        <w:tc>
          <w:tcPr>
            <w:tcW w:w="5400" w:type="dxa"/>
            <w:shd w:val="clear" w:color="auto" w:fill="auto"/>
            <w:noWrap/>
            <w:vAlign w:val="center"/>
            <w:hideMark/>
          </w:tcPr>
          <w:p w14:paraId="4B5A48CE"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TR22 (Balıkesir, Çanakkale)</w:t>
            </w:r>
          </w:p>
        </w:tc>
        <w:tc>
          <w:tcPr>
            <w:tcW w:w="2800" w:type="dxa"/>
            <w:shd w:val="clear" w:color="auto" w:fill="auto"/>
            <w:noWrap/>
            <w:vAlign w:val="center"/>
            <w:hideMark/>
          </w:tcPr>
          <w:p w14:paraId="61A7DD3A"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20.3</w:t>
            </w:r>
          </w:p>
        </w:tc>
      </w:tr>
      <w:tr w:rsidR="00F32255" w:rsidRPr="009B4428" w14:paraId="590483D5" w14:textId="77777777" w:rsidTr="00F32255">
        <w:trPr>
          <w:trHeight w:val="300"/>
        </w:trPr>
        <w:tc>
          <w:tcPr>
            <w:tcW w:w="5400" w:type="dxa"/>
            <w:shd w:val="clear" w:color="auto" w:fill="auto"/>
            <w:noWrap/>
            <w:vAlign w:val="center"/>
            <w:hideMark/>
          </w:tcPr>
          <w:p w14:paraId="24EFA6BD"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TR33 (Manisa, Afyon, Kütahya, Uşak)</w:t>
            </w:r>
          </w:p>
        </w:tc>
        <w:tc>
          <w:tcPr>
            <w:tcW w:w="2800" w:type="dxa"/>
            <w:shd w:val="clear" w:color="auto" w:fill="auto"/>
            <w:noWrap/>
            <w:vAlign w:val="center"/>
            <w:hideMark/>
          </w:tcPr>
          <w:p w14:paraId="18DC5DBB"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19.4</w:t>
            </w:r>
          </w:p>
        </w:tc>
      </w:tr>
      <w:tr w:rsidR="00F32255" w:rsidRPr="009B4428" w14:paraId="405AC381" w14:textId="77777777" w:rsidTr="00F32255">
        <w:trPr>
          <w:trHeight w:val="300"/>
        </w:trPr>
        <w:tc>
          <w:tcPr>
            <w:tcW w:w="5400" w:type="dxa"/>
            <w:shd w:val="clear" w:color="auto" w:fill="auto"/>
            <w:noWrap/>
            <w:vAlign w:val="center"/>
            <w:hideMark/>
          </w:tcPr>
          <w:p w14:paraId="1D42655D"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TR81 (Zonguldak, Karabük, Bartın)</w:t>
            </w:r>
          </w:p>
        </w:tc>
        <w:tc>
          <w:tcPr>
            <w:tcW w:w="2800" w:type="dxa"/>
            <w:shd w:val="clear" w:color="auto" w:fill="auto"/>
            <w:noWrap/>
            <w:vAlign w:val="center"/>
            <w:hideMark/>
          </w:tcPr>
          <w:p w14:paraId="1737523E"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18.6</w:t>
            </w:r>
          </w:p>
        </w:tc>
      </w:tr>
      <w:tr w:rsidR="00F32255" w:rsidRPr="009B4428" w14:paraId="16505783" w14:textId="77777777" w:rsidTr="00F32255">
        <w:trPr>
          <w:trHeight w:val="300"/>
        </w:trPr>
        <w:tc>
          <w:tcPr>
            <w:tcW w:w="5400" w:type="dxa"/>
            <w:shd w:val="clear" w:color="auto" w:fill="auto"/>
            <w:noWrap/>
            <w:vAlign w:val="center"/>
            <w:hideMark/>
          </w:tcPr>
          <w:p w14:paraId="750B016E"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TR83 (Samsun, Tokat, Çorum, Amasya)</w:t>
            </w:r>
          </w:p>
        </w:tc>
        <w:tc>
          <w:tcPr>
            <w:tcW w:w="2800" w:type="dxa"/>
            <w:shd w:val="clear" w:color="auto" w:fill="auto"/>
            <w:noWrap/>
            <w:vAlign w:val="center"/>
            <w:hideMark/>
          </w:tcPr>
          <w:p w14:paraId="4242C36F"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18.2</w:t>
            </w:r>
          </w:p>
        </w:tc>
      </w:tr>
      <w:tr w:rsidR="00F32255" w:rsidRPr="009B4428" w14:paraId="499FD72E" w14:textId="77777777" w:rsidTr="00F32255">
        <w:trPr>
          <w:trHeight w:val="300"/>
        </w:trPr>
        <w:tc>
          <w:tcPr>
            <w:tcW w:w="5400" w:type="dxa"/>
            <w:shd w:val="clear" w:color="auto" w:fill="auto"/>
            <w:noWrap/>
            <w:vAlign w:val="center"/>
            <w:hideMark/>
          </w:tcPr>
          <w:p w14:paraId="2339FC6E" w14:textId="77777777" w:rsidR="00F32255" w:rsidRPr="009B4428" w:rsidRDefault="00F32255" w:rsidP="00F32255">
            <w:pPr>
              <w:spacing w:after="0" w:line="240" w:lineRule="auto"/>
              <w:jc w:val="both"/>
              <w:rPr>
                <w:rFonts w:ascii="Calibri" w:eastAsia="Times New Roman" w:hAnsi="Calibri" w:cs="Times New Roman"/>
              </w:rPr>
            </w:pPr>
            <w:r w:rsidRPr="009B4428">
              <w:rPr>
                <w:rFonts w:ascii="Calibri" w:eastAsia="Times New Roman" w:hAnsi="Calibri" w:cs="Times New Roman"/>
              </w:rPr>
              <w:t>TRB1 (Malatya, Elâzığ, Bingöl, Tunceli)</w:t>
            </w:r>
          </w:p>
        </w:tc>
        <w:tc>
          <w:tcPr>
            <w:tcW w:w="2800" w:type="dxa"/>
            <w:shd w:val="clear" w:color="auto" w:fill="auto"/>
            <w:noWrap/>
            <w:vAlign w:val="center"/>
            <w:hideMark/>
          </w:tcPr>
          <w:p w14:paraId="0295D883"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17.5</w:t>
            </w:r>
          </w:p>
        </w:tc>
      </w:tr>
      <w:tr w:rsidR="00F32255" w:rsidRPr="009B4428" w14:paraId="3035489B" w14:textId="77777777" w:rsidTr="00F32255">
        <w:trPr>
          <w:trHeight w:val="300"/>
        </w:trPr>
        <w:tc>
          <w:tcPr>
            <w:tcW w:w="5400" w:type="dxa"/>
            <w:shd w:val="clear" w:color="auto" w:fill="auto"/>
            <w:noWrap/>
            <w:vAlign w:val="center"/>
            <w:hideMark/>
          </w:tcPr>
          <w:p w14:paraId="140EE565" w14:textId="77777777" w:rsidR="00F32255" w:rsidRPr="009B4428" w:rsidRDefault="00F32255" w:rsidP="00F32255">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TR52 (Konya, Karaman)</w:t>
            </w:r>
          </w:p>
        </w:tc>
        <w:tc>
          <w:tcPr>
            <w:tcW w:w="2800" w:type="dxa"/>
            <w:shd w:val="clear" w:color="auto" w:fill="auto"/>
            <w:noWrap/>
            <w:vAlign w:val="center"/>
            <w:hideMark/>
          </w:tcPr>
          <w:p w14:paraId="1A830A77"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17.1</w:t>
            </w:r>
          </w:p>
        </w:tc>
      </w:tr>
      <w:tr w:rsidR="00F32255" w:rsidRPr="009B4428" w14:paraId="23B47A0B" w14:textId="77777777" w:rsidTr="00F32255">
        <w:trPr>
          <w:trHeight w:val="300"/>
        </w:trPr>
        <w:tc>
          <w:tcPr>
            <w:tcW w:w="5400" w:type="dxa"/>
            <w:shd w:val="clear" w:color="auto" w:fill="auto"/>
            <w:noWrap/>
            <w:vAlign w:val="center"/>
            <w:hideMark/>
          </w:tcPr>
          <w:p w14:paraId="072F1FD4" w14:textId="77777777" w:rsidR="00F32255" w:rsidRPr="009B4428" w:rsidRDefault="00F32255" w:rsidP="00F32255">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TR63 (Hatay, Kahramanmaraş, Osmaniye)</w:t>
            </w:r>
          </w:p>
        </w:tc>
        <w:tc>
          <w:tcPr>
            <w:tcW w:w="2800" w:type="dxa"/>
            <w:shd w:val="clear" w:color="auto" w:fill="auto"/>
            <w:noWrap/>
            <w:vAlign w:val="center"/>
            <w:hideMark/>
          </w:tcPr>
          <w:p w14:paraId="35E4C05D"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16.2</w:t>
            </w:r>
          </w:p>
        </w:tc>
      </w:tr>
      <w:tr w:rsidR="00F32255" w:rsidRPr="009B4428" w14:paraId="5517C18C" w14:textId="77777777" w:rsidTr="00F32255">
        <w:trPr>
          <w:trHeight w:val="300"/>
        </w:trPr>
        <w:tc>
          <w:tcPr>
            <w:tcW w:w="5400" w:type="dxa"/>
            <w:shd w:val="clear" w:color="auto" w:fill="auto"/>
            <w:noWrap/>
            <w:vAlign w:val="center"/>
            <w:hideMark/>
          </w:tcPr>
          <w:p w14:paraId="5DBAABB2" w14:textId="77777777" w:rsidR="00F32255" w:rsidRPr="009B4428" w:rsidRDefault="00F32255" w:rsidP="00F32255">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TR71 (Kırıkkale, Aksaray, Niğde, Nevşehir, Kırşehir)</w:t>
            </w:r>
          </w:p>
        </w:tc>
        <w:tc>
          <w:tcPr>
            <w:tcW w:w="2800" w:type="dxa"/>
            <w:shd w:val="clear" w:color="auto" w:fill="auto"/>
            <w:noWrap/>
            <w:vAlign w:val="center"/>
            <w:hideMark/>
          </w:tcPr>
          <w:p w14:paraId="5D59B23D"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15.2</w:t>
            </w:r>
          </w:p>
        </w:tc>
      </w:tr>
      <w:tr w:rsidR="00F32255" w:rsidRPr="009B4428" w14:paraId="578A58BE" w14:textId="77777777" w:rsidTr="00F32255">
        <w:trPr>
          <w:trHeight w:val="300"/>
        </w:trPr>
        <w:tc>
          <w:tcPr>
            <w:tcW w:w="5400" w:type="dxa"/>
            <w:shd w:val="clear" w:color="auto" w:fill="auto"/>
            <w:noWrap/>
            <w:vAlign w:val="center"/>
            <w:hideMark/>
          </w:tcPr>
          <w:p w14:paraId="0B690D93" w14:textId="77777777" w:rsidR="00F32255" w:rsidRPr="009B4428" w:rsidRDefault="00F32255" w:rsidP="00F32255">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TRC1 (Gaziantep, Adıyaman, Kilis)</w:t>
            </w:r>
          </w:p>
        </w:tc>
        <w:tc>
          <w:tcPr>
            <w:tcW w:w="2800" w:type="dxa"/>
            <w:shd w:val="clear" w:color="auto" w:fill="auto"/>
            <w:noWrap/>
            <w:vAlign w:val="center"/>
            <w:hideMark/>
          </w:tcPr>
          <w:p w14:paraId="583A8197"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15.1</w:t>
            </w:r>
          </w:p>
        </w:tc>
      </w:tr>
      <w:tr w:rsidR="00F32255" w:rsidRPr="009B4428" w14:paraId="6E4664FD" w14:textId="77777777" w:rsidTr="00F32255">
        <w:trPr>
          <w:trHeight w:val="300"/>
        </w:trPr>
        <w:tc>
          <w:tcPr>
            <w:tcW w:w="5400" w:type="dxa"/>
            <w:shd w:val="clear" w:color="auto" w:fill="auto"/>
            <w:noWrap/>
            <w:vAlign w:val="center"/>
            <w:hideMark/>
          </w:tcPr>
          <w:p w14:paraId="717B5786" w14:textId="77777777" w:rsidR="00F32255" w:rsidRPr="009B4428" w:rsidRDefault="00F32255" w:rsidP="00F32255">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TRA1 (Erzurum, Erzincan, Bayburt)</w:t>
            </w:r>
          </w:p>
        </w:tc>
        <w:tc>
          <w:tcPr>
            <w:tcW w:w="2800" w:type="dxa"/>
            <w:shd w:val="clear" w:color="auto" w:fill="auto"/>
            <w:noWrap/>
            <w:vAlign w:val="center"/>
            <w:hideMark/>
          </w:tcPr>
          <w:p w14:paraId="23D99C1A"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14.6</w:t>
            </w:r>
          </w:p>
        </w:tc>
      </w:tr>
      <w:tr w:rsidR="00F32255" w:rsidRPr="009B4428" w14:paraId="4584CABC" w14:textId="77777777" w:rsidTr="00F32255">
        <w:trPr>
          <w:trHeight w:val="300"/>
        </w:trPr>
        <w:tc>
          <w:tcPr>
            <w:tcW w:w="5400" w:type="dxa"/>
            <w:shd w:val="clear" w:color="auto" w:fill="auto"/>
            <w:noWrap/>
            <w:vAlign w:val="center"/>
            <w:hideMark/>
          </w:tcPr>
          <w:p w14:paraId="1D9D2C0F" w14:textId="77777777" w:rsidR="00F32255" w:rsidRPr="009B4428" w:rsidRDefault="00F32255" w:rsidP="00F32255">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TR72 (Kayseri, Sivas, Yozgat)</w:t>
            </w:r>
          </w:p>
        </w:tc>
        <w:tc>
          <w:tcPr>
            <w:tcW w:w="2800" w:type="dxa"/>
            <w:shd w:val="clear" w:color="auto" w:fill="auto"/>
            <w:noWrap/>
            <w:vAlign w:val="center"/>
            <w:hideMark/>
          </w:tcPr>
          <w:p w14:paraId="31AFEF87"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14.4</w:t>
            </w:r>
          </w:p>
        </w:tc>
      </w:tr>
      <w:tr w:rsidR="00F32255" w:rsidRPr="009B4428" w14:paraId="3B3E7424" w14:textId="77777777" w:rsidTr="00F32255">
        <w:trPr>
          <w:trHeight w:val="300"/>
        </w:trPr>
        <w:tc>
          <w:tcPr>
            <w:tcW w:w="5400" w:type="dxa"/>
            <w:shd w:val="clear" w:color="auto" w:fill="auto"/>
            <w:noWrap/>
            <w:vAlign w:val="center"/>
            <w:hideMark/>
          </w:tcPr>
          <w:p w14:paraId="12626D16" w14:textId="77777777" w:rsidR="00F32255" w:rsidRPr="009B4428" w:rsidRDefault="00F32255" w:rsidP="00F32255">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TRC2 (Şanlıurfa, Diyarbakır)</w:t>
            </w:r>
          </w:p>
        </w:tc>
        <w:tc>
          <w:tcPr>
            <w:tcW w:w="2800" w:type="dxa"/>
            <w:shd w:val="clear" w:color="auto" w:fill="auto"/>
            <w:noWrap/>
            <w:vAlign w:val="center"/>
            <w:hideMark/>
          </w:tcPr>
          <w:p w14:paraId="64FF8FD9"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10.7</w:t>
            </w:r>
          </w:p>
        </w:tc>
      </w:tr>
      <w:tr w:rsidR="00F32255" w:rsidRPr="009B4428" w14:paraId="7C17513B" w14:textId="77777777" w:rsidTr="00F32255">
        <w:trPr>
          <w:trHeight w:val="300"/>
        </w:trPr>
        <w:tc>
          <w:tcPr>
            <w:tcW w:w="5400" w:type="dxa"/>
            <w:shd w:val="clear" w:color="auto" w:fill="auto"/>
            <w:noWrap/>
            <w:vAlign w:val="center"/>
            <w:hideMark/>
          </w:tcPr>
          <w:p w14:paraId="65FA49AA" w14:textId="77777777" w:rsidR="00F32255" w:rsidRPr="009B4428" w:rsidRDefault="00F32255" w:rsidP="00F32255">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TRA2 (Ağrı, Kars, Iğdır, Ardahan)</w:t>
            </w:r>
          </w:p>
        </w:tc>
        <w:tc>
          <w:tcPr>
            <w:tcW w:w="2800" w:type="dxa"/>
            <w:shd w:val="clear" w:color="auto" w:fill="auto"/>
            <w:noWrap/>
            <w:vAlign w:val="center"/>
            <w:hideMark/>
          </w:tcPr>
          <w:p w14:paraId="4DE8EEA0"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8.6</w:t>
            </w:r>
          </w:p>
        </w:tc>
      </w:tr>
      <w:tr w:rsidR="00F32255" w:rsidRPr="009B4428" w14:paraId="3EECE8F7" w14:textId="77777777" w:rsidTr="00F32255">
        <w:trPr>
          <w:trHeight w:val="300"/>
        </w:trPr>
        <w:tc>
          <w:tcPr>
            <w:tcW w:w="5400" w:type="dxa"/>
            <w:shd w:val="clear" w:color="auto" w:fill="auto"/>
            <w:noWrap/>
            <w:vAlign w:val="center"/>
            <w:hideMark/>
          </w:tcPr>
          <w:p w14:paraId="25942DDC" w14:textId="77777777" w:rsidR="00F32255" w:rsidRPr="009B4428" w:rsidRDefault="00F32255" w:rsidP="00F32255">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TRB2 (Van, Muş, Bitlis, Hakkâri)</w:t>
            </w:r>
          </w:p>
        </w:tc>
        <w:tc>
          <w:tcPr>
            <w:tcW w:w="2800" w:type="dxa"/>
            <w:shd w:val="clear" w:color="auto" w:fill="auto"/>
            <w:noWrap/>
            <w:vAlign w:val="center"/>
            <w:hideMark/>
          </w:tcPr>
          <w:p w14:paraId="40B01A47"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7.4</w:t>
            </w:r>
          </w:p>
        </w:tc>
      </w:tr>
      <w:tr w:rsidR="00F32255" w:rsidRPr="009B4428" w14:paraId="210297B8" w14:textId="77777777" w:rsidTr="00F32255">
        <w:trPr>
          <w:trHeight w:val="300"/>
        </w:trPr>
        <w:tc>
          <w:tcPr>
            <w:tcW w:w="5400" w:type="dxa"/>
            <w:shd w:val="clear" w:color="auto" w:fill="auto"/>
            <w:noWrap/>
            <w:vAlign w:val="center"/>
            <w:hideMark/>
          </w:tcPr>
          <w:p w14:paraId="21B21709" w14:textId="77777777" w:rsidR="00F32255" w:rsidRPr="009B4428" w:rsidRDefault="00F32255" w:rsidP="00F32255">
            <w:pPr>
              <w:spacing w:after="0" w:line="240" w:lineRule="auto"/>
              <w:jc w:val="both"/>
              <w:rPr>
                <w:rFonts w:ascii="Calibri" w:eastAsia="Times New Roman" w:hAnsi="Calibri" w:cs="Times New Roman"/>
                <w:color w:val="000000"/>
              </w:rPr>
            </w:pPr>
            <w:r w:rsidRPr="009B4428">
              <w:rPr>
                <w:rFonts w:ascii="Calibri" w:eastAsia="Times New Roman" w:hAnsi="Calibri" w:cs="Times New Roman"/>
                <w:color w:val="000000"/>
              </w:rPr>
              <w:t>TRC3 (Mardin, Batman, Şırnak, Siirt)</w:t>
            </w:r>
          </w:p>
        </w:tc>
        <w:tc>
          <w:tcPr>
            <w:tcW w:w="2800" w:type="dxa"/>
            <w:shd w:val="clear" w:color="auto" w:fill="auto"/>
            <w:noWrap/>
            <w:vAlign w:val="center"/>
            <w:hideMark/>
          </w:tcPr>
          <w:p w14:paraId="482A7CCD" w14:textId="77777777" w:rsidR="00F32255" w:rsidRPr="009B4428" w:rsidRDefault="00F32255" w:rsidP="00F32255">
            <w:pPr>
              <w:spacing w:after="0" w:line="240" w:lineRule="auto"/>
              <w:jc w:val="center"/>
              <w:rPr>
                <w:rFonts w:ascii="Calibri" w:eastAsia="Times New Roman" w:hAnsi="Calibri" w:cs="Times New Roman"/>
                <w:color w:val="000000"/>
              </w:rPr>
            </w:pPr>
            <w:r w:rsidRPr="009B4428">
              <w:rPr>
                <w:rFonts w:ascii="Calibri" w:eastAsia="Times New Roman" w:hAnsi="Calibri" w:cs="Times New Roman"/>
                <w:color w:val="000000"/>
              </w:rPr>
              <w:t>7.2</w:t>
            </w:r>
          </w:p>
        </w:tc>
      </w:tr>
    </w:tbl>
    <w:p w14:paraId="7408BABA" w14:textId="0D4C2071" w:rsidR="00F32255" w:rsidRPr="009B4428" w:rsidRDefault="0053261D" w:rsidP="00ED3B36">
      <w:pPr>
        <w:jc w:val="both"/>
        <w:rPr>
          <w:b/>
        </w:rPr>
      </w:pPr>
      <w:r w:rsidRPr="009B4428">
        <w:rPr>
          <w:sz w:val="16"/>
          <w:szCs w:val="16"/>
        </w:rPr>
        <w:t>Kaynak: TUIK, Betam</w:t>
      </w:r>
    </w:p>
    <w:p w14:paraId="753F834E" w14:textId="209D4165" w:rsidR="00F32255" w:rsidRPr="009B4428" w:rsidRDefault="00F32255" w:rsidP="00ED3B36">
      <w:pPr>
        <w:jc w:val="both"/>
        <w:rPr>
          <w:b/>
        </w:rPr>
      </w:pPr>
    </w:p>
    <w:p w14:paraId="4BE2957C" w14:textId="4E8D8F10" w:rsidR="00F32255" w:rsidRPr="009B4428" w:rsidRDefault="00F32255" w:rsidP="00ED3B36">
      <w:pPr>
        <w:jc w:val="both"/>
        <w:rPr>
          <w:b/>
        </w:rPr>
      </w:pPr>
    </w:p>
    <w:p w14:paraId="27B62A90" w14:textId="128B904F" w:rsidR="00F32255" w:rsidRPr="009B4428" w:rsidRDefault="00F32255" w:rsidP="00ED3B36">
      <w:pPr>
        <w:jc w:val="both"/>
        <w:rPr>
          <w:b/>
        </w:rPr>
      </w:pPr>
    </w:p>
    <w:p w14:paraId="0F2BF0CE" w14:textId="23C1DAF7" w:rsidR="00F32255" w:rsidRPr="009B4428" w:rsidRDefault="00F32255" w:rsidP="00ED3B36">
      <w:pPr>
        <w:jc w:val="both"/>
        <w:rPr>
          <w:b/>
        </w:rPr>
      </w:pPr>
    </w:p>
    <w:p w14:paraId="5EF9FE2F" w14:textId="77777777" w:rsidR="00F32255" w:rsidRPr="009B4428" w:rsidRDefault="00F32255" w:rsidP="00ED3B36">
      <w:pPr>
        <w:jc w:val="both"/>
        <w:rPr>
          <w:b/>
        </w:rPr>
      </w:pPr>
    </w:p>
    <w:p w14:paraId="5C3E0B31" w14:textId="77777777" w:rsidR="00F32255" w:rsidRPr="009B4428" w:rsidRDefault="00F32255" w:rsidP="00ED3B36">
      <w:pPr>
        <w:jc w:val="both"/>
        <w:rPr>
          <w:b/>
        </w:rPr>
      </w:pPr>
    </w:p>
    <w:p w14:paraId="64094D8C" w14:textId="77777777" w:rsidR="00F32255" w:rsidRPr="009B4428" w:rsidRDefault="00F32255" w:rsidP="00ED3B36">
      <w:pPr>
        <w:jc w:val="both"/>
        <w:rPr>
          <w:b/>
        </w:rPr>
      </w:pPr>
    </w:p>
    <w:p w14:paraId="581E7D0D" w14:textId="77777777" w:rsidR="00F32255" w:rsidRPr="009B4428" w:rsidRDefault="00F32255" w:rsidP="00ED3B36">
      <w:pPr>
        <w:jc w:val="both"/>
        <w:rPr>
          <w:b/>
        </w:rPr>
      </w:pPr>
    </w:p>
    <w:p w14:paraId="69632E75" w14:textId="3625721F" w:rsidR="00EC01FB" w:rsidRPr="009B4428" w:rsidRDefault="00EC01FB" w:rsidP="00ED3B36">
      <w:pPr>
        <w:jc w:val="both"/>
        <w:rPr>
          <w:b/>
        </w:rPr>
      </w:pPr>
      <w:r w:rsidRPr="009B4428">
        <w:rPr>
          <w:noProof/>
          <w:sz w:val="24"/>
          <w:szCs w:val="24"/>
        </w:rPr>
        <w:lastRenderedPageBreak/>
        <mc:AlternateContent>
          <mc:Choice Requires="wps">
            <w:drawing>
              <wp:anchor distT="45720" distB="45720" distL="114300" distR="114300" simplePos="0" relativeHeight="251676160" behindDoc="0" locked="0" layoutInCell="1" allowOverlap="1" wp14:anchorId="5597EC3F" wp14:editId="332F4AA8">
                <wp:simplePos x="0" y="0"/>
                <wp:positionH relativeFrom="margin">
                  <wp:align>center</wp:align>
                </wp:positionH>
                <wp:positionV relativeFrom="paragraph">
                  <wp:posOffset>85228</wp:posOffset>
                </wp:positionV>
                <wp:extent cx="6334125" cy="7305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305675"/>
                        </a:xfrm>
                        <a:prstGeom prst="rect">
                          <a:avLst/>
                        </a:prstGeom>
                        <a:solidFill>
                          <a:srgbClr val="FFFFFF"/>
                        </a:solidFill>
                        <a:ln w="9525">
                          <a:solidFill>
                            <a:srgbClr val="000000"/>
                          </a:solidFill>
                          <a:miter lim="800000"/>
                          <a:headEnd/>
                          <a:tailEnd/>
                        </a:ln>
                      </wps:spPr>
                      <wps:txbx>
                        <w:txbxContent>
                          <w:p w14:paraId="59B47C7E" w14:textId="77777777" w:rsidR="00C275AD" w:rsidRPr="00271DEF" w:rsidRDefault="00C275AD" w:rsidP="00EC01FB">
                            <w:pPr>
                              <w:jc w:val="both"/>
                            </w:pPr>
                            <w:r w:rsidRPr="00271DEF">
                              <w:rPr>
                                <w:b/>
                              </w:rPr>
                              <w:t>KUTU: Tarım istihdamının bölgesel işsizlik oranlarına etkisi</w:t>
                            </w:r>
                          </w:p>
                          <w:p w14:paraId="7C18D505" w14:textId="77777777" w:rsidR="00C275AD" w:rsidRPr="008633EE" w:rsidRDefault="00C275AD" w:rsidP="00EC01FB">
                            <w:pPr>
                              <w:jc w:val="both"/>
                            </w:pPr>
                            <w:r w:rsidRPr="008633EE">
                              <w:t>TÜİK yıllık bölgesel işgücü istatistiklerinde (Düzey-2, 26 bölge) genel işsizlik oranları ile tarım dışı işsizlik oranlarını ayrı ayrı tahmin ederek vermektedir. Bölgesel işsizlik karşılaştırmalı olarak değerlendirilmek istendiğinde hangi işsizlik oranı seçilmelidir? Bu meşru bir sorudur çünkü bölgelerde genel işsizlik oranı ile tarım dışı işsizlik oranları arasında</w:t>
                            </w:r>
                            <w:r>
                              <w:t xml:space="preserve">ki </w:t>
                            </w:r>
                            <w:r w:rsidRPr="008633EE">
                              <w:t>farklar büyük boyutlara ulaşabildiği gibi, daha önemlisi, bu farklar bölgelerin işsizlik oranları itibariyle sıralamasını da değiştirebilmektedir. Örneğin TRA2 (Ağrı, Kars, Iğdır, Ardahan) bölgesi yüzde 4,9 (201</w:t>
                            </w:r>
                            <w:r>
                              <w:t>7</w:t>
                            </w:r>
                            <w:r w:rsidRPr="008633EE">
                              <w:t xml:space="preserve">) genel işsizlik oranıyla en düşük </w:t>
                            </w:r>
                            <w:r>
                              <w:t>üçüncü</w:t>
                            </w:r>
                            <w:r w:rsidRPr="008633EE">
                              <w:t xml:space="preserve"> orana sahip olurken yüzde 10,3 tarım dışı işsizlik oranıyla en düşük orana sahip </w:t>
                            </w:r>
                            <w:r>
                              <w:t>on ikinci</w:t>
                            </w:r>
                            <w:r w:rsidRPr="008633EE">
                              <w:t xml:space="preserve"> bölge durumundadır. </w:t>
                            </w:r>
                          </w:p>
                          <w:p w14:paraId="5FB12C8E" w14:textId="77777777" w:rsidR="00C275AD" w:rsidRDefault="00C275AD" w:rsidP="00EC01FB">
                            <w:pPr>
                              <w:jc w:val="both"/>
                            </w:pPr>
                            <w:r w:rsidRPr="008633EE">
                              <w:t>Genel işsizlik oranı ile tarım dışı işsizlik oranları arasındaki farklılığın başlıca kaynağı tarım istihdamının toplam içindeki payının bölgeden bölgeye farklılık göstermesidir. Türkiye tarımda aile işletmeleri çok büyük ağırlığa sahiptir. Çiftçi ailelerinde çalışma yaşında olan ve çalışmaya müsait bireylerin ezici çoğunluğu tarımsal faaliyetlere az ya da çok katıldıklarından tarımda işsizlik son derece düşüktür. Nitekim, ülke genelindeki tarım dışı işsizlik oranını (yüzde 13) ve tarım dışı istihdam miktarını (2</w:t>
                            </w:r>
                            <w:r>
                              <w:t>2</w:t>
                            </w:r>
                            <w:r w:rsidRPr="008633EE">
                              <w:t xml:space="preserve"> milyon </w:t>
                            </w:r>
                            <w:r>
                              <w:t>725</w:t>
                            </w:r>
                            <w:r w:rsidRPr="008633EE">
                              <w:t xml:space="preserve"> bin) kullanarak </w:t>
                            </w:r>
                            <w:r w:rsidRPr="002704B4">
                              <w:t xml:space="preserve">tarım dışı işsiz sayısını </w:t>
                            </w:r>
                            <w:r>
                              <w:t>3</w:t>
                            </w:r>
                            <w:r w:rsidRPr="002704B4">
                              <w:t xml:space="preserve"> milyon </w:t>
                            </w:r>
                            <w:r>
                              <w:t>396</w:t>
                            </w:r>
                            <w:r w:rsidRPr="002704B4">
                              <w:t xml:space="preserve"> bin olarak hesaplıyoruz. Toplam işsiz sayısı 3 milyon </w:t>
                            </w:r>
                            <w:r>
                              <w:t>454</w:t>
                            </w:r>
                            <w:r w:rsidRPr="002704B4">
                              <w:t xml:space="preserve"> bin olduğuna göre tarımda işsiz sayısı </w:t>
                            </w:r>
                            <w:r>
                              <w:t xml:space="preserve">yaklaşık </w:t>
                            </w:r>
                            <w:r w:rsidRPr="002704B4">
                              <w:t>5</w:t>
                            </w:r>
                            <w:r>
                              <w:t>8</w:t>
                            </w:r>
                            <w:r w:rsidRPr="002704B4">
                              <w:t xml:space="preserve"> binden ibarettir.</w:t>
                            </w:r>
                          </w:p>
                          <w:p w14:paraId="2B073AA6" w14:textId="77777777" w:rsidR="00C275AD" w:rsidRPr="008633EE" w:rsidRDefault="00C275AD" w:rsidP="00EC01FB">
                            <w:pPr>
                              <w:jc w:val="both"/>
                            </w:pPr>
                            <w:r>
                              <w:t>Tarım istihdamının ağırlığı</w:t>
                            </w:r>
                            <w:r w:rsidRPr="008633EE">
                              <w:t xml:space="preserve"> itibariyle tarım dışı işsizlik oranı ile genel işsizlik oranı arasındaki bağıntıyı toplam işsiz sayısının tarım dı</w:t>
                            </w:r>
                            <w:r>
                              <w:t>ş</w:t>
                            </w:r>
                            <w:r w:rsidRPr="008633EE">
                              <w:t>ı işsiz sayısına eşit olduğu varsayımı altında matematik olarak şöyle gösterebiliriz:</w:t>
                            </w:r>
                          </w:p>
                          <w:p w14:paraId="4F61BDD5" w14:textId="77777777" w:rsidR="00C275AD" w:rsidRPr="006228B4" w:rsidRDefault="00C8634C" w:rsidP="00EC01FB">
                            <m:oMathPara>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td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14:paraId="73BC71D0" w14:textId="77777777" w:rsidR="00C275AD" w:rsidRDefault="00C275AD" w:rsidP="00EC01FB">
                            <m:oMath>
                              <m:r>
                                <w:rPr>
                                  <w:rFonts w:ascii="Cambria Math" w:hAnsi="Cambria Math"/>
                                </w:rPr>
                                <m:t>U</m:t>
                              </m:r>
                            </m:oMath>
                            <w:r>
                              <w:t xml:space="preserve">: Toplam işsiz sayısı; </w:t>
                            </w:r>
                            <m:oMath>
                              <m:sSub>
                                <m:sSubPr>
                                  <m:ctrlPr>
                                    <w:rPr>
                                      <w:rFonts w:ascii="Cambria Math" w:hAnsi="Cambria Math"/>
                                      <w:i/>
                                    </w:rPr>
                                  </m:ctrlPr>
                                </m:sSubPr>
                                <m:e>
                                  <m:r>
                                    <w:rPr>
                                      <w:rFonts w:ascii="Cambria Math" w:hAnsi="Cambria Math"/>
                                    </w:rPr>
                                    <m:t>U</m:t>
                                  </m:r>
                                </m:e>
                                <m:sub>
                                  <m:r>
                                    <w:rPr>
                                      <w:rFonts w:ascii="Cambria Math" w:hAnsi="Cambria Math"/>
                                    </w:rPr>
                                    <m:t>td</m:t>
                                  </m:r>
                                </m:sub>
                              </m:sSub>
                              <m:r>
                                <w:rPr>
                                  <w:rFonts w:ascii="Cambria Math" w:hAnsi="Cambria Math"/>
                                </w:rPr>
                                <m:t>:</m:t>
                              </m:r>
                            </m:oMath>
                            <w:r>
                              <w:t xml:space="preserve"> Tarım dışı işsiz sayısı; </w:t>
                            </w:r>
                            <m:oMath>
                              <m:r>
                                <w:rPr>
                                  <w:rFonts w:ascii="Cambria Math" w:hAnsi="Cambria Math"/>
                                </w:rPr>
                                <m:t>u</m:t>
                              </m:r>
                            </m:oMath>
                            <w:r>
                              <w:t>: Genel işsizlik oranı</w:t>
                            </w:r>
                            <w:r>
                              <w:br/>
                            </w:r>
                            <m:oMath>
                              <m:sSub>
                                <m:sSubPr>
                                  <m:ctrlPr>
                                    <w:rPr>
                                      <w:rFonts w:ascii="Cambria Math" w:hAnsi="Cambria Math"/>
                                      <w:i/>
                                    </w:rPr>
                                  </m:ctrlPr>
                                </m:sSubPr>
                                <m:e>
                                  <m:r>
                                    <w:rPr>
                                      <w:rFonts w:ascii="Cambria Math" w:hAnsi="Cambria Math"/>
                                    </w:rPr>
                                    <m:t>u</m:t>
                                  </m:r>
                                </m:e>
                                <m:sub>
                                  <m:r>
                                    <w:rPr>
                                      <w:rFonts w:ascii="Cambria Math" w:hAnsi="Cambria Math"/>
                                    </w:rPr>
                                    <m:t>td</m:t>
                                  </m:r>
                                </m:sub>
                              </m:sSub>
                            </m:oMath>
                            <w:r>
                              <w:t xml:space="preserve">: Tarım dışı işsizlik oranı; </w:t>
                            </w:r>
                            <m:oMath>
                              <m:r>
                                <w:rPr>
                                  <w:rFonts w:ascii="Cambria Math" w:hAnsi="Cambria Math"/>
                                </w:rPr>
                                <m:t>LF</m:t>
                              </m:r>
                            </m:oMath>
                            <w:r>
                              <w:t xml:space="preserve">: Toplam işgücü; </w:t>
                            </w:r>
                            <m:oMath>
                              <m:sSub>
                                <m:sSubPr>
                                  <m:ctrlPr>
                                    <w:rPr>
                                      <w:rFonts w:ascii="Cambria Math" w:hAnsi="Cambria Math"/>
                                      <w:i/>
                                    </w:rPr>
                                  </m:ctrlPr>
                                </m:sSubPr>
                                <m:e>
                                  <m:r>
                                    <w:rPr>
                                      <w:rFonts w:ascii="Cambria Math" w:hAnsi="Cambria Math"/>
                                    </w:rPr>
                                    <m:t>LF</m:t>
                                  </m:r>
                                </m:e>
                                <m:sub>
                                  <m:r>
                                    <w:rPr>
                                      <w:rFonts w:ascii="Cambria Math" w:hAnsi="Cambria Math"/>
                                    </w:rPr>
                                    <m:t xml:space="preserve">td </m:t>
                                  </m:r>
                                </m:sub>
                              </m:sSub>
                            </m:oMath>
                            <w:r>
                              <w:t xml:space="preserve">: Tarım dışı işgücü; </w:t>
                            </w:r>
                            <m:oMath>
                              <m:sSub>
                                <m:sSubPr>
                                  <m:ctrlPr>
                                    <w:rPr>
                                      <w:rFonts w:ascii="Cambria Math" w:hAnsi="Cambria Math"/>
                                      <w:i/>
                                    </w:rPr>
                                  </m:ctrlPr>
                                </m:sSubPr>
                                <m:e>
                                  <m:r>
                                    <w:rPr>
                                      <w:rFonts w:ascii="Cambria Math" w:hAnsi="Cambria Math"/>
                                    </w:rPr>
                                    <m:t>LF</m:t>
                                  </m:r>
                                </m:e>
                                <m:sub>
                                  <m:r>
                                    <w:rPr>
                                      <w:rFonts w:ascii="Cambria Math" w:hAnsi="Cambria Math"/>
                                    </w:rPr>
                                    <m:t>t</m:t>
                                  </m:r>
                                </m:sub>
                              </m:sSub>
                            </m:oMath>
                            <w:r>
                              <w:t>: Tarım işgücü</w:t>
                            </w:r>
                          </w:p>
                          <w:p w14:paraId="1F6725CF" w14:textId="77777777" w:rsidR="00C275AD" w:rsidRDefault="00C8634C" w:rsidP="00EC01FB">
                            <w:pPr>
                              <w:jc w:val="center"/>
                            </w:pPr>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t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oMath>
                            <w:r w:rsidR="00C275AD">
                              <w:t xml:space="preserve"> Tarım istihdamı</w:t>
                            </w:r>
                          </w:p>
                          <w:p w14:paraId="532249BE" w14:textId="77777777" w:rsidR="00C275AD" w:rsidRPr="00D13D5D" w:rsidRDefault="00C8634C" w:rsidP="00EC01FB">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14:paraId="6573EC2B" w14:textId="77777777" w:rsidR="00C275AD" w:rsidRDefault="00C275AD" w:rsidP="00EC01FB">
                            <w: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td</m:t>
                                      </m:r>
                                    </m:sub>
                                  </m:sSub>
                                </m:num>
                                <m:den>
                                  <m:r>
                                    <w:rPr>
                                      <w:rFonts w:ascii="Cambria Math" w:hAnsi="Cambria Math"/>
                                      <w:sz w:val="28"/>
                                      <w:szCs w:val="28"/>
                                    </w:rPr>
                                    <m:t>u</m:t>
                                  </m:r>
                                </m:den>
                              </m:f>
                            </m:oMath>
                            <w:r>
                              <w:t xml:space="preserve">  </w:t>
                            </w:r>
                            <w:proofErr w:type="gramStart"/>
                            <w:r>
                              <w:t>oranı</w:t>
                            </w:r>
                            <w:proofErr w:type="gramEnd"/>
                            <w:r>
                              <w:t xml:space="preserve"> tarım dışı işsizlik oranı ile genel işsizlik oranı arasındaki göreli farklılığı temsil ederken,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td</m:t>
                                      </m:r>
                                    </m:sub>
                                  </m:sSub>
                                </m:den>
                              </m:f>
                            </m:oMath>
                            <w:r>
                              <w:t xml:space="preserve">  oranı </w:t>
                            </w:r>
                            <w:r w:rsidRPr="002704B4">
                              <w:t>tarım istihdamının göreli ağırlığını temsil etmektedir.</w:t>
                            </w:r>
                            <w:r>
                              <w:t xml:space="preserve"> </w:t>
                            </w:r>
                          </w:p>
                          <w:p w14:paraId="2B3807E9" w14:textId="77777777" w:rsidR="00C275AD" w:rsidRPr="00D95186" w:rsidRDefault="00C275AD" w:rsidP="00EC01FB">
                            <w:r>
                              <w:t xml:space="preserve">Ek Şekil 1’de </w:t>
                            </w:r>
                            <w:r w:rsidRPr="00D95186">
                              <w:t xml:space="preserve">bölgesel tarım dışı işsizlik oranı ile genel işsizlik oranı arasındaki </w:t>
                            </w:r>
                            <w:r>
                              <w:t xml:space="preserve">göreli </w:t>
                            </w:r>
                            <w:r w:rsidRPr="00D95186">
                              <w:t xml:space="preserve">fark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td</m:t>
                                      </m:r>
                                    </m:sub>
                                  </m:sSub>
                                </m:num>
                                <m:den>
                                  <m:r>
                                    <w:rPr>
                                      <w:rFonts w:ascii="Cambria Math" w:hAnsi="Cambria Math"/>
                                      <w:sz w:val="26"/>
                                      <w:szCs w:val="26"/>
                                    </w:rPr>
                                    <m:t>u</m:t>
                                  </m:r>
                                </m:den>
                              </m:f>
                            </m:oMath>
                            <w:r w:rsidRPr="00D95186">
                              <w:t xml:space="preserve"> ile tarım istihdamının göreli ağırılğı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t</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td</m:t>
                                      </m:r>
                                    </m:sub>
                                  </m:sSub>
                                </m:den>
                              </m:f>
                            </m:oMath>
                            <w:r w:rsidRPr="00D95186">
                              <w:t xml:space="preserve"> arasındaki bağıntı TÜİK verileri kullanılarak gösterilmektedir.</w:t>
                            </w:r>
                          </w:p>
                          <w:p w14:paraId="1F944AC4" w14:textId="77777777" w:rsidR="00C275AD" w:rsidRPr="006228B4" w:rsidRDefault="00C275AD" w:rsidP="00EC0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97EC3F" id="Text Box 2" o:spid="_x0000_s1028" type="#_x0000_t202" style="position:absolute;left:0;text-align:left;margin-left:0;margin-top:6.7pt;width:498.75pt;height:575.25pt;z-index:251676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">
                <v:textbox>
                  <w:txbxContent>
                    <w:p w14:paraId="59B47C7E" w14:textId="77777777" w:rsidR="00C275AD" w:rsidRPr="00271DEF" w:rsidRDefault="00C275AD" w:rsidP="00EC01FB">
                      <w:pPr>
                        <w:jc w:val="both"/>
                      </w:pPr>
                      <w:r w:rsidRPr="00271DEF">
                        <w:rPr>
                          <w:b/>
                        </w:rPr>
                        <w:t>KUTU: Tarım istihdamının bölgesel işsizlik oranlarına etkisi</w:t>
                      </w:r>
                    </w:p>
                    <w:p w14:paraId="7C18D505" w14:textId="77777777" w:rsidR="00C275AD" w:rsidRPr="008633EE" w:rsidRDefault="00C275AD" w:rsidP="00EC01FB">
                      <w:pPr>
                        <w:jc w:val="both"/>
                      </w:pPr>
                      <w:r w:rsidRPr="008633EE">
                        <w:t>TÜİK yıllık bölgesel işgücü istatistiklerinde (Düzey-2, 26 bölge) genel işsizlik oranları ile tarım dışı işsizlik oranlarını ayrı ayrı tahmin ederek vermektedir. Bölgesel işsizlik karşılaştırmalı olarak değerlendirilmek istendiğinde hangi işsizlik oranı seçilmelidir? Bu meşru bir sorudur çünkü bölgelerde genel işsizlik oranı ile tarım dışı işsizlik oranları arasında</w:t>
                      </w:r>
                      <w:r>
                        <w:t xml:space="preserve">ki </w:t>
                      </w:r>
                      <w:r w:rsidRPr="008633EE">
                        <w:t>farklar büyük boyutlara ulaşabildiği gibi, daha önemlisi, bu farklar bölgelerin işsizlik oranları itibariyle sıralamasını da değiştirebilmektedir. Örneğin TRA2 (Ağrı, Kars, Iğdır, Ardahan) bölgesi yüzde 4,9 (201</w:t>
                      </w:r>
                      <w:r>
                        <w:t>7</w:t>
                      </w:r>
                      <w:r w:rsidRPr="008633EE">
                        <w:t xml:space="preserve">) genel işsizlik oranıyla en düşük </w:t>
                      </w:r>
                      <w:r>
                        <w:t>üçüncü</w:t>
                      </w:r>
                      <w:r w:rsidRPr="008633EE">
                        <w:t xml:space="preserve"> orana sahip olurken yüzde 10,3 tarım dışı işsizlik oranıyla en düşük orana sahip </w:t>
                      </w:r>
                      <w:r>
                        <w:t>on ikinci</w:t>
                      </w:r>
                      <w:r w:rsidRPr="008633EE">
                        <w:t xml:space="preserve"> bölge durumundadır. </w:t>
                      </w:r>
                    </w:p>
                    <w:p w14:paraId="5FB12C8E" w14:textId="77777777" w:rsidR="00C275AD" w:rsidRDefault="00C275AD" w:rsidP="00EC01FB">
                      <w:pPr>
                        <w:jc w:val="both"/>
                      </w:pPr>
                      <w:r w:rsidRPr="008633EE">
                        <w:t>Genel işsizlik oranı ile tarım dışı işsizlik oranları arasındaki farklılığın başlıca kaynağı tarım istihdamının toplam içindeki payının bölgeden bölgeye farklılık göstermesidir. Türkiye tarımda aile işletmeleri çok büyük ağırlığa sahiptir. Çiftçi ailelerinde çalışma yaşında olan ve çalışmaya müsait bireylerin ezici çoğunluğu tarımsal faaliyetlere az ya da çok katıldıklarından tarımda işsizlik son derece düşüktür. Nitekim, ülke genelindeki tarım dışı işsizlik oranını (yüzde 13) ve tarım dışı istihdam miktarını (2</w:t>
                      </w:r>
                      <w:r>
                        <w:t>2</w:t>
                      </w:r>
                      <w:r w:rsidRPr="008633EE">
                        <w:t xml:space="preserve"> milyon </w:t>
                      </w:r>
                      <w:r>
                        <w:t>725</w:t>
                      </w:r>
                      <w:r w:rsidRPr="008633EE">
                        <w:t xml:space="preserve"> bin) kullanarak </w:t>
                      </w:r>
                      <w:r w:rsidRPr="002704B4">
                        <w:t xml:space="preserve">tarım dışı işsiz sayısını </w:t>
                      </w:r>
                      <w:r>
                        <w:t>3</w:t>
                      </w:r>
                      <w:r w:rsidRPr="002704B4">
                        <w:t xml:space="preserve"> milyon </w:t>
                      </w:r>
                      <w:r>
                        <w:t>396</w:t>
                      </w:r>
                      <w:r w:rsidRPr="002704B4">
                        <w:t xml:space="preserve"> bin olarak hesaplıyoruz. Toplam işsiz sayısı 3 milyon </w:t>
                      </w:r>
                      <w:r>
                        <w:t>454</w:t>
                      </w:r>
                      <w:r w:rsidRPr="002704B4">
                        <w:t xml:space="preserve"> bin olduğuna göre tarımda işsiz sayısı </w:t>
                      </w:r>
                      <w:r>
                        <w:t xml:space="preserve">yaklaşık </w:t>
                      </w:r>
                      <w:r w:rsidRPr="002704B4">
                        <w:t>5</w:t>
                      </w:r>
                      <w:r>
                        <w:t>8</w:t>
                      </w:r>
                      <w:r w:rsidRPr="002704B4">
                        <w:t xml:space="preserve"> binden ibarettir.</w:t>
                      </w:r>
                    </w:p>
                    <w:p w14:paraId="2B073AA6" w14:textId="77777777" w:rsidR="00C275AD" w:rsidRPr="008633EE" w:rsidRDefault="00C275AD" w:rsidP="00EC01FB">
                      <w:pPr>
                        <w:jc w:val="both"/>
                      </w:pPr>
                      <w:r>
                        <w:t>Tarım istihdamının ağırlığı</w:t>
                      </w:r>
                      <w:r w:rsidRPr="008633EE">
                        <w:t xml:space="preserve"> itibariyle tarım dışı işsizlik oranı ile genel işsizlik oranı arasındaki bağıntıyı toplam işsiz sayısının tarım dı</w:t>
                      </w:r>
                      <w:r>
                        <w:t>ş</w:t>
                      </w:r>
                      <w:r w:rsidRPr="008633EE">
                        <w:t>ı işsiz sayısına eşit olduğu varsayımı altında matematik olarak şöyle gösterebiliriz:</w:t>
                      </w:r>
                    </w:p>
                    <w:p w14:paraId="4F61BDD5" w14:textId="77777777" w:rsidR="00C275AD" w:rsidRPr="006228B4" w:rsidRDefault="00236613" w:rsidP="00EC01FB">
                      <m:oMathPara>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td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14:paraId="73BC71D0" w14:textId="77777777" w:rsidR="00C275AD" w:rsidRDefault="00C275AD" w:rsidP="00EC01FB">
                      <m:oMath>
                        <m:r>
                          <w:rPr>
                            <w:rFonts w:ascii="Cambria Math" w:hAnsi="Cambria Math"/>
                          </w:rPr>
                          <m:t>U</m:t>
                        </m:r>
                      </m:oMath>
                      <w:r>
                        <w:t xml:space="preserve">: Toplam işsiz sayısı; </w:t>
                      </w:r>
                      <m:oMath>
                        <m:sSub>
                          <m:sSubPr>
                            <m:ctrlPr>
                              <w:rPr>
                                <w:rFonts w:ascii="Cambria Math" w:hAnsi="Cambria Math"/>
                                <w:i/>
                              </w:rPr>
                            </m:ctrlPr>
                          </m:sSubPr>
                          <m:e>
                            <m:r>
                              <w:rPr>
                                <w:rFonts w:ascii="Cambria Math" w:hAnsi="Cambria Math"/>
                              </w:rPr>
                              <m:t>U</m:t>
                            </m:r>
                          </m:e>
                          <m:sub>
                            <m:r>
                              <w:rPr>
                                <w:rFonts w:ascii="Cambria Math" w:hAnsi="Cambria Math"/>
                              </w:rPr>
                              <m:t>td</m:t>
                            </m:r>
                          </m:sub>
                        </m:sSub>
                        <m:r>
                          <w:rPr>
                            <w:rFonts w:ascii="Cambria Math" w:hAnsi="Cambria Math"/>
                          </w:rPr>
                          <m:t>:</m:t>
                        </m:r>
                      </m:oMath>
                      <w:r>
                        <w:t xml:space="preserve"> Tarım dışı işsiz sayısı; </w:t>
                      </w:r>
                      <m:oMath>
                        <m:r>
                          <w:rPr>
                            <w:rFonts w:ascii="Cambria Math" w:hAnsi="Cambria Math"/>
                          </w:rPr>
                          <m:t>u</m:t>
                        </m:r>
                      </m:oMath>
                      <w:r>
                        <w:t>: Genel işsizlik oranı</w:t>
                      </w:r>
                      <w:r>
                        <w:br/>
                      </w:r>
                      <m:oMath>
                        <m:sSub>
                          <m:sSubPr>
                            <m:ctrlPr>
                              <w:rPr>
                                <w:rFonts w:ascii="Cambria Math" w:hAnsi="Cambria Math"/>
                                <w:i/>
                              </w:rPr>
                            </m:ctrlPr>
                          </m:sSubPr>
                          <m:e>
                            <m:r>
                              <w:rPr>
                                <w:rFonts w:ascii="Cambria Math" w:hAnsi="Cambria Math"/>
                              </w:rPr>
                              <m:t>u</m:t>
                            </m:r>
                          </m:e>
                          <m:sub>
                            <m:r>
                              <w:rPr>
                                <w:rFonts w:ascii="Cambria Math" w:hAnsi="Cambria Math"/>
                              </w:rPr>
                              <m:t>td</m:t>
                            </m:r>
                          </m:sub>
                        </m:sSub>
                      </m:oMath>
                      <w:r>
                        <w:t xml:space="preserve">: Tarım dışı işsizlik oranı; </w:t>
                      </w:r>
                      <m:oMath>
                        <m:r>
                          <w:rPr>
                            <w:rFonts w:ascii="Cambria Math" w:hAnsi="Cambria Math"/>
                          </w:rPr>
                          <m:t>LF</m:t>
                        </m:r>
                      </m:oMath>
                      <w:r>
                        <w:t xml:space="preserve">: Toplam işgücü; </w:t>
                      </w:r>
                      <m:oMath>
                        <m:sSub>
                          <m:sSubPr>
                            <m:ctrlPr>
                              <w:rPr>
                                <w:rFonts w:ascii="Cambria Math" w:hAnsi="Cambria Math"/>
                                <w:i/>
                              </w:rPr>
                            </m:ctrlPr>
                          </m:sSubPr>
                          <m:e>
                            <m:r>
                              <w:rPr>
                                <w:rFonts w:ascii="Cambria Math" w:hAnsi="Cambria Math"/>
                              </w:rPr>
                              <m:t>LF</m:t>
                            </m:r>
                          </m:e>
                          <m:sub>
                            <m:r>
                              <w:rPr>
                                <w:rFonts w:ascii="Cambria Math" w:hAnsi="Cambria Math"/>
                              </w:rPr>
                              <m:t xml:space="preserve">td </m:t>
                            </m:r>
                          </m:sub>
                        </m:sSub>
                      </m:oMath>
                      <w:r>
                        <w:t xml:space="preserve">: Tarım dışı işgücü; </w:t>
                      </w:r>
                      <m:oMath>
                        <m:sSub>
                          <m:sSubPr>
                            <m:ctrlPr>
                              <w:rPr>
                                <w:rFonts w:ascii="Cambria Math" w:hAnsi="Cambria Math"/>
                                <w:i/>
                              </w:rPr>
                            </m:ctrlPr>
                          </m:sSubPr>
                          <m:e>
                            <m:r>
                              <w:rPr>
                                <w:rFonts w:ascii="Cambria Math" w:hAnsi="Cambria Math"/>
                              </w:rPr>
                              <m:t>LF</m:t>
                            </m:r>
                          </m:e>
                          <m:sub>
                            <m:r>
                              <w:rPr>
                                <w:rFonts w:ascii="Cambria Math" w:hAnsi="Cambria Math"/>
                              </w:rPr>
                              <m:t>t</m:t>
                            </m:r>
                          </m:sub>
                        </m:sSub>
                      </m:oMath>
                      <w:r>
                        <w:t>: Tarım işgücü</w:t>
                      </w:r>
                    </w:p>
                    <w:p w14:paraId="1F6725CF" w14:textId="77777777" w:rsidR="00C275AD" w:rsidRDefault="00236613" w:rsidP="00EC01FB">
                      <w:pPr>
                        <w:jc w:val="center"/>
                      </w:pPr>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t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oMath>
                      <w:r w:rsidR="00C275AD">
                        <w:t xml:space="preserve"> Tarım istihdamı</w:t>
                      </w:r>
                    </w:p>
                    <w:p w14:paraId="532249BE" w14:textId="77777777" w:rsidR="00C275AD" w:rsidRPr="00D13D5D" w:rsidRDefault="00236613" w:rsidP="00EC01FB">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14:paraId="6573EC2B" w14:textId="77777777" w:rsidR="00C275AD" w:rsidRDefault="00C275AD" w:rsidP="00EC01FB">
                      <w: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td</m:t>
                                </m:r>
                              </m:sub>
                            </m:sSub>
                          </m:num>
                          <m:den>
                            <m:r>
                              <w:rPr>
                                <w:rFonts w:ascii="Cambria Math" w:hAnsi="Cambria Math"/>
                                <w:sz w:val="28"/>
                                <w:szCs w:val="28"/>
                              </w:rPr>
                              <m:t>u</m:t>
                            </m:r>
                          </m:den>
                        </m:f>
                      </m:oMath>
                      <w:r>
                        <w:t xml:space="preserve">  </w:t>
                      </w:r>
                      <w:proofErr w:type="gramStart"/>
                      <w:r>
                        <w:t>oranı</w:t>
                      </w:r>
                      <w:proofErr w:type="gramEnd"/>
                      <w:r>
                        <w:t xml:space="preserve"> tarım dışı işsizlik oranı ile genel işsizlik oranı arasındaki göreli farklılığı temsil ederken,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td</m:t>
                                </m:r>
                              </m:sub>
                            </m:sSub>
                          </m:den>
                        </m:f>
                      </m:oMath>
                      <w:r>
                        <w:t xml:space="preserve">  oranı </w:t>
                      </w:r>
                      <w:r w:rsidRPr="002704B4">
                        <w:t>tarım istihdamının göreli ağırlığını temsil etmektedir.</w:t>
                      </w:r>
                      <w:r>
                        <w:t xml:space="preserve"> </w:t>
                      </w:r>
                    </w:p>
                    <w:p w14:paraId="2B3807E9" w14:textId="77777777" w:rsidR="00C275AD" w:rsidRPr="00D95186" w:rsidRDefault="00C275AD" w:rsidP="00EC01FB">
                      <w:r>
                        <w:t xml:space="preserve">Ek Şekil 1’de </w:t>
                      </w:r>
                      <w:r w:rsidRPr="00D95186">
                        <w:t xml:space="preserve">bölgesel tarım dışı işsizlik oranı ile genel işsizlik oranı arasındaki </w:t>
                      </w:r>
                      <w:r>
                        <w:t xml:space="preserve">göreli </w:t>
                      </w:r>
                      <w:r w:rsidRPr="00D95186">
                        <w:t xml:space="preserve">fark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td</m:t>
                                </m:r>
                              </m:sub>
                            </m:sSub>
                          </m:num>
                          <m:den>
                            <m:r>
                              <w:rPr>
                                <w:rFonts w:ascii="Cambria Math" w:hAnsi="Cambria Math"/>
                                <w:sz w:val="26"/>
                                <w:szCs w:val="26"/>
                              </w:rPr>
                              <m:t>u</m:t>
                            </m:r>
                          </m:den>
                        </m:f>
                      </m:oMath>
                      <w:r w:rsidRPr="00D95186">
                        <w:t xml:space="preserve"> ile tarım istihdamının göreli ağırılğı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t</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td</m:t>
                                </m:r>
                              </m:sub>
                            </m:sSub>
                          </m:den>
                        </m:f>
                      </m:oMath>
                      <w:r w:rsidRPr="00D95186">
                        <w:t xml:space="preserve"> arasındaki bağıntı TÜİK verileri kullanılarak gösterilmektedir.</w:t>
                      </w:r>
                    </w:p>
                    <w:p w14:paraId="1F944AC4" w14:textId="77777777" w:rsidR="00C275AD" w:rsidRPr="006228B4" w:rsidRDefault="00C275AD" w:rsidP="00EC01FB"/>
                  </w:txbxContent>
                </v:textbox>
                <w10:wrap type="square" anchorx="margin"/>
              </v:shape>
            </w:pict>
          </mc:Fallback>
        </mc:AlternateContent>
      </w:r>
    </w:p>
    <w:p w14:paraId="4575AC3F" w14:textId="77777777" w:rsidR="00EC01FB" w:rsidRPr="009B4428" w:rsidRDefault="00EC01FB" w:rsidP="00ED3B36">
      <w:pPr>
        <w:jc w:val="both"/>
        <w:rPr>
          <w:b/>
        </w:rPr>
      </w:pPr>
    </w:p>
    <w:p w14:paraId="003E6C7E" w14:textId="77777777" w:rsidR="00EC01FB" w:rsidRPr="009B4428" w:rsidRDefault="00EC01FB" w:rsidP="00ED3B36">
      <w:pPr>
        <w:jc w:val="both"/>
        <w:rPr>
          <w:b/>
        </w:rPr>
      </w:pPr>
    </w:p>
    <w:p w14:paraId="6952AAF6" w14:textId="77777777" w:rsidR="00EC01FB" w:rsidRPr="009B4428" w:rsidRDefault="00EC01FB" w:rsidP="00ED3B36">
      <w:pPr>
        <w:jc w:val="both"/>
        <w:rPr>
          <w:b/>
        </w:rPr>
      </w:pPr>
    </w:p>
    <w:p w14:paraId="5521A48F" w14:textId="384FD2B1" w:rsidR="009705AD" w:rsidRPr="009B4428" w:rsidRDefault="00691B92" w:rsidP="00ED3B36">
      <w:pPr>
        <w:jc w:val="both"/>
      </w:pPr>
      <w:r w:rsidRPr="009B4428">
        <w:rPr>
          <w:b/>
        </w:rPr>
        <w:lastRenderedPageBreak/>
        <w:t xml:space="preserve">Ek Şekil </w:t>
      </w:r>
      <w:r w:rsidR="00503BBC" w:rsidRPr="009B4428">
        <w:rPr>
          <w:b/>
        </w:rPr>
        <w:t>1</w:t>
      </w:r>
      <w:r w:rsidR="00F9001E" w:rsidRPr="009B4428">
        <w:rPr>
          <w:b/>
        </w:rPr>
        <w:t>:</w:t>
      </w:r>
      <w:r w:rsidR="00F9001E" w:rsidRPr="009B4428">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td</m:t>
                </m:r>
              </m:sub>
            </m:sSub>
          </m:num>
          <m:den>
            <m:r>
              <m:rPr>
                <m:sty m:val="bi"/>
              </m:rPr>
              <w:rPr>
                <w:rFonts w:ascii="Cambria Math" w:hAnsi="Cambria Math"/>
                <w:color w:val="000000" w:themeColor="text1"/>
                <w:sz w:val="28"/>
                <w:szCs w:val="28"/>
              </w:rPr>
              <m:t>u</m:t>
            </m:r>
          </m:den>
        </m:f>
      </m:oMath>
      <w:r w:rsidR="00F9001E" w:rsidRPr="009B4428">
        <w:rPr>
          <w:color w:val="000000" w:themeColor="text1"/>
        </w:rPr>
        <w:t xml:space="preserve">  </w:t>
      </w:r>
      <w:r w:rsidR="00F9001E" w:rsidRPr="009B4428">
        <w:t xml:space="preserve">ve </w:t>
      </w:r>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t</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td</m:t>
                </m:r>
              </m:sub>
            </m:sSub>
          </m:den>
        </m:f>
      </m:oMath>
      <w:r w:rsidR="00F9001E" w:rsidRPr="009B4428">
        <w:t xml:space="preserve">   arasındaki ilişki (201</w:t>
      </w:r>
      <w:r w:rsidR="001E0CC2" w:rsidRPr="009B4428">
        <w:t>7</w:t>
      </w:r>
      <w:r w:rsidR="00F9001E" w:rsidRPr="009B4428">
        <w:t>)</w:t>
      </w:r>
    </w:p>
    <w:p w14:paraId="38AEA3EF" w14:textId="47FE641B" w:rsidR="00DC6185" w:rsidRPr="009B4428" w:rsidRDefault="00313849" w:rsidP="00ED3B36">
      <w:pPr>
        <w:jc w:val="both"/>
      </w:pPr>
      <w:r w:rsidRPr="009B4428">
        <w:rPr>
          <w:noProof/>
        </w:rPr>
        <w:drawing>
          <wp:inline distT="0" distB="0" distL="0" distR="0" wp14:anchorId="05534198" wp14:editId="1729DEDE">
            <wp:extent cx="5287245" cy="353298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5934" cy="3538795"/>
                    </a:xfrm>
                    <a:prstGeom prst="rect">
                      <a:avLst/>
                    </a:prstGeom>
                  </pic:spPr>
                </pic:pic>
              </a:graphicData>
            </a:graphic>
          </wp:inline>
        </w:drawing>
      </w:r>
    </w:p>
    <w:p w14:paraId="06B2ED2D" w14:textId="77777777" w:rsidR="00376669" w:rsidRPr="009B4428" w:rsidRDefault="00376669" w:rsidP="00ED3B36">
      <w:pPr>
        <w:jc w:val="both"/>
        <w:rPr>
          <w:sz w:val="16"/>
          <w:szCs w:val="16"/>
        </w:rPr>
      </w:pPr>
      <w:r w:rsidRPr="009B4428">
        <w:rPr>
          <w:sz w:val="16"/>
          <w:szCs w:val="16"/>
        </w:rPr>
        <w:t>Kaynak: TUIK, Betam</w:t>
      </w:r>
    </w:p>
    <w:p w14:paraId="1941880E" w14:textId="77777777" w:rsidR="00F35846" w:rsidRPr="009B4428" w:rsidRDefault="00F35846" w:rsidP="00ED3B36">
      <w:pPr>
        <w:jc w:val="both"/>
      </w:pPr>
    </w:p>
    <w:p w14:paraId="020D371D" w14:textId="77777777" w:rsidR="00F35846" w:rsidRPr="009B4428" w:rsidRDefault="00F35846" w:rsidP="00ED3B36">
      <w:pPr>
        <w:spacing w:after="0" w:line="240" w:lineRule="auto"/>
        <w:jc w:val="both"/>
        <w:rPr>
          <w:rFonts w:ascii="Courier New" w:hAnsi="Courier New" w:cs="Courier New"/>
          <w:sz w:val="18"/>
          <w:szCs w:val="18"/>
        </w:rPr>
      </w:pPr>
    </w:p>
    <w:p w14:paraId="50080596" w14:textId="77777777" w:rsidR="00F35846" w:rsidRPr="009B4428" w:rsidRDefault="00F35846" w:rsidP="00ED3B36">
      <w:pPr>
        <w:spacing w:after="0" w:line="240" w:lineRule="auto"/>
        <w:jc w:val="both"/>
        <w:rPr>
          <w:rFonts w:ascii="Courier New" w:hAnsi="Courier New" w:cs="Courier New"/>
          <w:sz w:val="18"/>
          <w:szCs w:val="18"/>
        </w:rPr>
      </w:pPr>
    </w:p>
    <w:p w14:paraId="5ECB3238" w14:textId="56156555" w:rsidR="00F35846" w:rsidRPr="009B4428" w:rsidRDefault="00F35846" w:rsidP="00ED3B36">
      <w:pPr>
        <w:spacing w:after="0" w:line="240" w:lineRule="auto"/>
        <w:jc w:val="both"/>
        <w:rPr>
          <w:rFonts w:ascii="Courier New" w:hAnsi="Courier New" w:cs="Courier New"/>
          <w:sz w:val="18"/>
          <w:szCs w:val="18"/>
        </w:rPr>
      </w:pPr>
    </w:p>
    <w:p w14:paraId="0DDD4386" w14:textId="7C7436C1" w:rsidR="00DC42FF" w:rsidRPr="009B4428" w:rsidRDefault="00DC42FF" w:rsidP="00ED3B36">
      <w:pPr>
        <w:spacing w:after="0" w:line="240" w:lineRule="auto"/>
        <w:jc w:val="both"/>
        <w:rPr>
          <w:rFonts w:ascii="Courier New" w:hAnsi="Courier New" w:cs="Courier New"/>
          <w:sz w:val="18"/>
          <w:szCs w:val="18"/>
        </w:rPr>
      </w:pPr>
    </w:p>
    <w:p w14:paraId="11658A78" w14:textId="7F7DD6E9" w:rsidR="00DC42FF" w:rsidRPr="009B4428" w:rsidRDefault="00DC42FF" w:rsidP="00ED3B36">
      <w:pPr>
        <w:spacing w:after="0" w:line="240" w:lineRule="auto"/>
        <w:jc w:val="both"/>
        <w:rPr>
          <w:rFonts w:ascii="Courier New" w:hAnsi="Courier New" w:cs="Courier New"/>
          <w:sz w:val="18"/>
          <w:szCs w:val="18"/>
        </w:rPr>
      </w:pPr>
    </w:p>
    <w:p w14:paraId="19AAA720" w14:textId="42DA417B" w:rsidR="00DC42FF" w:rsidRPr="009B4428" w:rsidRDefault="00DC42FF" w:rsidP="00ED3B36">
      <w:pPr>
        <w:spacing w:after="0" w:line="240" w:lineRule="auto"/>
        <w:jc w:val="both"/>
        <w:rPr>
          <w:rFonts w:ascii="Courier New" w:hAnsi="Courier New" w:cs="Courier New"/>
          <w:sz w:val="18"/>
          <w:szCs w:val="18"/>
        </w:rPr>
      </w:pPr>
    </w:p>
    <w:p w14:paraId="4A0ED0C4" w14:textId="356BDB2D" w:rsidR="00DC42FF" w:rsidRPr="009B4428" w:rsidRDefault="00DC42FF" w:rsidP="00ED3B36">
      <w:pPr>
        <w:spacing w:after="0" w:line="240" w:lineRule="auto"/>
        <w:jc w:val="both"/>
        <w:rPr>
          <w:rFonts w:ascii="Courier New" w:hAnsi="Courier New" w:cs="Courier New"/>
          <w:sz w:val="18"/>
          <w:szCs w:val="18"/>
        </w:rPr>
      </w:pPr>
    </w:p>
    <w:p w14:paraId="05C41D60" w14:textId="4FA79F0D" w:rsidR="00DC42FF" w:rsidRPr="009B4428" w:rsidRDefault="00DC42FF" w:rsidP="00ED3B36">
      <w:pPr>
        <w:spacing w:after="0" w:line="240" w:lineRule="auto"/>
        <w:jc w:val="both"/>
        <w:rPr>
          <w:rFonts w:ascii="Courier New" w:hAnsi="Courier New" w:cs="Courier New"/>
          <w:sz w:val="18"/>
          <w:szCs w:val="18"/>
        </w:rPr>
      </w:pPr>
    </w:p>
    <w:p w14:paraId="6C8D91E2" w14:textId="0E2274FB" w:rsidR="00DC42FF" w:rsidRPr="009B4428" w:rsidRDefault="00DC42FF" w:rsidP="00ED3B36">
      <w:pPr>
        <w:spacing w:after="0" w:line="240" w:lineRule="auto"/>
        <w:jc w:val="both"/>
        <w:rPr>
          <w:rFonts w:ascii="Courier New" w:hAnsi="Courier New" w:cs="Courier New"/>
          <w:sz w:val="18"/>
          <w:szCs w:val="18"/>
        </w:rPr>
      </w:pPr>
    </w:p>
    <w:p w14:paraId="5AEE679F" w14:textId="070A1F93" w:rsidR="00DC42FF" w:rsidRPr="009B4428" w:rsidRDefault="00DC42FF" w:rsidP="00ED3B36">
      <w:pPr>
        <w:spacing w:after="0" w:line="240" w:lineRule="auto"/>
        <w:jc w:val="both"/>
        <w:rPr>
          <w:rFonts w:ascii="Courier New" w:hAnsi="Courier New" w:cs="Courier New"/>
          <w:sz w:val="18"/>
          <w:szCs w:val="18"/>
        </w:rPr>
      </w:pPr>
    </w:p>
    <w:p w14:paraId="2A69F197" w14:textId="3D66079F" w:rsidR="00DC42FF" w:rsidRPr="009B4428" w:rsidRDefault="00DC42FF" w:rsidP="00ED3B36">
      <w:pPr>
        <w:spacing w:after="0" w:line="240" w:lineRule="auto"/>
        <w:jc w:val="both"/>
        <w:rPr>
          <w:rFonts w:ascii="Courier New" w:hAnsi="Courier New" w:cs="Courier New"/>
          <w:sz w:val="18"/>
          <w:szCs w:val="18"/>
        </w:rPr>
      </w:pPr>
    </w:p>
    <w:p w14:paraId="0E3F2978" w14:textId="282697BE" w:rsidR="00DC42FF" w:rsidRPr="009B4428" w:rsidRDefault="00DC42FF" w:rsidP="00ED3B36">
      <w:pPr>
        <w:spacing w:after="0" w:line="240" w:lineRule="auto"/>
        <w:jc w:val="both"/>
        <w:rPr>
          <w:rFonts w:ascii="Courier New" w:hAnsi="Courier New" w:cs="Courier New"/>
          <w:sz w:val="18"/>
          <w:szCs w:val="18"/>
        </w:rPr>
      </w:pPr>
    </w:p>
    <w:p w14:paraId="6B9821DF" w14:textId="46585DA6" w:rsidR="00DC42FF" w:rsidRPr="009B4428" w:rsidRDefault="00DC42FF" w:rsidP="00ED3B36">
      <w:pPr>
        <w:spacing w:after="0" w:line="240" w:lineRule="auto"/>
        <w:jc w:val="both"/>
        <w:rPr>
          <w:rFonts w:ascii="Courier New" w:hAnsi="Courier New" w:cs="Courier New"/>
          <w:sz w:val="18"/>
          <w:szCs w:val="18"/>
        </w:rPr>
      </w:pPr>
    </w:p>
    <w:p w14:paraId="470D8A09" w14:textId="6D756836" w:rsidR="00DC42FF" w:rsidRPr="009B4428" w:rsidRDefault="00DC42FF" w:rsidP="00ED3B36">
      <w:pPr>
        <w:spacing w:after="0" w:line="240" w:lineRule="auto"/>
        <w:jc w:val="both"/>
        <w:rPr>
          <w:rFonts w:ascii="Courier New" w:hAnsi="Courier New" w:cs="Courier New"/>
          <w:sz w:val="18"/>
          <w:szCs w:val="18"/>
        </w:rPr>
      </w:pPr>
    </w:p>
    <w:p w14:paraId="4C2BE3DD" w14:textId="4AD1860D" w:rsidR="00DC42FF" w:rsidRPr="009B4428" w:rsidRDefault="00DC42FF" w:rsidP="00ED3B36">
      <w:pPr>
        <w:spacing w:after="0" w:line="240" w:lineRule="auto"/>
        <w:jc w:val="both"/>
        <w:rPr>
          <w:rFonts w:ascii="Courier New" w:hAnsi="Courier New" w:cs="Courier New"/>
          <w:sz w:val="18"/>
          <w:szCs w:val="18"/>
        </w:rPr>
      </w:pPr>
    </w:p>
    <w:p w14:paraId="631088B9" w14:textId="0C59FF8C" w:rsidR="00DC42FF" w:rsidRPr="009B4428" w:rsidRDefault="00DC42FF" w:rsidP="00ED3B36">
      <w:pPr>
        <w:spacing w:after="0" w:line="240" w:lineRule="auto"/>
        <w:jc w:val="both"/>
        <w:rPr>
          <w:rFonts w:ascii="Courier New" w:hAnsi="Courier New" w:cs="Courier New"/>
          <w:sz w:val="18"/>
          <w:szCs w:val="18"/>
        </w:rPr>
      </w:pPr>
    </w:p>
    <w:p w14:paraId="73AD4545" w14:textId="594756BC" w:rsidR="00DC42FF" w:rsidRPr="009B4428" w:rsidRDefault="00DC42FF" w:rsidP="00ED3B36">
      <w:pPr>
        <w:spacing w:after="0" w:line="240" w:lineRule="auto"/>
        <w:jc w:val="both"/>
        <w:rPr>
          <w:rFonts w:ascii="Courier New" w:hAnsi="Courier New" w:cs="Courier New"/>
          <w:sz w:val="18"/>
          <w:szCs w:val="18"/>
        </w:rPr>
      </w:pPr>
    </w:p>
    <w:p w14:paraId="20D74F14" w14:textId="7F017180" w:rsidR="00DC42FF" w:rsidRPr="009B4428" w:rsidRDefault="00DC42FF" w:rsidP="00ED3B36">
      <w:pPr>
        <w:spacing w:after="0" w:line="240" w:lineRule="auto"/>
        <w:jc w:val="both"/>
        <w:rPr>
          <w:rFonts w:ascii="Courier New" w:hAnsi="Courier New" w:cs="Courier New"/>
          <w:sz w:val="18"/>
          <w:szCs w:val="18"/>
        </w:rPr>
      </w:pPr>
    </w:p>
    <w:p w14:paraId="756C4763" w14:textId="55FBA5F6" w:rsidR="00DC42FF" w:rsidRPr="009B4428" w:rsidRDefault="00DC42FF" w:rsidP="00ED3B36">
      <w:pPr>
        <w:spacing w:after="0" w:line="240" w:lineRule="auto"/>
        <w:jc w:val="both"/>
        <w:rPr>
          <w:rFonts w:ascii="Courier New" w:hAnsi="Courier New" w:cs="Courier New"/>
          <w:sz w:val="18"/>
          <w:szCs w:val="18"/>
        </w:rPr>
      </w:pPr>
    </w:p>
    <w:p w14:paraId="321AB818" w14:textId="46152F82" w:rsidR="00DC42FF" w:rsidRPr="009B4428" w:rsidRDefault="00DC42FF" w:rsidP="00ED3B36">
      <w:pPr>
        <w:spacing w:after="0" w:line="240" w:lineRule="auto"/>
        <w:jc w:val="both"/>
        <w:rPr>
          <w:rFonts w:ascii="Courier New" w:hAnsi="Courier New" w:cs="Courier New"/>
          <w:sz w:val="18"/>
          <w:szCs w:val="18"/>
        </w:rPr>
      </w:pPr>
    </w:p>
    <w:p w14:paraId="35CC704F" w14:textId="7EFD579E" w:rsidR="00DC42FF" w:rsidRPr="009B4428" w:rsidRDefault="00DC42FF" w:rsidP="00ED3B36">
      <w:pPr>
        <w:spacing w:after="0" w:line="240" w:lineRule="auto"/>
        <w:jc w:val="both"/>
        <w:rPr>
          <w:rFonts w:ascii="Courier New" w:hAnsi="Courier New" w:cs="Courier New"/>
          <w:sz w:val="18"/>
          <w:szCs w:val="18"/>
        </w:rPr>
      </w:pPr>
    </w:p>
    <w:p w14:paraId="58174F31" w14:textId="11460251" w:rsidR="00DC42FF" w:rsidRPr="009B4428" w:rsidRDefault="00DC42FF" w:rsidP="00ED3B36">
      <w:pPr>
        <w:spacing w:after="0" w:line="240" w:lineRule="auto"/>
        <w:jc w:val="both"/>
        <w:rPr>
          <w:rFonts w:ascii="Courier New" w:hAnsi="Courier New" w:cs="Courier New"/>
          <w:sz w:val="18"/>
          <w:szCs w:val="18"/>
        </w:rPr>
      </w:pPr>
    </w:p>
    <w:p w14:paraId="45D38609" w14:textId="5EC9F257" w:rsidR="00DC42FF" w:rsidRPr="009B4428" w:rsidRDefault="00DC42FF" w:rsidP="00ED3B36">
      <w:pPr>
        <w:spacing w:after="0" w:line="240" w:lineRule="auto"/>
        <w:jc w:val="both"/>
        <w:rPr>
          <w:rFonts w:ascii="Courier New" w:hAnsi="Courier New" w:cs="Courier New"/>
          <w:sz w:val="18"/>
          <w:szCs w:val="18"/>
        </w:rPr>
      </w:pPr>
    </w:p>
    <w:p w14:paraId="0462E31A" w14:textId="60AF1AB6" w:rsidR="00DC42FF" w:rsidRPr="009B4428" w:rsidRDefault="00DC42FF" w:rsidP="00ED3B36">
      <w:pPr>
        <w:spacing w:after="0" w:line="240" w:lineRule="auto"/>
        <w:jc w:val="both"/>
        <w:rPr>
          <w:rFonts w:ascii="Courier New" w:hAnsi="Courier New" w:cs="Courier New"/>
          <w:sz w:val="18"/>
          <w:szCs w:val="18"/>
        </w:rPr>
      </w:pPr>
    </w:p>
    <w:p w14:paraId="38A08FC9" w14:textId="02B8D96E" w:rsidR="00DC42FF" w:rsidRPr="009B4428" w:rsidRDefault="00DC42FF" w:rsidP="00ED3B36">
      <w:pPr>
        <w:spacing w:after="0" w:line="240" w:lineRule="auto"/>
        <w:jc w:val="both"/>
        <w:rPr>
          <w:rFonts w:ascii="Courier New" w:hAnsi="Courier New" w:cs="Courier New"/>
          <w:sz w:val="18"/>
          <w:szCs w:val="18"/>
        </w:rPr>
      </w:pPr>
    </w:p>
    <w:p w14:paraId="087A0869" w14:textId="4CA16782" w:rsidR="00DC42FF" w:rsidRPr="009B4428" w:rsidRDefault="00DC42FF" w:rsidP="00ED3B36">
      <w:pPr>
        <w:spacing w:after="0" w:line="240" w:lineRule="auto"/>
        <w:jc w:val="both"/>
        <w:rPr>
          <w:rFonts w:ascii="Courier New" w:hAnsi="Courier New" w:cs="Courier New"/>
          <w:sz w:val="18"/>
          <w:szCs w:val="18"/>
        </w:rPr>
      </w:pPr>
    </w:p>
    <w:p w14:paraId="670CBC02" w14:textId="6E9588D1" w:rsidR="00DC42FF" w:rsidRPr="009B4428" w:rsidRDefault="00DC42FF" w:rsidP="00ED3B36">
      <w:pPr>
        <w:spacing w:after="0" w:line="240" w:lineRule="auto"/>
        <w:jc w:val="both"/>
        <w:rPr>
          <w:rFonts w:ascii="Courier New" w:hAnsi="Courier New" w:cs="Courier New"/>
          <w:sz w:val="18"/>
          <w:szCs w:val="18"/>
        </w:rPr>
      </w:pPr>
    </w:p>
    <w:p w14:paraId="79AEAFEF" w14:textId="3DA06753" w:rsidR="00DC42FF" w:rsidRPr="009B4428" w:rsidRDefault="00DC42FF" w:rsidP="00ED3B36">
      <w:pPr>
        <w:spacing w:after="0" w:line="240" w:lineRule="auto"/>
        <w:jc w:val="both"/>
        <w:rPr>
          <w:rFonts w:ascii="Courier New" w:hAnsi="Courier New" w:cs="Courier New"/>
          <w:sz w:val="18"/>
          <w:szCs w:val="18"/>
        </w:rPr>
      </w:pPr>
    </w:p>
    <w:p w14:paraId="4DA8AC99" w14:textId="5AF2546E" w:rsidR="00DC42FF" w:rsidRPr="009B4428" w:rsidRDefault="00DC42FF" w:rsidP="00ED3B36">
      <w:pPr>
        <w:spacing w:after="0" w:line="240" w:lineRule="auto"/>
        <w:jc w:val="both"/>
        <w:rPr>
          <w:rFonts w:ascii="Courier New" w:hAnsi="Courier New" w:cs="Courier New"/>
          <w:sz w:val="18"/>
          <w:szCs w:val="18"/>
        </w:rPr>
      </w:pPr>
    </w:p>
    <w:p w14:paraId="70440ABC" w14:textId="713B43EF" w:rsidR="00DC42FF" w:rsidRPr="009B4428" w:rsidRDefault="00DC42FF" w:rsidP="00ED3B36">
      <w:pPr>
        <w:spacing w:after="0" w:line="240" w:lineRule="auto"/>
        <w:jc w:val="both"/>
        <w:rPr>
          <w:rFonts w:ascii="Courier New" w:hAnsi="Courier New" w:cs="Courier New"/>
          <w:sz w:val="18"/>
          <w:szCs w:val="18"/>
        </w:rPr>
      </w:pPr>
    </w:p>
    <w:sectPr w:rsidR="00DC42FF" w:rsidRPr="009B4428" w:rsidSect="00D2038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8DF5B" w14:textId="77777777" w:rsidR="00C8634C" w:rsidRDefault="00C8634C" w:rsidP="00B047D4">
      <w:pPr>
        <w:spacing w:after="0" w:line="240" w:lineRule="auto"/>
      </w:pPr>
      <w:r>
        <w:separator/>
      </w:r>
    </w:p>
  </w:endnote>
  <w:endnote w:type="continuationSeparator" w:id="0">
    <w:p w14:paraId="2EDA0F00" w14:textId="77777777" w:rsidR="00C8634C" w:rsidRDefault="00C8634C"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561176"/>
      <w:docPartObj>
        <w:docPartGallery w:val="Page Numbers (Bottom of Page)"/>
        <w:docPartUnique/>
      </w:docPartObj>
    </w:sdtPr>
    <w:sdtEndPr/>
    <w:sdtContent>
      <w:p w14:paraId="0E801545" w14:textId="6975FB45" w:rsidR="00C275AD" w:rsidRDefault="00C275AD" w:rsidP="00BC48E9">
        <w:pPr>
          <w:pStyle w:val="Footer"/>
          <w:jc w:val="center"/>
        </w:pPr>
        <w:r>
          <w:fldChar w:fldCharType="begin"/>
        </w:r>
        <w:r>
          <w:instrText xml:space="preserve"> PAGE   \* MERGEFORMAT </w:instrText>
        </w:r>
        <w:r>
          <w:fldChar w:fldCharType="separate"/>
        </w:r>
        <w:r w:rsidR="00D60E62">
          <w:rPr>
            <w:noProof/>
          </w:rPr>
          <w:t>1</w:t>
        </w:r>
        <w:r>
          <w:rPr>
            <w:noProof/>
          </w:rPr>
          <w:fldChar w:fldCharType="end"/>
        </w:r>
      </w:p>
    </w:sdtContent>
  </w:sdt>
  <w:p w14:paraId="62BCBF3F" w14:textId="77777777" w:rsidR="00C275AD" w:rsidRDefault="00C275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D01D5" w14:textId="77777777" w:rsidR="00C8634C" w:rsidRDefault="00C8634C" w:rsidP="00B047D4">
      <w:pPr>
        <w:spacing w:after="0" w:line="240" w:lineRule="auto"/>
      </w:pPr>
      <w:r>
        <w:separator/>
      </w:r>
    </w:p>
  </w:footnote>
  <w:footnote w:type="continuationSeparator" w:id="0">
    <w:p w14:paraId="55EBE91B" w14:textId="77777777" w:rsidR="00C8634C" w:rsidRDefault="00C8634C" w:rsidP="00B047D4">
      <w:pPr>
        <w:spacing w:after="0" w:line="240" w:lineRule="auto"/>
      </w:pPr>
      <w:r>
        <w:continuationSeparator/>
      </w:r>
    </w:p>
  </w:footnote>
  <w:footnote w:id="1">
    <w:p w14:paraId="74D892A4" w14:textId="4D9DF9C3" w:rsidR="00C275AD" w:rsidRPr="00922E45" w:rsidRDefault="00C275AD" w:rsidP="008C087D">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Prof. Dr. Seyfettin Gürsel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xml:space="preserve">, Direktör, </w:t>
      </w:r>
      <w:r>
        <w:rPr>
          <w:rFonts w:asciiTheme="minorHAnsi" w:hAnsiTheme="minorHAnsi" w:cs="Arial"/>
          <w:sz w:val="18"/>
          <w:szCs w:val="18"/>
        </w:rPr>
        <w:t>seyfettin.gursel</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footnote>
  <w:footnote w:id="2">
    <w:p w14:paraId="337E8A3A" w14:textId="3D7700FF" w:rsidR="00C275AD" w:rsidRPr="00922E45" w:rsidRDefault="00C275AD" w:rsidP="008C087D">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Yazgı Genç</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Araş</w:t>
      </w:r>
      <w:r>
        <w:rPr>
          <w:rFonts w:asciiTheme="minorHAnsi" w:hAnsiTheme="minorHAnsi" w:cs="Arial"/>
          <w:sz w:val="18"/>
          <w:szCs w:val="18"/>
        </w:rPr>
        <w:t>tırma Görevlisi, yazgi.genc</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footnote>
  <w:footnote w:id="3">
    <w:p w14:paraId="712EE12E" w14:textId="568E62B4" w:rsidR="00C275AD" w:rsidRPr="00922E45" w:rsidRDefault="00C275AD" w:rsidP="008C087D">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045E7A">
        <w:rPr>
          <w:rFonts w:asciiTheme="minorHAnsi" w:hAnsiTheme="minorHAnsi" w:cs="Arial"/>
          <w:sz w:val="18"/>
          <w:szCs w:val="18"/>
        </w:rPr>
        <w:t xml:space="preserve"> </w:t>
      </w:r>
      <w:r>
        <w:rPr>
          <w:rFonts w:asciiTheme="minorHAnsi" w:hAnsiTheme="minorHAnsi" w:cs="Arial"/>
          <w:sz w:val="18"/>
          <w:szCs w:val="18"/>
        </w:rPr>
        <w:t>Mine Durmaz Aslan</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Araş</w:t>
      </w:r>
      <w:r>
        <w:rPr>
          <w:rFonts w:asciiTheme="minorHAnsi" w:hAnsiTheme="minorHAnsi" w:cs="Arial"/>
          <w:sz w:val="18"/>
          <w:szCs w:val="18"/>
        </w:rPr>
        <w:t>tırma Görevlisi, mine.durmaz</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u.edu.tr</w:t>
      </w:r>
    </w:p>
  </w:footnote>
  <w:footnote w:id="4">
    <w:p w14:paraId="2E819F5E" w14:textId="77777777" w:rsidR="00C275AD" w:rsidRPr="00922E45" w:rsidRDefault="00C275AD" w:rsidP="008C087D">
      <w:pPr>
        <w:pStyle w:val="FootnoteText"/>
        <w:rPr>
          <w:rFonts w:asciiTheme="minorHAnsi" w:hAnsiTheme="minorHAnsi" w:cs="Arial"/>
          <w:sz w:val="18"/>
          <w:szCs w:val="18"/>
        </w:rPr>
      </w:pPr>
    </w:p>
  </w:footnote>
  <w:footnote w:id="5">
    <w:p w14:paraId="6AA790B5" w14:textId="2FD1CB20" w:rsidR="00C275AD" w:rsidRPr="000E2B57" w:rsidRDefault="00C275AD" w:rsidP="00846FFE">
      <w:pPr>
        <w:pStyle w:val="FootnoteText"/>
        <w:jc w:val="both"/>
        <w:rPr>
          <w:rFonts w:asciiTheme="minorHAnsi" w:hAnsiTheme="minorHAnsi" w:cstheme="minorHAnsi"/>
          <w:sz w:val="18"/>
          <w:szCs w:val="18"/>
        </w:rPr>
      </w:pPr>
      <w:r>
        <w:rPr>
          <w:rStyle w:val="FootnoteReference"/>
        </w:rPr>
        <w:footnoteRef/>
      </w:r>
      <w:r>
        <w:t xml:space="preserve"> </w:t>
      </w:r>
      <w:r w:rsidRPr="00E13BA5">
        <w:rPr>
          <w:rFonts w:asciiTheme="minorHAnsi" w:hAnsiTheme="minorHAnsi" w:cstheme="minorHAnsi"/>
          <w:sz w:val="18"/>
          <w:szCs w:val="18"/>
        </w:rPr>
        <w:t>Tarım dışı işsizlik oranlarına göre bölgelerin sıralanması genel işsizlik sıralamasına göre farklılaşabilmektedir.</w:t>
      </w:r>
      <w:r>
        <w:rPr>
          <w:rFonts w:asciiTheme="minorHAnsi" w:hAnsiTheme="minorHAnsi" w:cstheme="minorHAnsi"/>
          <w:sz w:val="18"/>
          <w:szCs w:val="18"/>
        </w:rPr>
        <w:t xml:space="preserve"> Bu iki sıralama arasındaki karşılaştırma için Betam AN 17/211’e bakılabilir. 2017 için tipik bir örnek verilebilir: Şanlıurfa-Diyarbakır (TRC2) yüzde 19,5’lik tarım dışı işsizlik oranı ile 3. sırada yer alırken yüzde 13,8’lik genel işsizlik oranı ile 5. sırada yer almaktadır.</w:t>
      </w:r>
    </w:p>
  </w:footnote>
  <w:footnote w:id="6">
    <w:p w14:paraId="7F14402B" w14:textId="77777777" w:rsidR="00C275AD" w:rsidRDefault="00C275AD" w:rsidP="00846FFE">
      <w:pPr>
        <w:pStyle w:val="FootnoteText"/>
        <w:jc w:val="both"/>
      </w:pPr>
    </w:p>
    <w:p w14:paraId="58C1D01A" w14:textId="757405ED" w:rsidR="00C275AD" w:rsidRPr="000E2B57" w:rsidRDefault="00C275AD" w:rsidP="00846FFE">
      <w:pPr>
        <w:pStyle w:val="FootnoteText"/>
        <w:jc w:val="both"/>
        <w:rPr>
          <w:rFonts w:asciiTheme="minorHAnsi" w:hAnsiTheme="minorHAnsi" w:cstheme="minorHAnsi"/>
          <w:sz w:val="18"/>
          <w:szCs w:val="18"/>
        </w:rPr>
      </w:pPr>
      <w:r w:rsidRPr="000E2B57">
        <w:rPr>
          <w:rStyle w:val="FootnoteReference"/>
        </w:rPr>
        <w:footnoteRef/>
      </w:r>
      <w:r w:rsidRPr="000E2B57">
        <w:rPr>
          <w:rStyle w:val="FootnoteReference"/>
        </w:rPr>
        <w:t xml:space="preserve"> </w:t>
      </w:r>
      <w:r w:rsidRPr="000E2B57">
        <w:rPr>
          <w:rFonts w:asciiTheme="minorHAnsi" w:hAnsiTheme="minorHAnsi" w:cstheme="minorHAnsi"/>
          <w:sz w:val="18"/>
          <w:szCs w:val="18"/>
        </w:rPr>
        <w:t xml:space="preserve">2016 ve 2017’de yıllık tarım dışı işsizlik oranlarının yüzde 13 düzeyinde oluşması bu iki yılda işsizlikte yaşanan büyük dalgalanmayı gizlemektedir.  Mevsim etkilerinden arındırılmış işsizlik oranı serisine bakıldığında tarım dışı işsizliğin 2016’nın Nisan ayından itibaren düşük ekonomik büyüme- düşük istihdam sonucu Aralık ayına kadar hızla yükselerek yüzde 11,8’den 14,2’ye ulaştığı görülmektedir. Yılık ortalama işsizlik oranı bu iki uç arasında yüzde 13 olarak hesaplanmıştır. Ardından hızlı büyüme ile birlikte Ocak 2017’den itibaren yüksek istihdam artışı işsizliği düşürmeye başlamış ve tarım dışı işsizlik oranı Aralık 2017’de yüzde 12,3’ye gerilemiştir. Yıllık ortalama bir kez daha yüzde 13 olarak tahmin edilmiştir. </w:t>
      </w:r>
    </w:p>
    <w:p w14:paraId="2186D4C5" w14:textId="4BB0CD53" w:rsidR="00C275AD" w:rsidRDefault="00C275AD" w:rsidP="00846FFE">
      <w:pPr>
        <w:pStyle w:val="FootnoteText"/>
        <w:jc w:val="both"/>
      </w:pPr>
    </w:p>
  </w:footnote>
  <w:footnote w:id="7">
    <w:p w14:paraId="46E97FB0" w14:textId="2B05BE4F" w:rsidR="00C275AD" w:rsidRPr="000509F3" w:rsidRDefault="00C275AD" w:rsidP="00846FFE">
      <w:pPr>
        <w:pStyle w:val="FootnoteText"/>
        <w:jc w:val="both"/>
        <w:rPr>
          <w:rFonts w:asciiTheme="minorHAnsi" w:hAnsiTheme="minorHAnsi" w:cstheme="minorHAnsi"/>
          <w:sz w:val="18"/>
          <w:szCs w:val="18"/>
        </w:rPr>
      </w:pPr>
      <w:r w:rsidRPr="000E2B57">
        <w:rPr>
          <w:rStyle w:val="FootnoteReference"/>
        </w:rPr>
        <w:footnoteRef/>
      </w:r>
      <w:r w:rsidRPr="000E2B57">
        <w:rPr>
          <w:rStyle w:val="FootnoteReference"/>
        </w:rPr>
        <w:t xml:space="preserve"> </w:t>
      </w:r>
      <w:r w:rsidRPr="000509F3">
        <w:rPr>
          <w:rFonts w:asciiTheme="minorHAnsi" w:hAnsiTheme="minorHAnsi" w:cstheme="minorHAnsi"/>
          <w:sz w:val="18"/>
          <w:szCs w:val="18"/>
        </w:rPr>
        <w:t>Genel işsizlik</w:t>
      </w:r>
      <w:r w:rsidRPr="000E2B57">
        <w:rPr>
          <w:rFonts w:asciiTheme="minorHAnsi" w:hAnsiTheme="minorHAnsi" w:cstheme="minorHAnsi"/>
          <w:sz w:val="18"/>
          <w:szCs w:val="18"/>
        </w:rPr>
        <w:t xml:space="preserve"> oranları itibariyle </w:t>
      </w:r>
      <w:r>
        <w:rPr>
          <w:rFonts w:asciiTheme="minorHAnsi" w:hAnsiTheme="minorHAnsi" w:cstheme="minorHAnsi"/>
          <w:sz w:val="18"/>
          <w:szCs w:val="18"/>
        </w:rPr>
        <w:t>2016’da Türkiye’de ortalama mutlak sapma 3,6 iken İspanya’da 5,1, İtalya’da 4,4’tür.</w:t>
      </w:r>
    </w:p>
  </w:footnote>
  <w:footnote w:id="8">
    <w:p w14:paraId="2872B01B" w14:textId="5038FB5D" w:rsidR="00C275AD" w:rsidRDefault="00C275AD">
      <w:pPr>
        <w:pStyle w:val="FootnoteText"/>
        <w:rPr>
          <w:rFonts w:asciiTheme="minorHAnsi" w:hAnsiTheme="minorHAnsi"/>
          <w:sz w:val="18"/>
        </w:rPr>
      </w:pPr>
      <w:r>
        <w:rPr>
          <w:rStyle w:val="FootnoteReference"/>
        </w:rPr>
        <w:footnoteRef/>
      </w:r>
      <w:r>
        <w:t xml:space="preserve"> </w:t>
      </w:r>
      <w:r>
        <w:rPr>
          <w:rFonts w:asciiTheme="minorHAnsi" w:hAnsiTheme="minorHAnsi"/>
          <w:sz w:val="18"/>
        </w:rPr>
        <w:t>Gaziantep bölgesinde (TRC1) tarım dışı işsizlik oranı 2014’te yüzde 9,4; 2015’te yüzde 11,4; 2016’da yüzde 15,8 ve 2017’de ise yüzde 16,5 olarak gerçekleşmiştir.</w:t>
      </w:r>
    </w:p>
    <w:p w14:paraId="79BC84A1" w14:textId="77777777" w:rsidR="00C275AD" w:rsidRDefault="00C275AD">
      <w:pPr>
        <w:pStyle w:val="FootnoteText"/>
      </w:pPr>
    </w:p>
  </w:footnote>
  <w:footnote w:id="9">
    <w:p w14:paraId="299351A5" w14:textId="45B98464" w:rsidR="00C275AD" w:rsidRDefault="00C275AD">
      <w:pPr>
        <w:pStyle w:val="FootnoteText"/>
        <w:rPr>
          <w:sz w:val="18"/>
          <w:szCs w:val="18"/>
        </w:rPr>
      </w:pPr>
      <w:r>
        <w:rPr>
          <w:rStyle w:val="FootnoteReference"/>
        </w:rPr>
        <w:footnoteRef/>
      </w:r>
      <w:r>
        <w:t xml:space="preserve"> </w:t>
      </w:r>
      <w:r w:rsidRPr="003140F1">
        <w:rPr>
          <w:sz w:val="18"/>
          <w:szCs w:val="18"/>
        </w:rPr>
        <w:t>Hatay bölgesi</w:t>
      </w:r>
      <w:r>
        <w:rPr>
          <w:sz w:val="18"/>
          <w:szCs w:val="18"/>
        </w:rPr>
        <w:t>nin</w:t>
      </w:r>
      <w:r w:rsidRPr="003140F1">
        <w:rPr>
          <w:sz w:val="18"/>
          <w:szCs w:val="18"/>
        </w:rPr>
        <w:t xml:space="preserve"> Gaziantep bölgesinden sonra en yüksek Suriyeli / Bölge nüfusu oranına (yüzde 16,2) sahip bölge olduğu not edilmelidir</w:t>
      </w:r>
      <w:r>
        <w:t xml:space="preserve">. </w:t>
      </w:r>
      <w:r>
        <w:rPr>
          <w:sz w:val="18"/>
          <w:szCs w:val="18"/>
        </w:rPr>
        <w:t>Bu aykırı örnek yoğun Suriyeli nüfusa rağmen işsizlikte azalmanın mümkün olabildiğini göstermektedir.</w:t>
      </w:r>
    </w:p>
    <w:p w14:paraId="572B1D16" w14:textId="13AFEF7A" w:rsidR="00C275AD" w:rsidRDefault="00C275AD">
      <w:pPr>
        <w:pStyle w:val="FootnoteText"/>
      </w:pPr>
      <w:r>
        <w:t xml:space="preserve">  </w:t>
      </w:r>
    </w:p>
  </w:footnote>
  <w:footnote w:id="10">
    <w:p w14:paraId="5812814B" w14:textId="2B078604" w:rsidR="00C275AD" w:rsidRPr="004F2CB0" w:rsidRDefault="00C275AD">
      <w:pPr>
        <w:pStyle w:val="FootnoteText"/>
        <w:rPr>
          <w:rFonts w:asciiTheme="minorHAnsi" w:hAnsiTheme="minorHAnsi"/>
        </w:rPr>
      </w:pPr>
      <w:r>
        <w:rPr>
          <w:rStyle w:val="FootnoteReference"/>
        </w:rPr>
        <w:footnoteRef/>
      </w:r>
      <w:r>
        <w:t xml:space="preserve"> </w:t>
      </w:r>
      <w:r w:rsidRPr="004F2CB0">
        <w:rPr>
          <w:rFonts w:asciiTheme="minorHAnsi" w:hAnsiTheme="minorHAnsi"/>
          <w:sz w:val="18"/>
        </w:rPr>
        <w:t xml:space="preserve">İzmir işgücü piyasasında kadın işsizliğin yüksekliği konusunda daha fazla bilgi için “İzmir Büyükşehir Belediyesi’nin İzmir ekonomisine ve istihdamına katkısı: 2004-2016 dönemi araştırma raporu, Kasım 2017” Betam raporuna bakılabilir. </w:t>
      </w:r>
    </w:p>
  </w:footnote>
  <w:footnote w:id="11">
    <w:p w14:paraId="0D724FBF" w14:textId="42FBEED4" w:rsidR="00C275AD" w:rsidRPr="00511CDF" w:rsidRDefault="00C275AD" w:rsidP="0020546E">
      <w:pPr>
        <w:pStyle w:val="FootnoteText"/>
        <w:jc w:val="both"/>
        <w:rPr>
          <w:sz w:val="18"/>
          <w:szCs w:val="18"/>
        </w:rPr>
      </w:pPr>
      <w:r w:rsidRPr="00511CDF">
        <w:rPr>
          <w:rStyle w:val="FootnoteReference"/>
          <w:sz w:val="18"/>
          <w:szCs w:val="18"/>
        </w:rPr>
        <w:footnoteRef/>
      </w:r>
      <w:r w:rsidRPr="00227A44">
        <w:rPr>
          <w:rFonts w:asciiTheme="minorHAnsi" w:hAnsiTheme="minorHAnsi"/>
          <w:sz w:val="18"/>
          <w:szCs w:val="18"/>
        </w:rPr>
        <w:t>Tarım dışı istihdam oranlarındaki düşüklük büyük ölçüde kadınların tarım dışı istihdam oranlarının düşüklüğünden kaynaklanmaktadır. 2017 itibariyle bu altı bölgede kadınların tarım dışı istihdam oranının Türkiye ortalaması yüzde 22,5 iken Erzurum (TRA1) bölgesinde yüzde 14,6; Konya (TR52) bölgesinde yüzde 17,1; Manisa (TR33) bölgesinde yüzde 19,4; Balıkesir (TR22) bölgesinde yüzde 20,3; Doğu Karadeniz (TR90) bölgesinde yüzde 20,7 ve Kastamonu (TR82) bölgesinde yüzde 21,0 olarak kaydedilmiştir (Ek Tablo 2).</w:t>
      </w:r>
    </w:p>
  </w:footnote>
  <w:footnote w:id="12">
    <w:p w14:paraId="2989D398" w14:textId="105B1A86" w:rsidR="00C275AD" w:rsidRPr="0042159F" w:rsidRDefault="00C275AD">
      <w:pPr>
        <w:pStyle w:val="FootnoteText"/>
        <w:rPr>
          <w:sz w:val="18"/>
          <w:szCs w:val="18"/>
        </w:rPr>
      </w:pPr>
      <w:r>
        <w:rPr>
          <w:rStyle w:val="FootnoteReference"/>
        </w:rPr>
        <w:footnoteRef/>
      </w:r>
      <w:r>
        <w:t xml:space="preserve"> </w:t>
      </w:r>
      <w:r w:rsidRPr="00227A44">
        <w:rPr>
          <w:rFonts w:asciiTheme="minorHAnsi" w:hAnsiTheme="minorHAnsi"/>
          <w:sz w:val="18"/>
          <w:szCs w:val="18"/>
        </w:rPr>
        <w:t>Tarım dışı kadın istihdam oranları sırasıyla İstanbul (TR10) yüzde 30,4, Trakya (TR21) yüzde 29,3, Ankara (TR51) yüzde 27,6, Bursa (TR41) yüzde 24,3, Kocaeli (TR 42) yüzde 24,6’dır (Ek Tablo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D4"/>
    <w:rsid w:val="00000E76"/>
    <w:rsid w:val="00002804"/>
    <w:rsid w:val="000075E7"/>
    <w:rsid w:val="000078F5"/>
    <w:rsid w:val="00007C44"/>
    <w:rsid w:val="000105C5"/>
    <w:rsid w:val="000107AC"/>
    <w:rsid w:val="00013563"/>
    <w:rsid w:val="00015D84"/>
    <w:rsid w:val="00016079"/>
    <w:rsid w:val="00017A66"/>
    <w:rsid w:val="00020248"/>
    <w:rsid w:val="00021313"/>
    <w:rsid w:val="000279DF"/>
    <w:rsid w:val="00030820"/>
    <w:rsid w:val="000335F8"/>
    <w:rsid w:val="00033938"/>
    <w:rsid w:val="000358A2"/>
    <w:rsid w:val="00036A9C"/>
    <w:rsid w:val="00037EE8"/>
    <w:rsid w:val="00040E8E"/>
    <w:rsid w:val="00045E7A"/>
    <w:rsid w:val="0004695D"/>
    <w:rsid w:val="0004755F"/>
    <w:rsid w:val="000509F3"/>
    <w:rsid w:val="00050FAA"/>
    <w:rsid w:val="00055096"/>
    <w:rsid w:val="000556D0"/>
    <w:rsid w:val="000564C8"/>
    <w:rsid w:val="000576CA"/>
    <w:rsid w:val="000579C3"/>
    <w:rsid w:val="00057D65"/>
    <w:rsid w:val="000612FA"/>
    <w:rsid w:val="00061961"/>
    <w:rsid w:val="00064AB5"/>
    <w:rsid w:val="00071541"/>
    <w:rsid w:val="000715D4"/>
    <w:rsid w:val="00072205"/>
    <w:rsid w:val="0007252A"/>
    <w:rsid w:val="00072FE5"/>
    <w:rsid w:val="00074C7B"/>
    <w:rsid w:val="0008042D"/>
    <w:rsid w:val="00082D8F"/>
    <w:rsid w:val="00084432"/>
    <w:rsid w:val="00084A44"/>
    <w:rsid w:val="00086B90"/>
    <w:rsid w:val="000871DC"/>
    <w:rsid w:val="000901AE"/>
    <w:rsid w:val="000935EE"/>
    <w:rsid w:val="00094361"/>
    <w:rsid w:val="00094590"/>
    <w:rsid w:val="000947E3"/>
    <w:rsid w:val="00097E4C"/>
    <w:rsid w:val="000A7353"/>
    <w:rsid w:val="000B52B5"/>
    <w:rsid w:val="000B6374"/>
    <w:rsid w:val="000B6C25"/>
    <w:rsid w:val="000C050E"/>
    <w:rsid w:val="000C3F90"/>
    <w:rsid w:val="000C6C0F"/>
    <w:rsid w:val="000C7C12"/>
    <w:rsid w:val="000D44CB"/>
    <w:rsid w:val="000D477C"/>
    <w:rsid w:val="000D524B"/>
    <w:rsid w:val="000D60A4"/>
    <w:rsid w:val="000E036D"/>
    <w:rsid w:val="000E093E"/>
    <w:rsid w:val="000E25AE"/>
    <w:rsid w:val="000E2B57"/>
    <w:rsid w:val="000E3E2D"/>
    <w:rsid w:val="000E5830"/>
    <w:rsid w:val="000E6369"/>
    <w:rsid w:val="000E7A4A"/>
    <w:rsid w:val="000F0B07"/>
    <w:rsid w:val="000F1E19"/>
    <w:rsid w:val="000F3ED1"/>
    <w:rsid w:val="00100F08"/>
    <w:rsid w:val="00101496"/>
    <w:rsid w:val="001045BE"/>
    <w:rsid w:val="00105E09"/>
    <w:rsid w:val="001100CD"/>
    <w:rsid w:val="0011188B"/>
    <w:rsid w:val="00113B28"/>
    <w:rsid w:val="00113F1E"/>
    <w:rsid w:val="00115167"/>
    <w:rsid w:val="00121099"/>
    <w:rsid w:val="00124419"/>
    <w:rsid w:val="00127946"/>
    <w:rsid w:val="00132665"/>
    <w:rsid w:val="001346D2"/>
    <w:rsid w:val="001364EA"/>
    <w:rsid w:val="00136844"/>
    <w:rsid w:val="001374B4"/>
    <w:rsid w:val="00141698"/>
    <w:rsid w:val="00142238"/>
    <w:rsid w:val="00146097"/>
    <w:rsid w:val="00146B33"/>
    <w:rsid w:val="00147043"/>
    <w:rsid w:val="001512F9"/>
    <w:rsid w:val="00152A84"/>
    <w:rsid w:val="00153765"/>
    <w:rsid w:val="001552F4"/>
    <w:rsid w:val="001564FC"/>
    <w:rsid w:val="001615F6"/>
    <w:rsid w:val="00161AB6"/>
    <w:rsid w:val="00161D42"/>
    <w:rsid w:val="0016353F"/>
    <w:rsid w:val="0016374B"/>
    <w:rsid w:val="00164C1E"/>
    <w:rsid w:val="0016636F"/>
    <w:rsid w:val="0017166A"/>
    <w:rsid w:val="001723E0"/>
    <w:rsid w:val="00172926"/>
    <w:rsid w:val="00173AA6"/>
    <w:rsid w:val="0018032F"/>
    <w:rsid w:val="001806F1"/>
    <w:rsid w:val="001821CB"/>
    <w:rsid w:val="00184CB9"/>
    <w:rsid w:val="0018665D"/>
    <w:rsid w:val="001872A1"/>
    <w:rsid w:val="001900F3"/>
    <w:rsid w:val="00190B10"/>
    <w:rsid w:val="00190BEB"/>
    <w:rsid w:val="00192DC4"/>
    <w:rsid w:val="0019328B"/>
    <w:rsid w:val="00193BE3"/>
    <w:rsid w:val="00195AAD"/>
    <w:rsid w:val="00196C36"/>
    <w:rsid w:val="00197A7B"/>
    <w:rsid w:val="001A416A"/>
    <w:rsid w:val="001A4876"/>
    <w:rsid w:val="001A4B47"/>
    <w:rsid w:val="001A5E6F"/>
    <w:rsid w:val="001A79E3"/>
    <w:rsid w:val="001B0A55"/>
    <w:rsid w:val="001B16C4"/>
    <w:rsid w:val="001B30F8"/>
    <w:rsid w:val="001B3DFE"/>
    <w:rsid w:val="001B4061"/>
    <w:rsid w:val="001B5AF6"/>
    <w:rsid w:val="001C16F7"/>
    <w:rsid w:val="001C280D"/>
    <w:rsid w:val="001C2961"/>
    <w:rsid w:val="001C3BC3"/>
    <w:rsid w:val="001C5B91"/>
    <w:rsid w:val="001C6120"/>
    <w:rsid w:val="001C61EC"/>
    <w:rsid w:val="001D2D70"/>
    <w:rsid w:val="001D6328"/>
    <w:rsid w:val="001E0829"/>
    <w:rsid w:val="001E0A12"/>
    <w:rsid w:val="001E0CC2"/>
    <w:rsid w:val="001E254A"/>
    <w:rsid w:val="001E2732"/>
    <w:rsid w:val="001E334B"/>
    <w:rsid w:val="001E60E5"/>
    <w:rsid w:val="001F2343"/>
    <w:rsid w:val="001F3CB9"/>
    <w:rsid w:val="001F561B"/>
    <w:rsid w:val="001F5699"/>
    <w:rsid w:val="001F688B"/>
    <w:rsid w:val="002005E4"/>
    <w:rsid w:val="00201782"/>
    <w:rsid w:val="00204551"/>
    <w:rsid w:val="00204594"/>
    <w:rsid w:val="00204734"/>
    <w:rsid w:val="0020546E"/>
    <w:rsid w:val="00205DE6"/>
    <w:rsid w:val="00207667"/>
    <w:rsid w:val="00207D67"/>
    <w:rsid w:val="002118AE"/>
    <w:rsid w:val="00216A83"/>
    <w:rsid w:val="00220512"/>
    <w:rsid w:val="00220C29"/>
    <w:rsid w:val="00220C4C"/>
    <w:rsid w:val="0022297C"/>
    <w:rsid w:val="00227A44"/>
    <w:rsid w:val="0023159D"/>
    <w:rsid w:val="00232843"/>
    <w:rsid w:val="002329BB"/>
    <w:rsid w:val="002339FE"/>
    <w:rsid w:val="002347F5"/>
    <w:rsid w:val="00236613"/>
    <w:rsid w:val="002402C2"/>
    <w:rsid w:val="00241636"/>
    <w:rsid w:val="00243447"/>
    <w:rsid w:val="00246C8D"/>
    <w:rsid w:val="00250093"/>
    <w:rsid w:val="00250E65"/>
    <w:rsid w:val="00252180"/>
    <w:rsid w:val="002524F5"/>
    <w:rsid w:val="002531A6"/>
    <w:rsid w:val="00256E87"/>
    <w:rsid w:val="0025739A"/>
    <w:rsid w:val="00257F75"/>
    <w:rsid w:val="0026052D"/>
    <w:rsid w:val="00260704"/>
    <w:rsid w:val="00261CE2"/>
    <w:rsid w:val="00261E33"/>
    <w:rsid w:val="00263845"/>
    <w:rsid w:val="002640C6"/>
    <w:rsid w:val="0026568E"/>
    <w:rsid w:val="002676DA"/>
    <w:rsid w:val="002704B4"/>
    <w:rsid w:val="002705A3"/>
    <w:rsid w:val="00270C0B"/>
    <w:rsid w:val="0027177C"/>
    <w:rsid w:val="00271D97"/>
    <w:rsid w:val="002724A0"/>
    <w:rsid w:val="00273653"/>
    <w:rsid w:val="00275994"/>
    <w:rsid w:val="0027615A"/>
    <w:rsid w:val="00276C1C"/>
    <w:rsid w:val="002778EB"/>
    <w:rsid w:val="00280444"/>
    <w:rsid w:val="00280D89"/>
    <w:rsid w:val="00283F18"/>
    <w:rsid w:val="00285203"/>
    <w:rsid w:val="00290D79"/>
    <w:rsid w:val="00291F3F"/>
    <w:rsid w:val="00292139"/>
    <w:rsid w:val="00293A54"/>
    <w:rsid w:val="00293B15"/>
    <w:rsid w:val="002940F3"/>
    <w:rsid w:val="00295151"/>
    <w:rsid w:val="00297843"/>
    <w:rsid w:val="002A1159"/>
    <w:rsid w:val="002A2449"/>
    <w:rsid w:val="002A2E12"/>
    <w:rsid w:val="002A4570"/>
    <w:rsid w:val="002A5C0B"/>
    <w:rsid w:val="002B278B"/>
    <w:rsid w:val="002B3684"/>
    <w:rsid w:val="002B3CA9"/>
    <w:rsid w:val="002B5DBD"/>
    <w:rsid w:val="002C2A0F"/>
    <w:rsid w:val="002C2DA0"/>
    <w:rsid w:val="002C5CDA"/>
    <w:rsid w:val="002D1455"/>
    <w:rsid w:val="002D2152"/>
    <w:rsid w:val="002D2A29"/>
    <w:rsid w:val="002D2A5F"/>
    <w:rsid w:val="002D3B5D"/>
    <w:rsid w:val="002D3B84"/>
    <w:rsid w:val="002D4228"/>
    <w:rsid w:val="002D5AF7"/>
    <w:rsid w:val="002D6B4F"/>
    <w:rsid w:val="002E0F19"/>
    <w:rsid w:val="002E2CA7"/>
    <w:rsid w:val="002E4989"/>
    <w:rsid w:val="002E4A06"/>
    <w:rsid w:val="002E5AC9"/>
    <w:rsid w:val="002E7B20"/>
    <w:rsid w:val="002F33C8"/>
    <w:rsid w:val="003025C4"/>
    <w:rsid w:val="003041B1"/>
    <w:rsid w:val="003041CB"/>
    <w:rsid w:val="003054FF"/>
    <w:rsid w:val="00307278"/>
    <w:rsid w:val="00311F2A"/>
    <w:rsid w:val="00312DC0"/>
    <w:rsid w:val="00313849"/>
    <w:rsid w:val="003140F1"/>
    <w:rsid w:val="00314CD1"/>
    <w:rsid w:val="00321BF4"/>
    <w:rsid w:val="00323086"/>
    <w:rsid w:val="0032462A"/>
    <w:rsid w:val="003247F7"/>
    <w:rsid w:val="00325FD1"/>
    <w:rsid w:val="00326790"/>
    <w:rsid w:val="003267BD"/>
    <w:rsid w:val="00330E0F"/>
    <w:rsid w:val="0033410A"/>
    <w:rsid w:val="00334C5F"/>
    <w:rsid w:val="00334ED4"/>
    <w:rsid w:val="00335AAF"/>
    <w:rsid w:val="003414F1"/>
    <w:rsid w:val="003416C0"/>
    <w:rsid w:val="00341957"/>
    <w:rsid w:val="00343CAD"/>
    <w:rsid w:val="00343F75"/>
    <w:rsid w:val="00344002"/>
    <w:rsid w:val="0034557E"/>
    <w:rsid w:val="00345B16"/>
    <w:rsid w:val="003461CA"/>
    <w:rsid w:val="00350063"/>
    <w:rsid w:val="0035187F"/>
    <w:rsid w:val="00357107"/>
    <w:rsid w:val="00357679"/>
    <w:rsid w:val="0036214B"/>
    <w:rsid w:val="00363686"/>
    <w:rsid w:val="00363FED"/>
    <w:rsid w:val="0037236D"/>
    <w:rsid w:val="00372D39"/>
    <w:rsid w:val="00373A8B"/>
    <w:rsid w:val="00374C4B"/>
    <w:rsid w:val="00376669"/>
    <w:rsid w:val="00377122"/>
    <w:rsid w:val="0038109C"/>
    <w:rsid w:val="0038280B"/>
    <w:rsid w:val="003853AD"/>
    <w:rsid w:val="00385AAD"/>
    <w:rsid w:val="003917FD"/>
    <w:rsid w:val="00392FEE"/>
    <w:rsid w:val="00394C61"/>
    <w:rsid w:val="003952AB"/>
    <w:rsid w:val="003A114E"/>
    <w:rsid w:val="003A4EB7"/>
    <w:rsid w:val="003A5A7C"/>
    <w:rsid w:val="003A6B5A"/>
    <w:rsid w:val="003A77A9"/>
    <w:rsid w:val="003B0FC1"/>
    <w:rsid w:val="003B5EF0"/>
    <w:rsid w:val="003B6C95"/>
    <w:rsid w:val="003C2A24"/>
    <w:rsid w:val="003C3989"/>
    <w:rsid w:val="003C5F63"/>
    <w:rsid w:val="003D086C"/>
    <w:rsid w:val="003D3BED"/>
    <w:rsid w:val="003D495B"/>
    <w:rsid w:val="003D5A16"/>
    <w:rsid w:val="003D7D47"/>
    <w:rsid w:val="003E4728"/>
    <w:rsid w:val="003E6C57"/>
    <w:rsid w:val="003E6D4C"/>
    <w:rsid w:val="003E7F64"/>
    <w:rsid w:val="003F00E4"/>
    <w:rsid w:val="003F2C3B"/>
    <w:rsid w:val="003F317F"/>
    <w:rsid w:val="003F6A45"/>
    <w:rsid w:val="003F6C1A"/>
    <w:rsid w:val="00403065"/>
    <w:rsid w:val="00403676"/>
    <w:rsid w:val="00404149"/>
    <w:rsid w:val="0041160B"/>
    <w:rsid w:val="00412360"/>
    <w:rsid w:val="004169FE"/>
    <w:rsid w:val="004203CC"/>
    <w:rsid w:val="004213D0"/>
    <w:rsid w:val="0042159F"/>
    <w:rsid w:val="00422665"/>
    <w:rsid w:val="00423BCC"/>
    <w:rsid w:val="00424864"/>
    <w:rsid w:val="00434C46"/>
    <w:rsid w:val="00434E88"/>
    <w:rsid w:val="0043552F"/>
    <w:rsid w:val="004363C3"/>
    <w:rsid w:val="0043751A"/>
    <w:rsid w:val="0044038C"/>
    <w:rsid w:val="004417A3"/>
    <w:rsid w:val="0044209B"/>
    <w:rsid w:val="00443853"/>
    <w:rsid w:val="00445ADB"/>
    <w:rsid w:val="00446444"/>
    <w:rsid w:val="004465C3"/>
    <w:rsid w:val="00446AF0"/>
    <w:rsid w:val="004477C8"/>
    <w:rsid w:val="00447A95"/>
    <w:rsid w:val="004543BF"/>
    <w:rsid w:val="0046006F"/>
    <w:rsid w:val="0046020A"/>
    <w:rsid w:val="00460B8B"/>
    <w:rsid w:val="00461BCE"/>
    <w:rsid w:val="004632E8"/>
    <w:rsid w:val="00463850"/>
    <w:rsid w:val="00464030"/>
    <w:rsid w:val="0046409E"/>
    <w:rsid w:val="00465F20"/>
    <w:rsid w:val="0046631B"/>
    <w:rsid w:val="00466BE5"/>
    <w:rsid w:val="004711C4"/>
    <w:rsid w:val="00473299"/>
    <w:rsid w:val="00473309"/>
    <w:rsid w:val="00474FD2"/>
    <w:rsid w:val="004765CB"/>
    <w:rsid w:val="00476D01"/>
    <w:rsid w:val="004816FD"/>
    <w:rsid w:val="00485258"/>
    <w:rsid w:val="0048748D"/>
    <w:rsid w:val="00487DBE"/>
    <w:rsid w:val="004903F9"/>
    <w:rsid w:val="00491BF9"/>
    <w:rsid w:val="00495849"/>
    <w:rsid w:val="0049716A"/>
    <w:rsid w:val="004A0686"/>
    <w:rsid w:val="004A10B5"/>
    <w:rsid w:val="004A1255"/>
    <w:rsid w:val="004A1712"/>
    <w:rsid w:val="004A1BC2"/>
    <w:rsid w:val="004A20AA"/>
    <w:rsid w:val="004A32F4"/>
    <w:rsid w:val="004A7030"/>
    <w:rsid w:val="004B3006"/>
    <w:rsid w:val="004B4866"/>
    <w:rsid w:val="004B6E13"/>
    <w:rsid w:val="004C0355"/>
    <w:rsid w:val="004C1771"/>
    <w:rsid w:val="004C3625"/>
    <w:rsid w:val="004C4EE3"/>
    <w:rsid w:val="004C5DFB"/>
    <w:rsid w:val="004C604E"/>
    <w:rsid w:val="004C681E"/>
    <w:rsid w:val="004D4409"/>
    <w:rsid w:val="004D49A8"/>
    <w:rsid w:val="004D714A"/>
    <w:rsid w:val="004D7852"/>
    <w:rsid w:val="004E1C41"/>
    <w:rsid w:val="004E5179"/>
    <w:rsid w:val="004E57A0"/>
    <w:rsid w:val="004E7508"/>
    <w:rsid w:val="004F2A7A"/>
    <w:rsid w:val="004F2CB0"/>
    <w:rsid w:val="004F32A7"/>
    <w:rsid w:val="004F4C6C"/>
    <w:rsid w:val="0050058F"/>
    <w:rsid w:val="00501BD7"/>
    <w:rsid w:val="00503BBC"/>
    <w:rsid w:val="00506379"/>
    <w:rsid w:val="005079BF"/>
    <w:rsid w:val="005107E8"/>
    <w:rsid w:val="00511CDF"/>
    <w:rsid w:val="005126E6"/>
    <w:rsid w:val="00512C09"/>
    <w:rsid w:val="00515450"/>
    <w:rsid w:val="005162B6"/>
    <w:rsid w:val="00516E15"/>
    <w:rsid w:val="00523BC8"/>
    <w:rsid w:val="00523C1B"/>
    <w:rsid w:val="00524BEE"/>
    <w:rsid w:val="00525B28"/>
    <w:rsid w:val="00527786"/>
    <w:rsid w:val="0053261D"/>
    <w:rsid w:val="00533E95"/>
    <w:rsid w:val="005360CA"/>
    <w:rsid w:val="0054175A"/>
    <w:rsid w:val="0054361C"/>
    <w:rsid w:val="00545A44"/>
    <w:rsid w:val="0054644B"/>
    <w:rsid w:val="005505DA"/>
    <w:rsid w:val="00550760"/>
    <w:rsid w:val="00550830"/>
    <w:rsid w:val="00554BE2"/>
    <w:rsid w:val="0055583B"/>
    <w:rsid w:val="00561125"/>
    <w:rsid w:val="005635B6"/>
    <w:rsid w:val="005676DA"/>
    <w:rsid w:val="00573386"/>
    <w:rsid w:val="005737C0"/>
    <w:rsid w:val="00576CA7"/>
    <w:rsid w:val="00586C44"/>
    <w:rsid w:val="00590684"/>
    <w:rsid w:val="00591381"/>
    <w:rsid w:val="00591965"/>
    <w:rsid w:val="00592C59"/>
    <w:rsid w:val="00592D24"/>
    <w:rsid w:val="00594E0F"/>
    <w:rsid w:val="005A01F8"/>
    <w:rsid w:val="005A0BD6"/>
    <w:rsid w:val="005A12F2"/>
    <w:rsid w:val="005A1850"/>
    <w:rsid w:val="005A71D1"/>
    <w:rsid w:val="005A73CF"/>
    <w:rsid w:val="005B19E6"/>
    <w:rsid w:val="005B2242"/>
    <w:rsid w:val="005B57F6"/>
    <w:rsid w:val="005B704C"/>
    <w:rsid w:val="005C1BC8"/>
    <w:rsid w:val="005C40D6"/>
    <w:rsid w:val="005D062F"/>
    <w:rsid w:val="005D0E9A"/>
    <w:rsid w:val="005D235C"/>
    <w:rsid w:val="005D2C82"/>
    <w:rsid w:val="005D5073"/>
    <w:rsid w:val="005D5253"/>
    <w:rsid w:val="005D5AA1"/>
    <w:rsid w:val="005D647F"/>
    <w:rsid w:val="005D7E14"/>
    <w:rsid w:val="005E0D31"/>
    <w:rsid w:val="005E1898"/>
    <w:rsid w:val="005E5373"/>
    <w:rsid w:val="005E6B44"/>
    <w:rsid w:val="005F7F9C"/>
    <w:rsid w:val="00601C3C"/>
    <w:rsid w:val="00602F11"/>
    <w:rsid w:val="0060482C"/>
    <w:rsid w:val="006051F6"/>
    <w:rsid w:val="00605BE1"/>
    <w:rsid w:val="00607878"/>
    <w:rsid w:val="00610BCD"/>
    <w:rsid w:val="00614287"/>
    <w:rsid w:val="00614312"/>
    <w:rsid w:val="00617C2B"/>
    <w:rsid w:val="0062019B"/>
    <w:rsid w:val="0062288A"/>
    <w:rsid w:val="0062431B"/>
    <w:rsid w:val="0062464E"/>
    <w:rsid w:val="006257E6"/>
    <w:rsid w:val="00625E5F"/>
    <w:rsid w:val="00625FB6"/>
    <w:rsid w:val="006260A0"/>
    <w:rsid w:val="006260D8"/>
    <w:rsid w:val="006266E5"/>
    <w:rsid w:val="00627B56"/>
    <w:rsid w:val="00631413"/>
    <w:rsid w:val="006323FF"/>
    <w:rsid w:val="0063266F"/>
    <w:rsid w:val="00632AA3"/>
    <w:rsid w:val="00634006"/>
    <w:rsid w:val="00634861"/>
    <w:rsid w:val="00635210"/>
    <w:rsid w:val="0063578B"/>
    <w:rsid w:val="006361E9"/>
    <w:rsid w:val="0064261F"/>
    <w:rsid w:val="0064382A"/>
    <w:rsid w:val="006456CB"/>
    <w:rsid w:val="00646A69"/>
    <w:rsid w:val="00646F26"/>
    <w:rsid w:val="006476E0"/>
    <w:rsid w:val="00650695"/>
    <w:rsid w:val="00650DCE"/>
    <w:rsid w:val="00656374"/>
    <w:rsid w:val="00656E81"/>
    <w:rsid w:val="00657317"/>
    <w:rsid w:val="006634E3"/>
    <w:rsid w:val="00663DA6"/>
    <w:rsid w:val="00665C9D"/>
    <w:rsid w:val="00666316"/>
    <w:rsid w:val="00672BB0"/>
    <w:rsid w:val="00672D3A"/>
    <w:rsid w:val="006769ED"/>
    <w:rsid w:val="006777BF"/>
    <w:rsid w:val="0068204E"/>
    <w:rsid w:val="006836CA"/>
    <w:rsid w:val="00684CF8"/>
    <w:rsid w:val="00686A22"/>
    <w:rsid w:val="00686C8C"/>
    <w:rsid w:val="00690854"/>
    <w:rsid w:val="0069173E"/>
    <w:rsid w:val="00691B92"/>
    <w:rsid w:val="00692B5E"/>
    <w:rsid w:val="00695D9A"/>
    <w:rsid w:val="00696C7D"/>
    <w:rsid w:val="006978AC"/>
    <w:rsid w:val="006A0766"/>
    <w:rsid w:val="006A3246"/>
    <w:rsid w:val="006A34A7"/>
    <w:rsid w:val="006A3AE1"/>
    <w:rsid w:val="006A4030"/>
    <w:rsid w:val="006A5438"/>
    <w:rsid w:val="006A5E7B"/>
    <w:rsid w:val="006A702E"/>
    <w:rsid w:val="006A7F1E"/>
    <w:rsid w:val="006B0CB9"/>
    <w:rsid w:val="006B1808"/>
    <w:rsid w:val="006B2696"/>
    <w:rsid w:val="006B5434"/>
    <w:rsid w:val="006B76ED"/>
    <w:rsid w:val="006C3D04"/>
    <w:rsid w:val="006C4514"/>
    <w:rsid w:val="006C4B8D"/>
    <w:rsid w:val="006D14E3"/>
    <w:rsid w:val="006D182B"/>
    <w:rsid w:val="006D27BB"/>
    <w:rsid w:val="006D5334"/>
    <w:rsid w:val="006D6600"/>
    <w:rsid w:val="006D7D2E"/>
    <w:rsid w:val="006E2867"/>
    <w:rsid w:val="006E33BD"/>
    <w:rsid w:val="006E6A33"/>
    <w:rsid w:val="006E7F3C"/>
    <w:rsid w:val="006F515E"/>
    <w:rsid w:val="006F5D5E"/>
    <w:rsid w:val="006F6E5A"/>
    <w:rsid w:val="00701934"/>
    <w:rsid w:val="0070209F"/>
    <w:rsid w:val="007038FE"/>
    <w:rsid w:val="00713361"/>
    <w:rsid w:val="0071549E"/>
    <w:rsid w:val="007164B6"/>
    <w:rsid w:val="00716B7A"/>
    <w:rsid w:val="00716D19"/>
    <w:rsid w:val="00716E95"/>
    <w:rsid w:val="007203E0"/>
    <w:rsid w:val="00720637"/>
    <w:rsid w:val="0072078A"/>
    <w:rsid w:val="00720E04"/>
    <w:rsid w:val="00722135"/>
    <w:rsid w:val="00722E63"/>
    <w:rsid w:val="007237A9"/>
    <w:rsid w:val="00724850"/>
    <w:rsid w:val="0073120D"/>
    <w:rsid w:val="007337BC"/>
    <w:rsid w:val="007348DD"/>
    <w:rsid w:val="00737A63"/>
    <w:rsid w:val="00742189"/>
    <w:rsid w:val="007426CF"/>
    <w:rsid w:val="00750F6E"/>
    <w:rsid w:val="007538F3"/>
    <w:rsid w:val="00754D4A"/>
    <w:rsid w:val="00760089"/>
    <w:rsid w:val="00761EA6"/>
    <w:rsid w:val="00763162"/>
    <w:rsid w:val="007634D6"/>
    <w:rsid w:val="007651EB"/>
    <w:rsid w:val="00765207"/>
    <w:rsid w:val="007660F5"/>
    <w:rsid w:val="00767B19"/>
    <w:rsid w:val="007707E0"/>
    <w:rsid w:val="007722CC"/>
    <w:rsid w:val="00774A28"/>
    <w:rsid w:val="007771A3"/>
    <w:rsid w:val="00777D30"/>
    <w:rsid w:val="00780564"/>
    <w:rsid w:val="0078488F"/>
    <w:rsid w:val="00784A02"/>
    <w:rsid w:val="007910B2"/>
    <w:rsid w:val="00791723"/>
    <w:rsid w:val="00792D38"/>
    <w:rsid w:val="007952B4"/>
    <w:rsid w:val="007961F0"/>
    <w:rsid w:val="00796CAA"/>
    <w:rsid w:val="00797343"/>
    <w:rsid w:val="00797B88"/>
    <w:rsid w:val="007A1246"/>
    <w:rsid w:val="007A32EA"/>
    <w:rsid w:val="007A4215"/>
    <w:rsid w:val="007A6A30"/>
    <w:rsid w:val="007B0A85"/>
    <w:rsid w:val="007B20DD"/>
    <w:rsid w:val="007B31CB"/>
    <w:rsid w:val="007B6FF5"/>
    <w:rsid w:val="007B7E68"/>
    <w:rsid w:val="007B7FA4"/>
    <w:rsid w:val="007C05FF"/>
    <w:rsid w:val="007C076A"/>
    <w:rsid w:val="007C12C4"/>
    <w:rsid w:val="007C5D21"/>
    <w:rsid w:val="007C6CC0"/>
    <w:rsid w:val="007C7C70"/>
    <w:rsid w:val="007D2775"/>
    <w:rsid w:val="007D3342"/>
    <w:rsid w:val="007D43F1"/>
    <w:rsid w:val="007D5311"/>
    <w:rsid w:val="007D5C7B"/>
    <w:rsid w:val="007D6F6E"/>
    <w:rsid w:val="007E0D8E"/>
    <w:rsid w:val="007E2119"/>
    <w:rsid w:val="007E2646"/>
    <w:rsid w:val="007E47A6"/>
    <w:rsid w:val="007E665F"/>
    <w:rsid w:val="007F057C"/>
    <w:rsid w:val="007F21BB"/>
    <w:rsid w:val="007F4D89"/>
    <w:rsid w:val="007F7E0A"/>
    <w:rsid w:val="00802A91"/>
    <w:rsid w:val="0080310E"/>
    <w:rsid w:val="008035EF"/>
    <w:rsid w:val="00807DAF"/>
    <w:rsid w:val="00814461"/>
    <w:rsid w:val="00822DA1"/>
    <w:rsid w:val="0082573D"/>
    <w:rsid w:val="008261D3"/>
    <w:rsid w:val="00830D8F"/>
    <w:rsid w:val="008319DD"/>
    <w:rsid w:val="00831AED"/>
    <w:rsid w:val="00834DC3"/>
    <w:rsid w:val="00836145"/>
    <w:rsid w:val="008401C8"/>
    <w:rsid w:val="00840468"/>
    <w:rsid w:val="0084238A"/>
    <w:rsid w:val="00843E10"/>
    <w:rsid w:val="00846FFE"/>
    <w:rsid w:val="008504C6"/>
    <w:rsid w:val="00851037"/>
    <w:rsid w:val="00852341"/>
    <w:rsid w:val="00852B20"/>
    <w:rsid w:val="00852BE7"/>
    <w:rsid w:val="00854DEF"/>
    <w:rsid w:val="0085529A"/>
    <w:rsid w:val="00857D13"/>
    <w:rsid w:val="00862C95"/>
    <w:rsid w:val="008638C9"/>
    <w:rsid w:val="00863D06"/>
    <w:rsid w:val="00866E22"/>
    <w:rsid w:val="008676FC"/>
    <w:rsid w:val="0087061D"/>
    <w:rsid w:val="00873691"/>
    <w:rsid w:val="00874585"/>
    <w:rsid w:val="008837BA"/>
    <w:rsid w:val="008844D4"/>
    <w:rsid w:val="008857EC"/>
    <w:rsid w:val="00886859"/>
    <w:rsid w:val="00886C87"/>
    <w:rsid w:val="008901A1"/>
    <w:rsid w:val="00891DB3"/>
    <w:rsid w:val="00893540"/>
    <w:rsid w:val="008964C5"/>
    <w:rsid w:val="008A15A8"/>
    <w:rsid w:val="008A58D3"/>
    <w:rsid w:val="008A6D74"/>
    <w:rsid w:val="008A7C6F"/>
    <w:rsid w:val="008A7F9B"/>
    <w:rsid w:val="008B1760"/>
    <w:rsid w:val="008B3F13"/>
    <w:rsid w:val="008B5327"/>
    <w:rsid w:val="008B55E6"/>
    <w:rsid w:val="008C035F"/>
    <w:rsid w:val="008C087D"/>
    <w:rsid w:val="008C217E"/>
    <w:rsid w:val="008C40A8"/>
    <w:rsid w:val="008C43BB"/>
    <w:rsid w:val="008C5546"/>
    <w:rsid w:val="008C55F2"/>
    <w:rsid w:val="008C5944"/>
    <w:rsid w:val="008C5F3F"/>
    <w:rsid w:val="008D17D8"/>
    <w:rsid w:val="008D1D6B"/>
    <w:rsid w:val="008D4AE6"/>
    <w:rsid w:val="008D52E4"/>
    <w:rsid w:val="008D59B9"/>
    <w:rsid w:val="008D5F8A"/>
    <w:rsid w:val="008E02D0"/>
    <w:rsid w:val="008E18DC"/>
    <w:rsid w:val="008E3533"/>
    <w:rsid w:val="008E35E7"/>
    <w:rsid w:val="008E4194"/>
    <w:rsid w:val="008F0E05"/>
    <w:rsid w:val="008F1CA1"/>
    <w:rsid w:val="008F60FC"/>
    <w:rsid w:val="008F720A"/>
    <w:rsid w:val="009009C1"/>
    <w:rsid w:val="009043D6"/>
    <w:rsid w:val="0091102D"/>
    <w:rsid w:val="00913B2C"/>
    <w:rsid w:val="00914EF1"/>
    <w:rsid w:val="00916C31"/>
    <w:rsid w:val="00916F3A"/>
    <w:rsid w:val="00917B0C"/>
    <w:rsid w:val="00921C67"/>
    <w:rsid w:val="00924B69"/>
    <w:rsid w:val="009262AD"/>
    <w:rsid w:val="00930359"/>
    <w:rsid w:val="00933224"/>
    <w:rsid w:val="00933445"/>
    <w:rsid w:val="00933F5A"/>
    <w:rsid w:val="00934F52"/>
    <w:rsid w:val="00935A22"/>
    <w:rsid w:val="009412B1"/>
    <w:rsid w:val="00941ADA"/>
    <w:rsid w:val="009444D3"/>
    <w:rsid w:val="00946591"/>
    <w:rsid w:val="00950758"/>
    <w:rsid w:val="00950943"/>
    <w:rsid w:val="00951213"/>
    <w:rsid w:val="009532F3"/>
    <w:rsid w:val="00953B1C"/>
    <w:rsid w:val="0095407E"/>
    <w:rsid w:val="00954303"/>
    <w:rsid w:val="009556B0"/>
    <w:rsid w:val="00957FF6"/>
    <w:rsid w:val="00960408"/>
    <w:rsid w:val="009625DE"/>
    <w:rsid w:val="00962F3D"/>
    <w:rsid w:val="009656B2"/>
    <w:rsid w:val="00965FD6"/>
    <w:rsid w:val="0096787E"/>
    <w:rsid w:val="009704B8"/>
    <w:rsid w:val="009705AD"/>
    <w:rsid w:val="00970922"/>
    <w:rsid w:val="00970D38"/>
    <w:rsid w:val="00971D17"/>
    <w:rsid w:val="00972C95"/>
    <w:rsid w:val="0097310F"/>
    <w:rsid w:val="00973DD3"/>
    <w:rsid w:val="00976BAE"/>
    <w:rsid w:val="0098002D"/>
    <w:rsid w:val="00982EE9"/>
    <w:rsid w:val="0098317E"/>
    <w:rsid w:val="00983A16"/>
    <w:rsid w:val="00984071"/>
    <w:rsid w:val="00985ABD"/>
    <w:rsid w:val="00990047"/>
    <w:rsid w:val="009911B1"/>
    <w:rsid w:val="00991C75"/>
    <w:rsid w:val="0099663C"/>
    <w:rsid w:val="00996A09"/>
    <w:rsid w:val="009A0215"/>
    <w:rsid w:val="009A5AEE"/>
    <w:rsid w:val="009A68EF"/>
    <w:rsid w:val="009B43B6"/>
    <w:rsid w:val="009B4428"/>
    <w:rsid w:val="009B5206"/>
    <w:rsid w:val="009B68D1"/>
    <w:rsid w:val="009C001B"/>
    <w:rsid w:val="009C10F4"/>
    <w:rsid w:val="009C30B5"/>
    <w:rsid w:val="009C31C1"/>
    <w:rsid w:val="009C351B"/>
    <w:rsid w:val="009C3EA7"/>
    <w:rsid w:val="009C4878"/>
    <w:rsid w:val="009C4BA8"/>
    <w:rsid w:val="009C7C42"/>
    <w:rsid w:val="009D0C60"/>
    <w:rsid w:val="009D385F"/>
    <w:rsid w:val="009D4823"/>
    <w:rsid w:val="009D561E"/>
    <w:rsid w:val="009D62F6"/>
    <w:rsid w:val="009E1229"/>
    <w:rsid w:val="009E1995"/>
    <w:rsid w:val="009E1D98"/>
    <w:rsid w:val="009E391A"/>
    <w:rsid w:val="009F18EF"/>
    <w:rsid w:val="009F3B5E"/>
    <w:rsid w:val="00A00597"/>
    <w:rsid w:val="00A01A58"/>
    <w:rsid w:val="00A03E8F"/>
    <w:rsid w:val="00A06036"/>
    <w:rsid w:val="00A060EC"/>
    <w:rsid w:val="00A066A3"/>
    <w:rsid w:val="00A06732"/>
    <w:rsid w:val="00A1030B"/>
    <w:rsid w:val="00A10B1B"/>
    <w:rsid w:val="00A11962"/>
    <w:rsid w:val="00A1316C"/>
    <w:rsid w:val="00A14474"/>
    <w:rsid w:val="00A14791"/>
    <w:rsid w:val="00A2071A"/>
    <w:rsid w:val="00A20A2A"/>
    <w:rsid w:val="00A212D9"/>
    <w:rsid w:val="00A223BC"/>
    <w:rsid w:val="00A22786"/>
    <w:rsid w:val="00A22E02"/>
    <w:rsid w:val="00A235D1"/>
    <w:rsid w:val="00A2428F"/>
    <w:rsid w:val="00A30575"/>
    <w:rsid w:val="00A316A6"/>
    <w:rsid w:val="00A31C9C"/>
    <w:rsid w:val="00A3393A"/>
    <w:rsid w:val="00A34634"/>
    <w:rsid w:val="00A35B81"/>
    <w:rsid w:val="00A36AF9"/>
    <w:rsid w:val="00A4081F"/>
    <w:rsid w:val="00A41B0F"/>
    <w:rsid w:val="00A41C65"/>
    <w:rsid w:val="00A447B6"/>
    <w:rsid w:val="00A47203"/>
    <w:rsid w:val="00A50772"/>
    <w:rsid w:val="00A51D1E"/>
    <w:rsid w:val="00A52FDA"/>
    <w:rsid w:val="00A53CCE"/>
    <w:rsid w:val="00A57152"/>
    <w:rsid w:val="00A6074B"/>
    <w:rsid w:val="00A61D91"/>
    <w:rsid w:val="00A645BB"/>
    <w:rsid w:val="00A67F0F"/>
    <w:rsid w:val="00A7389E"/>
    <w:rsid w:val="00A77389"/>
    <w:rsid w:val="00A82119"/>
    <w:rsid w:val="00A82C92"/>
    <w:rsid w:val="00A852D4"/>
    <w:rsid w:val="00A858AC"/>
    <w:rsid w:val="00A877D1"/>
    <w:rsid w:val="00A904A9"/>
    <w:rsid w:val="00A90C7A"/>
    <w:rsid w:val="00A9169F"/>
    <w:rsid w:val="00A94B95"/>
    <w:rsid w:val="00AA1988"/>
    <w:rsid w:val="00AA1E2D"/>
    <w:rsid w:val="00AA2FF9"/>
    <w:rsid w:val="00AA35CC"/>
    <w:rsid w:val="00AA6FC5"/>
    <w:rsid w:val="00AA7169"/>
    <w:rsid w:val="00AB0054"/>
    <w:rsid w:val="00AB21D7"/>
    <w:rsid w:val="00AB3177"/>
    <w:rsid w:val="00AB6214"/>
    <w:rsid w:val="00AB696C"/>
    <w:rsid w:val="00AC0CEB"/>
    <w:rsid w:val="00AC641F"/>
    <w:rsid w:val="00AC6835"/>
    <w:rsid w:val="00AD059E"/>
    <w:rsid w:val="00AD1638"/>
    <w:rsid w:val="00AD1D99"/>
    <w:rsid w:val="00AD20DB"/>
    <w:rsid w:val="00AD2F18"/>
    <w:rsid w:val="00AD3D6B"/>
    <w:rsid w:val="00AD4DBA"/>
    <w:rsid w:val="00AD6F80"/>
    <w:rsid w:val="00AE3962"/>
    <w:rsid w:val="00AE4D42"/>
    <w:rsid w:val="00AE59DF"/>
    <w:rsid w:val="00AE5D39"/>
    <w:rsid w:val="00AE71C1"/>
    <w:rsid w:val="00AF103F"/>
    <w:rsid w:val="00AF22FB"/>
    <w:rsid w:val="00AF2768"/>
    <w:rsid w:val="00AF33A3"/>
    <w:rsid w:val="00AF7FA8"/>
    <w:rsid w:val="00B013E2"/>
    <w:rsid w:val="00B0401F"/>
    <w:rsid w:val="00B047D4"/>
    <w:rsid w:val="00B07BB2"/>
    <w:rsid w:val="00B102C6"/>
    <w:rsid w:val="00B1199C"/>
    <w:rsid w:val="00B11C80"/>
    <w:rsid w:val="00B16A22"/>
    <w:rsid w:val="00B16BFD"/>
    <w:rsid w:val="00B20CB2"/>
    <w:rsid w:val="00B20CEA"/>
    <w:rsid w:val="00B21E78"/>
    <w:rsid w:val="00B24BFE"/>
    <w:rsid w:val="00B267C3"/>
    <w:rsid w:val="00B267DA"/>
    <w:rsid w:val="00B26E25"/>
    <w:rsid w:val="00B311E6"/>
    <w:rsid w:val="00B31648"/>
    <w:rsid w:val="00B31DDE"/>
    <w:rsid w:val="00B3409A"/>
    <w:rsid w:val="00B34CEE"/>
    <w:rsid w:val="00B3674B"/>
    <w:rsid w:val="00B4080D"/>
    <w:rsid w:val="00B41C3C"/>
    <w:rsid w:val="00B422A3"/>
    <w:rsid w:val="00B4528D"/>
    <w:rsid w:val="00B457EB"/>
    <w:rsid w:val="00B46492"/>
    <w:rsid w:val="00B46ACE"/>
    <w:rsid w:val="00B46B83"/>
    <w:rsid w:val="00B50406"/>
    <w:rsid w:val="00B52BA0"/>
    <w:rsid w:val="00B56629"/>
    <w:rsid w:val="00B569A2"/>
    <w:rsid w:val="00B579C9"/>
    <w:rsid w:val="00B60583"/>
    <w:rsid w:val="00B611DD"/>
    <w:rsid w:val="00B65BB6"/>
    <w:rsid w:val="00B663EB"/>
    <w:rsid w:val="00B67D8E"/>
    <w:rsid w:val="00B7001D"/>
    <w:rsid w:val="00B70312"/>
    <w:rsid w:val="00B73483"/>
    <w:rsid w:val="00B7410A"/>
    <w:rsid w:val="00B760D6"/>
    <w:rsid w:val="00B76A08"/>
    <w:rsid w:val="00B76CBE"/>
    <w:rsid w:val="00B8337B"/>
    <w:rsid w:val="00B8427C"/>
    <w:rsid w:val="00B85816"/>
    <w:rsid w:val="00B87439"/>
    <w:rsid w:val="00B93A1A"/>
    <w:rsid w:val="00B93B09"/>
    <w:rsid w:val="00B9543C"/>
    <w:rsid w:val="00B95903"/>
    <w:rsid w:val="00BA4800"/>
    <w:rsid w:val="00BA5924"/>
    <w:rsid w:val="00BA59EF"/>
    <w:rsid w:val="00BA5B94"/>
    <w:rsid w:val="00BA61AA"/>
    <w:rsid w:val="00BB0B11"/>
    <w:rsid w:val="00BB368B"/>
    <w:rsid w:val="00BB475E"/>
    <w:rsid w:val="00BB6F86"/>
    <w:rsid w:val="00BC1FF0"/>
    <w:rsid w:val="00BC2189"/>
    <w:rsid w:val="00BC4428"/>
    <w:rsid w:val="00BC48E9"/>
    <w:rsid w:val="00BC7604"/>
    <w:rsid w:val="00BD3D9F"/>
    <w:rsid w:val="00BE0A21"/>
    <w:rsid w:val="00BE0C84"/>
    <w:rsid w:val="00BE1056"/>
    <w:rsid w:val="00BE1627"/>
    <w:rsid w:val="00BE25B5"/>
    <w:rsid w:val="00BE5A3E"/>
    <w:rsid w:val="00BF108C"/>
    <w:rsid w:val="00BF1974"/>
    <w:rsid w:val="00BF2841"/>
    <w:rsid w:val="00BF589F"/>
    <w:rsid w:val="00C006AD"/>
    <w:rsid w:val="00C032B6"/>
    <w:rsid w:val="00C06ACA"/>
    <w:rsid w:val="00C06ECD"/>
    <w:rsid w:val="00C06FAB"/>
    <w:rsid w:val="00C078B8"/>
    <w:rsid w:val="00C10AC8"/>
    <w:rsid w:val="00C11207"/>
    <w:rsid w:val="00C117CD"/>
    <w:rsid w:val="00C12BCD"/>
    <w:rsid w:val="00C14E7A"/>
    <w:rsid w:val="00C21991"/>
    <w:rsid w:val="00C22FB7"/>
    <w:rsid w:val="00C26247"/>
    <w:rsid w:val="00C27524"/>
    <w:rsid w:val="00C275AD"/>
    <w:rsid w:val="00C27769"/>
    <w:rsid w:val="00C27A39"/>
    <w:rsid w:val="00C31440"/>
    <w:rsid w:val="00C3235A"/>
    <w:rsid w:val="00C33F1C"/>
    <w:rsid w:val="00C3513B"/>
    <w:rsid w:val="00C36404"/>
    <w:rsid w:val="00C37B1B"/>
    <w:rsid w:val="00C40E6E"/>
    <w:rsid w:val="00C41E23"/>
    <w:rsid w:val="00C4509A"/>
    <w:rsid w:val="00C45BC1"/>
    <w:rsid w:val="00C460D8"/>
    <w:rsid w:val="00C46F38"/>
    <w:rsid w:val="00C54EF5"/>
    <w:rsid w:val="00C5605A"/>
    <w:rsid w:val="00C56737"/>
    <w:rsid w:val="00C57C79"/>
    <w:rsid w:val="00C602D2"/>
    <w:rsid w:val="00C609DE"/>
    <w:rsid w:val="00C635C2"/>
    <w:rsid w:val="00C64B91"/>
    <w:rsid w:val="00C712DA"/>
    <w:rsid w:val="00C72A4C"/>
    <w:rsid w:val="00C76486"/>
    <w:rsid w:val="00C773E1"/>
    <w:rsid w:val="00C77695"/>
    <w:rsid w:val="00C830CB"/>
    <w:rsid w:val="00C85585"/>
    <w:rsid w:val="00C8634C"/>
    <w:rsid w:val="00C969FC"/>
    <w:rsid w:val="00C96F44"/>
    <w:rsid w:val="00CA0C79"/>
    <w:rsid w:val="00CA2E37"/>
    <w:rsid w:val="00CA34AC"/>
    <w:rsid w:val="00CA369B"/>
    <w:rsid w:val="00CB1440"/>
    <w:rsid w:val="00CB28ED"/>
    <w:rsid w:val="00CB4BE1"/>
    <w:rsid w:val="00CB4C45"/>
    <w:rsid w:val="00CB5C8F"/>
    <w:rsid w:val="00CC65E0"/>
    <w:rsid w:val="00CD3EA8"/>
    <w:rsid w:val="00CD4645"/>
    <w:rsid w:val="00CD4A18"/>
    <w:rsid w:val="00CD6710"/>
    <w:rsid w:val="00CE0762"/>
    <w:rsid w:val="00CE1DC4"/>
    <w:rsid w:val="00CE1F4D"/>
    <w:rsid w:val="00CE21C3"/>
    <w:rsid w:val="00CE492F"/>
    <w:rsid w:val="00CE6C8C"/>
    <w:rsid w:val="00CE7492"/>
    <w:rsid w:val="00CF2B6E"/>
    <w:rsid w:val="00CF3073"/>
    <w:rsid w:val="00CF7BCF"/>
    <w:rsid w:val="00D00245"/>
    <w:rsid w:val="00D011EE"/>
    <w:rsid w:val="00D02D15"/>
    <w:rsid w:val="00D03B5B"/>
    <w:rsid w:val="00D10465"/>
    <w:rsid w:val="00D120E0"/>
    <w:rsid w:val="00D16E0F"/>
    <w:rsid w:val="00D2038A"/>
    <w:rsid w:val="00D21B87"/>
    <w:rsid w:val="00D22157"/>
    <w:rsid w:val="00D249E2"/>
    <w:rsid w:val="00D309AA"/>
    <w:rsid w:val="00D342BC"/>
    <w:rsid w:val="00D373AF"/>
    <w:rsid w:val="00D40568"/>
    <w:rsid w:val="00D427F7"/>
    <w:rsid w:val="00D435AA"/>
    <w:rsid w:val="00D462EF"/>
    <w:rsid w:val="00D463C1"/>
    <w:rsid w:val="00D46A8A"/>
    <w:rsid w:val="00D50C0B"/>
    <w:rsid w:val="00D50C57"/>
    <w:rsid w:val="00D51079"/>
    <w:rsid w:val="00D53075"/>
    <w:rsid w:val="00D54215"/>
    <w:rsid w:val="00D55D62"/>
    <w:rsid w:val="00D574B7"/>
    <w:rsid w:val="00D578AE"/>
    <w:rsid w:val="00D57BF4"/>
    <w:rsid w:val="00D60E62"/>
    <w:rsid w:val="00D61315"/>
    <w:rsid w:val="00D619F5"/>
    <w:rsid w:val="00D64828"/>
    <w:rsid w:val="00D656DE"/>
    <w:rsid w:val="00D65BBD"/>
    <w:rsid w:val="00D718C1"/>
    <w:rsid w:val="00D721FD"/>
    <w:rsid w:val="00D750DC"/>
    <w:rsid w:val="00D7525C"/>
    <w:rsid w:val="00D758EE"/>
    <w:rsid w:val="00D81EB3"/>
    <w:rsid w:val="00D82DDE"/>
    <w:rsid w:val="00D835E0"/>
    <w:rsid w:val="00D9222B"/>
    <w:rsid w:val="00D9356A"/>
    <w:rsid w:val="00DA068E"/>
    <w:rsid w:val="00DA0C24"/>
    <w:rsid w:val="00DA21FC"/>
    <w:rsid w:val="00DA60DA"/>
    <w:rsid w:val="00DA65F5"/>
    <w:rsid w:val="00DA7679"/>
    <w:rsid w:val="00DB02EF"/>
    <w:rsid w:val="00DB0725"/>
    <w:rsid w:val="00DB0E97"/>
    <w:rsid w:val="00DB2ABE"/>
    <w:rsid w:val="00DB2F53"/>
    <w:rsid w:val="00DB4899"/>
    <w:rsid w:val="00DB63EC"/>
    <w:rsid w:val="00DB6479"/>
    <w:rsid w:val="00DC18DB"/>
    <w:rsid w:val="00DC1B9F"/>
    <w:rsid w:val="00DC2AB3"/>
    <w:rsid w:val="00DC31C0"/>
    <w:rsid w:val="00DC42FF"/>
    <w:rsid w:val="00DC6185"/>
    <w:rsid w:val="00DC6BD5"/>
    <w:rsid w:val="00DD2F5D"/>
    <w:rsid w:val="00DD3915"/>
    <w:rsid w:val="00DD61FF"/>
    <w:rsid w:val="00DE3345"/>
    <w:rsid w:val="00DE5F60"/>
    <w:rsid w:val="00DF0A4D"/>
    <w:rsid w:val="00DF0A91"/>
    <w:rsid w:val="00DF0B98"/>
    <w:rsid w:val="00DF2FAF"/>
    <w:rsid w:val="00DF5554"/>
    <w:rsid w:val="00DF5A0E"/>
    <w:rsid w:val="00DF5C51"/>
    <w:rsid w:val="00E01ECD"/>
    <w:rsid w:val="00E02A4D"/>
    <w:rsid w:val="00E0411A"/>
    <w:rsid w:val="00E04609"/>
    <w:rsid w:val="00E06CA7"/>
    <w:rsid w:val="00E075F1"/>
    <w:rsid w:val="00E11799"/>
    <w:rsid w:val="00E13BA5"/>
    <w:rsid w:val="00E14193"/>
    <w:rsid w:val="00E14383"/>
    <w:rsid w:val="00E20352"/>
    <w:rsid w:val="00E20F1D"/>
    <w:rsid w:val="00E23EB5"/>
    <w:rsid w:val="00E23F27"/>
    <w:rsid w:val="00E24C6D"/>
    <w:rsid w:val="00E327D8"/>
    <w:rsid w:val="00E37440"/>
    <w:rsid w:val="00E407F5"/>
    <w:rsid w:val="00E40B06"/>
    <w:rsid w:val="00E41316"/>
    <w:rsid w:val="00E41C10"/>
    <w:rsid w:val="00E43B19"/>
    <w:rsid w:val="00E4413D"/>
    <w:rsid w:val="00E45230"/>
    <w:rsid w:val="00E466C4"/>
    <w:rsid w:val="00E467B3"/>
    <w:rsid w:val="00E46C67"/>
    <w:rsid w:val="00E5089B"/>
    <w:rsid w:val="00E5407F"/>
    <w:rsid w:val="00E554A8"/>
    <w:rsid w:val="00E556AF"/>
    <w:rsid w:val="00E569A9"/>
    <w:rsid w:val="00E6007D"/>
    <w:rsid w:val="00E600FB"/>
    <w:rsid w:val="00E60455"/>
    <w:rsid w:val="00E61EC5"/>
    <w:rsid w:val="00E63CEE"/>
    <w:rsid w:val="00E6598F"/>
    <w:rsid w:val="00E66917"/>
    <w:rsid w:val="00E66BCE"/>
    <w:rsid w:val="00E67304"/>
    <w:rsid w:val="00E67F18"/>
    <w:rsid w:val="00E70593"/>
    <w:rsid w:val="00E7363C"/>
    <w:rsid w:val="00E73FE5"/>
    <w:rsid w:val="00E7564E"/>
    <w:rsid w:val="00E779E3"/>
    <w:rsid w:val="00E77BE5"/>
    <w:rsid w:val="00E77D2F"/>
    <w:rsid w:val="00E80033"/>
    <w:rsid w:val="00E800CE"/>
    <w:rsid w:val="00E80BCD"/>
    <w:rsid w:val="00E84D8D"/>
    <w:rsid w:val="00E85107"/>
    <w:rsid w:val="00E857FB"/>
    <w:rsid w:val="00E85A96"/>
    <w:rsid w:val="00E87B70"/>
    <w:rsid w:val="00E9399B"/>
    <w:rsid w:val="00E96114"/>
    <w:rsid w:val="00EA1F48"/>
    <w:rsid w:val="00EA42F9"/>
    <w:rsid w:val="00EA519C"/>
    <w:rsid w:val="00EA54B7"/>
    <w:rsid w:val="00EA7474"/>
    <w:rsid w:val="00EB3F5D"/>
    <w:rsid w:val="00EB4D65"/>
    <w:rsid w:val="00EC01FB"/>
    <w:rsid w:val="00EC0F10"/>
    <w:rsid w:val="00EC1704"/>
    <w:rsid w:val="00EC2308"/>
    <w:rsid w:val="00EC582D"/>
    <w:rsid w:val="00EC6A05"/>
    <w:rsid w:val="00ED2ACC"/>
    <w:rsid w:val="00ED3B36"/>
    <w:rsid w:val="00ED52C9"/>
    <w:rsid w:val="00ED6095"/>
    <w:rsid w:val="00ED690D"/>
    <w:rsid w:val="00EE20E5"/>
    <w:rsid w:val="00EE242E"/>
    <w:rsid w:val="00EE489F"/>
    <w:rsid w:val="00EE4BDA"/>
    <w:rsid w:val="00EE67E6"/>
    <w:rsid w:val="00EE7976"/>
    <w:rsid w:val="00EF52AF"/>
    <w:rsid w:val="00EF6F37"/>
    <w:rsid w:val="00EF749C"/>
    <w:rsid w:val="00F001D7"/>
    <w:rsid w:val="00F00A69"/>
    <w:rsid w:val="00F01394"/>
    <w:rsid w:val="00F018A7"/>
    <w:rsid w:val="00F039FC"/>
    <w:rsid w:val="00F05F3D"/>
    <w:rsid w:val="00F07645"/>
    <w:rsid w:val="00F10F77"/>
    <w:rsid w:val="00F13295"/>
    <w:rsid w:val="00F1354E"/>
    <w:rsid w:val="00F1568D"/>
    <w:rsid w:val="00F15E54"/>
    <w:rsid w:val="00F165BE"/>
    <w:rsid w:val="00F23047"/>
    <w:rsid w:val="00F23A7B"/>
    <w:rsid w:val="00F23FE3"/>
    <w:rsid w:val="00F248AA"/>
    <w:rsid w:val="00F273BD"/>
    <w:rsid w:val="00F32255"/>
    <w:rsid w:val="00F338A0"/>
    <w:rsid w:val="00F353CC"/>
    <w:rsid w:val="00F356A4"/>
    <w:rsid w:val="00F35846"/>
    <w:rsid w:val="00F4194E"/>
    <w:rsid w:val="00F43C76"/>
    <w:rsid w:val="00F45E22"/>
    <w:rsid w:val="00F5231D"/>
    <w:rsid w:val="00F532CE"/>
    <w:rsid w:val="00F54526"/>
    <w:rsid w:val="00F54CF4"/>
    <w:rsid w:val="00F55717"/>
    <w:rsid w:val="00F57BE0"/>
    <w:rsid w:val="00F639A2"/>
    <w:rsid w:val="00F648C4"/>
    <w:rsid w:val="00F64D78"/>
    <w:rsid w:val="00F6692D"/>
    <w:rsid w:val="00F66FD7"/>
    <w:rsid w:val="00F71035"/>
    <w:rsid w:val="00F73423"/>
    <w:rsid w:val="00F7512C"/>
    <w:rsid w:val="00F77112"/>
    <w:rsid w:val="00F8667D"/>
    <w:rsid w:val="00F866D0"/>
    <w:rsid w:val="00F87327"/>
    <w:rsid w:val="00F9001E"/>
    <w:rsid w:val="00F9078E"/>
    <w:rsid w:val="00F91F83"/>
    <w:rsid w:val="00F9337E"/>
    <w:rsid w:val="00F94233"/>
    <w:rsid w:val="00F96DBA"/>
    <w:rsid w:val="00F97679"/>
    <w:rsid w:val="00FA1A74"/>
    <w:rsid w:val="00FA452A"/>
    <w:rsid w:val="00FA7302"/>
    <w:rsid w:val="00FB107F"/>
    <w:rsid w:val="00FB242B"/>
    <w:rsid w:val="00FC265E"/>
    <w:rsid w:val="00FC7671"/>
    <w:rsid w:val="00FD2094"/>
    <w:rsid w:val="00FD2CA4"/>
    <w:rsid w:val="00FD38F7"/>
    <w:rsid w:val="00FD6ADD"/>
    <w:rsid w:val="00FE0057"/>
    <w:rsid w:val="00FE0834"/>
    <w:rsid w:val="00FE34DB"/>
    <w:rsid w:val="00FE353E"/>
    <w:rsid w:val="00FE3B2F"/>
    <w:rsid w:val="00FE51B3"/>
    <w:rsid w:val="00FF087F"/>
    <w:rsid w:val="00FF1AE0"/>
    <w:rsid w:val="00FF2A58"/>
    <w:rsid w:val="00FF324D"/>
    <w:rsid w:val="00FF3A9E"/>
    <w:rsid w:val="00FF4A89"/>
    <w:rsid w:val="00FF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85612"/>
  <w15:docId w15:val="{6EDBFF3A-BA76-4054-9CF6-FB128D71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 w:type="character" w:styleId="PlaceholderText">
    <w:name w:val="Placeholder Text"/>
    <w:basedOn w:val="DefaultParagraphFont"/>
    <w:uiPriority w:val="99"/>
    <w:semiHidden/>
    <w:rsid w:val="00784A02"/>
    <w:rPr>
      <w:color w:val="808080"/>
    </w:rPr>
  </w:style>
  <w:style w:type="paragraph" w:styleId="NormalWeb">
    <w:name w:val="Normal (Web)"/>
    <w:basedOn w:val="Normal"/>
    <w:uiPriority w:val="99"/>
    <w:semiHidden/>
    <w:unhideWhenUsed/>
    <w:rsid w:val="002D2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3C2A24"/>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D20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955">
      <w:bodyDiv w:val="1"/>
      <w:marLeft w:val="0"/>
      <w:marRight w:val="0"/>
      <w:marTop w:val="0"/>
      <w:marBottom w:val="0"/>
      <w:divBdr>
        <w:top w:val="none" w:sz="0" w:space="0" w:color="auto"/>
        <w:left w:val="none" w:sz="0" w:space="0" w:color="auto"/>
        <w:bottom w:val="none" w:sz="0" w:space="0" w:color="auto"/>
        <w:right w:val="none" w:sz="0" w:space="0" w:color="auto"/>
      </w:divBdr>
    </w:div>
    <w:div w:id="177668593">
      <w:bodyDiv w:val="1"/>
      <w:marLeft w:val="0"/>
      <w:marRight w:val="0"/>
      <w:marTop w:val="0"/>
      <w:marBottom w:val="0"/>
      <w:divBdr>
        <w:top w:val="none" w:sz="0" w:space="0" w:color="auto"/>
        <w:left w:val="none" w:sz="0" w:space="0" w:color="auto"/>
        <w:bottom w:val="none" w:sz="0" w:space="0" w:color="auto"/>
        <w:right w:val="none" w:sz="0" w:space="0" w:color="auto"/>
      </w:divBdr>
    </w:div>
    <w:div w:id="208226412">
      <w:bodyDiv w:val="1"/>
      <w:marLeft w:val="0"/>
      <w:marRight w:val="0"/>
      <w:marTop w:val="0"/>
      <w:marBottom w:val="0"/>
      <w:divBdr>
        <w:top w:val="none" w:sz="0" w:space="0" w:color="auto"/>
        <w:left w:val="none" w:sz="0" w:space="0" w:color="auto"/>
        <w:bottom w:val="none" w:sz="0" w:space="0" w:color="auto"/>
        <w:right w:val="none" w:sz="0" w:space="0" w:color="auto"/>
      </w:divBdr>
    </w:div>
    <w:div w:id="257563717">
      <w:bodyDiv w:val="1"/>
      <w:marLeft w:val="0"/>
      <w:marRight w:val="0"/>
      <w:marTop w:val="0"/>
      <w:marBottom w:val="0"/>
      <w:divBdr>
        <w:top w:val="none" w:sz="0" w:space="0" w:color="auto"/>
        <w:left w:val="none" w:sz="0" w:space="0" w:color="auto"/>
        <w:bottom w:val="none" w:sz="0" w:space="0" w:color="auto"/>
        <w:right w:val="none" w:sz="0" w:space="0" w:color="auto"/>
      </w:divBdr>
    </w:div>
    <w:div w:id="297490002">
      <w:bodyDiv w:val="1"/>
      <w:marLeft w:val="0"/>
      <w:marRight w:val="0"/>
      <w:marTop w:val="0"/>
      <w:marBottom w:val="0"/>
      <w:divBdr>
        <w:top w:val="none" w:sz="0" w:space="0" w:color="auto"/>
        <w:left w:val="none" w:sz="0" w:space="0" w:color="auto"/>
        <w:bottom w:val="none" w:sz="0" w:space="0" w:color="auto"/>
        <w:right w:val="none" w:sz="0" w:space="0" w:color="auto"/>
      </w:divBdr>
    </w:div>
    <w:div w:id="308901306">
      <w:bodyDiv w:val="1"/>
      <w:marLeft w:val="0"/>
      <w:marRight w:val="0"/>
      <w:marTop w:val="0"/>
      <w:marBottom w:val="0"/>
      <w:divBdr>
        <w:top w:val="none" w:sz="0" w:space="0" w:color="auto"/>
        <w:left w:val="none" w:sz="0" w:space="0" w:color="auto"/>
        <w:bottom w:val="none" w:sz="0" w:space="0" w:color="auto"/>
        <w:right w:val="none" w:sz="0" w:space="0" w:color="auto"/>
      </w:divBdr>
    </w:div>
    <w:div w:id="328757076">
      <w:bodyDiv w:val="1"/>
      <w:marLeft w:val="0"/>
      <w:marRight w:val="0"/>
      <w:marTop w:val="0"/>
      <w:marBottom w:val="0"/>
      <w:divBdr>
        <w:top w:val="none" w:sz="0" w:space="0" w:color="auto"/>
        <w:left w:val="none" w:sz="0" w:space="0" w:color="auto"/>
        <w:bottom w:val="none" w:sz="0" w:space="0" w:color="auto"/>
        <w:right w:val="none" w:sz="0" w:space="0" w:color="auto"/>
      </w:divBdr>
    </w:div>
    <w:div w:id="348215807">
      <w:bodyDiv w:val="1"/>
      <w:marLeft w:val="0"/>
      <w:marRight w:val="0"/>
      <w:marTop w:val="0"/>
      <w:marBottom w:val="0"/>
      <w:divBdr>
        <w:top w:val="none" w:sz="0" w:space="0" w:color="auto"/>
        <w:left w:val="none" w:sz="0" w:space="0" w:color="auto"/>
        <w:bottom w:val="none" w:sz="0" w:space="0" w:color="auto"/>
        <w:right w:val="none" w:sz="0" w:space="0" w:color="auto"/>
      </w:divBdr>
    </w:div>
    <w:div w:id="394819933">
      <w:bodyDiv w:val="1"/>
      <w:marLeft w:val="0"/>
      <w:marRight w:val="0"/>
      <w:marTop w:val="0"/>
      <w:marBottom w:val="0"/>
      <w:divBdr>
        <w:top w:val="none" w:sz="0" w:space="0" w:color="auto"/>
        <w:left w:val="none" w:sz="0" w:space="0" w:color="auto"/>
        <w:bottom w:val="none" w:sz="0" w:space="0" w:color="auto"/>
        <w:right w:val="none" w:sz="0" w:space="0" w:color="auto"/>
      </w:divBdr>
    </w:div>
    <w:div w:id="413089492">
      <w:bodyDiv w:val="1"/>
      <w:marLeft w:val="0"/>
      <w:marRight w:val="0"/>
      <w:marTop w:val="0"/>
      <w:marBottom w:val="0"/>
      <w:divBdr>
        <w:top w:val="none" w:sz="0" w:space="0" w:color="auto"/>
        <w:left w:val="none" w:sz="0" w:space="0" w:color="auto"/>
        <w:bottom w:val="none" w:sz="0" w:space="0" w:color="auto"/>
        <w:right w:val="none" w:sz="0" w:space="0" w:color="auto"/>
      </w:divBdr>
    </w:div>
    <w:div w:id="445317812">
      <w:bodyDiv w:val="1"/>
      <w:marLeft w:val="0"/>
      <w:marRight w:val="0"/>
      <w:marTop w:val="0"/>
      <w:marBottom w:val="0"/>
      <w:divBdr>
        <w:top w:val="none" w:sz="0" w:space="0" w:color="auto"/>
        <w:left w:val="none" w:sz="0" w:space="0" w:color="auto"/>
        <w:bottom w:val="none" w:sz="0" w:space="0" w:color="auto"/>
        <w:right w:val="none" w:sz="0" w:space="0" w:color="auto"/>
      </w:divBdr>
    </w:div>
    <w:div w:id="518541556">
      <w:bodyDiv w:val="1"/>
      <w:marLeft w:val="0"/>
      <w:marRight w:val="0"/>
      <w:marTop w:val="0"/>
      <w:marBottom w:val="0"/>
      <w:divBdr>
        <w:top w:val="none" w:sz="0" w:space="0" w:color="auto"/>
        <w:left w:val="none" w:sz="0" w:space="0" w:color="auto"/>
        <w:bottom w:val="none" w:sz="0" w:space="0" w:color="auto"/>
        <w:right w:val="none" w:sz="0" w:space="0" w:color="auto"/>
      </w:divBdr>
    </w:div>
    <w:div w:id="541525635">
      <w:bodyDiv w:val="1"/>
      <w:marLeft w:val="0"/>
      <w:marRight w:val="0"/>
      <w:marTop w:val="0"/>
      <w:marBottom w:val="0"/>
      <w:divBdr>
        <w:top w:val="none" w:sz="0" w:space="0" w:color="auto"/>
        <w:left w:val="none" w:sz="0" w:space="0" w:color="auto"/>
        <w:bottom w:val="none" w:sz="0" w:space="0" w:color="auto"/>
        <w:right w:val="none" w:sz="0" w:space="0" w:color="auto"/>
      </w:divBdr>
    </w:div>
    <w:div w:id="566376554">
      <w:bodyDiv w:val="1"/>
      <w:marLeft w:val="0"/>
      <w:marRight w:val="0"/>
      <w:marTop w:val="0"/>
      <w:marBottom w:val="0"/>
      <w:divBdr>
        <w:top w:val="none" w:sz="0" w:space="0" w:color="auto"/>
        <w:left w:val="none" w:sz="0" w:space="0" w:color="auto"/>
        <w:bottom w:val="none" w:sz="0" w:space="0" w:color="auto"/>
        <w:right w:val="none" w:sz="0" w:space="0" w:color="auto"/>
      </w:divBdr>
    </w:div>
    <w:div w:id="588201285">
      <w:bodyDiv w:val="1"/>
      <w:marLeft w:val="0"/>
      <w:marRight w:val="0"/>
      <w:marTop w:val="0"/>
      <w:marBottom w:val="0"/>
      <w:divBdr>
        <w:top w:val="none" w:sz="0" w:space="0" w:color="auto"/>
        <w:left w:val="none" w:sz="0" w:space="0" w:color="auto"/>
        <w:bottom w:val="none" w:sz="0" w:space="0" w:color="auto"/>
        <w:right w:val="none" w:sz="0" w:space="0" w:color="auto"/>
      </w:divBdr>
    </w:div>
    <w:div w:id="592468997">
      <w:bodyDiv w:val="1"/>
      <w:marLeft w:val="0"/>
      <w:marRight w:val="0"/>
      <w:marTop w:val="0"/>
      <w:marBottom w:val="0"/>
      <w:divBdr>
        <w:top w:val="none" w:sz="0" w:space="0" w:color="auto"/>
        <w:left w:val="none" w:sz="0" w:space="0" w:color="auto"/>
        <w:bottom w:val="none" w:sz="0" w:space="0" w:color="auto"/>
        <w:right w:val="none" w:sz="0" w:space="0" w:color="auto"/>
      </w:divBdr>
    </w:div>
    <w:div w:id="616108199">
      <w:bodyDiv w:val="1"/>
      <w:marLeft w:val="0"/>
      <w:marRight w:val="0"/>
      <w:marTop w:val="0"/>
      <w:marBottom w:val="0"/>
      <w:divBdr>
        <w:top w:val="none" w:sz="0" w:space="0" w:color="auto"/>
        <w:left w:val="none" w:sz="0" w:space="0" w:color="auto"/>
        <w:bottom w:val="none" w:sz="0" w:space="0" w:color="auto"/>
        <w:right w:val="none" w:sz="0" w:space="0" w:color="auto"/>
      </w:divBdr>
    </w:div>
    <w:div w:id="707532640">
      <w:bodyDiv w:val="1"/>
      <w:marLeft w:val="0"/>
      <w:marRight w:val="0"/>
      <w:marTop w:val="0"/>
      <w:marBottom w:val="0"/>
      <w:divBdr>
        <w:top w:val="none" w:sz="0" w:space="0" w:color="auto"/>
        <w:left w:val="none" w:sz="0" w:space="0" w:color="auto"/>
        <w:bottom w:val="none" w:sz="0" w:space="0" w:color="auto"/>
        <w:right w:val="none" w:sz="0" w:space="0" w:color="auto"/>
      </w:divBdr>
    </w:div>
    <w:div w:id="771896183">
      <w:bodyDiv w:val="1"/>
      <w:marLeft w:val="0"/>
      <w:marRight w:val="0"/>
      <w:marTop w:val="0"/>
      <w:marBottom w:val="0"/>
      <w:divBdr>
        <w:top w:val="none" w:sz="0" w:space="0" w:color="auto"/>
        <w:left w:val="none" w:sz="0" w:space="0" w:color="auto"/>
        <w:bottom w:val="none" w:sz="0" w:space="0" w:color="auto"/>
        <w:right w:val="none" w:sz="0" w:space="0" w:color="auto"/>
      </w:divBdr>
    </w:div>
    <w:div w:id="815805546">
      <w:bodyDiv w:val="1"/>
      <w:marLeft w:val="0"/>
      <w:marRight w:val="0"/>
      <w:marTop w:val="0"/>
      <w:marBottom w:val="0"/>
      <w:divBdr>
        <w:top w:val="none" w:sz="0" w:space="0" w:color="auto"/>
        <w:left w:val="none" w:sz="0" w:space="0" w:color="auto"/>
        <w:bottom w:val="none" w:sz="0" w:space="0" w:color="auto"/>
        <w:right w:val="none" w:sz="0" w:space="0" w:color="auto"/>
      </w:divBdr>
    </w:div>
    <w:div w:id="946235880">
      <w:bodyDiv w:val="1"/>
      <w:marLeft w:val="0"/>
      <w:marRight w:val="0"/>
      <w:marTop w:val="0"/>
      <w:marBottom w:val="0"/>
      <w:divBdr>
        <w:top w:val="none" w:sz="0" w:space="0" w:color="auto"/>
        <w:left w:val="none" w:sz="0" w:space="0" w:color="auto"/>
        <w:bottom w:val="none" w:sz="0" w:space="0" w:color="auto"/>
        <w:right w:val="none" w:sz="0" w:space="0" w:color="auto"/>
      </w:divBdr>
    </w:div>
    <w:div w:id="1040516130">
      <w:bodyDiv w:val="1"/>
      <w:marLeft w:val="0"/>
      <w:marRight w:val="0"/>
      <w:marTop w:val="0"/>
      <w:marBottom w:val="0"/>
      <w:divBdr>
        <w:top w:val="none" w:sz="0" w:space="0" w:color="auto"/>
        <w:left w:val="none" w:sz="0" w:space="0" w:color="auto"/>
        <w:bottom w:val="none" w:sz="0" w:space="0" w:color="auto"/>
        <w:right w:val="none" w:sz="0" w:space="0" w:color="auto"/>
      </w:divBdr>
    </w:div>
    <w:div w:id="1066758141">
      <w:bodyDiv w:val="1"/>
      <w:marLeft w:val="0"/>
      <w:marRight w:val="0"/>
      <w:marTop w:val="0"/>
      <w:marBottom w:val="0"/>
      <w:divBdr>
        <w:top w:val="none" w:sz="0" w:space="0" w:color="auto"/>
        <w:left w:val="none" w:sz="0" w:space="0" w:color="auto"/>
        <w:bottom w:val="none" w:sz="0" w:space="0" w:color="auto"/>
        <w:right w:val="none" w:sz="0" w:space="0" w:color="auto"/>
      </w:divBdr>
    </w:div>
    <w:div w:id="1072433884">
      <w:bodyDiv w:val="1"/>
      <w:marLeft w:val="0"/>
      <w:marRight w:val="0"/>
      <w:marTop w:val="0"/>
      <w:marBottom w:val="0"/>
      <w:divBdr>
        <w:top w:val="none" w:sz="0" w:space="0" w:color="auto"/>
        <w:left w:val="none" w:sz="0" w:space="0" w:color="auto"/>
        <w:bottom w:val="none" w:sz="0" w:space="0" w:color="auto"/>
        <w:right w:val="none" w:sz="0" w:space="0" w:color="auto"/>
      </w:divBdr>
    </w:div>
    <w:div w:id="1073042316">
      <w:bodyDiv w:val="1"/>
      <w:marLeft w:val="0"/>
      <w:marRight w:val="0"/>
      <w:marTop w:val="0"/>
      <w:marBottom w:val="0"/>
      <w:divBdr>
        <w:top w:val="none" w:sz="0" w:space="0" w:color="auto"/>
        <w:left w:val="none" w:sz="0" w:space="0" w:color="auto"/>
        <w:bottom w:val="none" w:sz="0" w:space="0" w:color="auto"/>
        <w:right w:val="none" w:sz="0" w:space="0" w:color="auto"/>
      </w:divBdr>
    </w:div>
    <w:div w:id="1089889154">
      <w:bodyDiv w:val="1"/>
      <w:marLeft w:val="0"/>
      <w:marRight w:val="0"/>
      <w:marTop w:val="0"/>
      <w:marBottom w:val="0"/>
      <w:divBdr>
        <w:top w:val="none" w:sz="0" w:space="0" w:color="auto"/>
        <w:left w:val="none" w:sz="0" w:space="0" w:color="auto"/>
        <w:bottom w:val="none" w:sz="0" w:space="0" w:color="auto"/>
        <w:right w:val="none" w:sz="0" w:space="0" w:color="auto"/>
      </w:divBdr>
    </w:div>
    <w:div w:id="1130628774">
      <w:bodyDiv w:val="1"/>
      <w:marLeft w:val="0"/>
      <w:marRight w:val="0"/>
      <w:marTop w:val="0"/>
      <w:marBottom w:val="0"/>
      <w:divBdr>
        <w:top w:val="none" w:sz="0" w:space="0" w:color="auto"/>
        <w:left w:val="none" w:sz="0" w:space="0" w:color="auto"/>
        <w:bottom w:val="none" w:sz="0" w:space="0" w:color="auto"/>
        <w:right w:val="none" w:sz="0" w:space="0" w:color="auto"/>
      </w:divBdr>
    </w:div>
    <w:div w:id="1181237313">
      <w:bodyDiv w:val="1"/>
      <w:marLeft w:val="0"/>
      <w:marRight w:val="0"/>
      <w:marTop w:val="0"/>
      <w:marBottom w:val="0"/>
      <w:divBdr>
        <w:top w:val="none" w:sz="0" w:space="0" w:color="auto"/>
        <w:left w:val="none" w:sz="0" w:space="0" w:color="auto"/>
        <w:bottom w:val="none" w:sz="0" w:space="0" w:color="auto"/>
        <w:right w:val="none" w:sz="0" w:space="0" w:color="auto"/>
      </w:divBdr>
    </w:div>
    <w:div w:id="1245263642">
      <w:bodyDiv w:val="1"/>
      <w:marLeft w:val="0"/>
      <w:marRight w:val="0"/>
      <w:marTop w:val="0"/>
      <w:marBottom w:val="0"/>
      <w:divBdr>
        <w:top w:val="none" w:sz="0" w:space="0" w:color="auto"/>
        <w:left w:val="none" w:sz="0" w:space="0" w:color="auto"/>
        <w:bottom w:val="none" w:sz="0" w:space="0" w:color="auto"/>
        <w:right w:val="none" w:sz="0" w:space="0" w:color="auto"/>
      </w:divBdr>
    </w:div>
    <w:div w:id="1302538569">
      <w:bodyDiv w:val="1"/>
      <w:marLeft w:val="0"/>
      <w:marRight w:val="0"/>
      <w:marTop w:val="0"/>
      <w:marBottom w:val="0"/>
      <w:divBdr>
        <w:top w:val="none" w:sz="0" w:space="0" w:color="auto"/>
        <w:left w:val="none" w:sz="0" w:space="0" w:color="auto"/>
        <w:bottom w:val="none" w:sz="0" w:space="0" w:color="auto"/>
        <w:right w:val="none" w:sz="0" w:space="0" w:color="auto"/>
      </w:divBdr>
    </w:div>
    <w:div w:id="1308123643">
      <w:bodyDiv w:val="1"/>
      <w:marLeft w:val="0"/>
      <w:marRight w:val="0"/>
      <w:marTop w:val="0"/>
      <w:marBottom w:val="0"/>
      <w:divBdr>
        <w:top w:val="none" w:sz="0" w:space="0" w:color="auto"/>
        <w:left w:val="none" w:sz="0" w:space="0" w:color="auto"/>
        <w:bottom w:val="none" w:sz="0" w:space="0" w:color="auto"/>
        <w:right w:val="none" w:sz="0" w:space="0" w:color="auto"/>
      </w:divBdr>
    </w:div>
    <w:div w:id="1325819021">
      <w:bodyDiv w:val="1"/>
      <w:marLeft w:val="0"/>
      <w:marRight w:val="0"/>
      <w:marTop w:val="0"/>
      <w:marBottom w:val="0"/>
      <w:divBdr>
        <w:top w:val="none" w:sz="0" w:space="0" w:color="auto"/>
        <w:left w:val="none" w:sz="0" w:space="0" w:color="auto"/>
        <w:bottom w:val="none" w:sz="0" w:space="0" w:color="auto"/>
        <w:right w:val="none" w:sz="0" w:space="0" w:color="auto"/>
      </w:divBdr>
    </w:div>
    <w:div w:id="1371342992">
      <w:bodyDiv w:val="1"/>
      <w:marLeft w:val="0"/>
      <w:marRight w:val="0"/>
      <w:marTop w:val="0"/>
      <w:marBottom w:val="0"/>
      <w:divBdr>
        <w:top w:val="none" w:sz="0" w:space="0" w:color="auto"/>
        <w:left w:val="none" w:sz="0" w:space="0" w:color="auto"/>
        <w:bottom w:val="none" w:sz="0" w:space="0" w:color="auto"/>
        <w:right w:val="none" w:sz="0" w:space="0" w:color="auto"/>
      </w:divBdr>
    </w:div>
    <w:div w:id="1385330007">
      <w:bodyDiv w:val="1"/>
      <w:marLeft w:val="0"/>
      <w:marRight w:val="0"/>
      <w:marTop w:val="0"/>
      <w:marBottom w:val="0"/>
      <w:divBdr>
        <w:top w:val="none" w:sz="0" w:space="0" w:color="auto"/>
        <w:left w:val="none" w:sz="0" w:space="0" w:color="auto"/>
        <w:bottom w:val="none" w:sz="0" w:space="0" w:color="auto"/>
        <w:right w:val="none" w:sz="0" w:space="0" w:color="auto"/>
      </w:divBdr>
    </w:div>
    <w:div w:id="1389264045">
      <w:bodyDiv w:val="1"/>
      <w:marLeft w:val="0"/>
      <w:marRight w:val="0"/>
      <w:marTop w:val="0"/>
      <w:marBottom w:val="0"/>
      <w:divBdr>
        <w:top w:val="none" w:sz="0" w:space="0" w:color="auto"/>
        <w:left w:val="none" w:sz="0" w:space="0" w:color="auto"/>
        <w:bottom w:val="none" w:sz="0" w:space="0" w:color="auto"/>
        <w:right w:val="none" w:sz="0" w:space="0" w:color="auto"/>
      </w:divBdr>
    </w:div>
    <w:div w:id="1449160689">
      <w:bodyDiv w:val="1"/>
      <w:marLeft w:val="0"/>
      <w:marRight w:val="0"/>
      <w:marTop w:val="0"/>
      <w:marBottom w:val="0"/>
      <w:divBdr>
        <w:top w:val="none" w:sz="0" w:space="0" w:color="auto"/>
        <w:left w:val="none" w:sz="0" w:space="0" w:color="auto"/>
        <w:bottom w:val="none" w:sz="0" w:space="0" w:color="auto"/>
        <w:right w:val="none" w:sz="0" w:space="0" w:color="auto"/>
      </w:divBdr>
    </w:div>
    <w:div w:id="1572153931">
      <w:bodyDiv w:val="1"/>
      <w:marLeft w:val="0"/>
      <w:marRight w:val="0"/>
      <w:marTop w:val="0"/>
      <w:marBottom w:val="0"/>
      <w:divBdr>
        <w:top w:val="none" w:sz="0" w:space="0" w:color="auto"/>
        <w:left w:val="none" w:sz="0" w:space="0" w:color="auto"/>
        <w:bottom w:val="none" w:sz="0" w:space="0" w:color="auto"/>
        <w:right w:val="none" w:sz="0" w:space="0" w:color="auto"/>
      </w:divBdr>
    </w:div>
    <w:div w:id="1579947884">
      <w:bodyDiv w:val="1"/>
      <w:marLeft w:val="0"/>
      <w:marRight w:val="0"/>
      <w:marTop w:val="0"/>
      <w:marBottom w:val="0"/>
      <w:divBdr>
        <w:top w:val="none" w:sz="0" w:space="0" w:color="auto"/>
        <w:left w:val="none" w:sz="0" w:space="0" w:color="auto"/>
        <w:bottom w:val="none" w:sz="0" w:space="0" w:color="auto"/>
        <w:right w:val="none" w:sz="0" w:space="0" w:color="auto"/>
      </w:divBdr>
    </w:div>
    <w:div w:id="1606038394">
      <w:bodyDiv w:val="1"/>
      <w:marLeft w:val="0"/>
      <w:marRight w:val="0"/>
      <w:marTop w:val="0"/>
      <w:marBottom w:val="0"/>
      <w:divBdr>
        <w:top w:val="none" w:sz="0" w:space="0" w:color="auto"/>
        <w:left w:val="none" w:sz="0" w:space="0" w:color="auto"/>
        <w:bottom w:val="none" w:sz="0" w:space="0" w:color="auto"/>
        <w:right w:val="none" w:sz="0" w:space="0" w:color="auto"/>
      </w:divBdr>
    </w:div>
    <w:div w:id="1628731611">
      <w:bodyDiv w:val="1"/>
      <w:marLeft w:val="0"/>
      <w:marRight w:val="0"/>
      <w:marTop w:val="0"/>
      <w:marBottom w:val="0"/>
      <w:divBdr>
        <w:top w:val="none" w:sz="0" w:space="0" w:color="auto"/>
        <w:left w:val="none" w:sz="0" w:space="0" w:color="auto"/>
        <w:bottom w:val="none" w:sz="0" w:space="0" w:color="auto"/>
        <w:right w:val="none" w:sz="0" w:space="0" w:color="auto"/>
      </w:divBdr>
    </w:div>
    <w:div w:id="1744713645">
      <w:bodyDiv w:val="1"/>
      <w:marLeft w:val="0"/>
      <w:marRight w:val="0"/>
      <w:marTop w:val="0"/>
      <w:marBottom w:val="0"/>
      <w:divBdr>
        <w:top w:val="none" w:sz="0" w:space="0" w:color="auto"/>
        <w:left w:val="none" w:sz="0" w:space="0" w:color="auto"/>
        <w:bottom w:val="none" w:sz="0" w:space="0" w:color="auto"/>
        <w:right w:val="none" w:sz="0" w:space="0" w:color="auto"/>
      </w:divBdr>
    </w:div>
    <w:div w:id="1780759695">
      <w:bodyDiv w:val="1"/>
      <w:marLeft w:val="0"/>
      <w:marRight w:val="0"/>
      <w:marTop w:val="0"/>
      <w:marBottom w:val="0"/>
      <w:divBdr>
        <w:top w:val="none" w:sz="0" w:space="0" w:color="auto"/>
        <w:left w:val="none" w:sz="0" w:space="0" w:color="auto"/>
        <w:bottom w:val="none" w:sz="0" w:space="0" w:color="auto"/>
        <w:right w:val="none" w:sz="0" w:space="0" w:color="auto"/>
      </w:divBdr>
    </w:div>
    <w:div w:id="1781411848">
      <w:bodyDiv w:val="1"/>
      <w:marLeft w:val="0"/>
      <w:marRight w:val="0"/>
      <w:marTop w:val="0"/>
      <w:marBottom w:val="0"/>
      <w:divBdr>
        <w:top w:val="none" w:sz="0" w:space="0" w:color="auto"/>
        <w:left w:val="none" w:sz="0" w:space="0" w:color="auto"/>
        <w:bottom w:val="none" w:sz="0" w:space="0" w:color="auto"/>
        <w:right w:val="none" w:sz="0" w:space="0" w:color="auto"/>
      </w:divBdr>
    </w:div>
    <w:div w:id="1782917176">
      <w:bodyDiv w:val="1"/>
      <w:marLeft w:val="0"/>
      <w:marRight w:val="0"/>
      <w:marTop w:val="0"/>
      <w:marBottom w:val="0"/>
      <w:divBdr>
        <w:top w:val="none" w:sz="0" w:space="0" w:color="auto"/>
        <w:left w:val="none" w:sz="0" w:space="0" w:color="auto"/>
        <w:bottom w:val="none" w:sz="0" w:space="0" w:color="auto"/>
        <w:right w:val="none" w:sz="0" w:space="0" w:color="auto"/>
      </w:divBdr>
    </w:div>
    <w:div w:id="1836261989">
      <w:bodyDiv w:val="1"/>
      <w:marLeft w:val="0"/>
      <w:marRight w:val="0"/>
      <w:marTop w:val="0"/>
      <w:marBottom w:val="0"/>
      <w:divBdr>
        <w:top w:val="none" w:sz="0" w:space="0" w:color="auto"/>
        <w:left w:val="none" w:sz="0" w:space="0" w:color="auto"/>
        <w:bottom w:val="none" w:sz="0" w:space="0" w:color="auto"/>
        <w:right w:val="none" w:sz="0" w:space="0" w:color="auto"/>
      </w:divBdr>
    </w:div>
    <w:div w:id="1851025361">
      <w:bodyDiv w:val="1"/>
      <w:marLeft w:val="0"/>
      <w:marRight w:val="0"/>
      <w:marTop w:val="0"/>
      <w:marBottom w:val="0"/>
      <w:divBdr>
        <w:top w:val="none" w:sz="0" w:space="0" w:color="auto"/>
        <w:left w:val="none" w:sz="0" w:space="0" w:color="auto"/>
        <w:bottom w:val="none" w:sz="0" w:space="0" w:color="auto"/>
        <w:right w:val="none" w:sz="0" w:space="0" w:color="auto"/>
      </w:divBdr>
    </w:div>
    <w:div w:id="1873613619">
      <w:bodyDiv w:val="1"/>
      <w:marLeft w:val="0"/>
      <w:marRight w:val="0"/>
      <w:marTop w:val="0"/>
      <w:marBottom w:val="0"/>
      <w:divBdr>
        <w:top w:val="none" w:sz="0" w:space="0" w:color="auto"/>
        <w:left w:val="none" w:sz="0" w:space="0" w:color="auto"/>
        <w:bottom w:val="none" w:sz="0" w:space="0" w:color="auto"/>
        <w:right w:val="none" w:sz="0" w:space="0" w:color="auto"/>
      </w:divBdr>
    </w:div>
    <w:div w:id="1889339853">
      <w:bodyDiv w:val="1"/>
      <w:marLeft w:val="0"/>
      <w:marRight w:val="0"/>
      <w:marTop w:val="0"/>
      <w:marBottom w:val="0"/>
      <w:divBdr>
        <w:top w:val="none" w:sz="0" w:space="0" w:color="auto"/>
        <w:left w:val="none" w:sz="0" w:space="0" w:color="auto"/>
        <w:bottom w:val="none" w:sz="0" w:space="0" w:color="auto"/>
        <w:right w:val="none" w:sz="0" w:space="0" w:color="auto"/>
      </w:divBdr>
    </w:div>
    <w:div w:id="1962689479">
      <w:bodyDiv w:val="1"/>
      <w:marLeft w:val="0"/>
      <w:marRight w:val="0"/>
      <w:marTop w:val="0"/>
      <w:marBottom w:val="0"/>
      <w:divBdr>
        <w:top w:val="none" w:sz="0" w:space="0" w:color="auto"/>
        <w:left w:val="none" w:sz="0" w:space="0" w:color="auto"/>
        <w:bottom w:val="none" w:sz="0" w:space="0" w:color="auto"/>
        <w:right w:val="none" w:sz="0" w:space="0" w:color="auto"/>
      </w:divBdr>
    </w:div>
    <w:div w:id="1980648623">
      <w:bodyDiv w:val="1"/>
      <w:marLeft w:val="0"/>
      <w:marRight w:val="0"/>
      <w:marTop w:val="0"/>
      <w:marBottom w:val="0"/>
      <w:divBdr>
        <w:top w:val="none" w:sz="0" w:space="0" w:color="auto"/>
        <w:left w:val="none" w:sz="0" w:space="0" w:color="auto"/>
        <w:bottom w:val="none" w:sz="0" w:space="0" w:color="auto"/>
        <w:right w:val="none" w:sz="0" w:space="0" w:color="auto"/>
      </w:divBdr>
    </w:div>
    <w:div w:id="1981841392">
      <w:bodyDiv w:val="1"/>
      <w:marLeft w:val="0"/>
      <w:marRight w:val="0"/>
      <w:marTop w:val="0"/>
      <w:marBottom w:val="0"/>
      <w:divBdr>
        <w:top w:val="none" w:sz="0" w:space="0" w:color="auto"/>
        <w:left w:val="none" w:sz="0" w:space="0" w:color="auto"/>
        <w:bottom w:val="none" w:sz="0" w:space="0" w:color="auto"/>
        <w:right w:val="none" w:sz="0" w:space="0" w:color="auto"/>
      </w:divBdr>
    </w:div>
    <w:div w:id="2051880435">
      <w:bodyDiv w:val="1"/>
      <w:marLeft w:val="0"/>
      <w:marRight w:val="0"/>
      <w:marTop w:val="0"/>
      <w:marBottom w:val="0"/>
      <w:divBdr>
        <w:top w:val="none" w:sz="0" w:space="0" w:color="auto"/>
        <w:left w:val="none" w:sz="0" w:space="0" w:color="auto"/>
        <w:bottom w:val="none" w:sz="0" w:space="0" w:color="auto"/>
        <w:right w:val="none" w:sz="0" w:space="0" w:color="auto"/>
      </w:divBdr>
    </w:div>
    <w:div w:id="2061707833">
      <w:bodyDiv w:val="1"/>
      <w:marLeft w:val="0"/>
      <w:marRight w:val="0"/>
      <w:marTop w:val="0"/>
      <w:marBottom w:val="0"/>
      <w:divBdr>
        <w:top w:val="none" w:sz="0" w:space="0" w:color="auto"/>
        <w:left w:val="none" w:sz="0" w:space="0" w:color="auto"/>
        <w:bottom w:val="none" w:sz="0" w:space="0" w:color="auto"/>
        <w:right w:val="none" w:sz="0" w:space="0" w:color="auto"/>
      </w:divBdr>
    </w:div>
    <w:div w:id="2099590408">
      <w:bodyDiv w:val="1"/>
      <w:marLeft w:val="0"/>
      <w:marRight w:val="0"/>
      <w:marTop w:val="0"/>
      <w:marBottom w:val="0"/>
      <w:divBdr>
        <w:top w:val="none" w:sz="0" w:space="0" w:color="auto"/>
        <w:left w:val="none" w:sz="0" w:space="0" w:color="auto"/>
        <w:bottom w:val="none" w:sz="0" w:space="0" w:color="auto"/>
        <w:right w:val="none" w:sz="0" w:space="0" w:color="auto"/>
      </w:divBdr>
    </w:div>
    <w:div w:id="2128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zgi.genc\Desktop\YAZGI\AN_Bolgesel_issizlik\2018\bolgesel_issizlik_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azgi.genc\Desktop\YAZGI\AN_Bolgesel_issizlik\2018\bolgesel_issizlik_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azgi.genc\Desktop\YAZGI\AN_Bolgesel_issizlik\2018\bolgesel_issizlik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9763310522357E-2"/>
          <c:y val="1.97677245667989E-2"/>
          <c:w val="0.90081311490240301"/>
          <c:h val="0.88717890288817403"/>
        </c:manualLayout>
      </c:layout>
      <c:barChart>
        <c:barDir val="bar"/>
        <c:grouping val="clustered"/>
        <c:varyColors val="0"/>
        <c:ser>
          <c:idx val="0"/>
          <c:order val="0"/>
          <c:tx>
            <c:strRef>
              <c:f>Sekil_1!$C$3</c:f>
              <c:strCache>
                <c:ptCount val="1"/>
                <c:pt idx="0">
                  <c:v>2017</c:v>
                </c:pt>
              </c:strCache>
            </c:strRef>
          </c:tx>
          <c:spPr>
            <a:solidFill>
              <a:schemeClr val="accent6">
                <a:lumMod val="60000"/>
                <a:lumOff val="40000"/>
              </a:schemeClr>
            </a:solidFill>
            <a:ln>
              <a:noFill/>
            </a:ln>
            <a:effectLst/>
          </c:spPr>
          <c:invertIfNegative val="0"/>
          <c:dPt>
            <c:idx val="16"/>
            <c:invertIfNegative val="0"/>
            <c:bubble3D val="0"/>
            <c:spPr>
              <a:solidFill>
                <a:srgbClr val="C00000"/>
              </a:solidFill>
              <a:ln>
                <a:noFill/>
              </a:ln>
              <a:effectLst/>
            </c:spPr>
            <c:extLst>
              <c:ext xmlns:c16="http://schemas.microsoft.com/office/drawing/2014/chart" uri="{C3380CC4-5D6E-409C-BE32-E72D297353CC}">
                <c16:uniqueId val="{00000001-4D67-4D66-95AB-F28F41B52B45}"/>
              </c:ext>
            </c:extLst>
          </c:dPt>
          <c:dLbls>
            <c:dLbl>
              <c:idx val="0"/>
              <c:layout>
                <c:manualLayout>
                  <c:x val="-3.2639734687788099E-3"/>
                  <c:y val="3.95354491335976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67-4D66-95AB-F28F41B52B45}"/>
                </c:ext>
              </c:extLst>
            </c:dLbl>
            <c:dLbl>
              <c:idx val="3"/>
              <c:layout>
                <c:manualLayout>
                  <c:x val="-4.8959602031682101E-3"/>
                  <c:y val="3.95354491335962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67-4D66-95AB-F28F41B52B45}"/>
                </c:ext>
              </c:extLst>
            </c:dLbl>
            <c:dLbl>
              <c:idx val="5"/>
              <c:layout>
                <c:manualLayout>
                  <c:x val="-9.7919204063364202E-3"/>
                  <c:y val="1.976772456679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67-4D66-95AB-F28F41B52B45}"/>
                </c:ext>
              </c:extLst>
            </c:dLbl>
            <c:dLbl>
              <c:idx val="8"/>
              <c:layout>
                <c:manualLayout>
                  <c:x val="-4.8959602031682101E-3"/>
                  <c:y val="5.93031737003966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67-4D66-95AB-F28F41B52B45}"/>
                </c:ext>
              </c:extLst>
            </c:dLbl>
            <c:dLbl>
              <c:idx val="9"/>
              <c:layout>
                <c:manualLayout>
                  <c:x val="-1.6319867343894E-3"/>
                  <c:y val="3.95354491335970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67-4D66-95AB-F28F41B52B45}"/>
                </c:ext>
              </c:extLst>
            </c:dLbl>
            <c:dLbl>
              <c:idx val="15"/>
              <c:layout>
                <c:manualLayout>
                  <c:x val="-5.9838822331096897E-17"/>
                  <c:y val="-5.93031737003966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67-4D66-95AB-F28F41B52B45}"/>
                </c:ext>
              </c:extLst>
            </c:dLbl>
            <c:dLbl>
              <c:idx val="16"/>
              <c:layout>
                <c:manualLayout>
                  <c:x val="-1.6319867343894E-3"/>
                  <c:y val="-5.93031737003966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67-4D66-95AB-F28F41B52B45}"/>
                </c:ext>
              </c:extLst>
            </c:dLbl>
            <c:dLbl>
              <c:idx val="24"/>
              <c:layout>
                <c:manualLayout>
                  <c:x val="-3.2639734687788099E-3"/>
                  <c:y val="5.93031737003966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67-4D66-95AB-F28F41B52B45}"/>
                </c:ext>
              </c:extLst>
            </c:dLbl>
            <c:dLbl>
              <c:idx val="26"/>
              <c:layout>
                <c:manualLayout>
                  <c:x val="-1.1967764466219301E-16"/>
                  <c:y val="-3.953544913359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67-4D66-95AB-F28F41B52B4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Sekil_1!$A$4:$A$30</c:f>
              <c:strCache>
                <c:ptCount val="27"/>
                <c:pt idx="0">
                  <c:v>TR90</c:v>
                </c:pt>
                <c:pt idx="1">
                  <c:v>TR52</c:v>
                </c:pt>
                <c:pt idx="2">
                  <c:v>TR82</c:v>
                </c:pt>
                <c:pt idx="3">
                  <c:v>TR22 </c:v>
                </c:pt>
                <c:pt idx="4">
                  <c:v>TR33</c:v>
                </c:pt>
                <c:pt idx="5">
                  <c:v>TRA1 </c:v>
                </c:pt>
                <c:pt idx="6">
                  <c:v>TR32 </c:v>
                </c:pt>
                <c:pt idx="7">
                  <c:v>TR21 </c:v>
                </c:pt>
                <c:pt idx="8">
                  <c:v>TRB1 </c:v>
                </c:pt>
                <c:pt idx="9">
                  <c:v>TR81 </c:v>
                </c:pt>
                <c:pt idx="10">
                  <c:v>TR41 </c:v>
                </c:pt>
                <c:pt idx="11">
                  <c:v>TR83</c:v>
                </c:pt>
                <c:pt idx="12">
                  <c:v>TRA2</c:v>
                </c:pt>
                <c:pt idx="13">
                  <c:v>TR51</c:v>
                </c:pt>
                <c:pt idx="14">
                  <c:v>TR42</c:v>
                </c:pt>
                <c:pt idx="15">
                  <c:v>TR62 </c:v>
                </c:pt>
                <c:pt idx="16">
                  <c:v>Türkiye</c:v>
                </c:pt>
                <c:pt idx="17">
                  <c:v>TR10</c:v>
                </c:pt>
                <c:pt idx="18">
                  <c:v>TR63 </c:v>
                </c:pt>
                <c:pt idx="19">
                  <c:v>TR61 </c:v>
                </c:pt>
                <c:pt idx="20">
                  <c:v>TR71</c:v>
                </c:pt>
                <c:pt idx="21">
                  <c:v>TR31</c:v>
                </c:pt>
                <c:pt idx="22">
                  <c:v>TR72</c:v>
                </c:pt>
                <c:pt idx="23">
                  <c:v>TRC1 </c:v>
                </c:pt>
                <c:pt idx="24">
                  <c:v>TRC2 </c:v>
                </c:pt>
                <c:pt idx="25">
                  <c:v>TRB2</c:v>
                </c:pt>
                <c:pt idx="26">
                  <c:v>TRC3 </c:v>
                </c:pt>
              </c:strCache>
            </c:strRef>
          </c:cat>
          <c:val>
            <c:numRef>
              <c:f>Sekil_1!$C$4:$C$30</c:f>
              <c:numCache>
                <c:formatCode>0.0</c:formatCode>
                <c:ptCount val="27"/>
                <c:pt idx="0">
                  <c:v>6.1</c:v>
                </c:pt>
                <c:pt idx="1">
                  <c:v>7.8</c:v>
                </c:pt>
                <c:pt idx="2">
                  <c:v>8.2000000000000011</c:v>
                </c:pt>
                <c:pt idx="3">
                  <c:v>8.3000000000000007</c:v>
                </c:pt>
                <c:pt idx="4">
                  <c:v>8.6</c:v>
                </c:pt>
                <c:pt idx="5">
                  <c:v>8.6</c:v>
                </c:pt>
                <c:pt idx="6">
                  <c:v>9.2000000000000011</c:v>
                </c:pt>
                <c:pt idx="7">
                  <c:v>9.8000000000000007</c:v>
                </c:pt>
                <c:pt idx="8">
                  <c:v>10.199999999999999</c:v>
                </c:pt>
                <c:pt idx="9">
                  <c:v>10.3</c:v>
                </c:pt>
                <c:pt idx="10">
                  <c:v>10.6</c:v>
                </c:pt>
                <c:pt idx="11">
                  <c:v>10.6</c:v>
                </c:pt>
                <c:pt idx="12">
                  <c:v>11.2</c:v>
                </c:pt>
                <c:pt idx="13">
                  <c:v>11.6</c:v>
                </c:pt>
                <c:pt idx="14">
                  <c:v>12.4</c:v>
                </c:pt>
                <c:pt idx="15">
                  <c:v>12.8</c:v>
                </c:pt>
                <c:pt idx="16">
                  <c:v>13</c:v>
                </c:pt>
                <c:pt idx="17">
                  <c:v>14</c:v>
                </c:pt>
                <c:pt idx="18">
                  <c:v>14</c:v>
                </c:pt>
                <c:pt idx="19">
                  <c:v>14.4</c:v>
                </c:pt>
                <c:pt idx="20">
                  <c:v>15</c:v>
                </c:pt>
                <c:pt idx="21">
                  <c:v>15.1</c:v>
                </c:pt>
                <c:pt idx="22">
                  <c:v>15.3</c:v>
                </c:pt>
                <c:pt idx="23">
                  <c:v>16.5</c:v>
                </c:pt>
                <c:pt idx="24">
                  <c:v>19.5</c:v>
                </c:pt>
                <c:pt idx="25">
                  <c:v>19.7</c:v>
                </c:pt>
                <c:pt idx="26">
                  <c:v>30.1</c:v>
                </c:pt>
              </c:numCache>
            </c:numRef>
          </c:val>
          <c:extLst>
            <c:ext xmlns:c16="http://schemas.microsoft.com/office/drawing/2014/chart" uri="{C3380CC4-5D6E-409C-BE32-E72D297353CC}">
              <c16:uniqueId val="{0000000A-4D67-4D66-95AB-F28F41B52B45}"/>
            </c:ext>
          </c:extLst>
        </c:ser>
        <c:ser>
          <c:idx val="1"/>
          <c:order val="1"/>
          <c:tx>
            <c:strRef>
              <c:f>Sekil_1!$B$3</c:f>
              <c:strCache>
                <c:ptCount val="1"/>
                <c:pt idx="0">
                  <c:v>2016</c:v>
                </c:pt>
              </c:strCache>
            </c:strRef>
          </c:tx>
          <c:spPr>
            <a:solidFill>
              <a:schemeClr val="accent5">
                <a:lumMod val="60000"/>
                <a:lumOff val="40000"/>
              </a:schemeClr>
            </a:solidFill>
            <a:ln>
              <a:noFill/>
            </a:ln>
            <a:effectLst/>
          </c:spPr>
          <c:invertIfNegative val="0"/>
          <c:dPt>
            <c:idx val="16"/>
            <c:invertIfNegative val="0"/>
            <c:bubble3D val="0"/>
            <c:spPr>
              <a:solidFill>
                <a:srgbClr val="C00000"/>
              </a:solidFill>
              <a:ln>
                <a:noFill/>
              </a:ln>
              <a:effectLst/>
            </c:spPr>
            <c:extLst>
              <c:ext xmlns:c16="http://schemas.microsoft.com/office/drawing/2014/chart" uri="{C3380CC4-5D6E-409C-BE32-E72D297353CC}">
                <c16:uniqueId val="{0000000C-4D67-4D66-95AB-F28F41B52B45}"/>
              </c:ext>
            </c:extLst>
          </c:dPt>
          <c:dLbls>
            <c:dLbl>
              <c:idx val="1"/>
              <c:layout>
                <c:manualLayout>
                  <c:x val="-6.5279469375576198E-3"/>
                  <c:y val="-7.90708982671969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67-4D66-95AB-F28F41B52B45}"/>
                </c:ext>
              </c:extLst>
            </c:dLbl>
            <c:dLbl>
              <c:idx val="4"/>
              <c:layout>
                <c:manualLayout>
                  <c:x val="-4.8959602031682396E-3"/>
                  <c:y val="-5.93031737003966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67-4D66-95AB-F28F41B52B45}"/>
                </c:ext>
              </c:extLst>
            </c:dLbl>
            <c:dLbl>
              <c:idx val="5"/>
              <c:layout>
                <c:manualLayout>
                  <c:x val="-9.7919204063364202E-3"/>
                  <c:y val="-5.93031737003966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D67-4D66-95AB-F28F41B52B45}"/>
                </c:ext>
              </c:extLst>
            </c:dLbl>
            <c:dLbl>
              <c:idx val="6"/>
              <c:layout>
                <c:manualLayout>
                  <c:x val="-4.8959602031682101E-3"/>
                  <c:y val="-5.93031737003980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D67-4D66-95AB-F28F41B52B45}"/>
                </c:ext>
              </c:extLst>
            </c:dLbl>
            <c:dLbl>
              <c:idx val="7"/>
              <c:layout>
                <c:manualLayout>
                  <c:x val="-4.8959602031682101E-3"/>
                  <c:y val="-5.93031737003974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D67-4D66-95AB-F28F41B52B45}"/>
                </c:ext>
              </c:extLst>
            </c:dLbl>
            <c:dLbl>
              <c:idx val="12"/>
              <c:layout>
                <c:manualLayout>
                  <c:x val="-1.6319867343894E-3"/>
                  <c:y val="-5.93031737003966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D67-4D66-95AB-F28F41B52B45}"/>
                </c:ext>
              </c:extLst>
            </c:dLbl>
            <c:dLbl>
              <c:idx val="13"/>
              <c:layout>
                <c:manualLayout>
                  <c:x val="-4.8959602031682101E-3"/>
                  <c:y val="-7.90708982671954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D67-4D66-95AB-F28F41B52B45}"/>
                </c:ext>
              </c:extLst>
            </c:dLbl>
            <c:dLbl>
              <c:idx val="14"/>
              <c:layout>
                <c:manualLayout>
                  <c:x val="-8.15993367194702E-3"/>
                  <c:y val="-5.93031737003966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D67-4D66-95AB-F28F41B52B45}"/>
                </c:ext>
              </c:extLst>
            </c:dLbl>
            <c:dLbl>
              <c:idx val="15"/>
              <c:delete val="1"/>
              <c:extLst>
                <c:ext xmlns:c15="http://schemas.microsoft.com/office/drawing/2012/chart" uri="{CE6537A1-D6FC-4f65-9D91-7224C49458BB}"/>
                <c:ext xmlns:c16="http://schemas.microsoft.com/office/drawing/2014/chart" uri="{C3380CC4-5D6E-409C-BE32-E72D297353CC}">
                  <c16:uniqueId val="{00000015-4D67-4D66-95AB-F28F41B52B45}"/>
                </c:ext>
              </c:extLst>
            </c:dLbl>
            <c:dLbl>
              <c:idx val="16"/>
              <c:delete val="1"/>
              <c:extLst>
                <c:ext xmlns:c15="http://schemas.microsoft.com/office/drawing/2012/chart" uri="{CE6537A1-D6FC-4f65-9D91-7224C49458BB}"/>
                <c:ext xmlns:c16="http://schemas.microsoft.com/office/drawing/2014/chart" uri="{C3380CC4-5D6E-409C-BE32-E72D297353CC}">
                  <c16:uniqueId val="{0000000C-4D67-4D66-95AB-F28F41B52B45}"/>
                </c:ext>
              </c:extLst>
            </c:dLbl>
            <c:dLbl>
              <c:idx val="17"/>
              <c:layout>
                <c:manualLayout>
                  <c:x val="-3.2639734687788099E-3"/>
                  <c:y val="-5.93031737003970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D67-4D66-95AB-F28F41B52B45}"/>
                </c:ext>
              </c:extLst>
            </c:dLbl>
            <c:dLbl>
              <c:idx val="19"/>
              <c:layout>
                <c:manualLayout>
                  <c:x val="-1.6319867343894E-3"/>
                  <c:y val="-9.88386228339943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D67-4D66-95AB-F28F41B52B45}"/>
                </c:ext>
              </c:extLst>
            </c:dLbl>
            <c:dLbl>
              <c:idx val="21"/>
              <c:layout>
                <c:manualLayout>
                  <c:x val="-8.1599336719470807E-3"/>
                  <c:y val="-7.90708982671958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D67-4D66-95AB-F28F41B52B45}"/>
                </c:ext>
              </c:extLst>
            </c:dLbl>
            <c:dLbl>
              <c:idx val="23"/>
              <c:layout>
                <c:manualLayout>
                  <c:x val="-9.7919204063364792E-3"/>
                  <c:y val="-5.93031737003968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D67-4D66-95AB-F28F41B52B45}"/>
                </c:ext>
              </c:extLst>
            </c:dLbl>
            <c:dLbl>
              <c:idx val="25"/>
              <c:layout>
                <c:manualLayout>
                  <c:x val="0"/>
                  <c:y val="-5.93031737003966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D67-4D66-95AB-F28F41B52B45}"/>
                </c:ext>
              </c:extLst>
            </c:dLbl>
            <c:dLbl>
              <c:idx val="26"/>
              <c:delete val="1"/>
              <c:extLst>
                <c:ext xmlns:c15="http://schemas.microsoft.com/office/drawing/2012/chart" uri="{CE6537A1-D6FC-4f65-9D91-7224C49458BB}"/>
                <c:ext xmlns:c16="http://schemas.microsoft.com/office/drawing/2014/chart" uri="{C3380CC4-5D6E-409C-BE32-E72D297353CC}">
                  <c16:uniqueId val="{0000001B-4D67-4D66-95AB-F28F41B52B4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Sekil_1!$B$4:$B$30</c:f>
              <c:numCache>
                <c:formatCode>0.0</c:formatCode>
                <c:ptCount val="27"/>
                <c:pt idx="0">
                  <c:v>7.5</c:v>
                </c:pt>
                <c:pt idx="1">
                  <c:v>8</c:v>
                </c:pt>
                <c:pt idx="2">
                  <c:v>10.4</c:v>
                </c:pt>
                <c:pt idx="3">
                  <c:v>8.8000000000000007</c:v>
                </c:pt>
                <c:pt idx="4">
                  <c:v>7.2</c:v>
                </c:pt>
                <c:pt idx="5">
                  <c:v>8.8000000000000007</c:v>
                </c:pt>
                <c:pt idx="6">
                  <c:v>8.8000000000000007</c:v>
                </c:pt>
                <c:pt idx="7">
                  <c:v>8.8000000000000007</c:v>
                </c:pt>
                <c:pt idx="8">
                  <c:v>12.1</c:v>
                </c:pt>
                <c:pt idx="9">
                  <c:v>12.2</c:v>
                </c:pt>
                <c:pt idx="10">
                  <c:v>9.9</c:v>
                </c:pt>
                <c:pt idx="11">
                  <c:v>12.4</c:v>
                </c:pt>
                <c:pt idx="12">
                  <c:v>10.3</c:v>
                </c:pt>
                <c:pt idx="13">
                  <c:v>11.7</c:v>
                </c:pt>
                <c:pt idx="14">
                  <c:v>12.1</c:v>
                </c:pt>
                <c:pt idx="15">
                  <c:v>12.8</c:v>
                </c:pt>
                <c:pt idx="16">
                  <c:v>13</c:v>
                </c:pt>
                <c:pt idx="17">
                  <c:v>13.6</c:v>
                </c:pt>
                <c:pt idx="18">
                  <c:v>16.899999999999999</c:v>
                </c:pt>
                <c:pt idx="19">
                  <c:v>14.2</c:v>
                </c:pt>
                <c:pt idx="20">
                  <c:v>18</c:v>
                </c:pt>
                <c:pt idx="21">
                  <c:v>15.2</c:v>
                </c:pt>
                <c:pt idx="22">
                  <c:v>11.4</c:v>
                </c:pt>
                <c:pt idx="23">
                  <c:v>15.8</c:v>
                </c:pt>
                <c:pt idx="24">
                  <c:v>23.2</c:v>
                </c:pt>
                <c:pt idx="25">
                  <c:v>14.4</c:v>
                </c:pt>
                <c:pt idx="26">
                  <c:v>30.1</c:v>
                </c:pt>
              </c:numCache>
            </c:numRef>
          </c:val>
          <c:extLst>
            <c:ext xmlns:c16="http://schemas.microsoft.com/office/drawing/2014/chart" uri="{C3380CC4-5D6E-409C-BE32-E72D297353CC}">
              <c16:uniqueId val="{0000001C-4D67-4D66-95AB-F28F41B52B45}"/>
            </c:ext>
          </c:extLst>
        </c:ser>
        <c:dLbls>
          <c:dLblPos val="outEnd"/>
          <c:showLegendKey val="0"/>
          <c:showVal val="1"/>
          <c:showCatName val="0"/>
          <c:showSerName val="0"/>
          <c:showPercent val="0"/>
          <c:showBubbleSize val="0"/>
        </c:dLbls>
        <c:gapWidth val="174"/>
        <c:axId val="289160480"/>
        <c:axId val="285831168"/>
      </c:barChart>
      <c:catAx>
        <c:axId val="289160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285831168"/>
        <c:crosses val="autoZero"/>
        <c:auto val="1"/>
        <c:lblAlgn val="ctr"/>
        <c:lblOffset val="100"/>
        <c:noMultiLvlLbl val="0"/>
      </c:catAx>
      <c:valAx>
        <c:axId val="285831168"/>
        <c:scaling>
          <c:orientation val="minMax"/>
          <c:max val="30.1"/>
          <c:min val="0"/>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28916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Sekil_3veSekil_4!$G$3:$G$15</c:f>
              <c:strCache>
                <c:ptCount val="13"/>
                <c:pt idx="0">
                  <c:v>TRB2</c:v>
                </c:pt>
                <c:pt idx="1">
                  <c:v>TR72</c:v>
                </c:pt>
                <c:pt idx="2">
                  <c:v>TR33</c:v>
                </c:pt>
                <c:pt idx="3">
                  <c:v>TR21 </c:v>
                </c:pt>
                <c:pt idx="4">
                  <c:v>TRA2</c:v>
                </c:pt>
                <c:pt idx="5">
                  <c:v>TR41 </c:v>
                </c:pt>
                <c:pt idx="6">
                  <c:v>TRC1 </c:v>
                </c:pt>
                <c:pt idx="7">
                  <c:v>TR10</c:v>
                </c:pt>
                <c:pt idx="8">
                  <c:v>TR32 </c:v>
                </c:pt>
                <c:pt idx="9">
                  <c:v>TR42</c:v>
                </c:pt>
                <c:pt idx="10">
                  <c:v>TR61 </c:v>
                </c:pt>
                <c:pt idx="11">
                  <c:v>TR62 </c:v>
                </c:pt>
                <c:pt idx="12">
                  <c:v>TRC3 </c:v>
                </c:pt>
              </c:strCache>
            </c:strRef>
          </c:cat>
          <c:val>
            <c:numRef>
              <c:f>Sekil_3veSekil_4!$J$3:$J$15</c:f>
              <c:numCache>
                <c:formatCode>0.0</c:formatCode>
                <c:ptCount val="13"/>
                <c:pt idx="0">
                  <c:v>5.2999999999999989</c:v>
                </c:pt>
                <c:pt idx="1">
                  <c:v>3.9</c:v>
                </c:pt>
                <c:pt idx="2">
                  <c:v>1.399999999999999</c:v>
                </c:pt>
                <c:pt idx="3">
                  <c:v>1</c:v>
                </c:pt>
                <c:pt idx="4">
                  <c:v>0.89999999999999902</c:v>
                </c:pt>
                <c:pt idx="5">
                  <c:v>0.69999999999999896</c:v>
                </c:pt>
                <c:pt idx="6">
                  <c:v>0.69999999999999896</c:v>
                </c:pt>
                <c:pt idx="7">
                  <c:v>0.4</c:v>
                </c:pt>
                <c:pt idx="8">
                  <c:v>0.39999999999999902</c:v>
                </c:pt>
                <c:pt idx="9">
                  <c:v>0.30000000000000099</c:v>
                </c:pt>
                <c:pt idx="10">
                  <c:v>0.20000000000000101</c:v>
                </c:pt>
                <c:pt idx="11">
                  <c:v>0</c:v>
                </c:pt>
                <c:pt idx="12">
                  <c:v>0</c:v>
                </c:pt>
              </c:numCache>
            </c:numRef>
          </c:val>
          <c:extLst>
            <c:ext xmlns:c16="http://schemas.microsoft.com/office/drawing/2014/chart" uri="{C3380CC4-5D6E-409C-BE32-E72D297353CC}">
              <c16:uniqueId val="{00000000-54A0-4EC6-BC56-AA7250C5F8B6}"/>
            </c:ext>
          </c:extLst>
        </c:ser>
        <c:dLbls>
          <c:dLblPos val="outEnd"/>
          <c:showLegendKey val="0"/>
          <c:showVal val="1"/>
          <c:showCatName val="0"/>
          <c:showSerName val="0"/>
          <c:showPercent val="0"/>
          <c:showBubbleSize val="0"/>
        </c:dLbls>
        <c:gapWidth val="219"/>
        <c:overlap val="-27"/>
        <c:axId val="285833408"/>
        <c:axId val="285833968"/>
      </c:barChart>
      <c:catAx>
        <c:axId val="28583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85833968"/>
        <c:crosses val="autoZero"/>
        <c:auto val="1"/>
        <c:lblAlgn val="ctr"/>
        <c:lblOffset val="100"/>
        <c:noMultiLvlLbl val="0"/>
      </c:catAx>
      <c:valAx>
        <c:axId val="2858339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85833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Sekil_3veSekil_4!$G$20:$G$32</c:f>
              <c:strCache>
                <c:ptCount val="13"/>
                <c:pt idx="0">
                  <c:v>TRC2 </c:v>
                </c:pt>
                <c:pt idx="1">
                  <c:v>TR71</c:v>
                </c:pt>
                <c:pt idx="2">
                  <c:v>TR63 </c:v>
                </c:pt>
                <c:pt idx="3">
                  <c:v>TR82</c:v>
                </c:pt>
                <c:pt idx="4">
                  <c:v>TRB1 </c:v>
                </c:pt>
                <c:pt idx="5">
                  <c:v>TR81 </c:v>
                </c:pt>
                <c:pt idx="6">
                  <c:v>TR83</c:v>
                </c:pt>
                <c:pt idx="7">
                  <c:v>TR90</c:v>
                </c:pt>
                <c:pt idx="8">
                  <c:v>TR22 </c:v>
                </c:pt>
                <c:pt idx="9">
                  <c:v>TRA1 </c:v>
                </c:pt>
                <c:pt idx="10">
                  <c:v>TR52</c:v>
                </c:pt>
                <c:pt idx="11">
                  <c:v>TR31</c:v>
                </c:pt>
                <c:pt idx="12">
                  <c:v>TR51</c:v>
                </c:pt>
              </c:strCache>
            </c:strRef>
          </c:cat>
          <c:val>
            <c:numRef>
              <c:f>Sekil_3veSekil_4!$J$20:$J$32</c:f>
              <c:numCache>
                <c:formatCode>0.0</c:formatCode>
                <c:ptCount val="13"/>
                <c:pt idx="0">
                  <c:v>-3.6999999999999988</c:v>
                </c:pt>
                <c:pt idx="1">
                  <c:v>-3</c:v>
                </c:pt>
                <c:pt idx="2">
                  <c:v>-2.8999999999999981</c:v>
                </c:pt>
                <c:pt idx="3">
                  <c:v>-2.2000000000000011</c:v>
                </c:pt>
                <c:pt idx="4">
                  <c:v>-1.9</c:v>
                </c:pt>
                <c:pt idx="5">
                  <c:v>-1.8999999999999979</c:v>
                </c:pt>
                <c:pt idx="6">
                  <c:v>-1.8000000000000009</c:v>
                </c:pt>
                <c:pt idx="7">
                  <c:v>-1.4</c:v>
                </c:pt>
                <c:pt idx="8">
                  <c:v>-0.5</c:v>
                </c:pt>
                <c:pt idx="9">
                  <c:v>-0.20000000000000101</c:v>
                </c:pt>
                <c:pt idx="10">
                  <c:v>-0.2</c:v>
                </c:pt>
                <c:pt idx="11">
                  <c:v>-9.99999999999997E-2</c:v>
                </c:pt>
                <c:pt idx="12">
                  <c:v>-9.99999999999997E-2</c:v>
                </c:pt>
              </c:numCache>
            </c:numRef>
          </c:val>
          <c:extLst>
            <c:ext xmlns:c16="http://schemas.microsoft.com/office/drawing/2014/chart" uri="{C3380CC4-5D6E-409C-BE32-E72D297353CC}">
              <c16:uniqueId val="{00000000-F547-412F-B9E7-1C9947947F6A}"/>
            </c:ext>
          </c:extLst>
        </c:ser>
        <c:dLbls>
          <c:dLblPos val="outEnd"/>
          <c:showLegendKey val="0"/>
          <c:showVal val="1"/>
          <c:showCatName val="0"/>
          <c:showSerName val="0"/>
          <c:showPercent val="0"/>
          <c:showBubbleSize val="0"/>
        </c:dLbls>
        <c:gapWidth val="219"/>
        <c:overlap val="-27"/>
        <c:axId val="313204144"/>
        <c:axId val="313204704"/>
      </c:barChart>
      <c:catAx>
        <c:axId val="313204144"/>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313204704"/>
        <c:crosses val="autoZero"/>
        <c:auto val="1"/>
        <c:lblAlgn val="ctr"/>
        <c:lblOffset val="100"/>
        <c:noMultiLvlLbl val="0"/>
      </c:catAx>
      <c:valAx>
        <c:axId val="3132047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crossAx val="313204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8F9DE-46E3-4779-B333-CD542A13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4411</Words>
  <Characters>25146</Characters>
  <Application>Microsoft Office Word</Application>
  <DocSecurity>0</DocSecurity>
  <Lines>209</Lines>
  <Paragraphs>58</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seyfettin gursel</dc:creator>
  <cp:lastModifiedBy>merve.akgul</cp:lastModifiedBy>
  <cp:revision>23</cp:revision>
  <cp:lastPrinted>2018-04-27T06:42:00Z</cp:lastPrinted>
  <dcterms:created xsi:type="dcterms:W3CDTF">2018-04-24T13:31:00Z</dcterms:created>
  <dcterms:modified xsi:type="dcterms:W3CDTF">2018-04-27T06:45:00Z</dcterms:modified>
</cp:coreProperties>
</file>