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9994" w14:textId="77777777" w:rsidR="00D07713" w:rsidRPr="002E5876" w:rsidRDefault="00D90931">
      <w:pPr>
        <w:rPr>
          <w:rFonts w:ascii="Palatino Linotype" w:hAnsi="Palatino Linotype" w:cstheme="minorHAnsi"/>
        </w:rPr>
      </w:pPr>
      <w:r w:rsidRPr="002E5876">
        <w:rPr>
          <w:rFonts w:ascii="Palatino Linotype" w:hAnsi="Palatino Linotype" w:cstheme="minorHAnsi"/>
          <w:noProof/>
          <w:lang w:val="tr-TR"/>
        </w:rPr>
        <mc:AlternateContent>
          <mc:Choice Requires="wps">
            <w:drawing>
              <wp:anchor distT="0" distB="0" distL="114935" distR="114935" simplePos="0" relativeHeight="251661824" behindDoc="0" locked="0" layoutInCell="1" allowOverlap="1" wp14:anchorId="690A72DB" wp14:editId="50E534B8">
                <wp:simplePos x="0" y="0"/>
                <wp:positionH relativeFrom="column">
                  <wp:posOffset>5100955</wp:posOffset>
                </wp:positionH>
                <wp:positionV relativeFrom="paragraph">
                  <wp:posOffset>33020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5288C" w14:textId="122D964B" w:rsidR="00D07713" w:rsidRPr="00D07713" w:rsidRDefault="008459A9"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3</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April</w:t>
                            </w:r>
                            <w:r w:rsidR="00D07713" w:rsidRPr="00D07713">
                              <w:rPr>
                                <w:rFonts w:ascii="Arial" w:eastAsia="Times New Roman" w:hAnsi="Arial" w:cs="Arial"/>
                                <w:b/>
                                <w:bCs/>
                                <w:color w:val="FFFFFF"/>
                                <w:sz w:val="22"/>
                                <w:szCs w:val="22"/>
                                <w:lang w:eastAsia="ar-SA"/>
                              </w:rPr>
                              <w:t xml:space="preserve"> 201</w:t>
                            </w:r>
                            <w:r>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0A72DB" id="_x0000_t202" coordsize="21600,21600" o:spt="202" path="m,l,21600r21600,l21600,xe">
                <v:stroke joinstyle="miter"/>
                <v:path gradientshapeok="t" o:connecttype="rect"/>
              </v:shapetype>
              <v:shape id="Text Box 3" o:spid="_x0000_s1026" type="#_x0000_t202" style="position:absolute;margin-left:401.65pt;margin-top:2.6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" stroked="f">
                <v:fill opacity="0"/>
                <v:textbox inset="0,0,0,0">
                  <w:txbxContent>
                    <w:p w14:paraId="2685288C" w14:textId="122D964B" w:rsidR="00D07713" w:rsidRPr="00D07713" w:rsidRDefault="008459A9"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3</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April</w:t>
                      </w:r>
                      <w:r w:rsidR="00D07713" w:rsidRPr="00D07713">
                        <w:rPr>
                          <w:rFonts w:ascii="Arial" w:eastAsia="Times New Roman" w:hAnsi="Arial" w:cs="Arial"/>
                          <w:b/>
                          <w:bCs/>
                          <w:color w:val="FFFFFF"/>
                          <w:sz w:val="22"/>
                          <w:szCs w:val="22"/>
                          <w:lang w:eastAsia="ar-SA"/>
                        </w:rPr>
                        <w:t xml:space="preserve"> 201</w:t>
                      </w:r>
                      <w:r>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v:textbox>
              </v:shape>
            </w:pict>
          </mc:Fallback>
        </mc:AlternateContent>
      </w:r>
      <w:r w:rsidRPr="002E5876">
        <w:rPr>
          <w:rFonts w:ascii="Palatino Linotype" w:hAnsi="Palatino Linotype" w:cstheme="minorHAnsi"/>
          <w:noProof/>
          <w:lang w:val="tr-TR"/>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7DFA6D16" w:rsidR="00D07713" w:rsidRPr="00526178" w:rsidRDefault="001537D8" w:rsidP="00D07713">
                            <w:pPr>
                              <w:pStyle w:val="Heading1"/>
                              <w:rPr>
                                <w:b w:val="0"/>
                                <w:bCs w:val="0"/>
                                <w:i/>
                                <w:iCs/>
                              </w:rPr>
                            </w:pPr>
                            <w:r>
                              <w:rPr>
                                <w:rFonts w:ascii="Times New Roman" w:hAnsi="Times New Roman" w:cs="Times New Roman"/>
                                <w:sz w:val="40"/>
                                <w:szCs w:val="40"/>
                              </w:rPr>
                              <w:t xml:space="preserve">2017 </w:t>
                            </w:r>
                            <w:r w:rsidR="008459A9">
                              <w:rPr>
                                <w:rFonts w:ascii="Times New Roman" w:hAnsi="Times New Roman" w:cs="Times New Roman"/>
                                <w:sz w:val="40"/>
                                <w:szCs w:val="40"/>
                              </w:rPr>
                              <w:t>4</w:t>
                            </w:r>
                            <w:r w:rsidR="002552EC">
                              <w:rPr>
                                <w:rFonts w:ascii="Times New Roman" w:hAnsi="Times New Roman" w:cs="Times New Roman"/>
                                <w:sz w:val="40"/>
                                <w:szCs w:val="40"/>
                                <w:vertAlign w:val="superscript"/>
                              </w:rPr>
                              <w:t>th</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45AC" id="_x0000_t202" coordsize="21600,21600" o:spt="202" path="m,l,21600r21600,l21600,xe">
                <v:stroke joinstyle="miter"/>
                <v:path gradientshapeok="t" o:connecttype="rect"/>
              </v:shapetype>
              <v:shape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7DFA6D16" w:rsidR="00D07713" w:rsidRPr="00526178" w:rsidRDefault="001537D8" w:rsidP="00D07713">
                      <w:pPr>
                        <w:pStyle w:val="Heading1"/>
                        <w:rPr>
                          <w:b w:val="0"/>
                          <w:bCs w:val="0"/>
                          <w:i/>
                          <w:iCs/>
                        </w:rPr>
                      </w:pPr>
                      <w:r>
                        <w:rPr>
                          <w:rFonts w:ascii="Times New Roman" w:hAnsi="Times New Roman" w:cs="Times New Roman"/>
                          <w:sz w:val="40"/>
                          <w:szCs w:val="40"/>
                        </w:rPr>
                        <w:t xml:space="preserve">2017 </w:t>
                      </w:r>
                      <w:r w:rsidR="008459A9">
                        <w:rPr>
                          <w:rFonts w:ascii="Times New Roman" w:hAnsi="Times New Roman" w:cs="Times New Roman"/>
                          <w:sz w:val="40"/>
                          <w:szCs w:val="40"/>
                        </w:rPr>
                        <w:t>4</w:t>
                      </w:r>
                      <w:r w:rsidR="002552EC">
                        <w:rPr>
                          <w:rFonts w:ascii="Times New Roman" w:hAnsi="Times New Roman" w:cs="Times New Roman"/>
                          <w:sz w:val="40"/>
                          <w:szCs w:val="40"/>
                          <w:vertAlign w:val="superscript"/>
                        </w:rPr>
                        <w:t>th</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2E5876">
        <w:rPr>
          <w:rFonts w:ascii="Palatino Linotype" w:hAnsi="Palatino Linotype" w:cstheme="minorHAnsi"/>
          <w:noProof/>
          <w:lang w:val="tr-TR"/>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2E5876" w:rsidRDefault="00D07713">
      <w:pPr>
        <w:rPr>
          <w:rFonts w:ascii="Palatino Linotype" w:hAnsi="Palatino Linotype" w:cstheme="minorHAnsi"/>
        </w:rPr>
      </w:pPr>
    </w:p>
    <w:p w14:paraId="17518868" w14:textId="77777777" w:rsidR="00D07713" w:rsidRPr="002E5876" w:rsidRDefault="00D07713" w:rsidP="00D07713">
      <w:pPr>
        <w:spacing w:line="288" w:lineRule="auto"/>
        <w:ind w:right="-319"/>
        <w:jc w:val="center"/>
        <w:outlineLvl w:val="0"/>
        <w:rPr>
          <w:rFonts w:ascii="Palatino Linotype" w:hAnsi="Palatino Linotype" w:cstheme="minorHAnsi"/>
          <w:b/>
          <w:bCs/>
          <w:sz w:val="28"/>
          <w:szCs w:val="28"/>
        </w:rPr>
      </w:pPr>
    </w:p>
    <w:p w14:paraId="2DEAC26B" w14:textId="66F88275" w:rsidR="00D07713" w:rsidRPr="002E5876" w:rsidRDefault="008459A9" w:rsidP="00924CD9">
      <w:pPr>
        <w:spacing w:line="288" w:lineRule="auto"/>
        <w:ind w:right="-319"/>
        <w:jc w:val="center"/>
        <w:outlineLvl w:val="0"/>
        <w:rPr>
          <w:rFonts w:ascii="Palatino Linotype" w:hAnsi="Palatino Linotype" w:cstheme="minorHAnsi"/>
          <w:b/>
          <w:bCs/>
          <w:sz w:val="28"/>
          <w:szCs w:val="28"/>
        </w:rPr>
      </w:pPr>
      <w:r w:rsidRPr="002E5876">
        <w:rPr>
          <w:rFonts w:ascii="Palatino Linotype" w:hAnsi="Palatino Linotype" w:cstheme="minorHAnsi"/>
          <w:b/>
          <w:bCs/>
          <w:sz w:val="28"/>
          <w:szCs w:val="28"/>
        </w:rPr>
        <w:t xml:space="preserve">HIGH </w:t>
      </w:r>
      <w:r w:rsidR="00414150" w:rsidRPr="002E5876">
        <w:rPr>
          <w:rFonts w:ascii="Palatino Linotype" w:hAnsi="Palatino Linotype" w:cstheme="minorHAnsi"/>
          <w:b/>
          <w:bCs/>
          <w:sz w:val="28"/>
          <w:szCs w:val="28"/>
        </w:rPr>
        <w:t>GROWTH</w:t>
      </w:r>
      <w:r w:rsidRPr="002E5876">
        <w:rPr>
          <w:rFonts w:ascii="Palatino Linotype" w:hAnsi="Palatino Linotype" w:cstheme="minorHAnsi"/>
          <w:b/>
          <w:bCs/>
          <w:sz w:val="28"/>
          <w:szCs w:val="28"/>
        </w:rPr>
        <w:t xml:space="preserve"> IN THE</w:t>
      </w:r>
      <w:r w:rsidR="00414150" w:rsidRPr="002E5876">
        <w:rPr>
          <w:rFonts w:ascii="Palatino Linotype" w:hAnsi="Palatino Linotype" w:cstheme="minorHAnsi"/>
          <w:b/>
          <w:bCs/>
          <w:sz w:val="28"/>
          <w:szCs w:val="28"/>
        </w:rPr>
        <w:t xml:space="preserve"> </w:t>
      </w:r>
      <w:r w:rsidRPr="002E5876">
        <w:rPr>
          <w:rFonts w:ascii="Palatino Linotype" w:hAnsi="Palatino Linotype" w:cstheme="minorHAnsi"/>
          <w:b/>
          <w:bCs/>
          <w:sz w:val="28"/>
          <w:szCs w:val="28"/>
        </w:rPr>
        <w:t>4</w:t>
      </w:r>
      <w:r w:rsidRPr="002E5876">
        <w:rPr>
          <w:rFonts w:ascii="Palatino Linotype" w:hAnsi="Palatino Linotype" w:cstheme="minorHAnsi"/>
          <w:b/>
          <w:bCs/>
          <w:sz w:val="28"/>
          <w:szCs w:val="28"/>
          <w:vertAlign w:val="superscript"/>
        </w:rPr>
        <w:t>TH</w:t>
      </w:r>
      <w:r w:rsidRPr="002E5876">
        <w:rPr>
          <w:rFonts w:ascii="Palatino Linotype" w:hAnsi="Palatino Linotype" w:cstheme="minorHAnsi"/>
          <w:b/>
          <w:bCs/>
          <w:sz w:val="28"/>
          <w:szCs w:val="28"/>
        </w:rPr>
        <w:t xml:space="preserve"> QUARTER TOO</w:t>
      </w:r>
    </w:p>
    <w:p w14:paraId="22314509" w14:textId="77777777" w:rsidR="00D07713" w:rsidRPr="002E5876" w:rsidRDefault="003172DB" w:rsidP="00D07713">
      <w:pPr>
        <w:jc w:val="center"/>
        <w:rPr>
          <w:rFonts w:ascii="Palatino Linotype" w:hAnsi="Palatino Linotype" w:cstheme="minorHAnsi"/>
        </w:rPr>
      </w:pPr>
      <w:r w:rsidRPr="002E5876">
        <w:rPr>
          <w:rFonts w:ascii="Palatino Linotype" w:hAnsi="Palatino Linotype" w:cstheme="minorHAnsi"/>
          <w:b/>
          <w:bCs/>
          <w:sz w:val="22"/>
          <w:szCs w:val="22"/>
        </w:rPr>
        <w:t>Seyfettin Gürsel</w:t>
      </w:r>
      <w:r w:rsidRPr="002E5876">
        <w:rPr>
          <w:rStyle w:val="FootnoteReference"/>
          <w:rFonts w:ascii="Palatino Linotype" w:hAnsi="Palatino Linotype" w:cstheme="minorHAnsi"/>
          <w:b/>
          <w:bCs/>
          <w:sz w:val="22"/>
          <w:szCs w:val="22"/>
        </w:rPr>
        <w:footnoteReference w:id="1"/>
      </w:r>
      <w:r w:rsidRPr="002E5876">
        <w:rPr>
          <w:rFonts w:ascii="Palatino Linotype" w:hAnsi="Palatino Linotype" w:cstheme="minorHAnsi"/>
          <w:b/>
          <w:bCs/>
          <w:sz w:val="22"/>
          <w:szCs w:val="22"/>
        </w:rPr>
        <w:t xml:space="preserve">, </w:t>
      </w:r>
      <w:r w:rsidR="00D07713" w:rsidRPr="002E5876">
        <w:rPr>
          <w:rFonts w:ascii="Palatino Linotype" w:hAnsi="Palatino Linotype" w:cstheme="minorHAnsi"/>
          <w:b/>
          <w:bCs/>
          <w:sz w:val="22"/>
          <w:szCs w:val="22"/>
        </w:rPr>
        <w:t xml:space="preserve">Ozan </w:t>
      </w:r>
      <w:proofErr w:type="spellStart"/>
      <w:r w:rsidR="00D07713" w:rsidRPr="002E5876">
        <w:rPr>
          <w:rFonts w:ascii="Palatino Linotype" w:hAnsi="Palatino Linotype" w:cstheme="minorHAnsi"/>
          <w:b/>
          <w:bCs/>
          <w:sz w:val="22"/>
          <w:szCs w:val="22"/>
        </w:rPr>
        <w:t>Bakış</w:t>
      </w:r>
      <w:proofErr w:type="spellEnd"/>
      <w:r w:rsidR="00C32789" w:rsidRPr="002E5876">
        <w:rPr>
          <w:rStyle w:val="FootnoteReference"/>
          <w:rFonts w:ascii="Palatino Linotype" w:hAnsi="Palatino Linotype" w:cstheme="minorHAnsi"/>
          <w:b/>
          <w:bCs/>
          <w:sz w:val="22"/>
          <w:szCs w:val="22"/>
        </w:rPr>
        <w:footnoteReference w:id="2"/>
      </w:r>
      <w:r w:rsidR="001537D8" w:rsidRPr="002E5876">
        <w:rPr>
          <w:rFonts w:ascii="Palatino Linotype" w:hAnsi="Palatino Linotype" w:cstheme="minorHAnsi"/>
          <w:b/>
          <w:bCs/>
          <w:sz w:val="22"/>
          <w:szCs w:val="22"/>
        </w:rPr>
        <w:t xml:space="preserve"> </w:t>
      </w:r>
      <w:r w:rsidR="008C6F06" w:rsidRPr="002E5876">
        <w:rPr>
          <w:rFonts w:ascii="Palatino Linotype" w:hAnsi="Palatino Linotype" w:cstheme="minorHAnsi"/>
          <w:b/>
          <w:bCs/>
          <w:sz w:val="22"/>
          <w:szCs w:val="22"/>
        </w:rPr>
        <w:t>and</w:t>
      </w:r>
      <w:r w:rsidR="001537D8" w:rsidRPr="002E5876">
        <w:rPr>
          <w:rFonts w:ascii="Palatino Linotype" w:hAnsi="Palatino Linotype" w:cstheme="minorHAnsi"/>
          <w:b/>
          <w:bCs/>
          <w:sz w:val="22"/>
          <w:szCs w:val="22"/>
        </w:rPr>
        <w:t xml:space="preserve"> Uğurcan Acar</w:t>
      </w:r>
      <w:r w:rsidR="001537D8" w:rsidRPr="002E5876">
        <w:rPr>
          <w:rStyle w:val="FootnoteReference"/>
          <w:rFonts w:ascii="Palatino Linotype" w:hAnsi="Palatino Linotype" w:cstheme="minorHAnsi"/>
          <w:b/>
          <w:bCs/>
          <w:sz w:val="22"/>
          <w:szCs w:val="22"/>
        </w:rPr>
        <w:footnoteReference w:id="3"/>
      </w:r>
      <w:r w:rsidR="001537D8" w:rsidRPr="002E5876">
        <w:rPr>
          <w:rFonts w:ascii="Palatino Linotype" w:hAnsi="Palatino Linotype" w:cstheme="minorHAnsi"/>
          <w:b/>
          <w:bCs/>
          <w:sz w:val="22"/>
          <w:szCs w:val="22"/>
        </w:rPr>
        <w:t xml:space="preserve"> </w:t>
      </w:r>
    </w:p>
    <w:p w14:paraId="57322CA8" w14:textId="77777777" w:rsidR="00D07713" w:rsidRPr="002E5876" w:rsidRDefault="00D07713">
      <w:pPr>
        <w:rPr>
          <w:rFonts w:ascii="Palatino Linotype" w:hAnsi="Palatino Linotype" w:cstheme="minorHAnsi"/>
        </w:rPr>
      </w:pPr>
    </w:p>
    <w:p w14:paraId="3AE80053" w14:textId="77777777" w:rsidR="00D257C1" w:rsidRPr="002E5876" w:rsidRDefault="00414150" w:rsidP="007B70AD">
      <w:pPr>
        <w:jc w:val="center"/>
        <w:rPr>
          <w:rFonts w:ascii="Palatino Linotype" w:hAnsi="Palatino Linotype" w:cstheme="minorHAnsi"/>
          <w:b/>
          <w:sz w:val="22"/>
          <w:szCs w:val="22"/>
        </w:rPr>
      </w:pPr>
      <w:r w:rsidRPr="002E5876">
        <w:rPr>
          <w:rFonts w:ascii="Arial" w:hAnsi="Arial" w:cs="Arial"/>
          <w:b/>
          <w:bCs/>
          <w:sz w:val="22"/>
          <w:szCs w:val="22"/>
        </w:rPr>
        <w:t>Executive Summary</w:t>
      </w:r>
    </w:p>
    <w:p w14:paraId="3A2460AF" w14:textId="5F79D9CB" w:rsidR="00414150" w:rsidRPr="002E5876" w:rsidRDefault="00414150" w:rsidP="003D4AA5">
      <w:pPr>
        <w:spacing w:after="120"/>
        <w:ind w:left="567" w:right="567"/>
        <w:jc w:val="both"/>
        <w:rPr>
          <w:rFonts w:ascii="Palatino Linotype" w:hAnsi="Palatino Linotype" w:cstheme="minorHAnsi"/>
          <w:sz w:val="22"/>
          <w:szCs w:val="22"/>
        </w:rPr>
      </w:pPr>
      <w:r w:rsidRPr="002E5876">
        <w:rPr>
          <w:rFonts w:ascii="Palatino Linotype" w:hAnsi="Palatino Linotype" w:cstheme="minorHAnsi"/>
          <w:sz w:val="22"/>
          <w:szCs w:val="22"/>
        </w:rPr>
        <w:t xml:space="preserve">In the </w:t>
      </w:r>
      <w:r w:rsidR="001D5B0E" w:rsidRPr="002E5876">
        <w:rPr>
          <w:rFonts w:ascii="Palatino Linotype" w:hAnsi="Palatino Linotype" w:cstheme="minorHAnsi"/>
          <w:sz w:val="22"/>
          <w:szCs w:val="22"/>
        </w:rPr>
        <w:t>last</w:t>
      </w:r>
      <w:r w:rsidRPr="002E5876">
        <w:rPr>
          <w:rFonts w:ascii="Palatino Linotype" w:hAnsi="Palatino Linotype" w:cstheme="minorHAnsi"/>
          <w:sz w:val="22"/>
          <w:szCs w:val="22"/>
        </w:rPr>
        <w:t xml:space="preserve"> quarter of 2017, Gross Domestic Product (GDP) increased by </w:t>
      </w:r>
      <w:r w:rsidR="00F7631C">
        <w:rPr>
          <w:rFonts w:ascii="Palatino Linotype" w:hAnsi="Palatino Linotype" w:cstheme="minorHAnsi"/>
          <w:sz w:val="22"/>
          <w:szCs w:val="22"/>
        </w:rPr>
        <w:t>7.3</w:t>
      </w:r>
      <w:r w:rsidRPr="002E5876">
        <w:rPr>
          <w:rFonts w:ascii="Palatino Linotype" w:hAnsi="Palatino Linotype" w:cstheme="minorHAnsi"/>
          <w:sz w:val="22"/>
          <w:szCs w:val="22"/>
        </w:rPr>
        <w:t xml:space="preserve"> </w:t>
      </w:r>
      <w:r w:rsidR="003D4AA5">
        <w:rPr>
          <w:rFonts w:ascii="Palatino Linotype" w:hAnsi="Palatino Linotype" w:cstheme="minorHAnsi"/>
          <w:sz w:val="22"/>
          <w:szCs w:val="22"/>
        </w:rPr>
        <w:t>percent</w:t>
      </w:r>
      <w:r w:rsidR="003D4AA5" w:rsidRPr="003D4AA5">
        <w:rPr>
          <w:rFonts w:ascii="Palatino Linotype" w:hAnsi="Palatino Linotype" w:cstheme="minorHAnsi"/>
          <w:sz w:val="22"/>
          <w:szCs w:val="22"/>
        </w:rPr>
        <w:t xml:space="preserve"> compared to the same quarter of </w:t>
      </w:r>
      <w:r w:rsidR="003D4AA5">
        <w:rPr>
          <w:rFonts w:ascii="Palatino Linotype" w:hAnsi="Palatino Linotype" w:cstheme="minorHAnsi"/>
          <w:sz w:val="22"/>
          <w:szCs w:val="22"/>
        </w:rPr>
        <w:t xml:space="preserve">the </w:t>
      </w:r>
      <w:r w:rsidR="003D4AA5" w:rsidRPr="003D4AA5">
        <w:rPr>
          <w:rFonts w:ascii="Palatino Linotype" w:hAnsi="Palatino Linotype" w:cstheme="minorHAnsi"/>
          <w:sz w:val="22"/>
          <w:szCs w:val="22"/>
        </w:rPr>
        <w:t>previous year</w:t>
      </w:r>
      <w:r w:rsidR="00F7631C">
        <w:rPr>
          <w:rFonts w:ascii="Palatino Linotype" w:hAnsi="Palatino Linotype" w:cstheme="minorHAnsi"/>
          <w:sz w:val="22"/>
          <w:szCs w:val="22"/>
        </w:rPr>
        <w:t>, while u</w:t>
      </w:r>
      <w:r w:rsidR="003D4AA5">
        <w:rPr>
          <w:rFonts w:ascii="Palatino Linotype" w:hAnsi="Palatino Linotype" w:cstheme="minorHAnsi"/>
          <w:sz w:val="22"/>
          <w:szCs w:val="22"/>
        </w:rPr>
        <w:t>sing s</w:t>
      </w:r>
      <w:r w:rsidR="003D4AA5" w:rsidRPr="002E5876">
        <w:rPr>
          <w:rFonts w:ascii="Palatino Linotype" w:hAnsi="Palatino Linotype" w:cstheme="minorHAnsi"/>
          <w:sz w:val="22"/>
          <w:szCs w:val="22"/>
        </w:rPr>
        <w:t>easonally and calendar day adjusted data</w:t>
      </w:r>
      <w:r w:rsidRPr="002E5876">
        <w:rPr>
          <w:rFonts w:ascii="Palatino Linotype" w:hAnsi="Palatino Linotype" w:cstheme="minorHAnsi"/>
          <w:sz w:val="22"/>
          <w:szCs w:val="22"/>
        </w:rPr>
        <w:t xml:space="preserve"> </w:t>
      </w:r>
      <w:r w:rsidR="003D4AA5">
        <w:rPr>
          <w:rFonts w:ascii="Palatino Linotype" w:hAnsi="Palatino Linotype" w:cstheme="minorHAnsi"/>
          <w:sz w:val="22"/>
          <w:szCs w:val="22"/>
        </w:rPr>
        <w:t>the qua</w:t>
      </w:r>
      <w:bookmarkStart w:id="0" w:name="_GoBack"/>
      <w:bookmarkEnd w:id="0"/>
      <w:r w:rsidR="003D4AA5">
        <w:rPr>
          <w:rFonts w:ascii="Palatino Linotype" w:hAnsi="Palatino Linotype" w:cstheme="minorHAnsi"/>
          <w:sz w:val="22"/>
          <w:szCs w:val="22"/>
        </w:rPr>
        <w:t xml:space="preserve">rter-on-quarter growth rate </w:t>
      </w:r>
      <w:r w:rsidR="00F7631C">
        <w:rPr>
          <w:rFonts w:ascii="Palatino Linotype" w:hAnsi="Palatino Linotype" w:cstheme="minorHAnsi"/>
          <w:sz w:val="22"/>
          <w:szCs w:val="22"/>
        </w:rPr>
        <w:t>was 1.8 percent</w:t>
      </w:r>
      <w:r w:rsidRPr="002E5876">
        <w:rPr>
          <w:rFonts w:ascii="Palatino Linotype" w:hAnsi="Palatino Linotype" w:cstheme="minorHAnsi"/>
          <w:sz w:val="22"/>
          <w:szCs w:val="22"/>
        </w:rPr>
        <w:t xml:space="preserve">. The highest contribution to </w:t>
      </w:r>
      <w:r w:rsidR="00D30DDE" w:rsidRPr="002E5876">
        <w:rPr>
          <w:rFonts w:ascii="Palatino Linotype" w:hAnsi="Palatino Linotype" w:cstheme="minorHAnsi"/>
          <w:sz w:val="22"/>
          <w:szCs w:val="22"/>
        </w:rPr>
        <w:t>annually economic growth</w:t>
      </w:r>
      <w:r w:rsidRPr="002E5876">
        <w:rPr>
          <w:rFonts w:ascii="Palatino Linotype" w:hAnsi="Palatino Linotype" w:cstheme="minorHAnsi"/>
          <w:sz w:val="22"/>
          <w:szCs w:val="22"/>
        </w:rPr>
        <w:t xml:space="preserve"> </w:t>
      </w:r>
      <w:r w:rsidR="00F7631C">
        <w:rPr>
          <w:rFonts w:ascii="Palatino Linotype" w:hAnsi="Palatino Linotype" w:cstheme="minorHAnsi"/>
          <w:sz w:val="22"/>
          <w:szCs w:val="22"/>
        </w:rPr>
        <w:t xml:space="preserve">comes from </w:t>
      </w:r>
      <w:r w:rsidRPr="002E5876">
        <w:rPr>
          <w:rFonts w:ascii="Palatino Linotype" w:hAnsi="Palatino Linotype" w:cstheme="minorHAnsi"/>
          <w:sz w:val="22"/>
          <w:szCs w:val="22"/>
        </w:rPr>
        <w:t>private consumption</w:t>
      </w:r>
      <w:r w:rsidR="0043726B" w:rsidRPr="002E5876">
        <w:rPr>
          <w:rFonts w:ascii="Palatino Linotype" w:hAnsi="Palatino Linotype" w:cstheme="minorHAnsi"/>
          <w:sz w:val="22"/>
          <w:szCs w:val="22"/>
        </w:rPr>
        <w:t xml:space="preserve"> </w:t>
      </w:r>
      <w:r w:rsidRPr="002E5876">
        <w:rPr>
          <w:rFonts w:ascii="Palatino Linotype" w:hAnsi="Palatino Linotype" w:cstheme="minorHAnsi"/>
          <w:sz w:val="22"/>
          <w:szCs w:val="22"/>
        </w:rPr>
        <w:t>(</w:t>
      </w:r>
      <w:r w:rsidR="0043726B" w:rsidRPr="002E5876">
        <w:rPr>
          <w:rFonts w:ascii="Palatino Linotype" w:hAnsi="Palatino Linotype" w:cstheme="minorHAnsi"/>
          <w:sz w:val="22"/>
          <w:szCs w:val="22"/>
        </w:rPr>
        <w:t>4</w:t>
      </w:r>
      <w:r w:rsidRPr="002E5876">
        <w:rPr>
          <w:rFonts w:ascii="Palatino Linotype" w:hAnsi="Palatino Linotype" w:cstheme="minorHAnsi"/>
          <w:sz w:val="22"/>
          <w:szCs w:val="22"/>
        </w:rPr>
        <w:t>.</w:t>
      </w:r>
      <w:r w:rsidR="0043726B" w:rsidRPr="002E5876">
        <w:rPr>
          <w:rFonts w:ascii="Palatino Linotype" w:hAnsi="Palatino Linotype" w:cstheme="minorHAnsi"/>
          <w:sz w:val="22"/>
          <w:szCs w:val="22"/>
        </w:rPr>
        <w:t>0</w:t>
      </w:r>
      <w:r w:rsidRPr="002E5876">
        <w:rPr>
          <w:rFonts w:ascii="Palatino Linotype" w:hAnsi="Palatino Linotype" w:cstheme="minorHAnsi"/>
          <w:sz w:val="22"/>
          <w:szCs w:val="22"/>
        </w:rPr>
        <w:t xml:space="preserve"> percentage points)</w:t>
      </w:r>
      <w:r w:rsidR="0043726B" w:rsidRPr="002E5876">
        <w:rPr>
          <w:rFonts w:ascii="Palatino Linotype" w:hAnsi="Palatino Linotype" w:cstheme="minorHAnsi"/>
          <w:sz w:val="22"/>
          <w:szCs w:val="22"/>
        </w:rPr>
        <w:t xml:space="preserve"> and change in stock (3.7 percentage points)</w:t>
      </w:r>
      <w:r w:rsidR="00F7631C">
        <w:rPr>
          <w:rFonts w:ascii="Palatino Linotype" w:hAnsi="Palatino Linotype" w:cstheme="minorHAnsi"/>
          <w:sz w:val="22"/>
          <w:szCs w:val="22"/>
        </w:rPr>
        <w:t>, respectively</w:t>
      </w:r>
      <w:r w:rsidRPr="002E5876">
        <w:rPr>
          <w:rFonts w:ascii="Palatino Linotype" w:hAnsi="Palatino Linotype" w:cstheme="minorHAnsi"/>
          <w:sz w:val="22"/>
          <w:szCs w:val="22"/>
        </w:rPr>
        <w:t xml:space="preserve">. </w:t>
      </w:r>
      <w:r w:rsidR="00F7631C">
        <w:rPr>
          <w:rFonts w:ascii="Palatino Linotype" w:hAnsi="Palatino Linotype" w:cstheme="minorHAnsi"/>
          <w:sz w:val="22"/>
          <w:szCs w:val="22"/>
        </w:rPr>
        <w:t>T</w:t>
      </w:r>
      <w:r w:rsidRPr="002E5876">
        <w:rPr>
          <w:rFonts w:ascii="Palatino Linotype" w:hAnsi="Palatino Linotype" w:cstheme="minorHAnsi"/>
          <w:sz w:val="22"/>
          <w:szCs w:val="22"/>
        </w:rPr>
        <w:t xml:space="preserve">he contribution of investments that grew by more than </w:t>
      </w:r>
      <w:r w:rsidR="0043726B" w:rsidRPr="002E5876">
        <w:rPr>
          <w:rFonts w:ascii="Palatino Linotype" w:hAnsi="Palatino Linotype" w:cstheme="minorHAnsi"/>
          <w:sz w:val="22"/>
          <w:szCs w:val="22"/>
        </w:rPr>
        <w:t>6</w:t>
      </w:r>
      <w:r w:rsidRPr="002E5876">
        <w:rPr>
          <w:rFonts w:ascii="Palatino Linotype" w:hAnsi="Palatino Linotype" w:cstheme="minorHAnsi"/>
          <w:sz w:val="22"/>
          <w:szCs w:val="22"/>
        </w:rPr>
        <w:t xml:space="preserve"> percent was </w:t>
      </w:r>
      <w:r w:rsidR="00F7631C">
        <w:rPr>
          <w:rFonts w:ascii="Palatino Linotype" w:hAnsi="Palatino Linotype" w:cstheme="minorHAnsi"/>
          <w:sz w:val="22"/>
          <w:szCs w:val="22"/>
        </w:rPr>
        <w:t xml:space="preserve">only </w:t>
      </w:r>
      <w:r w:rsidR="0043726B" w:rsidRPr="002E5876">
        <w:rPr>
          <w:rFonts w:ascii="Palatino Linotype" w:hAnsi="Palatino Linotype" w:cstheme="minorHAnsi"/>
          <w:sz w:val="22"/>
          <w:szCs w:val="22"/>
        </w:rPr>
        <w:t>1.8</w:t>
      </w:r>
      <w:r w:rsidRPr="002E5876">
        <w:rPr>
          <w:rFonts w:ascii="Palatino Linotype" w:hAnsi="Palatino Linotype" w:cstheme="minorHAnsi"/>
          <w:sz w:val="22"/>
          <w:szCs w:val="22"/>
        </w:rPr>
        <w:t xml:space="preserve"> percentage points</w:t>
      </w:r>
      <w:r w:rsidR="00F7631C">
        <w:rPr>
          <w:rFonts w:ascii="Palatino Linotype" w:hAnsi="Palatino Linotype" w:cstheme="minorHAnsi"/>
          <w:sz w:val="22"/>
          <w:szCs w:val="22"/>
        </w:rPr>
        <w:t xml:space="preserve"> whereas</w:t>
      </w:r>
      <w:r w:rsidR="0043726B" w:rsidRPr="002E5876">
        <w:rPr>
          <w:rFonts w:ascii="Palatino Linotype" w:hAnsi="Palatino Linotype" w:cstheme="minorHAnsi"/>
          <w:sz w:val="22"/>
          <w:szCs w:val="22"/>
        </w:rPr>
        <w:t xml:space="preserve"> the contribution of export</w:t>
      </w:r>
      <w:r w:rsidR="00F7631C">
        <w:rPr>
          <w:rFonts w:ascii="Palatino Linotype" w:hAnsi="Palatino Linotype" w:cstheme="minorHAnsi"/>
          <w:sz w:val="22"/>
          <w:szCs w:val="22"/>
        </w:rPr>
        <w:t>s</w:t>
      </w:r>
      <w:r w:rsidR="0043726B" w:rsidRPr="002E5876">
        <w:rPr>
          <w:rFonts w:ascii="Palatino Linotype" w:hAnsi="Palatino Linotype" w:cstheme="minorHAnsi"/>
          <w:sz w:val="22"/>
          <w:szCs w:val="22"/>
        </w:rPr>
        <w:t xml:space="preserve"> that grew by 9.3 percent was only </w:t>
      </w:r>
      <w:r w:rsidR="005D37CE" w:rsidRPr="002E5876">
        <w:rPr>
          <w:rFonts w:ascii="Palatino Linotype" w:hAnsi="Palatino Linotype" w:cstheme="minorHAnsi"/>
          <w:sz w:val="22"/>
          <w:szCs w:val="22"/>
        </w:rPr>
        <w:t>2.0 percentage points</w:t>
      </w:r>
      <w:r w:rsidRPr="002E5876">
        <w:rPr>
          <w:rFonts w:ascii="Palatino Linotype" w:hAnsi="Palatino Linotype" w:cstheme="minorHAnsi"/>
          <w:sz w:val="22"/>
          <w:szCs w:val="22"/>
        </w:rPr>
        <w:t xml:space="preserve">. </w:t>
      </w:r>
      <w:r w:rsidR="005D37CE" w:rsidRPr="002E5876">
        <w:rPr>
          <w:rFonts w:ascii="Palatino Linotype" w:hAnsi="Palatino Linotype" w:cstheme="minorHAnsi"/>
          <w:sz w:val="22"/>
          <w:szCs w:val="22"/>
        </w:rPr>
        <w:t>Import</w:t>
      </w:r>
      <w:r w:rsidR="00F7631C">
        <w:rPr>
          <w:rFonts w:ascii="Palatino Linotype" w:hAnsi="Palatino Linotype" w:cstheme="minorHAnsi"/>
          <w:sz w:val="22"/>
          <w:szCs w:val="22"/>
        </w:rPr>
        <w:t>s rose by</w:t>
      </w:r>
      <w:r w:rsidR="005D37CE" w:rsidRPr="002E5876">
        <w:rPr>
          <w:rFonts w:ascii="Palatino Linotype" w:hAnsi="Palatino Linotype" w:cstheme="minorHAnsi"/>
          <w:sz w:val="22"/>
          <w:szCs w:val="22"/>
        </w:rPr>
        <w:t xml:space="preserve"> 22.7 percent</w:t>
      </w:r>
      <w:r w:rsidR="00F7631C">
        <w:rPr>
          <w:rFonts w:ascii="Palatino Linotype" w:hAnsi="Palatino Linotype" w:cstheme="minorHAnsi"/>
          <w:sz w:val="22"/>
          <w:szCs w:val="22"/>
        </w:rPr>
        <w:t>,</w:t>
      </w:r>
      <w:r w:rsidR="005D37CE" w:rsidRPr="002E5876">
        <w:rPr>
          <w:rFonts w:ascii="Palatino Linotype" w:hAnsi="Palatino Linotype" w:cstheme="minorHAnsi"/>
          <w:sz w:val="22"/>
          <w:szCs w:val="22"/>
        </w:rPr>
        <w:t xml:space="preserve"> a record increase</w:t>
      </w:r>
      <w:r w:rsidR="00F7631C">
        <w:rPr>
          <w:rFonts w:ascii="Palatino Linotype" w:hAnsi="Palatino Linotype" w:cstheme="minorHAnsi"/>
          <w:sz w:val="22"/>
          <w:szCs w:val="22"/>
        </w:rPr>
        <w:t>,</w:t>
      </w:r>
      <w:r w:rsidR="005D37CE" w:rsidRPr="002E5876">
        <w:rPr>
          <w:rFonts w:ascii="Palatino Linotype" w:hAnsi="Palatino Linotype" w:cstheme="minorHAnsi"/>
          <w:sz w:val="22"/>
          <w:szCs w:val="22"/>
        </w:rPr>
        <w:t xml:space="preserve"> and </w:t>
      </w:r>
      <w:r w:rsidR="00F7631C">
        <w:rPr>
          <w:rFonts w:ascii="Palatino Linotype" w:hAnsi="Palatino Linotype" w:cstheme="minorHAnsi"/>
          <w:sz w:val="22"/>
          <w:szCs w:val="22"/>
        </w:rPr>
        <w:t xml:space="preserve">accordingly </w:t>
      </w:r>
      <w:r w:rsidR="005D37CE" w:rsidRPr="002E5876">
        <w:rPr>
          <w:rFonts w:ascii="Palatino Linotype" w:hAnsi="Palatino Linotype" w:cstheme="minorHAnsi"/>
          <w:sz w:val="22"/>
          <w:szCs w:val="22"/>
        </w:rPr>
        <w:t xml:space="preserve">its contribution to growth was minus 5.4 percentage points. </w:t>
      </w:r>
      <w:r w:rsidR="00F7631C">
        <w:rPr>
          <w:rFonts w:ascii="Palatino Linotype" w:hAnsi="Palatino Linotype" w:cstheme="minorHAnsi"/>
          <w:sz w:val="22"/>
          <w:szCs w:val="22"/>
        </w:rPr>
        <w:t>Ultimately</w:t>
      </w:r>
      <w:r w:rsidR="005D37CE" w:rsidRPr="002E5876">
        <w:rPr>
          <w:rFonts w:ascii="Palatino Linotype" w:hAnsi="Palatino Linotype" w:cstheme="minorHAnsi"/>
          <w:sz w:val="22"/>
          <w:szCs w:val="22"/>
        </w:rPr>
        <w:t xml:space="preserve">, </w:t>
      </w:r>
      <w:r w:rsidR="00F7631C">
        <w:rPr>
          <w:rFonts w:ascii="Palatino Linotype" w:hAnsi="Palatino Linotype" w:cstheme="minorHAnsi"/>
          <w:sz w:val="22"/>
          <w:szCs w:val="22"/>
        </w:rPr>
        <w:t xml:space="preserve">the </w:t>
      </w:r>
      <w:r w:rsidR="005D37CE" w:rsidRPr="002E5876">
        <w:rPr>
          <w:rFonts w:ascii="Palatino Linotype" w:hAnsi="Palatino Linotype" w:cstheme="minorHAnsi"/>
          <w:sz w:val="22"/>
          <w:szCs w:val="22"/>
        </w:rPr>
        <w:t xml:space="preserve">contribution of net foreign trade was </w:t>
      </w:r>
      <w:r w:rsidR="002003F7">
        <w:rPr>
          <w:rFonts w:ascii="Palatino Linotype" w:hAnsi="Palatino Linotype" w:cstheme="minorHAnsi"/>
          <w:sz w:val="22"/>
          <w:szCs w:val="22"/>
        </w:rPr>
        <w:t xml:space="preserve">high but </w:t>
      </w:r>
      <w:r w:rsidR="005D37CE" w:rsidRPr="002E5876">
        <w:rPr>
          <w:rFonts w:ascii="Palatino Linotype" w:hAnsi="Palatino Linotype" w:cstheme="minorHAnsi"/>
          <w:sz w:val="22"/>
          <w:szCs w:val="22"/>
        </w:rPr>
        <w:t>negative</w:t>
      </w:r>
      <w:r w:rsidR="002003F7">
        <w:rPr>
          <w:rFonts w:ascii="Palatino Linotype" w:hAnsi="Palatino Linotype" w:cstheme="minorHAnsi"/>
          <w:sz w:val="22"/>
          <w:szCs w:val="22"/>
        </w:rPr>
        <w:t>, minus</w:t>
      </w:r>
      <w:r w:rsidR="005D37CE" w:rsidRPr="002E5876">
        <w:rPr>
          <w:rFonts w:ascii="Palatino Linotype" w:hAnsi="Palatino Linotype" w:cstheme="minorHAnsi"/>
          <w:sz w:val="22"/>
          <w:szCs w:val="22"/>
        </w:rPr>
        <w:t xml:space="preserve"> 3.4 percentage points.</w:t>
      </w:r>
      <w:r w:rsidR="00B37CD7" w:rsidRPr="002E5876">
        <w:rPr>
          <w:rFonts w:ascii="Palatino Linotype" w:hAnsi="Palatino Linotype" w:cstheme="minorHAnsi"/>
          <w:sz w:val="22"/>
          <w:szCs w:val="22"/>
        </w:rPr>
        <w:t xml:space="preserve"> On the other hand, </w:t>
      </w:r>
      <w:r w:rsidR="002003F7">
        <w:rPr>
          <w:rFonts w:ascii="Palatino Linotype" w:hAnsi="Palatino Linotype" w:cstheme="minorHAnsi"/>
          <w:sz w:val="22"/>
          <w:szCs w:val="22"/>
        </w:rPr>
        <w:t xml:space="preserve">the </w:t>
      </w:r>
      <w:r w:rsidR="00B37CD7" w:rsidRPr="002E5876">
        <w:rPr>
          <w:rFonts w:ascii="Palatino Linotype" w:hAnsi="Palatino Linotype" w:cstheme="minorHAnsi"/>
          <w:sz w:val="22"/>
          <w:szCs w:val="22"/>
        </w:rPr>
        <w:t>contribution of government spending was limited</w:t>
      </w:r>
      <w:r w:rsidR="002003F7">
        <w:rPr>
          <w:rFonts w:ascii="Palatino Linotype" w:hAnsi="Palatino Linotype" w:cstheme="minorHAnsi"/>
          <w:sz w:val="22"/>
          <w:szCs w:val="22"/>
        </w:rPr>
        <w:t>,</w:t>
      </w:r>
      <w:r w:rsidR="00B37CD7" w:rsidRPr="002E5876">
        <w:rPr>
          <w:rFonts w:ascii="Palatino Linotype" w:hAnsi="Palatino Linotype" w:cstheme="minorHAnsi"/>
          <w:sz w:val="22"/>
          <w:szCs w:val="22"/>
        </w:rPr>
        <w:t xml:space="preserve"> 1.2 percentage points.</w:t>
      </w:r>
    </w:p>
    <w:p w14:paraId="5ED8E965" w14:textId="7E1F8DE6" w:rsidR="00B37CD7" w:rsidRPr="002E5876" w:rsidRDefault="00B37CD7" w:rsidP="005D37CE">
      <w:pPr>
        <w:spacing w:after="120"/>
        <w:ind w:left="567" w:right="567"/>
        <w:jc w:val="both"/>
        <w:rPr>
          <w:rFonts w:ascii="Palatino Linotype" w:hAnsi="Palatino Linotype" w:cstheme="minorHAnsi"/>
          <w:sz w:val="22"/>
          <w:szCs w:val="22"/>
        </w:rPr>
      </w:pPr>
      <w:r w:rsidRPr="002E5876">
        <w:rPr>
          <w:rFonts w:ascii="Palatino Linotype" w:hAnsi="Palatino Linotype" w:cstheme="minorHAnsi"/>
          <w:sz w:val="22"/>
          <w:szCs w:val="22"/>
        </w:rPr>
        <w:t>7.4 percen</w:t>
      </w:r>
      <w:r w:rsidR="00586707" w:rsidRPr="002E5876">
        <w:rPr>
          <w:rFonts w:ascii="Palatino Linotype" w:hAnsi="Palatino Linotype" w:cstheme="minorHAnsi"/>
          <w:sz w:val="22"/>
          <w:szCs w:val="22"/>
        </w:rPr>
        <w:t xml:space="preserve">t </w:t>
      </w:r>
      <w:r w:rsidR="002003F7">
        <w:rPr>
          <w:rFonts w:ascii="Palatino Linotype" w:hAnsi="Palatino Linotype" w:cstheme="minorHAnsi"/>
          <w:sz w:val="22"/>
          <w:szCs w:val="22"/>
        </w:rPr>
        <w:t xml:space="preserve">of annual </w:t>
      </w:r>
      <w:r w:rsidR="00586707" w:rsidRPr="002E5876">
        <w:rPr>
          <w:rFonts w:ascii="Palatino Linotype" w:hAnsi="Palatino Linotype" w:cstheme="minorHAnsi"/>
          <w:sz w:val="22"/>
          <w:szCs w:val="22"/>
        </w:rPr>
        <w:t>GDP growth in 2017</w:t>
      </w:r>
      <w:r w:rsidRPr="002E5876">
        <w:rPr>
          <w:rFonts w:ascii="Palatino Linotype" w:hAnsi="Palatino Linotype" w:cstheme="minorHAnsi"/>
          <w:sz w:val="22"/>
          <w:szCs w:val="22"/>
        </w:rPr>
        <w:t xml:space="preserve"> is </w:t>
      </w:r>
      <w:r w:rsidR="00586707" w:rsidRPr="002E5876">
        <w:rPr>
          <w:rFonts w:ascii="Palatino Linotype" w:hAnsi="Palatino Linotype" w:cstheme="minorHAnsi"/>
          <w:sz w:val="22"/>
          <w:szCs w:val="22"/>
        </w:rPr>
        <w:t>almost two</w:t>
      </w:r>
      <w:r w:rsidRPr="002E5876">
        <w:rPr>
          <w:rFonts w:ascii="Palatino Linotype" w:hAnsi="Palatino Linotype" w:cstheme="minorHAnsi"/>
          <w:sz w:val="22"/>
          <w:szCs w:val="22"/>
        </w:rPr>
        <w:t xml:space="preserve"> points higher than the </w:t>
      </w:r>
      <w:r w:rsidR="002003F7">
        <w:rPr>
          <w:rFonts w:ascii="Palatino Linotype" w:hAnsi="Palatino Linotype" w:cstheme="minorHAnsi"/>
          <w:sz w:val="22"/>
          <w:szCs w:val="22"/>
        </w:rPr>
        <w:t xml:space="preserve">projected </w:t>
      </w:r>
      <w:r w:rsidRPr="002E5876">
        <w:rPr>
          <w:rFonts w:ascii="Palatino Linotype" w:hAnsi="Palatino Linotype" w:cstheme="minorHAnsi"/>
          <w:sz w:val="22"/>
          <w:szCs w:val="22"/>
        </w:rPr>
        <w:t xml:space="preserve">5.5 percent GDP growth for 2017 </w:t>
      </w:r>
      <w:r w:rsidR="002003F7">
        <w:rPr>
          <w:rFonts w:ascii="Palatino Linotype" w:hAnsi="Palatino Linotype" w:cstheme="minorHAnsi"/>
          <w:sz w:val="22"/>
          <w:szCs w:val="22"/>
        </w:rPr>
        <w:t>i</w:t>
      </w:r>
      <w:r w:rsidRPr="002E5876">
        <w:rPr>
          <w:rFonts w:ascii="Palatino Linotype" w:hAnsi="Palatino Linotype" w:cstheme="minorHAnsi"/>
          <w:sz w:val="22"/>
          <w:szCs w:val="22"/>
        </w:rPr>
        <w:t>n the</w:t>
      </w:r>
      <w:r w:rsidR="002E5876">
        <w:rPr>
          <w:rFonts w:ascii="Palatino Linotype" w:hAnsi="Palatino Linotype" w:cstheme="minorHAnsi"/>
          <w:sz w:val="22"/>
          <w:szCs w:val="22"/>
        </w:rPr>
        <w:t xml:space="preserve"> 2018-2020 Medium Term Program</w:t>
      </w:r>
      <w:r w:rsidRPr="002E5876">
        <w:rPr>
          <w:rFonts w:ascii="Palatino Linotype" w:hAnsi="Palatino Linotype" w:cstheme="minorHAnsi"/>
          <w:sz w:val="22"/>
          <w:szCs w:val="22"/>
        </w:rPr>
        <w:t xml:space="preserve"> (OVP)</w:t>
      </w:r>
      <w:r w:rsidR="00586707" w:rsidRPr="002E5876">
        <w:rPr>
          <w:rFonts w:ascii="Palatino Linotype" w:hAnsi="Palatino Linotype" w:cstheme="minorHAnsi"/>
          <w:sz w:val="22"/>
          <w:szCs w:val="22"/>
        </w:rPr>
        <w:t>.</w:t>
      </w:r>
      <w:r w:rsidR="00586707" w:rsidRPr="002E5876">
        <w:t xml:space="preserve"> </w:t>
      </w:r>
      <w:r w:rsidR="00586707" w:rsidRPr="002E5876">
        <w:rPr>
          <w:rFonts w:ascii="Palatino Linotype" w:hAnsi="Palatino Linotype" w:cstheme="minorHAnsi"/>
          <w:sz w:val="22"/>
          <w:szCs w:val="22"/>
        </w:rPr>
        <w:t>It is widely acknowledged that the Credit Guarantee Fund and other incentives are effective in this high growth. The question is how these enormous incentives can be sustained within budget constraints</w:t>
      </w:r>
      <w:r w:rsidR="00D16B80" w:rsidRPr="002E5876">
        <w:rPr>
          <w:rFonts w:ascii="Palatino Linotype" w:hAnsi="Palatino Linotype" w:cstheme="minorHAnsi"/>
          <w:sz w:val="22"/>
          <w:szCs w:val="22"/>
        </w:rPr>
        <w:t xml:space="preserve"> in 2018.</w:t>
      </w:r>
    </w:p>
    <w:p w14:paraId="70EF5074" w14:textId="77777777" w:rsidR="00B37CD7" w:rsidRPr="002E5876" w:rsidRDefault="00B37CD7" w:rsidP="005D37CE">
      <w:pPr>
        <w:spacing w:after="120"/>
        <w:ind w:left="567" w:right="567"/>
        <w:jc w:val="both"/>
        <w:rPr>
          <w:rFonts w:ascii="Palatino Linotype" w:hAnsi="Palatino Linotype" w:cstheme="minorHAnsi"/>
          <w:sz w:val="22"/>
          <w:szCs w:val="22"/>
        </w:rPr>
      </w:pPr>
    </w:p>
    <w:p w14:paraId="36A74DEA" w14:textId="43F01FCF" w:rsidR="00B53557" w:rsidRPr="002E5876" w:rsidRDefault="00B53557" w:rsidP="005D37CE">
      <w:pPr>
        <w:spacing w:after="120"/>
        <w:ind w:left="567" w:right="567"/>
        <w:jc w:val="both"/>
        <w:rPr>
          <w:rFonts w:ascii="Palatino Linotype" w:hAnsi="Palatino Linotype" w:cstheme="minorHAnsi"/>
          <w:b/>
          <w:bCs/>
          <w:sz w:val="22"/>
          <w:szCs w:val="22"/>
        </w:rPr>
      </w:pPr>
      <w:r w:rsidRPr="002E5876">
        <w:rPr>
          <w:rFonts w:ascii="Palatino Linotype" w:hAnsi="Palatino Linotype" w:cstheme="minorHAnsi"/>
          <w:b/>
          <w:bCs/>
          <w:sz w:val="22"/>
          <w:szCs w:val="22"/>
        </w:rPr>
        <w:t xml:space="preserve">Figure 1: </w:t>
      </w:r>
      <w:r w:rsidR="00C22E87">
        <w:rPr>
          <w:rFonts w:ascii="Palatino Linotype" w:hAnsi="Palatino Linotype" w:cstheme="minorHAnsi"/>
          <w:b/>
          <w:bCs/>
          <w:sz w:val="22"/>
          <w:szCs w:val="22"/>
        </w:rPr>
        <w:t>Year-on-year growth rates (right) and c</w:t>
      </w:r>
      <w:r w:rsidRPr="002E5876">
        <w:rPr>
          <w:rFonts w:ascii="Palatino Linotype" w:hAnsi="Palatino Linotype" w:cstheme="minorHAnsi"/>
          <w:b/>
          <w:bCs/>
          <w:sz w:val="22"/>
          <w:szCs w:val="22"/>
        </w:rPr>
        <w:t xml:space="preserve">ontributions </w:t>
      </w:r>
      <w:r w:rsidR="007623A8">
        <w:rPr>
          <w:rFonts w:ascii="Palatino Linotype" w:hAnsi="Palatino Linotype" w:cstheme="minorHAnsi"/>
          <w:b/>
          <w:bCs/>
          <w:sz w:val="22"/>
          <w:szCs w:val="22"/>
        </w:rPr>
        <w:t>to growth</w:t>
      </w:r>
      <w:r w:rsidR="007623A8" w:rsidRPr="002E5876">
        <w:rPr>
          <w:rFonts w:ascii="Palatino Linotype" w:hAnsi="Palatino Linotype" w:cstheme="minorHAnsi"/>
          <w:b/>
          <w:bCs/>
          <w:sz w:val="22"/>
          <w:szCs w:val="22"/>
        </w:rPr>
        <w:t xml:space="preserve"> (left)</w:t>
      </w:r>
      <w:r w:rsidR="007623A8">
        <w:rPr>
          <w:rFonts w:ascii="Palatino Linotype" w:hAnsi="Palatino Linotype" w:cstheme="minorHAnsi"/>
          <w:b/>
          <w:bCs/>
          <w:sz w:val="22"/>
          <w:szCs w:val="22"/>
        </w:rPr>
        <w:t xml:space="preserve"> </w:t>
      </w:r>
      <w:r w:rsidRPr="002E5876">
        <w:rPr>
          <w:rFonts w:ascii="Palatino Linotype" w:hAnsi="Palatino Linotype" w:cstheme="minorHAnsi"/>
          <w:b/>
          <w:bCs/>
          <w:sz w:val="22"/>
          <w:szCs w:val="22"/>
        </w:rPr>
        <w:t xml:space="preserve">of GDP components </w:t>
      </w:r>
      <w:r w:rsidR="007623A8">
        <w:rPr>
          <w:rFonts w:ascii="Palatino Linotype" w:hAnsi="Palatino Linotype" w:cstheme="minorHAnsi"/>
          <w:b/>
          <w:bCs/>
          <w:sz w:val="22"/>
          <w:szCs w:val="22"/>
        </w:rPr>
        <w:t>in</w:t>
      </w:r>
      <w:r w:rsidRPr="002E5876">
        <w:rPr>
          <w:rFonts w:ascii="Palatino Linotype" w:hAnsi="Palatino Linotype" w:cstheme="minorHAnsi"/>
          <w:b/>
          <w:bCs/>
          <w:sz w:val="22"/>
          <w:szCs w:val="22"/>
        </w:rPr>
        <w:t xml:space="preserve"> 2017</w:t>
      </w:r>
      <w:r w:rsidR="007623A8">
        <w:rPr>
          <w:rFonts w:ascii="Palatino Linotype" w:hAnsi="Palatino Linotype" w:cstheme="minorHAnsi"/>
          <w:b/>
          <w:bCs/>
          <w:sz w:val="22"/>
          <w:szCs w:val="22"/>
        </w:rPr>
        <w:t xml:space="preserve"> </w:t>
      </w:r>
      <w:r w:rsidRPr="002E5876">
        <w:rPr>
          <w:rFonts w:ascii="Palatino Linotype" w:hAnsi="Palatino Linotype" w:cstheme="minorHAnsi"/>
          <w:b/>
          <w:bCs/>
          <w:sz w:val="22"/>
          <w:szCs w:val="22"/>
        </w:rPr>
        <w:t>Q</w:t>
      </w:r>
      <w:r w:rsidR="00004F33" w:rsidRPr="002E5876">
        <w:rPr>
          <w:rFonts w:ascii="Palatino Linotype" w:hAnsi="Palatino Linotype" w:cstheme="minorHAnsi"/>
          <w:b/>
          <w:bCs/>
          <w:sz w:val="22"/>
          <w:szCs w:val="22"/>
        </w:rPr>
        <w:t>4</w:t>
      </w:r>
    </w:p>
    <w:p w14:paraId="4B64CFD7" w14:textId="77777777" w:rsidR="00B53557" w:rsidRPr="002E5876" w:rsidRDefault="00B53557" w:rsidP="00B53557">
      <w:pPr>
        <w:keepNext/>
        <w:ind w:right="77"/>
        <w:jc w:val="both"/>
        <w:rPr>
          <w:rFonts w:ascii="Palatino Linotype" w:hAnsi="Palatino Linotype" w:cstheme="minorHAnsi"/>
          <w:b/>
          <w:bCs/>
          <w:sz w:val="22"/>
          <w:szCs w:val="22"/>
        </w:rPr>
      </w:pPr>
    </w:p>
    <w:p w14:paraId="75865008" w14:textId="38EC3BF5" w:rsidR="00B53557" w:rsidRPr="002E5876" w:rsidRDefault="00DD6379" w:rsidP="00B53557">
      <w:pPr>
        <w:keepNext/>
        <w:ind w:left="-567" w:right="-567"/>
        <w:rPr>
          <w:rFonts w:ascii="Palatino Linotype" w:hAnsi="Palatino Linotype" w:cstheme="minorHAnsi"/>
        </w:rPr>
      </w:pPr>
      <w:r w:rsidRPr="002E5876">
        <w:rPr>
          <w:noProof/>
          <w:lang w:val="tr-TR"/>
        </w:rPr>
        <w:drawing>
          <wp:inline distT="0" distB="0" distL="0" distR="0" wp14:anchorId="305BD09C" wp14:editId="2ADCEEEE">
            <wp:extent cx="2809875" cy="1828800"/>
            <wp:effectExtent l="0" t="0" r="9525" b="0"/>
            <wp:docPr id="6" name="Grafik 6">
              <a:extLst xmlns:a="http://schemas.openxmlformats.org/drawingml/2006/main">
                <a:ext uri="{FF2B5EF4-FFF2-40B4-BE49-F238E27FC236}">
                  <a16:creationId xmlns:a16="http://schemas.microsoft.com/office/drawing/2014/main" id="{171695E0-E14F-4EA6-87E6-5FB380C7F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53557" w:rsidRPr="002E5876">
        <w:rPr>
          <w:noProof/>
        </w:rPr>
        <w:t xml:space="preserve"> </w:t>
      </w:r>
      <w:r w:rsidR="00C60338" w:rsidRPr="002E5876">
        <w:rPr>
          <w:noProof/>
          <w:lang w:val="tr-TR"/>
        </w:rPr>
        <w:drawing>
          <wp:inline distT="0" distB="0" distL="0" distR="0" wp14:anchorId="59C4EE4F" wp14:editId="4CA7A24D">
            <wp:extent cx="2857500" cy="1828800"/>
            <wp:effectExtent l="0" t="0" r="0" b="0"/>
            <wp:docPr id="7" name="Grafik 7">
              <a:extLst xmlns:a="http://schemas.openxmlformats.org/drawingml/2006/main">
                <a:ext uri="{FF2B5EF4-FFF2-40B4-BE49-F238E27FC236}">
                  <a16:creationId xmlns:a16="http://schemas.microsoft.com/office/drawing/2014/main" id="{C53BA98C-591E-4E4D-BE2E-DE5FF69EE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7777777" w:rsidR="00B53557" w:rsidRPr="002E5876" w:rsidRDefault="00B53557" w:rsidP="00B53557">
      <w:pPr>
        <w:keepNext/>
        <w:rPr>
          <w:rFonts w:ascii="Palatino Linotype" w:hAnsi="Palatino Linotype" w:cstheme="minorHAnsi"/>
        </w:rPr>
      </w:pPr>
      <w:r w:rsidRPr="002E5876">
        <w:rPr>
          <w:rFonts w:ascii="Palatino Linotype" w:hAnsi="Palatino Linotype" w:cstheme="minorHAnsi"/>
          <w:b/>
          <w:sz w:val="18"/>
          <w:szCs w:val="18"/>
        </w:rPr>
        <w:t>Source:</w:t>
      </w:r>
      <w:r w:rsidRPr="002E5876">
        <w:rPr>
          <w:rFonts w:ascii="Palatino Linotype" w:hAnsi="Palatino Linotype" w:cstheme="minorHAnsi"/>
          <w:sz w:val="18"/>
          <w:szCs w:val="18"/>
        </w:rPr>
        <w:t xml:space="preserve"> </w:t>
      </w:r>
      <w:proofErr w:type="spellStart"/>
      <w:r w:rsidRPr="002E5876">
        <w:rPr>
          <w:rFonts w:ascii="Palatino Linotype" w:hAnsi="Palatino Linotype" w:cstheme="minorHAnsi"/>
          <w:sz w:val="18"/>
          <w:szCs w:val="18"/>
        </w:rPr>
        <w:t>TurkStat</w:t>
      </w:r>
      <w:proofErr w:type="spellEnd"/>
      <w:r w:rsidRPr="002E5876">
        <w:rPr>
          <w:rFonts w:ascii="Palatino Linotype" w:hAnsi="Palatino Linotype" w:cstheme="minorHAnsi"/>
          <w:sz w:val="18"/>
          <w:szCs w:val="18"/>
        </w:rPr>
        <w:t>, Betam</w:t>
      </w:r>
      <w:r w:rsidRPr="002E5876">
        <w:rPr>
          <w:rFonts w:ascii="Palatino Linotype" w:hAnsi="Palatino Linotype" w:cstheme="minorHAnsi"/>
          <w:sz w:val="16"/>
          <w:szCs w:val="16"/>
        </w:rPr>
        <w:t xml:space="preserve">. </w:t>
      </w:r>
    </w:p>
    <w:p w14:paraId="62ECA514" w14:textId="77777777" w:rsidR="00CC79C0" w:rsidRPr="002E5876" w:rsidRDefault="00CC79C0" w:rsidP="001F7BC7">
      <w:pPr>
        <w:spacing w:after="120"/>
        <w:ind w:left="567" w:right="567"/>
        <w:jc w:val="both"/>
        <w:rPr>
          <w:rFonts w:ascii="Palatino Linotype" w:hAnsi="Palatino Linotype" w:cstheme="minorHAnsi"/>
          <w:sz w:val="22"/>
          <w:szCs w:val="22"/>
        </w:rPr>
      </w:pPr>
    </w:p>
    <w:p w14:paraId="33964760" w14:textId="091BC086" w:rsidR="00982F71" w:rsidRPr="002E5876" w:rsidRDefault="00E85520" w:rsidP="00982F71">
      <w:pPr>
        <w:spacing w:line="360" w:lineRule="auto"/>
        <w:jc w:val="both"/>
        <w:rPr>
          <w:rFonts w:ascii="Palatino Linotype" w:hAnsi="Palatino Linotype" w:cstheme="minorHAnsi"/>
          <w:b/>
          <w:bCs/>
          <w:sz w:val="22"/>
          <w:szCs w:val="22"/>
        </w:rPr>
      </w:pPr>
      <w:r w:rsidRPr="002E5876">
        <w:rPr>
          <w:rFonts w:ascii="Palatino Linotype" w:hAnsi="Palatino Linotype" w:cstheme="minorHAnsi"/>
          <w:b/>
          <w:bCs/>
          <w:sz w:val="22"/>
          <w:szCs w:val="22"/>
        </w:rPr>
        <w:lastRenderedPageBreak/>
        <w:t xml:space="preserve">Moderate </w:t>
      </w:r>
      <w:r w:rsidR="001077D8" w:rsidRPr="002E5876">
        <w:rPr>
          <w:rFonts w:ascii="Palatino Linotype" w:hAnsi="Palatino Linotype" w:cstheme="minorHAnsi"/>
          <w:b/>
          <w:bCs/>
          <w:sz w:val="22"/>
          <w:szCs w:val="22"/>
        </w:rPr>
        <w:t xml:space="preserve">increase in </w:t>
      </w:r>
      <w:r w:rsidR="00982F71" w:rsidRPr="002E5876">
        <w:rPr>
          <w:rFonts w:ascii="Palatino Linotype" w:hAnsi="Palatino Linotype" w:cstheme="minorHAnsi"/>
          <w:b/>
          <w:bCs/>
          <w:sz w:val="22"/>
          <w:szCs w:val="22"/>
        </w:rPr>
        <w:t>private consumption</w:t>
      </w:r>
    </w:p>
    <w:p w14:paraId="273CF5E2" w14:textId="026ED9EE" w:rsidR="00236056" w:rsidRPr="002E5876" w:rsidRDefault="008943C4" w:rsidP="00236056">
      <w:pPr>
        <w:spacing w:line="360" w:lineRule="auto"/>
        <w:jc w:val="both"/>
        <w:rPr>
          <w:rFonts w:ascii="Palatino Linotype" w:hAnsi="Palatino Linotype" w:cstheme="minorHAnsi"/>
          <w:sz w:val="22"/>
          <w:szCs w:val="22"/>
        </w:rPr>
      </w:pPr>
      <w:r>
        <w:rPr>
          <w:rFonts w:ascii="Palatino Linotype" w:hAnsi="Palatino Linotype" w:cstheme="minorHAnsi"/>
          <w:sz w:val="22"/>
          <w:szCs w:val="22"/>
        </w:rPr>
        <w:t>Compared</w:t>
      </w:r>
      <w:r w:rsidR="00982F71" w:rsidRPr="002E5876">
        <w:rPr>
          <w:rFonts w:ascii="Palatino Linotype" w:hAnsi="Palatino Linotype" w:cstheme="minorHAnsi"/>
          <w:sz w:val="22"/>
          <w:szCs w:val="22"/>
        </w:rPr>
        <w:t xml:space="preserve"> to the same quarter of </w:t>
      </w:r>
      <w:r>
        <w:rPr>
          <w:rFonts w:ascii="Palatino Linotype" w:hAnsi="Palatino Linotype" w:cstheme="minorHAnsi"/>
          <w:sz w:val="22"/>
          <w:szCs w:val="22"/>
        </w:rPr>
        <w:t>previous</w:t>
      </w:r>
      <w:r w:rsidR="00982F71" w:rsidRPr="002E5876">
        <w:rPr>
          <w:rFonts w:ascii="Palatino Linotype" w:hAnsi="Palatino Linotype" w:cstheme="minorHAnsi"/>
          <w:sz w:val="22"/>
          <w:szCs w:val="22"/>
        </w:rPr>
        <w:t xml:space="preserve"> year consumption </w:t>
      </w:r>
      <w:r>
        <w:rPr>
          <w:rFonts w:ascii="Palatino Linotype" w:hAnsi="Palatino Linotype" w:cstheme="minorHAnsi"/>
          <w:sz w:val="22"/>
          <w:szCs w:val="22"/>
        </w:rPr>
        <w:t xml:space="preserve">rose by </w:t>
      </w:r>
      <w:r w:rsidR="00F9263F" w:rsidRPr="002E5876">
        <w:rPr>
          <w:rFonts w:ascii="Palatino Linotype" w:hAnsi="Palatino Linotype" w:cstheme="minorHAnsi"/>
          <w:sz w:val="22"/>
          <w:szCs w:val="22"/>
        </w:rPr>
        <w:t>6</w:t>
      </w:r>
      <w:r w:rsidR="00982F71" w:rsidRPr="002E5876">
        <w:rPr>
          <w:rFonts w:ascii="Palatino Linotype" w:hAnsi="Palatino Linotype" w:cstheme="minorHAnsi"/>
          <w:sz w:val="22"/>
          <w:szCs w:val="22"/>
        </w:rPr>
        <w:t>.</w:t>
      </w:r>
      <w:r w:rsidR="00F9263F" w:rsidRPr="002E5876">
        <w:rPr>
          <w:rFonts w:ascii="Palatino Linotype" w:hAnsi="Palatino Linotype" w:cstheme="minorHAnsi"/>
          <w:sz w:val="22"/>
          <w:szCs w:val="22"/>
        </w:rPr>
        <w:t>6</w:t>
      </w:r>
      <w:r w:rsidR="00982F71" w:rsidRPr="002E5876">
        <w:rPr>
          <w:rFonts w:ascii="Palatino Linotype" w:hAnsi="Palatino Linotype" w:cstheme="minorHAnsi"/>
          <w:sz w:val="22"/>
          <w:szCs w:val="22"/>
        </w:rPr>
        <w:t xml:space="preserve"> percent in the </w:t>
      </w:r>
      <w:r w:rsidR="00F9263F" w:rsidRPr="002E5876">
        <w:rPr>
          <w:rFonts w:ascii="Palatino Linotype" w:hAnsi="Palatino Linotype" w:cstheme="minorHAnsi"/>
          <w:sz w:val="22"/>
          <w:szCs w:val="22"/>
        </w:rPr>
        <w:t>fourth</w:t>
      </w:r>
      <w:r w:rsidR="00982F71" w:rsidRPr="002E5876">
        <w:rPr>
          <w:rFonts w:ascii="Palatino Linotype" w:hAnsi="Palatino Linotype" w:cstheme="minorHAnsi"/>
          <w:sz w:val="22"/>
          <w:szCs w:val="22"/>
        </w:rPr>
        <w:t xml:space="preserve"> quarter</w:t>
      </w:r>
      <w:r>
        <w:rPr>
          <w:rFonts w:ascii="Palatino Linotype" w:hAnsi="Palatino Linotype" w:cstheme="minorHAnsi"/>
          <w:sz w:val="22"/>
          <w:szCs w:val="22"/>
        </w:rPr>
        <w:t xml:space="preserve"> of 2017, </w:t>
      </w:r>
      <w:r w:rsidRPr="002E5876">
        <w:rPr>
          <w:rFonts w:ascii="Palatino Linotype" w:hAnsi="Palatino Linotype" w:cstheme="minorHAnsi"/>
          <w:sz w:val="22"/>
          <w:szCs w:val="22"/>
        </w:rPr>
        <w:t>whi</w:t>
      </w:r>
      <w:r>
        <w:rPr>
          <w:rFonts w:ascii="Palatino Linotype" w:hAnsi="Palatino Linotype" w:cstheme="minorHAnsi"/>
          <w:sz w:val="22"/>
          <w:szCs w:val="22"/>
        </w:rPr>
        <w:t xml:space="preserve">le </w:t>
      </w:r>
      <w:r w:rsidR="000E089E">
        <w:rPr>
          <w:rFonts w:ascii="Palatino Linotype" w:hAnsi="Palatino Linotype" w:cstheme="minorHAnsi"/>
          <w:sz w:val="22"/>
          <w:szCs w:val="22"/>
        </w:rPr>
        <w:t>this</w:t>
      </w:r>
      <w:r w:rsidRPr="002E5876">
        <w:rPr>
          <w:rFonts w:ascii="Palatino Linotype" w:hAnsi="Palatino Linotype" w:cstheme="minorHAnsi"/>
          <w:sz w:val="22"/>
          <w:szCs w:val="22"/>
        </w:rPr>
        <w:t xml:space="preserve"> </w:t>
      </w:r>
      <w:r>
        <w:rPr>
          <w:rFonts w:ascii="Palatino Linotype" w:hAnsi="Palatino Linotype" w:cstheme="minorHAnsi"/>
          <w:sz w:val="22"/>
          <w:szCs w:val="22"/>
        </w:rPr>
        <w:t xml:space="preserve">was </w:t>
      </w:r>
      <w:r w:rsidRPr="002E5876">
        <w:rPr>
          <w:rFonts w:ascii="Palatino Linotype" w:hAnsi="Palatino Linotype" w:cstheme="minorHAnsi"/>
          <w:sz w:val="22"/>
          <w:szCs w:val="22"/>
        </w:rPr>
        <w:t>10.9 percent in the third quarter</w:t>
      </w:r>
      <w:r>
        <w:rPr>
          <w:rFonts w:ascii="Palatino Linotype" w:hAnsi="Palatino Linotype" w:cstheme="minorHAnsi"/>
          <w:sz w:val="22"/>
          <w:szCs w:val="22"/>
        </w:rPr>
        <w:t>.</w:t>
      </w:r>
      <w:r w:rsidR="00982F71" w:rsidRPr="002E5876">
        <w:rPr>
          <w:rFonts w:ascii="Palatino Linotype" w:hAnsi="Palatino Linotype" w:cstheme="minorHAnsi"/>
          <w:sz w:val="22"/>
          <w:szCs w:val="22"/>
        </w:rPr>
        <w:t xml:space="preserve"> </w:t>
      </w:r>
      <w:r w:rsidR="00F9263F" w:rsidRPr="002E5876">
        <w:rPr>
          <w:rFonts w:ascii="Palatino Linotype" w:hAnsi="Palatino Linotype" w:cstheme="minorHAnsi"/>
          <w:sz w:val="22"/>
          <w:szCs w:val="22"/>
        </w:rPr>
        <w:t>Even though t</w:t>
      </w:r>
      <w:r w:rsidR="00982F71" w:rsidRPr="002E5876">
        <w:rPr>
          <w:rFonts w:ascii="Palatino Linotype" w:hAnsi="Palatino Linotype" w:cstheme="minorHAnsi"/>
          <w:sz w:val="22"/>
          <w:szCs w:val="22"/>
        </w:rPr>
        <w:t xml:space="preserve">he contribution to growth has </w:t>
      </w:r>
      <w:r w:rsidR="00F9263F" w:rsidRPr="002E5876">
        <w:rPr>
          <w:rFonts w:ascii="Palatino Linotype" w:hAnsi="Palatino Linotype" w:cstheme="minorHAnsi"/>
          <w:sz w:val="22"/>
          <w:szCs w:val="22"/>
        </w:rPr>
        <w:t>decreased</w:t>
      </w:r>
      <w:r w:rsidR="00982F71" w:rsidRPr="002E5876">
        <w:rPr>
          <w:rFonts w:ascii="Palatino Linotype" w:hAnsi="Palatino Linotype" w:cstheme="minorHAnsi"/>
          <w:sz w:val="22"/>
          <w:szCs w:val="22"/>
        </w:rPr>
        <w:t xml:space="preserve"> from</w:t>
      </w:r>
      <w:r w:rsidR="0011258F" w:rsidRPr="002E5876">
        <w:rPr>
          <w:rFonts w:ascii="Palatino Linotype" w:hAnsi="Palatino Linotype" w:cstheme="minorHAnsi"/>
          <w:sz w:val="22"/>
          <w:szCs w:val="22"/>
        </w:rPr>
        <w:t xml:space="preserve"> </w:t>
      </w:r>
      <w:r w:rsidR="00F9263F" w:rsidRPr="002E5876">
        <w:rPr>
          <w:rFonts w:ascii="Palatino Linotype" w:hAnsi="Palatino Linotype" w:cstheme="minorHAnsi"/>
          <w:sz w:val="22"/>
          <w:szCs w:val="22"/>
        </w:rPr>
        <w:t>6</w:t>
      </w:r>
      <w:r w:rsidR="0011258F" w:rsidRPr="002E5876">
        <w:rPr>
          <w:rFonts w:ascii="Palatino Linotype" w:hAnsi="Palatino Linotype" w:cstheme="minorHAnsi"/>
          <w:sz w:val="22"/>
          <w:szCs w:val="22"/>
        </w:rPr>
        <w:t>.</w:t>
      </w:r>
      <w:r w:rsidR="00F9263F" w:rsidRPr="002E5876">
        <w:rPr>
          <w:rFonts w:ascii="Palatino Linotype" w:hAnsi="Palatino Linotype" w:cstheme="minorHAnsi"/>
          <w:sz w:val="22"/>
          <w:szCs w:val="22"/>
        </w:rPr>
        <w:t>4</w:t>
      </w:r>
      <w:r w:rsidR="0011258F" w:rsidRPr="002E5876">
        <w:rPr>
          <w:rFonts w:ascii="Palatino Linotype" w:hAnsi="Palatino Linotype" w:cstheme="minorHAnsi"/>
          <w:sz w:val="22"/>
          <w:szCs w:val="22"/>
        </w:rPr>
        <w:t xml:space="preserve"> per</w:t>
      </w:r>
      <w:r w:rsidR="00982F71" w:rsidRPr="002E5876">
        <w:rPr>
          <w:rFonts w:ascii="Palatino Linotype" w:hAnsi="Palatino Linotype" w:cstheme="minorHAnsi"/>
          <w:sz w:val="22"/>
          <w:szCs w:val="22"/>
        </w:rPr>
        <w:t>cent</w:t>
      </w:r>
      <w:r w:rsidR="0011258F" w:rsidRPr="002E5876">
        <w:rPr>
          <w:rFonts w:ascii="Palatino Linotype" w:hAnsi="Palatino Linotype" w:cstheme="minorHAnsi"/>
          <w:sz w:val="22"/>
          <w:szCs w:val="22"/>
        </w:rPr>
        <w:t>age</w:t>
      </w:r>
      <w:r w:rsidR="00982F71" w:rsidRPr="002E5876">
        <w:rPr>
          <w:rFonts w:ascii="Palatino Linotype" w:hAnsi="Palatino Linotype" w:cstheme="minorHAnsi"/>
          <w:sz w:val="22"/>
          <w:szCs w:val="22"/>
        </w:rPr>
        <w:t xml:space="preserve"> points to </w:t>
      </w:r>
      <w:r w:rsidR="00F9263F" w:rsidRPr="002E5876">
        <w:rPr>
          <w:rFonts w:ascii="Palatino Linotype" w:hAnsi="Palatino Linotype" w:cstheme="minorHAnsi"/>
          <w:sz w:val="22"/>
          <w:szCs w:val="22"/>
        </w:rPr>
        <w:t>4</w:t>
      </w:r>
      <w:r w:rsidR="00982F71" w:rsidRPr="002E5876">
        <w:rPr>
          <w:rFonts w:ascii="Palatino Linotype" w:hAnsi="Palatino Linotype" w:cstheme="minorHAnsi"/>
          <w:sz w:val="22"/>
          <w:szCs w:val="22"/>
        </w:rPr>
        <w:t>.</w:t>
      </w:r>
      <w:r w:rsidR="00F9263F" w:rsidRPr="002E5876">
        <w:rPr>
          <w:rFonts w:ascii="Palatino Linotype" w:hAnsi="Palatino Linotype" w:cstheme="minorHAnsi"/>
          <w:sz w:val="22"/>
          <w:szCs w:val="22"/>
        </w:rPr>
        <w:t>0</w:t>
      </w:r>
      <w:r w:rsidR="00982F71" w:rsidRPr="002E5876">
        <w:rPr>
          <w:rFonts w:ascii="Palatino Linotype" w:hAnsi="Palatino Linotype" w:cstheme="minorHAnsi"/>
          <w:sz w:val="22"/>
          <w:szCs w:val="22"/>
        </w:rPr>
        <w:t xml:space="preserve"> points</w:t>
      </w:r>
      <w:r w:rsidR="00F9263F" w:rsidRPr="002E5876">
        <w:rPr>
          <w:rFonts w:ascii="Palatino Linotype" w:hAnsi="Palatino Linotype" w:cstheme="minorHAnsi"/>
          <w:sz w:val="22"/>
          <w:szCs w:val="22"/>
        </w:rPr>
        <w:t xml:space="preserve">, consumption continued to be </w:t>
      </w:r>
      <w:r w:rsidR="000E089E">
        <w:rPr>
          <w:rFonts w:ascii="Palatino Linotype" w:hAnsi="Palatino Linotype" w:cstheme="minorHAnsi"/>
          <w:sz w:val="22"/>
          <w:szCs w:val="22"/>
        </w:rPr>
        <w:t xml:space="preserve">main driving force for </w:t>
      </w:r>
      <w:r w:rsidR="00F9263F" w:rsidRPr="002E5876">
        <w:rPr>
          <w:rFonts w:ascii="Palatino Linotype" w:hAnsi="Palatino Linotype" w:cstheme="minorHAnsi"/>
          <w:sz w:val="22"/>
          <w:szCs w:val="22"/>
        </w:rPr>
        <w:t>the growth in the last quarter</w:t>
      </w:r>
      <w:r w:rsidR="00982F71" w:rsidRPr="002E5876">
        <w:rPr>
          <w:rFonts w:ascii="Palatino Linotype" w:hAnsi="Palatino Linotype" w:cstheme="minorHAnsi"/>
          <w:sz w:val="22"/>
          <w:szCs w:val="22"/>
        </w:rPr>
        <w:t xml:space="preserve"> (Table 1). </w:t>
      </w:r>
      <w:r w:rsidR="00F9263F" w:rsidRPr="002E5876">
        <w:rPr>
          <w:rFonts w:ascii="Palatino Linotype" w:hAnsi="Palatino Linotype" w:cstheme="minorHAnsi"/>
          <w:sz w:val="22"/>
          <w:szCs w:val="22"/>
        </w:rPr>
        <w:t>W</w:t>
      </w:r>
      <w:r w:rsidR="00982F71" w:rsidRPr="002E5876">
        <w:rPr>
          <w:rFonts w:ascii="Palatino Linotype" w:hAnsi="Palatino Linotype" w:cstheme="minorHAnsi"/>
          <w:sz w:val="22"/>
          <w:szCs w:val="22"/>
        </w:rPr>
        <w:t>hen we look at the seasonally and calendar day adjusted</w:t>
      </w:r>
      <w:r w:rsidR="000E089E">
        <w:rPr>
          <w:rFonts w:ascii="Palatino Linotype" w:hAnsi="Palatino Linotype" w:cstheme="minorHAnsi"/>
          <w:sz w:val="22"/>
          <w:szCs w:val="22"/>
        </w:rPr>
        <w:t xml:space="preserve"> data</w:t>
      </w:r>
      <w:r w:rsidR="00F9263F" w:rsidRPr="002E5876">
        <w:rPr>
          <w:rFonts w:ascii="Palatino Linotype" w:hAnsi="Palatino Linotype" w:cstheme="minorHAnsi"/>
          <w:sz w:val="22"/>
          <w:szCs w:val="22"/>
        </w:rPr>
        <w:t>,</w:t>
      </w:r>
      <w:r w:rsidR="00982F71" w:rsidRPr="002E5876">
        <w:rPr>
          <w:rFonts w:ascii="Palatino Linotype" w:hAnsi="Palatino Linotype" w:cstheme="minorHAnsi"/>
          <w:sz w:val="22"/>
          <w:szCs w:val="22"/>
        </w:rPr>
        <w:t xml:space="preserve"> </w:t>
      </w:r>
      <w:r w:rsidR="00F9263F" w:rsidRPr="002E5876">
        <w:rPr>
          <w:rFonts w:ascii="Palatino Linotype" w:hAnsi="Palatino Linotype" w:cstheme="minorHAnsi"/>
          <w:sz w:val="22"/>
          <w:szCs w:val="22"/>
        </w:rPr>
        <w:t xml:space="preserve">we see that consumption growth has </w:t>
      </w:r>
      <w:r w:rsidR="000E089E">
        <w:rPr>
          <w:rFonts w:ascii="Palatino Linotype" w:hAnsi="Palatino Linotype" w:cstheme="minorHAnsi"/>
          <w:sz w:val="22"/>
          <w:szCs w:val="22"/>
        </w:rPr>
        <w:t>kept solidifying</w:t>
      </w:r>
      <w:r w:rsidR="00F9263F" w:rsidRPr="002E5876">
        <w:rPr>
          <w:rFonts w:ascii="Palatino Linotype" w:hAnsi="Palatino Linotype" w:cstheme="minorHAnsi"/>
          <w:sz w:val="22"/>
          <w:szCs w:val="22"/>
        </w:rPr>
        <w:t xml:space="preserve"> in the last quarter (from 1.8% to 2.7%) and contribution to growth </w:t>
      </w:r>
      <w:r w:rsidR="000E089E">
        <w:rPr>
          <w:rFonts w:ascii="Palatino Linotype" w:hAnsi="Palatino Linotype" w:cstheme="minorHAnsi"/>
          <w:sz w:val="22"/>
          <w:szCs w:val="22"/>
        </w:rPr>
        <w:t>also</w:t>
      </w:r>
      <w:r w:rsidR="00F9263F" w:rsidRPr="002E5876">
        <w:rPr>
          <w:rFonts w:ascii="Palatino Linotype" w:hAnsi="Palatino Linotype" w:cstheme="minorHAnsi"/>
          <w:sz w:val="22"/>
          <w:szCs w:val="22"/>
        </w:rPr>
        <w:t xml:space="preserve"> increased </w:t>
      </w:r>
      <w:r w:rsidR="00982F71" w:rsidRPr="002E5876">
        <w:rPr>
          <w:rFonts w:ascii="Palatino Linotype" w:hAnsi="Palatino Linotype" w:cstheme="minorHAnsi"/>
          <w:sz w:val="22"/>
          <w:szCs w:val="22"/>
        </w:rPr>
        <w:t xml:space="preserve">(Table 2). </w:t>
      </w:r>
    </w:p>
    <w:p w14:paraId="68B1A7EE" w14:textId="5F58BF6C" w:rsidR="00A160F5" w:rsidRPr="002E5876" w:rsidRDefault="006C3EE6" w:rsidP="006C3EE6">
      <w:pPr>
        <w:keepNext/>
        <w:ind w:right="77"/>
        <w:jc w:val="both"/>
        <w:rPr>
          <w:rFonts w:ascii="Palatino Linotype" w:hAnsi="Palatino Linotype" w:cstheme="minorHAnsi"/>
          <w:b/>
          <w:bCs/>
          <w:sz w:val="22"/>
          <w:szCs w:val="22"/>
        </w:rPr>
      </w:pPr>
      <w:r w:rsidRPr="002E5876">
        <w:rPr>
          <w:rFonts w:ascii="Palatino Linotype" w:hAnsi="Palatino Linotype" w:cstheme="minorHAnsi"/>
          <w:b/>
          <w:bCs/>
          <w:sz w:val="22"/>
          <w:szCs w:val="22"/>
        </w:rPr>
        <w:t>T</w:t>
      </w:r>
      <w:r w:rsidR="00A160F5" w:rsidRPr="002E5876">
        <w:rPr>
          <w:rFonts w:ascii="Palatino Linotype" w:hAnsi="Palatino Linotype" w:cstheme="minorHAnsi"/>
          <w:b/>
          <w:bCs/>
          <w:sz w:val="22"/>
          <w:szCs w:val="22"/>
        </w:rPr>
        <w:t>able</w:t>
      </w:r>
      <w:r w:rsidRPr="002E5876">
        <w:rPr>
          <w:rFonts w:ascii="Palatino Linotype" w:hAnsi="Palatino Linotype" w:cstheme="minorHAnsi"/>
          <w:b/>
          <w:bCs/>
          <w:sz w:val="22"/>
          <w:szCs w:val="22"/>
        </w:rPr>
        <w:t xml:space="preserve"> 1: </w:t>
      </w:r>
      <w:r w:rsidR="00A160F5" w:rsidRPr="002E5876">
        <w:rPr>
          <w:rFonts w:ascii="Palatino Linotype" w:hAnsi="Palatino Linotype" w:cstheme="minorHAnsi"/>
          <w:b/>
          <w:bCs/>
          <w:sz w:val="22"/>
          <w:szCs w:val="22"/>
        </w:rPr>
        <w:t>Growth rates and contributions to growth of GDP components in 2017</w:t>
      </w:r>
      <w:r w:rsidR="00EF18A3">
        <w:rPr>
          <w:rFonts w:ascii="Palatino Linotype" w:hAnsi="Palatino Linotype" w:cstheme="minorHAnsi"/>
          <w:b/>
          <w:bCs/>
          <w:sz w:val="22"/>
          <w:szCs w:val="22"/>
        </w:rPr>
        <w:t xml:space="preserve"> Q2-Q3 compared to the same quarter</w:t>
      </w:r>
      <w:r w:rsidR="00A160F5" w:rsidRPr="002E5876">
        <w:rPr>
          <w:rFonts w:ascii="Palatino Linotype" w:hAnsi="Palatino Linotype" w:cstheme="minorHAnsi"/>
          <w:b/>
          <w:bCs/>
          <w:sz w:val="22"/>
          <w:szCs w:val="22"/>
        </w:rPr>
        <w:t xml:space="preserve"> of last year</w:t>
      </w:r>
    </w:p>
    <w:tbl>
      <w:tblPr>
        <w:tblW w:w="7673" w:type="dxa"/>
        <w:tblInd w:w="70" w:type="dxa"/>
        <w:tblCellMar>
          <w:left w:w="70" w:type="dxa"/>
          <w:right w:w="70" w:type="dxa"/>
        </w:tblCellMar>
        <w:tblLook w:val="04A0" w:firstRow="1" w:lastRow="0" w:firstColumn="1" w:lastColumn="0" w:noHBand="0" w:noVBand="1"/>
      </w:tblPr>
      <w:tblGrid>
        <w:gridCol w:w="2193"/>
        <w:gridCol w:w="1113"/>
        <w:gridCol w:w="1627"/>
        <w:gridCol w:w="1113"/>
        <w:gridCol w:w="1627"/>
      </w:tblGrid>
      <w:tr w:rsidR="00EC59FB" w:rsidRPr="002E5876" w14:paraId="29B6171B" w14:textId="77777777" w:rsidTr="00EC59FB">
        <w:trPr>
          <w:trHeight w:val="286"/>
        </w:trPr>
        <w:tc>
          <w:tcPr>
            <w:tcW w:w="2193" w:type="dxa"/>
            <w:tcBorders>
              <w:top w:val="nil"/>
              <w:left w:val="nil"/>
              <w:bottom w:val="nil"/>
              <w:right w:val="nil"/>
            </w:tcBorders>
            <w:shd w:val="clear" w:color="000000" w:fill="FFFFFF"/>
            <w:noWrap/>
            <w:vAlign w:val="bottom"/>
            <w:hideMark/>
          </w:tcPr>
          <w:p w14:paraId="71195A20"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 </w:t>
            </w:r>
          </w:p>
        </w:tc>
        <w:tc>
          <w:tcPr>
            <w:tcW w:w="27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A368B2"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2017Q3</w:t>
            </w:r>
          </w:p>
        </w:tc>
        <w:tc>
          <w:tcPr>
            <w:tcW w:w="2740" w:type="dxa"/>
            <w:gridSpan w:val="2"/>
            <w:tcBorders>
              <w:top w:val="single" w:sz="4" w:space="0" w:color="auto"/>
              <w:left w:val="nil"/>
              <w:bottom w:val="single" w:sz="4" w:space="0" w:color="auto"/>
              <w:right w:val="nil"/>
            </w:tcBorders>
            <w:shd w:val="clear" w:color="000000" w:fill="FFFFFF"/>
            <w:noWrap/>
            <w:vAlign w:val="bottom"/>
            <w:hideMark/>
          </w:tcPr>
          <w:p w14:paraId="3BF4643C"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2017Q4</w:t>
            </w:r>
          </w:p>
        </w:tc>
      </w:tr>
      <w:tr w:rsidR="00EC59FB" w:rsidRPr="002E5876" w14:paraId="158B10D8" w14:textId="77777777" w:rsidTr="00EC59FB">
        <w:trPr>
          <w:trHeight w:val="286"/>
        </w:trPr>
        <w:tc>
          <w:tcPr>
            <w:tcW w:w="2193" w:type="dxa"/>
            <w:tcBorders>
              <w:top w:val="nil"/>
              <w:left w:val="nil"/>
              <w:bottom w:val="nil"/>
              <w:right w:val="nil"/>
            </w:tcBorders>
            <w:shd w:val="clear" w:color="000000" w:fill="FFFFFF"/>
            <w:noWrap/>
            <w:vAlign w:val="bottom"/>
            <w:hideMark/>
          </w:tcPr>
          <w:p w14:paraId="49A14152"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 </w:t>
            </w:r>
          </w:p>
        </w:tc>
        <w:tc>
          <w:tcPr>
            <w:tcW w:w="1113" w:type="dxa"/>
            <w:tcBorders>
              <w:top w:val="nil"/>
              <w:left w:val="single" w:sz="4" w:space="0" w:color="auto"/>
              <w:bottom w:val="single" w:sz="4" w:space="0" w:color="auto"/>
              <w:right w:val="nil"/>
            </w:tcBorders>
            <w:shd w:val="clear" w:color="000000" w:fill="FFFFFF"/>
            <w:noWrap/>
            <w:vAlign w:val="bottom"/>
            <w:hideMark/>
          </w:tcPr>
          <w:p w14:paraId="4A53D0D0"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Change (%)</w:t>
            </w:r>
          </w:p>
        </w:tc>
        <w:tc>
          <w:tcPr>
            <w:tcW w:w="1626" w:type="dxa"/>
            <w:tcBorders>
              <w:top w:val="nil"/>
              <w:left w:val="nil"/>
              <w:bottom w:val="nil"/>
              <w:right w:val="single" w:sz="4" w:space="0" w:color="auto"/>
            </w:tcBorders>
            <w:shd w:val="clear" w:color="000000" w:fill="FFFFFF"/>
            <w:noWrap/>
            <w:vAlign w:val="bottom"/>
            <w:hideMark/>
          </w:tcPr>
          <w:p w14:paraId="0C7E963B"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Contribution (%)</w:t>
            </w:r>
          </w:p>
        </w:tc>
        <w:tc>
          <w:tcPr>
            <w:tcW w:w="1113" w:type="dxa"/>
            <w:tcBorders>
              <w:top w:val="nil"/>
              <w:left w:val="nil"/>
              <w:bottom w:val="nil"/>
              <w:right w:val="nil"/>
            </w:tcBorders>
            <w:shd w:val="clear" w:color="000000" w:fill="FFFFFF"/>
            <w:noWrap/>
            <w:vAlign w:val="bottom"/>
            <w:hideMark/>
          </w:tcPr>
          <w:p w14:paraId="6F5600AA"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Change (%)</w:t>
            </w:r>
          </w:p>
        </w:tc>
        <w:tc>
          <w:tcPr>
            <w:tcW w:w="1626" w:type="dxa"/>
            <w:tcBorders>
              <w:top w:val="nil"/>
              <w:left w:val="nil"/>
              <w:bottom w:val="nil"/>
              <w:right w:val="nil"/>
            </w:tcBorders>
            <w:shd w:val="clear" w:color="000000" w:fill="FFFFFF"/>
            <w:noWrap/>
            <w:vAlign w:val="bottom"/>
            <w:hideMark/>
          </w:tcPr>
          <w:p w14:paraId="5164728B"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Contribution (%)</w:t>
            </w:r>
          </w:p>
        </w:tc>
      </w:tr>
      <w:tr w:rsidR="00EC59FB" w:rsidRPr="002E5876" w14:paraId="62C13932" w14:textId="77777777" w:rsidTr="00EC59FB">
        <w:trPr>
          <w:trHeight w:val="286"/>
        </w:trPr>
        <w:tc>
          <w:tcPr>
            <w:tcW w:w="2193" w:type="dxa"/>
            <w:tcBorders>
              <w:top w:val="single" w:sz="4" w:space="0" w:color="auto"/>
              <w:left w:val="nil"/>
              <w:bottom w:val="nil"/>
              <w:right w:val="nil"/>
            </w:tcBorders>
            <w:shd w:val="clear" w:color="000000" w:fill="FFFFFF"/>
            <w:noWrap/>
            <w:vAlign w:val="bottom"/>
            <w:hideMark/>
          </w:tcPr>
          <w:p w14:paraId="1311F9DA"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Consumption</w:t>
            </w:r>
          </w:p>
        </w:tc>
        <w:tc>
          <w:tcPr>
            <w:tcW w:w="1113" w:type="dxa"/>
            <w:tcBorders>
              <w:top w:val="nil"/>
              <w:left w:val="single" w:sz="4" w:space="0" w:color="auto"/>
              <w:bottom w:val="nil"/>
              <w:right w:val="nil"/>
            </w:tcBorders>
            <w:shd w:val="clear" w:color="000000" w:fill="FFFFFF"/>
            <w:noWrap/>
            <w:vAlign w:val="bottom"/>
            <w:hideMark/>
          </w:tcPr>
          <w:p w14:paraId="33AAC955"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10.9</w:t>
            </w:r>
          </w:p>
        </w:tc>
        <w:tc>
          <w:tcPr>
            <w:tcW w:w="1626" w:type="dxa"/>
            <w:tcBorders>
              <w:top w:val="single" w:sz="4" w:space="0" w:color="auto"/>
              <w:left w:val="nil"/>
              <w:bottom w:val="nil"/>
              <w:right w:val="single" w:sz="4" w:space="0" w:color="auto"/>
            </w:tcBorders>
            <w:shd w:val="clear" w:color="000000" w:fill="FFFFFF"/>
            <w:noWrap/>
            <w:vAlign w:val="bottom"/>
            <w:hideMark/>
          </w:tcPr>
          <w:p w14:paraId="39FA9101"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6.4</w:t>
            </w:r>
          </w:p>
        </w:tc>
        <w:tc>
          <w:tcPr>
            <w:tcW w:w="1113" w:type="dxa"/>
            <w:tcBorders>
              <w:top w:val="single" w:sz="4" w:space="0" w:color="auto"/>
              <w:left w:val="nil"/>
              <w:bottom w:val="nil"/>
              <w:right w:val="nil"/>
            </w:tcBorders>
            <w:shd w:val="clear" w:color="000000" w:fill="FFFFFF"/>
            <w:noWrap/>
            <w:vAlign w:val="bottom"/>
            <w:hideMark/>
          </w:tcPr>
          <w:p w14:paraId="5C99A602"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6.6</w:t>
            </w:r>
          </w:p>
        </w:tc>
        <w:tc>
          <w:tcPr>
            <w:tcW w:w="1626" w:type="dxa"/>
            <w:tcBorders>
              <w:top w:val="single" w:sz="4" w:space="0" w:color="auto"/>
              <w:left w:val="nil"/>
              <w:bottom w:val="nil"/>
              <w:right w:val="nil"/>
            </w:tcBorders>
            <w:shd w:val="clear" w:color="000000" w:fill="FFFFFF"/>
            <w:noWrap/>
            <w:vAlign w:val="bottom"/>
            <w:hideMark/>
          </w:tcPr>
          <w:p w14:paraId="0D8281FB"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4.0</w:t>
            </w:r>
          </w:p>
        </w:tc>
      </w:tr>
      <w:tr w:rsidR="00EC59FB" w:rsidRPr="002E5876" w14:paraId="35126589" w14:textId="77777777" w:rsidTr="00EC59FB">
        <w:trPr>
          <w:trHeight w:val="286"/>
        </w:trPr>
        <w:tc>
          <w:tcPr>
            <w:tcW w:w="2193" w:type="dxa"/>
            <w:tcBorders>
              <w:top w:val="nil"/>
              <w:left w:val="nil"/>
              <w:bottom w:val="nil"/>
              <w:right w:val="nil"/>
            </w:tcBorders>
            <w:shd w:val="clear" w:color="000000" w:fill="FFFFFF"/>
            <w:noWrap/>
            <w:vAlign w:val="bottom"/>
            <w:hideMark/>
          </w:tcPr>
          <w:p w14:paraId="29BC2A27"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Government Spending</w:t>
            </w:r>
          </w:p>
        </w:tc>
        <w:tc>
          <w:tcPr>
            <w:tcW w:w="1113" w:type="dxa"/>
            <w:tcBorders>
              <w:top w:val="nil"/>
              <w:left w:val="single" w:sz="4" w:space="0" w:color="auto"/>
              <w:bottom w:val="nil"/>
              <w:right w:val="nil"/>
            </w:tcBorders>
            <w:shd w:val="clear" w:color="000000" w:fill="FFFFFF"/>
            <w:noWrap/>
            <w:vAlign w:val="bottom"/>
            <w:hideMark/>
          </w:tcPr>
          <w:p w14:paraId="32A9DEBA"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6.7</w:t>
            </w:r>
          </w:p>
        </w:tc>
        <w:tc>
          <w:tcPr>
            <w:tcW w:w="1626" w:type="dxa"/>
            <w:tcBorders>
              <w:top w:val="nil"/>
              <w:left w:val="nil"/>
              <w:bottom w:val="nil"/>
              <w:right w:val="single" w:sz="4" w:space="0" w:color="auto"/>
            </w:tcBorders>
            <w:shd w:val="clear" w:color="000000" w:fill="FFFFFF"/>
            <w:noWrap/>
            <w:vAlign w:val="bottom"/>
            <w:hideMark/>
          </w:tcPr>
          <w:p w14:paraId="39D26721"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0.9</w:t>
            </w:r>
          </w:p>
        </w:tc>
        <w:tc>
          <w:tcPr>
            <w:tcW w:w="1113" w:type="dxa"/>
            <w:tcBorders>
              <w:top w:val="nil"/>
              <w:left w:val="nil"/>
              <w:bottom w:val="nil"/>
              <w:right w:val="nil"/>
            </w:tcBorders>
            <w:shd w:val="clear" w:color="000000" w:fill="FFFFFF"/>
            <w:noWrap/>
            <w:vAlign w:val="bottom"/>
            <w:hideMark/>
          </w:tcPr>
          <w:p w14:paraId="57CB237F"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7.4</w:t>
            </w:r>
          </w:p>
        </w:tc>
        <w:tc>
          <w:tcPr>
            <w:tcW w:w="1626" w:type="dxa"/>
            <w:tcBorders>
              <w:top w:val="nil"/>
              <w:left w:val="nil"/>
              <w:bottom w:val="nil"/>
              <w:right w:val="nil"/>
            </w:tcBorders>
            <w:shd w:val="clear" w:color="000000" w:fill="FFFFFF"/>
            <w:noWrap/>
            <w:vAlign w:val="bottom"/>
            <w:hideMark/>
          </w:tcPr>
          <w:p w14:paraId="271D960E"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1.2</w:t>
            </w:r>
          </w:p>
        </w:tc>
      </w:tr>
      <w:tr w:rsidR="00EC59FB" w:rsidRPr="002E5876" w14:paraId="492F9EEA" w14:textId="77777777" w:rsidTr="00EC59FB">
        <w:trPr>
          <w:trHeight w:val="286"/>
        </w:trPr>
        <w:tc>
          <w:tcPr>
            <w:tcW w:w="2193" w:type="dxa"/>
            <w:tcBorders>
              <w:top w:val="nil"/>
              <w:left w:val="nil"/>
              <w:bottom w:val="nil"/>
              <w:right w:val="nil"/>
            </w:tcBorders>
            <w:shd w:val="clear" w:color="000000" w:fill="FFFFFF"/>
            <w:noWrap/>
            <w:vAlign w:val="bottom"/>
            <w:hideMark/>
          </w:tcPr>
          <w:p w14:paraId="1DCE196E"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Investment</w:t>
            </w:r>
          </w:p>
        </w:tc>
        <w:tc>
          <w:tcPr>
            <w:tcW w:w="1113" w:type="dxa"/>
            <w:tcBorders>
              <w:top w:val="nil"/>
              <w:left w:val="single" w:sz="4" w:space="0" w:color="auto"/>
              <w:bottom w:val="nil"/>
              <w:right w:val="nil"/>
            </w:tcBorders>
            <w:shd w:val="clear" w:color="000000" w:fill="FFFFFF"/>
            <w:noWrap/>
            <w:vAlign w:val="bottom"/>
            <w:hideMark/>
          </w:tcPr>
          <w:p w14:paraId="06B25094"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13.2</w:t>
            </w:r>
          </w:p>
        </w:tc>
        <w:tc>
          <w:tcPr>
            <w:tcW w:w="1626" w:type="dxa"/>
            <w:tcBorders>
              <w:top w:val="nil"/>
              <w:left w:val="nil"/>
              <w:bottom w:val="nil"/>
              <w:right w:val="single" w:sz="4" w:space="0" w:color="auto"/>
            </w:tcBorders>
            <w:shd w:val="clear" w:color="000000" w:fill="FFFFFF"/>
            <w:noWrap/>
            <w:vAlign w:val="bottom"/>
            <w:hideMark/>
          </w:tcPr>
          <w:p w14:paraId="01C9F96A"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3.8</w:t>
            </w:r>
          </w:p>
        </w:tc>
        <w:tc>
          <w:tcPr>
            <w:tcW w:w="1113" w:type="dxa"/>
            <w:tcBorders>
              <w:top w:val="nil"/>
              <w:left w:val="nil"/>
              <w:bottom w:val="nil"/>
              <w:right w:val="nil"/>
            </w:tcBorders>
            <w:shd w:val="clear" w:color="000000" w:fill="FFFFFF"/>
            <w:noWrap/>
            <w:vAlign w:val="bottom"/>
            <w:hideMark/>
          </w:tcPr>
          <w:p w14:paraId="3C71FB19"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6.1</w:t>
            </w:r>
          </w:p>
        </w:tc>
        <w:tc>
          <w:tcPr>
            <w:tcW w:w="1626" w:type="dxa"/>
            <w:tcBorders>
              <w:top w:val="nil"/>
              <w:left w:val="nil"/>
              <w:bottom w:val="nil"/>
              <w:right w:val="nil"/>
            </w:tcBorders>
            <w:shd w:val="clear" w:color="000000" w:fill="FFFFFF"/>
            <w:noWrap/>
            <w:vAlign w:val="bottom"/>
            <w:hideMark/>
          </w:tcPr>
          <w:p w14:paraId="7BBAD2A3"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1.8</w:t>
            </w:r>
          </w:p>
        </w:tc>
      </w:tr>
      <w:tr w:rsidR="00EC59FB" w:rsidRPr="002E5876" w14:paraId="6D986F2F" w14:textId="77777777" w:rsidTr="00EC59FB">
        <w:trPr>
          <w:trHeight w:val="286"/>
        </w:trPr>
        <w:tc>
          <w:tcPr>
            <w:tcW w:w="2193" w:type="dxa"/>
            <w:tcBorders>
              <w:top w:val="nil"/>
              <w:left w:val="nil"/>
              <w:bottom w:val="nil"/>
              <w:right w:val="nil"/>
            </w:tcBorders>
            <w:shd w:val="clear" w:color="000000" w:fill="FFFFFF"/>
            <w:noWrap/>
            <w:vAlign w:val="bottom"/>
            <w:hideMark/>
          </w:tcPr>
          <w:p w14:paraId="42F05FD5"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Change in Stock</w:t>
            </w:r>
          </w:p>
        </w:tc>
        <w:tc>
          <w:tcPr>
            <w:tcW w:w="1113" w:type="dxa"/>
            <w:tcBorders>
              <w:top w:val="nil"/>
              <w:left w:val="single" w:sz="4" w:space="0" w:color="auto"/>
              <w:bottom w:val="nil"/>
              <w:right w:val="nil"/>
            </w:tcBorders>
            <w:shd w:val="clear" w:color="000000" w:fill="FFFFFF"/>
            <w:noWrap/>
            <w:vAlign w:val="bottom"/>
            <w:hideMark/>
          </w:tcPr>
          <w:p w14:paraId="1A994CA4"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626" w:type="dxa"/>
            <w:tcBorders>
              <w:top w:val="nil"/>
              <w:left w:val="nil"/>
              <w:bottom w:val="nil"/>
              <w:right w:val="single" w:sz="4" w:space="0" w:color="auto"/>
            </w:tcBorders>
            <w:shd w:val="clear" w:color="000000" w:fill="FFFFFF"/>
            <w:noWrap/>
            <w:vAlign w:val="bottom"/>
            <w:hideMark/>
          </w:tcPr>
          <w:p w14:paraId="061DF664"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0.0</w:t>
            </w:r>
          </w:p>
        </w:tc>
        <w:tc>
          <w:tcPr>
            <w:tcW w:w="1113" w:type="dxa"/>
            <w:tcBorders>
              <w:top w:val="nil"/>
              <w:left w:val="nil"/>
              <w:bottom w:val="nil"/>
              <w:right w:val="nil"/>
            </w:tcBorders>
            <w:shd w:val="clear" w:color="000000" w:fill="FFFFFF"/>
            <w:noWrap/>
            <w:vAlign w:val="bottom"/>
            <w:hideMark/>
          </w:tcPr>
          <w:p w14:paraId="46820064"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626" w:type="dxa"/>
            <w:tcBorders>
              <w:top w:val="nil"/>
              <w:left w:val="nil"/>
              <w:bottom w:val="nil"/>
              <w:right w:val="nil"/>
            </w:tcBorders>
            <w:shd w:val="clear" w:color="000000" w:fill="FFFFFF"/>
            <w:noWrap/>
            <w:vAlign w:val="bottom"/>
            <w:hideMark/>
          </w:tcPr>
          <w:p w14:paraId="0455E0A9"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3.7</w:t>
            </w:r>
          </w:p>
        </w:tc>
      </w:tr>
      <w:tr w:rsidR="00EC59FB" w:rsidRPr="002E5876" w14:paraId="3DC56CB0" w14:textId="77777777" w:rsidTr="00EC59FB">
        <w:trPr>
          <w:trHeight w:val="286"/>
        </w:trPr>
        <w:tc>
          <w:tcPr>
            <w:tcW w:w="2193" w:type="dxa"/>
            <w:tcBorders>
              <w:top w:val="nil"/>
              <w:left w:val="nil"/>
              <w:bottom w:val="nil"/>
              <w:right w:val="nil"/>
            </w:tcBorders>
            <w:shd w:val="clear" w:color="000000" w:fill="FFFFFF"/>
            <w:noWrap/>
            <w:vAlign w:val="bottom"/>
            <w:hideMark/>
          </w:tcPr>
          <w:p w14:paraId="0BEE5C55"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Export</w:t>
            </w:r>
          </w:p>
        </w:tc>
        <w:tc>
          <w:tcPr>
            <w:tcW w:w="1113" w:type="dxa"/>
            <w:tcBorders>
              <w:top w:val="nil"/>
              <w:left w:val="single" w:sz="4" w:space="0" w:color="auto"/>
              <w:bottom w:val="nil"/>
              <w:right w:val="nil"/>
            </w:tcBorders>
            <w:shd w:val="clear" w:color="000000" w:fill="FFFFFF"/>
            <w:noWrap/>
            <w:vAlign w:val="bottom"/>
            <w:hideMark/>
          </w:tcPr>
          <w:p w14:paraId="5258DEE7"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17.9</w:t>
            </w:r>
          </w:p>
        </w:tc>
        <w:tc>
          <w:tcPr>
            <w:tcW w:w="1626" w:type="dxa"/>
            <w:tcBorders>
              <w:top w:val="nil"/>
              <w:left w:val="nil"/>
              <w:bottom w:val="nil"/>
              <w:right w:val="single" w:sz="4" w:space="0" w:color="auto"/>
            </w:tcBorders>
            <w:shd w:val="clear" w:color="000000" w:fill="FFFFFF"/>
            <w:noWrap/>
            <w:vAlign w:val="bottom"/>
            <w:hideMark/>
          </w:tcPr>
          <w:p w14:paraId="366C1C5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3.8</w:t>
            </w:r>
          </w:p>
        </w:tc>
        <w:tc>
          <w:tcPr>
            <w:tcW w:w="1113" w:type="dxa"/>
            <w:tcBorders>
              <w:top w:val="nil"/>
              <w:left w:val="nil"/>
              <w:bottom w:val="nil"/>
              <w:right w:val="nil"/>
            </w:tcBorders>
            <w:shd w:val="clear" w:color="000000" w:fill="FFFFFF"/>
            <w:noWrap/>
            <w:vAlign w:val="bottom"/>
            <w:hideMark/>
          </w:tcPr>
          <w:p w14:paraId="6C87CF9A"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9.3</w:t>
            </w:r>
          </w:p>
        </w:tc>
        <w:tc>
          <w:tcPr>
            <w:tcW w:w="1626" w:type="dxa"/>
            <w:tcBorders>
              <w:top w:val="nil"/>
              <w:left w:val="nil"/>
              <w:bottom w:val="nil"/>
              <w:right w:val="nil"/>
            </w:tcBorders>
            <w:shd w:val="clear" w:color="000000" w:fill="FFFFFF"/>
            <w:noWrap/>
            <w:vAlign w:val="bottom"/>
            <w:hideMark/>
          </w:tcPr>
          <w:p w14:paraId="3134484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2.0</w:t>
            </w:r>
          </w:p>
        </w:tc>
      </w:tr>
      <w:tr w:rsidR="00EC59FB" w:rsidRPr="002E5876" w14:paraId="0A435FAF" w14:textId="77777777" w:rsidTr="00EC59FB">
        <w:trPr>
          <w:trHeight w:val="286"/>
        </w:trPr>
        <w:tc>
          <w:tcPr>
            <w:tcW w:w="2193" w:type="dxa"/>
            <w:tcBorders>
              <w:top w:val="nil"/>
              <w:left w:val="nil"/>
              <w:bottom w:val="nil"/>
              <w:right w:val="nil"/>
            </w:tcBorders>
            <w:shd w:val="clear" w:color="000000" w:fill="FFFFFF"/>
            <w:noWrap/>
            <w:vAlign w:val="bottom"/>
            <w:hideMark/>
          </w:tcPr>
          <w:p w14:paraId="59E76BCF"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Import</w:t>
            </w:r>
          </w:p>
        </w:tc>
        <w:tc>
          <w:tcPr>
            <w:tcW w:w="1113" w:type="dxa"/>
            <w:tcBorders>
              <w:top w:val="nil"/>
              <w:left w:val="single" w:sz="4" w:space="0" w:color="auto"/>
              <w:bottom w:val="nil"/>
              <w:right w:val="nil"/>
            </w:tcBorders>
            <w:shd w:val="clear" w:color="000000" w:fill="FFFFFF"/>
            <w:noWrap/>
            <w:vAlign w:val="bottom"/>
            <w:hideMark/>
          </w:tcPr>
          <w:p w14:paraId="1E1FD62B"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15.0</w:t>
            </w:r>
          </w:p>
        </w:tc>
        <w:tc>
          <w:tcPr>
            <w:tcW w:w="1626" w:type="dxa"/>
            <w:tcBorders>
              <w:top w:val="nil"/>
              <w:left w:val="nil"/>
              <w:bottom w:val="nil"/>
              <w:right w:val="single" w:sz="4" w:space="0" w:color="auto"/>
            </w:tcBorders>
            <w:shd w:val="clear" w:color="000000" w:fill="FFFFFF"/>
            <w:noWrap/>
            <w:vAlign w:val="bottom"/>
            <w:hideMark/>
          </w:tcPr>
          <w:p w14:paraId="4667EDA9"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-3.6</w:t>
            </w:r>
          </w:p>
        </w:tc>
        <w:tc>
          <w:tcPr>
            <w:tcW w:w="1113" w:type="dxa"/>
            <w:tcBorders>
              <w:top w:val="nil"/>
              <w:left w:val="nil"/>
              <w:bottom w:val="nil"/>
              <w:right w:val="nil"/>
            </w:tcBorders>
            <w:shd w:val="clear" w:color="000000" w:fill="FFFFFF"/>
            <w:noWrap/>
            <w:vAlign w:val="bottom"/>
            <w:hideMark/>
          </w:tcPr>
          <w:p w14:paraId="1C155585"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22.7</w:t>
            </w:r>
          </w:p>
        </w:tc>
        <w:tc>
          <w:tcPr>
            <w:tcW w:w="1626" w:type="dxa"/>
            <w:tcBorders>
              <w:top w:val="nil"/>
              <w:left w:val="nil"/>
              <w:bottom w:val="nil"/>
              <w:right w:val="nil"/>
            </w:tcBorders>
            <w:shd w:val="clear" w:color="000000" w:fill="FFFFFF"/>
            <w:noWrap/>
            <w:vAlign w:val="bottom"/>
            <w:hideMark/>
          </w:tcPr>
          <w:p w14:paraId="797EA315"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-5.4</w:t>
            </w:r>
          </w:p>
        </w:tc>
      </w:tr>
      <w:tr w:rsidR="00EC59FB" w:rsidRPr="002E5876" w14:paraId="6BF7F1D2" w14:textId="77777777" w:rsidTr="00EC59FB">
        <w:trPr>
          <w:trHeight w:val="286"/>
        </w:trPr>
        <w:tc>
          <w:tcPr>
            <w:tcW w:w="2193" w:type="dxa"/>
            <w:tcBorders>
              <w:top w:val="nil"/>
              <w:left w:val="nil"/>
              <w:bottom w:val="double" w:sz="6" w:space="0" w:color="auto"/>
              <w:right w:val="nil"/>
            </w:tcBorders>
            <w:shd w:val="clear" w:color="000000" w:fill="FFFFFF"/>
            <w:noWrap/>
            <w:vAlign w:val="bottom"/>
            <w:hideMark/>
          </w:tcPr>
          <w:p w14:paraId="55BA6436"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GDP</w:t>
            </w:r>
          </w:p>
        </w:tc>
        <w:tc>
          <w:tcPr>
            <w:tcW w:w="1113" w:type="dxa"/>
            <w:tcBorders>
              <w:top w:val="nil"/>
              <w:left w:val="single" w:sz="4" w:space="0" w:color="auto"/>
              <w:bottom w:val="double" w:sz="6" w:space="0" w:color="auto"/>
              <w:right w:val="nil"/>
            </w:tcBorders>
            <w:shd w:val="clear" w:color="000000" w:fill="FFFFFF"/>
            <w:noWrap/>
            <w:vAlign w:val="bottom"/>
            <w:hideMark/>
          </w:tcPr>
          <w:p w14:paraId="6AA348D3"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11.3</w:t>
            </w:r>
          </w:p>
        </w:tc>
        <w:tc>
          <w:tcPr>
            <w:tcW w:w="1626" w:type="dxa"/>
            <w:tcBorders>
              <w:top w:val="nil"/>
              <w:left w:val="nil"/>
              <w:bottom w:val="double" w:sz="6" w:space="0" w:color="auto"/>
              <w:right w:val="single" w:sz="4" w:space="0" w:color="auto"/>
            </w:tcBorders>
            <w:shd w:val="clear" w:color="000000" w:fill="FFFFFF"/>
            <w:noWrap/>
            <w:vAlign w:val="bottom"/>
            <w:hideMark/>
          </w:tcPr>
          <w:p w14:paraId="152DC55C"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113" w:type="dxa"/>
            <w:tcBorders>
              <w:top w:val="nil"/>
              <w:left w:val="nil"/>
              <w:bottom w:val="double" w:sz="6" w:space="0" w:color="auto"/>
              <w:right w:val="nil"/>
            </w:tcBorders>
            <w:shd w:val="clear" w:color="000000" w:fill="FFFFFF"/>
            <w:noWrap/>
            <w:vAlign w:val="bottom"/>
            <w:hideMark/>
          </w:tcPr>
          <w:p w14:paraId="17F913D2"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7.2</w:t>
            </w:r>
          </w:p>
        </w:tc>
        <w:tc>
          <w:tcPr>
            <w:tcW w:w="1626" w:type="dxa"/>
            <w:tcBorders>
              <w:top w:val="nil"/>
              <w:left w:val="nil"/>
              <w:bottom w:val="double" w:sz="6" w:space="0" w:color="auto"/>
              <w:right w:val="nil"/>
            </w:tcBorders>
            <w:shd w:val="clear" w:color="000000" w:fill="FFFFFF"/>
            <w:noWrap/>
            <w:vAlign w:val="bottom"/>
            <w:hideMark/>
          </w:tcPr>
          <w:p w14:paraId="497A1802"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r>
    </w:tbl>
    <w:p w14:paraId="1D61EF22" w14:textId="47804762" w:rsidR="00236056" w:rsidRPr="002E5876" w:rsidRDefault="009D3CEB" w:rsidP="002F6884">
      <w:pPr>
        <w:keepNext/>
        <w:rPr>
          <w:rFonts w:ascii="Palatino Linotype" w:hAnsi="Palatino Linotype" w:cstheme="minorHAnsi"/>
          <w:sz w:val="18"/>
          <w:szCs w:val="18"/>
        </w:rPr>
      </w:pPr>
      <w:r w:rsidRPr="002E5876">
        <w:rPr>
          <w:rFonts w:ascii="Palatino Linotype" w:hAnsi="Palatino Linotype" w:cstheme="minorHAnsi"/>
          <w:b/>
          <w:sz w:val="18"/>
          <w:szCs w:val="18"/>
        </w:rPr>
        <w:t xml:space="preserve">   </w:t>
      </w:r>
      <w:r w:rsidR="00236056" w:rsidRPr="002E5876">
        <w:rPr>
          <w:rFonts w:ascii="Palatino Linotype" w:hAnsi="Palatino Linotype" w:cstheme="minorHAnsi"/>
          <w:b/>
          <w:sz w:val="18"/>
          <w:szCs w:val="18"/>
        </w:rPr>
        <w:t>Source:</w:t>
      </w:r>
      <w:r w:rsidR="00236056" w:rsidRPr="002E5876">
        <w:rPr>
          <w:rFonts w:ascii="Palatino Linotype" w:hAnsi="Palatino Linotype" w:cstheme="minorHAnsi"/>
          <w:sz w:val="18"/>
          <w:szCs w:val="18"/>
        </w:rPr>
        <w:t xml:space="preserve"> </w:t>
      </w:r>
      <w:proofErr w:type="spellStart"/>
      <w:r w:rsidR="00236056" w:rsidRPr="002E5876">
        <w:rPr>
          <w:rFonts w:ascii="Palatino Linotype" w:hAnsi="Palatino Linotype" w:cstheme="minorHAnsi"/>
          <w:sz w:val="18"/>
          <w:szCs w:val="18"/>
        </w:rPr>
        <w:t>TurkStat</w:t>
      </w:r>
      <w:proofErr w:type="spellEnd"/>
      <w:r w:rsidR="00236056" w:rsidRPr="002E5876">
        <w:rPr>
          <w:rFonts w:ascii="Palatino Linotype" w:hAnsi="Palatino Linotype" w:cstheme="minorHAnsi"/>
          <w:sz w:val="18"/>
          <w:szCs w:val="18"/>
        </w:rPr>
        <w:t>, Betam</w:t>
      </w:r>
      <w:r w:rsidR="00236056" w:rsidRPr="002E5876">
        <w:rPr>
          <w:rFonts w:ascii="Palatino Linotype" w:hAnsi="Palatino Linotype" w:cstheme="minorHAnsi"/>
          <w:sz w:val="18"/>
          <w:szCs w:val="18"/>
        </w:rPr>
        <w:br/>
      </w:r>
      <w:r w:rsidR="00236056" w:rsidRPr="002E5876">
        <w:rPr>
          <w:rFonts w:ascii="Palatino Linotype" w:hAnsi="Palatino Linotype" w:cstheme="minorHAnsi"/>
          <w:sz w:val="18"/>
          <w:szCs w:val="18"/>
        </w:rPr>
        <w:br/>
      </w:r>
    </w:p>
    <w:p w14:paraId="511FB1EF" w14:textId="6DF3B8EA" w:rsidR="00A550B2" w:rsidRPr="002E5876" w:rsidRDefault="00A550B2" w:rsidP="00A550B2">
      <w:pPr>
        <w:keepNext/>
        <w:ind w:right="77"/>
        <w:jc w:val="both"/>
        <w:rPr>
          <w:rFonts w:ascii="Palatino Linotype" w:hAnsi="Palatino Linotype" w:cstheme="minorHAnsi"/>
          <w:b/>
          <w:bCs/>
          <w:sz w:val="22"/>
          <w:szCs w:val="22"/>
        </w:rPr>
      </w:pPr>
      <w:r w:rsidRPr="002E5876">
        <w:rPr>
          <w:rFonts w:ascii="Palatino Linotype" w:hAnsi="Palatino Linotype" w:cstheme="minorHAnsi"/>
          <w:b/>
          <w:bCs/>
          <w:sz w:val="22"/>
          <w:szCs w:val="22"/>
        </w:rPr>
        <w:t>Table 2: Growth rates and contributions to growth of GDP components in 2017 Q2-</w:t>
      </w:r>
      <w:r w:rsidR="00EF18A3">
        <w:rPr>
          <w:rFonts w:ascii="Palatino Linotype" w:hAnsi="Palatino Linotype" w:cstheme="minorHAnsi"/>
          <w:b/>
          <w:bCs/>
          <w:sz w:val="22"/>
          <w:szCs w:val="22"/>
        </w:rPr>
        <w:t>Q3 compared to the previous quarter</w:t>
      </w:r>
    </w:p>
    <w:tbl>
      <w:tblPr>
        <w:tblW w:w="7673" w:type="dxa"/>
        <w:tblInd w:w="70" w:type="dxa"/>
        <w:tblCellMar>
          <w:left w:w="70" w:type="dxa"/>
          <w:right w:w="70" w:type="dxa"/>
        </w:tblCellMar>
        <w:tblLook w:val="04A0" w:firstRow="1" w:lastRow="0" w:firstColumn="1" w:lastColumn="0" w:noHBand="0" w:noVBand="1"/>
      </w:tblPr>
      <w:tblGrid>
        <w:gridCol w:w="2193"/>
        <w:gridCol w:w="1113"/>
        <w:gridCol w:w="1627"/>
        <w:gridCol w:w="1113"/>
        <w:gridCol w:w="1627"/>
      </w:tblGrid>
      <w:tr w:rsidR="00EC59FB" w:rsidRPr="002E5876" w14:paraId="6C19DC0F" w14:textId="77777777" w:rsidTr="00EC59FB">
        <w:trPr>
          <w:trHeight w:val="289"/>
        </w:trPr>
        <w:tc>
          <w:tcPr>
            <w:tcW w:w="2193" w:type="dxa"/>
            <w:tcBorders>
              <w:top w:val="nil"/>
              <w:left w:val="nil"/>
              <w:bottom w:val="nil"/>
              <w:right w:val="nil"/>
            </w:tcBorders>
            <w:shd w:val="clear" w:color="000000" w:fill="FFFFFF"/>
            <w:noWrap/>
            <w:vAlign w:val="bottom"/>
            <w:hideMark/>
          </w:tcPr>
          <w:p w14:paraId="2CA906DD"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 </w:t>
            </w:r>
          </w:p>
        </w:tc>
        <w:tc>
          <w:tcPr>
            <w:tcW w:w="27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792A3E"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2017Q3</w:t>
            </w:r>
          </w:p>
        </w:tc>
        <w:tc>
          <w:tcPr>
            <w:tcW w:w="2740" w:type="dxa"/>
            <w:gridSpan w:val="2"/>
            <w:tcBorders>
              <w:top w:val="single" w:sz="4" w:space="0" w:color="auto"/>
              <w:left w:val="nil"/>
              <w:bottom w:val="single" w:sz="4" w:space="0" w:color="auto"/>
              <w:right w:val="nil"/>
            </w:tcBorders>
            <w:shd w:val="clear" w:color="000000" w:fill="FFFFFF"/>
            <w:noWrap/>
            <w:vAlign w:val="bottom"/>
            <w:hideMark/>
          </w:tcPr>
          <w:p w14:paraId="22568430"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2017Q4</w:t>
            </w:r>
          </w:p>
        </w:tc>
      </w:tr>
      <w:tr w:rsidR="00EC59FB" w:rsidRPr="002E5876" w14:paraId="1593BD75" w14:textId="77777777" w:rsidTr="00EC59FB">
        <w:trPr>
          <w:trHeight w:val="289"/>
        </w:trPr>
        <w:tc>
          <w:tcPr>
            <w:tcW w:w="2193" w:type="dxa"/>
            <w:tcBorders>
              <w:top w:val="nil"/>
              <w:left w:val="nil"/>
              <w:bottom w:val="nil"/>
              <w:right w:val="nil"/>
            </w:tcBorders>
            <w:shd w:val="clear" w:color="000000" w:fill="FFFFFF"/>
            <w:noWrap/>
            <w:vAlign w:val="bottom"/>
            <w:hideMark/>
          </w:tcPr>
          <w:p w14:paraId="371C1540"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 </w:t>
            </w:r>
          </w:p>
        </w:tc>
        <w:tc>
          <w:tcPr>
            <w:tcW w:w="1113" w:type="dxa"/>
            <w:tcBorders>
              <w:top w:val="nil"/>
              <w:left w:val="single" w:sz="4" w:space="0" w:color="auto"/>
              <w:bottom w:val="nil"/>
              <w:right w:val="nil"/>
            </w:tcBorders>
            <w:shd w:val="clear" w:color="000000" w:fill="FFFFFF"/>
            <w:noWrap/>
            <w:vAlign w:val="bottom"/>
            <w:hideMark/>
          </w:tcPr>
          <w:p w14:paraId="4B67FE02"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Change (%)</w:t>
            </w:r>
          </w:p>
        </w:tc>
        <w:tc>
          <w:tcPr>
            <w:tcW w:w="1626" w:type="dxa"/>
            <w:tcBorders>
              <w:top w:val="nil"/>
              <w:left w:val="nil"/>
              <w:bottom w:val="nil"/>
              <w:right w:val="single" w:sz="4" w:space="0" w:color="auto"/>
            </w:tcBorders>
            <w:shd w:val="clear" w:color="000000" w:fill="FFFFFF"/>
            <w:noWrap/>
            <w:vAlign w:val="bottom"/>
            <w:hideMark/>
          </w:tcPr>
          <w:p w14:paraId="6F8870AF"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Contribution (%)</w:t>
            </w:r>
          </w:p>
        </w:tc>
        <w:tc>
          <w:tcPr>
            <w:tcW w:w="1113" w:type="dxa"/>
            <w:tcBorders>
              <w:top w:val="nil"/>
              <w:left w:val="nil"/>
              <w:bottom w:val="nil"/>
              <w:right w:val="nil"/>
            </w:tcBorders>
            <w:shd w:val="clear" w:color="000000" w:fill="FFFFFF"/>
            <w:noWrap/>
            <w:vAlign w:val="bottom"/>
            <w:hideMark/>
          </w:tcPr>
          <w:p w14:paraId="6057E13C"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Change (%)</w:t>
            </w:r>
          </w:p>
        </w:tc>
        <w:tc>
          <w:tcPr>
            <w:tcW w:w="1626" w:type="dxa"/>
            <w:tcBorders>
              <w:top w:val="nil"/>
              <w:left w:val="nil"/>
              <w:bottom w:val="nil"/>
              <w:right w:val="nil"/>
            </w:tcBorders>
            <w:shd w:val="clear" w:color="000000" w:fill="FFFFFF"/>
            <w:noWrap/>
            <w:vAlign w:val="bottom"/>
            <w:hideMark/>
          </w:tcPr>
          <w:p w14:paraId="266897C9" w14:textId="77777777" w:rsidR="00EC59FB" w:rsidRPr="002E5876" w:rsidRDefault="00EC59FB" w:rsidP="00EC59FB">
            <w:pPr>
              <w:jc w:val="center"/>
              <w:rPr>
                <w:rFonts w:ascii="Calibri" w:hAnsi="Calibri"/>
                <w:b/>
                <w:bCs/>
                <w:color w:val="000000"/>
                <w:sz w:val="20"/>
                <w:szCs w:val="20"/>
              </w:rPr>
            </w:pPr>
            <w:r w:rsidRPr="002E5876">
              <w:rPr>
                <w:rFonts w:ascii="Calibri" w:hAnsi="Calibri"/>
                <w:b/>
                <w:bCs/>
                <w:color w:val="000000"/>
                <w:sz w:val="20"/>
                <w:szCs w:val="20"/>
              </w:rPr>
              <w:t>Contribution (%)</w:t>
            </w:r>
          </w:p>
        </w:tc>
      </w:tr>
      <w:tr w:rsidR="00EC59FB" w:rsidRPr="002E5876" w14:paraId="71BB746F" w14:textId="77777777" w:rsidTr="00EC59FB">
        <w:trPr>
          <w:trHeight w:val="289"/>
        </w:trPr>
        <w:tc>
          <w:tcPr>
            <w:tcW w:w="2193" w:type="dxa"/>
            <w:tcBorders>
              <w:top w:val="single" w:sz="4" w:space="0" w:color="auto"/>
              <w:left w:val="nil"/>
              <w:bottom w:val="nil"/>
              <w:right w:val="nil"/>
            </w:tcBorders>
            <w:shd w:val="clear" w:color="000000" w:fill="FFFFFF"/>
            <w:noWrap/>
            <w:vAlign w:val="bottom"/>
            <w:hideMark/>
          </w:tcPr>
          <w:p w14:paraId="5FD7F743"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Consumption</w:t>
            </w:r>
          </w:p>
        </w:tc>
        <w:tc>
          <w:tcPr>
            <w:tcW w:w="1113" w:type="dxa"/>
            <w:tcBorders>
              <w:top w:val="single" w:sz="4" w:space="0" w:color="auto"/>
              <w:left w:val="single" w:sz="4" w:space="0" w:color="auto"/>
              <w:bottom w:val="nil"/>
              <w:right w:val="nil"/>
            </w:tcBorders>
            <w:shd w:val="clear" w:color="000000" w:fill="FFFFFF"/>
            <w:noWrap/>
            <w:vAlign w:val="bottom"/>
            <w:hideMark/>
          </w:tcPr>
          <w:p w14:paraId="7B35A34C"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1.8</w:t>
            </w:r>
          </w:p>
        </w:tc>
        <w:tc>
          <w:tcPr>
            <w:tcW w:w="1626" w:type="dxa"/>
            <w:tcBorders>
              <w:top w:val="single" w:sz="4" w:space="0" w:color="auto"/>
              <w:left w:val="nil"/>
              <w:bottom w:val="nil"/>
              <w:right w:val="single" w:sz="4" w:space="0" w:color="auto"/>
            </w:tcBorders>
            <w:shd w:val="clear" w:color="000000" w:fill="FFFFFF"/>
            <w:noWrap/>
            <w:vAlign w:val="bottom"/>
            <w:hideMark/>
          </w:tcPr>
          <w:p w14:paraId="53C69245"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1.0</w:t>
            </w:r>
          </w:p>
        </w:tc>
        <w:tc>
          <w:tcPr>
            <w:tcW w:w="1113" w:type="dxa"/>
            <w:tcBorders>
              <w:top w:val="single" w:sz="4" w:space="0" w:color="auto"/>
              <w:left w:val="nil"/>
              <w:bottom w:val="nil"/>
              <w:right w:val="nil"/>
            </w:tcBorders>
            <w:shd w:val="clear" w:color="000000" w:fill="FFFFFF"/>
            <w:noWrap/>
            <w:vAlign w:val="bottom"/>
            <w:hideMark/>
          </w:tcPr>
          <w:p w14:paraId="03E63E0E"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2.7</w:t>
            </w:r>
          </w:p>
        </w:tc>
        <w:tc>
          <w:tcPr>
            <w:tcW w:w="1626" w:type="dxa"/>
            <w:tcBorders>
              <w:top w:val="single" w:sz="4" w:space="0" w:color="auto"/>
              <w:left w:val="nil"/>
              <w:bottom w:val="nil"/>
              <w:right w:val="nil"/>
            </w:tcBorders>
            <w:shd w:val="clear" w:color="000000" w:fill="FFFFFF"/>
            <w:noWrap/>
            <w:vAlign w:val="bottom"/>
            <w:hideMark/>
          </w:tcPr>
          <w:p w14:paraId="32E7628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1.6</w:t>
            </w:r>
          </w:p>
        </w:tc>
      </w:tr>
      <w:tr w:rsidR="00EC59FB" w:rsidRPr="002E5876" w14:paraId="42B0F294" w14:textId="77777777" w:rsidTr="00EC59FB">
        <w:trPr>
          <w:trHeight w:val="289"/>
        </w:trPr>
        <w:tc>
          <w:tcPr>
            <w:tcW w:w="2193" w:type="dxa"/>
            <w:tcBorders>
              <w:top w:val="nil"/>
              <w:left w:val="nil"/>
              <w:bottom w:val="nil"/>
              <w:right w:val="nil"/>
            </w:tcBorders>
            <w:shd w:val="clear" w:color="000000" w:fill="FFFFFF"/>
            <w:noWrap/>
            <w:vAlign w:val="bottom"/>
            <w:hideMark/>
          </w:tcPr>
          <w:p w14:paraId="3F6ECAA6"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Government Spending</w:t>
            </w:r>
          </w:p>
        </w:tc>
        <w:tc>
          <w:tcPr>
            <w:tcW w:w="1113" w:type="dxa"/>
            <w:tcBorders>
              <w:top w:val="nil"/>
              <w:left w:val="single" w:sz="4" w:space="0" w:color="auto"/>
              <w:bottom w:val="nil"/>
              <w:right w:val="nil"/>
            </w:tcBorders>
            <w:shd w:val="clear" w:color="000000" w:fill="FFFFFF"/>
            <w:noWrap/>
            <w:vAlign w:val="bottom"/>
            <w:hideMark/>
          </w:tcPr>
          <w:p w14:paraId="186113C1"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-0.1</w:t>
            </w:r>
          </w:p>
        </w:tc>
        <w:tc>
          <w:tcPr>
            <w:tcW w:w="1626" w:type="dxa"/>
            <w:tcBorders>
              <w:top w:val="nil"/>
              <w:left w:val="nil"/>
              <w:bottom w:val="nil"/>
              <w:right w:val="single" w:sz="4" w:space="0" w:color="auto"/>
            </w:tcBorders>
            <w:shd w:val="clear" w:color="000000" w:fill="FFFFFF"/>
            <w:noWrap/>
            <w:vAlign w:val="bottom"/>
            <w:hideMark/>
          </w:tcPr>
          <w:p w14:paraId="5F3F9799"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0.0</w:t>
            </w:r>
          </w:p>
        </w:tc>
        <w:tc>
          <w:tcPr>
            <w:tcW w:w="1113" w:type="dxa"/>
            <w:tcBorders>
              <w:top w:val="nil"/>
              <w:left w:val="nil"/>
              <w:bottom w:val="nil"/>
              <w:right w:val="nil"/>
            </w:tcBorders>
            <w:shd w:val="clear" w:color="000000" w:fill="FFFFFF"/>
            <w:noWrap/>
            <w:vAlign w:val="bottom"/>
            <w:hideMark/>
          </w:tcPr>
          <w:p w14:paraId="25A7A32C"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6.5</w:t>
            </w:r>
          </w:p>
        </w:tc>
        <w:tc>
          <w:tcPr>
            <w:tcW w:w="1626" w:type="dxa"/>
            <w:tcBorders>
              <w:top w:val="nil"/>
              <w:left w:val="nil"/>
              <w:bottom w:val="nil"/>
              <w:right w:val="nil"/>
            </w:tcBorders>
            <w:shd w:val="clear" w:color="000000" w:fill="FFFFFF"/>
            <w:noWrap/>
            <w:vAlign w:val="bottom"/>
            <w:hideMark/>
          </w:tcPr>
          <w:p w14:paraId="2B2B999D"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0.9</w:t>
            </w:r>
          </w:p>
        </w:tc>
      </w:tr>
      <w:tr w:rsidR="00EC59FB" w:rsidRPr="002E5876" w14:paraId="0CB2E433" w14:textId="77777777" w:rsidTr="00EC59FB">
        <w:trPr>
          <w:trHeight w:val="289"/>
        </w:trPr>
        <w:tc>
          <w:tcPr>
            <w:tcW w:w="2193" w:type="dxa"/>
            <w:tcBorders>
              <w:top w:val="nil"/>
              <w:left w:val="nil"/>
              <w:bottom w:val="nil"/>
              <w:right w:val="nil"/>
            </w:tcBorders>
            <w:shd w:val="clear" w:color="000000" w:fill="FFFFFF"/>
            <w:noWrap/>
            <w:vAlign w:val="bottom"/>
            <w:hideMark/>
          </w:tcPr>
          <w:p w14:paraId="1956E9BD"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Investment</w:t>
            </w:r>
          </w:p>
        </w:tc>
        <w:tc>
          <w:tcPr>
            <w:tcW w:w="1113" w:type="dxa"/>
            <w:tcBorders>
              <w:top w:val="nil"/>
              <w:left w:val="single" w:sz="4" w:space="0" w:color="auto"/>
              <w:bottom w:val="nil"/>
              <w:right w:val="nil"/>
            </w:tcBorders>
            <w:shd w:val="clear" w:color="000000" w:fill="FFFFFF"/>
            <w:noWrap/>
            <w:vAlign w:val="bottom"/>
            <w:hideMark/>
          </w:tcPr>
          <w:p w14:paraId="3651C690"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4.5</w:t>
            </w:r>
          </w:p>
        </w:tc>
        <w:tc>
          <w:tcPr>
            <w:tcW w:w="1626" w:type="dxa"/>
            <w:tcBorders>
              <w:top w:val="nil"/>
              <w:left w:val="nil"/>
              <w:bottom w:val="nil"/>
              <w:right w:val="single" w:sz="4" w:space="0" w:color="auto"/>
            </w:tcBorders>
            <w:shd w:val="clear" w:color="000000" w:fill="FFFFFF"/>
            <w:noWrap/>
            <w:vAlign w:val="bottom"/>
            <w:hideMark/>
          </w:tcPr>
          <w:p w14:paraId="7A3B400D"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1.3</w:t>
            </w:r>
          </w:p>
        </w:tc>
        <w:tc>
          <w:tcPr>
            <w:tcW w:w="1113" w:type="dxa"/>
            <w:tcBorders>
              <w:top w:val="nil"/>
              <w:left w:val="nil"/>
              <w:bottom w:val="nil"/>
              <w:right w:val="nil"/>
            </w:tcBorders>
            <w:shd w:val="clear" w:color="000000" w:fill="FFFFFF"/>
            <w:noWrap/>
            <w:vAlign w:val="bottom"/>
            <w:hideMark/>
          </w:tcPr>
          <w:p w14:paraId="4E15265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-1.2</w:t>
            </w:r>
          </w:p>
        </w:tc>
        <w:tc>
          <w:tcPr>
            <w:tcW w:w="1626" w:type="dxa"/>
            <w:tcBorders>
              <w:top w:val="nil"/>
              <w:left w:val="nil"/>
              <w:bottom w:val="nil"/>
              <w:right w:val="nil"/>
            </w:tcBorders>
            <w:shd w:val="clear" w:color="000000" w:fill="FFFFFF"/>
            <w:noWrap/>
            <w:vAlign w:val="bottom"/>
            <w:hideMark/>
          </w:tcPr>
          <w:p w14:paraId="1C6C9593"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-0.4</w:t>
            </w:r>
          </w:p>
        </w:tc>
      </w:tr>
      <w:tr w:rsidR="00EC59FB" w:rsidRPr="002E5876" w14:paraId="21D5A25D" w14:textId="77777777" w:rsidTr="00EC59FB">
        <w:trPr>
          <w:trHeight w:val="289"/>
        </w:trPr>
        <w:tc>
          <w:tcPr>
            <w:tcW w:w="2193" w:type="dxa"/>
            <w:tcBorders>
              <w:top w:val="nil"/>
              <w:left w:val="nil"/>
              <w:bottom w:val="nil"/>
              <w:right w:val="nil"/>
            </w:tcBorders>
            <w:shd w:val="clear" w:color="000000" w:fill="FFFFFF"/>
            <w:noWrap/>
            <w:vAlign w:val="bottom"/>
            <w:hideMark/>
          </w:tcPr>
          <w:p w14:paraId="45E92A0E"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Change in Stock</w:t>
            </w:r>
          </w:p>
        </w:tc>
        <w:tc>
          <w:tcPr>
            <w:tcW w:w="1113" w:type="dxa"/>
            <w:tcBorders>
              <w:top w:val="nil"/>
              <w:left w:val="single" w:sz="4" w:space="0" w:color="auto"/>
              <w:bottom w:val="nil"/>
              <w:right w:val="nil"/>
            </w:tcBorders>
            <w:shd w:val="clear" w:color="000000" w:fill="FFFFFF"/>
            <w:noWrap/>
            <w:vAlign w:val="bottom"/>
            <w:hideMark/>
          </w:tcPr>
          <w:p w14:paraId="1CFF376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626" w:type="dxa"/>
            <w:tcBorders>
              <w:top w:val="nil"/>
              <w:left w:val="nil"/>
              <w:bottom w:val="nil"/>
              <w:right w:val="single" w:sz="4" w:space="0" w:color="auto"/>
            </w:tcBorders>
            <w:shd w:val="clear" w:color="000000" w:fill="FFFFFF"/>
            <w:noWrap/>
            <w:vAlign w:val="bottom"/>
            <w:hideMark/>
          </w:tcPr>
          <w:p w14:paraId="05FD1581"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0.3</w:t>
            </w:r>
          </w:p>
        </w:tc>
        <w:tc>
          <w:tcPr>
            <w:tcW w:w="1113" w:type="dxa"/>
            <w:tcBorders>
              <w:top w:val="nil"/>
              <w:left w:val="nil"/>
              <w:bottom w:val="nil"/>
              <w:right w:val="nil"/>
            </w:tcBorders>
            <w:shd w:val="clear" w:color="000000" w:fill="FFFFFF"/>
            <w:noWrap/>
            <w:vAlign w:val="bottom"/>
            <w:hideMark/>
          </w:tcPr>
          <w:p w14:paraId="592EBA59"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626" w:type="dxa"/>
            <w:tcBorders>
              <w:top w:val="nil"/>
              <w:left w:val="nil"/>
              <w:bottom w:val="nil"/>
              <w:right w:val="nil"/>
            </w:tcBorders>
            <w:shd w:val="clear" w:color="000000" w:fill="FFFFFF"/>
            <w:noWrap/>
            <w:vAlign w:val="bottom"/>
            <w:hideMark/>
          </w:tcPr>
          <w:p w14:paraId="70AFC2EB"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0.7</w:t>
            </w:r>
          </w:p>
        </w:tc>
      </w:tr>
      <w:tr w:rsidR="00EC59FB" w:rsidRPr="002E5876" w14:paraId="65E3703F" w14:textId="77777777" w:rsidTr="00EC59FB">
        <w:trPr>
          <w:trHeight w:val="289"/>
        </w:trPr>
        <w:tc>
          <w:tcPr>
            <w:tcW w:w="2193" w:type="dxa"/>
            <w:tcBorders>
              <w:top w:val="nil"/>
              <w:left w:val="nil"/>
              <w:bottom w:val="nil"/>
              <w:right w:val="nil"/>
            </w:tcBorders>
            <w:shd w:val="clear" w:color="000000" w:fill="FFFFFF"/>
            <w:noWrap/>
            <w:vAlign w:val="bottom"/>
            <w:hideMark/>
          </w:tcPr>
          <w:p w14:paraId="1BC2A054"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Export</w:t>
            </w:r>
          </w:p>
        </w:tc>
        <w:tc>
          <w:tcPr>
            <w:tcW w:w="1113" w:type="dxa"/>
            <w:tcBorders>
              <w:top w:val="nil"/>
              <w:left w:val="single" w:sz="4" w:space="0" w:color="auto"/>
              <w:bottom w:val="nil"/>
              <w:right w:val="nil"/>
            </w:tcBorders>
            <w:shd w:val="clear" w:color="000000" w:fill="FFFFFF"/>
            <w:noWrap/>
            <w:vAlign w:val="bottom"/>
            <w:hideMark/>
          </w:tcPr>
          <w:p w14:paraId="148D887D"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-0.7</w:t>
            </w:r>
          </w:p>
        </w:tc>
        <w:tc>
          <w:tcPr>
            <w:tcW w:w="1626" w:type="dxa"/>
            <w:tcBorders>
              <w:top w:val="nil"/>
              <w:left w:val="nil"/>
              <w:bottom w:val="nil"/>
              <w:right w:val="single" w:sz="4" w:space="0" w:color="auto"/>
            </w:tcBorders>
            <w:shd w:val="clear" w:color="000000" w:fill="FFFFFF"/>
            <w:noWrap/>
            <w:vAlign w:val="bottom"/>
            <w:hideMark/>
          </w:tcPr>
          <w:p w14:paraId="14B9F250"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-0.2</w:t>
            </w:r>
          </w:p>
        </w:tc>
        <w:tc>
          <w:tcPr>
            <w:tcW w:w="1113" w:type="dxa"/>
            <w:tcBorders>
              <w:top w:val="nil"/>
              <w:left w:val="nil"/>
              <w:bottom w:val="nil"/>
              <w:right w:val="nil"/>
            </w:tcBorders>
            <w:shd w:val="clear" w:color="000000" w:fill="FFFFFF"/>
            <w:noWrap/>
            <w:vAlign w:val="bottom"/>
            <w:hideMark/>
          </w:tcPr>
          <w:p w14:paraId="3C91A4CE"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4.9</w:t>
            </w:r>
          </w:p>
        </w:tc>
        <w:tc>
          <w:tcPr>
            <w:tcW w:w="1626" w:type="dxa"/>
            <w:tcBorders>
              <w:top w:val="nil"/>
              <w:left w:val="nil"/>
              <w:bottom w:val="nil"/>
              <w:right w:val="nil"/>
            </w:tcBorders>
            <w:shd w:val="clear" w:color="000000" w:fill="FFFFFF"/>
            <w:noWrap/>
            <w:vAlign w:val="bottom"/>
            <w:hideMark/>
          </w:tcPr>
          <w:p w14:paraId="3A6C4016"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1.1</w:t>
            </w:r>
          </w:p>
        </w:tc>
      </w:tr>
      <w:tr w:rsidR="00EC59FB" w:rsidRPr="002E5876" w14:paraId="59B25F84" w14:textId="77777777" w:rsidTr="00EC59FB">
        <w:trPr>
          <w:trHeight w:val="289"/>
        </w:trPr>
        <w:tc>
          <w:tcPr>
            <w:tcW w:w="2193" w:type="dxa"/>
            <w:tcBorders>
              <w:top w:val="nil"/>
              <w:left w:val="nil"/>
              <w:bottom w:val="nil"/>
              <w:right w:val="nil"/>
            </w:tcBorders>
            <w:shd w:val="clear" w:color="000000" w:fill="FFFFFF"/>
            <w:noWrap/>
            <w:vAlign w:val="bottom"/>
            <w:hideMark/>
          </w:tcPr>
          <w:p w14:paraId="6155FC13"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Import</w:t>
            </w:r>
          </w:p>
        </w:tc>
        <w:tc>
          <w:tcPr>
            <w:tcW w:w="1113" w:type="dxa"/>
            <w:tcBorders>
              <w:top w:val="nil"/>
              <w:left w:val="single" w:sz="4" w:space="0" w:color="auto"/>
              <w:bottom w:val="nil"/>
              <w:right w:val="nil"/>
            </w:tcBorders>
            <w:shd w:val="clear" w:color="000000" w:fill="FFFFFF"/>
            <w:noWrap/>
            <w:vAlign w:val="bottom"/>
            <w:hideMark/>
          </w:tcPr>
          <w:p w14:paraId="3AB440EA"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4.6</w:t>
            </w:r>
          </w:p>
        </w:tc>
        <w:tc>
          <w:tcPr>
            <w:tcW w:w="1626" w:type="dxa"/>
            <w:tcBorders>
              <w:top w:val="nil"/>
              <w:left w:val="nil"/>
              <w:bottom w:val="nil"/>
              <w:right w:val="single" w:sz="4" w:space="0" w:color="auto"/>
            </w:tcBorders>
            <w:shd w:val="clear" w:color="000000" w:fill="FFFFFF"/>
            <w:noWrap/>
            <w:vAlign w:val="bottom"/>
            <w:hideMark/>
          </w:tcPr>
          <w:p w14:paraId="302B2CF2"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-1.2</w:t>
            </w:r>
          </w:p>
        </w:tc>
        <w:tc>
          <w:tcPr>
            <w:tcW w:w="1113" w:type="dxa"/>
            <w:tcBorders>
              <w:top w:val="nil"/>
              <w:left w:val="nil"/>
              <w:bottom w:val="nil"/>
              <w:right w:val="nil"/>
            </w:tcBorders>
            <w:shd w:val="clear" w:color="000000" w:fill="FFFFFF"/>
            <w:noWrap/>
            <w:vAlign w:val="bottom"/>
            <w:hideMark/>
          </w:tcPr>
          <w:p w14:paraId="036814E3"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8.4</w:t>
            </w:r>
          </w:p>
        </w:tc>
        <w:tc>
          <w:tcPr>
            <w:tcW w:w="1626" w:type="dxa"/>
            <w:tcBorders>
              <w:top w:val="nil"/>
              <w:left w:val="nil"/>
              <w:bottom w:val="nil"/>
              <w:right w:val="nil"/>
            </w:tcBorders>
            <w:shd w:val="clear" w:color="000000" w:fill="FFFFFF"/>
            <w:noWrap/>
            <w:vAlign w:val="bottom"/>
            <w:hideMark/>
          </w:tcPr>
          <w:p w14:paraId="4AF5FB31"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-2.2</w:t>
            </w:r>
          </w:p>
        </w:tc>
      </w:tr>
      <w:tr w:rsidR="00EC59FB" w:rsidRPr="002E5876" w14:paraId="0BC075F3" w14:textId="77777777" w:rsidTr="00EC59FB">
        <w:trPr>
          <w:trHeight w:val="289"/>
        </w:trPr>
        <w:tc>
          <w:tcPr>
            <w:tcW w:w="2193" w:type="dxa"/>
            <w:tcBorders>
              <w:top w:val="nil"/>
              <w:left w:val="nil"/>
              <w:bottom w:val="double" w:sz="6" w:space="0" w:color="auto"/>
              <w:right w:val="nil"/>
            </w:tcBorders>
            <w:shd w:val="clear" w:color="000000" w:fill="FFFFFF"/>
            <w:noWrap/>
            <w:vAlign w:val="bottom"/>
            <w:hideMark/>
          </w:tcPr>
          <w:p w14:paraId="2B072731" w14:textId="77777777" w:rsidR="00EC59FB" w:rsidRPr="002E5876" w:rsidRDefault="00EC59FB" w:rsidP="00EC59FB">
            <w:pPr>
              <w:rPr>
                <w:rFonts w:ascii="Calibri" w:hAnsi="Calibri"/>
                <w:b/>
                <w:bCs/>
                <w:color w:val="000000"/>
                <w:sz w:val="20"/>
                <w:szCs w:val="20"/>
              </w:rPr>
            </w:pPr>
            <w:r w:rsidRPr="002E5876">
              <w:rPr>
                <w:rFonts w:ascii="Calibri" w:hAnsi="Calibri"/>
                <w:b/>
                <w:bCs/>
                <w:color w:val="000000"/>
                <w:sz w:val="20"/>
                <w:szCs w:val="20"/>
              </w:rPr>
              <w:t>GDP</w:t>
            </w:r>
          </w:p>
        </w:tc>
        <w:tc>
          <w:tcPr>
            <w:tcW w:w="1113" w:type="dxa"/>
            <w:tcBorders>
              <w:top w:val="nil"/>
              <w:left w:val="single" w:sz="4" w:space="0" w:color="auto"/>
              <w:bottom w:val="double" w:sz="6" w:space="0" w:color="auto"/>
              <w:right w:val="nil"/>
            </w:tcBorders>
            <w:shd w:val="clear" w:color="000000" w:fill="FFFFFF"/>
            <w:noWrap/>
            <w:vAlign w:val="bottom"/>
            <w:hideMark/>
          </w:tcPr>
          <w:p w14:paraId="4C774D47"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1.3</w:t>
            </w:r>
          </w:p>
        </w:tc>
        <w:tc>
          <w:tcPr>
            <w:tcW w:w="1626" w:type="dxa"/>
            <w:tcBorders>
              <w:top w:val="nil"/>
              <w:left w:val="nil"/>
              <w:bottom w:val="double" w:sz="6" w:space="0" w:color="auto"/>
              <w:right w:val="single" w:sz="4" w:space="0" w:color="auto"/>
            </w:tcBorders>
            <w:shd w:val="clear" w:color="000000" w:fill="FFFFFF"/>
            <w:noWrap/>
            <w:vAlign w:val="bottom"/>
            <w:hideMark/>
          </w:tcPr>
          <w:p w14:paraId="17DC8BC4"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c>
          <w:tcPr>
            <w:tcW w:w="1113" w:type="dxa"/>
            <w:tcBorders>
              <w:top w:val="nil"/>
              <w:left w:val="nil"/>
              <w:bottom w:val="double" w:sz="6" w:space="0" w:color="auto"/>
              <w:right w:val="nil"/>
            </w:tcBorders>
            <w:shd w:val="clear" w:color="000000" w:fill="FFFFFF"/>
            <w:noWrap/>
            <w:vAlign w:val="bottom"/>
            <w:hideMark/>
          </w:tcPr>
          <w:p w14:paraId="02EA920F"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1.8</w:t>
            </w:r>
          </w:p>
        </w:tc>
        <w:tc>
          <w:tcPr>
            <w:tcW w:w="1626" w:type="dxa"/>
            <w:tcBorders>
              <w:top w:val="nil"/>
              <w:left w:val="nil"/>
              <w:bottom w:val="double" w:sz="6" w:space="0" w:color="auto"/>
              <w:right w:val="nil"/>
            </w:tcBorders>
            <w:shd w:val="clear" w:color="000000" w:fill="FFFFFF"/>
            <w:noWrap/>
            <w:vAlign w:val="bottom"/>
            <w:hideMark/>
          </w:tcPr>
          <w:p w14:paraId="7BF1F13C" w14:textId="77777777" w:rsidR="00EC59FB" w:rsidRPr="002E5876" w:rsidRDefault="00EC59FB" w:rsidP="00EC59FB">
            <w:pPr>
              <w:jc w:val="center"/>
              <w:rPr>
                <w:rFonts w:ascii="Calibri" w:hAnsi="Calibri"/>
                <w:color w:val="000000"/>
                <w:sz w:val="20"/>
                <w:szCs w:val="20"/>
              </w:rPr>
            </w:pPr>
            <w:r w:rsidRPr="002E5876">
              <w:rPr>
                <w:rFonts w:ascii="Calibri" w:hAnsi="Calibri"/>
                <w:color w:val="000000"/>
                <w:sz w:val="20"/>
                <w:szCs w:val="20"/>
              </w:rPr>
              <w:t> </w:t>
            </w:r>
          </w:p>
        </w:tc>
      </w:tr>
    </w:tbl>
    <w:p w14:paraId="2073590C" w14:textId="5C189EE7" w:rsidR="002F6884" w:rsidRPr="002E5876" w:rsidRDefault="00A550B2" w:rsidP="002F6884">
      <w:pPr>
        <w:pStyle w:val="NormalWeb"/>
        <w:spacing w:before="0" w:beforeAutospacing="0" w:after="0" w:afterAutospacing="0" w:line="360" w:lineRule="auto"/>
        <w:ind w:right="77"/>
        <w:rPr>
          <w:rFonts w:ascii="Palatino Linotype" w:hAnsi="Palatino Linotype" w:cstheme="minorHAnsi"/>
          <w:sz w:val="18"/>
          <w:szCs w:val="18"/>
        </w:rPr>
      </w:pPr>
      <w:r w:rsidRPr="002E5876">
        <w:rPr>
          <w:rFonts w:ascii="Palatino Linotype" w:hAnsi="Palatino Linotype" w:cstheme="minorHAnsi"/>
          <w:b/>
          <w:sz w:val="18"/>
          <w:szCs w:val="18"/>
        </w:rPr>
        <w:t>Source:</w:t>
      </w:r>
      <w:r w:rsidRPr="002E5876">
        <w:rPr>
          <w:rFonts w:ascii="Palatino Linotype" w:hAnsi="Palatino Linotype" w:cstheme="minorHAnsi"/>
          <w:sz w:val="18"/>
          <w:szCs w:val="18"/>
        </w:rPr>
        <w:t xml:space="preserve"> </w:t>
      </w:r>
      <w:proofErr w:type="spellStart"/>
      <w:r w:rsidRPr="002E5876">
        <w:rPr>
          <w:rFonts w:ascii="Palatino Linotype" w:hAnsi="Palatino Linotype" w:cstheme="minorHAnsi"/>
          <w:sz w:val="18"/>
          <w:szCs w:val="18"/>
        </w:rPr>
        <w:t>TurkStat</w:t>
      </w:r>
      <w:proofErr w:type="spellEnd"/>
      <w:r w:rsidRPr="002E5876">
        <w:rPr>
          <w:rFonts w:ascii="Palatino Linotype" w:hAnsi="Palatino Linotype" w:cstheme="minorHAnsi"/>
          <w:sz w:val="18"/>
          <w:szCs w:val="18"/>
        </w:rPr>
        <w:t>, Betam</w:t>
      </w:r>
      <w:r w:rsidR="002F6884" w:rsidRPr="002E5876">
        <w:rPr>
          <w:rFonts w:ascii="Palatino Linotype" w:hAnsi="Palatino Linotype" w:cstheme="minorHAnsi"/>
          <w:sz w:val="18"/>
          <w:szCs w:val="18"/>
        </w:rPr>
        <w:br/>
      </w:r>
    </w:p>
    <w:p w14:paraId="0C2DBCCA" w14:textId="060A6EF9" w:rsidR="002F6884" w:rsidRPr="002E5876" w:rsidRDefault="00F9263F" w:rsidP="002F6884">
      <w:pPr>
        <w:pStyle w:val="NormalWeb"/>
        <w:ind w:right="77"/>
        <w:rPr>
          <w:rFonts w:ascii="Palatino Linotype" w:hAnsi="Palatino Linotype" w:cstheme="minorHAnsi"/>
          <w:strike/>
          <w:sz w:val="22"/>
          <w:szCs w:val="22"/>
        </w:rPr>
      </w:pPr>
      <w:r w:rsidRPr="002E5876">
        <w:rPr>
          <w:rFonts w:ascii="Palatino Linotype" w:hAnsi="Palatino Linotype" w:cstheme="minorHAnsi"/>
          <w:b/>
          <w:sz w:val="22"/>
          <w:szCs w:val="22"/>
        </w:rPr>
        <w:t>Contribution of the investment has decreased</w:t>
      </w:r>
    </w:p>
    <w:p w14:paraId="75D1EC68" w14:textId="03F17FE8" w:rsidR="0044231D" w:rsidRPr="002E5876" w:rsidRDefault="00417138" w:rsidP="002F6884">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Investment growth was 13.2 percent while its contribution to GDP growth was only </w:t>
      </w:r>
      <w:r w:rsidR="00F9263F" w:rsidRPr="002E5876">
        <w:rPr>
          <w:rFonts w:ascii="Palatino Linotype" w:hAnsi="Palatino Linotype" w:cstheme="minorHAnsi"/>
          <w:sz w:val="22"/>
          <w:szCs w:val="22"/>
        </w:rPr>
        <w:t>3.8 percentage points</w:t>
      </w:r>
      <w:r>
        <w:rPr>
          <w:rFonts w:ascii="Palatino Linotype" w:hAnsi="Palatino Linotype" w:cstheme="minorHAnsi"/>
          <w:sz w:val="22"/>
          <w:szCs w:val="22"/>
        </w:rPr>
        <w:t xml:space="preserve"> in the third quarter of 2017. In the last quarter these numbers were, respectively, </w:t>
      </w:r>
      <w:r w:rsidR="00F9263F" w:rsidRPr="002E5876">
        <w:rPr>
          <w:rFonts w:ascii="Palatino Linotype" w:hAnsi="Palatino Linotype" w:cstheme="minorHAnsi"/>
          <w:sz w:val="22"/>
          <w:szCs w:val="22"/>
        </w:rPr>
        <w:t xml:space="preserve">6.1 percent </w:t>
      </w:r>
      <w:r>
        <w:rPr>
          <w:rFonts w:ascii="Palatino Linotype" w:hAnsi="Palatino Linotype" w:cstheme="minorHAnsi"/>
          <w:sz w:val="22"/>
          <w:szCs w:val="22"/>
        </w:rPr>
        <w:t xml:space="preserve">and </w:t>
      </w:r>
      <w:r w:rsidR="00F9263F" w:rsidRPr="002E5876">
        <w:rPr>
          <w:rFonts w:ascii="Palatino Linotype" w:hAnsi="Palatino Linotype" w:cstheme="minorHAnsi"/>
          <w:sz w:val="22"/>
          <w:szCs w:val="22"/>
        </w:rPr>
        <w:t>1.8 percentage points</w:t>
      </w:r>
      <w:r w:rsidR="001609DE" w:rsidRPr="002E5876">
        <w:rPr>
          <w:rFonts w:ascii="Palatino Linotype" w:hAnsi="Palatino Linotype" w:cstheme="minorHAnsi"/>
          <w:sz w:val="22"/>
          <w:szCs w:val="22"/>
        </w:rPr>
        <w:t xml:space="preserve"> (Table 1)</w:t>
      </w:r>
      <w:r>
        <w:rPr>
          <w:rFonts w:ascii="Palatino Linotype" w:hAnsi="Palatino Linotype" w:cstheme="minorHAnsi"/>
          <w:sz w:val="22"/>
          <w:szCs w:val="22"/>
        </w:rPr>
        <w:t>.</w:t>
      </w:r>
      <w:r w:rsidR="00F9263F" w:rsidRPr="002E5876">
        <w:rPr>
          <w:rFonts w:ascii="Palatino Linotype" w:hAnsi="Palatino Linotype" w:cstheme="minorHAnsi"/>
          <w:sz w:val="22"/>
          <w:szCs w:val="22"/>
        </w:rPr>
        <w:t xml:space="preserve"> </w:t>
      </w:r>
      <w:r w:rsidR="001609DE" w:rsidRPr="002E5876">
        <w:rPr>
          <w:rFonts w:ascii="Palatino Linotype" w:hAnsi="Palatino Linotype" w:cstheme="minorHAnsi"/>
          <w:sz w:val="22"/>
          <w:szCs w:val="22"/>
        </w:rPr>
        <w:t xml:space="preserve">The contribution </w:t>
      </w:r>
      <w:r>
        <w:rPr>
          <w:rFonts w:ascii="Palatino Linotype" w:hAnsi="Palatino Linotype" w:cstheme="minorHAnsi"/>
          <w:sz w:val="22"/>
          <w:szCs w:val="22"/>
        </w:rPr>
        <w:t xml:space="preserve">to growth </w:t>
      </w:r>
      <w:r w:rsidR="001609DE" w:rsidRPr="002E5876">
        <w:rPr>
          <w:rFonts w:ascii="Palatino Linotype" w:hAnsi="Palatino Linotype" w:cstheme="minorHAnsi"/>
          <w:sz w:val="22"/>
          <w:szCs w:val="22"/>
        </w:rPr>
        <w:t>of</w:t>
      </w:r>
      <w:r>
        <w:rPr>
          <w:rFonts w:ascii="Palatino Linotype" w:hAnsi="Palatino Linotype" w:cstheme="minorHAnsi"/>
          <w:sz w:val="22"/>
          <w:szCs w:val="22"/>
        </w:rPr>
        <w:t xml:space="preserve"> </w:t>
      </w:r>
      <w:r>
        <w:rPr>
          <w:rFonts w:ascii="Palatino Linotype" w:hAnsi="Palatino Linotype" w:cstheme="minorHAnsi"/>
          <w:sz w:val="22"/>
          <w:szCs w:val="22"/>
        </w:rPr>
        <w:lastRenderedPageBreak/>
        <w:t xml:space="preserve">investments </w:t>
      </w:r>
      <w:r w:rsidR="00B85F8F">
        <w:rPr>
          <w:rFonts w:ascii="Palatino Linotype" w:hAnsi="Palatino Linotype" w:cstheme="minorHAnsi"/>
          <w:sz w:val="22"/>
          <w:szCs w:val="22"/>
        </w:rPr>
        <w:t xml:space="preserve">rose from 2.4 percentage points in the second quarter to </w:t>
      </w:r>
      <w:r w:rsidR="001609DE" w:rsidRPr="002E5876">
        <w:rPr>
          <w:rFonts w:ascii="Palatino Linotype" w:hAnsi="Palatino Linotype" w:cstheme="minorHAnsi"/>
          <w:sz w:val="22"/>
          <w:szCs w:val="22"/>
        </w:rPr>
        <w:t>3.5 percentage points in the third quarter</w:t>
      </w:r>
      <w:r w:rsidR="0044231D" w:rsidRPr="002E5876">
        <w:rPr>
          <w:rFonts w:ascii="Palatino Linotype" w:hAnsi="Palatino Linotype" w:cstheme="minorHAnsi"/>
          <w:sz w:val="22"/>
          <w:szCs w:val="22"/>
        </w:rPr>
        <w:t xml:space="preserve">. </w:t>
      </w:r>
      <w:r w:rsidR="001609DE" w:rsidRPr="002E5876">
        <w:rPr>
          <w:rFonts w:ascii="Palatino Linotype" w:hAnsi="Palatino Linotype" w:cstheme="minorHAnsi"/>
          <w:sz w:val="22"/>
          <w:szCs w:val="22"/>
        </w:rPr>
        <w:t xml:space="preserve">We </w:t>
      </w:r>
      <w:r w:rsidR="00B85F8F">
        <w:rPr>
          <w:rFonts w:ascii="Palatino Linotype" w:hAnsi="Palatino Linotype" w:cstheme="minorHAnsi"/>
          <w:sz w:val="22"/>
          <w:szCs w:val="22"/>
        </w:rPr>
        <w:t xml:space="preserve">saw this increase as proof of the repercussion of </w:t>
      </w:r>
      <w:r w:rsidR="001609DE" w:rsidRPr="002E5876">
        <w:rPr>
          <w:rFonts w:ascii="Palatino Linotype" w:hAnsi="Palatino Linotype" w:cstheme="minorHAnsi"/>
          <w:sz w:val="22"/>
          <w:szCs w:val="22"/>
        </w:rPr>
        <w:t>the Credit Guarantee Fund (</w:t>
      </w:r>
      <w:r w:rsidR="00B928F7">
        <w:rPr>
          <w:rFonts w:ascii="Palatino Linotype" w:hAnsi="Palatino Linotype" w:cstheme="minorHAnsi"/>
          <w:sz w:val="22"/>
          <w:szCs w:val="22"/>
        </w:rPr>
        <w:t>K</w:t>
      </w:r>
      <w:r w:rsidR="001609DE" w:rsidRPr="002E5876">
        <w:rPr>
          <w:rFonts w:ascii="Palatino Linotype" w:hAnsi="Palatino Linotype" w:cstheme="minorHAnsi"/>
          <w:sz w:val="22"/>
          <w:szCs w:val="22"/>
        </w:rPr>
        <w:t>GF)</w:t>
      </w:r>
      <w:r w:rsidR="00B85F8F">
        <w:rPr>
          <w:rFonts w:ascii="Palatino Linotype" w:hAnsi="Palatino Linotype" w:cstheme="minorHAnsi"/>
          <w:sz w:val="22"/>
          <w:szCs w:val="22"/>
        </w:rPr>
        <w:t xml:space="preserve"> on economy</w:t>
      </w:r>
      <w:r w:rsidR="0044231D" w:rsidRPr="002E5876">
        <w:rPr>
          <w:rFonts w:ascii="Palatino Linotype" w:hAnsi="Palatino Linotype" w:cstheme="minorHAnsi"/>
          <w:sz w:val="22"/>
          <w:szCs w:val="22"/>
        </w:rPr>
        <w:t xml:space="preserve">. </w:t>
      </w:r>
      <w:r w:rsidR="001609DE" w:rsidRPr="002E5876">
        <w:rPr>
          <w:rFonts w:ascii="Palatino Linotype" w:hAnsi="Palatino Linotype" w:cstheme="minorHAnsi"/>
          <w:sz w:val="22"/>
          <w:szCs w:val="22"/>
        </w:rPr>
        <w:t>Last quarter</w:t>
      </w:r>
      <w:r w:rsidR="00B85F8F">
        <w:rPr>
          <w:rFonts w:ascii="Palatino Linotype" w:hAnsi="Palatino Linotype" w:cstheme="minorHAnsi"/>
          <w:sz w:val="22"/>
          <w:szCs w:val="22"/>
        </w:rPr>
        <w:t>’s</w:t>
      </w:r>
      <w:r w:rsidR="001609DE" w:rsidRPr="002E5876">
        <w:rPr>
          <w:rFonts w:ascii="Palatino Linotype" w:hAnsi="Palatino Linotype" w:cstheme="minorHAnsi"/>
          <w:sz w:val="22"/>
          <w:szCs w:val="22"/>
        </w:rPr>
        <w:t xml:space="preserve"> data show that </w:t>
      </w:r>
      <w:r w:rsidR="00B85F8F">
        <w:rPr>
          <w:rFonts w:ascii="Palatino Linotype" w:hAnsi="Palatino Linotype" w:cstheme="minorHAnsi"/>
          <w:sz w:val="22"/>
          <w:szCs w:val="22"/>
        </w:rPr>
        <w:t xml:space="preserve">the </w:t>
      </w:r>
      <w:r w:rsidR="00B928F7">
        <w:rPr>
          <w:rFonts w:ascii="Palatino Linotype" w:hAnsi="Palatino Linotype" w:cstheme="minorHAnsi"/>
          <w:sz w:val="22"/>
          <w:szCs w:val="22"/>
        </w:rPr>
        <w:t>K</w:t>
      </w:r>
      <w:r w:rsidR="001609DE" w:rsidRPr="002E5876">
        <w:rPr>
          <w:rFonts w:ascii="Palatino Linotype" w:hAnsi="Palatino Linotype" w:cstheme="minorHAnsi"/>
          <w:sz w:val="22"/>
          <w:szCs w:val="22"/>
        </w:rPr>
        <w:t>GF effect</w:t>
      </w:r>
      <w:r w:rsidR="00B85F8F">
        <w:rPr>
          <w:rFonts w:ascii="Palatino Linotype" w:hAnsi="Palatino Linotype" w:cstheme="minorHAnsi"/>
          <w:sz w:val="22"/>
          <w:szCs w:val="22"/>
        </w:rPr>
        <w:t xml:space="preserve"> is starting to fade</w:t>
      </w:r>
      <w:r w:rsidR="001609DE" w:rsidRPr="002E5876">
        <w:rPr>
          <w:rStyle w:val="FootnoteReference"/>
          <w:rFonts w:ascii="Palatino Linotype" w:hAnsi="Palatino Linotype" w:cstheme="minorHAnsi"/>
          <w:sz w:val="22"/>
          <w:szCs w:val="22"/>
        </w:rPr>
        <w:footnoteReference w:id="4"/>
      </w:r>
      <w:r w:rsidR="001609DE" w:rsidRPr="002E5876">
        <w:rPr>
          <w:rFonts w:ascii="Palatino Linotype" w:hAnsi="Palatino Linotype" w:cstheme="minorHAnsi"/>
          <w:sz w:val="22"/>
          <w:szCs w:val="22"/>
        </w:rPr>
        <w:t>. As a matter of fact,</w:t>
      </w:r>
      <w:r w:rsidR="00B85F8F">
        <w:rPr>
          <w:rFonts w:ascii="Palatino Linotype" w:hAnsi="Palatino Linotype" w:cstheme="minorHAnsi"/>
          <w:sz w:val="22"/>
          <w:szCs w:val="22"/>
        </w:rPr>
        <w:t xml:space="preserve"> in the quarterly data we see that, from </w:t>
      </w:r>
      <w:r w:rsidR="001609DE" w:rsidRPr="002E5876">
        <w:rPr>
          <w:rFonts w:ascii="Palatino Linotype" w:hAnsi="Palatino Linotype" w:cstheme="minorHAnsi"/>
          <w:sz w:val="22"/>
          <w:szCs w:val="22"/>
        </w:rPr>
        <w:t xml:space="preserve">third quarter </w:t>
      </w:r>
      <w:r w:rsidR="00B85F8F">
        <w:rPr>
          <w:rFonts w:ascii="Palatino Linotype" w:hAnsi="Palatino Linotype" w:cstheme="minorHAnsi"/>
          <w:sz w:val="22"/>
          <w:szCs w:val="22"/>
        </w:rPr>
        <w:t xml:space="preserve">to </w:t>
      </w:r>
      <w:proofErr w:type="spellStart"/>
      <w:r w:rsidR="00B85F8F">
        <w:rPr>
          <w:rFonts w:ascii="Palatino Linotype" w:hAnsi="Palatino Linotype" w:cstheme="minorHAnsi"/>
          <w:sz w:val="22"/>
          <w:szCs w:val="22"/>
        </w:rPr>
        <w:t>forth</w:t>
      </w:r>
      <w:proofErr w:type="spellEnd"/>
      <w:r w:rsidR="00B85F8F">
        <w:rPr>
          <w:rFonts w:ascii="Palatino Linotype" w:hAnsi="Palatino Linotype" w:cstheme="minorHAnsi"/>
          <w:sz w:val="22"/>
          <w:szCs w:val="22"/>
        </w:rPr>
        <w:t xml:space="preserve"> quarter, the investment volume </w:t>
      </w:r>
      <w:r w:rsidR="001609DE" w:rsidRPr="002E5876">
        <w:rPr>
          <w:rFonts w:ascii="Palatino Linotype" w:hAnsi="Palatino Linotype" w:cstheme="minorHAnsi"/>
          <w:sz w:val="22"/>
          <w:szCs w:val="22"/>
        </w:rPr>
        <w:t>decreased (minus 1.2 percent) and pull</w:t>
      </w:r>
      <w:r w:rsidR="00B85F8F">
        <w:rPr>
          <w:rFonts w:ascii="Palatino Linotype" w:hAnsi="Palatino Linotype" w:cstheme="minorHAnsi"/>
          <w:sz w:val="22"/>
          <w:szCs w:val="22"/>
        </w:rPr>
        <w:t>ed</w:t>
      </w:r>
      <w:r w:rsidR="001609DE" w:rsidRPr="002E5876">
        <w:rPr>
          <w:rFonts w:ascii="Palatino Linotype" w:hAnsi="Palatino Linotype" w:cstheme="minorHAnsi"/>
          <w:sz w:val="22"/>
          <w:szCs w:val="22"/>
        </w:rPr>
        <w:t xml:space="preserve"> down the </w:t>
      </w:r>
      <w:r w:rsidR="00B85F8F">
        <w:rPr>
          <w:rFonts w:ascii="Palatino Linotype" w:hAnsi="Palatino Linotype" w:cstheme="minorHAnsi"/>
          <w:sz w:val="22"/>
          <w:szCs w:val="22"/>
        </w:rPr>
        <w:t xml:space="preserve">GDP </w:t>
      </w:r>
      <w:r w:rsidR="001609DE" w:rsidRPr="002E5876">
        <w:rPr>
          <w:rFonts w:ascii="Palatino Linotype" w:hAnsi="Palatino Linotype" w:cstheme="minorHAnsi"/>
          <w:sz w:val="22"/>
          <w:szCs w:val="22"/>
        </w:rPr>
        <w:t xml:space="preserve">growth </w:t>
      </w:r>
      <w:r w:rsidR="00B85F8F">
        <w:rPr>
          <w:rFonts w:ascii="Palatino Linotype" w:hAnsi="Palatino Linotype" w:cstheme="minorHAnsi"/>
          <w:sz w:val="22"/>
          <w:szCs w:val="22"/>
        </w:rPr>
        <w:t xml:space="preserve">by </w:t>
      </w:r>
      <w:r w:rsidR="001609DE" w:rsidRPr="002E5876">
        <w:rPr>
          <w:rFonts w:ascii="Palatino Linotype" w:hAnsi="Palatino Linotype" w:cstheme="minorHAnsi"/>
          <w:sz w:val="22"/>
          <w:szCs w:val="22"/>
        </w:rPr>
        <w:t xml:space="preserve">0.4 percentage points (Table 2). It is understood that this </w:t>
      </w:r>
      <w:r w:rsidR="0042790B" w:rsidRPr="002E5876">
        <w:rPr>
          <w:rFonts w:ascii="Palatino Linotype" w:hAnsi="Palatino Linotype" w:cstheme="minorHAnsi"/>
          <w:sz w:val="22"/>
          <w:szCs w:val="22"/>
        </w:rPr>
        <w:t>decrease</w:t>
      </w:r>
      <w:r w:rsidR="001609DE" w:rsidRPr="002E5876">
        <w:rPr>
          <w:rFonts w:ascii="Palatino Linotype" w:hAnsi="Palatino Linotype" w:cstheme="minorHAnsi"/>
          <w:sz w:val="22"/>
          <w:szCs w:val="22"/>
        </w:rPr>
        <w:t xml:space="preserve"> was caused by the stagnation observed in the construction sector in the last quarter; this sector, which </w:t>
      </w:r>
      <w:r w:rsidR="0042790B" w:rsidRPr="002E5876">
        <w:rPr>
          <w:rFonts w:ascii="Palatino Linotype" w:hAnsi="Palatino Linotype" w:cstheme="minorHAnsi"/>
          <w:sz w:val="22"/>
          <w:szCs w:val="22"/>
        </w:rPr>
        <w:t xml:space="preserve">annually </w:t>
      </w:r>
      <w:r w:rsidR="001609DE" w:rsidRPr="002E5876">
        <w:rPr>
          <w:rFonts w:ascii="Palatino Linotype" w:hAnsi="Palatino Linotype" w:cstheme="minorHAnsi"/>
          <w:sz w:val="22"/>
          <w:szCs w:val="22"/>
        </w:rPr>
        <w:t>grew by more than 12 percen</w:t>
      </w:r>
      <w:r w:rsidR="00B85F8F">
        <w:rPr>
          <w:rFonts w:ascii="Palatino Linotype" w:hAnsi="Palatino Linotype" w:cstheme="minorHAnsi"/>
          <w:sz w:val="22"/>
          <w:szCs w:val="22"/>
        </w:rPr>
        <w:t xml:space="preserve">t in the first nine months, </w:t>
      </w:r>
      <w:r w:rsidR="001609DE" w:rsidRPr="002E5876">
        <w:rPr>
          <w:rFonts w:ascii="Palatino Linotype" w:hAnsi="Palatino Linotype" w:cstheme="minorHAnsi"/>
          <w:sz w:val="22"/>
          <w:szCs w:val="22"/>
        </w:rPr>
        <w:t xml:space="preserve">declined </w:t>
      </w:r>
      <w:r w:rsidR="00B85F8F">
        <w:rPr>
          <w:rFonts w:ascii="Palatino Linotype" w:hAnsi="Palatino Linotype" w:cstheme="minorHAnsi"/>
          <w:sz w:val="22"/>
          <w:szCs w:val="22"/>
        </w:rPr>
        <w:t>by</w:t>
      </w:r>
      <w:r w:rsidR="001609DE" w:rsidRPr="002E5876">
        <w:rPr>
          <w:rFonts w:ascii="Palatino Linotype" w:hAnsi="Palatino Linotype" w:cstheme="minorHAnsi"/>
          <w:sz w:val="22"/>
          <w:szCs w:val="22"/>
        </w:rPr>
        <w:t xml:space="preserve"> 4.8 percent in the last three months.</w:t>
      </w:r>
    </w:p>
    <w:p w14:paraId="3EE554C7" w14:textId="414222EB" w:rsidR="002F6884" w:rsidRPr="002E5876" w:rsidRDefault="0042790B" w:rsidP="002F6884">
      <w:pPr>
        <w:pStyle w:val="NormalWeb"/>
        <w:ind w:right="77"/>
        <w:jc w:val="both"/>
        <w:rPr>
          <w:rFonts w:ascii="Palatino Linotype" w:hAnsi="Palatino Linotype" w:cstheme="minorHAnsi"/>
          <w:b/>
          <w:color w:val="FF0000"/>
          <w:sz w:val="22"/>
          <w:szCs w:val="22"/>
        </w:rPr>
      </w:pPr>
      <w:r w:rsidRPr="002E5876">
        <w:rPr>
          <w:rFonts w:ascii="Palatino Linotype" w:hAnsi="Palatino Linotype" w:cstheme="minorHAnsi"/>
          <w:b/>
          <w:sz w:val="22"/>
          <w:szCs w:val="22"/>
        </w:rPr>
        <w:t>Strong contribution from stock changes</w:t>
      </w:r>
    </w:p>
    <w:p w14:paraId="39E36EEF" w14:textId="577AC6C6" w:rsidR="00E80A0B" w:rsidRPr="002E5876" w:rsidRDefault="00F964EA" w:rsidP="008F030E">
      <w:pPr>
        <w:pStyle w:val="NormalWeb"/>
        <w:spacing w:line="360" w:lineRule="auto"/>
        <w:ind w:right="77"/>
        <w:jc w:val="both"/>
        <w:rPr>
          <w:rFonts w:ascii="Palatino Linotype" w:hAnsi="Palatino Linotype" w:cstheme="minorHAnsi"/>
          <w:sz w:val="22"/>
          <w:szCs w:val="22"/>
        </w:rPr>
      </w:pPr>
      <w:r w:rsidRPr="002E5876">
        <w:rPr>
          <w:rFonts w:ascii="Palatino Linotype" w:hAnsi="Palatino Linotype" w:cstheme="minorHAnsi"/>
          <w:sz w:val="22"/>
          <w:szCs w:val="22"/>
        </w:rPr>
        <w:t>Stock changes did not contribute to the</w:t>
      </w:r>
      <w:r w:rsidR="00361DE7">
        <w:rPr>
          <w:rFonts w:ascii="Palatino Linotype" w:hAnsi="Palatino Linotype" w:cstheme="minorHAnsi"/>
          <w:sz w:val="22"/>
          <w:szCs w:val="22"/>
        </w:rPr>
        <w:t xml:space="preserve"> GDP</w:t>
      </w:r>
      <w:r w:rsidRPr="002E5876">
        <w:rPr>
          <w:rFonts w:ascii="Palatino Linotype" w:hAnsi="Palatino Linotype" w:cstheme="minorHAnsi"/>
          <w:sz w:val="22"/>
          <w:szCs w:val="22"/>
        </w:rPr>
        <w:t xml:space="preserve"> growth in the third quarter of 2017,</w:t>
      </w:r>
      <w:r w:rsidR="00361DE7">
        <w:rPr>
          <w:rFonts w:ascii="Palatino Linotype" w:hAnsi="Palatino Linotype" w:cstheme="minorHAnsi"/>
          <w:sz w:val="22"/>
          <w:szCs w:val="22"/>
        </w:rPr>
        <w:t xml:space="preserve"> while they</w:t>
      </w:r>
      <w:r w:rsidR="00D76EC3" w:rsidRPr="002E5876">
        <w:rPr>
          <w:rFonts w:ascii="Palatino Linotype" w:hAnsi="Palatino Linotype" w:cstheme="minorHAnsi"/>
          <w:sz w:val="22"/>
          <w:szCs w:val="22"/>
        </w:rPr>
        <w:t xml:space="preserve"> contributed strongly in the last quarter</w:t>
      </w:r>
      <w:r w:rsidR="00361DE7">
        <w:rPr>
          <w:rFonts w:ascii="Palatino Linotype" w:hAnsi="Palatino Linotype" w:cstheme="minorHAnsi"/>
          <w:sz w:val="22"/>
          <w:szCs w:val="22"/>
        </w:rPr>
        <w:t>,</w:t>
      </w:r>
      <w:r w:rsidR="00361DE7" w:rsidRPr="002E5876">
        <w:rPr>
          <w:rFonts w:ascii="Palatino Linotype" w:hAnsi="Palatino Linotype" w:cstheme="minorHAnsi"/>
          <w:sz w:val="22"/>
          <w:szCs w:val="22"/>
        </w:rPr>
        <w:t xml:space="preserve"> with 3.7 percentage points</w:t>
      </w:r>
      <w:r w:rsidR="00D76EC3" w:rsidRPr="002E5876">
        <w:rPr>
          <w:rFonts w:ascii="Palatino Linotype" w:hAnsi="Palatino Linotype" w:cstheme="minorHAnsi"/>
          <w:sz w:val="22"/>
          <w:szCs w:val="22"/>
        </w:rPr>
        <w:t xml:space="preserve"> (Table 1). </w:t>
      </w:r>
      <w:r w:rsidR="00E80A0B" w:rsidRPr="002E5876">
        <w:rPr>
          <w:rFonts w:ascii="Palatino Linotype" w:hAnsi="Palatino Linotype" w:cstheme="minorHAnsi"/>
          <w:sz w:val="22"/>
          <w:szCs w:val="22"/>
        </w:rPr>
        <w:t xml:space="preserve">In addition, seasonally and calendar day adjusted </w:t>
      </w:r>
      <w:r w:rsidR="00361DE7">
        <w:rPr>
          <w:rFonts w:ascii="Palatino Linotype" w:hAnsi="Palatino Linotype" w:cstheme="minorHAnsi"/>
          <w:sz w:val="22"/>
          <w:szCs w:val="22"/>
        </w:rPr>
        <w:t>data</w:t>
      </w:r>
      <w:r w:rsidR="00E80A0B" w:rsidRPr="002E5876">
        <w:rPr>
          <w:rFonts w:ascii="Palatino Linotype" w:hAnsi="Palatino Linotype" w:cstheme="minorHAnsi"/>
          <w:sz w:val="22"/>
          <w:szCs w:val="22"/>
        </w:rPr>
        <w:t xml:space="preserve"> show that contribution of the stock changes to quarterly growth has increased from 0.3 percentage points to 0.7 points. </w:t>
      </w:r>
      <w:r w:rsidR="00C34FEA" w:rsidRPr="002E5876">
        <w:rPr>
          <w:rFonts w:ascii="Palatino Linotype" w:hAnsi="Palatino Linotype" w:cstheme="minorHAnsi"/>
          <w:sz w:val="22"/>
          <w:szCs w:val="22"/>
        </w:rPr>
        <w:t>(Table 2).</w:t>
      </w:r>
      <w:bookmarkStart w:id="1" w:name="_Hlk501449844"/>
    </w:p>
    <w:p w14:paraId="08CB29F8" w14:textId="076B4930" w:rsidR="00D31197" w:rsidRPr="002E5876" w:rsidRDefault="00C34FEA" w:rsidP="008F030E">
      <w:pPr>
        <w:pStyle w:val="NormalWeb"/>
        <w:spacing w:line="360" w:lineRule="auto"/>
        <w:ind w:right="77"/>
        <w:jc w:val="both"/>
        <w:rPr>
          <w:rFonts w:ascii="Palatino Linotype" w:hAnsi="Palatino Linotype" w:cstheme="minorHAnsi"/>
          <w:sz w:val="22"/>
          <w:szCs w:val="22"/>
        </w:rPr>
      </w:pPr>
      <w:proofErr w:type="spellStart"/>
      <w:r w:rsidRPr="002E5876">
        <w:rPr>
          <w:rFonts w:ascii="Palatino Linotype" w:hAnsi="Palatino Linotype" w:cstheme="minorHAnsi"/>
          <w:sz w:val="22"/>
          <w:szCs w:val="22"/>
        </w:rPr>
        <w:t>TurkStat</w:t>
      </w:r>
      <w:proofErr w:type="spellEnd"/>
      <w:r w:rsidRPr="002E5876">
        <w:rPr>
          <w:rFonts w:ascii="Palatino Linotype" w:hAnsi="Palatino Linotype" w:cstheme="minorHAnsi"/>
          <w:sz w:val="22"/>
          <w:szCs w:val="22"/>
        </w:rPr>
        <w:t xml:space="preserve"> uses the chained volume index method when calculating new national income series. The contribution to growth of the stock change </w:t>
      </w:r>
      <w:r w:rsidR="00247739" w:rsidRPr="002E5876">
        <w:rPr>
          <w:rFonts w:ascii="Palatino Linotype" w:hAnsi="Palatino Linotype" w:cstheme="minorHAnsi"/>
          <w:sz w:val="22"/>
          <w:szCs w:val="22"/>
        </w:rPr>
        <w:t>cannot</w:t>
      </w:r>
      <w:r w:rsidRPr="002E5876">
        <w:rPr>
          <w:rFonts w:ascii="Palatino Linotype" w:hAnsi="Palatino Linotype" w:cstheme="minorHAnsi"/>
          <w:sz w:val="22"/>
          <w:szCs w:val="22"/>
        </w:rPr>
        <w:t xml:space="preserve"> be easily calculated because there is a</w:t>
      </w:r>
      <w:r w:rsidR="00D31197" w:rsidRPr="002E5876">
        <w:rPr>
          <w:rFonts w:ascii="Palatino Linotype" w:hAnsi="Palatino Linotype" w:cstheme="minorHAnsi"/>
          <w:sz w:val="22"/>
          <w:szCs w:val="22"/>
        </w:rPr>
        <w:t>n additivity</w:t>
      </w:r>
      <w:r w:rsidRPr="002E5876">
        <w:rPr>
          <w:rFonts w:ascii="Palatino Linotype" w:hAnsi="Palatino Linotype" w:cstheme="minorHAnsi"/>
          <w:sz w:val="22"/>
          <w:szCs w:val="22"/>
        </w:rPr>
        <w:t xml:space="preserve"> problem in the chain method and a chain index </w:t>
      </w:r>
      <w:r w:rsidR="00247739" w:rsidRPr="002E5876">
        <w:rPr>
          <w:rFonts w:ascii="Palatino Linotype" w:hAnsi="Palatino Linotype" w:cstheme="minorHAnsi"/>
          <w:sz w:val="22"/>
          <w:szCs w:val="22"/>
        </w:rPr>
        <w:t>cannot</w:t>
      </w:r>
      <w:r w:rsidRPr="002E5876">
        <w:rPr>
          <w:rFonts w:ascii="Palatino Linotype" w:hAnsi="Palatino Linotype" w:cstheme="minorHAnsi"/>
          <w:sz w:val="22"/>
          <w:szCs w:val="22"/>
        </w:rPr>
        <w:t xml:space="preserve"> be derived for the "changes in stock"</w:t>
      </w:r>
      <w:r w:rsidR="00247739" w:rsidRPr="002E5876">
        <w:rPr>
          <w:rFonts w:ascii="Palatino Linotype" w:hAnsi="Palatino Linotype" w:cstheme="minorHAnsi"/>
          <w:sz w:val="22"/>
          <w:szCs w:val="22"/>
        </w:rPr>
        <w:t xml:space="preserve">. </w:t>
      </w:r>
      <w:r w:rsidRPr="002E5876">
        <w:rPr>
          <w:rFonts w:ascii="Palatino Linotype" w:hAnsi="Palatino Linotype" w:cstheme="minorHAnsi"/>
          <w:sz w:val="22"/>
          <w:szCs w:val="22"/>
        </w:rPr>
        <w:t xml:space="preserve">We discussed in detail in the research note that we recently published how to account for the contribution of stock change to growth </w:t>
      </w:r>
      <w:r w:rsidR="00247739" w:rsidRPr="002E5876">
        <w:rPr>
          <w:rFonts w:ascii="Palatino Linotype" w:hAnsi="Palatino Linotype" w:cstheme="minorHAnsi"/>
          <w:sz w:val="22"/>
          <w:szCs w:val="22"/>
        </w:rPr>
        <w:t>in</w:t>
      </w:r>
      <w:r w:rsidRPr="002E5876">
        <w:rPr>
          <w:rFonts w:ascii="Palatino Linotype" w:hAnsi="Palatino Linotype" w:cstheme="minorHAnsi"/>
          <w:sz w:val="22"/>
          <w:szCs w:val="22"/>
        </w:rPr>
        <w:t xml:space="preserve"> the chain-volume index approach (see Betam Research Note 17/217).</w:t>
      </w:r>
      <w:bookmarkEnd w:id="1"/>
    </w:p>
    <w:p w14:paraId="5BDFCE49" w14:textId="2661D163" w:rsidR="002F6884" w:rsidRPr="002E5876" w:rsidRDefault="00CE6742" w:rsidP="002F6884">
      <w:pPr>
        <w:pStyle w:val="NormalWeb"/>
        <w:ind w:right="77"/>
        <w:jc w:val="both"/>
        <w:rPr>
          <w:rFonts w:ascii="Palatino Linotype" w:hAnsi="Palatino Linotype" w:cstheme="minorHAnsi"/>
          <w:b/>
          <w:sz w:val="22"/>
          <w:szCs w:val="22"/>
        </w:rPr>
      </w:pPr>
      <w:r w:rsidRPr="002E5876">
        <w:rPr>
          <w:rFonts w:ascii="Palatino Linotype" w:hAnsi="Palatino Linotype" w:cstheme="minorHAnsi"/>
          <w:b/>
          <w:sz w:val="22"/>
          <w:szCs w:val="22"/>
        </w:rPr>
        <w:t>Net foreign trade contribution turned negative</w:t>
      </w:r>
    </w:p>
    <w:p w14:paraId="3B2D40D1" w14:textId="489F1653" w:rsidR="00C745E7" w:rsidRPr="002E5876" w:rsidRDefault="005828CE" w:rsidP="00C745E7">
      <w:pPr>
        <w:pStyle w:val="NormalWeb"/>
        <w:spacing w:line="360" w:lineRule="auto"/>
        <w:ind w:right="77"/>
        <w:jc w:val="both"/>
        <w:rPr>
          <w:rFonts w:ascii="Palatino Linotype" w:hAnsi="Palatino Linotype" w:cstheme="minorHAnsi"/>
          <w:sz w:val="22"/>
          <w:szCs w:val="22"/>
        </w:rPr>
      </w:pPr>
      <w:r w:rsidRPr="002E5876">
        <w:rPr>
          <w:rFonts w:ascii="Palatino Linotype" w:hAnsi="Palatino Linotype" w:cstheme="minorHAnsi"/>
          <w:sz w:val="22"/>
          <w:szCs w:val="22"/>
        </w:rPr>
        <w:t>Contribution of net foreign trade in the third quarter of 2017 was almost zero. On the other hand, c</w:t>
      </w:r>
      <w:r w:rsidR="00247739" w:rsidRPr="002E5876">
        <w:rPr>
          <w:rFonts w:ascii="Palatino Linotype" w:hAnsi="Palatino Linotype" w:cstheme="minorHAnsi"/>
          <w:sz w:val="22"/>
          <w:szCs w:val="22"/>
        </w:rPr>
        <w:t>ompared to the same quarter of the previous year, contribution</w:t>
      </w:r>
      <w:r w:rsidRPr="002E5876">
        <w:rPr>
          <w:rFonts w:ascii="Palatino Linotype" w:hAnsi="Palatino Linotype" w:cstheme="minorHAnsi"/>
          <w:sz w:val="22"/>
          <w:szCs w:val="22"/>
        </w:rPr>
        <w:t xml:space="preserve"> of the export has decreased from 3.8 percentage points to 2 points and </w:t>
      </w:r>
      <w:r w:rsidR="00C745E7" w:rsidRPr="002E5876">
        <w:rPr>
          <w:rFonts w:ascii="Palatino Linotype" w:hAnsi="Palatino Linotype" w:cstheme="minorHAnsi"/>
          <w:sz w:val="22"/>
          <w:szCs w:val="22"/>
        </w:rPr>
        <w:t xml:space="preserve">contribution of the import has decreased from minus 3.6 percentage points to minus 5.4 points, thus contribution of net foreign trade </w:t>
      </w:r>
      <w:r w:rsidR="005D670C">
        <w:rPr>
          <w:rFonts w:ascii="Palatino Linotype" w:hAnsi="Palatino Linotype" w:cstheme="minorHAnsi"/>
          <w:sz w:val="22"/>
          <w:szCs w:val="22"/>
        </w:rPr>
        <w:t>was</w:t>
      </w:r>
      <w:r w:rsidR="00C745E7" w:rsidRPr="002E5876">
        <w:rPr>
          <w:rFonts w:ascii="Palatino Linotype" w:hAnsi="Palatino Linotype" w:cstheme="minorHAnsi"/>
          <w:sz w:val="22"/>
          <w:szCs w:val="22"/>
        </w:rPr>
        <w:t xml:space="preserve"> minus 3.4 percentage points </w:t>
      </w:r>
      <w:r w:rsidR="00247739" w:rsidRPr="002E5876">
        <w:rPr>
          <w:rFonts w:ascii="Palatino Linotype" w:hAnsi="Palatino Linotype" w:cstheme="minorHAnsi"/>
          <w:sz w:val="22"/>
          <w:szCs w:val="22"/>
        </w:rPr>
        <w:t xml:space="preserve">in the </w:t>
      </w:r>
      <w:r w:rsidRPr="002E5876">
        <w:rPr>
          <w:rFonts w:ascii="Palatino Linotype" w:hAnsi="Palatino Linotype" w:cstheme="minorHAnsi"/>
          <w:sz w:val="22"/>
          <w:szCs w:val="22"/>
        </w:rPr>
        <w:t>fourth</w:t>
      </w:r>
      <w:r w:rsidR="00247739" w:rsidRPr="002E5876">
        <w:rPr>
          <w:rFonts w:ascii="Palatino Linotype" w:hAnsi="Palatino Linotype" w:cstheme="minorHAnsi"/>
          <w:sz w:val="22"/>
          <w:szCs w:val="22"/>
        </w:rPr>
        <w:t xml:space="preserve"> quarter</w:t>
      </w:r>
      <w:r w:rsidR="00C745E7" w:rsidRPr="002E5876">
        <w:rPr>
          <w:rFonts w:ascii="Palatino Linotype" w:hAnsi="Palatino Linotype" w:cstheme="minorHAnsi"/>
          <w:sz w:val="22"/>
          <w:szCs w:val="22"/>
        </w:rPr>
        <w:t xml:space="preserve"> (Table 1). According to seasonally and calendar day adjusted figures, we observe that there is a similar situation in the changes from </w:t>
      </w:r>
      <w:r w:rsidR="00C745E7" w:rsidRPr="002E5876">
        <w:rPr>
          <w:rFonts w:ascii="Palatino Linotype" w:hAnsi="Palatino Linotype" w:cstheme="minorHAnsi"/>
          <w:sz w:val="22"/>
          <w:szCs w:val="22"/>
        </w:rPr>
        <w:lastRenderedPageBreak/>
        <w:t>the quarter to the quarter. Exports and imports decreased together and the contribution of net exports to growth was minus 1.4 percentage points in the third quarter. Despite a strong increase in exports in the fourth quarter (4.9 percent), a much stronger (8.4 percent) increase in imports did not change the negative contribution (minus 1.1 percentage points) (Table 2).</w:t>
      </w:r>
    </w:p>
    <w:p w14:paraId="14D66F5A" w14:textId="45DC3D57" w:rsidR="002F6884" w:rsidRPr="002E5876" w:rsidRDefault="00D4207F" w:rsidP="00C745E7">
      <w:pPr>
        <w:pStyle w:val="NormalWeb"/>
        <w:spacing w:line="360" w:lineRule="auto"/>
        <w:ind w:right="77"/>
        <w:jc w:val="both"/>
        <w:rPr>
          <w:rFonts w:ascii="Palatino Linotype" w:hAnsi="Palatino Linotype" w:cstheme="minorHAnsi"/>
          <w:b/>
          <w:bCs/>
          <w:sz w:val="22"/>
          <w:szCs w:val="22"/>
        </w:rPr>
      </w:pPr>
      <w:r w:rsidRPr="002E5876">
        <w:rPr>
          <w:rFonts w:ascii="Palatino Linotype" w:hAnsi="Palatino Linotype" w:cstheme="minorHAnsi"/>
          <w:b/>
          <w:bCs/>
          <w:sz w:val="22"/>
          <w:szCs w:val="22"/>
        </w:rPr>
        <w:t>C</w:t>
      </w:r>
      <w:r w:rsidR="00317618" w:rsidRPr="002E5876">
        <w:rPr>
          <w:rFonts w:ascii="Palatino Linotype" w:hAnsi="Palatino Linotype" w:cstheme="minorHAnsi"/>
          <w:b/>
          <w:bCs/>
          <w:sz w:val="22"/>
          <w:szCs w:val="22"/>
        </w:rPr>
        <w:t xml:space="preserve">ontribution of public spending </w:t>
      </w:r>
      <w:r w:rsidRPr="002E5876">
        <w:rPr>
          <w:rFonts w:ascii="Palatino Linotype" w:hAnsi="Palatino Linotype" w:cstheme="minorHAnsi"/>
          <w:b/>
          <w:bCs/>
          <w:sz w:val="22"/>
          <w:szCs w:val="22"/>
        </w:rPr>
        <w:t>has increased</w:t>
      </w:r>
    </w:p>
    <w:p w14:paraId="1569360D" w14:textId="2AAA1193" w:rsidR="00317618" w:rsidRPr="002E5876" w:rsidRDefault="00D80ACB" w:rsidP="002F6884">
      <w:pPr>
        <w:pStyle w:val="NormalWeb"/>
        <w:spacing w:line="360" w:lineRule="auto"/>
        <w:ind w:right="77"/>
        <w:jc w:val="both"/>
        <w:rPr>
          <w:rFonts w:ascii="Palatino Linotype" w:hAnsi="Palatino Linotype" w:cstheme="minorHAnsi"/>
          <w:sz w:val="22"/>
          <w:szCs w:val="22"/>
        </w:rPr>
      </w:pPr>
      <w:r w:rsidRPr="002E5876">
        <w:rPr>
          <w:rFonts w:ascii="Palatino Linotype" w:hAnsi="Palatino Linotype" w:cstheme="minorHAnsi"/>
          <w:sz w:val="22"/>
          <w:szCs w:val="22"/>
        </w:rPr>
        <w:t>T</w:t>
      </w:r>
      <w:r w:rsidR="009D7A7A" w:rsidRPr="002E5876">
        <w:rPr>
          <w:rFonts w:ascii="Palatino Linotype" w:hAnsi="Palatino Linotype" w:cstheme="minorHAnsi"/>
          <w:sz w:val="22"/>
          <w:szCs w:val="22"/>
        </w:rPr>
        <w:t xml:space="preserve">he government spending </w:t>
      </w:r>
      <w:r w:rsidRPr="002E5876">
        <w:rPr>
          <w:rFonts w:ascii="Palatino Linotype" w:hAnsi="Palatino Linotype" w:cstheme="minorHAnsi"/>
          <w:sz w:val="22"/>
          <w:szCs w:val="22"/>
        </w:rPr>
        <w:t xml:space="preserve">which was cut sharply in the third quarter </w:t>
      </w:r>
      <w:r w:rsidR="009D7A7A" w:rsidRPr="002E5876">
        <w:rPr>
          <w:rFonts w:ascii="Palatino Linotype" w:hAnsi="Palatino Linotype" w:cstheme="minorHAnsi"/>
          <w:sz w:val="22"/>
          <w:szCs w:val="22"/>
        </w:rPr>
        <w:t>did not contribute the growth</w:t>
      </w:r>
      <w:r w:rsidRPr="002E5876">
        <w:rPr>
          <w:rFonts w:ascii="Palatino Linotype" w:hAnsi="Palatino Linotype" w:cstheme="minorHAnsi"/>
          <w:sz w:val="22"/>
          <w:szCs w:val="22"/>
        </w:rPr>
        <w:t>.</w:t>
      </w:r>
      <w:r w:rsidR="009D7A7A" w:rsidRPr="002E5876">
        <w:rPr>
          <w:rFonts w:ascii="Palatino Linotype" w:hAnsi="Palatino Linotype" w:cstheme="minorHAnsi"/>
          <w:sz w:val="22"/>
          <w:szCs w:val="22"/>
        </w:rPr>
        <w:t xml:space="preserve"> </w:t>
      </w:r>
      <w:r w:rsidRPr="002E5876">
        <w:rPr>
          <w:rFonts w:ascii="Palatino Linotype" w:hAnsi="Palatino Linotype" w:cstheme="minorHAnsi"/>
          <w:sz w:val="22"/>
          <w:szCs w:val="22"/>
        </w:rPr>
        <w:t xml:space="preserve">However, it is seen that the government increase its spending </w:t>
      </w:r>
      <w:r w:rsidR="009D7A7A" w:rsidRPr="002E5876">
        <w:rPr>
          <w:rFonts w:ascii="Palatino Linotype" w:hAnsi="Palatino Linotype" w:cstheme="minorHAnsi"/>
          <w:sz w:val="22"/>
          <w:szCs w:val="22"/>
        </w:rPr>
        <w:t>in the fourth quarter</w:t>
      </w:r>
      <w:r w:rsidRPr="002E5876">
        <w:rPr>
          <w:rFonts w:ascii="Palatino Linotype" w:hAnsi="Palatino Linotype" w:cstheme="minorHAnsi"/>
          <w:sz w:val="22"/>
          <w:szCs w:val="22"/>
        </w:rPr>
        <w:t>.</w:t>
      </w:r>
      <w:r w:rsidR="009D7A7A" w:rsidRPr="002E5876">
        <w:rPr>
          <w:rFonts w:ascii="Palatino Linotype" w:hAnsi="Palatino Linotype" w:cstheme="minorHAnsi"/>
          <w:sz w:val="22"/>
          <w:szCs w:val="22"/>
        </w:rPr>
        <w:t xml:space="preserve"> </w:t>
      </w:r>
      <w:r w:rsidR="007E086F" w:rsidRPr="002E5876">
        <w:rPr>
          <w:rFonts w:ascii="Palatino Linotype" w:hAnsi="Palatino Linotype" w:cstheme="minorHAnsi"/>
          <w:sz w:val="22"/>
          <w:szCs w:val="22"/>
        </w:rPr>
        <w:t>In the fourth quarter, the government spending recorded a very high increase of 6.5 percent and the contribution to growth was 0.9 percentage points which is half of the 1.8 percent quarterly GDP growth (Table 2)</w:t>
      </w:r>
    </w:p>
    <w:p w14:paraId="785752FE" w14:textId="3CDE8C49" w:rsidR="00113E0A" w:rsidRPr="002E5876" w:rsidRDefault="00113E0A" w:rsidP="002F6884">
      <w:pPr>
        <w:pStyle w:val="NormalWeb"/>
        <w:spacing w:before="0" w:beforeAutospacing="0" w:after="0" w:afterAutospacing="0"/>
        <w:ind w:right="77"/>
        <w:rPr>
          <w:rFonts w:ascii="Palatino Linotype" w:hAnsi="Palatino Linotype" w:cstheme="minorHAnsi"/>
          <w:b/>
          <w:bCs/>
          <w:sz w:val="22"/>
          <w:szCs w:val="22"/>
        </w:rPr>
      </w:pPr>
      <w:r w:rsidRPr="002E5876">
        <w:rPr>
          <w:rFonts w:ascii="Palatino Linotype" w:hAnsi="Palatino Linotype" w:cstheme="minorHAnsi"/>
          <w:b/>
          <w:bCs/>
          <w:sz w:val="22"/>
          <w:szCs w:val="22"/>
        </w:rPr>
        <w:t>The Future of Growth</w:t>
      </w:r>
      <w:r w:rsidR="002F6884" w:rsidRPr="002E5876">
        <w:rPr>
          <w:rFonts w:ascii="Palatino Linotype" w:hAnsi="Palatino Linotype" w:cstheme="minorHAnsi"/>
          <w:b/>
          <w:bCs/>
          <w:sz w:val="22"/>
          <w:szCs w:val="22"/>
        </w:rPr>
        <w:br/>
      </w:r>
    </w:p>
    <w:p w14:paraId="1C67CCB0" w14:textId="5A017864" w:rsidR="00A97679" w:rsidRPr="00957D58" w:rsidRDefault="00113E0A" w:rsidP="00A97679">
      <w:pPr>
        <w:pStyle w:val="NormalWeb"/>
        <w:spacing w:before="0" w:beforeAutospacing="0" w:after="0" w:afterAutospacing="0" w:line="360" w:lineRule="auto"/>
        <w:ind w:right="79"/>
        <w:jc w:val="both"/>
        <w:rPr>
          <w:rFonts w:ascii="Palatino Linotype" w:hAnsi="Palatino Linotype" w:cstheme="minorHAnsi"/>
          <w:sz w:val="22"/>
          <w:szCs w:val="22"/>
        </w:rPr>
      </w:pPr>
      <w:r w:rsidRPr="002E5876">
        <w:rPr>
          <w:rFonts w:ascii="Palatino Linotype" w:hAnsi="Palatino Linotype" w:cstheme="minorHAnsi"/>
          <w:bCs/>
          <w:sz w:val="22"/>
          <w:szCs w:val="22"/>
        </w:rPr>
        <w:t xml:space="preserve">The annual growth rate was expected to be high due to the base effect </w:t>
      </w:r>
      <w:r w:rsidR="00B928F7">
        <w:rPr>
          <w:rFonts w:ascii="Palatino Linotype" w:hAnsi="Palatino Linotype" w:cstheme="minorHAnsi"/>
          <w:bCs/>
          <w:sz w:val="22"/>
          <w:szCs w:val="22"/>
        </w:rPr>
        <w:t>due to the</w:t>
      </w:r>
      <w:r w:rsidR="00294F61" w:rsidRPr="002E5876">
        <w:rPr>
          <w:rFonts w:ascii="Palatino Linotype" w:hAnsi="Palatino Linotype" w:cstheme="minorHAnsi"/>
          <w:bCs/>
          <w:sz w:val="22"/>
          <w:szCs w:val="22"/>
        </w:rPr>
        <w:t xml:space="preserve"> contraction of Turkish economy </w:t>
      </w:r>
      <w:r w:rsidRPr="002E5876">
        <w:rPr>
          <w:rFonts w:ascii="Palatino Linotype" w:hAnsi="Palatino Linotype" w:cstheme="minorHAnsi"/>
          <w:bCs/>
          <w:sz w:val="22"/>
          <w:szCs w:val="22"/>
        </w:rPr>
        <w:t xml:space="preserve">in </w:t>
      </w:r>
      <w:r w:rsidRPr="00957D58">
        <w:rPr>
          <w:rFonts w:ascii="Palatino Linotype" w:hAnsi="Palatino Linotype" w:cstheme="minorHAnsi"/>
          <w:bCs/>
          <w:sz w:val="22"/>
          <w:szCs w:val="22"/>
        </w:rPr>
        <w:t>the third quarter of 2016</w:t>
      </w:r>
      <w:r w:rsidR="007E086F" w:rsidRPr="00957D58">
        <w:rPr>
          <w:rFonts w:ascii="Palatino Linotype" w:hAnsi="Palatino Linotype" w:cstheme="minorHAnsi"/>
          <w:bCs/>
          <w:sz w:val="22"/>
          <w:szCs w:val="22"/>
        </w:rPr>
        <w:t>.</w:t>
      </w:r>
      <w:r w:rsidRPr="00957D58">
        <w:rPr>
          <w:rFonts w:ascii="Palatino Linotype" w:hAnsi="Palatino Linotype" w:cstheme="minorHAnsi"/>
          <w:bCs/>
          <w:sz w:val="22"/>
          <w:szCs w:val="22"/>
        </w:rPr>
        <w:t xml:space="preserve"> </w:t>
      </w:r>
      <w:r w:rsidR="007E086F" w:rsidRPr="00957D58">
        <w:rPr>
          <w:rFonts w:ascii="Palatino Linotype" w:hAnsi="Palatino Linotype" w:cstheme="minorHAnsi"/>
          <w:bCs/>
          <w:sz w:val="22"/>
          <w:szCs w:val="22"/>
        </w:rPr>
        <w:t xml:space="preserve"> Also, it must be mentioned that, quarterly GDP growth which </w:t>
      </w:r>
      <w:r w:rsidR="00397D3C" w:rsidRPr="00957D58">
        <w:rPr>
          <w:rFonts w:ascii="Palatino Linotype" w:hAnsi="Palatino Linotype" w:cstheme="minorHAnsi"/>
          <w:bCs/>
          <w:sz w:val="22"/>
          <w:szCs w:val="22"/>
        </w:rPr>
        <w:t xml:space="preserve">increased from 1.3 percent to 1.8 percent ensured </w:t>
      </w:r>
      <w:r w:rsidR="00B928F7" w:rsidRPr="00957D58">
        <w:rPr>
          <w:rFonts w:ascii="Palatino Linotype" w:hAnsi="Palatino Linotype" w:cstheme="minorHAnsi"/>
          <w:bCs/>
          <w:sz w:val="22"/>
          <w:szCs w:val="22"/>
        </w:rPr>
        <w:t xml:space="preserve">an </w:t>
      </w:r>
      <w:r w:rsidR="00397D3C" w:rsidRPr="00957D58">
        <w:rPr>
          <w:rFonts w:ascii="Palatino Linotype" w:hAnsi="Palatino Linotype" w:cstheme="minorHAnsi"/>
          <w:bCs/>
          <w:sz w:val="22"/>
          <w:szCs w:val="22"/>
        </w:rPr>
        <w:t xml:space="preserve">annual GDP growth of 7.4 percent. </w:t>
      </w:r>
      <w:r w:rsidR="00850B79" w:rsidRPr="00957D58">
        <w:rPr>
          <w:rFonts w:ascii="Palatino Linotype" w:hAnsi="Palatino Linotype" w:cstheme="minorHAnsi"/>
          <w:bCs/>
          <w:sz w:val="22"/>
          <w:szCs w:val="22"/>
        </w:rPr>
        <w:t>Aggregate annual growth is higher than 5.5 percent projected in OVP. In addition</w:t>
      </w:r>
      <w:r w:rsidR="000F2654" w:rsidRPr="00957D58">
        <w:rPr>
          <w:rFonts w:ascii="Palatino Linotype" w:hAnsi="Palatino Linotype" w:cstheme="minorHAnsi"/>
          <w:bCs/>
          <w:sz w:val="22"/>
          <w:szCs w:val="22"/>
        </w:rPr>
        <w:t>,</w:t>
      </w:r>
      <w:r w:rsidR="00850B79" w:rsidRPr="00957D58">
        <w:rPr>
          <w:rFonts w:ascii="Palatino Linotype" w:hAnsi="Palatino Linotype" w:cstheme="minorHAnsi"/>
          <w:bCs/>
          <w:sz w:val="22"/>
          <w:szCs w:val="22"/>
        </w:rPr>
        <w:t xml:space="preserve"> the depreciation of the Turkish Lira</w:t>
      </w:r>
      <w:r w:rsidR="000F2654" w:rsidRPr="00957D58">
        <w:rPr>
          <w:rFonts w:ascii="Palatino Linotype" w:hAnsi="Palatino Linotype" w:cstheme="minorHAnsi"/>
          <w:bCs/>
          <w:sz w:val="22"/>
          <w:szCs w:val="22"/>
        </w:rPr>
        <w:t xml:space="preserve"> and </w:t>
      </w:r>
      <w:r w:rsidR="003F6ED6" w:rsidRPr="00957D58">
        <w:rPr>
          <w:rFonts w:ascii="Palatino Linotype" w:hAnsi="Palatino Linotype" w:cstheme="minorHAnsi"/>
          <w:bCs/>
          <w:sz w:val="22"/>
          <w:szCs w:val="22"/>
        </w:rPr>
        <w:t xml:space="preserve">the </w:t>
      </w:r>
      <w:r w:rsidR="00850B79" w:rsidRPr="00957D58">
        <w:rPr>
          <w:rFonts w:ascii="Palatino Linotype" w:hAnsi="Palatino Linotype" w:cstheme="minorHAnsi"/>
          <w:bCs/>
          <w:sz w:val="22"/>
          <w:szCs w:val="22"/>
        </w:rPr>
        <w:t>demand pressure w</w:t>
      </w:r>
      <w:r w:rsidR="000F2654" w:rsidRPr="00957D58">
        <w:rPr>
          <w:rFonts w:ascii="Palatino Linotype" w:hAnsi="Palatino Linotype" w:cstheme="minorHAnsi"/>
          <w:bCs/>
          <w:sz w:val="22"/>
          <w:szCs w:val="22"/>
        </w:rPr>
        <w:t>ere</w:t>
      </w:r>
      <w:r w:rsidR="00850B79" w:rsidRPr="00957D58">
        <w:rPr>
          <w:rFonts w:ascii="Palatino Linotype" w:hAnsi="Palatino Linotype" w:cstheme="minorHAnsi"/>
          <w:bCs/>
          <w:sz w:val="22"/>
          <w:szCs w:val="22"/>
        </w:rPr>
        <w:t xml:space="preserve"> effective in the rise in inflation. Th</w:t>
      </w:r>
      <w:r w:rsidR="000F2654" w:rsidRPr="00957D58">
        <w:rPr>
          <w:rFonts w:ascii="Palatino Linotype" w:hAnsi="Palatino Linotype" w:cstheme="minorHAnsi"/>
          <w:bCs/>
          <w:sz w:val="22"/>
          <w:szCs w:val="22"/>
        </w:rPr>
        <w:t>ese</w:t>
      </w:r>
      <w:r w:rsidR="00850B79" w:rsidRPr="00957D58">
        <w:rPr>
          <w:rFonts w:ascii="Palatino Linotype" w:hAnsi="Palatino Linotype" w:cstheme="minorHAnsi"/>
          <w:bCs/>
          <w:sz w:val="22"/>
          <w:szCs w:val="22"/>
        </w:rPr>
        <w:t xml:space="preserve"> fact</w:t>
      </w:r>
      <w:r w:rsidR="000F2654" w:rsidRPr="00957D58">
        <w:rPr>
          <w:rFonts w:ascii="Palatino Linotype" w:hAnsi="Palatino Linotype" w:cstheme="minorHAnsi"/>
          <w:bCs/>
          <w:sz w:val="22"/>
          <w:szCs w:val="22"/>
        </w:rPr>
        <w:t>s</w:t>
      </w:r>
      <w:r w:rsidR="00850B79" w:rsidRPr="00957D58">
        <w:rPr>
          <w:rFonts w:ascii="Palatino Linotype" w:hAnsi="Palatino Linotype" w:cstheme="minorHAnsi"/>
          <w:bCs/>
          <w:sz w:val="22"/>
          <w:szCs w:val="22"/>
        </w:rPr>
        <w:t xml:space="preserve"> </w:t>
      </w:r>
      <w:r w:rsidR="000F2654" w:rsidRPr="00957D58">
        <w:rPr>
          <w:rFonts w:ascii="Palatino Linotype" w:hAnsi="Palatino Linotype" w:cstheme="minorHAnsi"/>
          <w:bCs/>
          <w:sz w:val="22"/>
          <w:szCs w:val="22"/>
        </w:rPr>
        <w:t xml:space="preserve">raised the debates about the economic overheating. </w:t>
      </w:r>
      <w:r w:rsidR="00397D3C" w:rsidRPr="00957D58">
        <w:rPr>
          <w:rFonts w:ascii="Palatino Linotype" w:hAnsi="Palatino Linotype" w:cstheme="minorHAnsi"/>
          <w:sz w:val="22"/>
          <w:szCs w:val="22"/>
        </w:rPr>
        <w:t xml:space="preserve">GDP growth was limited to 3.2 percent in 2016. </w:t>
      </w:r>
      <w:r w:rsidR="00B928F7" w:rsidRPr="00957D58">
        <w:rPr>
          <w:rFonts w:ascii="Palatino Linotype" w:hAnsi="Palatino Linotype" w:cstheme="minorHAnsi"/>
          <w:sz w:val="22"/>
          <w:szCs w:val="22"/>
        </w:rPr>
        <w:t>An a</w:t>
      </w:r>
      <w:r w:rsidR="00397D3C" w:rsidRPr="00957D58">
        <w:rPr>
          <w:rFonts w:ascii="Palatino Linotype" w:hAnsi="Palatino Linotype" w:cstheme="minorHAnsi"/>
          <w:sz w:val="22"/>
          <w:szCs w:val="22"/>
        </w:rPr>
        <w:t>verage growth of 5.3 percent in last two year</w:t>
      </w:r>
      <w:r w:rsidR="00B928F7" w:rsidRPr="00957D58">
        <w:rPr>
          <w:rFonts w:ascii="Palatino Linotype" w:hAnsi="Palatino Linotype" w:cstheme="minorHAnsi"/>
          <w:sz w:val="22"/>
          <w:szCs w:val="22"/>
        </w:rPr>
        <w:t>s</w:t>
      </w:r>
      <w:r w:rsidR="00397D3C" w:rsidRPr="00957D58">
        <w:rPr>
          <w:rFonts w:ascii="Palatino Linotype" w:hAnsi="Palatino Linotype" w:cstheme="minorHAnsi"/>
          <w:sz w:val="22"/>
          <w:szCs w:val="22"/>
        </w:rPr>
        <w:t xml:space="preserve"> is consistent with </w:t>
      </w:r>
      <w:r w:rsidR="00B928F7" w:rsidRPr="00957D58">
        <w:rPr>
          <w:rFonts w:ascii="Palatino Linotype" w:hAnsi="Palatino Linotype" w:cstheme="minorHAnsi"/>
          <w:sz w:val="22"/>
          <w:szCs w:val="22"/>
        </w:rPr>
        <w:t>Medium Term Program projections</w:t>
      </w:r>
      <w:r w:rsidR="00397D3C" w:rsidRPr="00957D58">
        <w:rPr>
          <w:rFonts w:ascii="Palatino Linotype" w:hAnsi="Palatino Linotype" w:cstheme="minorHAnsi"/>
          <w:sz w:val="22"/>
          <w:szCs w:val="22"/>
        </w:rPr>
        <w:t xml:space="preserve">. </w:t>
      </w:r>
    </w:p>
    <w:p w14:paraId="0600B446" w14:textId="4CE2BD50" w:rsidR="00CC6BB9" w:rsidRPr="002E5876" w:rsidRDefault="00CC6BB9" w:rsidP="00A97679">
      <w:pPr>
        <w:pStyle w:val="NormalWeb"/>
        <w:spacing w:before="0" w:beforeAutospacing="0" w:after="0" w:afterAutospacing="0" w:line="360" w:lineRule="auto"/>
        <w:ind w:right="79"/>
        <w:jc w:val="both"/>
        <w:rPr>
          <w:rFonts w:ascii="Palatino Linotype" w:hAnsi="Palatino Linotype" w:cstheme="minorHAnsi"/>
          <w:bCs/>
          <w:sz w:val="22"/>
          <w:szCs w:val="22"/>
        </w:rPr>
      </w:pPr>
      <w:r w:rsidRPr="00957D58">
        <w:rPr>
          <w:rFonts w:ascii="Palatino Linotype" w:hAnsi="Palatino Linotype" w:cstheme="minorHAnsi"/>
          <w:bCs/>
          <w:sz w:val="22"/>
          <w:szCs w:val="22"/>
        </w:rPr>
        <w:t>Estimates of international institutions and other institutions</w:t>
      </w:r>
      <w:r w:rsidRPr="002E5876">
        <w:rPr>
          <w:rFonts w:ascii="Palatino Linotype" w:hAnsi="Palatino Linotype" w:cstheme="minorHAnsi"/>
          <w:bCs/>
          <w:sz w:val="22"/>
          <w:szCs w:val="22"/>
        </w:rPr>
        <w:t xml:space="preserve"> for GDP growth in 2018 range from 4 percent to 5 percent. This growth range can be considered reasonable if incentives that strongly support domestic demand do not continue in 2018 due to fiscal disciplinary concerns. However, the large increase observed in public consumption expenditures in the last quarter seems to suggest that the fiscal discipline worry is pushed to the second plan. The increase in public consumption expenditures also played an important role, while the strong private consumption growth had a dominant share in the acceleration of GDP growth in the last quarter. On the other hand, </w:t>
      </w:r>
      <w:r w:rsidR="00B928F7">
        <w:rPr>
          <w:rFonts w:ascii="Palatino Linotype" w:hAnsi="Palatino Linotype" w:cstheme="minorHAnsi"/>
          <w:bCs/>
          <w:sz w:val="22"/>
          <w:szCs w:val="22"/>
        </w:rPr>
        <w:t>for now it is</w:t>
      </w:r>
      <w:r w:rsidRPr="002E5876">
        <w:rPr>
          <w:rFonts w:ascii="Palatino Linotype" w:hAnsi="Palatino Linotype" w:cstheme="minorHAnsi"/>
          <w:bCs/>
          <w:sz w:val="22"/>
          <w:szCs w:val="22"/>
        </w:rPr>
        <w:t xml:space="preserve"> unclear whether high import growth, which caused net exports to make a negative contribution in the last quarter, will continue in 2018, and whether the recession in the construction sector, which negates the contribution of </w:t>
      </w:r>
      <w:r w:rsidRPr="002E5876">
        <w:rPr>
          <w:rFonts w:ascii="Palatino Linotype" w:hAnsi="Palatino Linotype" w:cstheme="minorHAnsi"/>
          <w:bCs/>
          <w:sz w:val="22"/>
          <w:szCs w:val="22"/>
        </w:rPr>
        <w:lastRenderedPageBreak/>
        <w:t>investments, is permanent. It can be said that the developments in these two sectors will play a decisive role in the economic growth in 2018. We expect that the uncertainties in this matter will be enlightened to a certain extent when we publish our growth forecast for the first quarter of the year in the coming days.</w:t>
      </w:r>
    </w:p>
    <w:p w14:paraId="36DD8215" w14:textId="77777777" w:rsidR="00CC6BB9" w:rsidRPr="002E5876" w:rsidRDefault="00CC6BB9" w:rsidP="00A97679">
      <w:pPr>
        <w:pStyle w:val="NormalWeb"/>
        <w:spacing w:before="0" w:beforeAutospacing="0" w:after="0" w:afterAutospacing="0" w:line="360" w:lineRule="auto"/>
        <w:ind w:right="79"/>
        <w:jc w:val="both"/>
        <w:rPr>
          <w:rFonts w:ascii="Palatino Linotype" w:hAnsi="Palatino Linotype" w:cstheme="minorHAnsi"/>
          <w:bCs/>
          <w:sz w:val="22"/>
          <w:szCs w:val="22"/>
        </w:rPr>
      </w:pPr>
    </w:p>
    <w:p w14:paraId="668D9A1C" w14:textId="7131BE8B" w:rsidR="00620CE3" w:rsidRPr="002E5876" w:rsidRDefault="00620CE3" w:rsidP="002F688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2E5876">
        <w:rPr>
          <w:rFonts w:ascii="Palatino Linotype" w:hAnsi="Palatino Linotype" w:cstheme="minorHAnsi"/>
          <w:b/>
          <w:bCs/>
          <w:sz w:val="22"/>
          <w:szCs w:val="22"/>
        </w:rPr>
        <w:t>Figure 2: GDP growth rates compared to the previous quarter and same quarter of last year</w:t>
      </w:r>
    </w:p>
    <w:p w14:paraId="615E09C6" w14:textId="77777777" w:rsidR="00620CE3" w:rsidRPr="002E5876" w:rsidRDefault="00620CE3" w:rsidP="00620CE3">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2E5876">
        <w:rPr>
          <w:noProof/>
          <w:lang w:val="tr-TR"/>
        </w:rPr>
        <w:drawing>
          <wp:inline distT="0" distB="0" distL="0" distR="0" wp14:anchorId="61952510" wp14:editId="31BBB9A5">
            <wp:extent cx="5760720" cy="3622040"/>
            <wp:effectExtent l="0" t="0" r="11430" b="16510"/>
            <wp:docPr id="4" name="Grafik 4">
              <a:extLst xmlns:a="http://schemas.openxmlformats.org/drawingml/2006/main">
                <a:ext uri="{FF2B5EF4-FFF2-40B4-BE49-F238E27FC236}">
                  <a16:creationId xmlns:a16="http://schemas.microsoft.com/office/drawing/2014/main" id="{A8A001B5-403D-4486-A249-019519B12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A9D674" w14:textId="77777777" w:rsidR="00620CE3" w:rsidRPr="002E5876" w:rsidRDefault="00620CE3" w:rsidP="00620CE3">
      <w:pPr>
        <w:keepNext/>
        <w:rPr>
          <w:rFonts w:ascii="Palatino Linotype" w:hAnsi="Palatino Linotype" w:cstheme="minorHAnsi"/>
          <w:sz w:val="18"/>
          <w:szCs w:val="18"/>
        </w:rPr>
      </w:pPr>
      <w:r w:rsidRPr="002E5876">
        <w:rPr>
          <w:rFonts w:ascii="Palatino Linotype" w:hAnsi="Palatino Linotype" w:cstheme="minorHAnsi"/>
          <w:b/>
          <w:sz w:val="18"/>
          <w:szCs w:val="18"/>
        </w:rPr>
        <w:t>Source:</w:t>
      </w:r>
      <w:r w:rsidRPr="002E5876">
        <w:rPr>
          <w:rFonts w:ascii="Palatino Linotype" w:hAnsi="Palatino Linotype" w:cstheme="minorHAnsi"/>
          <w:sz w:val="18"/>
          <w:szCs w:val="18"/>
        </w:rPr>
        <w:t xml:space="preserve"> </w:t>
      </w:r>
      <w:proofErr w:type="spellStart"/>
      <w:r w:rsidRPr="002E5876">
        <w:rPr>
          <w:rFonts w:ascii="Palatino Linotype" w:hAnsi="Palatino Linotype" w:cstheme="minorHAnsi"/>
          <w:sz w:val="18"/>
          <w:szCs w:val="18"/>
        </w:rPr>
        <w:t>TurkStat</w:t>
      </w:r>
      <w:proofErr w:type="spellEnd"/>
      <w:r w:rsidRPr="002E5876">
        <w:rPr>
          <w:rFonts w:ascii="Palatino Linotype" w:hAnsi="Palatino Linotype" w:cstheme="minorHAnsi"/>
          <w:sz w:val="18"/>
          <w:szCs w:val="18"/>
        </w:rPr>
        <w:t xml:space="preserve">, Betam. </w:t>
      </w:r>
    </w:p>
    <w:p w14:paraId="40E43404" w14:textId="4D6CEB59" w:rsidR="00113E0A" w:rsidRPr="002E5876" w:rsidRDefault="00113E0A" w:rsidP="00113E0A">
      <w:pPr>
        <w:pStyle w:val="NormalWeb"/>
        <w:spacing w:before="0" w:beforeAutospacing="0" w:after="0" w:afterAutospacing="0" w:line="360" w:lineRule="auto"/>
        <w:ind w:right="77"/>
        <w:rPr>
          <w:rFonts w:ascii="Palatino Linotype" w:hAnsi="Palatino Linotype" w:cstheme="minorHAnsi"/>
          <w:bCs/>
          <w:sz w:val="22"/>
          <w:szCs w:val="22"/>
        </w:rPr>
      </w:pPr>
    </w:p>
    <w:p w14:paraId="76A5DAFB" w14:textId="77777777" w:rsidR="00E41840" w:rsidRPr="002E5876" w:rsidRDefault="00E41840" w:rsidP="00E41840">
      <w:pPr>
        <w:keepNext/>
        <w:rPr>
          <w:rFonts w:ascii="Palatino Linotype" w:hAnsi="Palatino Linotype" w:cstheme="minorHAnsi"/>
        </w:rPr>
      </w:pPr>
    </w:p>
    <w:p w14:paraId="3CA6E0CA" w14:textId="5ABD5BA7" w:rsidR="00681AD9" w:rsidRPr="002E5876" w:rsidRDefault="00681AD9" w:rsidP="00E85F3F">
      <w:pPr>
        <w:keepNext/>
        <w:rPr>
          <w:rFonts w:ascii="Palatino Linotype" w:hAnsi="Palatino Linotype" w:cstheme="minorHAnsi"/>
        </w:rPr>
      </w:pPr>
    </w:p>
    <w:sectPr w:rsidR="00681AD9" w:rsidRPr="002E587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40F2" w14:textId="77777777" w:rsidR="00593C8A" w:rsidRDefault="00593C8A" w:rsidP="00DA0C5D">
      <w:r>
        <w:separator/>
      </w:r>
    </w:p>
  </w:endnote>
  <w:endnote w:type="continuationSeparator" w:id="0">
    <w:p w14:paraId="5AAB48A7" w14:textId="77777777" w:rsidR="00593C8A" w:rsidRDefault="00593C8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8495" w14:textId="77777777" w:rsidR="00593C8A" w:rsidRDefault="00593C8A" w:rsidP="00DA0C5D">
      <w:r>
        <w:separator/>
      </w:r>
    </w:p>
  </w:footnote>
  <w:footnote w:type="continuationSeparator" w:id="0">
    <w:p w14:paraId="006B900C" w14:textId="77777777" w:rsidR="00593C8A" w:rsidRDefault="00593C8A" w:rsidP="00DA0C5D">
      <w:r>
        <w:continuationSeparator/>
      </w:r>
    </w:p>
  </w:footnote>
  <w:footnote w:id="1">
    <w:p w14:paraId="6937C661" w14:textId="77777777" w:rsidR="003172DB" w:rsidRDefault="003172DB" w:rsidP="003172DB">
      <w:pPr>
        <w:pStyle w:val="FootnoteText"/>
      </w:pPr>
      <w:r>
        <w:rPr>
          <w:rStyle w:val="FootnoteReference"/>
        </w:rPr>
        <w:footnoteRef/>
      </w:r>
      <w:r>
        <w:t xml:space="preserve"> Betam, Dire</w:t>
      </w:r>
      <w:r w:rsidR="003E0902">
        <w:t>ctor</w:t>
      </w:r>
      <w:r>
        <w:t>, seyfettin.gursel@eas.bahcesehir.edu.tr</w:t>
      </w:r>
    </w:p>
  </w:footnote>
  <w:footnote w:id="2">
    <w:p w14:paraId="1BC25AAC" w14:textId="77777777" w:rsidR="00C32789" w:rsidRDefault="00C32789">
      <w:pPr>
        <w:pStyle w:val="FootnoteText"/>
      </w:pPr>
      <w:r>
        <w:rPr>
          <w:rStyle w:val="FootnoteReference"/>
        </w:rPr>
        <w:footnoteRef/>
      </w:r>
      <w:r w:rsidR="001537D8">
        <w:t xml:space="preserve"> </w:t>
      </w:r>
      <w:r>
        <w:t>Betam, ozan.bakis@eas.bau.edu.tr</w:t>
      </w:r>
    </w:p>
  </w:footnote>
  <w:footnote w:id="3">
    <w:p w14:paraId="0A1D2D63" w14:textId="77777777" w:rsidR="001537D8" w:rsidRDefault="001537D8" w:rsidP="001537D8">
      <w:pPr>
        <w:pStyle w:val="FootnoteText"/>
      </w:pPr>
      <w:r>
        <w:rPr>
          <w:rStyle w:val="FootnoteReference"/>
        </w:rPr>
        <w:footnoteRef/>
      </w:r>
      <w:r>
        <w:t xml:space="preserve"> Betam, ugurcan.acar@eas.bau.edu.tr </w:t>
      </w:r>
    </w:p>
  </w:footnote>
  <w:footnote w:id="4">
    <w:p w14:paraId="6AB5F53B" w14:textId="77777777" w:rsidR="001609DE" w:rsidRPr="00A71F3D" w:rsidRDefault="001609DE" w:rsidP="001609DE">
      <w:pPr>
        <w:pStyle w:val="FootnoteText"/>
        <w:rPr>
          <w:lang w:val="tr-TR"/>
        </w:rPr>
      </w:pPr>
      <w:r>
        <w:rPr>
          <w:rStyle w:val="FootnoteReference"/>
        </w:rPr>
        <w:footnoteRef/>
      </w:r>
      <w:r>
        <w:t xml:space="preserve"> </w:t>
      </w:r>
      <w:r w:rsidRPr="00A71F3D">
        <w:t xml:space="preserve">The amount of support the </w:t>
      </w:r>
      <w:r>
        <w:t>KGF</w:t>
      </w:r>
      <w:r w:rsidRPr="00A71F3D">
        <w:t xml:space="preserve"> received from the Treasury increased to 2 billion</w:t>
      </w:r>
      <w:r>
        <w:t xml:space="preserve"> TL</w:t>
      </w:r>
      <w:r w:rsidRPr="00A71F3D">
        <w:t xml:space="preserve"> in 201</w:t>
      </w:r>
      <w:r>
        <w:t>5</w:t>
      </w:r>
      <w:r w:rsidRPr="00A71F3D">
        <w:t xml:space="preserve"> and then 2</w:t>
      </w:r>
      <w:r>
        <w:t>5</w:t>
      </w:r>
      <w:r w:rsidRPr="00A71F3D">
        <w:t xml:space="preserve"> billion</w:t>
      </w:r>
      <w:r>
        <w:t xml:space="preserve"> TL</w:t>
      </w:r>
      <w:r w:rsidRPr="00A71F3D">
        <w:t xml:space="preserve"> in 2015. In 2017, the total amount of bail given by KGF was limited to</w:t>
      </w:r>
      <w:r>
        <w:t xml:space="preserve"> </w:t>
      </w:r>
      <w:r w:rsidRPr="00A71F3D">
        <w:t>250 billion</w:t>
      </w:r>
      <w:r>
        <w:t xml:space="preserve"> TL. See Additional Figure 1 and http://www.kgf.com.tr/index.php/tr/bilgi-merkezi/rakamlarla-kgf and http://www.kgf.com.tr/index.php/tr/desteklerimiz/kaynaklarimiz/hazine-mustesarligi-fonu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02F9A"/>
    <w:rsid w:val="00004F33"/>
    <w:rsid w:val="000119F9"/>
    <w:rsid w:val="00041FB7"/>
    <w:rsid w:val="00054943"/>
    <w:rsid w:val="00055EA1"/>
    <w:rsid w:val="000652B6"/>
    <w:rsid w:val="00070F11"/>
    <w:rsid w:val="00096CDA"/>
    <w:rsid w:val="000978C8"/>
    <w:rsid w:val="000A612E"/>
    <w:rsid w:val="000C634D"/>
    <w:rsid w:val="000D5FD3"/>
    <w:rsid w:val="000E089E"/>
    <w:rsid w:val="000F2654"/>
    <w:rsid w:val="001077D8"/>
    <w:rsid w:val="0011258F"/>
    <w:rsid w:val="00113E0A"/>
    <w:rsid w:val="0012527F"/>
    <w:rsid w:val="00140468"/>
    <w:rsid w:val="0014542A"/>
    <w:rsid w:val="0015026C"/>
    <w:rsid w:val="001537D8"/>
    <w:rsid w:val="001609DE"/>
    <w:rsid w:val="001676CF"/>
    <w:rsid w:val="001B3A44"/>
    <w:rsid w:val="001C2C68"/>
    <w:rsid w:val="001C65BF"/>
    <w:rsid w:val="001D5B02"/>
    <w:rsid w:val="001D5B0E"/>
    <w:rsid w:val="001D6465"/>
    <w:rsid w:val="001F7B1D"/>
    <w:rsid w:val="001F7BC7"/>
    <w:rsid w:val="002003F7"/>
    <w:rsid w:val="002106DF"/>
    <w:rsid w:val="00212579"/>
    <w:rsid w:val="00214914"/>
    <w:rsid w:val="0022673E"/>
    <w:rsid w:val="00227A08"/>
    <w:rsid w:val="00236056"/>
    <w:rsid w:val="00247739"/>
    <w:rsid w:val="002552EC"/>
    <w:rsid w:val="00266308"/>
    <w:rsid w:val="00275745"/>
    <w:rsid w:val="00282242"/>
    <w:rsid w:val="0028498B"/>
    <w:rsid w:val="00294F61"/>
    <w:rsid w:val="0029624E"/>
    <w:rsid w:val="002A07A9"/>
    <w:rsid w:val="002A7673"/>
    <w:rsid w:val="002B5168"/>
    <w:rsid w:val="002C5C24"/>
    <w:rsid w:val="002D3A48"/>
    <w:rsid w:val="002D5820"/>
    <w:rsid w:val="002E5876"/>
    <w:rsid w:val="002F6884"/>
    <w:rsid w:val="003172DB"/>
    <w:rsid w:val="00317618"/>
    <w:rsid w:val="00321431"/>
    <w:rsid w:val="00334E27"/>
    <w:rsid w:val="00344A74"/>
    <w:rsid w:val="00361DE7"/>
    <w:rsid w:val="00365DAB"/>
    <w:rsid w:val="003967B5"/>
    <w:rsid w:val="00397D3C"/>
    <w:rsid w:val="003A0146"/>
    <w:rsid w:val="003A488B"/>
    <w:rsid w:val="003C2891"/>
    <w:rsid w:val="003D44CE"/>
    <w:rsid w:val="003D4AA5"/>
    <w:rsid w:val="003E0902"/>
    <w:rsid w:val="003E1EED"/>
    <w:rsid w:val="003E5A3D"/>
    <w:rsid w:val="003F6ED6"/>
    <w:rsid w:val="00414150"/>
    <w:rsid w:val="00417138"/>
    <w:rsid w:val="0042790B"/>
    <w:rsid w:val="00431C38"/>
    <w:rsid w:val="00433A75"/>
    <w:rsid w:val="0043726B"/>
    <w:rsid w:val="0044231D"/>
    <w:rsid w:val="00443485"/>
    <w:rsid w:val="00451A8A"/>
    <w:rsid w:val="00453999"/>
    <w:rsid w:val="00475688"/>
    <w:rsid w:val="00483EC5"/>
    <w:rsid w:val="00490E51"/>
    <w:rsid w:val="004931A5"/>
    <w:rsid w:val="004F0543"/>
    <w:rsid w:val="00510883"/>
    <w:rsid w:val="00521FA6"/>
    <w:rsid w:val="0053582F"/>
    <w:rsid w:val="0053586E"/>
    <w:rsid w:val="0054145E"/>
    <w:rsid w:val="00563C88"/>
    <w:rsid w:val="00582521"/>
    <w:rsid w:val="005828CE"/>
    <w:rsid w:val="00586707"/>
    <w:rsid w:val="005912A1"/>
    <w:rsid w:val="00593C8A"/>
    <w:rsid w:val="005C6542"/>
    <w:rsid w:val="005D255A"/>
    <w:rsid w:val="005D37CE"/>
    <w:rsid w:val="005D670C"/>
    <w:rsid w:val="00620CE3"/>
    <w:rsid w:val="00625B95"/>
    <w:rsid w:val="0064012D"/>
    <w:rsid w:val="00643113"/>
    <w:rsid w:val="006439C5"/>
    <w:rsid w:val="00647318"/>
    <w:rsid w:val="006549E3"/>
    <w:rsid w:val="006703B7"/>
    <w:rsid w:val="00681022"/>
    <w:rsid w:val="00681AD9"/>
    <w:rsid w:val="00683311"/>
    <w:rsid w:val="00694F52"/>
    <w:rsid w:val="006C3EE6"/>
    <w:rsid w:val="006D0B7D"/>
    <w:rsid w:val="006D1DD6"/>
    <w:rsid w:val="006D32A0"/>
    <w:rsid w:val="00711A8A"/>
    <w:rsid w:val="00724E7C"/>
    <w:rsid w:val="00731AF8"/>
    <w:rsid w:val="007623A8"/>
    <w:rsid w:val="00773D8B"/>
    <w:rsid w:val="00783CD4"/>
    <w:rsid w:val="00791FA7"/>
    <w:rsid w:val="007B70AD"/>
    <w:rsid w:val="007D4953"/>
    <w:rsid w:val="007D787D"/>
    <w:rsid w:val="007E086F"/>
    <w:rsid w:val="007F3C9B"/>
    <w:rsid w:val="00802C64"/>
    <w:rsid w:val="00817A10"/>
    <w:rsid w:val="0084500C"/>
    <w:rsid w:val="008459A9"/>
    <w:rsid w:val="00845A54"/>
    <w:rsid w:val="00850B79"/>
    <w:rsid w:val="00865CE6"/>
    <w:rsid w:val="0088497D"/>
    <w:rsid w:val="008943C4"/>
    <w:rsid w:val="008C6F06"/>
    <w:rsid w:val="008C70C5"/>
    <w:rsid w:val="008F030E"/>
    <w:rsid w:val="008F1741"/>
    <w:rsid w:val="008F3A50"/>
    <w:rsid w:val="008F49E7"/>
    <w:rsid w:val="00924CD9"/>
    <w:rsid w:val="00935809"/>
    <w:rsid w:val="00957D58"/>
    <w:rsid w:val="00963B04"/>
    <w:rsid w:val="00982F71"/>
    <w:rsid w:val="009A71AF"/>
    <w:rsid w:val="009B1546"/>
    <w:rsid w:val="009B651F"/>
    <w:rsid w:val="009D3CEB"/>
    <w:rsid w:val="009D7A7A"/>
    <w:rsid w:val="009E3E2C"/>
    <w:rsid w:val="009E68C6"/>
    <w:rsid w:val="00A019A8"/>
    <w:rsid w:val="00A160F5"/>
    <w:rsid w:val="00A310EA"/>
    <w:rsid w:val="00A46C4A"/>
    <w:rsid w:val="00A50FB7"/>
    <w:rsid w:val="00A550B2"/>
    <w:rsid w:val="00A6165E"/>
    <w:rsid w:val="00A675D3"/>
    <w:rsid w:val="00A719DB"/>
    <w:rsid w:val="00A71F3D"/>
    <w:rsid w:val="00A842EA"/>
    <w:rsid w:val="00A874DA"/>
    <w:rsid w:val="00A97679"/>
    <w:rsid w:val="00AE59EE"/>
    <w:rsid w:val="00B27C9F"/>
    <w:rsid w:val="00B37CD7"/>
    <w:rsid w:val="00B53557"/>
    <w:rsid w:val="00B703D3"/>
    <w:rsid w:val="00B808FF"/>
    <w:rsid w:val="00B82B92"/>
    <w:rsid w:val="00B85F8F"/>
    <w:rsid w:val="00B928F7"/>
    <w:rsid w:val="00B9498C"/>
    <w:rsid w:val="00BB5725"/>
    <w:rsid w:val="00C11B5A"/>
    <w:rsid w:val="00C22E87"/>
    <w:rsid w:val="00C32789"/>
    <w:rsid w:val="00C34C5C"/>
    <w:rsid w:val="00C34FEA"/>
    <w:rsid w:val="00C35660"/>
    <w:rsid w:val="00C5056E"/>
    <w:rsid w:val="00C57749"/>
    <w:rsid w:val="00C60338"/>
    <w:rsid w:val="00C703CE"/>
    <w:rsid w:val="00C71C2D"/>
    <w:rsid w:val="00C745E7"/>
    <w:rsid w:val="00C8192F"/>
    <w:rsid w:val="00C82B14"/>
    <w:rsid w:val="00C97FD1"/>
    <w:rsid w:val="00CA234B"/>
    <w:rsid w:val="00CB3462"/>
    <w:rsid w:val="00CB767C"/>
    <w:rsid w:val="00CC6BB9"/>
    <w:rsid w:val="00CC79C0"/>
    <w:rsid w:val="00CE6742"/>
    <w:rsid w:val="00CF5053"/>
    <w:rsid w:val="00D07713"/>
    <w:rsid w:val="00D16B80"/>
    <w:rsid w:val="00D257C1"/>
    <w:rsid w:val="00D30DDE"/>
    <w:rsid w:val="00D31197"/>
    <w:rsid w:val="00D35D40"/>
    <w:rsid w:val="00D4207F"/>
    <w:rsid w:val="00D4574F"/>
    <w:rsid w:val="00D53424"/>
    <w:rsid w:val="00D56304"/>
    <w:rsid w:val="00D76EC3"/>
    <w:rsid w:val="00D80ACB"/>
    <w:rsid w:val="00D90931"/>
    <w:rsid w:val="00D91BDB"/>
    <w:rsid w:val="00DA0C5D"/>
    <w:rsid w:val="00DD6027"/>
    <w:rsid w:val="00DD6379"/>
    <w:rsid w:val="00E23E54"/>
    <w:rsid w:val="00E306CB"/>
    <w:rsid w:val="00E41840"/>
    <w:rsid w:val="00E57043"/>
    <w:rsid w:val="00E6189A"/>
    <w:rsid w:val="00E667CB"/>
    <w:rsid w:val="00E750CC"/>
    <w:rsid w:val="00E80A0B"/>
    <w:rsid w:val="00E82940"/>
    <w:rsid w:val="00E85520"/>
    <w:rsid w:val="00E85F3F"/>
    <w:rsid w:val="00E9568F"/>
    <w:rsid w:val="00EB476F"/>
    <w:rsid w:val="00EC136E"/>
    <w:rsid w:val="00EC2814"/>
    <w:rsid w:val="00EC59FB"/>
    <w:rsid w:val="00EE150B"/>
    <w:rsid w:val="00EF09A7"/>
    <w:rsid w:val="00EF18A3"/>
    <w:rsid w:val="00F0076E"/>
    <w:rsid w:val="00F118B1"/>
    <w:rsid w:val="00F22A71"/>
    <w:rsid w:val="00F27D86"/>
    <w:rsid w:val="00F46A54"/>
    <w:rsid w:val="00F5130C"/>
    <w:rsid w:val="00F70EC7"/>
    <w:rsid w:val="00F7631C"/>
    <w:rsid w:val="00F87871"/>
    <w:rsid w:val="00F9263F"/>
    <w:rsid w:val="00F94113"/>
    <w:rsid w:val="00F964EA"/>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Q4'!$F$3</c:f>
              <c:strCache>
                <c:ptCount val="1"/>
                <c:pt idx="0">
                  <c:v>Contribution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Q4'!$B$4:$B$9</c:f>
              <c:strCache>
                <c:ptCount val="6"/>
                <c:pt idx="0">
                  <c:v>Consumption</c:v>
                </c:pt>
                <c:pt idx="1">
                  <c:v>Government Spending</c:v>
                </c:pt>
                <c:pt idx="2">
                  <c:v>Investment</c:v>
                </c:pt>
                <c:pt idx="3">
                  <c:v>Change in Stock</c:v>
                </c:pt>
                <c:pt idx="4">
                  <c:v>Export</c:v>
                </c:pt>
                <c:pt idx="5">
                  <c:v>Import</c:v>
                </c:pt>
              </c:strCache>
            </c:strRef>
          </c:cat>
          <c:val>
            <c:numRef>
              <c:f>'2017 Q4'!$F$4:$F$9</c:f>
              <c:numCache>
                <c:formatCode>#,#00</c:formatCode>
                <c:ptCount val="6"/>
                <c:pt idx="0">
                  <c:v>3.9820319033239699</c:v>
                </c:pt>
                <c:pt idx="1">
                  <c:v>1.2008315711227999</c:v>
                </c:pt>
                <c:pt idx="2">
                  <c:v>1.8029987066923601</c:v>
                </c:pt>
                <c:pt idx="3">
                  <c:v>3.65526059297183</c:v>
                </c:pt>
                <c:pt idx="4">
                  <c:v>1.9757669313804</c:v>
                </c:pt>
                <c:pt idx="5">
                  <c:v>-5.40812384620647</c:v>
                </c:pt>
              </c:numCache>
            </c:numRef>
          </c:val>
          <c:extLst>
            <c:ext xmlns:c16="http://schemas.microsoft.com/office/drawing/2014/chart" uri="{C3380CC4-5D6E-409C-BE32-E72D297353CC}">
              <c16:uniqueId val="{00000000-669B-4156-A2A1-93CA7BE1E4A2}"/>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Q4'!$E$3</c:f>
              <c:strCache>
                <c:ptCount val="1"/>
                <c:pt idx="0">
                  <c:v>Change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Q4'!$B$4:$B$10</c:f>
              <c:strCache>
                <c:ptCount val="6"/>
                <c:pt idx="0">
                  <c:v>Consumption</c:v>
                </c:pt>
                <c:pt idx="1">
                  <c:v>Government Spending</c:v>
                </c:pt>
                <c:pt idx="2">
                  <c:v>Investment</c:v>
                </c:pt>
                <c:pt idx="3">
                  <c:v>Export</c:v>
                </c:pt>
                <c:pt idx="4">
                  <c:v>Import</c:v>
                </c:pt>
                <c:pt idx="5">
                  <c:v>GDP</c:v>
                </c:pt>
              </c:strCache>
            </c:strRef>
          </c:cat>
          <c:val>
            <c:numRef>
              <c:f>'2017 Q4'!$E$4:$E$10</c:f>
              <c:numCache>
                <c:formatCode>#,#00</c:formatCode>
                <c:ptCount val="6"/>
                <c:pt idx="0">
                  <c:v>6.643356643356646</c:v>
                </c:pt>
                <c:pt idx="1">
                  <c:v>7.4185765983111995</c:v>
                </c:pt>
                <c:pt idx="2">
                  <c:v>6.0567010309278357</c:v>
                </c:pt>
                <c:pt idx="3">
                  <c:v>9.2639593908629294</c:v>
                </c:pt>
                <c:pt idx="4">
                  <c:v>22.660996354799522</c:v>
                </c:pt>
                <c:pt idx="5">
                  <c:v>7.2087658592848936</c:v>
                </c:pt>
              </c:numCache>
            </c:numRef>
          </c:val>
          <c:extLst>
            <c:ext xmlns:c16="http://schemas.microsoft.com/office/drawing/2014/chart" uri="{C3380CC4-5D6E-409C-BE32-E72D297353CC}">
              <c16:uniqueId val="{00000000-4246-4EF5-AF81-A01C4CC3ED16}"/>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'2017Q3'!$E$24</c:f>
              <c:strCache>
                <c:ptCount val="1"/>
                <c:pt idx="0">
                  <c:v>Annual Change</c:v>
                </c:pt>
              </c:strCache>
            </c:strRef>
          </c:tx>
          <c:spPr>
            <a:solidFill>
              <a:schemeClr val="accent1"/>
            </a:solidFill>
            <a:ln>
              <a:noFill/>
            </a:ln>
            <a:effectLst/>
          </c:spPr>
          <c:invertIfNegative val="0"/>
          <c:cat>
            <c:strRef>
              <c:f>'2017Q3'!$A$29:$A$47</c:f>
              <c:strCache>
                <c:ptCount val="19"/>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strCache>
            </c:strRef>
          </c:cat>
          <c:val>
            <c:numRef>
              <c:f>'2017Q3'!$E$29:$E$47</c:f>
              <c:numCache>
                <c:formatCode>#,#00</c:formatCode>
                <c:ptCount val="19"/>
                <c:pt idx="0">
                  <c:v>8.4909431858267723</c:v>
                </c:pt>
                <c:pt idx="1">
                  <c:v>9.8066583709793598</c:v>
                </c:pt>
                <c:pt idx="2">
                  <c:v>8.9226688514583365</c:v>
                </c:pt>
                <c:pt idx="3">
                  <c:v>6.8804097350678939</c:v>
                </c:pt>
                <c:pt idx="4">
                  <c:v>8.6795143727417035</c:v>
                </c:pt>
                <c:pt idx="5">
                  <c:v>2.8975439088678057</c:v>
                </c:pt>
                <c:pt idx="6">
                  <c:v>3.6662593905314678</c:v>
                </c:pt>
                <c:pt idx="7">
                  <c:v>5.9302728900138213</c:v>
                </c:pt>
                <c:pt idx="8">
                  <c:v>3.6016445047976742</c:v>
                </c:pt>
                <c:pt idx="9">
                  <c:v>7.1600269296134833</c:v>
                </c:pt>
                <c:pt idx="10">
                  <c:v>5.7850603575118065</c:v>
                </c:pt>
                <c:pt idx="11">
                  <c:v>7.4964856153131754</c:v>
                </c:pt>
                <c:pt idx="12">
                  <c:v>4.8088368019147953</c:v>
                </c:pt>
                <c:pt idx="13">
                  <c:v>4.9296739103085629</c:v>
                </c:pt>
                <c:pt idx="14">
                  <c:v>-0.81201904466838837</c:v>
                </c:pt>
                <c:pt idx="15">
                  <c:v>4.2392838762529639</c:v>
                </c:pt>
                <c:pt idx="16">
                  <c:v>5.288035968400151</c:v>
                </c:pt>
                <c:pt idx="17">
                  <c:v>5.402847797857957</c:v>
                </c:pt>
                <c:pt idx="18">
                  <c:v>11.062810163437398</c:v>
                </c:pt>
              </c:numCache>
            </c:numRef>
          </c:val>
          <c:extLst>
            <c:ext xmlns:c16="http://schemas.microsoft.com/office/drawing/2014/chart" uri="{C3380CC4-5D6E-409C-BE32-E72D297353CC}">
              <c16:uniqueId val="{00000000-9534-40A4-AC23-D750E0701CC2}"/>
            </c:ext>
          </c:extLst>
        </c:ser>
        <c:dLbls>
          <c:showLegendKey val="0"/>
          <c:showVal val="0"/>
          <c:showCatName val="0"/>
          <c:showSerName val="0"/>
          <c:showPercent val="0"/>
          <c:showBubbleSize val="0"/>
        </c:dLbls>
        <c:gapWidth val="75"/>
        <c:overlap val="-25"/>
        <c:axId val="172626688"/>
        <c:axId val="172628224"/>
      </c:barChart>
      <c:lineChart>
        <c:grouping val="standard"/>
        <c:varyColors val="0"/>
        <c:ser>
          <c:idx val="1"/>
          <c:order val="1"/>
          <c:tx>
            <c:strRef>
              <c:f>'2017Q3'!$F$24</c:f>
              <c:strCache>
                <c:ptCount val="1"/>
                <c:pt idx="0">
                  <c:v>Quarter Change</c:v>
                </c:pt>
              </c:strCache>
            </c:strRef>
          </c:tx>
          <c:spPr>
            <a:ln w="25400" cap="rnd">
              <a:solidFill>
                <a:schemeClr val="tx1"/>
              </a:solidFill>
              <a:round/>
            </a:ln>
            <a:effectLst/>
          </c:spPr>
          <c:marker>
            <c:symbol val="none"/>
          </c:marker>
          <c:cat>
            <c:strRef>
              <c:f>'2017Q3'!$A$29:$A$46</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'2017Q3'!$F$29:$F$47</c:f>
              <c:numCache>
                <c:formatCode>#,#00</c:formatCode>
                <c:ptCount val="19"/>
                <c:pt idx="0">
                  <c:v>3.6208473643695616</c:v>
                </c:pt>
                <c:pt idx="1">
                  <c:v>2.6178718129820089</c:v>
                </c:pt>
                <c:pt idx="2">
                  <c:v>1.3467776232332307</c:v>
                </c:pt>
                <c:pt idx="3">
                  <c:v>0.7323027399487092</c:v>
                </c:pt>
                <c:pt idx="4">
                  <c:v>2.6718976092919622</c:v>
                </c:pt>
                <c:pt idx="5">
                  <c:v>-1.5793595551011674</c:v>
                </c:pt>
                <c:pt idx="6">
                  <c:v>2.4077602221656669</c:v>
                </c:pt>
                <c:pt idx="7">
                  <c:v>1.434532834556923</c:v>
                </c:pt>
                <c:pt idx="8">
                  <c:v>1.937374461851582</c:v>
                </c:pt>
                <c:pt idx="9">
                  <c:v>1.4531695264411226</c:v>
                </c:pt>
                <c:pt idx="10">
                  <c:v>1.2942204992881123</c:v>
                </c:pt>
                <c:pt idx="11">
                  <c:v>1.0416374035632225</c:v>
                </c:pt>
                <c:pt idx="12">
                  <c:v>0.61615591246657608</c:v>
                </c:pt>
                <c:pt idx="13">
                  <c:v>1.2313692126673104</c:v>
                </c:pt>
                <c:pt idx="14">
                  <c:v>-2.6468336491448419</c:v>
                </c:pt>
                <c:pt idx="15">
                  <c:v>4.8728361431714662</c:v>
                </c:pt>
                <c:pt idx="16">
                  <c:v>1.6444724346367234</c:v>
                </c:pt>
                <c:pt idx="17">
                  <c:v>2.1990781661971326</c:v>
                </c:pt>
                <c:pt idx="18">
                  <c:v>1.185495150634841</c:v>
                </c:pt>
              </c:numCache>
            </c:numRef>
          </c:val>
          <c:smooth val="0"/>
          <c:extLst>
            <c:ext xmlns:c16="http://schemas.microsoft.com/office/drawing/2014/chart" uri="{C3380CC4-5D6E-409C-BE32-E72D297353CC}">
              <c16:uniqueId val="{00000001-9534-40A4-AC23-D750E0701CC2}"/>
            </c:ext>
          </c:extLst>
        </c:ser>
        <c:dLbls>
          <c:showLegendKey val="0"/>
          <c:showVal val="0"/>
          <c:showCatName val="0"/>
          <c:showSerName val="0"/>
          <c:showPercent val="0"/>
          <c:showBubbleSize val="0"/>
        </c:dLbls>
        <c:marker val="1"/>
        <c:smooth val="0"/>
        <c:axId val="172626688"/>
        <c:axId val="172628224"/>
      </c:lineChart>
      <c:catAx>
        <c:axId val="1726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72628224"/>
        <c:crosses val="autoZero"/>
        <c:auto val="1"/>
        <c:lblAlgn val="ctr"/>
        <c:lblOffset val="100"/>
        <c:noMultiLvlLbl val="0"/>
      </c:catAx>
      <c:valAx>
        <c:axId val="172628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62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F321-C2A2-4343-9983-DF415967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7148</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merve.akgul</cp:lastModifiedBy>
  <cp:revision>3</cp:revision>
  <cp:lastPrinted>2017-12-14T09:18:00Z</cp:lastPrinted>
  <dcterms:created xsi:type="dcterms:W3CDTF">2018-07-09T08:12:00Z</dcterms:created>
  <dcterms:modified xsi:type="dcterms:W3CDTF">2018-07-09T08:59:00Z</dcterms:modified>
</cp:coreProperties>
</file>