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19994" w14:textId="77777777" w:rsidR="00D07713" w:rsidRPr="00924CD9" w:rsidRDefault="00D90931">
      <w:pPr>
        <w:rPr>
          <w:rFonts w:ascii="Palatino Linotype" w:hAnsi="Palatino Linotype" w:cstheme="minorHAnsi"/>
        </w:rPr>
      </w:pPr>
      <w:r>
        <w:rPr>
          <w:rFonts w:ascii="Palatino Linotype" w:hAnsi="Palatino Linotype" w:cstheme="minorHAnsi"/>
          <w:noProof/>
          <w:lang w:val="tr-TR"/>
        </w:rPr>
        <mc:AlternateContent>
          <mc:Choice Requires="wps">
            <w:drawing>
              <wp:anchor distT="0" distB="0" distL="114935" distR="114935" simplePos="0" relativeHeight="251661824" behindDoc="0" locked="0" layoutInCell="1" allowOverlap="1" wp14:anchorId="690A72DB" wp14:editId="50E534B8">
                <wp:simplePos x="0" y="0"/>
                <wp:positionH relativeFrom="column">
                  <wp:posOffset>5100955</wp:posOffset>
                </wp:positionH>
                <wp:positionV relativeFrom="paragraph">
                  <wp:posOffset>33020</wp:posOffset>
                </wp:positionV>
                <wp:extent cx="171196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85288C" w14:textId="68DCA782" w:rsidR="00D07713" w:rsidRPr="00D07713" w:rsidRDefault="003566E5"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19</w:t>
                            </w:r>
                            <w:r w:rsidR="00D07713" w:rsidRPr="00D07713">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June</w:t>
                            </w:r>
                            <w:r w:rsidR="00D07713" w:rsidRPr="00D07713">
                              <w:rPr>
                                <w:rFonts w:ascii="Arial" w:eastAsia="Times New Roman" w:hAnsi="Arial" w:cs="Arial"/>
                                <w:b/>
                                <w:bCs/>
                                <w:color w:val="FFFFFF"/>
                                <w:sz w:val="22"/>
                                <w:szCs w:val="22"/>
                                <w:lang w:eastAsia="ar-SA"/>
                              </w:rPr>
                              <w:t xml:space="preserve"> 201</w:t>
                            </w:r>
                            <w:r w:rsidR="008459A9">
                              <w:rPr>
                                <w:rFonts w:ascii="Arial" w:eastAsia="Times New Roman" w:hAnsi="Arial" w:cs="Arial"/>
                                <w:b/>
                                <w:bCs/>
                                <w:color w:val="FFFFFF"/>
                                <w:sz w:val="22"/>
                                <w:szCs w:val="22"/>
                                <w:lang w:eastAsia="ar-SA"/>
                              </w:rPr>
                              <w:t>8</w:t>
                            </w:r>
                          </w:p>
                          <w:p w14:paraId="5D7146F8" w14:textId="77777777" w:rsidR="00D07713" w:rsidRPr="00187FA0" w:rsidRDefault="00D07713"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A72DB" id="_x0000_t202" coordsize="21600,21600" o:spt="202" path="m,l,21600r21600,l21600,xe">
                <v:stroke joinstyle="miter"/>
                <v:path gradientshapeok="t" o:connecttype="rect"/>
              </v:shapetype>
              <v:shape id="Text Box 3" o:spid="_x0000_s1026" type="#_x0000_t202" style="position:absolute;margin-left:401.65pt;margin-top:2.6pt;width:134.8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" stroked="f">
                <v:fill opacity="0"/>
                <v:textbox inset="0,0,0,0">
                  <w:txbxContent>
                    <w:p w14:paraId="2685288C" w14:textId="68DCA782" w:rsidR="00D07713" w:rsidRPr="00D07713" w:rsidRDefault="003566E5" w:rsidP="00D07713">
                      <w:pPr>
                        <w:pStyle w:val="Heading3"/>
                        <w:keepLines w:val="0"/>
                        <w:tabs>
                          <w:tab w:val="num" w:pos="720"/>
                        </w:tabs>
                        <w:suppressAutoHyphens/>
                        <w:spacing w:before="240" w:after="60"/>
                        <w:ind w:left="720" w:hanging="720"/>
                        <w:rPr>
                          <w:rFonts w:ascii="Arial" w:eastAsia="Times New Roman" w:hAnsi="Arial" w:cs="Arial"/>
                          <w:b/>
                          <w:bCs/>
                          <w:color w:val="FFFFFF"/>
                          <w:sz w:val="22"/>
                          <w:szCs w:val="22"/>
                          <w:lang w:eastAsia="ar-SA"/>
                        </w:rPr>
                      </w:pPr>
                      <w:r>
                        <w:rPr>
                          <w:rFonts w:ascii="Arial" w:eastAsia="Times New Roman" w:hAnsi="Arial" w:cs="Arial"/>
                          <w:b/>
                          <w:bCs/>
                          <w:color w:val="FFFFFF"/>
                          <w:sz w:val="22"/>
                          <w:szCs w:val="22"/>
                          <w:lang w:eastAsia="ar-SA"/>
                        </w:rPr>
                        <w:t>19</w:t>
                      </w:r>
                      <w:r w:rsidR="00D07713" w:rsidRPr="00D07713">
                        <w:rPr>
                          <w:rFonts w:ascii="Arial" w:eastAsia="Times New Roman" w:hAnsi="Arial" w:cs="Arial"/>
                          <w:b/>
                          <w:bCs/>
                          <w:color w:val="FFFFFF"/>
                          <w:sz w:val="22"/>
                          <w:szCs w:val="22"/>
                          <w:lang w:eastAsia="ar-SA"/>
                        </w:rPr>
                        <w:t xml:space="preserve"> </w:t>
                      </w:r>
                      <w:r>
                        <w:rPr>
                          <w:rFonts w:ascii="Arial" w:eastAsia="Times New Roman" w:hAnsi="Arial" w:cs="Arial"/>
                          <w:b/>
                          <w:bCs/>
                          <w:color w:val="FFFFFF"/>
                          <w:sz w:val="22"/>
                          <w:szCs w:val="22"/>
                          <w:lang w:eastAsia="ar-SA"/>
                        </w:rPr>
                        <w:t>June</w:t>
                      </w:r>
                      <w:r w:rsidR="00D07713" w:rsidRPr="00D07713">
                        <w:rPr>
                          <w:rFonts w:ascii="Arial" w:eastAsia="Times New Roman" w:hAnsi="Arial" w:cs="Arial"/>
                          <w:b/>
                          <w:bCs/>
                          <w:color w:val="FFFFFF"/>
                          <w:sz w:val="22"/>
                          <w:szCs w:val="22"/>
                          <w:lang w:eastAsia="ar-SA"/>
                        </w:rPr>
                        <w:t xml:space="preserve"> 201</w:t>
                      </w:r>
                      <w:r w:rsidR="008459A9">
                        <w:rPr>
                          <w:rFonts w:ascii="Arial" w:eastAsia="Times New Roman" w:hAnsi="Arial" w:cs="Arial"/>
                          <w:b/>
                          <w:bCs/>
                          <w:color w:val="FFFFFF"/>
                          <w:sz w:val="22"/>
                          <w:szCs w:val="22"/>
                          <w:lang w:eastAsia="ar-SA"/>
                        </w:rPr>
                        <w:t>8</w:t>
                      </w:r>
                    </w:p>
                    <w:p w14:paraId="5D7146F8" w14:textId="77777777" w:rsidR="00D07713" w:rsidRPr="00187FA0" w:rsidRDefault="00D07713" w:rsidP="00D07713"/>
                  </w:txbxContent>
                </v:textbox>
              </v:shape>
            </w:pict>
          </mc:Fallback>
        </mc:AlternateContent>
      </w:r>
      <w:r>
        <w:rPr>
          <w:rFonts w:ascii="Palatino Linotype" w:hAnsi="Palatino Linotype" w:cstheme="minorHAnsi"/>
          <w:noProof/>
          <w:lang w:val="tr-TR"/>
        </w:rPr>
        <mc:AlternateContent>
          <mc:Choice Requires="wps">
            <w:drawing>
              <wp:anchor distT="0" distB="0" distL="114935" distR="114935" simplePos="0" relativeHeight="251658752" behindDoc="0" locked="0" layoutInCell="1" allowOverlap="1" wp14:anchorId="042445AC" wp14:editId="7E918E41">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0AB946C6" w:rsidR="00D07713" w:rsidRPr="00526178" w:rsidRDefault="001537D8" w:rsidP="00D07713">
                            <w:pPr>
                              <w:pStyle w:val="Heading1"/>
                              <w:rPr>
                                <w:b w:val="0"/>
                                <w:bCs w:val="0"/>
                                <w:i/>
                                <w:iCs/>
                              </w:rPr>
                            </w:pPr>
                            <w:r>
                              <w:rPr>
                                <w:rFonts w:ascii="Times New Roman" w:hAnsi="Times New Roman" w:cs="Times New Roman"/>
                                <w:sz w:val="40"/>
                                <w:szCs w:val="40"/>
                              </w:rPr>
                              <w:t>201</w:t>
                            </w:r>
                            <w:r w:rsidR="003566E5">
                              <w:rPr>
                                <w:rFonts w:ascii="Times New Roman" w:hAnsi="Times New Roman" w:cs="Times New Roman"/>
                                <w:sz w:val="40"/>
                                <w:szCs w:val="40"/>
                              </w:rPr>
                              <w:t>8</w:t>
                            </w:r>
                            <w:r>
                              <w:rPr>
                                <w:rFonts w:ascii="Times New Roman" w:hAnsi="Times New Roman" w:cs="Times New Roman"/>
                                <w:sz w:val="40"/>
                                <w:szCs w:val="40"/>
                              </w:rPr>
                              <w:t xml:space="preserve"> </w:t>
                            </w:r>
                            <w:r w:rsidR="003566E5">
                              <w:rPr>
                                <w:rFonts w:ascii="Times New Roman" w:hAnsi="Times New Roman" w:cs="Times New Roman"/>
                                <w:sz w:val="40"/>
                                <w:szCs w:val="40"/>
                              </w:rPr>
                              <w:t>1</w:t>
                            </w:r>
                            <w:r w:rsidR="003566E5">
                              <w:rPr>
                                <w:rFonts w:ascii="Times New Roman" w:hAnsi="Times New Roman" w:cs="Times New Roman"/>
                                <w:sz w:val="40"/>
                                <w:szCs w:val="40"/>
                                <w:vertAlign w:val="superscript"/>
                              </w:rPr>
                              <w:t>ST</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45AC" id="Text Box 2" o:spid="_x0000_s1027" type="#_x0000_t202" style="position:absolute;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14:paraId="220F8820" w14:textId="77777777" w:rsidR="00D07713" w:rsidRDefault="00414150" w:rsidP="00D07713">
                      <w:pPr>
                        <w:pStyle w:val="Heading1"/>
                        <w:rPr>
                          <w:rFonts w:ascii="Times New Roman" w:hAnsi="Times New Roman" w:cs="Times New Roman"/>
                          <w:sz w:val="40"/>
                          <w:szCs w:val="40"/>
                        </w:rPr>
                      </w:pPr>
                      <w:r>
                        <w:rPr>
                          <w:rFonts w:ascii="Times New Roman" w:hAnsi="Times New Roman" w:cs="Times New Roman"/>
                          <w:sz w:val="40"/>
                          <w:szCs w:val="40"/>
                        </w:rPr>
                        <w:t>Growth Evaluation</w:t>
                      </w:r>
                      <w:r w:rsidR="00D07713" w:rsidRPr="00803E3E">
                        <w:rPr>
                          <w:rFonts w:ascii="Times New Roman" w:hAnsi="Times New Roman" w:cs="Times New Roman"/>
                          <w:sz w:val="40"/>
                          <w:szCs w:val="40"/>
                        </w:rPr>
                        <w:t xml:space="preserve">: </w:t>
                      </w:r>
                    </w:p>
                    <w:p w14:paraId="48E6084B" w14:textId="0AB946C6" w:rsidR="00D07713" w:rsidRPr="00526178" w:rsidRDefault="001537D8" w:rsidP="00D07713">
                      <w:pPr>
                        <w:pStyle w:val="Heading1"/>
                        <w:rPr>
                          <w:b w:val="0"/>
                          <w:bCs w:val="0"/>
                          <w:i/>
                          <w:iCs/>
                        </w:rPr>
                      </w:pPr>
                      <w:r>
                        <w:rPr>
                          <w:rFonts w:ascii="Times New Roman" w:hAnsi="Times New Roman" w:cs="Times New Roman"/>
                          <w:sz w:val="40"/>
                          <w:szCs w:val="40"/>
                        </w:rPr>
                        <w:t>201</w:t>
                      </w:r>
                      <w:r w:rsidR="003566E5">
                        <w:rPr>
                          <w:rFonts w:ascii="Times New Roman" w:hAnsi="Times New Roman" w:cs="Times New Roman"/>
                          <w:sz w:val="40"/>
                          <w:szCs w:val="40"/>
                        </w:rPr>
                        <w:t>8</w:t>
                      </w:r>
                      <w:r>
                        <w:rPr>
                          <w:rFonts w:ascii="Times New Roman" w:hAnsi="Times New Roman" w:cs="Times New Roman"/>
                          <w:sz w:val="40"/>
                          <w:szCs w:val="40"/>
                        </w:rPr>
                        <w:t xml:space="preserve"> </w:t>
                      </w:r>
                      <w:r w:rsidR="003566E5">
                        <w:rPr>
                          <w:rFonts w:ascii="Times New Roman" w:hAnsi="Times New Roman" w:cs="Times New Roman"/>
                          <w:sz w:val="40"/>
                          <w:szCs w:val="40"/>
                        </w:rPr>
                        <w:t>1</w:t>
                      </w:r>
                      <w:r w:rsidR="003566E5">
                        <w:rPr>
                          <w:rFonts w:ascii="Times New Roman" w:hAnsi="Times New Roman" w:cs="Times New Roman"/>
                          <w:sz w:val="40"/>
                          <w:szCs w:val="40"/>
                          <w:vertAlign w:val="superscript"/>
                        </w:rPr>
                        <w:t>ST</w:t>
                      </w:r>
                      <w:r w:rsidR="00D07713" w:rsidRPr="00803E3E">
                        <w:rPr>
                          <w:rFonts w:ascii="Times New Roman" w:hAnsi="Times New Roman" w:cs="Times New Roman"/>
                          <w:sz w:val="40"/>
                          <w:szCs w:val="40"/>
                        </w:rPr>
                        <w:t xml:space="preserve"> </w:t>
                      </w:r>
                      <w:r w:rsidR="00414150">
                        <w:rPr>
                          <w:rFonts w:ascii="Times New Roman" w:hAnsi="Times New Roman" w:cs="Times New Roman"/>
                          <w:sz w:val="40"/>
                          <w:szCs w:val="40"/>
                        </w:rPr>
                        <w:t>Quarter</w:t>
                      </w:r>
                    </w:p>
                  </w:txbxContent>
                </v:textbox>
              </v:shape>
            </w:pict>
          </mc:Fallback>
        </mc:AlternateContent>
      </w:r>
      <w:r w:rsidR="00D07713" w:rsidRPr="00924CD9">
        <w:rPr>
          <w:rFonts w:ascii="Palatino Linotype" w:hAnsi="Palatino Linotype" w:cstheme="minorHAnsi"/>
          <w:noProof/>
          <w:lang w:val="tr-TR"/>
        </w:rPr>
        <w:drawing>
          <wp:anchor distT="0" distB="0" distL="114300" distR="114300" simplePos="0" relativeHeight="251655680" behindDoc="1" locked="0" layoutInCell="1" allowOverlap="1" wp14:anchorId="310B4B5A" wp14:editId="1956795D">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14:paraId="425D7B57" w14:textId="77777777" w:rsidR="00D07713" w:rsidRPr="00924CD9" w:rsidRDefault="00D07713">
      <w:pPr>
        <w:rPr>
          <w:rFonts w:ascii="Palatino Linotype" w:hAnsi="Palatino Linotype" w:cstheme="minorHAnsi"/>
        </w:rPr>
      </w:pPr>
    </w:p>
    <w:p w14:paraId="17518868" w14:textId="77777777" w:rsidR="00D07713" w:rsidRPr="00924CD9" w:rsidRDefault="00D07713" w:rsidP="00D07713">
      <w:pPr>
        <w:spacing w:line="288" w:lineRule="auto"/>
        <w:ind w:right="-319"/>
        <w:jc w:val="center"/>
        <w:outlineLvl w:val="0"/>
        <w:rPr>
          <w:rFonts w:ascii="Palatino Linotype" w:hAnsi="Palatino Linotype" w:cstheme="minorHAnsi"/>
          <w:b/>
          <w:bCs/>
          <w:sz w:val="28"/>
          <w:szCs w:val="28"/>
        </w:rPr>
      </w:pPr>
    </w:p>
    <w:p w14:paraId="45202FCF" w14:textId="77777777" w:rsidR="00C33714" w:rsidRPr="00111CED" w:rsidRDefault="00C33714" w:rsidP="00C33714">
      <w:pPr>
        <w:spacing w:line="288" w:lineRule="auto"/>
        <w:ind w:right="-319"/>
        <w:jc w:val="center"/>
        <w:outlineLvl w:val="0"/>
        <w:rPr>
          <w:rFonts w:ascii="Palatino Linotype" w:hAnsi="Palatino Linotype" w:cstheme="minorHAnsi"/>
          <w:b/>
          <w:bCs/>
          <w:sz w:val="28"/>
          <w:szCs w:val="28"/>
        </w:rPr>
      </w:pPr>
      <w:r>
        <w:rPr>
          <w:rFonts w:ascii="Palatino Linotype" w:hAnsi="Palatino Linotype" w:cstheme="minorHAnsi"/>
          <w:b/>
          <w:bCs/>
          <w:sz w:val="28"/>
          <w:szCs w:val="28"/>
        </w:rPr>
        <w:t>HIGH GROWTH SUPPORTED BY PRIVATE CONSUMPTION AND INVESTMENTS</w:t>
      </w:r>
    </w:p>
    <w:p w14:paraId="22314509" w14:textId="77777777" w:rsidR="00D07713" w:rsidRPr="00924CD9" w:rsidRDefault="003172DB" w:rsidP="00D07713">
      <w:pPr>
        <w:jc w:val="center"/>
        <w:rPr>
          <w:rFonts w:ascii="Palatino Linotype" w:hAnsi="Palatino Linotype" w:cstheme="minorHAnsi"/>
        </w:rPr>
      </w:pPr>
      <w:r w:rsidRPr="00924CD9">
        <w:rPr>
          <w:rFonts w:ascii="Palatino Linotype" w:hAnsi="Palatino Linotype" w:cstheme="minorHAnsi"/>
          <w:b/>
          <w:bCs/>
          <w:sz w:val="22"/>
          <w:szCs w:val="22"/>
        </w:rPr>
        <w:t xml:space="preserve">Seyfettin </w:t>
      </w:r>
      <w:proofErr w:type="spellStart"/>
      <w:r w:rsidRPr="00924CD9">
        <w:rPr>
          <w:rFonts w:ascii="Palatino Linotype" w:hAnsi="Palatino Linotype" w:cstheme="minorHAnsi"/>
          <w:b/>
          <w:bCs/>
          <w:sz w:val="22"/>
          <w:szCs w:val="22"/>
        </w:rPr>
        <w:t>Gürsel</w:t>
      </w:r>
      <w:proofErr w:type="spellEnd"/>
      <w:r w:rsidRPr="00924CD9">
        <w:rPr>
          <w:rStyle w:val="FootnoteReference"/>
          <w:rFonts w:ascii="Palatino Linotype" w:hAnsi="Palatino Linotype" w:cstheme="minorHAnsi"/>
          <w:b/>
          <w:bCs/>
          <w:sz w:val="22"/>
          <w:szCs w:val="22"/>
        </w:rPr>
        <w:footnoteReference w:id="1"/>
      </w:r>
      <w:r>
        <w:rPr>
          <w:rFonts w:ascii="Palatino Linotype" w:hAnsi="Palatino Linotype" w:cstheme="minorHAnsi"/>
          <w:b/>
          <w:bCs/>
          <w:sz w:val="22"/>
          <w:szCs w:val="22"/>
        </w:rPr>
        <w:t>,</w:t>
      </w:r>
      <w:r w:rsidRPr="00924CD9">
        <w:rPr>
          <w:rFonts w:ascii="Palatino Linotype" w:hAnsi="Palatino Linotype" w:cstheme="minorHAnsi"/>
          <w:b/>
          <w:bCs/>
          <w:sz w:val="22"/>
          <w:szCs w:val="22"/>
        </w:rPr>
        <w:t xml:space="preserve"> </w:t>
      </w:r>
      <w:r w:rsidR="00D07713" w:rsidRPr="00924CD9">
        <w:rPr>
          <w:rFonts w:ascii="Palatino Linotype" w:hAnsi="Palatino Linotype" w:cstheme="minorHAnsi"/>
          <w:b/>
          <w:bCs/>
          <w:sz w:val="22"/>
          <w:szCs w:val="22"/>
        </w:rPr>
        <w:t xml:space="preserve">Ozan </w:t>
      </w:r>
      <w:proofErr w:type="spellStart"/>
      <w:r w:rsidR="00D07713" w:rsidRPr="00924CD9">
        <w:rPr>
          <w:rFonts w:ascii="Palatino Linotype" w:hAnsi="Palatino Linotype" w:cstheme="minorHAnsi"/>
          <w:b/>
          <w:bCs/>
          <w:sz w:val="22"/>
          <w:szCs w:val="22"/>
        </w:rPr>
        <w:t>Bakış</w:t>
      </w:r>
      <w:proofErr w:type="spellEnd"/>
      <w:r w:rsidR="00C32789" w:rsidRPr="00924CD9">
        <w:rPr>
          <w:rStyle w:val="FootnoteReference"/>
          <w:rFonts w:ascii="Palatino Linotype" w:hAnsi="Palatino Linotype" w:cstheme="minorHAnsi"/>
          <w:b/>
          <w:bCs/>
          <w:sz w:val="22"/>
          <w:szCs w:val="22"/>
        </w:rPr>
        <w:footnoteReference w:id="2"/>
      </w:r>
      <w:r w:rsidR="001537D8">
        <w:rPr>
          <w:rFonts w:ascii="Palatino Linotype" w:hAnsi="Palatino Linotype" w:cstheme="minorHAnsi"/>
          <w:b/>
          <w:bCs/>
          <w:sz w:val="22"/>
          <w:szCs w:val="22"/>
        </w:rPr>
        <w:t xml:space="preserve"> </w:t>
      </w:r>
      <w:r w:rsidR="008C6F06">
        <w:rPr>
          <w:rFonts w:ascii="Palatino Linotype" w:hAnsi="Palatino Linotype" w:cstheme="minorHAnsi"/>
          <w:b/>
          <w:bCs/>
          <w:sz w:val="22"/>
          <w:szCs w:val="22"/>
        </w:rPr>
        <w:t>and</w:t>
      </w:r>
      <w:r w:rsidR="001537D8">
        <w:rPr>
          <w:rFonts w:ascii="Palatino Linotype" w:hAnsi="Palatino Linotype" w:cstheme="minorHAnsi"/>
          <w:b/>
          <w:bCs/>
          <w:sz w:val="22"/>
          <w:szCs w:val="22"/>
        </w:rPr>
        <w:t xml:space="preserve"> </w:t>
      </w:r>
      <w:proofErr w:type="spellStart"/>
      <w:r w:rsidR="001537D8">
        <w:rPr>
          <w:rFonts w:ascii="Palatino Linotype" w:hAnsi="Palatino Linotype" w:cstheme="minorHAnsi"/>
          <w:b/>
          <w:bCs/>
          <w:sz w:val="22"/>
          <w:szCs w:val="22"/>
        </w:rPr>
        <w:t>Uğurcan</w:t>
      </w:r>
      <w:proofErr w:type="spellEnd"/>
      <w:r w:rsidR="001537D8">
        <w:rPr>
          <w:rFonts w:ascii="Palatino Linotype" w:hAnsi="Palatino Linotype" w:cstheme="minorHAnsi"/>
          <w:b/>
          <w:bCs/>
          <w:sz w:val="22"/>
          <w:szCs w:val="22"/>
        </w:rPr>
        <w:t xml:space="preserve"> </w:t>
      </w:r>
      <w:proofErr w:type="spellStart"/>
      <w:r w:rsidR="001537D8">
        <w:rPr>
          <w:rFonts w:ascii="Palatino Linotype" w:hAnsi="Palatino Linotype" w:cstheme="minorHAnsi"/>
          <w:b/>
          <w:bCs/>
          <w:sz w:val="22"/>
          <w:szCs w:val="22"/>
        </w:rPr>
        <w:t>Acar</w:t>
      </w:r>
      <w:proofErr w:type="spellEnd"/>
      <w:r w:rsidR="001537D8">
        <w:rPr>
          <w:rStyle w:val="FootnoteReference"/>
          <w:rFonts w:ascii="Palatino Linotype" w:hAnsi="Palatino Linotype" w:cstheme="minorHAnsi"/>
          <w:b/>
          <w:bCs/>
          <w:sz w:val="22"/>
          <w:szCs w:val="22"/>
        </w:rPr>
        <w:footnoteReference w:id="3"/>
      </w:r>
      <w:r w:rsidR="001537D8">
        <w:rPr>
          <w:rFonts w:ascii="Palatino Linotype" w:hAnsi="Palatino Linotype" w:cstheme="minorHAnsi"/>
          <w:b/>
          <w:bCs/>
          <w:sz w:val="22"/>
          <w:szCs w:val="22"/>
        </w:rPr>
        <w:t xml:space="preserve"> </w:t>
      </w:r>
    </w:p>
    <w:p w14:paraId="57322CA8" w14:textId="77777777" w:rsidR="00D07713" w:rsidRPr="00924CD9" w:rsidRDefault="00D07713">
      <w:pPr>
        <w:rPr>
          <w:rFonts w:ascii="Palatino Linotype" w:hAnsi="Palatino Linotype" w:cstheme="minorHAnsi"/>
        </w:rPr>
      </w:pPr>
    </w:p>
    <w:p w14:paraId="3AE80053" w14:textId="0254C27E" w:rsidR="00D257C1" w:rsidRDefault="00414150" w:rsidP="007B70AD">
      <w:pPr>
        <w:jc w:val="center"/>
        <w:rPr>
          <w:rFonts w:ascii="Arial" w:hAnsi="Arial" w:cs="Arial"/>
          <w:b/>
          <w:bCs/>
          <w:sz w:val="22"/>
          <w:szCs w:val="22"/>
        </w:rPr>
      </w:pPr>
      <w:r w:rsidRPr="00DE4D69">
        <w:rPr>
          <w:rFonts w:ascii="Arial" w:hAnsi="Arial" w:cs="Arial"/>
          <w:b/>
          <w:bCs/>
          <w:sz w:val="22"/>
          <w:szCs w:val="22"/>
        </w:rPr>
        <w:t>Executive Summary</w:t>
      </w:r>
    </w:p>
    <w:p w14:paraId="08B607E9" w14:textId="77777777" w:rsidR="00223A5B" w:rsidRPr="00AE59EE" w:rsidRDefault="00223A5B" w:rsidP="007B70AD">
      <w:pPr>
        <w:jc w:val="center"/>
        <w:rPr>
          <w:rFonts w:ascii="Palatino Linotype" w:hAnsi="Palatino Linotype" w:cstheme="minorHAnsi"/>
          <w:b/>
          <w:sz w:val="22"/>
          <w:szCs w:val="22"/>
        </w:rPr>
      </w:pPr>
    </w:p>
    <w:p w14:paraId="3A2460AF" w14:textId="0A2F1B93" w:rsidR="00414150" w:rsidRPr="007D787D" w:rsidRDefault="00414150" w:rsidP="001F7BC7">
      <w:pPr>
        <w:spacing w:after="120"/>
        <w:ind w:left="567" w:right="567"/>
        <w:jc w:val="both"/>
        <w:rPr>
          <w:rFonts w:ascii="Palatino Linotype" w:hAnsi="Palatino Linotype" w:cstheme="minorHAnsi"/>
          <w:sz w:val="22"/>
          <w:szCs w:val="22"/>
        </w:rPr>
      </w:pPr>
      <w:r w:rsidRPr="002D5820">
        <w:rPr>
          <w:rFonts w:ascii="Palatino Linotype" w:hAnsi="Palatino Linotype" w:cstheme="minorHAnsi"/>
          <w:sz w:val="22"/>
          <w:szCs w:val="22"/>
        </w:rPr>
        <w:t>In</w:t>
      </w:r>
      <w:r w:rsidRPr="00414150">
        <w:rPr>
          <w:rFonts w:ascii="Palatino Linotype" w:hAnsi="Palatino Linotype" w:cstheme="minorHAnsi"/>
          <w:sz w:val="22"/>
          <w:szCs w:val="22"/>
        </w:rPr>
        <w:t xml:space="preserve"> </w:t>
      </w:r>
      <w:r w:rsidRPr="002D5820">
        <w:rPr>
          <w:rFonts w:ascii="Palatino Linotype" w:hAnsi="Palatino Linotype" w:cstheme="minorHAnsi"/>
          <w:sz w:val="22"/>
          <w:szCs w:val="22"/>
        </w:rPr>
        <w:t>the</w:t>
      </w:r>
      <w:r w:rsidRPr="00414150">
        <w:rPr>
          <w:rFonts w:ascii="Palatino Linotype" w:hAnsi="Palatino Linotype" w:cstheme="minorHAnsi"/>
          <w:sz w:val="22"/>
          <w:szCs w:val="22"/>
        </w:rPr>
        <w:t xml:space="preserve"> </w:t>
      </w:r>
      <w:r w:rsidR="003566E5">
        <w:rPr>
          <w:rFonts w:ascii="Palatino Linotype" w:hAnsi="Palatino Linotype" w:cstheme="minorHAnsi"/>
          <w:sz w:val="22"/>
          <w:szCs w:val="22"/>
        </w:rPr>
        <w:t>first</w:t>
      </w:r>
      <w:r w:rsidRPr="00414150">
        <w:rPr>
          <w:rFonts w:ascii="Palatino Linotype" w:hAnsi="Palatino Linotype" w:cstheme="minorHAnsi"/>
          <w:sz w:val="22"/>
          <w:szCs w:val="22"/>
        </w:rPr>
        <w:t xml:space="preserve"> quarter of 201</w:t>
      </w:r>
      <w:r w:rsidR="003566E5">
        <w:rPr>
          <w:rFonts w:ascii="Palatino Linotype" w:hAnsi="Palatino Linotype" w:cstheme="minorHAnsi"/>
          <w:sz w:val="22"/>
          <w:szCs w:val="22"/>
        </w:rPr>
        <w:t>8</w:t>
      </w:r>
      <w:r w:rsidRPr="00414150">
        <w:rPr>
          <w:rFonts w:ascii="Palatino Linotype" w:hAnsi="Palatino Linotype" w:cstheme="minorHAnsi"/>
          <w:sz w:val="22"/>
          <w:szCs w:val="22"/>
        </w:rPr>
        <w:t xml:space="preserve">, </w:t>
      </w:r>
      <w:r>
        <w:rPr>
          <w:rFonts w:ascii="Palatino Linotype" w:hAnsi="Palatino Linotype" w:cstheme="minorHAnsi"/>
          <w:sz w:val="22"/>
          <w:szCs w:val="22"/>
        </w:rPr>
        <w:t xml:space="preserve">according to </w:t>
      </w:r>
      <w:r w:rsidR="00D30DDE">
        <w:rPr>
          <w:rFonts w:ascii="Palatino Linotype" w:hAnsi="Palatino Linotype" w:cstheme="minorHAnsi"/>
          <w:sz w:val="22"/>
          <w:szCs w:val="22"/>
        </w:rPr>
        <w:t xml:space="preserve">seasonally and calendar day adjusted data, </w:t>
      </w:r>
      <w:r w:rsidRPr="007D787D">
        <w:rPr>
          <w:rFonts w:ascii="Palatino Linotype" w:hAnsi="Palatino Linotype" w:cstheme="minorHAnsi"/>
          <w:sz w:val="22"/>
          <w:szCs w:val="22"/>
        </w:rPr>
        <w:t xml:space="preserve">Gross Domestic Product (GDP) increased by </w:t>
      </w:r>
      <w:r w:rsidR="003566E5">
        <w:rPr>
          <w:rFonts w:ascii="Palatino Linotype" w:hAnsi="Palatino Linotype" w:cstheme="minorHAnsi"/>
          <w:sz w:val="22"/>
          <w:szCs w:val="22"/>
        </w:rPr>
        <w:t>2</w:t>
      </w:r>
      <w:r w:rsidRPr="007D787D">
        <w:rPr>
          <w:rFonts w:ascii="Palatino Linotype" w:hAnsi="Palatino Linotype" w:cstheme="minorHAnsi"/>
          <w:sz w:val="22"/>
          <w:szCs w:val="22"/>
        </w:rPr>
        <w:t xml:space="preserve"> percent compared to the previous quarter and by </w:t>
      </w:r>
      <w:r w:rsidR="008459A9">
        <w:rPr>
          <w:rFonts w:ascii="Palatino Linotype" w:hAnsi="Palatino Linotype" w:cstheme="minorHAnsi"/>
          <w:sz w:val="22"/>
          <w:szCs w:val="22"/>
        </w:rPr>
        <w:t>7</w:t>
      </w:r>
      <w:r w:rsidRPr="007D787D">
        <w:rPr>
          <w:rFonts w:ascii="Palatino Linotype" w:hAnsi="Palatino Linotype" w:cstheme="minorHAnsi"/>
          <w:sz w:val="22"/>
          <w:szCs w:val="22"/>
        </w:rPr>
        <w:t>.</w:t>
      </w:r>
      <w:r w:rsidR="003566E5">
        <w:rPr>
          <w:rFonts w:ascii="Palatino Linotype" w:hAnsi="Palatino Linotype" w:cstheme="minorHAnsi"/>
          <w:sz w:val="22"/>
          <w:szCs w:val="22"/>
        </w:rPr>
        <w:t>4</w:t>
      </w:r>
      <w:r w:rsidRPr="007D787D">
        <w:rPr>
          <w:rFonts w:ascii="Palatino Linotype" w:hAnsi="Palatino Linotype" w:cstheme="minorHAnsi"/>
          <w:sz w:val="22"/>
          <w:szCs w:val="22"/>
        </w:rPr>
        <w:t xml:space="preserve"> percent compared to the </w:t>
      </w:r>
      <w:r w:rsidR="00AB16C5">
        <w:rPr>
          <w:rFonts w:ascii="Palatino Linotype" w:hAnsi="Palatino Linotype" w:cstheme="minorHAnsi"/>
          <w:sz w:val="22"/>
          <w:szCs w:val="22"/>
        </w:rPr>
        <w:t>same</w:t>
      </w:r>
      <w:r w:rsidRPr="007D787D">
        <w:rPr>
          <w:rFonts w:ascii="Palatino Linotype" w:hAnsi="Palatino Linotype" w:cstheme="minorHAnsi"/>
          <w:sz w:val="22"/>
          <w:szCs w:val="22"/>
        </w:rPr>
        <w:t xml:space="preserve"> quarter of last year. The highest contribution to </w:t>
      </w:r>
      <w:r w:rsidR="00D30DDE" w:rsidRPr="007D787D">
        <w:rPr>
          <w:rFonts w:ascii="Palatino Linotype" w:hAnsi="Palatino Linotype" w:cstheme="minorHAnsi"/>
          <w:sz w:val="22"/>
          <w:szCs w:val="22"/>
        </w:rPr>
        <w:t>annually economic growth</w:t>
      </w:r>
      <w:r w:rsidRPr="007D787D">
        <w:rPr>
          <w:rFonts w:ascii="Palatino Linotype" w:hAnsi="Palatino Linotype" w:cstheme="minorHAnsi"/>
          <w:sz w:val="22"/>
          <w:szCs w:val="22"/>
        </w:rPr>
        <w:t xml:space="preserve"> </w:t>
      </w:r>
      <w:r w:rsidR="00AB16C5">
        <w:rPr>
          <w:rFonts w:ascii="Palatino Linotype" w:hAnsi="Palatino Linotype" w:cstheme="minorHAnsi"/>
          <w:sz w:val="22"/>
          <w:szCs w:val="22"/>
        </w:rPr>
        <w:t xml:space="preserve">comes from </w:t>
      </w:r>
      <w:r w:rsidRPr="007D787D">
        <w:rPr>
          <w:rFonts w:ascii="Palatino Linotype" w:hAnsi="Palatino Linotype" w:cstheme="minorHAnsi"/>
          <w:sz w:val="22"/>
          <w:szCs w:val="22"/>
        </w:rPr>
        <w:t>private consumption</w:t>
      </w:r>
      <w:r w:rsidR="0043726B">
        <w:rPr>
          <w:rFonts w:ascii="Palatino Linotype" w:hAnsi="Palatino Linotype" w:cstheme="minorHAnsi"/>
          <w:sz w:val="22"/>
          <w:szCs w:val="22"/>
        </w:rPr>
        <w:t xml:space="preserve"> </w:t>
      </w:r>
      <w:r w:rsidRPr="007D787D">
        <w:rPr>
          <w:rFonts w:ascii="Palatino Linotype" w:hAnsi="Palatino Linotype" w:cstheme="minorHAnsi"/>
          <w:sz w:val="22"/>
          <w:szCs w:val="22"/>
        </w:rPr>
        <w:t>(</w:t>
      </w:r>
      <w:r w:rsidR="003566E5">
        <w:rPr>
          <w:rFonts w:ascii="Palatino Linotype" w:hAnsi="Palatino Linotype" w:cstheme="minorHAnsi"/>
          <w:sz w:val="22"/>
          <w:szCs w:val="22"/>
        </w:rPr>
        <w:t>6</w:t>
      </w:r>
      <w:r w:rsidRPr="007D787D">
        <w:rPr>
          <w:rFonts w:ascii="Palatino Linotype" w:hAnsi="Palatino Linotype" w:cstheme="minorHAnsi"/>
          <w:sz w:val="22"/>
          <w:szCs w:val="22"/>
        </w:rPr>
        <w:t>.</w:t>
      </w:r>
      <w:r w:rsidR="003566E5">
        <w:rPr>
          <w:rFonts w:ascii="Palatino Linotype" w:hAnsi="Palatino Linotype" w:cstheme="minorHAnsi"/>
          <w:sz w:val="22"/>
          <w:szCs w:val="22"/>
        </w:rPr>
        <w:t>6</w:t>
      </w:r>
      <w:r w:rsidRPr="007D787D">
        <w:rPr>
          <w:rFonts w:ascii="Palatino Linotype" w:hAnsi="Palatino Linotype" w:cstheme="minorHAnsi"/>
          <w:sz w:val="22"/>
          <w:szCs w:val="22"/>
        </w:rPr>
        <w:t xml:space="preserve"> percentage points)</w:t>
      </w:r>
      <w:r w:rsidR="0043726B">
        <w:rPr>
          <w:rFonts w:ascii="Palatino Linotype" w:hAnsi="Palatino Linotype" w:cstheme="minorHAnsi"/>
          <w:sz w:val="22"/>
          <w:szCs w:val="22"/>
        </w:rPr>
        <w:t xml:space="preserve"> and </w:t>
      </w:r>
      <w:r w:rsidR="003566E5">
        <w:rPr>
          <w:rFonts w:ascii="Palatino Linotype" w:hAnsi="Palatino Linotype" w:cstheme="minorHAnsi"/>
          <w:sz w:val="22"/>
          <w:szCs w:val="22"/>
        </w:rPr>
        <w:t>investment</w:t>
      </w:r>
      <w:r w:rsidR="0043726B">
        <w:rPr>
          <w:rFonts w:ascii="Palatino Linotype" w:hAnsi="Palatino Linotype" w:cstheme="minorHAnsi"/>
          <w:sz w:val="22"/>
          <w:szCs w:val="22"/>
        </w:rPr>
        <w:t xml:space="preserve"> (</w:t>
      </w:r>
      <w:r w:rsidR="003566E5">
        <w:rPr>
          <w:rFonts w:ascii="Palatino Linotype" w:hAnsi="Palatino Linotype" w:cstheme="minorHAnsi"/>
          <w:sz w:val="22"/>
          <w:szCs w:val="22"/>
        </w:rPr>
        <w:t>2</w:t>
      </w:r>
      <w:r w:rsidR="0043726B">
        <w:rPr>
          <w:rFonts w:ascii="Palatino Linotype" w:hAnsi="Palatino Linotype" w:cstheme="minorHAnsi"/>
          <w:sz w:val="22"/>
          <w:szCs w:val="22"/>
        </w:rPr>
        <w:t>.</w:t>
      </w:r>
      <w:r w:rsidR="003566E5">
        <w:rPr>
          <w:rFonts w:ascii="Palatino Linotype" w:hAnsi="Palatino Linotype" w:cstheme="minorHAnsi"/>
          <w:sz w:val="22"/>
          <w:szCs w:val="22"/>
        </w:rPr>
        <w:t>8</w:t>
      </w:r>
      <w:r w:rsidR="0043726B">
        <w:rPr>
          <w:rFonts w:ascii="Palatino Linotype" w:hAnsi="Palatino Linotype" w:cstheme="minorHAnsi"/>
          <w:sz w:val="22"/>
          <w:szCs w:val="22"/>
        </w:rPr>
        <w:t xml:space="preserve"> percentage points)</w:t>
      </w:r>
      <w:r w:rsidR="00AB16C5">
        <w:rPr>
          <w:rFonts w:ascii="Palatino Linotype" w:hAnsi="Palatino Linotype" w:cstheme="minorHAnsi"/>
          <w:sz w:val="22"/>
          <w:szCs w:val="22"/>
        </w:rPr>
        <w:t>, respectively</w:t>
      </w:r>
      <w:r w:rsidRPr="007D787D">
        <w:rPr>
          <w:rFonts w:ascii="Palatino Linotype" w:hAnsi="Palatino Linotype" w:cstheme="minorHAnsi"/>
          <w:sz w:val="22"/>
          <w:szCs w:val="22"/>
        </w:rPr>
        <w:t xml:space="preserve">. </w:t>
      </w:r>
      <w:r w:rsidR="003566E5">
        <w:rPr>
          <w:rFonts w:ascii="Palatino Linotype" w:hAnsi="Palatino Linotype" w:cstheme="minorHAnsi"/>
          <w:sz w:val="22"/>
          <w:szCs w:val="22"/>
        </w:rPr>
        <w:t>Import</w:t>
      </w:r>
      <w:r w:rsidR="00AB16C5">
        <w:rPr>
          <w:rFonts w:ascii="Palatino Linotype" w:hAnsi="Palatino Linotype" w:cstheme="minorHAnsi"/>
          <w:sz w:val="22"/>
          <w:szCs w:val="22"/>
        </w:rPr>
        <w:t xml:space="preserve">s, after </w:t>
      </w:r>
      <w:r w:rsidR="003566E5">
        <w:rPr>
          <w:rFonts w:ascii="Palatino Linotype" w:hAnsi="Palatino Linotype" w:cstheme="minorHAnsi"/>
          <w:sz w:val="22"/>
          <w:szCs w:val="22"/>
        </w:rPr>
        <w:t xml:space="preserve">20 percent </w:t>
      </w:r>
      <w:r w:rsidR="00AB16C5">
        <w:rPr>
          <w:rFonts w:ascii="Palatino Linotype" w:hAnsi="Palatino Linotype" w:cstheme="minorHAnsi"/>
          <w:sz w:val="22"/>
          <w:szCs w:val="22"/>
        </w:rPr>
        <w:t xml:space="preserve">of growth </w:t>
      </w:r>
      <w:r w:rsidR="003566E5">
        <w:rPr>
          <w:rFonts w:ascii="Palatino Linotype" w:hAnsi="Palatino Linotype" w:cstheme="minorHAnsi"/>
          <w:sz w:val="22"/>
          <w:szCs w:val="22"/>
        </w:rPr>
        <w:t>in the last quarter of 2017</w:t>
      </w:r>
      <w:r w:rsidR="00AB16C5">
        <w:rPr>
          <w:rFonts w:ascii="Palatino Linotype" w:hAnsi="Palatino Linotype" w:cstheme="minorHAnsi"/>
          <w:sz w:val="22"/>
          <w:szCs w:val="22"/>
        </w:rPr>
        <w:t>,</w:t>
      </w:r>
      <w:r w:rsidR="003566E5">
        <w:rPr>
          <w:rFonts w:ascii="Palatino Linotype" w:hAnsi="Palatino Linotype" w:cstheme="minorHAnsi"/>
          <w:sz w:val="22"/>
          <w:szCs w:val="22"/>
        </w:rPr>
        <w:t xml:space="preserve"> reached </w:t>
      </w:r>
      <w:r w:rsidR="00AB16C5">
        <w:rPr>
          <w:rFonts w:ascii="Palatino Linotype" w:hAnsi="Palatino Linotype" w:cstheme="minorHAnsi"/>
          <w:sz w:val="22"/>
          <w:szCs w:val="22"/>
        </w:rPr>
        <w:t xml:space="preserve">again </w:t>
      </w:r>
      <w:r w:rsidR="003566E5">
        <w:rPr>
          <w:rFonts w:ascii="Palatino Linotype" w:hAnsi="Palatino Linotype" w:cstheme="minorHAnsi"/>
          <w:sz w:val="22"/>
          <w:szCs w:val="22"/>
        </w:rPr>
        <w:t>a very high growth rate</w:t>
      </w:r>
      <w:r w:rsidR="00AB16C5">
        <w:rPr>
          <w:rFonts w:ascii="Palatino Linotype" w:hAnsi="Palatino Linotype" w:cstheme="minorHAnsi"/>
          <w:sz w:val="22"/>
          <w:szCs w:val="22"/>
        </w:rPr>
        <w:t>,</w:t>
      </w:r>
      <w:r w:rsidR="003566E5">
        <w:rPr>
          <w:rFonts w:ascii="Palatino Linotype" w:hAnsi="Palatino Linotype" w:cstheme="minorHAnsi"/>
          <w:sz w:val="22"/>
          <w:szCs w:val="22"/>
        </w:rPr>
        <w:t xml:space="preserve"> 15.6</w:t>
      </w:r>
      <w:r w:rsidR="0059780D">
        <w:rPr>
          <w:rFonts w:ascii="Palatino Linotype" w:hAnsi="Palatino Linotype" w:cstheme="minorHAnsi"/>
          <w:sz w:val="22"/>
          <w:szCs w:val="22"/>
        </w:rPr>
        <w:t xml:space="preserve"> percent. C</w:t>
      </w:r>
      <w:r w:rsidR="0059780D" w:rsidRPr="0059780D">
        <w:rPr>
          <w:rFonts w:ascii="Palatino Linotype" w:hAnsi="Palatino Linotype" w:cstheme="minorHAnsi"/>
          <w:sz w:val="22"/>
          <w:szCs w:val="22"/>
        </w:rPr>
        <w:t xml:space="preserve">ontribution </w:t>
      </w:r>
      <w:r w:rsidR="0059780D">
        <w:rPr>
          <w:rFonts w:ascii="Palatino Linotype" w:hAnsi="Palatino Linotype" w:cstheme="minorHAnsi"/>
          <w:sz w:val="22"/>
          <w:szCs w:val="22"/>
        </w:rPr>
        <w:t xml:space="preserve">to growth </w:t>
      </w:r>
      <w:r w:rsidR="0059780D" w:rsidRPr="0059780D">
        <w:rPr>
          <w:rFonts w:ascii="Palatino Linotype" w:hAnsi="Palatino Linotype" w:cstheme="minorHAnsi"/>
          <w:sz w:val="22"/>
          <w:szCs w:val="22"/>
        </w:rPr>
        <w:t>of this high growth</w:t>
      </w:r>
      <w:r w:rsidR="0059780D">
        <w:rPr>
          <w:rFonts w:ascii="Palatino Linotype" w:hAnsi="Palatino Linotype" w:cstheme="minorHAnsi"/>
          <w:sz w:val="22"/>
          <w:szCs w:val="22"/>
        </w:rPr>
        <w:t xml:space="preserve"> rate</w:t>
      </w:r>
      <w:r w:rsidR="0059780D" w:rsidRPr="0059780D">
        <w:rPr>
          <w:rFonts w:ascii="Palatino Linotype" w:hAnsi="Palatino Linotype" w:cstheme="minorHAnsi"/>
          <w:sz w:val="22"/>
          <w:szCs w:val="22"/>
        </w:rPr>
        <w:t xml:space="preserve"> was minus 4.5 percentage points</w:t>
      </w:r>
      <w:r w:rsidR="00E44957">
        <w:rPr>
          <w:rFonts w:ascii="Palatino Linotype" w:hAnsi="Palatino Linotype" w:cstheme="minorHAnsi"/>
          <w:sz w:val="22"/>
          <w:szCs w:val="22"/>
        </w:rPr>
        <w:t xml:space="preserve"> for imports</w:t>
      </w:r>
      <w:r w:rsidR="0059780D" w:rsidRPr="0059780D">
        <w:rPr>
          <w:rFonts w:ascii="Palatino Linotype" w:hAnsi="Palatino Linotype" w:cstheme="minorHAnsi"/>
          <w:sz w:val="22"/>
          <w:szCs w:val="22"/>
        </w:rPr>
        <w:t xml:space="preserve">. </w:t>
      </w:r>
      <w:r w:rsidR="0059780D">
        <w:rPr>
          <w:rFonts w:ascii="Palatino Linotype" w:hAnsi="Palatino Linotype" w:cstheme="minorHAnsi"/>
          <w:sz w:val="22"/>
          <w:szCs w:val="22"/>
        </w:rPr>
        <w:t>Since export</w:t>
      </w:r>
      <w:r w:rsidR="00E44957">
        <w:rPr>
          <w:rFonts w:ascii="Palatino Linotype" w:hAnsi="Palatino Linotype" w:cstheme="minorHAnsi"/>
          <w:sz w:val="22"/>
          <w:szCs w:val="22"/>
        </w:rPr>
        <w:t>s</w:t>
      </w:r>
      <w:r w:rsidR="0059780D">
        <w:rPr>
          <w:rFonts w:ascii="Palatino Linotype" w:hAnsi="Palatino Linotype" w:cstheme="minorHAnsi"/>
          <w:sz w:val="22"/>
          <w:szCs w:val="22"/>
        </w:rPr>
        <w:t xml:space="preserve"> remained unchanged, c</w:t>
      </w:r>
      <w:r w:rsidR="0059780D" w:rsidRPr="0059780D">
        <w:rPr>
          <w:rFonts w:ascii="Palatino Linotype" w:hAnsi="Palatino Linotype" w:cstheme="minorHAnsi"/>
          <w:sz w:val="22"/>
          <w:szCs w:val="22"/>
        </w:rPr>
        <w:t>ontribution to growth of net foreign trade was minus 4.2 percentage points. The contribution of the stock change was relatively high with 1.7 percentage points.</w:t>
      </w:r>
      <w:r w:rsidR="003566E5">
        <w:rPr>
          <w:rFonts w:ascii="Palatino Linotype" w:hAnsi="Palatino Linotype" w:cstheme="minorHAnsi"/>
          <w:sz w:val="22"/>
          <w:szCs w:val="22"/>
        </w:rPr>
        <w:t xml:space="preserve"> </w:t>
      </w:r>
    </w:p>
    <w:p w14:paraId="5ED8E965" w14:textId="41C3BC02" w:rsidR="00B37CD7" w:rsidRDefault="0059780D" w:rsidP="005D37CE">
      <w:pPr>
        <w:spacing w:after="120"/>
        <w:ind w:left="567" w:right="567"/>
        <w:jc w:val="both"/>
        <w:rPr>
          <w:rFonts w:ascii="Palatino Linotype" w:hAnsi="Palatino Linotype" w:cstheme="minorHAnsi"/>
          <w:sz w:val="22"/>
          <w:szCs w:val="22"/>
        </w:rPr>
      </w:pPr>
      <w:r w:rsidRPr="0059780D">
        <w:rPr>
          <w:rFonts w:ascii="Palatino Linotype" w:hAnsi="Palatino Linotype" w:cstheme="minorHAnsi"/>
          <w:sz w:val="22"/>
          <w:szCs w:val="22"/>
        </w:rPr>
        <w:t xml:space="preserve">Although GDP growth </w:t>
      </w:r>
      <w:r>
        <w:rPr>
          <w:rFonts w:ascii="Palatino Linotype" w:hAnsi="Palatino Linotype" w:cstheme="minorHAnsi"/>
          <w:sz w:val="22"/>
          <w:szCs w:val="22"/>
        </w:rPr>
        <w:t>was</w:t>
      </w:r>
      <w:r w:rsidRPr="0059780D">
        <w:rPr>
          <w:rFonts w:ascii="Palatino Linotype" w:hAnsi="Palatino Linotype" w:cstheme="minorHAnsi"/>
          <w:sz w:val="22"/>
          <w:szCs w:val="22"/>
        </w:rPr>
        <w:t xml:space="preserve"> higher than expect</w:t>
      </w:r>
      <w:r w:rsidR="00E44957">
        <w:rPr>
          <w:rFonts w:ascii="Palatino Linotype" w:hAnsi="Palatino Linotype" w:cstheme="minorHAnsi"/>
          <w:sz w:val="22"/>
          <w:szCs w:val="22"/>
        </w:rPr>
        <w:t xml:space="preserve">ations </w:t>
      </w:r>
      <w:r w:rsidRPr="0059780D">
        <w:rPr>
          <w:rFonts w:ascii="Palatino Linotype" w:hAnsi="Palatino Linotype" w:cstheme="minorHAnsi"/>
          <w:sz w:val="22"/>
          <w:szCs w:val="22"/>
        </w:rPr>
        <w:t xml:space="preserve">in the first quarter, </w:t>
      </w:r>
      <w:r w:rsidR="00CD1958">
        <w:rPr>
          <w:rFonts w:ascii="Palatino Linotype" w:hAnsi="Palatino Linotype" w:cstheme="minorHAnsi"/>
          <w:sz w:val="22"/>
          <w:szCs w:val="22"/>
        </w:rPr>
        <w:t xml:space="preserve">the rise in interest rates </w:t>
      </w:r>
      <w:r w:rsidR="00E44957">
        <w:rPr>
          <w:rFonts w:ascii="Palatino Linotype" w:hAnsi="Palatino Linotype" w:cstheme="minorHAnsi"/>
          <w:sz w:val="22"/>
          <w:szCs w:val="22"/>
        </w:rPr>
        <w:t>on the one hand,</w:t>
      </w:r>
      <w:r w:rsidR="00CD1958">
        <w:rPr>
          <w:rFonts w:ascii="Palatino Linotype" w:hAnsi="Palatino Linotype" w:cstheme="minorHAnsi"/>
          <w:sz w:val="22"/>
          <w:szCs w:val="22"/>
        </w:rPr>
        <w:t xml:space="preserve"> </w:t>
      </w:r>
      <w:r w:rsidR="00CD1958" w:rsidRPr="00CD1958">
        <w:rPr>
          <w:rFonts w:ascii="Palatino Linotype" w:hAnsi="Palatino Linotype" w:cstheme="minorHAnsi"/>
          <w:sz w:val="22"/>
          <w:szCs w:val="22"/>
        </w:rPr>
        <w:t>unexpected and high value losses in TL</w:t>
      </w:r>
      <w:r w:rsidR="00CD1958">
        <w:rPr>
          <w:rFonts w:ascii="Palatino Linotype" w:hAnsi="Palatino Linotype" w:cstheme="minorHAnsi"/>
          <w:sz w:val="22"/>
          <w:szCs w:val="22"/>
        </w:rPr>
        <w:t xml:space="preserve"> in the second quarter </w:t>
      </w:r>
      <w:r w:rsidR="00E44957">
        <w:rPr>
          <w:rFonts w:ascii="Palatino Linotype" w:hAnsi="Palatino Linotype" w:cstheme="minorHAnsi"/>
          <w:sz w:val="22"/>
          <w:szCs w:val="22"/>
        </w:rPr>
        <w:t>on the other hand are</w:t>
      </w:r>
      <w:r w:rsidR="00CD1958">
        <w:rPr>
          <w:rFonts w:ascii="Palatino Linotype" w:hAnsi="Palatino Linotype" w:cstheme="minorHAnsi"/>
          <w:sz w:val="22"/>
          <w:szCs w:val="22"/>
        </w:rPr>
        <w:t xml:space="preserve"> expected to </w:t>
      </w:r>
      <w:r w:rsidR="00E44957">
        <w:rPr>
          <w:rFonts w:ascii="Palatino Linotype" w:hAnsi="Palatino Linotype" w:cstheme="minorHAnsi"/>
          <w:sz w:val="22"/>
          <w:szCs w:val="22"/>
        </w:rPr>
        <w:t xml:space="preserve">restrain </w:t>
      </w:r>
      <w:r w:rsidR="00CD1958">
        <w:rPr>
          <w:rFonts w:ascii="Palatino Linotype" w:hAnsi="Palatino Linotype" w:cstheme="minorHAnsi"/>
          <w:sz w:val="22"/>
          <w:szCs w:val="22"/>
        </w:rPr>
        <w:t xml:space="preserve">investments and to increase the uncertainties and inflation rate. </w:t>
      </w:r>
      <w:r w:rsidR="00CD1958" w:rsidRPr="00CD1958">
        <w:rPr>
          <w:rFonts w:ascii="Palatino Linotype" w:hAnsi="Palatino Linotype" w:cstheme="minorHAnsi"/>
          <w:sz w:val="22"/>
          <w:szCs w:val="22"/>
        </w:rPr>
        <w:t>Therefore, it is not surprising to see lower growth rates in the coming quarters. Nevertheless, it should be noted that 5.5 percent</w:t>
      </w:r>
      <w:r w:rsidR="00CD1958">
        <w:rPr>
          <w:rFonts w:ascii="Palatino Linotype" w:hAnsi="Palatino Linotype" w:cstheme="minorHAnsi"/>
          <w:sz w:val="22"/>
          <w:szCs w:val="22"/>
        </w:rPr>
        <w:t xml:space="preserve"> GDP growth</w:t>
      </w:r>
      <w:r w:rsidR="00CD1958" w:rsidRPr="00CD1958">
        <w:rPr>
          <w:rFonts w:ascii="Palatino Linotype" w:hAnsi="Palatino Linotype" w:cstheme="minorHAnsi"/>
          <w:sz w:val="22"/>
          <w:szCs w:val="22"/>
        </w:rPr>
        <w:t xml:space="preserve"> </w:t>
      </w:r>
      <w:r w:rsidR="00CD1958" w:rsidRPr="007D787D">
        <w:rPr>
          <w:rFonts w:ascii="Palatino Linotype" w:hAnsi="Palatino Linotype" w:cstheme="minorHAnsi"/>
          <w:sz w:val="22"/>
          <w:szCs w:val="22"/>
        </w:rPr>
        <w:t>projected in the 2018-2020 Medium Term Program (OVP)</w:t>
      </w:r>
      <w:r w:rsidR="00CD1958">
        <w:rPr>
          <w:rFonts w:ascii="Palatino Linotype" w:hAnsi="Palatino Linotype" w:cstheme="minorHAnsi"/>
          <w:sz w:val="22"/>
          <w:szCs w:val="22"/>
        </w:rPr>
        <w:t xml:space="preserve"> </w:t>
      </w:r>
      <w:r w:rsidR="00CD1958" w:rsidRPr="00CD1958">
        <w:rPr>
          <w:rFonts w:ascii="Palatino Linotype" w:hAnsi="Palatino Linotype" w:cstheme="minorHAnsi"/>
          <w:sz w:val="22"/>
          <w:szCs w:val="22"/>
        </w:rPr>
        <w:t>is still a realistic goal if extraordinary situation</w:t>
      </w:r>
      <w:r w:rsidR="00C33714">
        <w:rPr>
          <w:rFonts w:ascii="Palatino Linotype" w:hAnsi="Palatino Linotype" w:cstheme="minorHAnsi"/>
          <w:sz w:val="22"/>
          <w:szCs w:val="22"/>
        </w:rPr>
        <w:t>s will not emerge</w:t>
      </w:r>
      <w:r w:rsidR="00CD1958" w:rsidRPr="00CD1958">
        <w:rPr>
          <w:rFonts w:ascii="Palatino Linotype" w:hAnsi="Palatino Linotype" w:cstheme="minorHAnsi"/>
          <w:sz w:val="22"/>
          <w:szCs w:val="22"/>
        </w:rPr>
        <w:t xml:space="preserve"> after the election.</w:t>
      </w:r>
      <w:r w:rsidR="00CD1958">
        <w:rPr>
          <w:rFonts w:ascii="Palatino Linotype" w:hAnsi="Palatino Linotype" w:cstheme="minorHAnsi"/>
          <w:sz w:val="22"/>
          <w:szCs w:val="22"/>
        </w:rPr>
        <w:t xml:space="preserve"> </w:t>
      </w:r>
    </w:p>
    <w:p w14:paraId="70EF5074" w14:textId="77777777" w:rsidR="00B37CD7" w:rsidRDefault="00B37CD7" w:rsidP="005D37CE">
      <w:pPr>
        <w:spacing w:after="120"/>
        <w:ind w:left="567" w:right="567"/>
        <w:jc w:val="both"/>
        <w:rPr>
          <w:rFonts w:ascii="Palatino Linotype" w:hAnsi="Palatino Linotype" w:cstheme="minorHAnsi"/>
          <w:sz w:val="22"/>
          <w:szCs w:val="22"/>
        </w:rPr>
      </w:pPr>
    </w:p>
    <w:p w14:paraId="202E3A8A" w14:textId="77777777" w:rsidR="00C33714" w:rsidRDefault="00C33714" w:rsidP="005D37CE">
      <w:pPr>
        <w:spacing w:after="120"/>
        <w:ind w:left="567" w:right="567"/>
        <w:jc w:val="both"/>
        <w:rPr>
          <w:rFonts w:ascii="Palatino Linotype" w:hAnsi="Palatino Linotype" w:cstheme="minorHAnsi"/>
          <w:b/>
          <w:bCs/>
          <w:sz w:val="22"/>
          <w:szCs w:val="22"/>
        </w:rPr>
      </w:pPr>
    </w:p>
    <w:p w14:paraId="1723C9B3" w14:textId="77777777" w:rsidR="00C33714" w:rsidRDefault="00C33714" w:rsidP="005D37CE">
      <w:pPr>
        <w:spacing w:after="120"/>
        <w:ind w:left="567" w:right="567"/>
        <w:jc w:val="both"/>
        <w:rPr>
          <w:rFonts w:ascii="Palatino Linotype" w:hAnsi="Palatino Linotype" w:cstheme="minorHAnsi"/>
          <w:b/>
          <w:bCs/>
          <w:sz w:val="22"/>
          <w:szCs w:val="22"/>
        </w:rPr>
      </w:pPr>
    </w:p>
    <w:p w14:paraId="63CF462E" w14:textId="77777777" w:rsidR="00C33714" w:rsidRDefault="00C33714" w:rsidP="005D37CE">
      <w:pPr>
        <w:spacing w:after="120"/>
        <w:ind w:left="567" w:right="567"/>
        <w:jc w:val="both"/>
        <w:rPr>
          <w:rFonts w:ascii="Palatino Linotype" w:hAnsi="Palatino Linotype" w:cstheme="minorHAnsi"/>
          <w:b/>
          <w:bCs/>
          <w:sz w:val="22"/>
          <w:szCs w:val="22"/>
        </w:rPr>
      </w:pPr>
    </w:p>
    <w:p w14:paraId="00F32C1C" w14:textId="77777777" w:rsidR="00C33714" w:rsidRDefault="00C33714" w:rsidP="005D37CE">
      <w:pPr>
        <w:spacing w:after="120"/>
        <w:ind w:left="567" w:right="567"/>
        <w:jc w:val="both"/>
        <w:rPr>
          <w:rFonts w:ascii="Palatino Linotype" w:hAnsi="Palatino Linotype" w:cstheme="minorHAnsi"/>
          <w:b/>
          <w:bCs/>
          <w:sz w:val="22"/>
          <w:szCs w:val="22"/>
        </w:rPr>
      </w:pPr>
    </w:p>
    <w:p w14:paraId="0D3788E7" w14:textId="77777777" w:rsidR="00C33714" w:rsidRDefault="00C33714" w:rsidP="005D37CE">
      <w:pPr>
        <w:spacing w:after="120"/>
        <w:ind w:left="567" w:right="567"/>
        <w:jc w:val="both"/>
        <w:rPr>
          <w:rFonts w:ascii="Palatino Linotype" w:hAnsi="Palatino Linotype" w:cstheme="minorHAnsi"/>
          <w:b/>
          <w:bCs/>
          <w:sz w:val="22"/>
          <w:szCs w:val="22"/>
        </w:rPr>
      </w:pPr>
    </w:p>
    <w:p w14:paraId="5AB44985" w14:textId="77777777" w:rsidR="00C33714" w:rsidRDefault="00C33714" w:rsidP="005D37CE">
      <w:pPr>
        <w:spacing w:after="120"/>
        <w:ind w:left="567" w:right="567"/>
        <w:jc w:val="both"/>
        <w:rPr>
          <w:rFonts w:ascii="Palatino Linotype" w:hAnsi="Palatino Linotype" w:cstheme="minorHAnsi"/>
          <w:b/>
          <w:bCs/>
          <w:sz w:val="22"/>
          <w:szCs w:val="22"/>
        </w:rPr>
      </w:pPr>
    </w:p>
    <w:p w14:paraId="1E022360" w14:textId="77777777" w:rsidR="00C33714" w:rsidRDefault="00C33714" w:rsidP="005D37CE">
      <w:pPr>
        <w:spacing w:after="120"/>
        <w:ind w:left="567" w:right="567"/>
        <w:jc w:val="both"/>
        <w:rPr>
          <w:rFonts w:ascii="Palatino Linotype" w:hAnsi="Palatino Linotype" w:cstheme="minorHAnsi"/>
          <w:b/>
          <w:bCs/>
          <w:sz w:val="22"/>
          <w:szCs w:val="22"/>
        </w:rPr>
      </w:pPr>
    </w:p>
    <w:p w14:paraId="3E4E929A" w14:textId="77777777" w:rsidR="00C33714" w:rsidRDefault="00C33714" w:rsidP="005D37CE">
      <w:pPr>
        <w:spacing w:after="120"/>
        <w:ind w:left="567" w:right="567"/>
        <w:jc w:val="both"/>
        <w:rPr>
          <w:rFonts w:ascii="Palatino Linotype" w:hAnsi="Palatino Linotype" w:cstheme="minorHAnsi"/>
          <w:b/>
          <w:bCs/>
          <w:sz w:val="22"/>
          <w:szCs w:val="22"/>
        </w:rPr>
      </w:pPr>
    </w:p>
    <w:p w14:paraId="28CC6117" w14:textId="77777777" w:rsidR="00C33714" w:rsidRDefault="00C33714" w:rsidP="005D37CE">
      <w:pPr>
        <w:spacing w:after="120"/>
        <w:ind w:left="567" w:right="567"/>
        <w:jc w:val="both"/>
        <w:rPr>
          <w:rFonts w:ascii="Palatino Linotype" w:hAnsi="Palatino Linotype" w:cstheme="minorHAnsi"/>
          <w:b/>
          <w:bCs/>
          <w:sz w:val="22"/>
          <w:szCs w:val="22"/>
        </w:rPr>
      </w:pPr>
    </w:p>
    <w:p w14:paraId="5EFD336B" w14:textId="341F68A0" w:rsidR="00E01513" w:rsidRDefault="00B53557" w:rsidP="00AD2B46">
      <w:pPr>
        <w:spacing w:after="120"/>
        <w:ind w:left="567" w:right="567"/>
        <w:jc w:val="both"/>
        <w:rPr>
          <w:rFonts w:ascii="Palatino Linotype" w:hAnsi="Palatino Linotype" w:cstheme="minorHAnsi"/>
          <w:b/>
          <w:bCs/>
          <w:sz w:val="22"/>
          <w:szCs w:val="22"/>
        </w:rPr>
      </w:pPr>
      <w:r>
        <w:rPr>
          <w:rFonts w:ascii="Palatino Linotype" w:hAnsi="Palatino Linotype" w:cstheme="minorHAnsi"/>
          <w:b/>
          <w:bCs/>
          <w:sz w:val="22"/>
          <w:szCs w:val="22"/>
        </w:rPr>
        <w:t xml:space="preserve">Figure 1: </w:t>
      </w:r>
      <w:r w:rsidR="00AD2B46">
        <w:rPr>
          <w:rFonts w:ascii="Palatino Linotype" w:hAnsi="Palatino Linotype" w:cstheme="minorHAnsi"/>
          <w:b/>
          <w:bCs/>
          <w:sz w:val="22"/>
          <w:szCs w:val="22"/>
        </w:rPr>
        <w:t>C</w:t>
      </w:r>
      <w:r w:rsidR="00AD2B46" w:rsidRPr="00AD2B46">
        <w:rPr>
          <w:rFonts w:ascii="Palatino Linotype" w:hAnsi="Palatino Linotype" w:cstheme="minorHAnsi"/>
          <w:b/>
          <w:bCs/>
          <w:sz w:val="22"/>
          <w:szCs w:val="22"/>
        </w:rPr>
        <w:t xml:space="preserve">ontributions to growth (left) </w:t>
      </w:r>
      <w:r w:rsidR="00AD2B46">
        <w:rPr>
          <w:rFonts w:ascii="Palatino Linotype" w:hAnsi="Palatino Linotype" w:cstheme="minorHAnsi"/>
          <w:b/>
          <w:bCs/>
          <w:sz w:val="22"/>
          <w:szCs w:val="22"/>
        </w:rPr>
        <w:t>and y</w:t>
      </w:r>
      <w:r w:rsidR="00AD2B46" w:rsidRPr="00AD2B46">
        <w:rPr>
          <w:rFonts w:ascii="Palatino Linotype" w:hAnsi="Palatino Linotype" w:cstheme="minorHAnsi"/>
          <w:b/>
          <w:bCs/>
          <w:sz w:val="22"/>
          <w:szCs w:val="22"/>
        </w:rPr>
        <w:t xml:space="preserve">ear-on-year growth rates (right) </w:t>
      </w:r>
      <w:r w:rsidR="00AD2B46" w:rsidRPr="00AD2B46">
        <w:rPr>
          <w:rFonts w:ascii="Palatino Linotype" w:hAnsi="Palatino Linotype" w:cstheme="minorHAnsi"/>
          <w:b/>
          <w:bCs/>
          <w:sz w:val="22"/>
          <w:szCs w:val="22"/>
        </w:rPr>
        <w:t>of GDP components in 20</w:t>
      </w:r>
      <w:r w:rsidR="00AD2B46">
        <w:rPr>
          <w:rFonts w:ascii="Palatino Linotype" w:hAnsi="Palatino Linotype" w:cstheme="minorHAnsi"/>
          <w:b/>
          <w:bCs/>
          <w:sz w:val="22"/>
          <w:szCs w:val="22"/>
        </w:rPr>
        <w:t>18</w:t>
      </w:r>
      <w:r w:rsidR="00AD2B46" w:rsidRPr="00AD2B46">
        <w:rPr>
          <w:rFonts w:ascii="Palatino Linotype" w:hAnsi="Palatino Linotype" w:cstheme="minorHAnsi"/>
          <w:b/>
          <w:bCs/>
          <w:sz w:val="22"/>
          <w:szCs w:val="22"/>
        </w:rPr>
        <w:t xml:space="preserve"> Q</w:t>
      </w:r>
      <w:r w:rsidR="00AD2B46">
        <w:rPr>
          <w:rFonts w:ascii="Palatino Linotype" w:hAnsi="Palatino Linotype" w:cstheme="minorHAnsi"/>
          <w:b/>
          <w:bCs/>
          <w:sz w:val="22"/>
          <w:szCs w:val="22"/>
        </w:rPr>
        <w:t>1</w:t>
      </w:r>
    </w:p>
    <w:p w14:paraId="75865008" w14:textId="7B39ECD4" w:rsidR="00B53557" w:rsidRPr="00924CD9" w:rsidRDefault="006B13E3" w:rsidP="00B53557">
      <w:pPr>
        <w:keepNext/>
        <w:ind w:left="-567" w:right="-567"/>
        <w:rPr>
          <w:rFonts w:ascii="Palatino Linotype" w:hAnsi="Palatino Linotype" w:cstheme="minorHAnsi"/>
        </w:rPr>
      </w:pPr>
      <w:r>
        <w:rPr>
          <w:noProof/>
        </w:rPr>
        <w:drawing>
          <wp:inline distT="0" distB="0" distL="0" distR="0" wp14:anchorId="7E52DA8E" wp14:editId="09AA8356">
            <wp:extent cx="3219450" cy="1962150"/>
            <wp:effectExtent l="0" t="0" r="0" b="0"/>
            <wp:docPr id="2" name="Grafik 2">
              <a:extLst xmlns:a="http://schemas.openxmlformats.org/drawingml/2006/main">
                <a:ext uri="{FF2B5EF4-FFF2-40B4-BE49-F238E27FC236}">
                  <a16:creationId xmlns:a16="http://schemas.microsoft.com/office/drawing/2014/main" id="{3C5E1B5F-B42B-467F-B20E-6F70620EA7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53557" w:rsidRPr="00D56304">
        <w:rPr>
          <w:noProof/>
        </w:rPr>
        <w:t xml:space="preserve"> </w:t>
      </w:r>
      <w:r w:rsidR="00BB5631">
        <w:rPr>
          <w:noProof/>
        </w:rPr>
        <w:drawing>
          <wp:inline distT="0" distB="0" distL="0" distR="0" wp14:anchorId="783F69A6" wp14:editId="783C7B09">
            <wp:extent cx="3067050" cy="1981200"/>
            <wp:effectExtent l="0" t="0" r="0" b="0"/>
            <wp:docPr id="3" name="Grafik 3">
              <a:extLst xmlns:a="http://schemas.openxmlformats.org/drawingml/2006/main">
                <a:ext uri="{FF2B5EF4-FFF2-40B4-BE49-F238E27FC236}">
                  <a16:creationId xmlns:a16="http://schemas.microsoft.com/office/drawing/2014/main" id="{4AA043C6-91A2-4200-8508-CD306EABC55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CB93672" w14:textId="77777777" w:rsidR="00B53557" w:rsidRPr="00924CD9" w:rsidRDefault="00B53557" w:rsidP="00B53557">
      <w:pPr>
        <w:keepNext/>
        <w:rPr>
          <w:rFonts w:ascii="Palatino Linotype" w:hAnsi="Palatino Linotype" w:cstheme="minorHAnsi"/>
        </w:rPr>
      </w:pPr>
      <w:r w:rsidRPr="00A160F5">
        <w:rPr>
          <w:rFonts w:ascii="Palatino Linotype" w:hAnsi="Palatino Linotype" w:cstheme="minorHAnsi"/>
          <w:b/>
          <w:sz w:val="18"/>
          <w:szCs w:val="18"/>
        </w:rPr>
        <w:t>Source:</w:t>
      </w:r>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T</w:t>
      </w:r>
      <w:r>
        <w:rPr>
          <w:rFonts w:ascii="Palatino Linotype" w:hAnsi="Palatino Linotype" w:cstheme="minorHAnsi"/>
          <w:sz w:val="18"/>
          <w:szCs w:val="18"/>
        </w:rPr>
        <w:t>urkStat</w:t>
      </w:r>
      <w:proofErr w:type="spellEnd"/>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Betam</w:t>
      </w:r>
      <w:proofErr w:type="spellEnd"/>
      <w:r w:rsidRPr="00924CD9">
        <w:rPr>
          <w:rFonts w:ascii="Palatino Linotype" w:hAnsi="Palatino Linotype" w:cstheme="minorHAnsi"/>
          <w:sz w:val="16"/>
          <w:szCs w:val="16"/>
        </w:rPr>
        <w:t xml:space="preserve">. </w:t>
      </w:r>
    </w:p>
    <w:p w14:paraId="62ECA514" w14:textId="77777777" w:rsidR="00CC79C0" w:rsidRPr="00AE59EE" w:rsidRDefault="00CC79C0" w:rsidP="001F7BC7">
      <w:pPr>
        <w:spacing w:after="120"/>
        <w:ind w:left="567" w:right="567"/>
        <w:jc w:val="both"/>
        <w:rPr>
          <w:rFonts w:ascii="Palatino Linotype" w:hAnsi="Palatino Linotype" w:cstheme="minorHAnsi"/>
          <w:sz w:val="22"/>
          <w:szCs w:val="22"/>
        </w:rPr>
      </w:pPr>
    </w:p>
    <w:p w14:paraId="68B1A7EE" w14:textId="46DECFA3" w:rsidR="00A160F5" w:rsidRDefault="006C3EE6" w:rsidP="006C3EE6">
      <w:pPr>
        <w:keepNext/>
        <w:ind w:right="77"/>
        <w:jc w:val="both"/>
        <w:rPr>
          <w:rFonts w:ascii="Palatino Linotype" w:hAnsi="Palatino Linotype" w:cstheme="minorHAnsi"/>
          <w:b/>
          <w:bCs/>
          <w:sz w:val="22"/>
          <w:szCs w:val="22"/>
        </w:rPr>
      </w:pPr>
      <w:r w:rsidRPr="00924CD9">
        <w:rPr>
          <w:rFonts w:ascii="Palatino Linotype" w:hAnsi="Palatino Linotype" w:cstheme="minorHAnsi"/>
          <w:b/>
          <w:bCs/>
          <w:sz w:val="22"/>
          <w:szCs w:val="22"/>
        </w:rPr>
        <w:t>T</w:t>
      </w:r>
      <w:r w:rsidR="00A160F5">
        <w:rPr>
          <w:rFonts w:ascii="Palatino Linotype" w:hAnsi="Palatino Linotype" w:cstheme="minorHAnsi"/>
          <w:b/>
          <w:bCs/>
          <w:sz w:val="22"/>
          <w:szCs w:val="22"/>
        </w:rPr>
        <w:t>able</w:t>
      </w:r>
      <w:r w:rsidRPr="00924CD9">
        <w:rPr>
          <w:rFonts w:ascii="Palatino Linotype" w:hAnsi="Palatino Linotype" w:cstheme="minorHAnsi"/>
          <w:b/>
          <w:bCs/>
          <w:sz w:val="22"/>
          <w:szCs w:val="22"/>
        </w:rPr>
        <w:t xml:space="preserve"> 1: </w:t>
      </w:r>
      <w:r w:rsidR="00A160F5">
        <w:rPr>
          <w:rFonts w:ascii="Palatino Linotype" w:hAnsi="Palatino Linotype" w:cstheme="minorHAnsi"/>
          <w:b/>
          <w:bCs/>
          <w:sz w:val="22"/>
          <w:szCs w:val="22"/>
        </w:rPr>
        <w:t>Growth rates and contributions to growth of GDP components in 2017 Q</w:t>
      </w:r>
      <w:r w:rsidR="008E74F0">
        <w:rPr>
          <w:rFonts w:ascii="Palatino Linotype" w:hAnsi="Palatino Linotype" w:cstheme="minorHAnsi"/>
          <w:b/>
          <w:bCs/>
          <w:sz w:val="22"/>
          <w:szCs w:val="22"/>
        </w:rPr>
        <w:t xml:space="preserve">4 and </w:t>
      </w:r>
      <w:r w:rsidR="00CD4010">
        <w:rPr>
          <w:rFonts w:ascii="Palatino Linotype" w:hAnsi="Palatino Linotype" w:cstheme="minorHAnsi"/>
          <w:b/>
          <w:bCs/>
          <w:sz w:val="22"/>
          <w:szCs w:val="22"/>
        </w:rPr>
        <w:t xml:space="preserve">2018 </w:t>
      </w:r>
      <w:r w:rsidR="00A160F5">
        <w:rPr>
          <w:rFonts w:ascii="Palatino Linotype" w:hAnsi="Palatino Linotype" w:cstheme="minorHAnsi"/>
          <w:b/>
          <w:bCs/>
          <w:sz w:val="22"/>
          <w:szCs w:val="22"/>
        </w:rPr>
        <w:t>Q</w:t>
      </w:r>
      <w:r w:rsidR="00CD4010">
        <w:rPr>
          <w:rFonts w:ascii="Palatino Linotype" w:hAnsi="Palatino Linotype" w:cstheme="minorHAnsi"/>
          <w:b/>
          <w:bCs/>
          <w:sz w:val="22"/>
          <w:szCs w:val="22"/>
        </w:rPr>
        <w:t>1</w:t>
      </w:r>
      <w:r w:rsidR="00A160F5">
        <w:rPr>
          <w:rFonts w:ascii="Palatino Linotype" w:hAnsi="Palatino Linotype" w:cstheme="minorHAnsi"/>
          <w:b/>
          <w:bCs/>
          <w:sz w:val="22"/>
          <w:szCs w:val="22"/>
        </w:rPr>
        <w:t xml:space="preserve"> compared to same quarter of last year</w:t>
      </w:r>
    </w:p>
    <w:tbl>
      <w:tblPr>
        <w:tblW w:w="7535" w:type="dxa"/>
        <w:tblInd w:w="70" w:type="dxa"/>
        <w:tblCellMar>
          <w:left w:w="70" w:type="dxa"/>
          <w:right w:w="70" w:type="dxa"/>
        </w:tblCellMar>
        <w:tblLook w:val="04A0" w:firstRow="1" w:lastRow="0" w:firstColumn="1" w:lastColumn="0" w:noHBand="0" w:noVBand="1"/>
      </w:tblPr>
      <w:tblGrid>
        <w:gridCol w:w="2153"/>
        <w:gridCol w:w="1093"/>
        <w:gridCol w:w="1598"/>
        <w:gridCol w:w="1093"/>
        <w:gridCol w:w="1598"/>
      </w:tblGrid>
      <w:tr w:rsidR="00E01513" w:rsidRPr="00E01513" w14:paraId="577C45A8" w14:textId="77777777" w:rsidTr="00E01513">
        <w:trPr>
          <w:trHeight w:val="260"/>
        </w:trPr>
        <w:tc>
          <w:tcPr>
            <w:tcW w:w="2153" w:type="dxa"/>
            <w:tcBorders>
              <w:top w:val="nil"/>
              <w:left w:val="nil"/>
              <w:bottom w:val="nil"/>
              <w:right w:val="nil"/>
            </w:tcBorders>
            <w:shd w:val="clear" w:color="000000" w:fill="FFFFFF"/>
            <w:noWrap/>
            <w:vAlign w:val="bottom"/>
            <w:hideMark/>
          </w:tcPr>
          <w:p w14:paraId="12B08C1C" w14:textId="77777777" w:rsidR="00E01513" w:rsidRPr="00E01513" w:rsidRDefault="00E01513" w:rsidP="00E01513">
            <w:pPr>
              <w:rPr>
                <w:rFonts w:ascii="Calibri" w:hAnsi="Calibri"/>
                <w:b/>
                <w:bCs/>
                <w:color w:val="000000"/>
                <w:sz w:val="20"/>
                <w:szCs w:val="20"/>
                <w:lang w:val="tr-TR"/>
              </w:rPr>
            </w:pPr>
            <w:r w:rsidRPr="00E01513">
              <w:rPr>
                <w:rFonts w:ascii="Calibri" w:hAnsi="Calibri"/>
                <w:b/>
                <w:bCs/>
                <w:color w:val="000000"/>
                <w:sz w:val="20"/>
                <w:szCs w:val="20"/>
                <w:lang w:val="tr-TR"/>
              </w:rPr>
              <w:t> </w:t>
            </w:r>
          </w:p>
        </w:tc>
        <w:tc>
          <w:tcPr>
            <w:tcW w:w="2691"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9FBB86F" w14:textId="77777777" w:rsidR="00E01513" w:rsidRPr="00E01513" w:rsidRDefault="00E01513" w:rsidP="00E01513">
            <w:pPr>
              <w:jc w:val="center"/>
              <w:rPr>
                <w:rFonts w:ascii="Calibri" w:hAnsi="Calibri"/>
                <w:b/>
                <w:bCs/>
                <w:color w:val="000000"/>
                <w:sz w:val="20"/>
                <w:szCs w:val="20"/>
                <w:lang w:val="tr-TR"/>
              </w:rPr>
            </w:pPr>
            <w:r w:rsidRPr="00E01513">
              <w:rPr>
                <w:rFonts w:ascii="Calibri" w:hAnsi="Calibri"/>
                <w:b/>
                <w:bCs/>
                <w:color w:val="000000"/>
                <w:sz w:val="20"/>
                <w:szCs w:val="20"/>
                <w:lang w:val="tr-TR"/>
              </w:rPr>
              <w:t>2017Q4</w:t>
            </w:r>
          </w:p>
        </w:tc>
        <w:tc>
          <w:tcPr>
            <w:tcW w:w="2691" w:type="dxa"/>
            <w:gridSpan w:val="2"/>
            <w:tcBorders>
              <w:top w:val="single" w:sz="4" w:space="0" w:color="auto"/>
              <w:left w:val="nil"/>
              <w:bottom w:val="single" w:sz="4" w:space="0" w:color="auto"/>
              <w:right w:val="nil"/>
            </w:tcBorders>
            <w:shd w:val="clear" w:color="000000" w:fill="FFFFFF"/>
            <w:noWrap/>
            <w:vAlign w:val="bottom"/>
            <w:hideMark/>
          </w:tcPr>
          <w:p w14:paraId="68DF3EE2" w14:textId="77777777" w:rsidR="00E01513" w:rsidRPr="00E01513" w:rsidRDefault="00E01513" w:rsidP="00E01513">
            <w:pPr>
              <w:jc w:val="center"/>
              <w:rPr>
                <w:rFonts w:ascii="Calibri" w:hAnsi="Calibri"/>
                <w:b/>
                <w:bCs/>
                <w:color w:val="000000"/>
                <w:sz w:val="20"/>
                <w:szCs w:val="20"/>
                <w:lang w:val="tr-TR"/>
              </w:rPr>
            </w:pPr>
            <w:r w:rsidRPr="00E01513">
              <w:rPr>
                <w:rFonts w:ascii="Calibri" w:hAnsi="Calibri"/>
                <w:b/>
                <w:bCs/>
                <w:color w:val="000000"/>
                <w:sz w:val="20"/>
                <w:szCs w:val="20"/>
                <w:lang w:val="tr-TR"/>
              </w:rPr>
              <w:t>2018Q1</w:t>
            </w:r>
          </w:p>
        </w:tc>
      </w:tr>
      <w:tr w:rsidR="00E01513" w:rsidRPr="00E01513" w14:paraId="68D734B1" w14:textId="77777777" w:rsidTr="00E01513">
        <w:trPr>
          <w:trHeight w:val="260"/>
        </w:trPr>
        <w:tc>
          <w:tcPr>
            <w:tcW w:w="2153" w:type="dxa"/>
            <w:tcBorders>
              <w:top w:val="nil"/>
              <w:left w:val="nil"/>
              <w:bottom w:val="nil"/>
              <w:right w:val="nil"/>
            </w:tcBorders>
            <w:shd w:val="clear" w:color="000000" w:fill="FFFFFF"/>
            <w:noWrap/>
            <w:vAlign w:val="bottom"/>
            <w:hideMark/>
          </w:tcPr>
          <w:p w14:paraId="55892AE7" w14:textId="77777777" w:rsidR="00E01513" w:rsidRPr="00E01513" w:rsidRDefault="00E01513" w:rsidP="00E01513">
            <w:pPr>
              <w:rPr>
                <w:rFonts w:ascii="Calibri" w:hAnsi="Calibri"/>
                <w:b/>
                <w:bCs/>
                <w:color w:val="000000"/>
                <w:sz w:val="20"/>
                <w:szCs w:val="20"/>
                <w:lang w:val="tr-TR"/>
              </w:rPr>
            </w:pPr>
            <w:r w:rsidRPr="00E01513">
              <w:rPr>
                <w:rFonts w:ascii="Calibri" w:hAnsi="Calibri"/>
                <w:b/>
                <w:bCs/>
                <w:color w:val="000000"/>
                <w:sz w:val="20"/>
                <w:szCs w:val="20"/>
                <w:lang w:val="tr-TR"/>
              </w:rPr>
              <w:t> </w:t>
            </w:r>
          </w:p>
        </w:tc>
        <w:tc>
          <w:tcPr>
            <w:tcW w:w="1093" w:type="dxa"/>
            <w:tcBorders>
              <w:top w:val="nil"/>
              <w:left w:val="single" w:sz="4" w:space="0" w:color="auto"/>
              <w:bottom w:val="single" w:sz="4" w:space="0" w:color="auto"/>
              <w:right w:val="nil"/>
            </w:tcBorders>
            <w:shd w:val="clear" w:color="000000" w:fill="FFFFFF"/>
            <w:noWrap/>
            <w:vAlign w:val="bottom"/>
            <w:hideMark/>
          </w:tcPr>
          <w:p w14:paraId="0A3FB6D7" w14:textId="77777777" w:rsidR="00E01513" w:rsidRPr="00E01513" w:rsidRDefault="00E01513" w:rsidP="00E01513">
            <w:pPr>
              <w:jc w:val="center"/>
              <w:rPr>
                <w:rFonts w:ascii="Calibri" w:hAnsi="Calibri"/>
                <w:b/>
                <w:bCs/>
                <w:color w:val="000000"/>
                <w:sz w:val="20"/>
                <w:szCs w:val="20"/>
                <w:lang w:val="tr-TR"/>
              </w:rPr>
            </w:pPr>
            <w:proofErr w:type="spellStart"/>
            <w:r w:rsidRPr="00E01513">
              <w:rPr>
                <w:rFonts w:ascii="Calibri" w:hAnsi="Calibri"/>
                <w:b/>
                <w:bCs/>
                <w:color w:val="000000"/>
                <w:sz w:val="20"/>
                <w:szCs w:val="20"/>
                <w:lang w:val="tr-TR"/>
              </w:rPr>
              <w:t>Change</w:t>
            </w:r>
            <w:proofErr w:type="spellEnd"/>
            <w:r w:rsidRPr="00E01513">
              <w:rPr>
                <w:rFonts w:ascii="Calibri" w:hAnsi="Calibri"/>
                <w:b/>
                <w:bCs/>
                <w:color w:val="000000"/>
                <w:sz w:val="20"/>
                <w:szCs w:val="20"/>
                <w:lang w:val="tr-TR"/>
              </w:rPr>
              <w:t xml:space="preserve"> (%)</w:t>
            </w:r>
          </w:p>
        </w:tc>
        <w:tc>
          <w:tcPr>
            <w:tcW w:w="1597" w:type="dxa"/>
            <w:tcBorders>
              <w:top w:val="nil"/>
              <w:left w:val="nil"/>
              <w:bottom w:val="nil"/>
              <w:right w:val="single" w:sz="4" w:space="0" w:color="auto"/>
            </w:tcBorders>
            <w:shd w:val="clear" w:color="000000" w:fill="FFFFFF"/>
            <w:noWrap/>
            <w:vAlign w:val="bottom"/>
            <w:hideMark/>
          </w:tcPr>
          <w:p w14:paraId="4955FE31" w14:textId="77777777" w:rsidR="00E01513" w:rsidRPr="00E01513" w:rsidRDefault="00E01513" w:rsidP="00E01513">
            <w:pPr>
              <w:jc w:val="center"/>
              <w:rPr>
                <w:rFonts w:ascii="Calibri" w:hAnsi="Calibri"/>
                <w:b/>
                <w:bCs/>
                <w:color w:val="000000"/>
                <w:sz w:val="20"/>
                <w:szCs w:val="20"/>
                <w:lang w:val="tr-TR"/>
              </w:rPr>
            </w:pPr>
            <w:proofErr w:type="spellStart"/>
            <w:r w:rsidRPr="00E01513">
              <w:rPr>
                <w:rFonts w:ascii="Calibri" w:hAnsi="Calibri"/>
                <w:b/>
                <w:bCs/>
                <w:color w:val="000000"/>
                <w:sz w:val="20"/>
                <w:szCs w:val="20"/>
                <w:lang w:val="tr-TR"/>
              </w:rPr>
              <w:t>Contribution</w:t>
            </w:r>
            <w:proofErr w:type="spellEnd"/>
            <w:r w:rsidRPr="00E01513">
              <w:rPr>
                <w:rFonts w:ascii="Calibri" w:hAnsi="Calibri"/>
                <w:b/>
                <w:bCs/>
                <w:color w:val="000000"/>
                <w:sz w:val="20"/>
                <w:szCs w:val="20"/>
                <w:lang w:val="tr-TR"/>
              </w:rPr>
              <w:t xml:space="preserve"> (%)</w:t>
            </w:r>
          </w:p>
        </w:tc>
        <w:tc>
          <w:tcPr>
            <w:tcW w:w="1093" w:type="dxa"/>
            <w:tcBorders>
              <w:top w:val="nil"/>
              <w:left w:val="nil"/>
              <w:bottom w:val="nil"/>
              <w:right w:val="nil"/>
            </w:tcBorders>
            <w:shd w:val="clear" w:color="000000" w:fill="FFFFFF"/>
            <w:noWrap/>
            <w:vAlign w:val="bottom"/>
            <w:hideMark/>
          </w:tcPr>
          <w:p w14:paraId="03057E76" w14:textId="77777777" w:rsidR="00E01513" w:rsidRPr="00E01513" w:rsidRDefault="00E01513" w:rsidP="00E01513">
            <w:pPr>
              <w:jc w:val="center"/>
              <w:rPr>
                <w:rFonts w:ascii="Calibri" w:hAnsi="Calibri"/>
                <w:b/>
                <w:bCs/>
                <w:color w:val="000000"/>
                <w:sz w:val="20"/>
                <w:szCs w:val="20"/>
                <w:lang w:val="tr-TR"/>
              </w:rPr>
            </w:pPr>
            <w:proofErr w:type="spellStart"/>
            <w:r w:rsidRPr="00E01513">
              <w:rPr>
                <w:rFonts w:ascii="Calibri" w:hAnsi="Calibri"/>
                <w:b/>
                <w:bCs/>
                <w:color w:val="000000"/>
                <w:sz w:val="20"/>
                <w:szCs w:val="20"/>
                <w:lang w:val="tr-TR"/>
              </w:rPr>
              <w:t>Change</w:t>
            </w:r>
            <w:proofErr w:type="spellEnd"/>
            <w:r w:rsidRPr="00E01513">
              <w:rPr>
                <w:rFonts w:ascii="Calibri" w:hAnsi="Calibri"/>
                <w:b/>
                <w:bCs/>
                <w:color w:val="000000"/>
                <w:sz w:val="20"/>
                <w:szCs w:val="20"/>
                <w:lang w:val="tr-TR"/>
              </w:rPr>
              <w:t xml:space="preserve"> (%)</w:t>
            </w:r>
          </w:p>
        </w:tc>
        <w:tc>
          <w:tcPr>
            <w:tcW w:w="1597" w:type="dxa"/>
            <w:tcBorders>
              <w:top w:val="nil"/>
              <w:left w:val="nil"/>
              <w:bottom w:val="nil"/>
              <w:right w:val="nil"/>
            </w:tcBorders>
            <w:shd w:val="clear" w:color="000000" w:fill="FFFFFF"/>
            <w:noWrap/>
            <w:vAlign w:val="bottom"/>
            <w:hideMark/>
          </w:tcPr>
          <w:p w14:paraId="04D1347C" w14:textId="77777777" w:rsidR="00E01513" w:rsidRPr="00E01513" w:rsidRDefault="00E01513" w:rsidP="00E01513">
            <w:pPr>
              <w:jc w:val="center"/>
              <w:rPr>
                <w:rFonts w:ascii="Calibri" w:hAnsi="Calibri"/>
                <w:b/>
                <w:bCs/>
                <w:color w:val="000000"/>
                <w:sz w:val="20"/>
                <w:szCs w:val="20"/>
                <w:lang w:val="tr-TR"/>
              </w:rPr>
            </w:pPr>
            <w:proofErr w:type="spellStart"/>
            <w:r w:rsidRPr="00E01513">
              <w:rPr>
                <w:rFonts w:ascii="Calibri" w:hAnsi="Calibri"/>
                <w:b/>
                <w:bCs/>
                <w:color w:val="000000"/>
                <w:sz w:val="20"/>
                <w:szCs w:val="20"/>
                <w:lang w:val="tr-TR"/>
              </w:rPr>
              <w:t>Contribution</w:t>
            </w:r>
            <w:proofErr w:type="spellEnd"/>
            <w:r w:rsidRPr="00E01513">
              <w:rPr>
                <w:rFonts w:ascii="Calibri" w:hAnsi="Calibri"/>
                <w:b/>
                <w:bCs/>
                <w:color w:val="000000"/>
                <w:sz w:val="20"/>
                <w:szCs w:val="20"/>
                <w:lang w:val="tr-TR"/>
              </w:rPr>
              <w:t xml:space="preserve"> (%)</w:t>
            </w:r>
          </w:p>
        </w:tc>
      </w:tr>
      <w:tr w:rsidR="00E01513" w:rsidRPr="00E01513" w14:paraId="15903579" w14:textId="77777777" w:rsidTr="00E01513">
        <w:trPr>
          <w:trHeight w:val="260"/>
        </w:trPr>
        <w:tc>
          <w:tcPr>
            <w:tcW w:w="2153" w:type="dxa"/>
            <w:tcBorders>
              <w:top w:val="single" w:sz="4" w:space="0" w:color="auto"/>
              <w:left w:val="nil"/>
              <w:bottom w:val="nil"/>
              <w:right w:val="nil"/>
            </w:tcBorders>
            <w:shd w:val="clear" w:color="000000" w:fill="FFFFFF"/>
            <w:noWrap/>
            <w:vAlign w:val="bottom"/>
            <w:hideMark/>
          </w:tcPr>
          <w:p w14:paraId="230D4B40" w14:textId="77777777" w:rsidR="00E01513" w:rsidRPr="00E01513" w:rsidRDefault="00E01513" w:rsidP="00E01513">
            <w:pPr>
              <w:rPr>
                <w:rFonts w:ascii="Calibri" w:hAnsi="Calibri"/>
                <w:b/>
                <w:bCs/>
                <w:color w:val="000000"/>
                <w:sz w:val="20"/>
                <w:szCs w:val="20"/>
                <w:lang w:val="tr-TR"/>
              </w:rPr>
            </w:pPr>
            <w:proofErr w:type="spellStart"/>
            <w:r w:rsidRPr="00E01513">
              <w:rPr>
                <w:rFonts w:ascii="Calibri" w:hAnsi="Calibri"/>
                <w:b/>
                <w:bCs/>
                <w:color w:val="000000"/>
                <w:sz w:val="20"/>
                <w:szCs w:val="20"/>
                <w:lang w:val="tr-TR"/>
              </w:rPr>
              <w:t>Consumption</w:t>
            </w:r>
            <w:proofErr w:type="spellEnd"/>
          </w:p>
        </w:tc>
        <w:tc>
          <w:tcPr>
            <w:tcW w:w="1093" w:type="dxa"/>
            <w:tcBorders>
              <w:top w:val="nil"/>
              <w:left w:val="single" w:sz="4" w:space="0" w:color="auto"/>
              <w:bottom w:val="nil"/>
              <w:right w:val="nil"/>
            </w:tcBorders>
            <w:shd w:val="clear" w:color="000000" w:fill="FFFFFF"/>
            <w:noWrap/>
            <w:vAlign w:val="bottom"/>
            <w:hideMark/>
          </w:tcPr>
          <w:p w14:paraId="500CA274"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6.6</w:t>
            </w:r>
          </w:p>
        </w:tc>
        <w:tc>
          <w:tcPr>
            <w:tcW w:w="1597" w:type="dxa"/>
            <w:tcBorders>
              <w:top w:val="single" w:sz="4" w:space="0" w:color="auto"/>
              <w:left w:val="nil"/>
              <w:bottom w:val="nil"/>
              <w:right w:val="single" w:sz="4" w:space="0" w:color="auto"/>
            </w:tcBorders>
            <w:shd w:val="clear" w:color="000000" w:fill="FFFFFF"/>
            <w:noWrap/>
            <w:vAlign w:val="bottom"/>
            <w:hideMark/>
          </w:tcPr>
          <w:p w14:paraId="0FC10B91"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4.0</w:t>
            </w:r>
          </w:p>
        </w:tc>
        <w:tc>
          <w:tcPr>
            <w:tcW w:w="1093" w:type="dxa"/>
            <w:tcBorders>
              <w:top w:val="single" w:sz="4" w:space="0" w:color="auto"/>
              <w:left w:val="nil"/>
              <w:bottom w:val="nil"/>
              <w:right w:val="nil"/>
            </w:tcBorders>
            <w:shd w:val="clear" w:color="000000" w:fill="FFFFFF"/>
            <w:noWrap/>
            <w:vAlign w:val="bottom"/>
            <w:hideMark/>
          </w:tcPr>
          <w:p w14:paraId="7BE581D4"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11.0</w:t>
            </w:r>
          </w:p>
        </w:tc>
        <w:tc>
          <w:tcPr>
            <w:tcW w:w="1597" w:type="dxa"/>
            <w:tcBorders>
              <w:top w:val="single" w:sz="4" w:space="0" w:color="auto"/>
              <w:left w:val="nil"/>
              <w:bottom w:val="nil"/>
              <w:right w:val="nil"/>
            </w:tcBorders>
            <w:shd w:val="clear" w:color="000000" w:fill="FFFFFF"/>
            <w:noWrap/>
            <w:vAlign w:val="bottom"/>
            <w:hideMark/>
          </w:tcPr>
          <w:p w14:paraId="2EB29F26"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6.6</w:t>
            </w:r>
          </w:p>
        </w:tc>
      </w:tr>
      <w:tr w:rsidR="00E01513" w:rsidRPr="00E01513" w14:paraId="534D9276" w14:textId="77777777" w:rsidTr="00E01513">
        <w:trPr>
          <w:trHeight w:val="260"/>
        </w:trPr>
        <w:tc>
          <w:tcPr>
            <w:tcW w:w="2153" w:type="dxa"/>
            <w:tcBorders>
              <w:top w:val="nil"/>
              <w:left w:val="nil"/>
              <w:bottom w:val="nil"/>
              <w:right w:val="nil"/>
            </w:tcBorders>
            <w:shd w:val="clear" w:color="000000" w:fill="FFFFFF"/>
            <w:noWrap/>
            <w:vAlign w:val="bottom"/>
            <w:hideMark/>
          </w:tcPr>
          <w:p w14:paraId="58600D11" w14:textId="77777777" w:rsidR="00E01513" w:rsidRPr="00E01513" w:rsidRDefault="00E01513" w:rsidP="00E01513">
            <w:pPr>
              <w:rPr>
                <w:rFonts w:ascii="Calibri" w:hAnsi="Calibri"/>
                <w:b/>
                <w:bCs/>
                <w:color w:val="000000"/>
                <w:sz w:val="20"/>
                <w:szCs w:val="20"/>
                <w:lang w:val="tr-TR"/>
              </w:rPr>
            </w:pPr>
            <w:proofErr w:type="spellStart"/>
            <w:r w:rsidRPr="00E01513">
              <w:rPr>
                <w:rFonts w:ascii="Calibri" w:hAnsi="Calibri"/>
                <w:b/>
                <w:bCs/>
                <w:color w:val="000000"/>
                <w:sz w:val="20"/>
                <w:szCs w:val="20"/>
                <w:lang w:val="tr-TR"/>
              </w:rPr>
              <w:t>Government</w:t>
            </w:r>
            <w:proofErr w:type="spellEnd"/>
            <w:r w:rsidRPr="00E01513">
              <w:rPr>
                <w:rFonts w:ascii="Calibri" w:hAnsi="Calibri"/>
                <w:b/>
                <w:bCs/>
                <w:color w:val="000000"/>
                <w:sz w:val="20"/>
                <w:szCs w:val="20"/>
                <w:lang w:val="tr-TR"/>
              </w:rPr>
              <w:t xml:space="preserve"> </w:t>
            </w:r>
            <w:proofErr w:type="spellStart"/>
            <w:r w:rsidRPr="00E01513">
              <w:rPr>
                <w:rFonts w:ascii="Calibri" w:hAnsi="Calibri"/>
                <w:b/>
                <w:bCs/>
                <w:color w:val="000000"/>
                <w:sz w:val="20"/>
                <w:szCs w:val="20"/>
                <w:lang w:val="tr-TR"/>
              </w:rPr>
              <w:t>Spending</w:t>
            </w:r>
            <w:proofErr w:type="spellEnd"/>
          </w:p>
        </w:tc>
        <w:tc>
          <w:tcPr>
            <w:tcW w:w="1093" w:type="dxa"/>
            <w:tcBorders>
              <w:top w:val="nil"/>
              <w:left w:val="single" w:sz="4" w:space="0" w:color="auto"/>
              <w:bottom w:val="nil"/>
              <w:right w:val="nil"/>
            </w:tcBorders>
            <w:shd w:val="clear" w:color="000000" w:fill="FFFFFF"/>
            <w:noWrap/>
            <w:vAlign w:val="bottom"/>
            <w:hideMark/>
          </w:tcPr>
          <w:p w14:paraId="77E22229"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7.4</w:t>
            </w:r>
          </w:p>
        </w:tc>
        <w:tc>
          <w:tcPr>
            <w:tcW w:w="1597" w:type="dxa"/>
            <w:tcBorders>
              <w:top w:val="nil"/>
              <w:left w:val="nil"/>
              <w:bottom w:val="nil"/>
              <w:right w:val="single" w:sz="4" w:space="0" w:color="auto"/>
            </w:tcBorders>
            <w:shd w:val="clear" w:color="000000" w:fill="FFFFFF"/>
            <w:noWrap/>
            <w:vAlign w:val="bottom"/>
            <w:hideMark/>
          </w:tcPr>
          <w:p w14:paraId="394568B2"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1.2</w:t>
            </w:r>
          </w:p>
        </w:tc>
        <w:tc>
          <w:tcPr>
            <w:tcW w:w="1093" w:type="dxa"/>
            <w:tcBorders>
              <w:top w:val="nil"/>
              <w:left w:val="nil"/>
              <w:bottom w:val="nil"/>
              <w:right w:val="nil"/>
            </w:tcBorders>
            <w:shd w:val="clear" w:color="000000" w:fill="FFFFFF"/>
            <w:noWrap/>
            <w:vAlign w:val="bottom"/>
            <w:hideMark/>
          </w:tcPr>
          <w:p w14:paraId="36CE3A6C"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3.4</w:t>
            </w:r>
          </w:p>
        </w:tc>
        <w:tc>
          <w:tcPr>
            <w:tcW w:w="1597" w:type="dxa"/>
            <w:tcBorders>
              <w:top w:val="nil"/>
              <w:left w:val="nil"/>
              <w:bottom w:val="nil"/>
              <w:right w:val="nil"/>
            </w:tcBorders>
            <w:shd w:val="clear" w:color="000000" w:fill="FFFFFF"/>
            <w:noWrap/>
            <w:vAlign w:val="bottom"/>
            <w:hideMark/>
          </w:tcPr>
          <w:p w14:paraId="20A41F32"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0.5</w:t>
            </w:r>
          </w:p>
        </w:tc>
      </w:tr>
      <w:tr w:rsidR="00E01513" w:rsidRPr="00E01513" w14:paraId="60A2499B" w14:textId="77777777" w:rsidTr="00E01513">
        <w:trPr>
          <w:trHeight w:val="260"/>
        </w:trPr>
        <w:tc>
          <w:tcPr>
            <w:tcW w:w="2153" w:type="dxa"/>
            <w:tcBorders>
              <w:top w:val="nil"/>
              <w:left w:val="nil"/>
              <w:bottom w:val="nil"/>
              <w:right w:val="nil"/>
            </w:tcBorders>
            <w:shd w:val="clear" w:color="000000" w:fill="FFFFFF"/>
            <w:noWrap/>
            <w:vAlign w:val="bottom"/>
            <w:hideMark/>
          </w:tcPr>
          <w:p w14:paraId="61F895C7" w14:textId="77777777" w:rsidR="00E01513" w:rsidRPr="00E01513" w:rsidRDefault="00E01513" w:rsidP="00E01513">
            <w:pPr>
              <w:rPr>
                <w:rFonts w:ascii="Calibri" w:hAnsi="Calibri"/>
                <w:b/>
                <w:bCs/>
                <w:color w:val="000000"/>
                <w:sz w:val="20"/>
                <w:szCs w:val="20"/>
                <w:lang w:val="tr-TR"/>
              </w:rPr>
            </w:pPr>
            <w:proofErr w:type="spellStart"/>
            <w:r w:rsidRPr="00E01513">
              <w:rPr>
                <w:rFonts w:ascii="Calibri" w:hAnsi="Calibri"/>
                <w:b/>
                <w:bCs/>
                <w:color w:val="000000"/>
                <w:sz w:val="20"/>
                <w:szCs w:val="20"/>
                <w:lang w:val="tr-TR"/>
              </w:rPr>
              <w:t>Investment</w:t>
            </w:r>
            <w:proofErr w:type="spellEnd"/>
          </w:p>
        </w:tc>
        <w:tc>
          <w:tcPr>
            <w:tcW w:w="1093" w:type="dxa"/>
            <w:tcBorders>
              <w:top w:val="nil"/>
              <w:left w:val="single" w:sz="4" w:space="0" w:color="auto"/>
              <w:bottom w:val="nil"/>
              <w:right w:val="nil"/>
            </w:tcBorders>
            <w:shd w:val="clear" w:color="000000" w:fill="FFFFFF"/>
            <w:noWrap/>
            <w:vAlign w:val="bottom"/>
            <w:hideMark/>
          </w:tcPr>
          <w:p w14:paraId="1896D620"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6.0</w:t>
            </w:r>
          </w:p>
        </w:tc>
        <w:tc>
          <w:tcPr>
            <w:tcW w:w="1597" w:type="dxa"/>
            <w:tcBorders>
              <w:top w:val="nil"/>
              <w:left w:val="nil"/>
              <w:bottom w:val="nil"/>
              <w:right w:val="single" w:sz="4" w:space="0" w:color="auto"/>
            </w:tcBorders>
            <w:shd w:val="clear" w:color="000000" w:fill="FFFFFF"/>
            <w:noWrap/>
            <w:vAlign w:val="bottom"/>
            <w:hideMark/>
          </w:tcPr>
          <w:p w14:paraId="6DA15380"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1.8</w:t>
            </w:r>
          </w:p>
        </w:tc>
        <w:tc>
          <w:tcPr>
            <w:tcW w:w="1093" w:type="dxa"/>
            <w:tcBorders>
              <w:top w:val="nil"/>
              <w:left w:val="nil"/>
              <w:bottom w:val="nil"/>
              <w:right w:val="nil"/>
            </w:tcBorders>
            <w:shd w:val="clear" w:color="000000" w:fill="FFFFFF"/>
            <w:noWrap/>
            <w:vAlign w:val="bottom"/>
            <w:hideMark/>
          </w:tcPr>
          <w:p w14:paraId="610D5972"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9.7</w:t>
            </w:r>
          </w:p>
        </w:tc>
        <w:tc>
          <w:tcPr>
            <w:tcW w:w="1597" w:type="dxa"/>
            <w:tcBorders>
              <w:top w:val="nil"/>
              <w:left w:val="nil"/>
              <w:bottom w:val="nil"/>
              <w:right w:val="nil"/>
            </w:tcBorders>
            <w:shd w:val="clear" w:color="000000" w:fill="FFFFFF"/>
            <w:noWrap/>
            <w:vAlign w:val="bottom"/>
            <w:hideMark/>
          </w:tcPr>
          <w:p w14:paraId="582D65AC"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2.8</w:t>
            </w:r>
          </w:p>
        </w:tc>
      </w:tr>
      <w:tr w:rsidR="00E01513" w:rsidRPr="00E01513" w14:paraId="4ACC8355" w14:textId="77777777" w:rsidTr="00E01513">
        <w:trPr>
          <w:trHeight w:val="260"/>
        </w:trPr>
        <w:tc>
          <w:tcPr>
            <w:tcW w:w="2153" w:type="dxa"/>
            <w:tcBorders>
              <w:top w:val="nil"/>
              <w:left w:val="nil"/>
              <w:bottom w:val="nil"/>
              <w:right w:val="nil"/>
            </w:tcBorders>
            <w:shd w:val="clear" w:color="000000" w:fill="FFFFFF"/>
            <w:noWrap/>
            <w:vAlign w:val="bottom"/>
            <w:hideMark/>
          </w:tcPr>
          <w:p w14:paraId="4CEE9C25" w14:textId="77777777" w:rsidR="00E01513" w:rsidRPr="00E01513" w:rsidRDefault="00E01513" w:rsidP="00E01513">
            <w:pPr>
              <w:rPr>
                <w:rFonts w:ascii="Calibri" w:hAnsi="Calibri"/>
                <w:b/>
                <w:bCs/>
                <w:color w:val="000000"/>
                <w:sz w:val="20"/>
                <w:szCs w:val="20"/>
                <w:lang w:val="tr-TR"/>
              </w:rPr>
            </w:pPr>
            <w:proofErr w:type="spellStart"/>
            <w:r w:rsidRPr="00E01513">
              <w:rPr>
                <w:rFonts w:ascii="Calibri" w:hAnsi="Calibri"/>
                <w:b/>
                <w:bCs/>
                <w:color w:val="000000"/>
                <w:sz w:val="20"/>
                <w:szCs w:val="20"/>
                <w:lang w:val="tr-TR"/>
              </w:rPr>
              <w:t>Change</w:t>
            </w:r>
            <w:proofErr w:type="spellEnd"/>
            <w:r w:rsidRPr="00E01513">
              <w:rPr>
                <w:rFonts w:ascii="Calibri" w:hAnsi="Calibri"/>
                <w:b/>
                <w:bCs/>
                <w:color w:val="000000"/>
                <w:sz w:val="20"/>
                <w:szCs w:val="20"/>
                <w:lang w:val="tr-TR"/>
              </w:rPr>
              <w:t xml:space="preserve"> in </w:t>
            </w:r>
            <w:proofErr w:type="spellStart"/>
            <w:r w:rsidRPr="00E01513">
              <w:rPr>
                <w:rFonts w:ascii="Calibri" w:hAnsi="Calibri"/>
                <w:b/>
                <w:bCs/>
                <w:color w:val="000000"/>
                <w:sz w:val="20"/>
                <w:szCs w:val="20"/>
                <w:lang w:val="tr-TR"/>
              </w:rPr>
              <w:t>Stock</w:t>
            </w:r>
            <w:proofErr w:type="spellEnd"/>
          </w:p>
        </w:tc>
        <w:tc>
          <w:tcPr>
            <w:tcW w:w="1093" w:type="dxa"/>
            <w:tcBorders>
              <w:top w:val="nil"/>
              <w:left w:val="single" w:sz="4" w:space="0" w:color="auto"/>
              <w:bottom w:val="nil"/>
              <w:right w:val="nil"/>
            </w:tcBorders>
            <w:shd w:val="clear" w:color="000000" w:fill="FFFFFF"/>
            <w:noWrap/>
            <w:vAlign w:val="bottom"/>
            <w:hideMark/>
          </w:tcPr>
          <w:p w14:paraId="78E9134D"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 </w:t>
            </w:r>
          </w:p>
        </w:tc>
        <w:tc>
          <w:tcPr>
            <w:tcW w:w="1597" w:type="dxa"/>
            <w:tcBorders>
              <w:top w:val="nil"/>
              <w:left w:val="nil"/>
              <w:bottom w:val="nil"/>
              <w:right w:val="single" w:sz="4" w:space="0" w:color="auto"/>
            </w:tcBorders>
            <w:shd w:val="clear" w:color="000000" w:fill="FFFFFF"/>
            <w:noWrap/>
            <w:vAlign w:val="bottom"/>
            <w:hideMark/>
          </w:tcPr>
          <w:p w14:paraId="20966557"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3.7</w:t>
            </w:r>
          </w:p>
        </w:tc>
        <w:tc>
          <w:tcPr>
            <w:tcW w:w="1093" w:type="dxa"/>
            <w:tcBorders>
              <w:top w:val="nil"/>
              <w:left w:val="nil"/>
              <w:bottom w:val="nil"/>
              <w:right w:val="nil"/>
            </w:tcBorders>
            <w:shd w:val="clear" w:color="000000" w:fill="FFFFFF"/>
            <w:noWrap/>
            <w:vAlign w:val="bottom"/>
            <w:hideMark/>
          </w:tcPr>
          <w:p w14:paraId="44BA7187"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 </w:t>
            </w:r>
          </w:p>
        </w:tc>
        <w:tc>
          <w:tcPr>
            <w:tcW w:w="1597" w:type="dxa"/>
            <w:tcBorders>
              <w:top w:val="nil"/>
              <w:left w:val="nil"/>
              <w:bottom w:val="nil"/>
              <w:right w:val="nil"/>
            </w:tcBorders>
            <w:shd w:val="clear" w:color="000000" w:fill="FFFFFF"/>
            <w:noWrap/>
            <w:vAlign w:val="bottom"/>
            <w:hideMark/>
          </w:tcPr>
          <w:p w14:paraId="3FA2275A"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1.7</w:t>
            </w:r>
          </w:p>
        </w:tc>
      </w:tr>
      <w:tr w:rsidR="00E01513" w:rsidRPr="00E01513" w14:paraId="252A0255" w14:textId="77777777" w:rsidTr="00E01513">
        <w:trPr>
          <w:trHeight w:val="260"/>
        </w:trPr>
        <w:tc>
          <w:tcPr>
            <w:tcW w:w="2153" w:type="dxa"/>
            <w:tcBorders>
              <w:top w:val="nil"/>
              <w:left w:val="nil"/>
              <w:bottom w:val="nil"/>
              <w:right w:val="nil"/>
            </w:tcBorders>
            <w:shd w:val="clear" w:color="000000" w:fill="FFFFFF"/>
            <w:noWrap/>
            <w:vAlign w:val="bottom"/>
            <w:hideMark/>
          </w:tcPr>
          <w:p w14:paraId="22D73357" w14:textId="77777777" w:rsidR="00E01513" w:rsidRPr="00E01513" w:rsidRDefault="00E01513" w:rsidP="00E01513">
            <w:pPr>
              <w:rPr>
                <w:rFonts w:ascii="Calibri" w:hAnsi="Calibri"/>
                <w:b/>
                <w:bCs/>
                <w:color w:val="000000"/>
                <w:sz w:val="20"/>
                <w:szCs w:val="20"/>
                <w:lang w:val="tr-TR"/>
              </w:rPr>
            </w:pPr>
            <w:proofErr w:type="spellStart"/>
            <w:r w:rsidRPr="00E01513">
              <w:rPr>
                <w:rFonts w:ascii="Calibri" w:hAnsi="Calibri"/>
                <w:b/>
                <w:bCs/>
                <w:color w:val="000000"/>
                <w:sz w:val="20"/>
                <w:szCs w:val="20"/>
                <w:lang w:val="tr-TR"/>
              </w:rPr>
              <w:t>Export</w:t>
            </w:r>
            <w:proofErr w:type="spellEnd"/>
          </w:p>
        </w:tc>
        <w:tc>
          <w:tcPr>
            <w:tcW w:w="1093" w:type="dxa"/>
            <w:tcBorders>
              <w:top w:val="nil"/>
              <w:left w:val="single" w:sz="4" w:space="0" w:color="auto"/>
              <w:bottom w:val="nil"/>
              <w:right w:val="nil"/>
            </w:tcBorders>
            <w:shd w:val="clear" w:color="000000" w:fill="FFFFFF"/>
            <w:noWrap/>
            <w:vAlign w:val="bottom"/>
            <w:hideMark/>
          </w:tcPr>
          <w:p w14:paraId="34D953D1"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9.3</w:t>
            </w:r>
          </w:p>
        </w:tc>
        <w:tc>
          <w:tcPr>
            <w:tcW w:w="1597" w:type="dxa"/>
            <w:tcBorders>
              <w:top w:val="nil"/>
              <w:left w:val="nil"/>
              <w:bottom w:val="nil"/>
              <w:right w:val="single" w:sz="4" w:space="0" w:color="auto"/>
            </w:tcBorders>
            <w:shd w:val="clear" w:color="000000" w:fill="FFFFFF"/>
            <w:noWrap/>
            <w:vAlign w:val="bottom"/>
            <w:hideMark/>
          </w:tcPr>
          <w:p w14:paraId="10715025"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2.0</w:t>
            </w:r>
          </w:p>
        </w:tc>
        <w:tc>
          <w:tcPr>
            <w:tcW w:w="1093" w:type="dxa"/>
            <w:tcBorders>
              <w:top w:val="nil"/>
              <w:left w:val="nil"/>
              <w:bottom w:val="nil"/>
              <w:right w:val="nil"/>
            </w:tcBorders>
            <w:shd w:val="clear" w:color="000000" w:fill="FFFFFF"/>
            <w:noWrap/>
            <w:vAlign w:val="bottom"/>
            <w:hideMark/>
          </w:tcPr>
          <w:p w14:paraId="661C5F66"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0.5</w:t>
            </w:r>
          </w:p>
        </w:tc>
        <w:tc>
          <w:tcPr>
            <w:tcW w:w="1597" w:type="dxa"/>
            <w:tcBorders>
              <w:top w:val="nil"/>
              <w:left w:val="nil"/>
              <w:bottom w:val="nil"/>
              <w:right w:val="nil"/>
            </w:tcBorders>
            <w:shd w:val="clear" w:color="000000" w:fill="FFFFFF"/>
            <w:noWrap/>
            <w:vAlign w:val="bottom"/>
            <w:hideMark/>
          </w:tcPr>
          <w:p w14:paraId="6984C297"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0.3</w:t>
            </w:r>
          </w:p>
        </w:tc>
      </w:tr>
      <w:tr w:rsidR="00E01513" w:rsidRPr="00E01513" w14:paraId="3983FD86" w14:textId="77777777" w:rsidTr="00E01513">
        <w:trPr>
          <w:trHeight w:val="260"/>
        </w:trPr>
        <w:tc>
          <w:tcPr>
            <w:tcW w:w="2153" w:type="dxa"/>
            <w:tcBorders>
              <w:top w:val="nil"/>
              <w:left w:val="nil"/>
              <w:bottom w:val="nil"/>
              <w:right w:val="nil"/>
            </w:tcBorders>
            <w:shd w:val="clear" w:color="000000" w:fill="FFFFFF"/>
            <w:noWrap/>
            <w:vAlign w:val="bottom"/>
            <w:hideMark/>
          </w:tcPr>
          <w:p w14:paraId="57A84ACC" w14:textId="77777777" w:rsidR="00E01513" w:rsidRPr="00E01513" w:rsidRDefault="00E01513" w:rsidP="00E01513">
            <w:pPr>
              <w:rPr>
                <w:rFonts w:ascii="Calibri" w:hAnsi="Calibri"/>
                <w:b/>
                <w:bCs/>
                <w:color w:val="000000"/>
                <w:sz w:val="20"/>
                <w:szCs w:val="20"/>
                <w:lang w:val="tr-TR"/>
              </w:rPr>
            </w:pPr>
            <w:proofErr w:type="spellStart"/>
            <w:r w:rsidRPr="00E01513">
              <w:rPr>
                <w:rFonts w:ascii="Calibri" w:hAnsi="Calibri"/>
                <w:b/>
                <w:bCs/>
                <w:color w:val="000000"/>
                <w:sz w:val="20"/>
                <w:szCs w:val="20"/>
                <w:lang w:val="tr-TR"/>
              </w:rPr>
              <w:t>Import</w:t>
            </w:r>
            <w:proofErr w:type="spellEnd"/>
          </w:p>
        </w:tc>
        <w:tc>
          <w:tcPr>
            <w:tcW w:w="1093" w:type="dxa"/>
            <w:tcBorders>
              <w:top w:val="nil"/>
              <w:left w:val="single" w:sz="4" w:space="0" w:color="auto"/>
              <w:bottom w:val="nil"/>
              <w:right w:val="nil"/>
            </w:tcBorders>
            <w:shd w:val="clear" w:color="000000" w:fill="FFFFFF"/>
            <w:noWrap/>
            <w:vAlign w:val="bottom"/>
            <w:hideMark/>
          </w:tcPr>
          <w:p w14:paraId="6E4A5EBB"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22.7</w:t>
            </w:r>
          </w:p>
        </w:tc>
        <w:tc>
          <w:tcPr>
            <w:tcW w:w="1597" w:type="dxa"/>
            <w:tcBorders>
              <w:top w:val="nil"/>
              <w:left w:val="nil"/>
              <w:bottom w:val="nil"/>
              <w:right w:val="single" w:sz="4" w:space="0" w:color="auto"/>
            </w:tcBorders>
            <w:shd w:val="clear" w:color="000000" w:fill="FFFFFF"/>
            <w:noWrap/>
            <w:vAlign w:val="bottom"/>
            <w:hideMark/>
          </w:tcPr>
          <w:p w14:paraId="362117FB"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-5.4</w:t>
            </w:r>
          </w:p>
        </w:tc>
        <w:tc>
          <w:tcPr>
            <w:tcW w:w="1093" w:type="dxa"/>
            <w:tcBorders>
              <w:top w:val="nil"/>
              <w:left w:val="nil"/>
              <w:bottom w:val="nil"/>
              <w:right w:val="nil"/>
            </w:tcBorders>
            <w:shd w:val="clear" w:color="000000" w:fill="FFFFFF"/>
            <w:noWrap/>
            <w:vAlign w:val="bottom"/>
            <w:hideMark/>
          </w:tcPr>
          <w:p w14:paraId="2EA1CF54"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15.6</w:t>
            </w:r>
          </w:p>
        </w:tc>
        <w:tc>
          <w:tcPr>
            <w:tcW w:w="1597" w:type="dxa"/>
            <w:tcBorders>
              <w:top w:val="nil"/>
              <w:left w:val="nil"/>
              <w:bottom w:val="nil"/>
              <w:right w:val="nil"/>
            </w:tcBorders>
            <w:shd w:val="clear" w:color="000000" w:fill="FFFFFF"/>
            <w:noWrap/>
            <w:vAlign w:val="bottom"/>
            <w:hideMark/>
          </w:tcPr>
          <w:p w14:paraId="109B8683"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-4.5</w:t>
            </w:r>
          </w:p>
        </w:tc>
      </w:tr>
      <w:tr w:rsidR="00E01513" w:rsidRPr="00E01513" w14:paraId="1C0D7959" w14:textId="77777777" w:rsidTr="00E01513">
        <w:trPr>
          <w:trHeight w:val="80"/>
        </w:trPr>
        <w:tc>
          <w:tcPr>
            <w:tcW w:w="2153" w:type="dxa"/>
            <w:tcBorders>
              <w:top w:val="nil"/>
              <w:left w:val="nil"/>
              <w:bottom w:val="double" w:sz="6" w:space="0" w:color="auto"/>
              <w:right w:val="nil"/>
            </w:tcBorders>
            <w:shd w:val="clear" w:color="000000" w:fill="FFFFFF"/>
            <w:noWrap/>
            <w:vAlign w:val="bottom"/>
            <w:hideMark/>
          </w:tcPr>
          <w:p w14:paraId="17A1BE6C" w14:textId="77777777" w:rsidR="00E01513" w:rsidRPr="00E01513" w:rsidRDefault="00E01513" w:rsidP="00E01513">
            <w:pPr>
              <w:rPr>
                <w:rFonts w:ascii="Calibri" w:hAnsi="Calibri"/>
                <w:b/>
                <w:bCs/>
                <w:color w:val="000000"/>
                <w:sz w:val="20"/>
                <w:szCs w:val="20"/>
                <w:lang w:val="tr-TR"/>
              </w:rPr>
            </w:pPr>
            <w:r w:rsidRPr="00E01513">
              <w:rPr>
                <w:rFonts w:ascii="Calibri" w:hAnsi="Calibri"/>
                <w:b/>
                <w:bCs/>
                <w:color w:val="000000"/>
                <w:sz w:val="20"/>
                <w:szCs w:val="20"/>
                <w:lang w:val="tr-TR"/>
              </w:rPr>
              <w:t>GDP</w:t>
            </w:r>
          </w:p>
        </w:tc>
        <w:tc>
          <w:tcPr>
            <w:tcW w:w="1093" w:type="dxa"/>
            <w:tcBorders>
              <w:top w:val="nil"/>
              <w:left w:val="single" w:sz="4" w:space="0" w:color="auto"/>
              <w:bottom w:val="double" w:sz="6" w:space="0" w:color="auto"/>
              <w:right w:val="nil"/>
            </w:tcBorders>
            <w:shd w:val="clear" w:color="000000" w:fill="FFFFFF"/>
            <w:noWrap/>
            <w:vAlign w:val="bottom"/>
            <w:hideMark/>
          </w:tcPr>
          <w:p w14:paraId="3312E650"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7.3</w:t>
            </w:r>
          </w:p>
        </w:tc>
        <w:tc>
          <w:tcPr>
            <w:tcW w:w="1597" w:type="dxa"/>
            <w:tcBorders>
              <w:top w:val="nil"/>
              <w:left w:val="nil"/>
              <w:bottom w:val="double" w:sz="6" w:space="0" w:color="auto"/>
              <w:right w:val="single" w:sz="4" w:space="0" w:color="auto"/>
            </w:tcBorders>
            <w:shd w:val="clear" w:color="000000" w:fill="FFFFFF"/>
            <w:noWrap/>
            <w:vAlign w:val="bottom"/>
            <w:hideMark/>
          </w:tcPr>
          <w:p w14:paraId="771A63ED"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 </w:t>
            </w:r>
          </w:p>
        </w:tc>
        <w:tc>
          <w:tcPr>
            <w:tcW w:w="1093" w:type="dxa"/>
            <w:tcBorders>
              <w:top w:val="nil"/>
              <w:left w:val="nil"/>
              <w:bottom w:val="double" w:sz="6" w:space="0" w:color="auto"/>
              <w:right w:val="nil"/>
            </w:tcBorders>
            <w:shd w:val="clear" w:color="000000" w:fill="FFFFFF"/>
            <w:noWrap/>
            <w:vAlign w:val="bottom"/>
            <w:hideMark/>
          </w:tcPr>
          <w:p w14:paraId="4A786545"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7.4</w:t>
            </w:r>
          </w:p>
        </w:tc>
        <w:tc>
          <w:tcPr>
            <w:tcW w:w="1597" w:type="dxa"/>
            <w:tcBorders>
              <w:top w:val="nil"/>
              <w:left w:val="nil"/>
              <w:bottom w:val="double" w:sz="6" w:space="0" w:color="auto"/>
              <w:right w:val="nil"/>
            </w:tcBorders>
            <w:shd w:val="clear" w:color="000000" w:fill="FFFFFF"/>
            <w:noWrap/>
            <w:vAlign w:val="bottom"/>
            <w:hideMark/>
          </w:tcPr>
          <w:p w14:paraId="07D1F0BF" w14:textId="77777777" w:rsidR="00E01513" w:rsidRPr="00E01513" w:rsidRDefault="00E01513" w:rsidP="00E01513">
            <w:pPr>
              <w:jc w:val="center"/>
              <w:rPr>
                <w:rFonts w:ascii="Calibri" w:hAnsi="Calibri"/>
                <w:color w:val="000000"/>
                <w:sz w:val="20"/>
                <w:szCs w:val="20"/>
                <w:lang w:val="tr-TR"/>
              </w:rPr>
            </w:pPr>
            <w:r w:rsidRPr="00E01513">
              <w:rPr>
                <w:rFonts w:ascii="Calibri" w:hAnsi="Calibri"/>
                <w:color w:val="000000"/>
                <w:sz w:val="20"/>
                <w:szCs w:val="20"/>
                <w:lang w:val="tr-TR"/>
              </w:rPr>
              <w:t> </w:t>
            </w:r>
          </w:p>
        </w:tc>
      </w:tr>
    </w:tbl>
    <w:p w14:paraId="4394B21B" w14:textId="2C4E4CA4" w:rsidR="00E01513" w:rsidRDefault="00E01513" w:rsidP="00E01513">
      <w:pPr>
        <w:rPr>
          <w:rFonts w:ascii="Palatino Linotype" w:hAnsi="Palatino Linotype" w:cstheme="minorHAnsi"/>
          <w:sz w:val="18"/>
          <w:szCs w:val="18"/>
        </w:rPr>
      </w:pPr>
      <w:r>
        <w:rPr>
          <w:rFonts w:ascii="Palatino Linotype" w:hAnsi="Palatino Linotype" w:cstheme="minorHAnsi"/>
          <w:b/>
          <w:sz w:val="18"/>
          <w:szCs w:val="18"/>
        </w:rPr>
        <w:t>S</w:t>
      </w:r>
      <w:r w:rsidR="00236056" w:rsidRPr="007D787D">
        <w:rPr>
          <w:rFonts w:ascii="Palatino Linotype" w:hAnsi="Palatino Linotype" w:cstheme="minorHAnsi"/>
          <w:b/>
          <w:sz w:val="18"/>
          <w:szCs w:val="18"/>
        </w:rPr>
        <w:t>ource:</w:t>
      </w:r>
      <w:r w:rsidR="00C65542">
        <w:rPr>
          <w:rFonts w:ascii="Palatino Linotype" w:hAnsi="Palatino Linotype" w:cstheme="minorHAnsi"/>
          <w:sz w:val="18"/>
          <w:szCs w:val="18"/>
        </w:rPr>
        <w:t xml:space="preserve"> </w:t>
      </w:r>
      <w:proofErr w:type="spellStart"/>
      <w:r w:rsidR="00C65542">
        <w:rPr>
          <w:rFonts w:ascii="Palatino Linotype" w:hAnsi="Palatino Linotype" w:cstheme="minorHAnsi"/>
          <w:sz w:val="18"/>
          <w:szCs w:val="18"/>
        </w:rPr>
        <w:t>TurkStat</w:t>
      </w:r>
      <w:proofErr w:type="spellEnd"/>
      <w:r w:rsidR="00C65542">
        <w:rPr>
          <w:rFonts w:ascii="Palatino Linotype" w:hAnsi="Palatino Linotype" w:cstheme="minorHAnsi"/>
          <w:sz w:val="18"/>
          <w:szCs w:val="18"/>
        </w:rPr>
        <w:t xml:space="preserve">, </w:t>
      </w:r>
      <w:proofErr w:type="spellStart"/>
      <w:r w:rsidR="00C65542">
        <w:rPr>
          <w:rFonts w:ascii="Palatino Linotype" w:hAnsi="Palatino Linotype" w:cstheme="minorHAnsi"/>
          <w:sz w:val="18"/>
          <w:szCs w:val="18"/>
        </w:rPr>
        <w:t>Betam</w:t>
      </w:r>
      <w:proofErr w:type="spellEnd"/>
    </w:p>
    <w:p w14:paraId="52DEF5B6" w14:textId="77777777" w:rsidR="003C39AF" w:rsidRDefault="003C39AF" w:rsidP="00E01513">
      <w:pPr>
        <w:rPr>
          <w:rFonts w:ascii="Palatino Linotype" w:hAnsi="Palatino Linotype" w:cstheme="minorHAnsi"/>
          <w:sz w:val="18"/>
          <w:szCs w:val="18"/>
        </w:rPr>
      </w:pPr>
    </w:p>
    <w:p w14:paraId="511FB1EF" w14:textId="2AB2B529" w:rsidR="00A550B2" w:rsidRDefault="00A550B2" w:rsidP="00E01513">
      <w:pPr>
        <w:ind w:right="77"/>
        <w:jc w:val="both"/>
        <w:rPr>
          <w:rFonts w:ascii="Palatino Linotype" w:hAnsi="Palatino Linotype" w:cstheme="minorHAnsi"/>
          <w:b/>
          <w:bCs/>
          <w:sz w:val="22"/>
          <w:szCs w:val="22"/>
        </w:rPr>
      </w:pPr>
      <w:r w:rsidRPr="007D787D">
        <w:rPr>
          <w:rFonts w:ascii="Palatino Linotype" w:hAnsi="Palatino Linotype" w:cstheme="minorHAnsi"/>
          <w:b/>
          <w:bCs/>
          <w:sz w:val="22"/>
          <w:szCs w:val="22"/>
        </w:rPr>
        <w:t xml:space="preserve">Table 2: Growth rates and contributions to growth of GDP components in </w:t>
      </w:r>
      <w:r w:rsidR="00CD4010">
        <w:rPr>
          <w:rFonts w:ascii="Palatino Linotype" w:hAnsi="Palatino Linotype" w:cstheme="minorHAnsi"/>
          <w:b/>
          <w:bCs/>
          <w:sz w:val="22"/>
          <w:szCs w:val="22"/>
        </w:rPr>
        <w:t>2017 Q4 and 2018 Q1</w:t>
      </w:r>
      <w:r w:rsidR="00BF5A0A">
        <w:rPr>
          <w:rFonts w:ascii="Palatino Linotype" w:hAnsi="Palatino Linotype" w:cstheme="minorHAnsi"/>
          <w:b/>
          <w:bCs/>
          <w:sz w:val="22"/>
          <w:szCs w:val="22"/>
        </w:rPr>
        <w:t xml:space="preserve"> compared to previous quarter</w:t>
      </w:r>
    </w:p>
    <w:tbl>
      <w:tblPr>
        <w:tblW w:w="5920" w:type="dxa"/>
        <w:tblInd w:w="70" w:type="dxa"/>
        <w:tblCellMar>
          <w:left w:w="70" w:type="dxa"/>
          <w:right w:w="70" w:type="dxa"/>
        </w:tblCellMar>
        <w:tblLook w:val="04A0" w:firstRow="1" w:lastRow="0" w:firstColumn="1" w:lastColumn="0" w:noHBand="0" w:noVBand="1"/>
      </w:tblPr>
      <w:tblGrid>
        <w:gridCol w:w="1480"/>
        <w:gridCol w:w="1259"/>
        <w:gridCol w:w="961"/>
        <w:gridCol w:w="1259"/>
        <w:gridCol w:w="961"/>
      </w:tblGrid>
      <w:tr w:rsidR="00BB5AEB" w:rsidRPr="00111CED" w14:paraId="5A3A14BD" w14:textId="77777777" w:rsidTr="0050347B">
        <w:trPr>
          <w:trHeight w:val="282"/>
        </w:trPr>
        <w:tc>
          <w:tcPr>
            <w:tcW w:w="1480" w:type="dxa"/>
            <w:tcBorders>
              <w:top w:val="nil"/>
              <w:left w:val="nil"/>
              <w:bottom w:val="nil"/>
              <w:right w:val="nil"/>
            </w:tcBorders>
            <w:shd w:val="clear" w:color="000000" w:fill="FFFFFF"/>
            <w:noWrap/>
            <w:vAlign w:val="bottom"/>
            <w:hideMark/>
          </w:tcPr>
          <w:p w14:paraId="4141BD29" w14:textId="77777777" w:rsidR="00BB5AEB" w:rsidRPr="00111CED" w:rsidRDefault="00BB5AEB" w:rsidP="0050347B">
            <w:pPr>
              <w:rPr>
                <w:rFonts w:ascii="Calibri" w:hAnsi="Calibri"/>
                <w:b/>
                <w:bCs/>
                <w:color w:val="000000"/>
                <w:sz w:val="20"/>
                <w:szCs w:val="20"/>
              </w:rPr>
            </w:pPr>
            <w:r w:rsidRPr="00111CED">
              <w:rPr>
                <w:rFonts w:ascii="Calibri" w:hAnsi="Calibri"/>
                <w:b/>
                <w:bCs/>
                <w:color w:val="000000"/>
                <w:sz w:val="20"/>
                <w:szCs w:val="20"/>
              </w:rPr>
              <w:t> </w:t>
            </w:r>
          </w:p>
        </w:tc>
        <w:tc>
          <w:tcPr>
            <w:tcW w:w="2220"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1202B752" w14:textId="77777777" w:rsidR="00BB5AEB" w:rsidRPr="00111CED" w:rsidRDefault="00BB5AEB" w:rsidP="0050347B">
            <w:pPr>
              <w:jc w:val="center"/>
              <w:rPr>
                <w:rFonts w:ascii="Calibri" w:hAnsi="Calibri"/>
                <w:b/>
                <w:bCs/>
                <w:color w:val="000000"/>
                <w:sz w:val="20"/>
                <w:szCs w:val="20"/>
              </w:rPr>
            </w:pPr>
            <w:r w:rsidRPr="00111CED">
              <w:rPr>
                <w:rFonts w:ascii="Calibri" w:hAnsi="Calibri"/>
                <w:b/>
                <w:bCs/>
                <w:color w:val="000000"/>
                <w:sz w:val="20"/>
                <w:szCs w:val="20"/>
              </w:rPr>
              <w:t>2017Q4</w:t>
            </w:r>
          </w:p>
        </w:tc>
        <w:tc>
          <w:tcPr>
            <w:tcW w:w="2220" w:type="dxa"/>
            <w:gridSpan w:val="2"/>
            <w:tcBorders>
              <w:top w:val="single" w:sz="4" w:space="0" w:color="auto"/>
              <w:left w:val="nil"/>
              <w:bottom w:val="single" w:sz="4" w:space="0" w:color="auto"/>
              <w:right w:val="nil"/>
            </w:tcBorders>
            <w:shd w:val="clear" w:color="000000" w:fill="FFFFFF"/>
            <w:noWrap/>
            <w:vAlign w:val="bottom"/>
            <w:hideMark/>
          </w:tcPr>
          <w:p w14:paraId="0D3F8E13" w14:textId="77777777" w:rsidR="00BB5AEB" w:rsidRPr="00111CED" w:rsidRDefault="00BB5AEB" w:rsidP="0050347B">
            <w:pPr>
              <w:jc w:val="center"/>
              <w:rPr>
                <w:rFonts w:ascii="Calibri" w:hAnsi="Calibri"/>
                <w:b/>
                <w:bCs/>
                <w:color w:val="000000"/>
                <w:sz w:val="20"/>
                <w:szCs w:val="20"/>
              </w:rPr>
            </w:pPr>
            <w:r w:rsidRPr="00111CED">
              <w:rPr>
                <w:rFonts w:ascii="Calibri" w:hAnsi="Calibri"/>
                <w:b/>
                <w:bCs/>
                <w:color w:val="000000"/>
                <w:sz w:val="20"/>
                <w:szCs w:val="20"/>
              </w:rPr>
              <w:t>2018Q1</w:t>
            </w:r>
          </w:p>
        </w:tc>
      </w:tr>
      <w:tr w:rsidR="00BB5AEB" w:rsidRPr="00111CED" w14:paraId="4728E0E1" w14:textId="77777777" w:rsidTr="0050347B">
        <w:trPr>
          <w:trHeight w:val="282"/>
        </w:trPr>
        <w:tc>
          <w:tcPr>
            <w:tcW w:w="1480" w:type="dxa"/>
            <w:tcBorders>
              <w:top w:val="nil"/>
              <w:left w:val="nil"/>
              <w:bottom w:val="nil"/>
              <w:right w:val="nil"/>
            </w:tcBorders>
            <w:shd w:val="clear" w:color="000000" w:fill="FFFFFF"/>
            <w:noWrap/>
            <w:vAlign w:val="bottom"/>
            <w:hideMark/>
          </w:tcPr>
          <w:p w14:paraId="013A8C74" w14:textId="77777777" w:rsidR="00BB5AEB" w:rsidRPr="00111CED" w:rsidRDefault="00BB5AEB" w:rsidP="0050347B">
            <w:pPr>
              <w:rPr>
                <w:rFonts w:ascii="Calibri" w:hAnsi="Calibri"/>
                <w:b/>
                <w:bCs/>
                <w:color w:val="000000"/>
                <w:sz w:val="20"/>
                <w:szCs w:val="20"/>
              </w:rPr>
            </w:pPr>
            <w:r w:rsidRPr="00111CED">
              <w:rPr>
                <w:rFonts w:ascii="Calibri" w:hAnsi="Calibri"/>
                <w:b/>
                <w:bCs/>
                <w:color w:val="000000"/>
                <w:sz w:val="20"/>
                <w:szCs w:val="20"/>
              </w:rPr>
              <w:t> </w:t>
            </w:r>
          </w:p>
        </w:tc>
        <w:tc>
          <w:tcPr>
            <w:tcW w:w="1259" w:type="dxa"/>
            <w:tcBorders>
              <w:top w:val="nil"/>
              <w:left w:val="single" w:sz="4" w:space="0" w:color="auto"/>
              <w:bottom w:val="nil"/>
              <w:right w:val="nil"/>
            </w:tcBorders>
            <w:shd w:val="clear" w:color="000000" w:fill="FFFFFF"/>
            <w:noWrap/>
            <w:vAlign w:val="bottom"/>
            <w:hideMark/>
          </w:tcPr>
          <w:p w14:paraId="3E2ADFEF" w14:textId="77777777" w:rsidR="00BB5AEB" w:rsidRPr="00111CED" w:rsidRDefault="00BB5AEB" w:rsidP="0050347B">
            <w:pPr>
              <w:jc w:val="center"/>
              <w:rPr>
                <w:rFonts w:ascii="Calibri" w:hAnsi="Calibri"/>
                <w:b/>
                <w:bCs/>
                <w:color w:val="000000"/>
                <w:sz w:val="20"/>
                <w:szCs w:val="20"/>
              </w:rPr>
            </w:pPr>
            <w:proofErr w:type="spellStart"/>
            <w:r w:rsidRPr="00111CED">
              <w:rPr>
                <w:rFonts w:ascii="Calibri" w:hAnsi="Calibri"/>
                <w:b/>
                <w:bCs/>
                <w:color w:val="000000"/>
                <w:sz w:val="20"/>
                <w:szCs w:val="20"/>
              </w:rPr>
              <w:t>Değişim</w:t>
            </w:r>
            <w:proofErr w:type="spellEnd"/>
            <w:r w:rsidRPr="00111CED">
              <w:rPr>
                <w:rFonts w:ascii="Calibri" w:hAnsi="Calibri"/>
                <w:b/>
                <w:bCs/>
                <w:color w:val="000000"/>
                <w:sz w:val="20"/>
                <w:szCs w:val="20"/>
              </w:rPr>
              <w:t xml:space="preserve"> (%)</w:t>
            </w:r>
          </w:p>
        </w:tc>
        <w:tc>
          <w:tcPr>
            <w:tcW w:w="961" w:type="dxa"/>
            <w:tcBorders>
              <w:top w:val="nil"/>
              <w:left w:val="nil"/>
              <w:bottom w:val="nil"/>
              <w:right w:val="single" w:sz="4" w:space="0" w:color="auto"/>
            </w:tcBorders>
            <w:shd w:val="clear" w:color="000000" w:fill="FFFFFF"/>
            <w:noWrap/>
            <w:vAlign w:val="bottom"/>
            <w:hideMark/>
          </w:tcPr>
          <w:p w14:paraId="0DDDAA99" w14:textId="77777777" w:rsidR="00BB5AEB" w:rsidRPr="00111CED" w:rsidRDefault="00BB5AEB" w:rsidP="0050347B">
            <w:pPr>
              <w:jc w:val="center"/>
              <w:rPr>
                <w:rFonts w:ascii="Calibri" w:hAnsi="Calibri"/>
                <w:b/>
                <w:bCs/>
                <w:color w:val="000000"/>
                <w:sz w:val="20"/>
                <w:szCs w:val="20"/>
              </w:rPr>
            </w:pPr>
            <w:proofErr w:type="spellStart"/>
            <w:r w:rsidRPr="00111CED">
              <w:rPr>
                <w:rFonts w:ascii="Calibri" w:hAnsi="Calibri"/>
                <w:b/>
                <w:bCs/>
                <w:color w:val="000000"/>
                <w:sz w:val="20"/>
                <w:szCs w:val="20"/>
              </w:rPr>
              <w:t>Katkı</w:t>
            </w:r>
            <w:proofErr w:type="spellEnd"/>
            <w:r w:rsidRPr="00111CED">
              <w:rPr>
                <w:rFonts w:ascii="Calibri" w:hAnsi="Calibri"/>
                <w:b/>
                <w:bCs/>
                <w:color w:val="000000"/>
                <w:sz w:val="20"/>
                <w:szCs w:val="20"/>
              </w:rPr>
              <w:t xml:space="preserve"> (%)</w:t>
            </w:r>
          </w:p>
        </w:tc>
        <w:tc>
          <w:tcPr>
            <w:tcW w:w="1259" w:type="dxa"/>
            <w:tcBorders>
              <w:top w:val="nil"/>
              <w:left w:val="nil"/>
              <w:bottom w:val="nil"/>
              <w:right w:val="nil"/>
            </w:tcBorders>
            <w:shd w:val="clear" w:color="000000" w:fill="FFFFFF"/>
            <w:noWrap/>
            <w:vAlign w:val="bottom"/>
            <w:hideMark/>
          </w:tcPr>
          <w:p w14:paraId="0BE65533" w14:textId="77777777" w:rsidR="00BB5AEB" w:rsidRPr="00111CED" w:rsidRDefault="00BB5AEB" w:rsidP="0050347B">
            <w:pPr>
              <w:jc w:val="center"/>
              <w:rPr>
                <w:rFonts w:ascii="Calibri" w:hAnsi="Calibri"/>
                <w:b/>
                <w:bCs/>
                <w:color w:val="000000"/>
                <w:sz w:val="20"/>
                <w:szCs w:val="20"/>
              </w:rPr>
            </w:pPr>
            <w:proofErr w:type="spellStart"/>
            <w:r w:rsidRPr="00111CED">
              <w:rPr>
                <w:rFonts w:ascii="Calibri" w:hAnsi="Calibri"/>
                <w:b/>
                <w:bCs/>
                <w:color w:val="000000"/>
                <w:sz w:val="20"/>
                <w:szCs w:val="20"/>
              </w:rPr>
              <w:t>Değişim</w:t>
            </w:r>
            <w:proofErr w:type="spellEnd"/>
            <w:r w:rsidRPr="00111CED">
              <w:rPr>
                <w:rFonts w:ascii="Calibri" w:hAnsi="Calibri"/>
                <w:b/>
                <w:bCs/>
                <w:color w:val="000000"/>
                <w:sz w:val="20"/>
                <w:szCs w:val="20"/>
              </w:rPr>
              <w:t xml:space="preserve"> (%)</w:t>
            </w:r>
          </w:p>
        </w:tc>
        <w:tc>
          <w:tcPr>
            <w:tcW w:w="961" w:type="dxa"/>
            <w:tcBorders>
              <w:top w:val="nil"/>
              <w:left w:val="nil"/>
              <w:bottom w:val="nil"/>
              <w:right w:val="nil"/>
            </w:tcBorders>
            <w:shd w:val="clear" w:color="000000" w:fill="FFFFFF"/>
            <w:noWrap/>
            <w:vAlign w:val="bottom"/>
            <w:hideMark/>
          </w:tcPr>
          <w:p w14:paraId="1E5F400C" w14:textId="77777777" w:rsidR="00BB5AEB" w:rsidRPr="00111CED" w:rsidRDefault="00BB5AEB" w:rsidP="0050347B">
            <w:pPr>
              <w:jc w:val="center"/>
              <w:rPr>
                <w:rFonts w:ascii="Calibri" w:hAnsi="Calibri"/>
                <w:b/>
                <w:bCs/>
                <w:color w:val="000000"/>
                <w:sz w:val="20"/>
                <w:szCs w:val="20"/>
              </w:rPr>
            </w:pPr>
            <w:proofErr w:type="spellStart"/>
            <w:r w:rsidRPr="00111CED">
              <w:rPr>
                <w:rFonts w:ascii="Calibri" w:hAnsi="Calibri"/>
                <w:b/>
                <w:bCs/>
                <w:color w:val="000000"/>
                <w:sz w:val="20"/>
                <w:szCs w:val="20"/>
              </w:rPr>
              <w:t>Katkı</w:t>
            </w:r>
            <w:proofErr w:type="spellEnd"/>
            <w:r w:rsidRPr="00111CED">
              <w:rPr>
                <w:rFonts w:ascii="Calibri" w:hAnsi="Calibri"/>
                <w:b/>
                <w:bCs/>
                <w:color w:val="000000"/>
                <w:sz w:val="20"/>
                <w:szCs w:val="20"/>
              </w:rPr>
              <w:t xml:space="preserve"> (%)</w:t>
            </w:r>
          </w:p>
        </w:tc>
      </w:tr>
      <w:tr w:rsidR="00BB5AEB" w:rsidRPr="00111CED" w14:paraId="7398A855" w14:textId="77777777" w:rsidTr="0050347B">
        <w:trPr>
          <w:trHeight w:val="282"/>
        </w:trPr>
        <w:tc>
          <w:tcPr>
            <w:tcW w:w="1480" w:type="dxa"/>
            <w:tcBorders>
              <w:top w:val="single" w:sz="4" w:space="0" w:color="auto"/>
              <w:left w:val="nil"/>
              <w:bottom w:val="nil"/>
              <w:right w:val="nil"/>
            </w:tcBorders>
            <w:shd w:val="clear" w:color="000000" w:fill="FFFFFF"/>
            <w:noWrap/>
            <w:vAlign w:val="bottom"/>
            <w:hideMark/>
          </w:tcPr>
          <w:p w14:paraId="0647ED63" w14:textId="77777777" w:rsidR="00BB5AEB" w:rsidRPr="00111CED" w:rsidRDefault="00BB5AEB" w:rsidP="0050347B">
            <w:pPr>
              <w:rPr>
                <w:rFonts w:ascii="Calibri" w:hAnsi="Calibri"/>
                <w:b/>
                <w:bCs/>
                <w:color w:val="000000"/>
                <w:sz w:val="20"/>
                <w:szCs w:val="20"/>
              </w:rPr>
            </w:pPr>
            <w:proofErr w:type="spellStart"/>
            <w:r w:rsidRPr="00111CED">
              <w:rPr>
                <w:rFonts w:ascii="Calibri" w:hAnsi="Calibri"/>
                <w:b/>
                <w:bCs/>
                <w:color w:val="000000"/>
                <w:sz w:val="20"/>
                <w:szCs w:val="20"/>
              </w:rPr>
              <w:t>Özel</w:t>
            </w:r>
            <w:proofErr w:type="spellEnd"/>
            <w:r w:rsidRPr="00111CED">
              <w:rPr>
                <w:rFonts w:ascii="Calibri" w:hAnsi="Calibri"/>
                <w:b/>
                <w:bCs/>
                <w:color w:val="000000"/>
                <w:sz w:val="20"/>
                <w:szCs w:val="20"/>
              </w:rPr>
              <w:t xml:space="preserve"> </w:t>
            </w:r>
            <w:proofErr w:type="spellStart"/>
            <w:r w:rsidRPr="00111CED">
              <w:rPr>
                <w:rFonts w:ascii="Calibri" w:hAnsi="Calibri"/>
                <w:b/>
                <w:bCs/>
                <w:color w:val="000000"/>
                <w:sz w:val="20"/>
                <w:szCs w:val="20"/>
              </w:rPr>
              <w:t>Tüketim</w:t>
            </w:r>
            <w:proofErr w:type="spellEnd"/>
          </w:p>
        </w:tc>
        <w:tc>
          <w:tcPr>
            <w:tcW w:w="1259" w:type="dxa"/>
            <w:tcBorders>
              <w:top w:val="single" w:sz="4" w:space="0" w:color="auto"/>
              <w:left w:val="single" w:sz="4" w:space="0" w:color="auto"/>
              <w:bottom w:val="nil"/>
              <w:right w:val="nil"/>
            </w:tcBorders>
            <w:shd w:val="clear" w:color="000000" w:fill="FFFFFF"/>
            <w:noWrap/>
            <w:vAlign w:val="bottom"/>
            <w:hideMark/>
          </w:tcPr>
          <w:p w14:paraId="106A93AF"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2.9</w:t>
            </w:r>
          </w:p>
        </w:tc>
        <w:tc>
          <w:tcPr>
            <w:tcW w:w="961" w:type="dxa"/>
            <w:tcBorders>
              <w:top w:val="single" w:sz="4" w:space="0" w:color="auto"/>
              <w:left w:val="nil"/>
              <w:bottom w:val="nil"/>
              <w:right w:val="single" w:sz="4" w:space="0" w:color="auto"/>
            </w:tcBorders>
            <w:shd w:val="clear" w:color="000000" w:fill="FFFFFF"/>
            <w:noWrap/>
            <w:vAlign w:val="bottom"/>
            <w:hideMark/>
          </w:tcPr>
          <w:p w14:paraId="63B05433"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1.7</w:t>
            </w:r>
          </w:p>
        </w:tc>
        <w:tc>
          <w:tcPr>
            <w:tcW w:w="1259" w:type="dxa"/>
            <w:tcBorders>
              <w:top w:val="single" w:sz="4" w:space="0" w:color="auto"/>
              <w:left w:val="nil"/>
              <w:bottom w:val="nil"/>
              <w:right w:val="nil"/>
            </w:tcBorders>
            <w:shd w:val="clear" w:color="000000" w:fill="FFFFFF"/>
            <w:noWrap/>
            <w:vAlign w:val="bottom"/>
            <w:hideMark/>
          </w:tcPr>
          <w:p w14:paraId="7E9B0822"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4.2</w:t>
            </w:r>
          </w:p>
        </w:tc>
        <w:tc>
          <w:tcPr>
            <w:tcW w:w="961" w:type="dxa"/>
            <w:tcBorders>
              <w:top w:val="single" w:sz="4" w:space="0" w:color="auto"/>
              <w:left w:val="nil"/>
              <w:bottom w:val="nil"/>
              <w:right w:val="nil"/>
            </w:tcBorders>
            <w:shd w:val="clear" w:color="000000" w:fill="FFFFFF"/>
            <w:noWrap/>
            <w:vAlign w:val="bottom"/>
            <w:hideMark/>
          </w:tcPr>
          <w:p w14:paraId="1C93F7DD"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2.5</w:t>
            </w:r>
          </w:p>
        </w:tc>
      </w:tr>
      <w:tr w:rsidR="00BB5AEB" w:rsidRPr="00111CED" w14:paraId="687C1EDD" w14:textId="77777777" w:rsidTr="0050347B">
        <w:trPr>
          <w:trHeight w:val="282"/>
        </w:trPr>
        <w:tc>
          <w:tcPr>
            <w:tcW w:w="1480" w:type="dxa"/>
            <w:tcBorders>
              <w:top w:val="nil"/>
              <w:left w:val="nil"/>
              <w:bottom w:val="nil"/>
              <w:right w:val="nil"/>
            </w:tcBorders>
            <w:shd w:val="clear" w:color="000000" w:fill="FFFFFF"/>
            <w:noWrap/>
            <w:vAlign w:val="bottom"/>
            <w:hideMark/>
          </w:tcPr>
          <w:p w14:paraId="427EB6EC" w14:textId="77777777" w:rsidR="00BB5AEB" w:rsidRPr="00111CED" w:rsidRDefault="00BB5AEB" w:rsidP="0050347B">
            <w:pPr>
              <w:rPr>
                <w:rFonts w:ascii="Calibri" w:hAnsi="Calibri"/>
                <w:b/>
                <w:bCs/>
                <w:color w:val="000000"/>
                <w:sz w:val="20"/>
                <w:szCs w:val="20"/>
              </w:rPr>
            </w:pPr>
            <w:proofErr w:type="spellStart"/>
            <w:r w:rsidRPr="00111CED">
              <w:rPr>
                <w:rFonts w:ascii="Calibri" w:hAnsi="Calibri"/>
                <w:b/>
                <w:bCs/>
                <w:color w:val="000000"/>
                <w:sz w:val="20"/>
                <w:szCs w:val="20"/>
              </w:rPr>
              <w:t>Kamu</w:t>
            </w:r>
            <w:proofErr w:type="spellEnd"/>
            <w:r w:rsidRPr="00111CED">
              <w:rPr>
                <w:rFonts w:ascii="Calibri" w:hAnsi="Calibri"/>
                <w:b/>
                <w:bCs/>
                <w:color w:val="000000"/>
                <w:sz w:val="20"/>
                <w:szCs w:val="20"/>
              </w:rPr>
              <w:t xml:space="preserve"> </w:t>
            </w:r>
            <w:proofErr w:type="spellStart"/>
            <w:r w:rsidRPr="00111CED">
              <w:rPr>
                <w:rFonts w:ascii="Calibri" w:hAnsi="Calibri"/>
                <w:b/>
                <w:bCs/>
                <w:color w:val="000000"/>
                <w:sz w:val="20"/>
                <w:szCs w:val="20"/>
              </w:rPr>
              <w:t>Tüketimi</w:t>
            </w:r>
            <w:proofErr w:type="spellEnd"/>
          </w:p>
        </w:tc>
        <w:tc>
          <w:tcPr>
            <w:tcW w:w="1259" w:type="dxa"/>
            <w:tcBorders>
              <w:top w:val="nil"/>
              <w:left w:val="single" w:sz="4" w:space="0" w:color="auto"/>
              <w:bottom w:val="nil"/>
              <w:right w:val="nil"/>
            </w:tcBorders>
            <w:shd w:val="clear" w:color="000000" w:fill="FFFFFF"/>
            <w:noWrap/>
            <w:vAlign w:val="bottom"/>
            <w:hideMark/>
          </w:tcPr>
          <w:p w14:paraId="123C40E5"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5.8</w:t>
            </w:r>
          </w:p>
        </w:tc>
        <w:tc>
          <w:tcPr>
            <w:tcW w:w="961" w:type="dxa"/>
            <w:tcBorders>
              <w:top w:val="nil"/>
              <w:left w:val="nil"/>
              <w:bottom w:val="nil"/>
              <w:right w:val="single" w:sz="4" w:space="0" w:color="auto"/>
            </w:tcBorders>
            <w:shd w:val="clear" w:color="000000" w:fill="FFFFFF"/>
            <w:noWrap/>
            <w:vAlign w:val="bottom"/>
            <w:hideMark/>
          </w:tcPr>
          <w:p w14:paraId="2C925DC5"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0.8</w:t>
            </w:r>
          </w:p>
        </w:tc>
        <w:tc>
          <w:tcPr>
            <w:tcW w:w="1259" w:type="dxa"/>
            <w:tcBorders>
              <w:top w:val="nil"/>
              <w:left w:val="nil"/>
              <w:bottom w:val="nil"/>
              <w:right w:val="nil"/>
            </w:tcBorders>
            <w:shd w:val="clear" w:color="000000" w:fill="FFFFFF"/>
            <w:noWrap/>
            <w:vAlign w:val="bottom"/>
            <w:hideMark/>
          </w:tcPr>
          <w:p w14:paraId="06241A79"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1.6</w:t>
            </w:r>
          </w:p>
        </w:tc>
        <w:tc>
          <w:tcPr>
            <w:tcW w:w="961" w:type="dxa"/>
            <w:tcBorders>
              <w:top w:val="nil"/>
              <w:left w:val="nil"/>
              <w:bottom w:val="nil"/>
              <w:right w:val="nil"/>
            </w:tcBorders>
            <w:shd w:val="clear" w:color="000000" w:fill="FFFFFF"/>
            <w:noWrap/>
            <w:vAlign w:val="bottom"/>
            <w:hideMark/>
          </w:tcPr>
          <w:p w14:paraId="32184782"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0.2</w:t>
            </w:r>
          </w:p>
        </w:tc>
      </w:tr>
      <w:tr w:rsidR="00BB5AEB" w:rsidRPr="00111CED" w14:paraId="40D547A3" w14:textId="77777777" w:rsidTr="0050347B">
        <w:trPr>
          <w:trHeight w:val="282"/>
        </w:trPr>
        <w:tc>
          <w:tcPr>
            <w:tcW w:w="1480" w:type="dxa"/>
            <w:tcBorders>
              <w:top w:val="nil"/>
              <w:left w:val="nil"/>
              <w:bottom w:val="nil"/>
              <w:right w:val="nil"/>
            </w:tcBorders>
            <w:shd w:val="clear" w:color="000000" w:fill="FFFFFF"/>
            <w:noWrap/>
            <w:vAlign w:val="bottom"/>
            <w:hideMark/>
          </w:tcPr>
          <w:p w14:paraId="7CB8FFEA" w14:textId="77777777" w:rsidR="00BB5AEB" w:rsidRPr="00111CED" w:rsidRDefault="00BB5AEB" w:rsidP="0050347B">
            <w:pPr>
              <w:rPr>
                <w:rFonts w:ascii="Calibri" w:hAnsi="Calibri"/>
                <w:b/>
                <w:bCs/>
                <w:color w:val="000000"/>
                <w:sz w:val="20"/>
                <w:szCs w:val="20"/>
              </w:rPr>
            </w:pPr>
            <w:proofErr w:type="spellStart"/>
            <w:r w:rsidRPr="00111CED">
              <w:rPr>
                <w:rFonts w:ascii="Calibri" w:hAnsi="Calibri"/>
                <w:b/>
                <w:bCs/>
                <w:color w:val="000000"/>
                <w:sz w:val="20"/>
                <w:szCs w:val="20"/>
              </w:rPr>
              <w:t>Yatırım</w:t>
            </w:r>
            <w:proofErr w:type="spellEnd"/>
          </w:p>
        </w:tc>
        <w:tc>
          <w:tcPr>
            <w:tcW w:w="1259" w:type="dxa"/>
            <w:tcBorders>
              <w:top w:val="nil"/>
              <w:left w:val="single" w:sz="4" w:space="0" w:color="auto"/>
              <w:bottom w:val="nil"/>
              <w:right w:val="nil"/>
            </w:tcBorders>
            <w:shd w:val="clear" w:color="000000" w:fill="FFFFFF"/>
            <w:noWrap/>
            <w:vAlign w:val="bottom"/>
            <w:hideMark/>
          </w:tcPr>
          <w:p w14:paraId="603EA8F8"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-1.3</w:t>
            </w:r>
          </w:p>
        </w:tc>
        <w:tc>
          <w:tcPr>
            <w:tcW w:w="961" w:type="dxa"/>
            <w:tcBorders>
              <w:top w:val="nil"/>
              <w:left w:val="nil"/>
              <w:bottom w:val="nil"/>
              <w:right w:val="single" w:sz="4" w:space="0" w:color="auto"/>
            </w:tcBorders>
            <w:shd w:val="clear" w:color="000000" w:fill="FFFFFF"/>
            <w:noWrap/>
            <w:vAlign w:val="bottom"/>
            <w:hideMark/>
          </w:tcPr>
          <w:p w14:paraId="5EE520C3"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-0.4</w:t>
            </w:r>
          </w:p>
        </w:tc>
        <w:tc>
          <w:tcPr>
            <w:tcW w:w="1259" w:type="dxa"/>
            <w:tcBorders>
              <w:top w:val="nil"/>
              <w:left w:val="nil"/>
              <w:bottom w:val="nil"/>
              <w:right w:val="nil"/>
            </w:tcBorders>
            <w:shd w:val="clear" w:color="000000" w:fill="FFFFFF"/>
            <w:noWrap/>
            <w:vAlign w:val="bottom"/>
            <w:hideMark/>
          </w:tcPr>
          <w:p w14:paraId="1726BD8C"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5.2</w:t>
            </w:r>
          </w:p>
        </w:tc>
        <w:tc>
          <w:tcPr>
            <w:tcW w:w="961" w:type="dxa"/>
            <w:tcBorders>
              <w:top w:val="nil"/>
              <w:left w:val="nil"/>
              <w:bottom w:val="nil"/>
              <w:right w:val="nil"/>
            </w:tcBorders>
            <w:shd w:val="clear" w:color="000000" w:fill="FFFFFF"/>
            <w:noWrap/>
            <w:vAlign w:val="bottom"/>
            <w:hideMark/>
          </w:tcPr>
          <w:p w14:paraId="44425C21"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1.5</w:t>
            </w:r>
          </w:p>
        </w:tc>
      </w:tr>
      <w:tr w:rsidR="00BB5AEB" w:rsidRPr="00111CED" w14:paraId="21401C8B" w14:textId="77777777" w:rsidTr="0050347B">
        <w:trPr>
          <w:trHeight w:val="282"/>
        </w:trPr>
        <w:tc>
          <w:tcPr>
            <w:tcW w:w="1480" w:type="dxa"/>
            <w:tcBorders>
              <w:top w:val="nil"/>
              <w:left w:val="nil"/>
              <w:bottom w:val="nil"/>
              <w:right w:val="nil"/>
            </w:tcBorders>
            <w:shd w:val="clear" w:color="000000" w:fill="FFFFFF"/>
            <w:noWrap/>
            <w:vAlign w:val="bottom"/>
            <w:hideMark/>
          </w:tcPr>
          <w:p w14:paraId="512A1666" w14:textId="77777777" w:rsidR="00BB5AEB" w:rsidRPr="00111CED" w:rsidRDefault="00BB5AEB" w:rsidP="0050347B">
            <w:pPr>
              <w:rPr>
                <w:rFonts w:ascii="Calibri" w:hAnsi="Calibri"/>
                <w:b/>
                <w:bCs/>
                <w:color w:val="000000"/>
                <w:sz w:val="20"/>
                <w:szCs w:val="20"/>
              </w:rPr>
            </w:pPr>
            <w:r w:rsidRPr="00111CED">
              <w:rPr>
                <w:rFonts w:ascii="Calibri" w:hAnsi="Calibri"/>
                <w:b/>
                <w:bCs/>
                <w:color w:val="000000"/>
                <w:sz w:val="20"/>
                <w:szCs w:val="20"/>
              </w:rPr>
              <w:t xml:space="preserve">Stok </w:t>
            </w:r>
            <w:proofErr w:type="spellStart"/>
            <w:r w:rsidRPr="00111CED">
              <w:rPr>
                <w:rFonts w:ascii="Calibri" w:hAnsi="Calibri"/>
                <w:b/>
                <w:bCs/>
                <w:color w:val="000000"/>
                <w:sz w:val="20"/>
                <w:szCs w:val="20"/>
              </w:rPr>
              <w:t>Değişimi</w:t>
            </w:r>
            <w:proofErr w:type="spellEnd"/>
          </w:p>
        </w:tc>
        <w:tc>
          <w:tcPr>
            <w:tcW w:w="1259" w:type="dxa"/>
            <w:tcBorders>
              <w:top w:val="nil"/>
              <w:left w:val="single" w:sz="4" w:space="0" w:color="auto"/>
              <w:bottom w:val="nil"/>
              <w:right w:val="nil"/>
            </w:tcBorders>
            <w:shd w:val="clear" w:color="000000" w:fill="FFFFFF"/>
            <w:noWrap/>
            <w:vAlign w:val="bottom"/>
            <w:hideMark/>
          </w:tcPr>
          <w:p w14:paraId="56AA2D41"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 </w:t>
            </w:r>
          </w:p>
        </w:tc>
        <w:tc>
          <w:tcPr>
            <w:tcW w:w="961" w:type="dxa"/>
            <w:tcBorders>
              <w:top w:val="nil"/>
              <w:left w:val="nil"/>
              <w:bottom w:val="nil"/>
              <w:right w:val="single" w:sz="4" w:space="0" w:color="auto"/>
            </w:tcBorders>
            <w:shd w:val="clear" w:color="000000" w:fill="FFFFFF"/>
            <w:noWrap/>
            <w:vAlign w:val="bottom"/>
            <w:hideMark/>
          </w:tcPr>
          <w:p w14:paraId="59970D86"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0.7</w:t>
            </w:r>
          </w:p>
        </w:tc>
        <w:tc>
          <w:tcPr>
            <w:tcW w:w="1259" w:type="dxa"/>
            <w:tcBorders>
              <w:top w:val="nil"/>
              <w:left w:val="nil"/>
              <w:bottom w:val="nil"/>
              <w:right w:val="nil"/>
            </w:tcBorders>
            <w:shd w:val="clear" w:color="000000" w:fill="FFFFFF"/>
            <w:noWrap/>
            <w:vAlign w:val="bottom"/>
            <w:hideMark/>
          </w:tcPr>
          <w:p w14:paraId="12EEB1A3"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 </w:t>
            </w:r>
          </w:p>
        </w:tc>
        <w:tc>
          <w:tcPr>
            <w:tcW w:w="961" w:type="dxa"/>
            <w:tcBorders>
              <w:top w:val="nil"/>
              <w:left w:val="nil"/>
              <w:bottom w:val="nil"/>
              <w:right w:val="nil"/>
            </w:tcBorders>
            <w:shd w:val="clear" w:color="000000" w:fill="FFFFFF"/>
            <w:noWrap/>
            <w:vAlign w:val="bottom"/>
            <w:hideMark/>
          </w:tcPr>
          <w:p w14:paraId="6A217987"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-3.5</w:t>
            </w:r>
          </w:p>
        </w:tc>
      </w:tr>
      <w:tr w:rsidR="00BB5AEB" w:rsidRPr="00111CED" w14:paraId="64B485C6" w14:textId="77777777" w:rsidTr="0050347B">
        <w:trPr>
          <w:trHeight w:val="282"/>
        </w:trPr>
        <w:tc>
          <w:tcPr>
            <w:tcW w:w="1480" w:type="dxa"/>
            <w:tcBorders>
              <w:top w:val="nil"/>
              <w:left w:val="nil"/>
              <w:bottom w:val="nil"/>
              <w:right w:val="nil"/>
            </w:tcBorders>
            <w:shd w:val="clear" w:color="000000" w:fill="FFFFFF"/>
            <w:noWrap/>
            <w:vAlign w:val="bottom"/>
            <w:hideMark/>
          </w:tcPr>
          <w:p w14:paraId="3393B493" w14:textId="77777777" w:rsidR="00BB5AEB" w:rsidRPr="00111CED" w:rsidRDefault="00BB5AEB" w:rsidP="0050347B">
            <w:pPr>
              <w:rPr>
                <w:rFonts w:ascii="Calibri" w:hAnsi="Calibri"/>
                <w:b/>
                <w:bCs/>
                <w:color w:val="000000"/>
                <w:sz w:val="20"/>
                <w:szCs w:val="20"/>
              </w:rPr>
            </w:pPr>
            <w:proofErr w:type="spellStart"/>
            <w:r w:rsidRPr="00111CED">
              <w:rPr>
                <w:rFonts w:ascii="Calibri" w:hAnsi="Calibri"/>
                <w:b/>
                <w:bCs/>
                <w:color w:val="000000"/>
                <w:sz w:val="20"/>
                <w:szCs w:val="20"/>
              </w:rPr>
              <w:t>İhracat</w:t>
            </w:r>
            <w:proofErr w:type="spellEnd"/>
          </w:p>
        </w:tc>
        <w:tc>
          <w:tcPr>
            <w:tcW w:w="1259" w:type="dxa"/>
            <w:tcBorders>
              <w:top w:val="nil"/>
              <w:left w:val="single" w:sz="4" w:space="0" w:color="auto"/>
              <w:bottom w:val="nil"/>
              <w:right w:val="nil"/>
            </w:tcBorders>
            <w:shd w:val="clear" w:color="000000" w:fill="FFFFFF"/>
            <w:noWrap/>
            <w:vAlign w:val="bottom"/>
            <w:hideMark/>
          </w:tcPr>
          <w:p w14:paraId="44832818"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4.4</w:t>
            </w:r>
          </w:p>
        </w:tc>
        <w:tc>
          <w:tcPr>
            <w:tcW w:w="961" w:type="dxa"/>
            <w:tcBorders>
              <w:top w:val="nil"/>
              <w:left w:val="nil"/>
              <w:bottom w:val="nil"/>
              <w:right w:val="single" w:sz="4" w:space="0" w:color="auto"/>
            </w:tcBorders>
            <w:shd w:val="clear" w:color="000000" w:fill="FFFFFF"/>
            <w:noWrap/>
            <w:vAlign w:val="bottom"/>
            <w:hideMark/>
          </w:tcPr>
          <w:p w14:paraId="76A5FF80"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1.0</w:t>
            </w:r>
          </w:p>
        </w:tc>
        <w:tc>
          <w:tcPr>
            <w:tcW w:w="1259" w:type="dxa"/>
            <w:tcBorders>
              <w:top w:val="nil"/>
              <w:left w:val="nil"/>
              <w:bottom w:val="nil"/>
              <w:right w:val="nil"/>
            </w:tcBorders>
            <w:shd w:val="clear" w:color="000000" w:fill="FFFFFF"/>
            <w:noWrap/>
            <w:vAlign w:val="bottom"/>
            <w:hideMark/>
          </w:tcPr>
          <w:p w14:paraId="5947C916"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-1.0</w:t>
            </w:r>
          </w:p>
        </w:tc>
        <w:tc>
          <w:tcPr>
            <w:tcW w:w="961" w:type="dxa"/>
            <w:tcBorders>
              <w:top w:val="nil"/>
              <w:left w:val="nil"/>
              <w:bottom w:val="nil"/>
              <w:right w:val="nil"/>
            </w:tcBorders>
            <w:shd w:val="clear" w:color="000000" w:fill="FFFFFF"/>
            <w:noWrap/>
            <w:vAlign w:val="bottom"/>
            <w:hideMark/>
          </w:tcPr>
          <w:p w14:paraId="31FA26F0"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-0.2</w:t>
            </w:r>
          </w:p>
        </w:tc>
      </w:tr>
      <w:tr w:rsidR="00BB5AEB" w:rsidRPr="00111CED" w14:paraId="6F040B9E" w14:textId="77777777" w:rsidTr="0050347B">
        <w:trPr>
          <w:trHeight w:val="282"/>
        </w:trPr>
        <w:tc>
          <w:tcPr>
            <w:tcW w:w="1480" w:type="dxa"/>
            <w:tcBorders>
              <w:top w:val="nil"/>
              <w:left w:val="nil"/>
              <w:bottom w:val="nil"/>
              <w:right w:val="nil"/>
            </w:tcBorders>
            <w:shd w:val="clear" w:color="000000" w:fill="FFFFFF"/>
            <w:noWrap/>
            <w:vAlign w:val="bottom"/>
            <w:hideMark/>
          </w:tcPr>
          <w:p w14:paraId="7C7CECCB" w14:textId="77777777" w:rsidR="00BB5AEB" w:rsidRPr="00111CED" w:rsidRDefault="00BB5AEB" w:rsidP="0050347B">
            <w:pPr>
              <w:rPr>
                <w:rFonts w:ascii="Calibri" w:hAnsi="Calibri"/>
                <w:b/>
                <w:bCs/>
                <w:color w:val="000000"/>
                <w:sz w:val="20"/>
                <w:szCs w:val="20"/>
              </w:rPr>
            </w:pPr>
            <w:proofErr w:type="spellStart"/>
            <w:r w:rsidRPr="00111CED">
              <w:rPr>
                <w:rFonts w:ascii="Calibri" w:hAnsi="Calibri"/>
                <w:b/>
                <w:bCs/>
                <w:color w:val="000000"/>
                <w:sz w:val="20"/>
                <w:szCs w:val="20"/>
              </w:rPr>
              <w:t>İthalat</w:t>
            </w:r>
            <w:proofErr w:type="spellEnd"/>
          </w:p>
        </w:tc>
        <w:tc>
          <w:tcPr>
            <w:tcW w:w="1259" w:type="dxa"/>
            <w:tcBorders>
              <w:top w:val="nil"/>
              <w:left w:val="single" w:sz="4" w:space="0" w:color="auto"/>
              <w:bottom w:val="nil"/>
              <w:right w:val="nil"/>
            </w:tcBorders>
            <w:shd w:val="clear" w:color="000000" w:fill="FFFFFF"/>
            <w:noWrap/>
            <w:vAlign w:val="bottom"/>
            <w:hideMark/>
          </w:tcPr>
          <w:p w14:paraId="5F952F37"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8.3</w:t>
            </w:r>
          </w:p>
        </w:tc>
        <w:tc>
          <w:tcPr>
            <w:tcW w:w="961" w:type="dxa"/>
            <w:tcBorders>
              <w:top w:val="nil"/>
              <w:left w:val="nil"/>
              <w:bottom w:val="nil"/>
              <w:right w:val="single" w:sz="4" w:space="0" w:color="auto"/>
            </w:tcBorders>
            <w:shd w:val="clear" w:color="000000" w:fill="FFFFFF"/>
            <w:noWrap/>
            <w:vAlign w:val="bottom"/>
            <w:hideMark/>
          </w:tcPr>
          <w:p w14:paraId="79413A67"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-2.2</w:t>
            </w:r>
          </w:p>
        </w:tc>
        <w:tc>
          <w:tcPr>
            <w:tcW w:w="1259" w:type="dxa"/>
            <w:tcBorders>
              <w:top w:val="nil"/>
              <w:left w:val="nil"/>
              <w:bottom w:val="nil"/>
              <w:right w:val="nil"/>
            </w:tcBorders>
            <w:shd w:val="clear" w:color="000000" w:fill="FFFFFF"/>
            <w:noWrap/>
            <w:vAlign w:val="bottom"/>
            <w:hideMark/>
          </w:tcPr>
          <w:p w14:paraId="566A710F"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-5.2</w:t>
            </w:r>
          </w:p>
        </w:tc>
        <w:tc>
          <w:tcPr>
            <w:tcW w:w="961" w:type="dxa"/>
            <w:tcBorders>
              <w:top w:val="nil"/>
              <w:left w:val="nil"/>
              <w:bottom w:val="nil"/>
              <w:right w:val="nil"/>
            </w:tcBorders>
            <w:shd w:val="clear" w:color="000000" w:fill="FFFFFF"/>
            <w:noWrap/>
            <w:vAlign w:val="bottom"/>
            <w:hideMark/>
          </w:tcPr>
          <w:p w14:paraId="4C803F2A"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1.3</w:t>
            </w:r>
          </w:p>
        </w:tc>
      </w:tr>
      <w:tr w:rsidR="00BB5AEB" w:rsidRPr="00111CED" w14:paraId="0A394178" w14:textId="77777777" w:rsidTr="0050347B">
        <w:trPr>
          <w:trHeight w:val="315"/>
        </w:trPr>
        <w:tc>
          <w:tcPr>
            <w:tcW w:w="1480" w:type="dxa"/>
            <w:tcBorders>
              <w:top w:val="nil"/>
              <w:left w:val="nil"/>
              <w:bottom w:val="double" w:sz="6" w:space="0" w:color="auto"/>
              <w:right w:val="nil"/>
            </w:tcBorders>
            <w:shd w:val="clear" w:color="000000" w:fill="FFFFFF"/>
            <w:noWrap/>
            <w:vAlign w:val="bottom"/>
            <w:hideMark/>
          </w:tcPr>
          <w:p w14:paraId="093E92AE" w14:textId="77777777" w:rsidR="00BB5AEB" w:rsidRPr="00111CED" w:rsidRDefault="00BB5AEB" w:rsidP="0050347B">
            <w:pPr>
              <w:rPr>
                <w:rFonts w:ascii="Calibri" w:hAnsi="Calibri"/>
                <w:b/>
                <w:bCs/>
                <w:color w:val="000000"/>
                <w:sz w:val="20"/>
                <w:szCs w:val="20"/>
              </w:rPr>
            </w:pPr>
            <w:r w:rsidRPr="00111CED">
              <w:rPr>
                <w:rFonts w:ascii="Calibri" w:hAnsi="Calibri"/>
                <w:b/>
                <w:bCs/>
                <w:color w:val="000000"/>
                <w:sz w:val="20"/>
                <w:szCs w:val="20"/>
              </w:rPr>
              <w:t>GSYH</w:t>
            </w:r>
          </w:p>
        </w:tc>
        <w:tc>
          <w:tcPr>
            <w:tcW w:w="1259" w:type="dxa"/>
            <w:tcBorders>
              <w:top w:val="nil"/>
              <w:left w:val="single" w:sz="4" w:space="0" w:color="auto"/>
              <w:bottom w:val="double" w:sz="6" w:space="0" w:color="auto"/>
              <w:right w:val="nil"/>
            </w:tcBorders>
            <w:shd w:val="clear" w:color="000000" w:fill="FFFFFF"/>
            <w:noWrap/>
            <w:vAlign w:val="bottom"/>
            <w:hideMark/>
          </w:tcPr>
          <w:p w14:paraId="408DCE70"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1.7</w:t>
            </w:r>
          </w:p>
        </w:tc>
        <w:tc>
          <w:tcPr>
            <w:tcW w:w="961" w:type="dxa"/>
            <w:tcBorders>
              <w:top w:val="nil"/>
              <w:left w:val="nil"/>
              <w:bottom w:val="double" w:sz="6" w:space="0" w:color="auto"/>
              <w:right w:val="single" w:sz="4" w:space="0" w:color="auto"/>
            </w:tcBorders>
            <w:shd w:val="clear" w:color="000000" w:fill="FFFFFF"/>
            <w:noWrap/>
            <w:vAlign w:val="bottom"/>
            <w:hideMark/>
          </w:tcPr>
          <w:p w14:paraId="1B35857E"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 </w:t>
            </w:r>
          </w:p>
        </w:tc>
        <w:tc>
          <w:tcPr>
            <w:tcW w:w="1259" w:type="dxa"/>
            <w:tcBorders>
              <w:top w:val="nil"/>
              <w:left w:val="nil"/>
              <w:bottom w:val="double" w:sz="6" w:space="0" w:color="auto"/>
              <w:right w:val="nil"/>
            </w:tcBorders>
            <w:shd w:val="clear" w:color="000000" w:fill="FFFFFF"/>
            <w:noWrap/>
            <w:vAlign w:val="bottom"/>
            <w:hideMark/>
          </w:tcPr>
          <w:p w14:paraId="6F4EEE57"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2.0</w:t>
            </w:r>
          </w:p>
        </w:tc>
        <w:tc>
          <w:tcPr>
            <w:tcW w:w="961" w:type="dxa"/>
            <w:tcBorders>
              <w:top w:val="nil"/>
              <w:left w:val="nil"/>
              <w:bottom w:val="double" w:sz="6" w:space="0" w:color="auto"/>
              <w:right w:val="nil"/>
            </w:tcBorders>
            <w:shd w:val="clear" w:color="000000" w:fill="FFFFFF"/>
            <w:noWrap/>
            <w:vAlign w:val="bottom"/>
            <w:hideMark/>
          </w:tcPr>
          <w:p w14:paraId="421A68F4" w14:textId="77777777" w:rsidR="00BB5AEB" w:rsidRPr="00111CED" w:rsidRDefault="00BB5AEB" w:rsidP="0050347B">
            <w:pPr>
              <w:jc w:val="center"/>
              <w:rPr>
                <w:rFonts w:ascii="Calibri" w:hAnsi="Calibri"/>
                <w:color w:val="000000"/>
                <w:sz w:val="20"/>
                <w:szCs w:val="20"/>
              </w:rPr>
            </w:pPr>
            <w:r w:rsidRPr="00111CED">
              <w:rPr>
                <w:rFonts w:ascii="Calibri" w:hAnsi="Calibri"/>
                <w:color w:val="000000"/>
                <w:sz w:val="20"/>
                <w:szCs w:val="20"/>
              </w:rPr>
              <w:t> </w:t>
            </w:r>
          </w:p>
        </w:tc>
      </w:tr>
    </w:tbl>
    <w:p w14:paraId="5496EF1A" w14:textId="77777777" w:rsidR="00BB5AEB" w:rsidRDefault="00BB5AEB" w:rsidP="00BB5AEB">
      <w:pPr>
        <w:pStyle w:val="NormalWeb"/>
        <w:spacing w:before="0" w:beforeAutospacing="0" w:after="0" w:afterAutospacing="0" w:line="360" w:lineRule="auto"/>
        <w:ind w:right="77"/>
        <w:rPr>
          <w:rFonts w:ascii="Palatino Linotype" w:hAnsi="Palatino Linotype" w:cstheme="minorHAnsi"/>
          <w:sz w:val="18"/>
          <w:szCs w:val="18"/>
        </w:rPr>
      </w:pPr>
      <w:r>
        <w:rPr>
          <w:rFonts w:ascii="Palatino Linotype" w:hAnsi="Palatino Linotype" w:cstheme="minorHAnsi"/>
          <w:b/>
          <w:sz w:val="18"/>
          <w:szCs w:val="18"/>
        </w:rPr>
        <w:t>So</w:t>
      </w:r>
      <w:r w:rsidR="00A550B2" w:rsidRPr="00236056">
        <w:rPr>
          <w:rFonts w:ascii="Palatino Linotype" w:hAnsi="Palatino Linotype" w:cstheme="minorHAnsi"/>
          <w:b/>
          <w:sz w:val="18"/>
          <w:szCs w:val="18"/>
        </w:rPr>
        <w:t>urce:</w:t>
      </w:r>
      <w:r w:rsidR="00A550B2">
        <w:rPr>
          <w:rFonts w:ascii="Palatino Linotype" w:hAnsi="Palatino Linotype" w:cstheme="minorHAnsi"/>
          <w:sz w:val="18"/>
          <w:szCs w:val="18"/>
        </w:rPr>
        <w:t xml:space="preserve"> </w:t>
      </w:r>
      <w:proofErr w:type="spellStart"/>
      <w:r w:rsidR="00A550B2">
        <w:rPr>
          <w:rFonts w:ascii="Palatino Linotype" w:hAnsi="Palatino Linotype" w:cstheme="minorHAnsi"/>
          <w:sz w:val="18"/>
          <w:szCs w:val="18"/>
        </w:rPr>
        <w:t>TurkStat</w:t>
      </w:r>
      <w:proofErr w:type="spellEnd"/>
      <w:r w:rsidR="00A550B2">
        <w:rPr>
          <w:rFonts w:ascii="Palatino Linotype" w:hAnsi="Palatino Linotype" w:cstheme="minorHAnsi"/>
          <w:sz w:val="18"/>
          <w:szCs w:val="18"/>
        </w:rPr>
        <w:t xml:space="preserve">, </w:t>
      </w:r>
      <w:proofErr w:type="spellStart"/>
      <w:r w:rsidR="00A550B2">
        <w:rPr>
          <w:rFonts w:ascii="Palatino Linotype" w:hAnsi="Palatino Linotype" w:cstheme="minorHAnsi"/>
          <w:sz w:val="18"/>
          <w:szCs w:val="18"/>
        </w:rPr>
        <w:t>Betam</w:t>
      </w:r>
      <w:proofErr w:type="spellEnd"/>
    </w:p>
    <w:p w14:paraId="03E663EC" w14:textId="77777777" w:rsidR="00C65542" w:rsidRDefault="00C65542" w:rsidP="00C65542">
      <w:pPr>
        <w:spacing w:line="360" w:lineRule="auto"/>
        <w:jc w:val="both"/>
        <w:rPr>
          <w:rFonts w:ascii="Palatino Linotype" w:hAnsi="Palatino Linotype" w:cstheme="minorHAnsi"/>
          <w:b/>
          <w:bCs/>
          <w:sz w:val="22"/>
          <w:szCs w:val="22"/>
        </w:rPr>
      </w:pPr>
    </w:p>
    <w:p w14:paraId="5B033218" w14:textId="24A5B390" w:rsidR="00C65542" w:rsidRPr="00982F71" w:rsidRDefault="00C65542" w:rsidP="00C65542">
      <w:pPr>
        <w:spacing w:line="360" w:lineRule="auto"/>
        <w:jc w:val="both"/>
        <w:rPr>
          <w:rFonts w:ascii="Palatino Linotype" w:hAnsi="Palatino Linotype" w:cstheme="minorHAnsi"/>
          <w:b/>
          <w:bCs/>
          <w:sz w:val="22"/>
          <w:szCs w:val="22"/>
        </w:rPr>
      </w:pPr>
      <w:r>
        <w:rPr>
          <w:rFonts w:ascii="Palatino Linotype" w:hAnsi="Palatino Linotype" w:cstheme="minorHAnsi"/>
          <w:b/>
          <w:bCs/>
          <w:sz w:val="22"/>
          <w:szCs w:val="22"/>
        </w:rPr>
        <w:t xml:space="preserve">High increase in </w:t>
      </w:r>
      <w:r w:rsidRPr="00982F71">
        <w:rPr>
          <w:rFonts w:ascii="Palatino Linotype" w:hAnsi="Palatino Linotype" w:cstheme="minorHAnsi"/>
          <w:b/>
          <w:bCs/>
          <w:sz w:val="22"/>
          <w:szCs w:val="22"/>
        </w:rPr>
        <w:t>private consumption</w:t>
      </w:r>
    </w:p>
    <w:p w14:paraId="46B502D9" w14:textId="77777777" w:rsidR="00C65542" w:rsidRPr="00982F71" w:rsidRDefault="00C65542" w:rsidP="00C65542">
      <w:pPr>
        <w:spacing w:line="360" w:lineRule="auto"/>
        <w:jc w:val="both"/>
        <w:rPr>
          <w:rFonts w:ascii="Palatino Linotype" w:hAnsi="Palatino Linotype" w:cstheme="minorHAnsi"/>
          <w:sz w:val="22"/>
          <w:szCs w:val="22"/>
        </w:rPr>
      </w:pPr>
      <w:r w:rsidRPr="00982F71">
        <w:rPr>
          <w:rFonts w:ascii="Palatino Linotype" w:hAnsi="Palatino Linotype" w:cstheme="minorHAnsi"/>
          <w:sz w:val="22"/>
          <w:szCs w:val="22"/>
        </w:rPr>
        <w:t xml:space="preserve">According to the same quarter of last year, consumption </w:t>
      </w:r>
      <w:r>
        <w:rPr>
          <w:rFonts w:ascii="Palatino Linotype" w:hAnsi="Palatino Linotype" w:cstheme="minorHAnsi"/>
          <w:sz w:val="22"/>
          <w:szCs w:val="22"/>
        </w:rPr>
        <w:t xml:space="preserve">growth </w:t>
      </w:r>
      <w:r w:rsidRPr="00982F71">
        <w:rPr>
          <w:rFonts w:ascii="Palatino Linotype" w:hAnsi="Palatino Linotype" w:cstheme="minorHAnsi"/>
          <w:sz w:val="22"/>
          <w:szCs w:val="22"/>
        </w:rPr>
        <w:t xml:space="preserve">which </w:t>
      </w:r>
      <w:r>
        <w:rPr>
          <w:rFonts w:ascii="Palatino Linotype" w:hAnsi="Palatino Linotype" w:cstheme="minorHAnsi"/>
          <w:sz w:val="22"/>
          <w:szCs w:val="22"/>
        </w:rPr>
        <w:t>was 6</w:t>
      </w:r>
      <w:r w:rsidRPr="00982F71">
        <w:rPr>
          <w:rFonts w:ascii="Palatino Linotype" w:hAnsi="Palatino Linotype" w:cstheme="minorHAnsi"/>
          <w:sz w:val="22"/>
          <w:szCs w:val="22"/>
        </w:rPr>
        <w:t>.</w:t>
      </w:r>
      <w:r>
        <w:rPr>
          <w:rFonts w:ascii="Palatino Linotype" w:hAnsi="Palatino Linotype" w:cstheme="minorHAnsi"/>
          <w:sz w:val="22"/>
          <w:szCs w:val="22"/>
        </w:rPr>
        <w:t>6</w:t>
      </w:r>
      <w:r w:rsidRPr="00982F71">
        <w:rPr>
          <w:rFonts w:ascii="Palatino Linotype" w:hAnsi="Palatino Linotype" w:cstheme="minorHAnsi"/>
          <w:sz w:val="22"/>
          <w:szCs w:val="22"/>
        </w:rPr>
        <w:t xml:space="preserve"> percent in the </w:t>
      </w:r>
      <w:r>
        <w:rPr>
          <w:rFonts w:ascii="Palatino Linotype" w:hAnsi="Palatino Linotype" w:cstheme="minorHAnsi"/>
          <w:sz w:val="22"/>
          <w:szCs w:val="22"/>
        </w:rPr>
        <w:t>fourth</w:t>
      </w:r>
      <w:r w:rsidRPr="00982F71">
        <w:rPr>
          <w:rFonts w:ascii="Palatino Linotype" w:hAnsi="Palatino Linotype" w:cstheme="minorHAnsi"/>
          <w:sz w:val="22"/>
          <w:szCs w:val="22"/>
        </w:rPr>
        <w:t xml:space="preserve"> quarter, </w:t>
      </w:r>
      <w:r>
        <w:rPr>
          <w:rFonts w:ascii="Palatino Linotype" w:hAnsi="Palatino Linotype" w:cstheme="minorHAnsi"/>
          <w:sz w:val="22"/>
          <w:szCs w:val="22"/>
        </w:rPr>
        <w:t>was</w:t>
      </w:r>
      <w:r w:rsidRPr="00982F71">
        <w:rPr>
          <w:rFonts w:ascii="Palatino Linotype" w:hAnsi="Palatino Linotype" w:cstheme="minorHAnsi"/>
          <w:sz w:val="22"/>
          <w:szCs w:val="22"/>
        </w:rPr>
        <w:t xml:space="preserve"> </w:t>
      </w:r>
      <w:r>
        <w:rPr>
          <w:rFonts w:ascii="Palatino Linotype" w:hAnsi="Palatino Linotype" w:cstheme="minorHAnsi"/>
          <w:sz w:val="22"/>
          <w:szCs w:val="22"/>
        </w:rPr>
        <w:t>11</w:t>
      </w:r>
      <w:r w:rsidRPr="00982F71">
        <w:rPr>
          <w:rFonts w:ascii="Palatino Linotype" w:hAnsi="Palatino Linotype" w:cstheme="minorHAnsi"/>
          <w:sz w:val="22"/>
          <w:szCs w:val="22"/>
        </w:rPr>
        <w:t xml:space="preserve"> percent in the </w:t>
      </w:r>
      <w:r>
        <w:rPr>
          <w:rFonts w:ascii="Palatino Linotype" w:hAnsi="Palatino Linotype" w:cstheme="minorHAnsi"/>
          <w:sz w:val="22"/>
          <w:szCs w:val="22"/>
        </w:rPr>
        <w:t>first</w:t>
      </w:r>
      <w:r w:rsidRPr="00982F71">
        <w:rPr>
          <w:rFonts w:ascii="Palatino Linotype" w:hAnsi="Palatino Linotype" w:cstheme="minorHAnsi"/>
          <w:sz w:val="22"/>
          <w:szCs w:val="22"/>
        </w:rPr>
        <w:t xml:space="preserve"> quarter. </w:t>
      </w:r>
      <w:r>
        <w:rPr>
          <w:rFonts w:ascii="Palatino Linotype" w:hAnsi="Palatino Linotype" w:cstheme="minorHAnsi"/>
          <w:sz w:val="22"/>
          <w:szCs w:val="22"/>
        </w:rPr>
        <w:t xml:space="preserve">Contributions to GDP growth following </w:t>
      </w:r>
      <w:r>
        <w:rPr>
          <w:rFonts w:ascii="Palatino Linotype" w:hAnsi="Palatino Linotype" w:cstheme="minorHAnsi"/>
          <w:sz w:val="22"/>
          <w:szCs w:val="22"/>
        </w:rPr>
        <w:lastRenderedPageBreak/>
        <w:t xml:space="preserve">these growth rates </w:t>
      </w:r>
      <w:r w:rsidRPr="00041E8F">
        <w:rPr>
          <w:rFonts w:ascii="Palatino Linotype" w:hAnsi="Palatino Linotype" w:cstheme="minorHAnsi"/>
          <w:sz w:val="22"/>
          <w:szCs w:val="22"/>
        </w:rPr>
        <w:t>increased from 4.6 percent</w:t>
      </w:r>
      <w:r>
        <w:rPr>
          <w:rFonts w:ascii="Palatino Linotype" w:hAnsi="Palatino Linotype" w:cstheme="minorHAnsi"/>
          <w:sz w:val="22"/>
          <w:szCs w:val="22"/>
        </w:rPr>
        <w:t>age points in 2017 Q4</w:t>
      </w:r>
      <w:r w:rsidRPr="00041E8F">
        <w:rPr>
          <w:rFonts w:ascii="Palatino Linotype" w:hAnsi="Palatino Linotype" w:cstheme="minorHAnsi"/>
          <w:sz w:val="22"/>
          <w:szCs w:val="22"/>
        </w:rPr>
        <w:t xml:space="preserve"> to 6.6 percent</w:t>
      </w:r>
      <w:r>
        <w:rPr>
          <w:rFonts w:ascii="Palatino Linotype" w:hAnsi="Palatino Linotype" w:cstheme="minorHAnsi"/>
          <w:sz w:val="22"/>
          <w:szCs w:val="22"/>
        </w:rPr>
        <w:t>age points in 2018 Q1</w:t>
      </w:r>
      <w:r w:rsidRPr="00041E8F">
        <w:rPr>
          <w:rFonts w:ascii="Palatino Linotype" w:hAnsi="Palatino Linotype" w:cstheme="minorHAnsi"/>
          <w:sz w:val="22"/>
          <w:szCs w:val="22"/>
        </w:rPr>
        <w:t xml:space="preserve"> (Table 1)</w:t>
      </w:r>
      <w:r>
        <w:rPr>
          <w:rFonts w:ascii="Palatino Linotype" w:hAnsi="Palatino Linotype" w:cstheme="minorHAnsi"/>
          <w:sz w:val="22"/>
          <w:szCs w:val="22"/>
        </w:rPr>
        <w:t>.</w:t>
      </w:r>
      <w:r w:rsidRPr="00982F71">
        <w:rPr>
          <w:rFonts w:ascii="Palatino Linotype" w:hAnsi="Palatino Linotype" w:cstheme="minorHAnsi"/>
          <w:sz w:val="22"/>
          <w:szCs w:val="22"/>
        </w:rPr>
        <w:t xml:space="preserve"> </w:t>
      </w:r>
      <w:r>
        <w:rPr>
          <w:rFonts w:ascii="Palatino Linotype" w:hAnsi="Palatino Linotype" w:cstheme="minorHAnsi"/>
          <w:sz w:val="22"/>
          <w:szCs w:val="22"/>
        </w:rPr>
        <w:t>W</w:t>
      </w:r>
      <w:r w:rsidRPr="00982F71">
        <w:rPr>
          <w:rFonts w:ascii="Palatino Linotype" w:hAnsi="Palatino Linotype" w:cstheme="minorHAnsi"/>
          <w:sz w:val="22"/>
          <w:szCs w:val="22"/>
        </w:rPr>
        <w:t xml:space="preserve">hen we look at the </w:t>
      </w:r>
      <w:r w:rsidRPr="007D787D">
        <w:rPr>
          <w:rFonts w:ascii="Palatino Linotype" w:hAnsi="Palatino Linotype" w:cstheme="minorHAnsi"/>
          <w:sz w:val="22"/>
          <w:szCs w:val="22"/>
        </w:rPr>
        <w:t xml:space="preserve">seasonally and calendar day adjusted </w:t>
      </w:r>
      <w:r>
        <w:rPr>
          <w:rFonts w:ascii="Palatino Linotype" w:hAnsi="Palatino Linotype" w:cstheme="minorHAnsi"/>
          <w:sz w:val="22"/>
          <w:szCs w:val="22"/>
        </w:rPr>
        <w:t>data,</w:t>
      </w:r>
      <w:r w:rsidRPr="007D787D">
        <w:rPr>
          <w:rFonts w:ascii="Palatino Linotype" w:hAnsi="Palatino Linotype" w:cstheme="minorHAnsi"/>
          <w:sz w:val="22"/>
          <w:szCs w:val="22"/>
        </w:rPr>
        <w:t xml:space="preserve"> </w:t>
      </w:r>
      <w:r w:rsidRPr="00F9263F">
        <w:rPr>
          <w:rFonts w:ascii="Palatino Linotype" w:hAnsi="Palatino Linotype" w:cstheme="minorHAnsi"/>
          <w:sz w:val="22"/>
          <w:szCs w:val="22"/>
        </w:rPr>
        <w:t xml:space="preserve">we see that </w:t>
      </w:r>
      <w:r>
        <w:rPr>
          <w:rFonts w:ascii="Palatino Linotype" w:hAnsi="Palatino Linotype" w:cstheme="minorHAnsi"/>
          <w:sz w:val="22"/>
          <w:szCs w:val="22"/>
        </w:rPr>
        <w:t xml:space="preserve">private </w:t>
      </w:r>
      <w:r w:rsidRPr="00F9263F">
        <w:rPr>
          <w:rFonts w:ascii="Palatino Linotype" w:hAnsi="Palatino Linotype" w:cstheme="minorHAnsi"/>
          <w:sz w:val="22"/>
          <w:szCs w:val="22"/>
        </w:rPr>
        <w:t xml:space="preserve">consumption growth has strengthened in the </w:t>
      </w:r>
      <w:r>
        <w:rPr>
          <w:rFonts w:ascii="Palatino Linotype" w:hAnsi="Palatino Linotype" w:cstheme="minorHAnsi"/>
          <w:sz w:val="22"/>
          <w:szCs w:val="22"/>
        </w:rPr>
        <w:t>first</w:t>
      </w:r>
      <w:r w:rsidRPr="00F9263F">
        <w:rPr>
          <w:rFonts w:ascii="Palatino Linotype" w:hAnsi="Palatino Linotype" w:cstheme="minorHAnsi"/>
          <w:sz w:val="22"/>
          <w:szCs w:val="22"/>
        </w:rPr>
        <w:t xml:space="preserve"> quarter (from </w:t>
      </w:r>
      <w:r>
        <w:rPr>
          <w:rFonts w:ascii="Palatino Linotype" w:hAnsi="Palatino Linotype" w:cstheme="minorHAnsi"/>
          <w:sz w:val="22"/>
          <w:szCs w:val="22"/>
        </w:rPr>
        <w:t>2</w:t>
      </w:r>
      <w:r w:rsidRPr="00F9263F">
        <w:rPr>
          <w:rFonts w:ascii="Palatino Linotype" w:hAnsi="Palatino Linotype" w:cstheme="minorHAnsi"/>
          <w:sz w:val="22"/>
          <w:szCs w:val="22"/>
        </w:rPr>
        <w:t>.</w:t>
      </w:r>
      <w:r>
        <w:rPr>
          <w:rFonts w:ascii="Palatino Linotype" w:hAnsi="Palatino Linotype" w:cstheme="minorHAnsi"/>
          <w:sz w:val="22"/>
          <w:szCs w:val="22"/>
        </w:rPr>
        <w:t>9</w:t>
      </w:r>
      <w:r w:rsidRPr="00F9263F">
        <w:rPr>
          <w:rFonts w:ascii="Palatino Linotype" w:hAnsi="Palatino Linotype" w:cstheme="minorHAnsi"/>
          <w:sz w:val="22"/>
          <w:szCs w:val="22"/>
        </w:rPr>
        <w:t xml:space="preserve">% to </w:t>
      </w:r>
      <w:r>
        <w:rPr>
          <w:rFonts w:ascii="Palatino Linotype" w:hAnsi="Palatino Linotype" w:cstheme="minorHAnsi"/>
          <w:sz w:val="22"/>
          <w:szCs w:val="22"/>
        </w:rPr>
        <w:t>4</w:t>
      </w:r>
      <w:r w:rsidRPr="00F9263F">
        <w:rPr>
          <w:rFonts w:ascii="Palatino Linotype" w:hAnsi="Palatino Linotype" w:cstheme="minorHAnsi"/>
          <w:sz w:val="22"/>
          <w:szCs w:val="22"/>
        </w:rPr>
        <w:t>.</w:t>
      </w:r>
      <w:r>
        <w:rPr>
          <w:rFonts w:ascii="Palatino Linotype" w:hAnsi="Palatino Linotype" w:cstheme="minorHAnsi"/>
          <w:sz w:val="22"/>
          <w:szCs w:val="22"/>
        </w:rPr>
        <w:t>2</w:t>
      </w:r>
      <w:r w:rsidRPr="00F9263F">
        <w:rPr>
          <w:rFonts w:ascii="Palatino Linotype" w:hAnsi="Palatino Linotype" w:cstheme="minorHAnsi"/>
          <w:sz w:val="22"/>
          <w:szCs w:val="22"/>
        </w:rPr>
        <w:t xml:space="preserve">%) and contribution to growth has increased </w:t>
      </w:r>
      <w:r w:rsidRPr="007D787D">
        <w:rPr>
          <w:rFonts w:ascii="Palatino Linotype" w:hAnsi="Palatino Linotype" w:cstheme="minorHAnsi"/>
          <w:sz w:val="22"/>
          <w:szCs w:val="22"/>
        </w:rPr>
        <w:t xml:space="preserve">(Table 2). </w:t>
      </w:r>
    </w:p>
    <w:p w14:paraId="20432D29" w14:textId="77777777" w:rsidR="00CE7DE8" w:rsidRDefault="002F6884" w:rsidP="000D63E2">
      <w:pPr>
        <w:pStyle w:val="NormalWeb"/>
        <w:spacing w:before="0" w:beforeAutospacing="0" w:after="120" w:afterAutospacing="0" w:line="360" w:lineRule="auto"/>
        <w:ind w:right="79"/>
        <w:rPr>
          <w:rFonts w:ascii="Palatino Linotype" w:hAnsi="Palatino Linotype" w:cstheme="minorHAnsi"/>
          <w:strike/>
          <w:sz w:val="22"/>
          <w:szCs w:val="22"/>
        </w:rPr>
      </w:pPr>
      <w:r>
        <w:rPr>
          <w:rFonts w:ascii="Palatino Linotype" w:hAnsi="Palatino Linotype" w:cstheme="minorHAnsi"/>
          <w:sz w:val="18"/>
          <w:szCs w:val="18"/>
        </w:rPr>
        <w:br/>
      </w:r>
      <w:r w:rsidR="00F9263F">
        <w:rPr>
          <w:rFonts w:ascii="Palatino Linotype" w:hAnsi="Palatino Linotype" w:cstheme="minorHAnsi"/>
          <w:b/>
          <w:sz w:val="22"/>
          <w:szCs w:val="22"/>
        </w:rPr>
        <w:t xml:space="preserve">Contribution of the investment has </w:t>
      </w:r>
      <w:r w:rsidR="00CD4010">
        <w:rPr>
          <w:rFonts w:ascii="Palatino Linotype" w:hAnsi="Palatino Linotype" w:cstheme="minorHAnsi"/>
          <w:b/>
          <w:sz w:val="22"/>
          <w:szCs w:val="22"/>
        </w:rPr>
        <w:t>continu</w:t>
      </w:r>
      <w:r w:rsidR="00F9263F">
        <w:rPr>
          <w:rFonts w:ascii="Palatino Linotype" w:hAnsi="Palatino Linotype" w:cstheme="minorHAnsi"/>
          <w:b/>
          <w:sz w:val="22"/>
          <w:szCs w:val="22"/>
        </w:rPr>
        <w:t>ed</w:t>
      </w:r>
    </w:p>
    <w:p w14:paraId="75D1EC68" w14:textId="6B225C7E" w:rsidR="0044231D" w:rsidRPr="00CE7DE8" w:rsidRDefault="00F9263F" w:rsidP="000D63E2">
      <w:pPr>
        <w:pStyle w:val="NormalWeb"/>
        <w:spacing w:before="0" w:beforeAutospacing="0" w:after="120" w:afterAutospacing="0" w:line="360" w:lineRule="auto"/>
        <w:ind w:right="79"/>
        <w:rPr>
          <w:rFonts w:ascii="Palatino Linotype" w:hAnsi="Palatino Linotype" w:cstheme="minorHAnsi"/>
          <w:strike/>
          <w:sz w:val="22"/>
          <w:szCs w:val="22"/>
        </w:rPr>
      </w:pPr>
      <w:r>
        <w:rPr>
          <w:rFonts w:ascii="Palatino Linotype" w:hAnsi="Palatino Linotype" w:cstheme="minorHAnsi"/>
          <w:sz w:val="22"/>
          <w:szCs w:val="22"/>
        </w:rPr>
        <w:t xml:space="preserve">The </w:t>
      </w:r>
      <w:r w:rsidRPr="00F9263F">
        <w:rPr>
          <w:rFonts w:ascii="Palatino Linotype" w:hAnsi="Palatino Linotype" w:cstheme="minorHAnsi"/>
          <w:sz w:val="22"/>
          <w:szCs w:val="22"/>
        </w:rPr>
        <w:t xml:space="preserve">investments which contributed </w:t>
      </w:r>
      <w:r w:rsidR="002B0C37">
        <w:rPr>
          <w:rFonts w:ascii="Palatino Linotype" w:hAnsi="Palatino Linotype" w:cstheme="minorHAnsi"/>
          <w:sz w:val="22"/>
          <w:szCs w:val="22"/>
        </w:rPr>
        <w:t>1</w:t>
      </w:r>
      <w:r w:rsidRPr="00F9263F">
        <w:rPr>
          <w:rFonts w:ascii="Palatino Linotype" w:hAnsi="Palatino Linotype" w:cstheme="minorHAnsi"/>
          <w:sz w:val="22"/>
          <w:szCs w:val="22"/>
        </w:rPr>
        <w:t xml:space="preserve">.8 percentage points to growth growing by </w:t>
      </w:r>
      <w:r w:rsidR="007C5B10">
        <w:rPr>
          <w:rFonts w:ascii="Palatino Linotype" w:hAnsi="Palatino Linotype" w:cstheme="minorHAnsi"/>
          <w:sz w:val="22"/>
          <w:szCs w:val="22"/>
        </w:rPr>
        <w:t>6</w:t>
      </w:r>
      <w:r w:rsidRPr="00F9263F">
        <w:rPr>
          <w:rFonts w:ascii="Palatino Linotype" w:hAnsi="Palatino Linotype" w:cstheme="minorHAnsi"/>
          <w:sz w:val="22"/>
          <w:szCs w:val="22"/>
        </w:rPr>
        <w:t xml:space="preserve"> percent annually</w:t>
      </w:r>
      <w:r w:rsidR="007C5B10">
        <w:rPr>
          <w:rFonts w:ascii="Palatino Linotype" w:hAnsi="Palatino Linotype" w:cstheme="minorHAnsi"/>
          <w:sz w:val="22"/>
          <w:szCs w:val="22"/>
        </w:rPr>
        <w:t xml:space="preserve"> in the last quarter of 2017</w:t>
      </w:r>
      <w:r>
        <w:rPr>
          <w:rFonts w:ascii="Palatino Linotype" w:hAnsi="Palatino Linotype" w:cstheme="minorHAnsi"/>
          <w:sz w:val="22"/>
          <w:szCs w:val="22"/>
        </w:rPr>
        <w:t xml:space="preserve">, </w:t>
      </w:r>
      <w:r w:rsidRPr="00F9263F">
        <w:rPr>
          <w:rFonts w:ascii="Palatino Linotype" w:hAnsi="Palatino Linotype" w:cstheme="minorHAnsi"/>
          <w:sz w:val="22"/>
          <w:szCs w:val="22"/>
        </w:rPr>
        <w:t xml:space="preserve">grew by </w:t>
      </w:r>
      <w:r w:rsidR="007C5B10">
        <w:rPr>
          <w:rFonts w:ascii="Palatino Linotype" w:hAnsi="Palatino Linotype" w:cstheme="minorHAnsi"/>
          <w:sz w:val="22"/>
          <w:szCs w:val="22"/>
        </w:rPr>
        <w:t>9</w:t>
      </w:r>
      <w:r w:rsidRPr="00F9263F">
        <w:rPr>
          <w:rFonts w:ascii="Palatino Linotype" w:hAnsi="Palatino Linotype" w:cstheme="minorHAnsi"/>
          <w:sz w:val="22"/>
          <w:szCs w:val="22"/>
        </w:rPr>
        <w:t>.</w:t>
      </w:r>
      <w:r w:rsidR="007C5B10">
        <w:rPr>
          <w:rFonts w:ascii="Palatino Linotype" w:hAnsi="Palatino Linotype" w:cstheme="minorHAnsi"/>
          <w:sz w:val="22"/>
          <w:szCs w:val="22"/>
        </w:rPr>
        <w:t>7</w:t>
      </w:r>
      <w:r w:rsidRPr="00F9263F">
        <w:rPr>
          <w:rFonts w:ascii="Palatino Linotype" w:hAnsi="Palatino Linotype" w:cstheme="minorHAnsi"/>
          <w:sz w:val="22"/>
          <w:szCs w:val="22"/>
        </w:rPr>
        <w:t xml:space="preserve"> percent in the </w:t>
      </w:r>
      <w:r w:rsidR="007C5B10">
        <w:rPr>
          <w:rFonts w:ascii="Palatino Linotype" w:hAnsi="Palatino Linotype" w:cstheme="minorHAnsi"/>
          <w:sz w:val="22"/>
          <w:szCs w:val="22"/>
        </w:rPr>
        <w:t>first</w:t>
      </w:r>
      <w:r w:rsidRPr="00F9263F">
        <w:rPr>
          <w:rFonts w:ascii="Palatino Linotype" w:hAnsi="Palatino Linotype" w:cstheme="minorHAnsi"/>
          <w:sz w:val="22"/>
          <w:szCs w:val="22"/>
        </w:rPr>
        <w:t xml:space="preserve"> quarter</w:t>
      </w:r>
      <w:r w:rsidR="007C5B10">
        <w:rPr>
          <w:rFonts w:ascii="Palatino Linotype" w:hAnsi="Palatino Linotype" w:cstheme="minorHAnsi"/>
          <w:sz w:val="22"/>
          <w:szCs w:val="22"/>
        </w:rPr>
        <w:t xml:space="preserve"> of 2018</w:t>
      </w:r>
      <w:r w:rsidRPr="00F9263F">
        <w:rPr>
          <w:rFonts w:ascii="Palatino Linotype" w:hAnsi="Palatino Linotype" w:cstheme="minorHAnsi"/>
          <w:sz w:val="22"/>
          <w:szCs w:val="22"/>
        </w:rPr>
        <w:t xml:space="preserve"> contributing </w:t>
      </w:r>
      <w:r w:rsidR="007C5B10">
        <w:rPr>
          <w:rFonts w:ascii="Palatino Linotype" w:hAnsi="Palatino Linotype" w:cstheme="minorHAnsi"/>
          <w:sz w:val="22"/>
          <w:szCs w:val="22"/>
        </w:rPr>
        <w:t>2</w:t>
      </w:r>
      <w:r w:rsidRPr="00F9263F">
        <w:rPr>
          <w:rFonts w:ascii="Palatino Linotype" w:hAnsi="Palatino Linotype" w:cstheme="minorHAnsi"/>
          <w:sz w:val="22"/>
          <w:szCs w:val="22"/>
        </w:rPr>
        <w:t>.8 percentage points to GDP growth</w:t>
      </w:r>
      <w:r w:rsidR="001609DE">
        <w:rPr>
          <w:rFonts w:ascii="Palatino Linotype" w:hAnsi="Palatino Linotype" w:cstheme="minorHAnsi"/>
          <w:sz w:val="22"/>
          <w:szCs w:val="22"/>
        </w:rPr>
        <w:t xml:space="preserve"> (Table 1)</w:t>
      </w:r>
      <w:r w:rsidR="007C5B10">
        <w:rPr>
          <w:rFonts w:ascii="Palatino Linotype" w:hAnsi="Palatino Linotype" w:cstheme="minorHAnsi"/>
          <w:sz w:val="22"/>
          <w:szCs w:val="22"/>
        </w:rPr>
        <w:t>.</w:t>
      </w:r>
      <w:r w:rsidRPr="00F9263F">
        <w:rPr>
          <w:rFonts w:ascii="Palatino Linotype" w:hAnsi="Palatino Linotype" w:cstheme="minorHAnsi"/>
          <w:sz w:val="22"/>
          <w:szCs w:val="22"/>
        </w:rPr>
        <w:t xml:space="preserve"> </w:t>
      </w:r>
      <w:r w:rsidR="007C5B10" w:rsidRPr="007C5B10">
        <w:rPr>
          <w:rFonts w:ascii="Palatino Linotype" w:hAnsi="Palatino Linotype" w:cstheme="minorHAnsi"/>
          <w:sz w:val="22"/>
          <w:szCs w:val="22"/>
        </w:rPr>
        <w:t>Quarterly data show a similar situation: investments</w:t>
      </w:r>
      <w:r w:rsidR="007C5B10">
        <w:rPr>
          <w:rFonts w:ascii="Palatino Linotype" w:hAnsi="Palatino Linotype" w:cstheme="minorHAnsi"/>
          <w:sz w:val="22"/>
          <w:szCs w:val="22"/>
        </w:rPr>
        <w:t xml:space="preserve"> which </w:t>
      </w:r>
      <w:r w:rsidR="007C5B10" w:rsidRPr="007C5B10">
        <w:rPr>
          <w:rFonts w:ascii="Palatino Linotype" w:hAnsi="Palatino Linotype" w:cstheme="minorHAnsi"/>
          <w:sz w:val="22"/>
          <w:szCs w:val="22"/>
        </w:rPr>
        <w:t>contributed minus 0.4 percentage points to growth in the last quarter of 2017,</w:t>
      </w:r>
      <w:r w:rsidR="00A20C0F">
        <w:rPr>
          <w:rFonts w:ascii="Palatino Linotype" w:hAnsi="Palatino Linotype" w:cstheme="minorHAnsi"/>
          <w:sz w:val="22"/>
          <w:szCs w:val="22"/>
        </w:rPr>
        <w:t xml:space="preserve"> have contributed </w:t>
      </w:r>
      <w:r w:rsidR="007C5B10" w:rsidRPr="007C5B10">
        <w:rPr>
          <w:rFonts w:ascii="Palatino Linotype" w:hAnsi="Palatino Linotype" w:cstheme="minorHAnsi"/>
          <w:sz w:val="22"/>
          <w:szCs w:val="22"/>
        </w:rPr>
        <w:t>1.5 percentage points</w:t>
      </w:r>
      <w:r w:rsidR="00A20C0F">
        <w:rPr>
          <w:rFonts w:ascii="Palatino Linotype" w:hAnsi="Palatino Linotype" w:cstheme="minorHAnsi"/>
          <w:sz w:val="22"/>
          <w:szCs w:val="22"/>
        </w:rPr>
        <w:t xml:space="preserve"> to growth</w:t>
      </w:r>
      <w:r w:rsidR="007C5B10" w:rsidRPr="007C5B10">
        <w:rPr>
          <w:rFonts w:ascii="Palatino Linotype" w:hAnsi="Palatino Linotype" w:cstheme="minorHAnsi"/>
          <w:sz w:val="22"/>
          <w:szCs w:val="22"/>
        </w:rPr>
        <w:t xml:space="preserve"> in the first quarter</w:t>
      </w:r>
      <w:r w:rsidR="00A20C0F">
        <w:rPr>
          <w:rFonts w:ascii="Palatino Linotype" w:hAnsi="Palatino Linotype" w:cstheme="minorHAnsi"/>
          <w:sz w:val="22"/>
          <w:szCs w:val="22"/>
        </w:rPr>
        <w:t xml:space="preserve"> of 2018 (Table 2).</w:t>
      </w:r>
      <w:r w:rsidR="007C5B10">
        <w:rPr>
          <w:rFonts w:ascii="Palatino Linotype" w:hAnsi="Palatino Linotype" w:cstheme="minorHAnsi"/>
          <w:sz w:val="22"/>
          <w:szCs w:val="22"/>
        </w:rPr>
        <w:t xml:space="preserve"> </w:t>
      </w:r>
      <w:r w:rsidR="00A20C0F" w:rsidRPr="00A20C0F">
        <w:rPr>
          <w:rFonts w:ascii="Palatino Linotype" w:hAnsi="Palatino Linotype" w:cstheme="minorHAnsi"/>
          <w:sz w:val="22"/>
          <w:szCs w:val="22"/>
        </w:rPr>
        <w:t xml:space="preserve">As </w:t>
      </w:r>
      <w:r w:rsidR="00A20C0F">
        <w:rPr>
          <w:rFonts w:ascii="Palatino Linotype" w:hAnsi="Palatino Linotype" w:cstheme="minorHAnsi"/>
          <w:sz w:val="22"/>
          <w:szCs w:val="22"/>
        </w:rPr>
        <w:t>may</w:t>
      </w:r>
      <w:r w:rsidR="00A20C0F" w:rsidRPr="00A20C0F">
        <w:rPr>
          <w:rFonts w:ascii="Palatino Linotype" w:hAnsi="Palatino Linotype" w:cstheme="minorHAnsi"/>
          <w:sz w:val="22"/>
          <w:szCs w:val="22"/>
        </w:rPr>
        <w:t xml:space="preserve"> be recalled, the contribution of investments to annual growth was 2.4 and 3.5 percentage points in the second and third quarters of 2017, respectively. We expect these favorable developments seen in investments </w:t>
      </w:r>
      <w:r w:rsidR="00A20C0F">
        <w:rPr>
          <w:rFonts w:ascii="Palatino Linotype" w:hAnsi="Palatino Linotype" w:cstheme="minorHAnsi"/>
          <w:sz w:val="22"/>
          <w:szCs w:val="22"/>
        </w:rPr>
        <w:t>will</w:t>
      </w:r>
      <w:r w:rsidR="00A20C0F" w:rsidRPr="00A20C0F">
        <w:rPr>
          <w:rFonts w:ascii="Palatino Linotype" w:hAnsi="Palatino Linotype" w:cstheme="minorHAnsi"/>
          <w:sz w:val="22"/>
          <w:szCs w:val="22"/>
        </w:rPr>
        <w:t xml:space="preserve"> be adversely affected by increasing market interest rates.</w:t>
      </w:r>
    </w:p>
    <w:p w14:paraId="3EE554C7" w14:textId="76F37E22" w:rsidR="002F6884" w:rsidRPr="007D787D" w:rsidRDefault="00781312" w:rsidP="002F6884">
      <w:pPr>
        <w:pStyle w:val="NormalWeb"/>
        <w:ind w:right="77"/>
        <w:jc w:val="both"/>
        <w:rPr>
          <w:rFonts w:ascii="Palatino Linotype" w:hAnsi="Palatino Linotype" w:cstheme="minorHAnsi"/>
          <w:b/>
          <w:color w:val="FF0000"/>
          <w:sz w:val="22"/>
          <w:szCs w:val="22"/>
        </w:rPr>
      </w:pPr>
      <w:r>
        <w:rPr>
          <w:rFonts w:ascii="Palatino Linotype" w:hAnsi="Palatino Linotype" w:cstheme="minorHAnsi"/>
          <w:b/>
          <w:sz w:val="22"/>
          <w:szCs w:val="22"/>
        </w:rPr>
        <w:t>C</w:t>
      </w:r>
      <w:r w:rsidR="0042790B">
        <w:rPr>
          <w:rFonts w:ascii="Palatino Linotype" w:hAnsi="Palatino Linotype" w:cstheme="minorHAnsi"/>
          <w:b/>
          <w:sz w:val="22"/>
          <w:szCs w:val="22"/>
        </w:rPr>
        <w:t xml:space="preserve">ontribution </w:t>
      </w:r>
      <w:r>
        <w:rPr>
          <w:rFonts w:ascii="Palatino Linotype" w:hAnsi="Palatino Linotype" w:cstheme="minorHAnsi"/>
          <w:b/>
          <w:sz w:val="22"/>
          <w:szCs w:val="22"/>
        </w:rPr>
        <w:t xml:space="preserve">of </w:t>
      </w:r>
      <w:r w:rsidR="0042790B">
        <w:rPr>
          <w:rFonts w:ascii="Palatino Linotype" w:hAnsi="Palatino Linotype" w:cstheme="minorHAnsi"/>
          <w:b/>
          <w:sz w:val="22"/>
          <w:szCs w:val="22"/>
        </w:rPr>
        <w:t>stock changes</w:t>
      </w:r>
      <w:r>
        <w:rPr>
          <w:rFonts w:ascii="Palatino Linotype" w:hAnsi="Palatino Linotype" w:cstheme="minorHAnsi"/>
          <w:b/>
          <w:sz w:val="22"/>
          <w:szCs w:val="22"/>
        </w:rPr>
        <w:t xml:space="preserve"> has decreased </w:t>
      </w:r>
      <w:r>
        <w:rPr>
          <w:rStyle w:val="FootnoteReference"/>
          <w:rFonts w:ascii="Palatino Linotype" w:hAnsi="Palatino Linotype" w:cstheme="minorHAnsi"/>
          <w:b/>
          <w:sz w:val="22"/>
          <w:szCs w:val="22"/>
        </w:rPr>
        <w:footnoteReference w:id="4"/>
      </w:r>
    </w:p>
    <w:p w14:paraId="39E36EEF" w14:textId="6D483C7D" w:rsidR="00E80A0B" w:rsidRDefault="00781312" w:rsidP="008F030E">
      <w:pPr>
        <w:pStyle w:val="NormalWeb"/>
        <w:spacing w:line="360" w:lineRule="auto"/>
        <w:ind w:right="77"/>
        <w:jc w:val="both"/>
        <w:rPr>
          <w:rFonts w:ascii="Palatino Linotype" w:hAnsi="Palatino Linotype" w:cstheme="minorHAnsi"/>
          <w:sz w:val="22"/>
          <w:szCs w:val="22"/>
        </w:rPr>
      </w:pPr>
      <w:r>
        <w:rPr>
          <w:rFonts w:ascii="Palatino Linotype" w:hAnsi="Palatino Linotype" w:cstheme="minorHAnsi"/>
          <w:sz w:val="22"/>
          <w:szCs w:val="22"/>
        </w:rPr>
        <w:t>Stock changes</w:t>
      </w:r>
      <w:r w:rsidR="00D76EC3">
        <w:rPr>
          <w:rFonts w:ascii="Palatino Linotype" w:hAnsi="Palatino Linotype" w:cstheme="minorHAnsi"/>
          <w:sz w:val="22"/>
          <w:szCs w:val="22"/>
        </w:rPr>
        <w:t xml:space="preserve"> contributed to the growth strongly with 3.7 percentage points in the last quarter</w:t>
      </w:r>
      <w:r>
        <w:rPr>
          <w:rFonts w:ascii="Palatino Linotype" w:hAnsi="Palatino Linotype" w:cstheme="minorHAnsi"/>
          <w:sz w:val="22"/>
          <w:szCs w:val="22"/>
        </w:rPr>
        <w:t xml:space="preserve"> of 2017</w:t>
      </w:r>
      <w:r w:rsidR="00AB1E4F">
        <w:rPr>
          <w:rFonts w:ascii="Palatino Linotype" w:hAnsi="Palatino Linotype" w:cstheme="minorHAnsi"/>
          <w:sz w:val="22"/>
          <w:szCs w:val="22"/>
        </w:rPr>
        <w:t xml:space="preserve"> while this was</w:t>
      </w:r>
      <w:r w:rsidRPr="00781312">
        <w:rPr>
          <w:rFonts w:ascii="Palatino Linotype" w:hAnsi="Palatino Linotype" w:cstheme="minorHAnsi"/>
          <w:sz w:val="22"/>
          <w:szCs w:val="22"/>
        </w:rPr>
        <w:t xml:space="preserve"> 1.7 percentage points in the first quarter of 2018</w:t>
      </w:r>
      <w:r w:rsidR="00AB1E4F">
        <w:rPr>
          <w:rFonts w:ascii="Palatino Linotype" w:hAnsi="Palatino Linotype" w:cstheme="minorHAnsi"/>
          <w:sz w:val="22"/>
          <w:szCs w:val="22"/>
        </w:rPr>
        <w:t xml:space="preserve"> </w:t>
      </w:r>
      <w:r w:rsidR="00AB1E4F">
        <w:rPr>
          <w:rFonts w:ascii="Palatino Linotype" w:hAnsi="Palatino Linotype" w:cstheme="minorHAnsi"/>
          <w:sz w:val="22"/>
          <w:szCs w:val="22"/>
        </w:rPr>
        <w:t>(Table 1).</w:t>
      </w:r>
      <w:r>
        <w:rPr>
          <w:rFonts w:ascii="Palatino Linotype" w:hAnsi="Palatino Linotype" w:cstheme="minorHAnsi"/>
          <w:sz w:val="22"/>
          <w:szCs w:val="22"/>
        </w:rPr>
        <w:t xml:space="preserve"> When we look</w:t>
      </w:r>
      <w:r w:rsidR="00E80A0B">
        <w:rPr>
          <w:rFonts w:ascii="Palatino Linotype" w:hAnsi="Palatino Linotype" w:cstheme="minorHAnsi"/>
          <w:sz w:val="22"/>
          <w:szCs w:val="22"/>
        </w:rPr>
        <w:t xml:space="preserve"> </w:t>
      </w:r>
      <w:r>
        <w:rPr>
          <w:rFonts w:ascii="Palatino Linotype" w:hAnsi="Palatino Linotype" w:cstheme="minorHAnsi"/>
          <w:sz w:val="22"/>
          <w:szCs w:val="22"/>
        </w:rPr>
        <w:t xml:space="preserve">quarterly growth, </w:t>
      </w:r>
      <w:r w:rsidR="00BF0205">
        <w:rPr>
          <w:rFonts w:ascii="Palatino Linotype" w:hAnsi="Palatino Linotype" w:cstheme="minorHAnsi"/>
          <w:sz w:val="22"/>
          <w:szCs w:val="22"/>
        </w:rPr>
        <w:t xml:space="preserve">it is seen that </w:t>
      </w:r>
      <w:r w:rsidR="00E80A0B" w:rsidRPr="007D787D">
        <w:rPr>
          <w:rFonts w:ascii="Palatino Linotype" w:hAnsi="Palatino Linotype" w:cstheme="minorHAnsi"/>
          <w:sz w:val="22"/>
          <w:szCs w:val="22"/>
        </w:rPr>
        <w:t xml:space="preserve">seasonally and calendar day adjusted </w:t>
      </w:r>
      <w:r w:rsidR="00E80A0B">
        <w:rPr>
          <w:rFonts w:ascii="Palatino Linotype" w:hAnsi="Palatino Linotype" w:cstheme="minorHAnsi"/>
          <w:sz w:val="22"/>
          <w:szCs w:val="22"/>
        </w:rPr>
        <w:t xml:space="preserve">stock changes </w:t>
      </w:r>
      <w:r w:rsidR="00EB1BBC">
        <w:rPr>
          <w:rFonts w:ascii="Palatino Linotype" w:hAnsi="Palatino Linotype" w:cstheme="minorHAnsi"/>
          <w:sz w:val="22"/>
          <w:szCs w:val="22"/>
        </w:rPr>
        <w:t>negatively contributed to growth by minus 3.5 percentage points</w:t>
      </w:r>
      <w:r w:rsidR="00E80A0B">
        <w:rPr>
          <w:rFonts w:ascii="Palatino Linotype" w:hAnsi="Palatino Linotype" w:cstheme="minorHAnsi"/>
          <w:sz w:val="22"/>
          <w:szCs w:val="22"/>
        </w:rPr>
        <w:t xml:space="preserve"> </w:t>
      </w:r>
      <w:r w:rsidR="00C34FEA" w:rsidRPr="007D787D">
        <w:rPr>
          <w:rFonts w:ascii="Palatino Linotype" w:hAnsi="Palatino Linotype" w:cstheme="minorHAnsi"/>
          <w:sz w:val="22"/>
          <w:szCs w:val="22"/>
        </w:rPr>
        <w:t>(Table 2).</w:t>
      </w:r>
      <w:bookmarkStart w:id="0" w:name="_Hlk501449844"/>
    </w:p>
    <w:bookmarkEnd w:id="0"/>
    <w:p w14:paraId="5BDFCE49" w14:textId="290A11BA" w:rsidR="002F6884" w:rsidRDefault="002C5BE5" w:rsidP="002F6884">
      <w:pPr>
        <w:pStyle w:val="NormalWeb"/>
        <w:ind w:right="77"/>
        <w:jc w:val="both"/>
        <w:rPr>
          <w:rFonts w:ascii="Palatino Linotype" w:hAnsi="Palatino Linotype" w:cstheme="minorHAnsi"/>
          <w:b/>
          <w:sz w:val="22"/>
          <w:szCs w:val="22"/>
        </w:rPr>
      </w:pPr>
      <w:r>
        <w:rPr>
          <w:rFonts w:ascii="Palatino Linotype" w:hAnsi="Palatino Linotype" w:cstheme="minorHAnsi"/>
          <w:b/>
          <w:sz w:val="22"/>
          <w:szCs w:val="22"/>
        </w:rPr>
        <w:t>N</w:t>
      </w:r>
      <w:r w:rsidR="00CE6742" w:rsidRPr="00CE6742">
        <w:rPr>
          <w:rFonts w:ascii="Palatino Linotype" w:hAnsi="Palatino Linotype" w:cstheme="minorHAnsi"/>
          <w:b/>
          <w:sz w:val="22"/>
          <w:szCs w:val="22"/>
        </w:rPr>
        <w:t xml:space="preserve">et foreign trade contribution </w:t>
      </w:r>
      <w:r>
        <w:rPr>
          <w:rFonts w:ascii="Palatino Linotype" w:hAnsi="Palatino Linotype" w:cstheme="minorHAnsi"/>
          <w:b/>
          <w:sz w:val="22"/>
          <w:szCs w:val="22"/>
        </w:rPr>
        <w:t xml:space="preserve">continues to be </w:t>
      </w:r>
      <w:r w:rsidR="00EB1BBC">
        <w:rPr>
          <w:rFonts w:ascii="Palatino Linotype" w:hAnsi="Palatino Linotype" w:cstheme="minorHAnsi"/>
          <w:b/>
          <w:sz w:val="22"/>
          <w:szCs w:val="22"/>
        </w:rPr>
        <w:t xml:space="preserve">increasingly </w:t>
      </w:r>
      <w:r>
        <w:rPr>
          <w:rFonts w:ascii="Palatino Linotype" w:hAnsi="Palatino Linotype" w:cstheme="minorHAnsi"/>
          <w:b/>
          <w:sz w:val="22"/>
          <w:szCs w:val="22"/>
        </w:rPr>
        <w:t>negative</w:t>
      </w:r>
    </w:p>
    <w:p w14:paraId="3B2D40D1" w14:textId="2E6CCFAB" w:rsidR="00C745E7" w:rsidRDefault="005828CE" w:rsidP="00C745E7">
      <w:pPr>
        <w:pStyle w:val="NormalWeb"/>
        <w:spacing w:line="360" w:lineRule="auto"/>
        <w:ind w:right="77"/>
        <w:jc w:val="both"/>
        <w:rPr>
          <w:rFonts w:ascii="Palatino Linotype" w:hAnsi="Palatino Linotype" w:cstheme="minorHAnsi"/>
          <w:sz w:val="22"/>
          <w:szCs w:val="22"/>
        </w:rPr>
      </w:pPr>
      <w:r>
        <w:rPr>
          <w:rFonts w:ascii="Palatino Linotype" w:hAnsi="Palatino Linotype" w:cstheme="minorHAnsi"/>
          <w:sz w:val="22"/>
          <w:szCs w:val="22"/>
        </w:rPr>
        <w:t xml:space="preserve">Contribution of net foreign trade in the </w:t>
      </w:r>
      <w:r w:rsidR="003E4D3E">
        <w:rPr>
          <w:rFonts w:ascii="Palatino Linotype" w:hAnsi="Palatino Linotype" w:cstheme="minorHAnsi"/>
          <w:sz w:val="22"/>
          <w:szCs w:val="22"/>
        </w:rPr>
        <w:t>last</w:t>
      </w:r>
      <w:r>
        <w:rPr>
          <w:rFonts w:ascii="Palatino Linotype" w:hAnsi="Palatino Linotype" w:cstheme="minorHAnsi"/>
          <w:sz w:val="22"/>
          <w:szCs w:val="22"/>
        </w:rPr>
        <w:t xml:space="preserve"> quarter of 2017 </w:t>
      </w:r>
      <w:r w:rsidR="00630CA0">
        <w:rPr>
          <w:rFonts w:ascii="Palatino Linotype" w:hAnsi="Palatino Linotype" w:cstheme="minorHAnsi"/>
          <w:sz w:val="22"/>
          <w:szCs w:val="22"/>
        </w:rPr>
        <w:t>turned negative</w:t>
      </w:r>
      <w:r>
        <w:rPr>
          <w:rFonts w:ascii="Palatino Linotype" w:hAnsi="Palatino Linotype" w:cstheme="minorHAnsi"/>
          <w:sz w:val="22"/>
          <w:szCs w:val="22"/>
        </w:rPr>
        <w:t xml:space="preserve">. </w:t>
      </w:r>
      <w:r w:rsidR="00630CA0">
        <w:rPr>
          <w:rFonts w:ascii="Palatino Linotype" w:hAnsi="Palatino Linotype" w:cstheme="minorHAnsi"/>
          <w:sz w:val="22"/>
          <w:szCs w:val="22"/>
        </w:rPr>
        <w:t>C</w:t>
      </w:r>
      <w:r w:rsidR="00247739" w:rsidRPr="00247739">
        <w:rPr>
          <w:rFonts w:ascii="Palatino Linotype" w:hAnsi="Palatino Linotype" w:cstheme="minorHAnsi"/>
          <w:sz w:val="22"/>
          <w:szCs w:val="22"/>
        </w:rPr>
        <w:t>ompared to the same quarter of the previous year, contribution</w:t>
      </w:r>
      <w:r>
        <w:rPr>
          <w:rFonts w:ascii="Palatino Linotype" w:hAnsi="Palatino Linotype" w:cstheme="minorHAnsi"/>
          <w:sz w:val="22"/>
          <w:szCs w:val="22"/>
        </w:rPr>
        <w:t xml:space="preserve"> of the export has decreased from </w:t>
      </w:r>
      <w:r w:rsidR="00630CA0">
        <w:rPr>
          <w:rFonts w:ascii="Palatino Linotype" w:hAnsi="Palatino Linotype" w:cstheme="minorHAnsi"/>
          <w:sz w:val="22"/>
          <w:szCs w:val="22"/>
        </w:rPr>
        <w:t>2</w:t>
      </w:r>
      <w:r>
        <w:rPr>
          <w:rFonts w:ascii="Palatino Linotype" w:hAnsi="Palatino Linotype" w:cstheme="minorHAnsi"/>
          <w:sz w:val="22"/>
          <w:szCs w:val="22"/>
        </w:rPr>
        <w:t xml:space="preserve"> </w:t>
      </w:r>
      <w:r>
        <w:rPr>
          <w:rFonts w:ascii="Palatino Linotype" w:hAnsi="Palatino Linotype" w:cstheme="minorHAnsi"/>
          <w:sz w:val="22"/>
          <w:szCs w:val="22"/>
        </w:rPr>
        <w:lastRenderedPageBreak/>
        <w:t xml:space="preserve">percentage points to </w:t>
      </w:r>
      <w:r w:rsidR="00630CA0">
        <w:rPr>
          <w:rFonts w:ascii="Palatino Linotype" w:hAnsi="Palatino Linotype" w:cstheme="minorHAnsi"/>
          <w:sz w:val="22"/>
          <w:szCs w:val="22"/>
        </w:rPr>
        <w:t>0,3</w:t>
      </w:r>
      <w:r>
        <w:rPr>
          <w:rFonts w:ascii="Palatino Linotype" w:hAnsi="Palatino Linotype" w:cstheme="minorHAnsi"/>
          <w:sz w:val="22"/>
          <w:szCs w:val="22"/>
        </w:rPr>
        <w:t xml:space="preserve"> points and </w:t>
      </w:r>
      <w:r w:rsidR="00C745E7" w:rsidRPr="00247739">
        <w:rPr>
          <w:rFonts w:ascii="Palatino Linotype" w:hAnsi="Palatino Linotype" w:cstheme="minorHAnsi"/>
          <w:sz w:val="22"/>
          <w:szCs w:val="22"/>
        </w:rPr>
        <w:t>contribution</w:t>
      </w:r>
      <w:r w:rsidR="00C745E7">
        <w:rPr>
          <w:rFonts w:ascii="Palatino Linotype" w:hAnsi="Palatino Linotype" w:cstheme="minorHAnsi"/>
          <w:sz w:val="22"/>
          <w:szCs w:val="22"/>
        </w:rPr>
        <w:t xml:space="preserve"> of the import has </w:t>
      </w:r>
      <w:r w:rsidR="00630CA0">
        <w:rPr>
          <w:rFonts w:ascii="Palatino Linotype" w:hAnsi="Palatino Linotype" w:cstheme="minorHAnsi"/>
          <w:sz w:val="22"/>
          <w:szCs w:val="22"/>
        </w:rPr>
        <w:t>increa</w:t>
      </w:r>
      <w:r w:rsidR="00C745E7">
        <w:rPr>
          <w:rFonts w:ascii="Palatino Linotype" w:hAnsi="Palatino Linotype" w:cstheme="minorHAnsi"/>
          <w:sz w:val="22"/>
          <w:szCs w:val="22"/>
        </w:rPr>
        <w:t xml:space="preserve">sed from </w:t>
      </w:r>
      <w:r w:rsidR="00C745E7" w:rsidRPr="00247739">
        <w:rPr>
          <w:rFonts w:ascii="Palatino Linotype" w:hAnsi="Palatino Linotype" w:cstheme="minorHAnsi"/>
          <w:sz w:val="22"/>
          <w:szCs w:val="22"/>
        </w:rPr>
        <w:t>minus</w:t>
      </w:r>
      <w:r w:rsidR="00C745E7">
        <w:rPr>
          <w:rFonts w:ascii="Palatino Linotype" w:hAnsi="Palatino Linotype" w:cstheme="minorHAnsi"/>
          <w:sz w:val="22"/>
          <w:szCs w:val="22"/>
        </w:rPr>
        <w:t xml:space="preserve"> </w:t>
      </w:r>
      <w:r w:rsidR="00630CA0">
        <w:rPr>
          <w:rFonts w:ascii="Palatino Linotype" w:hAnsi="Palatino Linotype" w:cstheme="minorHAnsi"/>
          <w:sz w:val="22"/>
          <w:szCs w:val="22"/>
        </w:rPr>
        <w:t>5</w:t>
      </w:r>
      <w:r w:rsidR="00C745E7">
        <w:rPr>
          <w:rFonts w:ascii="Palatino Linotype" w:hAnsi="Palatino Linotype" w:cstheme="minorHAnsi"/>
          <w:sz w:val="22"/>
          <w:szCs w:val="22"/>
        </w:rPr>
        <w:t>.</w:t>
      </w:r>
      <w:r w:rsidR="00630CA0">
        <w:rPr>
          <w:rFonts w:ascii="Palatino Linotype" w:hAnsi="Palatino Linotype" w:cstheme="minorHAnsi"/>
          <w:sz w:val="22"/>
          <w:szCs w:val="22"/>
        </w:rPr>
        <w:t>4</w:t>
      </w:r>
      <w:r w:rsidR="00C745E7">
        <w:rPr>
          <w:rFonts w:ascii="Palatino Linotype" w:hAnsi="Palatino Linotype" w:cstheme="minorHAnsi"/>
          <w:sz w:val="22"/>
          <w:szCs w:val="22"/>
        </w:rPr>
        <w:t xml:space="preserve"> percentage points to minus </w:t>
      </w:r>
      <w:r w:rsidR="00630CA0">
        <w:rPr>
          <w:rFonts w:ascii="Palatino Linotype" w:hAnsi="Palatino Linotype" w:cstheme="minorHAnsi"/>
          <w:sz w:val="22"/>
          <w:szCs w:val="22"/>
        </w:rPr>
        <w:t>4</w:t>
      </w:r>
      <w:r w:rsidR="00C745E7">
        <w:rPr>
          <w:rFonts w:ascii="Palatino Linotype" w:hAnsi="Palatino Linotype" w:cstheme="minorHAnsi"/>
          <w:sz w:val="22"/>
          <w:szCs w:val="22"/>
        </w:rPr>
        <w:t>.</w:t>
      </w:r>
      <w:r w:rsidR="00630CA0">
        <w:rPr>
          <w:rFonts w:ascii="Palatino Linotype" w:hAnsi="Palatino Linotype" w:cstheme="minorHAnsi"/>
          <w:sz w:val="22"/>
          <w:szCs w:val="22"/>
        </w:rPr>
        <w:t>5</w:t>
      </w:r>
      <w:r w:rsidR="00C745E7">
        <w:rPr>
          <w:rFonts w:ascii="Palatino Linotype" w:hAnsi="Palatino Linotype" w:cstheme="minorHAnsi"/>
          <w:sz w:val="22"/>
          <w:szCs w:val="22"/>
        </w:rPr>
        <w:t xml:space="preserve"> points, thus contribution of net foreign trade has </w:t>
      </w:r>
      <w:r w:rsidR="00630CA0">
        <w:rPr>
          <w:rFonts w:ascii="Palatino Linotype" w:hAnsi="Palatino Linotype" w:cstheme="minorHAnsi"/>
          <w:sz w:val="22"/>
          <w:szCs w:val="22"/>
        </w:rPr>
        <w:t xml:space="preserve">decreased from </w:t>
      </w:r>
      <w:r w:rsidR="00C745E7">
        <w:rPr>
          <w:rFonts w:ascii="Palatino Linotype" w:hAnsi="Palatino Linotype" w:cstheme="minorHAnsi"/>
          <w:sz w:val="22"/>
          <w:szCs w:val="22"/>
        </w:rPr>
        <w:t xml:space="preserve">minus 3.4 percentage points </w:t>
      </w:r>
      <w:r w:rsidR="00630CA0">
        <w:rPr>
          <w:rFonts w:ascii="Palatino Linotype" w:hAnsi="Palatino Linotype" w:cstheme="minorHAnsi"/>
          <w:sz w:val="22"/>
          <w:szCs w:val="22"/>
        </w:rPr>
        <w:t xml:space="preserve">to minus 4.2 percentage points </w:t>
      </w:r>
      <w:r w:rsidR="00247739" w:rsidRPr="00247739">
        <w:rPr>
          <w:rFonts w:ascii="Palatino Linotype" w:hAnsi="Palatino Linotype" w:cstheme="minorHAnsi"/>
          <w:sz w:val="22"/>
          <w:szCs w:val="22"/>
        </w:rPr>
        <w:t xml:space="preserve">in the </w:t>
      </w:r>
      <w:r>
        <w:rPr>
          <w:rFonts w:ascii="Palatino Linotype" w:hAnsi="Palatino Linotype" w:cstheme="minorHAnsi"/>
          <w:sz w:val="22"/>
          <w:szCs w:val="22"/>
        </w:rPr>
        <w:t>f</w:t>
      </w:r>
      <w:r w:rsidR="00630CA0">
        <w:rPr>
          <w:rFonts w:ascii="Palatino Linotype" w:hAnsi="Palatino Linotype" w:cstheme="minorHAnsi"/>
          <w:sz w:val="22"/>
          <w:szCs w:val="22"/>
        </w:rPr>
        <w:t>irst</w:t>
      </w:r>
      <w:r w:rsidR="00247739" w:rsidRPr="00247739">
        <w:rPr>
          <w:rFonts w:ascii="Palatino Linotype" w:hAnsi="Palatino Linotype" w:cstheme="minorHAnsi"/>
          <w:sz w:val="22"/>
          <w:szCs w:val="22"/>
        </w:rPr>
        <w:t xml:space="preserve"> quarter</w:t>
      </w:r>
      <w:r w:rsidR="00630CA0">
        <w:rPr>
          <w:rFonts w:ascii="Palatino Linotype" w:hAnsi="Palatino Linotype" w:cstheme="minorHAnsi"/>
          <w:sz w:val="22"/>
          <w:szCs w:val="22"/>
        </w:rPr>
        <w:t xml:space="preserve"> of 2018</w:t>
      </w:r>
      <w:r w:rsidR="00C745E7">
        <w:rPr>
          <w:rFonts w:ascii="Palatino Linotype" w:hAnsi="Palatino Linotype" w:cstheme="minorHAnsi"/>
          <w:sz w:val="22"/>
          <w:szCs w:val="22"/>
        </w:rPr>
        <w:t xml:space="preserve"> (Table 1). </w:t>
      </w:r>
      <w:r w:rsidR="00AB1E4F">
        <w:rPr>
          <w:rFonts w:ascii="Palatino Linotype" w:hAnsi="Palatino Linotype" w:cstheme="minorHAnsi"/>
          <w:sz w:val="22"/>
          <w:szCs w:val="22"/>
        </w:rPr>
        <w:t>Using</w:t>
      </w:r>
      <w:r w:rsidR="00C745E7">
        <w:rPr>
          <w:rFonts w:ascii="Palatino Linotype" w:hAnsi="Palatino Linotype" w:cstheme="minorHAnsi"/>
          <w:sz w:val="22"/>
          <w:szCs w:val="22"/>
        </w:rPr>
        <w:t xml:space="preserve"> </w:t>
      </w:r>
      <w:r w:rsidR="00C745E7" w:rsidRPr="007D787D">
        <w:rPr>
          <w:rFonts w:ascii="Palatino Linotype" w:hAnsi="Palatino Linotype" w:cstheme="minorHAnsi"/>
          <w:sz w:val="22"/>
          <w:szCs w:val="22"/>
        </w:rPr>
        <w:t xml:space="preserve">seasonally and calendar day adjusted </w:t>
      </w:r>
      <w:r w:rsidR="00AB1E4F">
        <w:rPr>
          <w:rFonts w:ascii="Palatino Linotype" w:hAnsi="Palatino Linotype" w:cstheme="minorHAnsi"/>
          <w:sz w:val="22"/>
          <w:szCs w:val="22"/>
        </w:rPr>
        <w:t>data</w:t>
      </w:r>
      <w:r w:rsidR="00C745E7">
        <w:rPr>
          <w:rFonts w:ascii="Palatino Linotype" w:hAnsi="Palatino Linotype" w:cstheme="minorHAnsi"/>
          <w:sz w:val="22"/>
          <w:szCs w:val="22"/>
        </w:rPr>
        <w:t>,</w:t>
      </w:r>
      <w:r w:rsidR="00C745E7" w:rsidRPr="00C745E7">
        <w:rPr>
          <w:rFonts w:ascii="Palatino Linotype" w:hAnsi="Palatino Linotype" w:cstheme="minorHAnsi"/>
          <w:sz w:val="22"/>
          <w:szCs w:val="22"/>
        </w:rPr>
        <w:t xml:space="preserve"> </w:t>
      </w:r>
      <w:r w:rsidR="00C745E7">
        <w:rPr>
          <w:rFonts w:ascii="Palatino Linotype" w:hAnsi="Palatino Linotype" w:cstheme="minorHAnsi"/>
          <w:sz w:val="22"/>
          <w:szCs w:val="22"/>
        </w:rPr>
        <w:t>w</w:t>
      </w:r>
      <w:r w:rsidR="00C745E7" w:rsidRPr="00C745E7">
        <w:rPr>
          <w:rFonts w:ascii="Palatino Linotype" w:hAnsi="Palatino Linotype" w:cstheme="minorHAnsi"/>
          <w:sz w:val="22"/>
          <w:szCs w:val="22"/>
        </w:rPr>
        <w:t xml:space="preserve">e observe </w:t>
      </w:r>
      <w:r w:rsidR="00140A01">
        <w:rPr>
          <w:rFonts w:ascii="Palatino Linotype" w:hAnsi="Palatino Linotype" w:cstheme="minorHAnsi"/>
          <w:sz w:val="22"/>
          <w:szCs w:val="22"/>
        </w:rPr>
        <w:t>a reverse</w:t>
      </w:r>
      <w:r w:rsidR="00C745E7" w:rsidRPr="00C745E7">
        <w:rPr>
          <w:rFonts w:ascii="Palatino Linotype" w:hAnsi="Palatino Linotype" w:cstheme="minorHAnsi"/>
          <w:sz w:val="22"/>
          <w:szCs w:val="22"/>
        </w:rPr>
        <w:t xml:space="preserve"> situation</w:t>
      </w:r>
      <w:r w:rsidR="00140A01">
        <w:rPr>
          <w:rFonts w:ascii="Palatino Linotype" w:hAnsi="Palatino Linotype" w:cstheme="minorHAnsi"/>
          <w:sz w:val="22"/>
          <w:szCs w:val="22"/>
        </w:rPr>
        <w:t>.</w:t>
      </w:r>
      <w:r w:rsidR="00C745E7" w:rsidRPr="00C745E7">
        <w:rPr>
          <w:rFonts w:ascii="Palatino Linotype" w:hAnsi="Palatino Linotype" w:cstheme="minorHAnsi"/>
          <w:sz w:val="22"/>
          <w:szCs w:val="22"/>
        </w:rPr>
        <w:t xml:space="preserve"> </w:t>
      </w:r>
      <w:r w:rsidR="00630CA0">
        <w:rPr>
          <w:rFonts w:ascii="Palatino Linotype" w:hAnsi="Palatino Linotype" w:cstheme="minorHAnsi"/>
          <w:sz w:val="22"/>
          <w:szCs w:val="22"/>
        </w:rPr>
        <w:t>It is seen that contribution of e</w:t>
      </w:r>
      <w:r w:rsidR="00C745E7" w:rsidRPr="00C745E7">
        <w:rPr>
          <w:rFonts w:ascii="Palatino Linotype" w:hAnsi="Palatino Linotype" w:cstheme="minorHAnsi"/>
          <w:sz w:val="22"/>
          <w:szCs w:val="22"/>
        </w:rPr>
        <w:t xml:space="preserve">xports </w:t>
      </w:r>
      <w:r w:rsidR="00630CA0">
        <w:rPr>
          <w:rFonts w:ascii="Palatino Linotype" w:hAnsi="Palatino Linotype" w:cstheme="minorHAnsi"/>
          <w:sz w:val="22"/>
          <w:szCs w:val="22"/>
        </w:rPr>
        <w:t xml:space="preserve">turned negative </w:t>
      </w:r>
      <w:r w:rsidR="00C745E7" w:rsidRPr="00C745E7">
        <w:rPr>
          <w:rFonts w:ascii="Palatino Linotype" w:hAnsi="Palatino Linotype" w:cstheme="minorHAnsi"/>
          <w:sz w:val="22"/>
          <w:szCs w:val="22"/>
        </w:rPr>
        <w:t xml:space="preserve">and </w:t>
      </w:r>
      <w:r w:rsidR="00630CA0">
        <w:rPr>
          <w:rFonts w:ascii="Palatino Linotype" w:hAnsi="Palatino Linotype" w:cstheme="minorHAnsi"/>
          <w:sz w:val="22"/>
          <w:szCs w:val="22"/>
        </w:rPr>
        <w:t xml:space="preserve">contribution of </w:t>
      </w:r>
      <w:r w:rsidR="00C745E7" w:rsidRPr="00C745E7">
        <w:rPr>
          <w:rFonts w:ascii="Palatino Linotype" w:hAnsi="Palatino Linotype" w:cstheme="minorHAnsi"/>
          <w:sz w:val="22"/>
          <w:szCs w:val="22"/>
        </w:rPr>
        <w:t xml:space="preserve">imports </w:t>
      </w:r>
      <w:r w:rsidR="00630CA0">
        <w:rPr>
          <w:rFonts w:ascii="Palatino Linotype" w:hAnsi="Palatino Linotype" w:cstheme="minorHAnsi"/>
          <w:sz w:val="22"/>
          <w:szCs w:val="22"/>
        </w:rPr>
        <w:t xml:space="preserve">turned positive (Table 2). </w:t>
      </w:r>
      <w:r w:rsidR="00BB6454">
        <w:rPr>
          <w:rFonts w:ascii="Palatino Linotype" w:hAnsi="Palatino Linotype" w:cstheme="minorHAnsi"/>
          <w:sz w:val="22"/>
          <w:szCs w:val="22"/>
        </w:rPr>
        <w:t>As a result</w:t>
      </w:r>
      <w:r w:rsidR="00630CA0">
        <w:rPr>
          <w:rFonts w:ascii="Palatino Linotype" w:hAnsi="Palatino Linotype" w:cstheme="minorHAnsi"/>
          <w:sz w:val="22"/>
          <w:szCs w:val="22"/>
        </w:rPr>
        <w:t xml:space="preserve">, contribution of net foreign trade increased from minus 1.2 percentage points to 0.9 percentage points. </w:t>
      </w:r>
    </w:p>
    <w:p w14:paraId="14D66F5A" w14:textId="23FC29B4" w:rsidR="002F6884" w:rsidRPr="007D787D" w:rsidRDefault="00D4207F" w:rsidP="00C745E7">
      <w:pPr>
        <w:pStyle w:val="NormalWeb"/>
        <w:spacing w:line="360" w:lineRule="auto"/>
        <w:ind w:right="77"/>
        <w:jc w:val="both"/>
        <w:rPr>
          <w:rFonts w:ascii="Palatino Linotype" w:hAnsi="Palatino Linotype" w:cstheme="minorHAnsi"/>
          <w:b/>
          <w:bCs/>
          <w:sz w:val="22"/>
          <w:szCs w:val="22"/>
        </w:rPr>
      </w:pPr>
      <w:r>
        <w:rPr>
          <w:rFonts w:ascii="Palatino Linotype" w:hAnsi="Palatino Linotype" w:cstheme="minorHAnsi"/>
          <w:b/>
          <w:bCs/>
          <w:sz w:val="22"/>
          <w:szCs w:val="22"/>
        </w:rPr>
        <w:t>C</w:t>
      </w:r>
      <w:r w:rsidR="00317618" w:rsidRPr="007D787D">
        <w:rPr>
          <w:rFonts w:ascii="Palatino Linotype" w:hAnsi="Palatino Linotype" w:cstheme="minorHAnsi"/>
          <w:b/>
          <w:bCs/>
          <w:sz w:val="22"/>
          <w:szCs w:val="22"/>
        </w:rPr>
        <w:t xml:space="preserve">ontribution of public spending </w:t>
      </w:r>
      <w:r>
        <w:rPr>
          <w:rFonts w:ascii="Palatino Linotype" w:hAnsi="Palatino Linotype" w:cstheme="minorHAnsi"/>
          <w:b/>
          <w:bCs/>
          <w:sz w:val="22"/>
          <w:szCs w:val="22"/>
        </w:rPr>
        <w:t xml:space="preserve">has </w:t>
      </w:r>
      <w:r w:rsidR="00794982">
        <w:rPr>
          <w:rFonts w:ascii="Palatino Linotype" w:hAnsi="Palatino Linotype" w:cstheme="minorHAnsi"/>
          <w:b/>
          <w:bCs/>
          <w:sz w:val="22"/>
          <w:szCs w:val="22"/>
        </w:rPr>
        <w:t>decre</w:t>
      </w:r>
      <w:r>
        <w:rPr>
          <w:rFonts w:ascii="Palatino Linotype" w:hAnsi="Palatino Linotype" w:cstheme="minorHAnsi"/>
          <w:b/>
          <w:bCs/>
          <w:sz w:val="22"/>
          <w:szCs w:val="22"/>
        </w:rPr>
        <w:t>ased</w:t>
      </w:r>
    </w:p>
    <w:p w14:paraId="1569360D" w14:textId="1E57062D" w:rsidR="00317618" w:rsidRPr="007D787D" w:rsidRDefault="00C63F01" w:rsidP="002F6884">
      <w:pPr>
        <w:pStyle w:val="NormalWeb"/>
        <w:spacing w:line="360" w:lineRule="auto"/>
        <w:ind w:right="77"/>
        <w:jc w:val="both"/>
        <w:rPr>
          <w:rFonts w:ascii="Palatino Linotype" w:hAnsi="Palatino Linotype" w:cstheme="minorHAnsi"/>
          <w:sz w:val="22"/>
          <w:szCs w:val="22"/>
        </w:rPr>
      </w:pPr>
      <w:r>
        <w:rPr>
          <w:rFonts w:ascii="Palatino Linotype" w:hAnsi="Palatino Linotype" w:cstheme="minorHAnsi"/>
          <w:sz w:val="22"/>
          <w:szCs w:val="22"/>
        </w:rPr>
        <w:t>While t</w:t>
      </w:r>
      <w:r w:rsidR="009D7A7A">
        <w:rPr>
          <w:rFonts w:ascii="Palatino Linotype" w:hAnsi="Palatino Linotype" w:cstheme="minorHAnsi"/>
          <w:sz w:val="22"/>
          <w:szCs w:val="22"/>
        </w:rPr>
        <w:t xml:space="preserve">he government spending </w:t>
      </w:r>
      <w:r w:rsidR="00D16B42">
        <w:rPr>
          <w:rFonts w:ascii="Palatino Linotype" w:hAnsi="Palatino Linotype" w:cstheme="minorHAnsi"/>
          <w:sz w:val="22"/>
          <w:szCs w:val="22"/>
        </w:rPr>
        <w:t>did not contribute to the growth from second quarter to third quarter</w:t>
      </w:r>
      <w:r>
        <w:rPr>
          <w:rFonts w:ascii="Palatino Linotype" w:hAnsi="Palatino Linotype" w:cstheme="minorHAnsi"/>
          <w:sz w:val="22"/>
          <w:szCs w:val="22"/>
        </w:rPr>
        <w:t xml:space="preserve">, </w:t>
      </w:r>
      <w:r w:rsidR="00D31133">
        <w:rPr>
          <w:rFonts w:ascii="Palatino Linotype" w:hAnsi="Palatino Linotype" w:cstheme="minorHAnsi"/>
          <w:sz w:val="22"/>
          <w:szCs w:val="22"/>
        </w:rPr>
        <w:t xml:space="preserve">this changes </w:t>
      </w:r>
      <w:r>
        <w:rPr>
          <w:rFonts w:ascii="Palatino Linotype" w:hAnsi="Palatino Linotype" w:cstheme="minorHAnsi"/>
          <w:sz w:val="22"/>
          <w:szCs w:val="22"/>
        </w:rPr>
        <w:t>in the last quarter of 2017</w:t>
      </w:r>
      <w:r w:rsidR="00D31133">
        <w:rPr>
          <w:rFonts w:ascii="Palatino Linotype" w:hAnsi="Palatino Linotype" w:cstheme="minorHAnsi"/>
          <w:sz w:val="22"/>
          <w:szCs w:val="22"/>
        </w:rPr>
        <w:t xml:space="preserve"> with the increase in public expenditures</w:t>
      </w:r>
      <w:r>
        <w:rPr>
          <w:rFonts w:ascii="Palatino Linotype" w:hAnsi="Palatino Linotype" w:cstheme="minorHAnsi"/>
          <w:sz w:val="22"/>
          <w:szCs w:val="22"/>
        </w:rPr>
        <w:t>.</w:t>
      </w:r>
      <w:r w:rsidR="00D16B42">
        <w:rPr>
          <w:rFonts w:ascii="Palatino Linotype" w:hAnsi="Palatino Linotype" w:cstheme="minorHAnsi"/>
          <w:sz w:val="22"/>
          <w:szCs w:val="22"/>
        </w:rPr>
        <w:t xml:space="preserve"> </w:t>
      </w:r>
      <w:r w:rsidRPr="00C63F01">
        <w:rPr>
          <w:rFonts w:ascii="Palatino Linotype" w:hAnsi="Palatino Linotype" w:cstheme="minorHAnsi"/>
          <w:sz w:val="22"/>
          <w:szCs w:val="22"/>
        </w:rPr>
        <w:t xml:space="preserve">In the first quarter of 2018, the final consumption expenditure of the government </w:t>
      </w:r>
      <w:r>
        <w:rPr>
          <w:rFonts w:ascii="Palatino Linotype" w:hAnsi="Palatino Linotype" w:cstheme="minorHAnsi"/>
          <w:sz w:val="22"/>
          <w:szCs w:val="22"/>
        </w:rPr>
        <w:t xml:space="preserve">increased by </w:t>
      </w:r>
      <w:r w:rsidRPr="00C63F01">
        <w:rPr>
          <w:rFonts w:ascii="Palatino Linotype" w:hAnsi="Palatino Linotype" w:cstheme="minorHAnsi"/>
          <w:sz w:val="22"/>
          <w:szCs w:val="22"/>
        </w:rPr>
        <w:t>3.4 percent annually</w:t>
      </w:r>
      <w:r>
        <w:rPr>
          <w:rFonts w:ascii="Palatino Linotype" w:hAnsi="Palatino Linotype" w:cstheme="minorHAnsi"/>
          <w:sz w:val="22"/>
          <w:szCs w:val="22"/>
        </w:rPr>
        <w:t xml:space="preserve"> and </w:t>
      </w:r>
      <w:r w:rsidRPr="00C63F01">
        <w:rPr>
          <w:rFonts w:ascii="Palatino Linotype" w:hAnsi="Palatino Linotype" w:cstheme="minorHAnsi"/>
          <w:sz w:val="22"/>
          <w:szCs w:val="22"/>
        </w:rPr>
        <w:t xml:space="preserve">contributed 0.5 percentage points to </w:t>
      </w:r>
      <w:r w:rsidR="00D31133">
        <w:rPr>
          <w:rFonts w:ascii="Palatino Linotype" w:hAnsi="Palatino Linotype" w:cstheme="minorHAnsi"/>
          <w:sz w:val="22"/>
          <w:szCs w:val="22"/>
        </w:rPr>
        <w:t xml:space="preserve">GDP </w:t>
      </w:r>
      <w:r w:rsidRPr="00C63F01">
        <w:rPr>
          <w:rFonts w:ascii="Palatino Linotype" w:hAnsi="Palatino Linotype" w:cstheme="minorHAnsi"/>
          <w:sz w:val="22"/>
          <w:szCs w:val="22"/>
        </w:rPr>
        <w:t>growth</w:t>
      </w:r>
      <w:r>
        <w:rPr>
          <w:rFonts w:ascii="Palatino Linotype" w:hAnsi="Palatino Linotype" w:cstheme="minorHAnsi"/>
          <w:sz w:val="22"/>
          <w:szCs w:val="22"/>
        </w:rPr>
        <w:t xml:space="preserve"> (Table 1)</w:t>
      </w:r>
      <w:r w:rsidR="00D80ACB">
        <w:rPr>
          <w:rFonts w:ascii="Palatino Linotype" w:hAnsi="Palatino Linotype" w:cstheme="minorHAnsi"/>
          <w:sz w:val="22"/>
          <w:szCs w:val="22"/>
        </w:rPr>
        <w:t>.</w:t>
      </w:r>
      <w:r w:rsidR="009D7A7A">
        <w:rPr>
          <w:rFonts w:ascii="Palatino Linotype" w:hAnsi="Palatino Linotype" w:cstheme="minorHAnsi"/>
          <w:sz w:val="22"/>
          <w:szCs w:val="22"/>
        </w:rPr>
        <w:t xml:space="preserve"> </w:t>
      </w:r>
      <w:r w:rsidRPr="00C63F01">
        <w:rPr>
          <w:rFonts w:ascii="Palatino Linotype" w:hAnsi="Palatino Linotype" w:cstheme="minorHAnsi"/>
          <w:sz w:val="22"/>
          <w:szCs w:val="22"/>
        </w:rPr>
        <w:t xml:space="preserve">The final consumption expenditures of the government, which increased by 5.8 percent in the last quarter of 2017, increased by 1.6 percent in the first quarter of 2018. Thus, </w:t>
      </w:r>
      <w:r w:rsidR="00D31133">
        <w:rPr>
          <w:rFonts w:ascii="Palatino Linotype" w:hAnsi="Palatino Linotype" w:cstheme="minorHAnsi"/>
          <w:sz w:val="22"/>
          <w:szCs w:val="22"/>
        </w:rPr>
        <w:t xml:space="preserve">the contribution of public expenditures is only </w:t>
      </w:r>
      <w:r w:rsidRPr="00C63F01">
        <w:rPr>
          <w:rFonts w:ascii="Palatino Linotype" w:hAnsi="Palatino Linotype" w:cstheme="minorHAnsi"/>
          <w:sz w:val="22"/>
          <w:szCs w:val="22"/>
        </w:rPr>
        <w:t>0.2 percent</w:t>
      </w:r>
      <w:r w:rsidR="00D31133">
        <w:rPr>
          <w:rFonts w:ascii="Palatino Linotype" w:hAnsi="Palatino Linotype" w:cstheme="minorHAnsi"/>
          <w:sz w:val="22"/>
          <w:szCs w:val="22"/>
        </w:rPr>
        <w:t xml:space="preserve">age points </w:t>
      </w:r>
      <w:r w:rsidR="004A78AD">
        <w:rPr>
          <w:rFonts w:ascii="Palatino Linotype" w:hAnsi="Palatino Linotype" w:cstheme="minorHAnsi"/>
          <w:sz w:val="22"/>
          <w:szCs w:val="22"/>
        </w:rPr>
        <w:t xml:space="preserve">in 2 percent </w:t>
      </w:r>
      <w:r w:rsidR="00D31133">
        <w:rPr>
          <w:rFonts w:ascii="Palatino Linotype" w:hAnsi="Palatino Linotype" w:cstheme="minorHAnsi"/>
          <w:sz w:val="22"/>
          <w:szCs w:val="22"/>
        </w:rPr>
        <w:t>quarter-on-quarter GDP growth</w:t>
      </w:r>
      <w:r w:rsidR="00390CFF">
        <w:rPr>
          <w:rFonts w:ascii="Palatino Linotype" w:hAnsi="Palatino Linotype" w:cstheme="minorHAnsi"/>
          <w:sz w:val="22"/>
          <w:szCs w:val="22"/>
        </w:rPr>
        <w:t>.</w:t>
      </w:r>
    </w:p>
    <w:p w14:paraId="785752FE" w14:textId="3CDE8C49" w:rsidR="00113E0A" w:rsidRPr="007D787D" w:rsidRDefault="00113E0A" w:rsidP="002F6884">
      <w:pPr>
        <w:pStyle w:val="NormalWeb"/>
        <w:spacing w:before="0" w:beforeAutospacing="0" w:after="0" w:afterAutospacing="0"/>
        <w:ind w:right="77"/>
        <w:rPr>
          <w:rFonts w:ascii="Palatino Linotype" w:hAnsi="Palatino Linotype" w:cstheme="minorHAnsi"/>
          <w:b/>
          <w:bCs/>
          <w:sz w:val="22"/>
          <w:szCs w:val="22"/>
        </w:rPr>
      </w:pPr>
      <w:r w:rsidRPr="007D787D">
        <w:rPr>
          <w:rFonts w:ascii="Palatino Linotype" w:hAnsi="Palatino Linotype" w:cstheme="minorHAnsi"/>
          <w:b/>
          <w:bCs/>
          <w:sz w:val="22"/>
          <w:szCs w:val="22"/>
        </w:rPr>
        <w:t>The Future of Growth</w:t>
      </w:r>
      <w:r w:rsidR="002F6884" w:rsidRPr="007D787D">
        <w:rPr>
          <w:rFonts w:ascii="Palatino Linotype" w:hAnsi="Palatino Linotype" w:cstheme="minorHAnsi"/>
          <w:b/>
          <w:bCs/>
          <w:sz w:val="22"/>
          <w:szCs w:val="22"/>
        </w:rPr>
        <w:br/>
      </w:r>
    </w:p>
    <w:p w14:paraId="36DD8215" w14:textId="4FB2A817" w:rsidR="00CC6BB9" w:rsidRPr="00CC6BB9" w:rsidRDefault="009052B6" w:rsidP="00A97679">
      <w:pPr>
        <w:pStyle w:val="NormalWeb"/>
        <w:spacing w:before="0" w:beforeAutospacing="0" w:after="0" w:afterAutospacing="0" w:line="360" w:lineRule="auto"/>
        <w:ind w:right="79"/>
        <w:jc w:val="both"/>
        <w:rPr>
          <w:rFonts w:ascii="Palatino Linotype" w:hAnsi="Palatino Linotype" w:cstheme="minorHAnsi"/>
          <w:bCs/>
          <w:sz w:val="22"/>
          <w:szCs w:val="22"/>
        </w:rPr>
      </w:pPr>
      <w:r>
        <w:rPr>
          <w:rFonts w:ascii="Palatino Linotype" w:hAnsi="Palatino Linotype" w:cstheme="minorHAnsi"/>
          <w:bCs/>
          <w:sz w:val="22"/>
          <w:szCs w:val="22"/>
        </w:rPr>
        <w:t>The</w:t>
      </w:r>
      <w:r w:rsidR="00390CFF">
        <w:rPr>
          <w:rFonts w:ascii="Palatino Linotype" w:hAnsi="Palatino Linotype" w:cstheme="minorHAnsi"/>
          <w:bCs/>
          <w:sz w:val="22"/>
          <w:szCs w:val="22"/>
        </w:rPr>
        <w:t xml:space="preserve"> economic growth </w:t>
      </w:r>
      <w:r>
        <w:rPr>
          <w:rFonts w:ascii="Palatino Linotype" w:hAnsi="Palatino Linotype" w:cstheme="minorHAnsi"/>
          <w:bCs/>
          <w:sz w:val="22"/>
          <w:szCs w:val="22"/>
        </w:rPr>
        <w:t xml:space="preserve">in the first quarter of 2018 </w:t>
      </w:r>
      <w:r w:rsidR="00390CFF" w:rsidRPr="00390CFF">
        <w:rPr>
          <w:rFonts w:ascii="Palatino Linotype" w:hAnsi="Palatino Linotype" w:cstheme="minorHAnsi"/>
          <w:bCs/>
          <w:sz w:val="22"/>
          <w:szCs w:val="22"/>
        </w:rPr>
        <w:t xml:space="preserve">was </w:t>
      </w:r>
      <w:r>
        <w:rPr>
          <w:rFonts w:ascii="Palatino Linotype" w:hAnsi="Palatino Linotype" w:cstheme="minorHAnsi"/>
          <w:bCs/>
          <w:sz w:val="22"/>
          <w:szCs w:val="22"/>
        </w:rPr>
        <w:t xml:space="preserve">similar </w:t>
      </w:r>
      <w:r w:rsidR="00390CFF" w:rsidRPr="00390CFF">
        <w:rPr>
          <w:rFonts w:ascii="Palatino Linotype" w:hAnsi="Palatino Linotype" w:cstheme="minorHAnsi"/>
          <w:bCs/>
          <w:sz w:val="22"/>
          <w:szCs w:val="22"/>
        </w:rPr>
        <w:t xml:space="preserve">the growth of 2017 in terms of </w:t>
      </w:r>
      <w:r>
        <w:rPr>
          <w:rFonts w:ascii="Palatino Linotype" w:hAnsi="Palatino Linotype" w:cstheme="minorHAnsi"/>
          <w:bCs/>
          <w:sz w:val="22"/>
          <w:szCs w:val="22"/>
        </w:rPr>
        <w:t>its drivers</w:t>
      </w:r>
      <w:r w:rsidR="00390CFF" w:rsidRPr="00390CFF">
        <w:rPr>
          <w:rFonts w:ascii="Palatino Linotype" w:hAnsi="Palatino Linotype" w:cstheme="minorHAnsi"/>
          <w:bCs/>
          <w:sz w:val="22"/>
          <w:szCs w:val="22"/>
        </w:rPr>
        <w:t>.</w:t>
      </w:r>
      <w:r w:rsidR="00390CFF">
        <w:rPr>
          <w:rFonts w:ascii="Palatino Linotype" w:hAnsi="Palatino Linotype" w:cstheme="minorHAnsi"/>
          <w:bCs/>
          <w:sz w:val="22"/>
          <w:szCs w:val="22"/>
        </w:rPr>
        <w:t xml:space="preserve"> While this domestic-demand-driven economic growth expanded the current deficit, t</w:t>
      </w:r>
      <w:r w:rsidR="00390CFF" w:rsidRPr="00390CFF">
        <w:rPr>
          <w:rFonts w:ascii="Palatino Linotype" w:hAnsi="Palatino Linotype" w:cstheme="minorHAnsi"/>
          <w:bCs/>
          <w:sz w:val="22"/>
          <w:szCs w:val="22"/>
        </w:rPr>
        <w:t>he rising exchange rate and inflation brought about the "overheating" debate</w:t>
      </w:r>
      <w:r w:rsidR="00390CFF">
        <w:rPr>
          <w:rFonts w:ascii="Palatino Linotype" w:hAnsi="Palatino Linotype" w:cstheme="minorHAnsi"/>
          <w:bCs/>
          <w:sz w:val="22"/>
          <w:szCs w:val="22"/>
        </w:rPr>
        <w:t xml:space="preserve">. Early election </w:t>
      </w:r>
      <w:r w:rsidR="002B7001">
        <w:rPr>
          <w:rFonts w:ascii="Palatino Linotype" w:hAnsi="Palatino Linotype" w:cstheme="minorHAnsi"/>
          <w:bCs/>
          <w:sz w:val="22"/>
          <w:szCs w:val="22"/>
        </w:rPr>
        <w:t>declared in April and then the iss</w:t>
      </w:r>
      <w:bookmarkStart w:id="1" w:name="_GoBack"/>
      <w:bookmarkEnd w:id="1"/>
      <w:r w:rsidR="002B7001">
        <w:rPr>
          <w:rFonts w:ascii="Palatino Linotype" w:hAnsi="Palatino Linotype" w:cstheme="minorHAnsi"/>
          <w:bCs/>
          <w:sz w:val="22"/>
          <w:szCs w:val="22"/>
        </w:rPr>
        <w:t xml:space="preserve">ues in May which is not the subject of this research brief brought Turkey a different conjuncture.  </w:t>
      </w:r>
      <w:proofErr w:type="gramStart"/>
      <w:r w:rsidR="002B7001" w:rsidRPr="002B7001">
        <w:rPr>
          <w:rFonts w:ascii="Palatino Linotype" w:hAnsi="Palatino Linotype" w:cstheme="minorHAnsi"/>
          <w:bCs/>
          <w:sz w:val="22"/>
          <w:szCs w:val="22"/>
        </w:rPr>
        <w:t>In order to</w:t>
      </w:r>
      <w:proofErr w:type="gramEnd"/>
      <w:r w:rsidR="002B7001" w:rsidRPr="002B7001">
        <w:rPr>
          <w:rFonts w:ascii="Palatino Linotype" w:hAnsi="Palatino Linotype" w:cstheme="minorHAnsi"/>
          <w:bCs/>
          <w:sz w:val="22"/>
          <w:szCs w:val="22"/>
        </w:rPr>
        <w:t xml:space="preserve"> control the rapid depreciation of the Turkish lira, the </w:t>
      </w:r>
      <w:r w:rsidR="002B7001">
        <w:rPr>
          <w:rFonts w:ascii="Palatino Linotype" w:hAnsi="Palatino Linotype" w:cstheme="minorHAnsi"/>
          <w:bCs/>
          <w:sz w:val="22"/>
          <w:szCs w:val="22"/>
        </w:rPr>
        <w:t>Central Bank of Turkey</w:t>
      </w:r>
      <w:r w:rsidR="002B7001" w:rsidRPr="002B7001">
        <w:rPr>
          <w:rFonts w:ascii="Palatino Linotype" w:hAnsi="Palatino Linotype" w:cstheme="minorHAnsi"/>
          <w:bCs/>
          <w:sz w:val="22"/>
          <w:szCs w:val="22"/>
        </w:rPr>
        <w:t xml:space="preserve"> increased the </w:t>
      </w:r>
      <w:r w:rsidR="007E4E9F">
        <w:rPr>
          <w:rFonts w:ascii="Palatino Linotype" w:hAnsi="Palatino Linotype" w:cstheme="minorHAnsi"/>
          <w:bCs/>
          <w:sz w:val="22"/>
          <w:szCs w:val="22"/>
        </w:rPr>
        <w:t xml:space="preserve">policy interest rate by 425 basis points to 17.75 percent. </w:t>
      </w:r>
      <w:r w:rsidR="00BE4B3B">
        <w:rPr>
          <w:rFonts w:ascii="Palatino Linotype" w:hAnsi="Palatino Linotype" w:cstheme="minorHAnsi"/>
          <w:bCs/>
          <w:sz w:val="22"/>
          <w:szCs w:val="22"/>
        </w:rPr>
        <w:t xml:space="preserve">This jumping </w:t>
      </w:r>
      <w:r w:rsidR="00957020">
        <w:rPr>
          <w:rFonts w:ascii="Palatino Linotype" w:hAnsi="Palatino Linotype" w:cstheme="minorHAnsi"/>
          <w:bCs/>
          <w:sz w:val="22"/>
          <w:szCs w:val="22"/>
        </w:rPr>
        <w:t xml:space="preserve">has not only hiked up deposit interest rates but also sizably increased loan interest </w:t>
      </w:r>
      <w:r w:rsidR="00957020" w:rsidRPr="009052B6">
        <w:rPr>
          <w:rFonts w:ascii="Palatino Linotype" w:hAnsi="Palatino Linotype" w:cstheme="minorHAnsi"/>
          <w:bCs/>
          <w:sz w:val="22"/>
          <w:szCs w:val="22"/>
        </w:rPr>
        <w:t xml:space="preserve">rates. The debate over </w:t>
      </w:r>
      <w:r w:rsidRPr="009052B6">
        <w:rPr>
          <w:rFonts w:ascii="Palatino Linotype" w:hAnsi="Palatino Linotype" w:cstheme="minorHAnsi"/>
          <w:bCs/>
          <w:sz w:val="22"/>
          <w:szCs w:val="22"/>
        </w:rPr>
        <w:t xml:space="preserve">“stagnation” </w:t>
      </w:r>
      <w:r w:rsidR="00957020" w:rsidRPr="009052B6">
        <w:rPr>
          <w:rFonts w:ascii="Palatino Linotype" w:hAnsi="Palatino Linotype" w:cstheme="minorHAnsi"/>
          <w:bCs/>
          <w:sz w:val="22"/>
          <w:szCs w:val="22"/>
        </w:rPr>
        <w:t xml:space="preserve">gave place to the debate </w:t>
      </w:r>
      <w:r w:rsidRPr="009052B6">
        <w:rPr>
          <w:rFonts w:ascii="Palatino Linotype" w:hAnsi="Palatino Linotype" w:cstheme="minorHAnsi"/>
          <w:bCs/>
          <w:sz w:val="22"/>
          <w:szCs w:val="22"/>
        </w:rPr>
        <w:t xml:space="preserve">over </w:t>
      </w:r>
      <w:r w:rsidRPr="009052B6">
        <w:rPr>
          <w:rFonts w:ascii="Palatino Linotype" w:hAnsi="Palatino Linotype" w:cstheme="minorHAnsi"/>
          <w:bCs/>
          <w:sz w:val="22"/>
          <w:szCs w:val="22"/>
        </w:rPr>
        <w:t>“overheating”</w:t>
      </w:r>
      <w:r w:rsidRPr="009052B6">
        <w:rPr>
          <w:rFonts w:ascii="Palatino Linotype" w:hAnsi="Palatino Linotype" w:cstheme="minorHAnsi"/>
          <w:bCs/>
          <w:sz w:val="22"/>
          <w:szCs w:val="22"/>
        </w:rPr>
        <w:t xml:space="preserve"> </w:t>
      </w:r>
      <w:proofErr w:type="gramStart"/>
      <w:r w:rsidRPr="009052B6">
        <w:rPr>
          <w:rFonts w:ascii="Palatino Linotype" w:hAnsi="Palatino Linotype" w:cstheme="minorHAnsi"/>
          <w:bCs/>
          <w:sz w:val="22"/>
          <w:szCs w:val="22"/>
        </w:rPr>
        <w:t>assuming that</w:t>
      </w:r>
      <w:proofErr w:type="gramEnd"/>
      <w:r w:rsidRPr="009052B6">
        <w:rPr>
          <w:rFonts w:ascii="Palatino Linotype" w:hAnsi="Palatino Linotype" w:cstheme="minorHAnsi"/>
          <w:bCs/>
          <w:sz w:val="22"/>
          <w:szCs w:val="22"/>
        </w:rPr>
        <w:t xml:space="preserve"> </w:t>
      </w:r>
      <w:r w:rsidR="00957020" w:rsidRPr="009052B6">
        <w:rPr>
          <w:rFonts w:ascii="Palatino Linotype" w:hAnsi="Palatino Linotype" w:cstheme="minorHAnsi"/>
          <w:bCs/>
          <w:sz w:val="22"/>
          <w:szCs w:val="22"/>
        </w:rPr>
        <w:t>the exchange rate will not return to its April level, inflation will continue to rise, and the economy will inevitably go into a period of stagnation.</w:t>
      </w:r>
      <w:r w:rsidR="00855D64" w:rsidRPr="009052B6">
        <w:rPr>
          <w:rFonts w:ascii="Palatino Linotype" w:hAnsi="Palatino Linotype" w:cstheme="minorHAnsi"/>
          <w:bCs/>
          <w:sz w:val="22"/>
          <w:szCs w:val="22"/>
        </w:rPr>
        <w:t xml:space="preserve"> Since the ne</w:t>
      </w:r>
      <w:r w:rsidR="00855D64" w:rsidRPr="00855D64">
        <w:rPr>
          <w:rFonts w:ascii="Palatino Linotype" w:hAnsi="Palatino Linotype" w:cstheme="minorHAnsi"/>
          <w:bCs/>
          <w:sz w:val="22"/>
          <w:szCs w:val="22"/>
        </w:rPr>
        <w:t>w economic conjuncture will have a delayed effect on economic growth leading indicators</w:t>
      </w:r>
      <w:r w:rsidR="00855D64">
        <w:rPr>
          <w:rFonts w:ascii="Palatino Linotype" w:hAnsi="Palatino Linotype" w:cstheme="minorHAnsi"/>
          <w:bCs/>
          <w:sz w:val="22"/>
          <w:szCs w:val="22"/>
        </w:rPr>
        <w:t xml:space="preserve">, </w:t>
      </w:r>
      <w:r w:rsidR="00855D64" w:rsidRPr="00855D64">
        <w:rPr>
          <w:rFonts w:ascii="Palatino Linotype" w:hAnsi="Palatino Linotype" w:cstheme="minorHAnsi"/>
          <w:bCs/>
          <w:sz w:val="22"/>
          <w:szCs w:val="22"/>
        </w:rPr>
        <w:t xml:space="preserve">we do not expect these effects to be seen in </w:t>
      </w:r>
      <w:r w:rsidR="00855D64">
        <w:rPr>
          <w:rFonts w:ascii="Palatino Linotype" w:hAnsi="Palatino Linotype" w:cstheme="minorHAnsi"/>
          <w:bCs/>
          <w:sz w:val="22"/>
          <w:szCs w:val="22"/>
        </w:rPr>
        <w:t>our</w:t>
      </w:r>
      <w:r w:rsidR="00855D64" w:rsidRPr="00855D64">
        <w:rPr>
          <w:rFonts w:ascii="Palatino Linotype" w:hAnsi="Palatino Linotype" w:cstheme="minorHAnsi"/>
          <w:bCs/>
          <w:sz w:val="22"/>
          <w:szCs w:val="22"/>
        </w:rPr>
        <w:t xml:space="preserve"> first growth </w:t>
      </w:r>
      <w:r w:rsidR="00855D64" w:rsidRPr="00855D64">
        <w:rPr>
          <w:rFonts w:ascii="Palatino Linotype" w:hAnsi="Palatino Linotype" w:cstheme="minorHAnsi"/>
          <w:bCs/>
          <w:sz w:val="22"/>
          <w:szCs w:val="22"/>
        </w:rPr>
        <w:lastRenderedPageBreak/>
        <w:t>forecast for the second quarter</w:t>
      </w:r>
      <w:r w:rsidR="00855D64">
        <w:rPr>
          <w:rFonts w:ascii="Palatino Linotype" w:hAnsi="Palatino Linotype" w:cstheme="minorHAnsi"/>
          <w:bCs/>
          <w:sz w:val="22"/>
          <w:szCs w:val="22"/>
        </w:rPr>
        <w:t xml:space="preserve"> which will be mostly based on April and May data. On the other hand, we expect the first signs of recession will be apparent in the following forecasts, mainly in the forecasts for third quarter.</w:t>
      </w:r>
    </w:p>
    <w:p w14:paraId="668D9A1C" w14:textId="7131BE8B" w:rsidR="00620CE3" w:rsidRDefault="00620CE3" w:rsidP="002F6884">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Pr>
          <w:rFonts w:ascii="Palatino Linotype" w:hAnsi="Palatino Linotype" w:cstheme="minorHAnsi"/>
          <w:b/>
          <w:bCs/>
          <w:sz w:val="22"/>
          <w:szCs w:val="22"/>
        </w:rPr>
        <w:t>Figure</w:t>
      </w:r>
      <w:r w:rsidRPr="00924CD9">
        <w:rPr>
          <w:rFonts w:ascii="Palatino Linotype" w:hAnsi="Palatino Linotype" w:cstheme="minorHAnsi"/>
          <w:b/>
          <w:bCs/>
          <w:sz w:val="22"/>
          <w:szCs w:val="22"/>
        </w:rPr>
        <w:t xml:space="preserve"> 2: </w:t>
      </w:r>
      <w:r w:rsidRPr="00321431">
        <w:rPr>
          <w:rFonts w:ascii="Palatino Linotype" w:hAnsi="Palatino Linotype" w:cstheme="minorHAnsi"/>
          <w:b/>
          <w:bCs/>
          <w:sz w:val="22"/>
          <w:szCs w:val="22"/>
        </w:rPr>
        <w:t>GDP growth rates compared to the previous quarter and same quarter of last year</w:t>
      </w:r>
    </w:p>
    <w:p w14:paraId="615E09C6" w14:textId="2504CF2B" w:rsidR="00620CE3" w:rsidRDefault="00313197" w:rsidP="00620CE3">
      <w:pPr>
        <w:pStyle w:val="NormalWeb"/>
        <w:keepNext/>
        <w:spacing w:before="0" w:beforeAutospacing="0" w:after="0" w:afterAutospacing="0" w:line="360" w:lineRule="auto"/>
        <w:ind w:right="77"/>
        <w:jc w:val="both"/>
        <w:rPr>
          <w:rFonts w:ascii="Palatino Linotype" w:hAnsi="Palatino Linotype" w:cstheme="minorHAnsi"/>
          <w:b/>
          <w:bCs/>
          <w:sz w:val="22"/>
          <w:szCs w:val="22"/>
        </w:rPr>
      </w:pPr>
      <w:r>
        <w:rPr>
          <w:noProof/>
        </w:rPr>
        <w:drawing>
          <wp:inline distT="0" distB="0" distL="0" distR="0" wp14:anchorId="448C7505" wp14:editId="747F068A">
            <wp:extent cx="5760720" cy="3622040"/>
            <wp:effectExtent l="0" t="0" r="11430" b="16510"/>
            <wp:docPr id="8" name="Grafik 8">
              <a:extLst xmlns:a="http://schemas.openxmlformats.org/drawingml/2006/main">
                <a:ext uri="{FF2B5EF4-FFF2-40B4-BE49-F238E27FC236}">
                  <a16:creationId xmlns:a16="http://schemas.microsoft.com/office/drawing/2014/main" id="{C399609D-B886-4796-8F53-781F5F6DBD3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FA9D674" w14:textId="77777777" w:rsidR="00620CE3" w:rsidRDefault="00620CE3" w:rsidP="00620CE3">
      <w:pPr>
        <w:keepNext/>
        <w:rPr>
          <w:rFonts w:ascii="Palatino Linotype" w:hAnsi="Palatino Linotype" w:cstheme="minorHAnsi"/>
          <w:sz w:val="18"/>
          <w:szCs w:val="18"/>
        </w:rPr>
      </w:pPr>
      <w:r w:rsidRPr="00321431">
        <w:rPr>
          <w:rFonts w:ascii="Palatino Linotype" w:hAnsi="Palatino Linotype" w:cstheme="minorHAnsi"/>
          <w:b/>
          <w:sz w:val="18"/>
          <w:szCs w:val="18"/>
        </w:rPr>
        <w:t>Source:</w:t>
      </w:r>
      <w:r w:rsidRPr="003E1EED">
        <w:rPr>
          <w:rFonts w:ascii="Palatino Linotype" w:hAnsi="Palatino Linotype" w:cstheme="minorHAnsi"/>
          <w:sz w:val="18"/>
          <w:szCs w:val="18"/>
        </w:rPr>
        <w:t xml:space="preserve"> </w:t>
      </w:r>
      <w:proofErr w:type="spellStart"/>
      <w:r>
        <w:rPr>
          <w:rFonts w:ascii="Palatino Linotype" w:hAnsi="Palatino Linotype" w:cstheme="minorHAnsi"/>
          <w:sz w:val="18"/>
          <w:szCs w:val="18"/>
        </w:rPr>
        <w:t>TurkStat</w:t>
      </w:r>
      <w:proofErr w:type="spellEnd"/>
      <w:r w:rsidRPr="003E1EED">
        <w:rPr>
          <w:rFonts w:ascii="Palatino Linotype" w:hAnsi="Palatino Linotype" w:cstheme="minorHAnsi"/>
          <w:sz w:val="18"/>
          <w:szCs w:val="18"/>
        </w:rPr>
        <w:t xml:space="preserve">, </w:t>
      </w:r>
      <w:proofErr w:type="spellStart"/>
      <w:r w:rsidRPr="003E1EED">
        <w:rPr>
          <w:rFonts w:ascii="Palatino Linotype" w:hAnsi="Palatino Linotype" w:cstheme="minorHAnsi"/>
          <w:sz w:val="18"/>
          <w:szCs w:val="18"/>
        </w:rPr>
        <w:t>Betam</w:t>
      </w:r>
      <w:proofErr w:type="spellEnd"/>
      <w:r w:rsidRPr="003E1EED">
        <w:rPr>
          <w:rFonts w:ascii="Palatino Linotype" w:hAnsi="Palatino Linotype" w:cstheme="minorHAnsi"/>
          <w:sz w:val="18"/>
          <w:szCs w:val="18"/>
        </w:rPr>
        <w:t xml:space="preserve">. </w:t>
      </w:r>
    </w:p>
    <w:p w14:paraId="40E43404" w14:textId="4D6CEB59" w:rsidR="00113E0A" w:rsidRPr="00113E0A" w:rsidRDefault="00113E0A" w:rsidP="00113E0A">
      <w:pPr>
        <w:pStyle w:val="NormalWeb"/>
        <w:spacing w:before="0" w:beforeAutospacing="0" w:after="0" w:afterAutospacing="0" w:line="360" w:lineRule="auto"/>
        <w:ind w:right="77"/>
        <w:rPr>
          <w:rFonts w:ascii="Palatino Linotype" w:hAnsi="Palatino Linotype" w:cstheme="minorHAnsi"/>
          <w:bCs/>
          <w:sz w:val="22"/>
          <w:szCs w:val="22"/>
        </w:rPr>
      </w:pPr>
    </w:p>
    <w:p w14:paraId="76A5DAFB" w14:textId="77777777" w:rsidR="00E41840" w:rsidRPr="00924CD9" w:rsidRDefault="00E41840" w:rsidP="00E41840">
      <w:pPr>
        <w:keepNext/>
        <w:rPr>
          <w:rFonts w:ascii="Palatino Linotype" w:hAnsi="Palatino Linotype" w:cstheme="minorHAnsi"/>
        </w:rPr>
      </w:pPr>
    </w:p>
    <w:p w14:paraId="3CA6E0CA" w14:textId="5ABD5BA7" w:rsidR="00681AD9" w:rsidRPr="00924CD9" w:rsidRDefault="00681AD9" w:rsidP="00E85F3F">
      <w:pPr>
        <w:keepNext/>
        <w:rPr>
          <w:rFonts w:ascii="Palatino Linotype" w:hAnsi="Palatino Linotype" w:cstheme="minorHAnsi"/>
        </w:rPr>
      </w:pPr>
    </w:p>
    <w:sectPr w:rsidR="00681AD9" w:rsidRPr="00924CD9" w:rsidSect="00963B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D53F7E" w14:textId="77777777" w:rsidR="00172B2C" w:rsidRDefault="00172B2C" w:rsidP="00DA0C5D">
      <w:r>
        <w:separator/>
      </w:r>
    </w:p>
  </w:endnote>
  <w:endnote w:type="continuationSeparator" w:id="0">
    <w:p w14:paraId="067BFFF3" w14:textId="77777777" w:rsidR="00172B2C" w:rsidRDefault="00172B2C"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0E980" w14:textId="77777777" w:rsidR="00172B2C" w:rsidRDefault="00172B2C" w:rsidP="00DA0C5D">
      <w:r>
        <w:separator/>
      </w:r>
    </w:p>
  </w:footnote>
  <w:footnote w:type="continuationSeparator" w:id="0">
    <w:p w14:paraId="1C5FB792" w14:textId="77777777" w:rsidR="00172B2C" w:rsidRDefault="00172B2C" w:rsidP="00DA0C5D">
      <w:r>
        <w:continuationSeparator/>
      </w:r>
    </w:p>
  </w:footnote>
  <w:footnote w:id="1">
    <w:p w14:paraId="6937C661" w14:textId="77777777" w:rsidR="003172DB" w:rsidRDefault="003172DB" w:rsidP="003172DB">
      <w:pPr>
        <w:pStyle w:val="FootnoteText"/>
      </w:pPr>
      <w:r>
        <w:rPr>
          <w:rStyle w:val="FootnoteReference"/>
        </w:rPr>
        <w:footnoteRef/>
      </w:r>
      <w:r>
        <w:t xml:space="preserve"> </w:t>
      </w:r>
      <w:proofErr w:type="spellStart"/>
      <w:r>
        <w:t>Betam</w:t>
      </w:r>
      <w:proofErr w:type="spellEnd"/>
      <w:r>
        <w:t>, Dire</w:t>
      </w:r>
      <w:r w:rsidR="003E0902">
        <w:t>ctor</w:t>
      </w:r>
      <w:r>
        <w:t>, seyfettin.gursel@eas.bahcesehir.edu.tr</w:t>
      </w:r>
    </w:p>
  </w:footnote>
  <w:footnote w:id="2">
    <w:p w14:paraId="1BC25AAC" w14:textId="77777777" w:rsidR="00C32789" w:rsidRDefault="00C32789">
      <w:pPr>
        <w:pStyle w:val="FootnoteText"/>
      </w:pPr>
      <w:r>
        <w:rPr>
          <w:rStyle w:val="FootnoteReference"/>
        </w:rPr>
        <w:footnoteRef/>
      </w:r>
      <w:r w:rsidR="001537D8">
        <w:t xml:space="preserve"> </w:t>
      </w:r>
      <w:proofErr w:type="spellStart"/>
      <w:r>
        <w:t>Betam</w:t>
      </w:r>
      <w:proofErr w:type="spellEnd"/>
      <w:r>
        <w:t>, ozan.bakis@eas.bau.edu.tr</w:t>
      </w:r>
    </w:p>
  </w:footnote>
  <w:footnote w:id="3">
    <w:p w14:paraId="0A1D2D63" w14:textId="77777777" w:rsidR="001537D8" w:rsidRDefault="001537D8" w:rsidP="001537D8">
      <w:pPr>
        <w:pStyle w:val="FootnoteText"/>
      </w:pPr>
      <w:r>
        <w:rPr>
          <w:rStyle w:val="FootnoteReference"/>
        </w:rPr>
        <w:footnoteRef/>
      </w:r>
      <w:r>
        <w:t xml:space="preserve"> </w:t>
      </w:r>
      <w:proofErr w:type="spellStart"/>
      <w:r>
        <w:t>Betam</w:t>
      </w:r>
      <w:proofErr w:type="spellEnd"/>
      <w:r>
        <w:t xml:space="preserve">, ugurcan.acar@eas.bau.edu.tr </w:t>
      </w:r>
    </w:p>
  </w:footnote>
  <w:footnote w:id="4">
    <w:p w14:paraId="7B736CC5" w14:textId="77777777" w:rsidR="00781312" w:rsidRPr="00D31197" w:rsidRDefault="00781312" w:rsidP="00AF4BB7">
      <w:pPr>
        <w:pStyle w:val="NormalWeb"/>
        <w:ind w:right="79"/>
        <w:jc w:val="both"/>
        <w:rPr>
          <w:rFonts w:ascii="Palatino Linotype" w:hAnsi="Palatino Linotype" w:cstheme="minorHAnsi"/>
          <w:sz w:val="22"/>
          <w:szCs w:val="22"/>
        </w:rPr>
      </w:pPr>
      <w:r w:rsidRPr="00781312">
        <w:rPr>
          <w:sz w:val="20"/>
          <w:szCs w:val="20"/>
          <w:lang w:val="tr-TR"/>
        </w:rPr>
        <w:footnoteRef/>
      </w:r>
      <w:r w:rsidRPr="00781312">
        <w:rPr>
          <w:sz w:val="20"/>
          <w:szCs w:val="20"/>
          <w:lang w:val="tr-TR"/>
        </w:rPr>
        <w:t xml:space="preserve"> </w:t>
      </w:r>
      <w:proofErr w:type="spellStart"/>
      <w:r w:rsidRPr="00AF4BB7">
        <w:rPr>
          <w:rFonts w:ascii="Palatino Linotype" w:hAnsi="Palatino Linotype"/>
          <w:sz w:val="20"/>
          <w:szCs w:val="20"/>
        </w:rPr>
        <w:t>TurkStat</w:t>
      </w:r>
      <w:proofErr w:type="spellEnd"/>
      <w:r w:rsidRPr="00AF4BB7">
        <w:rPr>
          <w:rFonts w:ascii="Palatino Linotype" w:hAnsi="Palatino Linotype"/>
          <w:sz w:val="20"/>
          <w:szCs w:val="20"/>
        </w:rPr>
        <w:t xml:space="preserve"> uses the chained volume index method when calculating new national income series. The contribution to growth of the stock change cannot be easily calculated because there is an additivity problem in the chain method and a chain index cannot be derived for the "changes in stock". We discussed in detail in the research note that we recently published how to account for the contribution of stock change to growth in the chain-volume index approach (see </w:t>
      </w:r>
      <w:proofErr w:type="spellStart"/>
      <w:r w:rsidRPr="00AF4BB7">
        <w:rPr>
          <w:rFonts w:ascii="Palatino Linotype" w:hAnsi="Palatino Linotype"/>
          <w:sz w:val="20"/>
          <w:szCs w:val="20"/>
        </w:rPr>
        <w:t>Betam</w:t>
      </w:r>
      <w:proofErr w:type="spellEnd"/>
      <w:r w:rsidRPr="00AF4BB7">
        <w:rPr>
          <w:rFonts w:ascii="Palatino Linotype" w:hAnsi="Palatino Linotype"/>
          <w:sz w:val="20"/>
          <w:szCs w:val="20"/>
        </w:rPr>
        <w:t xml:space="preserve"> Research Note 17/217).</w:t>
      </w:r>
    </w:p>
    <w:p w14:paraId="3A49B442" w14:textId="4D16B6E6" w:rsidR="00781312" w:rsidRPr="00781312" w:rsidRDefault="00781312">
      <w:pPr>
        <w:pStyle w:val="FootnoteText"/>
        <w:rPr>
          <w:lang w:val="tr-T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713"/>
    <w:rsid w:val="00002F9A"/>
    <w:rsid w:val="00004F33"/>
    <w:rsid w:val="000119F9"/>
    <w:rsid w:val="00041E8F"/>
    <w:rsid w:val="00041FB7"/>
    <w:rsid w:val="00054943"/>
    <w:rsid w:val="00055EA1"/>
    <w:rsid w:val="000652B6"/>
    <w:rsid w:val="00070F11"/>
    <w:rsid w:val="00096CDA"/>
    <w:rsid w:val="000978C8"/>
    <w:rsid w:val="000A612E"/>
    <w:rsid w:val="000B2D39"/>
    <w:rsid w:val="000C634D"/>
    <w:rsid w:val="000D0913"/>
    <w:rsid w:val="000D5FD3"/>
    <w:rsid w:val="000D63E2"/>
    <w:rsid w:val="000F2654"/>
    <w:rsid w:val="001077D8"/>
    <w:rsid w:val="0011258F"/>
    <w:rsid w:val="00113E0A"/>
    <w:rsid w:val="0012527F"/>
    <w:rsid w:val="00140468"/>
    <w:rsid w:val="00140A01"/>
    <w:rsid w:val="0014542A"/>
    <w:rsid w:val="0015026C"/>
    <w:rsid w:val="001537D8"/>
    <w:rsid w:val="001609DE"/>
    <w:rsid w:val="00172B2C"/>
    <w:rsid w:val="001B3A44"/>
    <w:rsid w:val="001C2C68"/>
    <w:rsid w:val="001C65BF"/>
    <w:rsid w:val="001D5B02"/>
    <w:rsid w:val="001D5B0E"/>
    <w:rsid w:val="001D6465"/>
    <w:rsid w:val="001F7B1D"/>
    <w:rsid w:val="001F7BC7"/>
    <w:rsid w:val="002106DF"/>
    <w:rsid w:val="00212579"/>
    <w:rsid w:val="00214914"/>
    <w:rsid w:val="00223A5B"/>
    <w:rsid w:val="0022673E"/>
    <w:rsid w:val="00227A08"/>
    <w:rsid w:val="00236056"/>
    <w:rsid w:val="00247739"/>
    <w:rsid w:val="00266308"/>
    <w:rsid w:val="00275745"/>
    <w:rsid w:val="00282242"/>
    <w:rsid w:val="0028498B"/>
    <w:rsid w:val="002945D6"/>
    <w:rsid w:val="00294F61"/>
    <w:rsid w:val="0029624E"/>
    <w:rsid w:val="002A07A9"/>
    <w:rsid w:val="002A7673"/>
    <w:rsid w:val="002B0C37"/>
    <w:rsid w:val="002B7001"/>
    <w:rsid w:val="002C5BE5"/>
    <w:rsid w:val="002C5C24"/>
    <w:rsid w:val="002D3A48"/>
    <w:rsid w:val="002D5820"/>
    <w:rsid w:val="002F6884"/>
    <w:rsid w:val="00307B16"/>
    <w:rsid w:val="00313197"/>
    <w:rsid w:val="003172DB"/>
    <w:rsid w:val="00317618"/>
    <w:rsid w:val="00321431"/>
    <w:rsid w:val="00334E27"/>
    <w:rsid w:val="00344A74"/>
    <w:rsid w:val="003566E5"/>
    <w:rsid w:val="003654F6"/>
    <w:rsid w:val="00365DAB"/>
    <w:rsid w:val="00390CFF"/>
    <w:rsid w:val="003967B5"/>
    <w:rsid w:val="00397D3C"/>
    <w:rsid w:val="003A0146"/>
    <w:rsid w:val="003A42E6"/>
    <w:rsid w:val="003A488B"/>
    <w:rsid w:val="003C2891"/>
    <w:rsid w:val="003C39AF"/>
    <w:rsid w:val="003D44CE"/>
    <w:rsid w:val="003E0902"/>
    <w:rsid w:val="003E1EED"/>
    <w:rsid w:val="003E4D3E"/>
    <w:rsid w:val="003E5A3D"/>
    <w:rsid w:val="003F6ED6"/>
    <w:rsid w:val="004124E0"/>
    <w:rsid w:val="00414150"/>
    <w:rsid w:val="0042790B"/>
    <w:rsid w:val="00431C38"/>
    <w:rsid w:val="00433A75"/>
    <w:rsid w:val="0043726B"/>
    <w:rsid w:val="0044231D"/>
    <w:rsid w:val="00451A8A"/>
    <w:rsid w:val="00453999"/>
    <w:rsid w:val="00475688"/>
    <w:rsid w:val="00483EC5"/>
    <w:rsid w:val="00490E51"/>
    <w:rsid w:val="004931A5"/>
    <w:rsid w:val="004A78AD"/>
    <w:rsid w:val="004F0543"/>
    <w:rsid w:val="00510883"/>
    <w:rsid w:val="00521FA6"/>
    <w:rsid w:val="0053582F"/>
    <w:rsid w:val="0053586E"/>
    <w:rsid w:val="0054145E"/>
    <w:rsid w:val="00563C88"/>
    <w:rsid w:val="00582521"/>
    <w:rsid w:val="005828CE"/>
    <w:rsid w:val="00586707"/>
    <w:rsid w:val="005912A1"/>
    <w:rsid w:val="0059780D"/>
    <w:rsid w:val="005C6542"/>
    <w:rsid w:val="005D255A"/>
    <w:rsid w:val="005D37CE"/>
    <w:rsid w:val="00620CE3"/>
    <w:rsid w:val="00625B95"/>
    <w:rsid w:val="00630CA0"/>
    <w:rsid w:val="0064012D"/>
    <w:rsid w:val="00643113"/>
    <w:rsid w:val="006439C5"/>
    <w:rsid w:val="00647318"/>
    <w:rsid w:val="006549E3"/>
    <w:rsid w:val="006703B7"/>
    <w:rsid w:val="00681022"/>
    <w:rsid w:val="00681AD9"/>
    <w:rsid w:val="00683311"/>
    <w:rsid w:val="00694F52"/>
    <w:rsid w:val="006B13E3"/>
    <w:rsid w:val="006C3EE6"/>
    <w:rsid w:val="006D0B7D"/>
    <w:rsid w:val="006D1DD6"/>
    <w:rsid w:val="006D32A0"/>
    <w:rsid w:val="00711A8A"/>
    <w:rsid w:val="00724E7C"/>
    <w:rsid w:val="00731AF8"/>
    <w:rsid w:val="00773D8B"/>
    <w:rsid w:val="00781312"/>
    <w:rsid w:val="00783CD4"/>
    <w:rsid w:val="00791FA7"/>
    <w:rsid w:val="00794982"/>
    <w:rsid w:val="007B70AD"/>
    <w:rsid w:val="007C5B10"/>
    <w:rsid w:val="007D4953"/>
    <w:rsid w:val="007D787D"/>
    <w:rsid w:val="007E086F"/>
    <w:rsid w:val="007E4E9F"/>
    <w:rsid w:val="007E6BA4"/>
    <w:rsid w:val="007F0A34"/>
    <w:rsid w:val="007F3C9B"/>
    <w:rsid w:val="00817A10"/>
    <w:rsid w:val="0084500C"/>
    <w:rsid w:val="008459A9"/>
    <w:rsid w:val="00845A54"/>
    <w:rsid w:val="00850B79"/>
    <w:rsid w:val="00855D64"/>
    <w:rsid w:val="00865CE6"/>
    <w:rsid w:val="0088497D"/>
    <w:rsid w:val="008C6F06"/>
    <w:rsid w:val="008C70C5"/>
    <w:rsid w:val="008E74F0"/>
    <w:rsid w:val="008F030E"/>
    <w:rsid w:val="008F1741"/>
    <w:rsid w:val="008F3A50"/>
    <w:rsid w:val="008F49E7"/>
    <w:rsid w:val="009052B6"/>
    <w:rsid w:val="00924CD9"/>
    <w:rsid w:val="00935809"/>
    <w:rsid w:val="00957020"/>
    <w:rsid w:val="00963B04"/>
    <w:rsid w:val="00982F71"/>
    <w:rsid w:val="009A71AF"/>
    <w:rsid w:val="009B1546"/>
    <w:rsid w:val="009B651F"/>
    <w:rsid w:val="009D3CEB"/>
    <w:rsid w:val="009D7A7A"/>
    <w:rsid w:val="009E3E2C"/>
    <w:rsid w:val="009E68C6"/>
    <w:rsid w:val="009F2EBE"/>
    <w:rsid w:val="00A160F5"/>
    <w:rsid w:val="00A20C0F"/>
    <w:rsid w:val="00A310EA"/>
    <w:rsid w:val="00A46C4A"/>
    <w:rsid w:val="00A50FB7"/>
    <w:rsid w:val="00A550B2"/>
    <w:rsid w:val="00A6165E"/>
    <w:rsid w:val="00A675D3"/>
    <w:rsid w:val="00A719DB"/>
    <w:rsid w:val="00A71F3D"/>
    <w:rsid w:val="00A842EA"/>
    <w:rsid w:val="00A874DA"/>
    <w:rsid w:val="00A97679"/>
    <w:rsid w:val="00AB16C5"/>
    <w:rsid w:val="00AB1E4F"/>
    <w:rsid w:val="00AD2B46"/>
    <w:rsid w:val="00AE59EE"/>
    <w:rsid w:val="00AF4BB7"/>
    <w:rsid w:val="00B27C9F"/>
    <w:rsid w:val="00B37CD7"/>
    <w:rsid w:val="00B53557"/>
    <w:rsid w:val="00B703D3"/>
    <w:rsid w:val="00B808FF"/>
    <w:rsid w:val="00B82B92"/>
    <w:rsid w:val="00B9498C"/>
    <w:rsid w:val="00BB5631"/>
    <w:rsid w:val="00BB5725"/>
    <w:rsid w:val="00BB5AEB"/>
    <w:rsid w:val="00BB6454"/>
    <w:rsid w:val="00BE4B3B"/>
    <w:rsid w:val="00BF0205"/>
    <w:rsid w:val="00BF5A0A"/>
    <w:rsid w:val="00C11B5A"/>
    <w:rsid w:val="00C32789"/>
    <w:rsid w:val="00C33714"/>
    <w:rsid w:val="00C34C5C"/>
    <w:rsid w:val="00C34FEA"/>
    <w:rsid w:val="00C35660"/>
    <w:rsid w:val="00C5056E"/>
    <w:rsid w:val="00C57749"/>
    <w:rsid w:val="00C60338"/>
    <w:rsid w:val="00C63F01"/>
    <w:rsid w:val="00C65542"/>
    <w:rsid w:val="00C703CE"/>
    <w:rsid w:val="00C71C2D"/>
    <w:rsid w:val="00C745E7"/>
    <w:rsid w:val="00C7680B"/>
    <w:rsid w:val="00C82B14"/>
    <w:rsid w:val="00C86D88"/>
    <w:rsid w:val="00C97FD1"/>
    <w:rsid w:val="00CA234B"/>
    <w:rsid w:val="00CB3462"/>
    <w:rsid w:val="00CB767C"/>
    <w:rsid w:val="00CC6BB9"/>
    <w:rsid w:val="00CC79C0"/>
    <w:rsid w:val="00CD1958"/>
    <w:rsid w:val="00CD4010"/>
    <w:rsid w:val="00CE6742"/>
    <w:rsid w:val="00CE7DE8"/>
    <w:rsid w:val="00CF5053"/>
    <w:rsid w:val="00D07713"/>
    <w:rsid w:val="00D16B42"/>
    <w:rsid w:val="00D16B80"/>
    <w:rsid w:val="00D257C1"/>
    <w:rsid w:val="00D30DDE"/>
    <w:rsid w:val="00D31133"/>
    <w:rsid w:val="00D31197"/>
    <w:rsid w:val="00D35D40"/>
    <w:rsid w:val="00D4207F"/>
    <w:rsid w:val="00D4574F"/>
    <w:rsid w:val="00D53424"/>
    <w:rsid w:val="00D56304"/>
    <w:rsid w:val="00D76EC3"/>
    <w:rsid w:val="00D80ACB"/>
    <w:rsid w:val="00D90931"/>
    <w:rsid w:val="00DA0C5D"/>
    <w:rsid w:val="00DD6027"/>
    <w:rsid w:val="00DD6379"/>
    <w:rsid w:val="00E01513"/>
    <w:rsid w:val="00E23E54"/>
    <w:rsid w:val="00E306CB"/>
    <w:rsid w:val="00E41840"/>
    <w:rsid w:val="00E44957"/>
    <w:rsid w:val="00E44C25"/>
    <w:rsid w:val="00E57043"/>
    <w:rsid w:val="00E6189A"/>
    <w:rsid w:val="00E667CB"/>
    <w:rsid w:val="00E750CC"/>
    <w:rsid w:val="00E80A0B"/>
    <w:rsid w:val="00E82940"/>
    <w:rsid w:val="00E85520"/>
    <w:rsid w:val="00E85F3F"/>
    <w:rsid w:val="00E9568F"/>
    <w:rsid w:val="00EB1BBC"/>
    <w:rsid w:val="00EB476F"/>
    <w:rsid w:val="00EC136E"/>
    <w:rsid w:val="00EC2814"/>
    <w:rsid w:val="00EC3B8B"/>
    <w:rsid w:val="00EC59FB"/>
    <w:rsid w:val="00EE150B"/>
    <w:rsid w:val="00EE4235"/>
    <w:rsid w:val="00EF09A7"/>
    <w:rsid w:val="00F0076E"/>
    <w:rsid w:val="00F118B1"/>
    <w:rsid w:val="00F22A71"/>
    <w:rsid w:val="00F27D86"/>
    <w:rsid w:val="00F46A54"/>
    <w:rsid w:val="00F5130C"/>
    <w:rsid w:val="00F70EC7"/>
    <w:rsid w:val="00F87871"/>
    <w:rsid w:val="00F9263F"/>
    <w:rsid w:val="00F94113"/>
    <w:rsid w:val="00F964EA"/>
    <w:rsid w:val="00FA63B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9B7E"/>
  <w15:docId w15:val="{0D3A7D73-F15D-419F-87BD-95A79091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13"/>
    <w:pPr>
      <w:spacing w:after="0" w:line="240" w:lineRule="auto"/>
    </w:pPr>
    <w:rPr>
      <w:rFonts w:ascii="Times New Roman"/>
      <w:sz w:val="24"/>
      <w:szCs w:val="24"/>
      <w:lang w:eastAsia="tr-TR"/>
    </w:rPr>
  </w:style>
  <w:style w:type="paragraph" w:styleId="Heading1">
    <w:name w:val="heading 1"/>
    <w:basedOn w:val="Normal"/>
    <w:next w:val="Normal"/>
    <w:link w:val="Heading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Heading2">
    <w:name w:val="heading 2"/>
    <w:basedOn w:val="Normal"/>
    <w:next w:val="Normal"/>
    <w:link w:val="Heading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Heading3">
    <w:name w:val="heading 3"/>
    <w:basedOn w:val="Normal"/>
    <w:next w:val="Normal"/>
    <w:link w:val="Heading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07713"/>
    <w:rPr>
      <w:rFonts w:ascii="Arial" w:hAnsi="Arial" w:cs="Arial"/>
      <w:b/>
      <w:bCs/>
      <w:sz w:val="18"/>
      <w:szCs w:val="18"/>
      <w:lang w:val="tr-TR" w:eastAsia="ar-SA"/>
    </w:rPr>
  </w:style>
  <w:style w:type="character" w:customStyle="1" w:styleId="Heading2Char">
    <w:name w:val="Heading 2 Char"/>
    <w:basedOn w:val="DefaultParagraphFont"/>
    <w:link w:val="Heading2"/>
    <w:uiPriority w:val="99"/>
    <w:rsid w:val="00D07713"/>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Paragraph">
    <w:name w:val="List Paragraph"/>
    <w:basedOn w:val="Normal"/>
    <w:uiPriority w:val="34"/>
    <w:qFormat/>
    <w:rsid w:val="001C65BF"/>
    <w:pPr>
      <w:ind w:left="720"/>
      <w:contextualSpacing/>
    </w:pPr>
  </w:style>
  <w:style w:type="character" w:styleId="Hyperlink">
    <w:name w:val="Hyperlink"/>
    <w:basedOn w:val="DefaultParagraphFont"/>
    <w:uiPriority w:val="99"/>
    <w:unhideWhenUsed/>
    <w:rsid w:val="001C65BF"/>
    <w:rPr>
      <w:color w:val="0563C1" w:themeColor="hyperlink"/>
      <w:u w:val="single"/>
    </w:rPr>
  </w:style>
  <w:style w:type="character" w:customStyle="1" w:styleId="Mention1">
    <w:name w:val="Mention1"/>
    <w:basedOn w:val="DefaultParagraphFont"/>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DefaultParagraphFont"/>
    <w:uiPriority w:val="99"/>
    <w:semiHidden/>
    <w:unhideWhenUsed/>
    <w:rsid w:val="00DA0C5D"/>
    <w:rPr>
      <w:color w:val="808080"/>
      <w:shd w:val="clear" w:color="auto" w:fill="E6E6E6"/>
    </w:rPr>
  </w:style>
  <w:style w:type="paragraph" w:styleId="FootnoteText">
    <w:name w:val="footnote text"/>
    <w:basedOn w:val="Normal"/>
    <w:link w:val="FootnoteTextChar"/>
    <w:uiPriority w:val="99"/>
    <w:semiHidden/>
    <w:unhideWhenUsed/>
    <w:rsid w:val="00DA0C5D"/>
    <w:rPr>
      <w:sz w:val="20"/>
      <w:szCs w:val="20"/>
    </w:rPr>
  </w:style>
  <w:style w:type="character" w:customStyle="1" w:styleId="FootnoteTextChar">
    <w:name w:val="Footnote Text Char"/>
    <w:basedOn w:val="DefaultParagraphFont"/>
    <w:link w:val="FootnoteText"/>
    <w:uiPriority w:val="99"/>
    <w:semiHidden/>
    <w:rsid w:val="00DA0C5D"/>
    <w:rPr>
      <w:rFonts w:ascii="Times New Roman"/>
      <w:sz w:val="20"/>
      <w:szCs w:val="20"/>
      <w:lang w:val="tr-TR" w:eastAsia="tr-TR"/>
    </w:rPr>
  </w:style>
  <w:style w:type="character" w:styleId="FootnoteReference">
    <w:name w:val="footnote reference"/>
    <w:basedOn w:val="DefaultParagraphFont"/>
    <w:uiPriority w:val="99"/>
    <w:semiHidden/>
    <w:unhideWhenUsed/>
    <w:rsid w:val="00DA0C5D"/>
    <w:rPr>
      <w:vertAlign w:val="superscript"/>
    </w:rPr>
  </w:style>
  <w:style w:type="paragraph" w:styleId="BalloonText">
    <w:name w:val="Balloon Text"/>
    <w:basedOn w:val="Normal"/>
    <w:link w:val="BalloonTextChar"/>
    <w:uiPriority w:val="99"/>
    <w:semiHidden/>
    <w:unhideWhenUsed/>
    <w:rsid w:val="00845A54"/>
    <w:rPr>
      <w:rFonts w:ascii="Tahoma" w:hAnsi="Tahoma" w:cs="Tahoma"/>
      <w:sz w:val="16"/>
      <w:szCs w:val="16"/>
    </w:rPr>
  </w:style>
  <w:style w:type="character" w:customStyle="1" w:styleId="BalloonTextChar">
    <w:name w:val="Balloon Text Char"/>
    <w:basedOn w:val="DefaultParagraphFont"/>
    <w:link w:val="BalloonText"/>
    <w:uiPriority w:val="99"/>
    <w:semiHidden/>
    <w:rsid w:val="00845A54"/>
    <w:rPr>
      <w:rFonts w:ascii="Tahoma" w:hAnsi="Tahoma" w:cs="Tahoma"/>
      <w:sz w:val="16"/>
      <w:szCs w:val="16"/>
      <w:lang w:val="tr-TR" w:eastAsia="tr-TR"/>
    </w:rPr>
  </w:style>
  <w:style w:type="character" w:styleId="CommentReference">
    <w:name w:val="annotation reference"/>
    <w:basedOn w:val="DefaultParagraphFont"/>
    <w:uiPriority w:val="99"/>
    <w:semiHidden/>
    <w:unhideWhenUsed/>
    <w:rsid w:val="00247739"/>
    <w:rPr>
      <w:sz w:val="16"/>
      <w:szCs w:val="16"/>
    </w:rPr>
  </w:style>
  <w:style w:type="paragraph" w:styleId="CommentText">
    <w:name w:val="annotation text"/>
    <w:basedOn w:val="Normal"/>
    <w:link w:val="CommentTextChar"/>
    <w:uiPriority w:val="99"/>
    <w:semiHidden/>
    <w:unhideWhenUsed/>
    <w:rsid w:val="00247739"/>
    <w:rPr>
      <w:sz w:val="20"/>
      <w:szCs w:val="20"/>
    </w:rPr>
  </w:style>
  <w:style w:type="character" w:customStyle="1" w:styleId="CommentTextChar">
    <w:name w:val="Comment Text Char"/>
    <w:basedOn w:val="DefaultParagraphFont"/>
    <w:link w:val="CommentText"/>
    <w:uiPriority w:val="99"/>
    <w:semiHidden/>
    <w:rsid w:val="00247739"/>
    <w:rPr>
      <w:rFonts w:ascii="Times New Roman"/>
      <w:sz w:val="20"/>
      <w:szCs w:val="20"/>
      <w:lang w:eastAsia="tr-TR"/>
    </w:rPr>
  </w:style>
  <w:style w:type="paragraph" w:styleId="CommentSubject">
    <w:name w:val="annotation subject"/>
    <w:basedOn w:val="CommentText"/>
    <w:next w:val="CommentText"/>
    <w:link w:val="CommentSubjectChar"/>
    <w:uiPriority w:val="99"/>
    <w:semiHidden/>
    <w:unhideWhenUsed/>
    <w:rsid w:val="00247739"/>
    <w:rPr>
      <w:b/>
      <w:bCs/>
    </w:rPr>
  </w:style>
  <w:style w:type="character" w:customStyle="1" w:styleId="CommentSubjectChar">
    <w:name w:val="Comment Subject Char"/>
    <w:basedOn w:val="CommentTextChar"/>
    <w:link w:val="CommentSubject"/>
    <w:uiPriority w:val="99"/>
    <w:semiHidden/>
    <w:rsid w:val="00247739"/>
    <w:rPr>
      <w:rFonts w:ascii="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88463">
      <w:bodyDiv w:val="1"/>
      <w:marLeft w:val="0"/>
      <w:marRight w:val="0"/>
      <w:marTop w:val="0"/>
      <w:marBottom w:val="0"/>
      <w:divBdr>
        <w:top w:val="none" w:sz="0" w:space="0" w:color="auto"/>
        <w:left w:val="none" w:sz="0" w:space="0" w:color="auto"/>
        <w:bottom w:val="none" w:sz="0" w:space="0" w:color="auto"/>
        <w:right w:val="none" w:sz="0" w:space="0" w:color="auto"/>
      </w:divBdr>
    </w:div>
    <w:div w:id="202835374">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92397191">
      <w:bodyDiv w:val="1"/>
      <w:marLeft w:val="0"/>
      <w:marRight w:val="0"/>
      <w:marTop w:val="0"/>
      <w:marBottom w:val="0"/>
      <w:divBdr>
        <w:top w:val="none" w:sz="0" w:space="0" w:color="auto"/>
        <w:left w:val="none" w:sz="0" w:space="0" w:color="auto"/>
        <w:bottom w:val="none" w:sz="0" w:space="0" w:color="auto"/>
        <w:right w:val="none" w:sz="0" w:space="0" w:color="auto"/>
      </w:divBdr>
    </w:div>
    <w:div w:id="1608541272">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6731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_englis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_englis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ugurcan.acar\Dropbox%20(Personal)\betam_buyume_degerlendirme\buy_deg_tablolar_englis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Q1'!$F$3</c:f>
              <c:strCache>
                <c:ptCount val="1"/>
                <c:pt idx="0">
                  <c:v>Contribution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 Q1'!$B$4:$B$10</c:f>
              <c:strCache>
                <c:ptCount val="7"/>
                <c:pt idx="0">
                  <c:v>Consumption</c:v>
                </c:pt>
                <c:pt idx="1">
                  <c:v>Government Spending</c:v>
                </c:pt>
                <c:pt idx="2">
                  <c:v>Investment</c:v>
                </c:pt>
                <c:pt idx="3">
                  <c:v>Change in Stock</c:v>
                </c:pt>
                <c:pt idx="4">
                  <c:v>Export</c:v>
                </c:pt>
                <c:pt idx="5">
                  <c:v>Import</c:v>
                </c:pt>
                <c:pt idx="6">
                  <c:v>GDP</c:v>
                </c:pt>
              </c:strCache>
            </c:strRef>
          </c:cat>
          <c:val>
            <c:numRef>
              <c:f>'2018 Q1'!$F$4:$F$9</c:f>
              <c:numCache>
                <c:formatCode>#,#00</c:formatCode>
                <c:ptCount val="6"/>
                <c:pt idx="0">
                  <c:v>6.59586633576109</c:v>
                </c:pt>
                <c:pt idx="1">
                  <c:v>0.51814830051037497</c:v>
                </c:pt>
                <c:pt idx="2">
                  <c:v>2.7688979475465101</c:v>
                </c:pt>
                <c:pt idx="3">
                  <c:v>1.6821410723843899</c:v>
                </c:pt>
                <c:pt idx="4">
                  <c:v>0.25285507492390802</c:v>
                </c:pt>
                <c:pt idx="5">
                  <c:v>-4.45661439756286</c:v>
                </c:pt>
              </c:numCache>
            </c:numRef>
          </c:val>
          <c:extLst>
            <c:ext xmlns:c16="http://schemas.microsoft.com/office/drawing/2014/chart" uri="{C3380CC4-5D6E-409C-BE32-E72D297353CC}">
              <c16:uniqueId val="{00000000-610E-4765-85BA-61CFC464F87F}"/>
            </c:ext>
          </c:extLst>
        </c:ser>
        <c:dLbls>
          <c:dLblPos val="outEnd"/>
          <c:showLegendKey val="0"/>
          <c:showVal val="1"/>
          <c:showCatName val="0"/>
          <c:showSerName val="0"/>
          <c:showPercent val="0"/>
          <c:showBubbleSize val="0"/>
        </c:dLbls>
        <c:gapWidth val="219"/>
        <c:overlap val="-27"/>
        <c:axId val="1487158688"/>
        <c:axId val="1328452304"/>
      </c:barChart>
      <c:catAx>
        <c:axId val="1487158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28452304"/>
        <c:crosses val="autoZero"/>
        <c:auto val="1"/>
        <c:lblAlgn val="ctr"/>
        <c:lblOffset val="100"/>
        <c:noMultiLvlLbl val="0"/>
      </c:catAx>
      <c:valAx>
        <c:axId val="1328452304"/>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586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Q1'!$E$3</c:f>
              <c:strCache>
                <c:ptCount val="1"/>
                <c:pt idx="0">
                  <c:v>Change (%)</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'2018 Q1'!$B$4:$B$10</c:f>
              <c:strCache>
                <c:ptCount val="6"/>
                <c:pt idx="0">
                  <c:v>Consumption</c:v>
                </c:pt>
                <c:pt idx="1">
                  <c:v>Government Spending</c:v>
                </c:pt>
                <c:pt idx="2">
                  <c:v>Investment</c:v>
                </c:pt>
                <c:pt idx="3">
                  <c:v>Export</c:v>
                </c:pt>
                <c:pt idx="4">
                  <c:v>Import</c:v>
                </c:pt>
                <c:pt idx="5">
                  <c:v>GDP</c:v>
                </c:pt>
              </c:strCache>
            </c:strRef>
          </c:cat>
          <c:val>
            <c:numRef>
              <c:f>'2018 Q1'!$E$4:$E$10</c:f>
              <c:numCache>
                <c:formatCode>#,#00</c:formatCode>
                <c:ptCount val="6"/>
                <c:pt idx="0">
                  <c:v>10.98945403688405</c:v>
                </c:pt>
                <c:pt idx="1">
                  <c:v>3.4331398036387295</c:v>
                </c:pt>
                <c:pt idx="2">
                  <c:v>9.6511332721065592</c:v>
                </c:pt>
                <c:pt idx="3">
                  <c:v>0.46276740334416644</c:v>
                </c:pt>
                <c:pt idx="4">
                  <c:v>15.571286139448448</c:v>
                </c:pt>
                <c:pt idx="5">
                  <c:v>7.3612943335634062</c:v>
                </c:pt>
              </c:numCache>
            </c:numRef>
          </c:val>
          <c:extLst>
            <c:ext xmlns:c16="http://schemas.microsoft.com/office/drawing/2014/chart" uri="{C3380CC4-5D6E-409C-BE32-E72D297353CC}">
              <c16:uniqueId val="{00000000-3B63-46E4-BC60-B5D4CD2408F5}"/>
            </c:ext>
          </c:extLst>
        </c:ser>
        <c:dLbls>
          <c:dLblPos val="outEnd"/>
          <c:showLegendKey val="0"/>
          <c:showVal val="1"/>
          <c:showCatName val="0"/>
          <c:showSerName val="0"/>
          <c:showPercent val="0"/>
          <c:showBubbleSize val="0"/>
        </c:dLbls>
        <c:gapWidth val="219"/>
        <c:overlap val="-27"/>
        <c:axId val="1487485792"/>
        <c:axId val="1486137568"/>
      </c:barChart>
      <c:catAx>
        <c:axId val="1487485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6137568"/>
        <c:crosses val="autoZero"/>
        <c:auto val="1"/>
        <c:lblAlgn val="ctr"/>
        <c:lblOffset val="100"/>
        <c:noMultiLvlLbl val="0"/>
      </c:catAx>
      <c:valAx>
        <c:axId val="1486137568"/>
        <c:scaling>
          <c:orientation val="minMax"/>
        </c:scaling>
        <c:delete val="0"/>
        <c:axPos val="l"/>
        <c:numFmt formatCode="#,##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485792"/>
        <c:crosses val="autoZero"/>
        <c:crossBetween val="between"/>
        <c:majorUnit val="4"/>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'2018 Q1'!$E$29</c:f>
              <c:strCache>
                <c:ptCount val="1"/>
                <c:pt idx="0">
                  <c:v>Annual Change</c:v>
                </c:pt>
              </c:strCache>
            </c:strRef>
          </c:tx>
          <c:spPr>
            <a:solidFill>
              <a:schemeClr val="accent1"/>
            </a:solidFill>
            <a:ln>
              <a:noFill/>
            </a:ln>
            <a:effectLst/>
          </c:spPr>
          <c:invertIfNegative val="0"/>
          <c:cat>
            <c:strRef>
              <c:f>'2018 Q1'!$A$35:$A$54</c:f>
              <c:strCache>
                <c:ptCount val="20"/>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strCache>
            </c:strRef>
          </c:cat>
          <c:val>
            <c:numRef>
              <c:f>'2018 Q1'!$E$35:$E$54</c:f>
              <c:numCache>
                <c:formatCode>#,#00</c:formatCode>
                <c:ptCount val="20"/>
                <c:pt idx="0">
                  <c:v>9.8066583993321679</c:v>
                </c:pt>
                <c:pt idx="1">
                  <c:v>8.9226688185641834</c:v>
                </c:pt>
                <c:pt idx="2">
                  <c:v>6.8804097448097012</c:v>
                </c:pt>
                <c:pt idx="3">
                  <c:v>8.679514433077685</c:v>
                </c:pt>
                <c:pt idx="4">
                  <c:v>2.8975438907233864</c:v>
                </c:pt>
                <c:pt idx="5">
                  <c:v>3.6662593748295391</c:v>
                </c:pt>
                <c:pt idx="6">
                  <c:v>5.9302729224654627</c:v>
                </c:pt>
                <c:pt idx="7">
                  <c:v>3.6016444809847004</c:v>
                </c:pt>
                <c:pt idx="8">
                  <c:v>7.1600269477660072</c:v>
                </c:pt>
                <c:pt idx="9">
                  <c:v>5.785060369802375</c:v>
                </c:pt>
                <c:pt idx="10">
                  <c:v>7.4964855961417332</c:v>
                </c:pt>
                <c:pt idx="11">
                  <c:v>4.8088368022987549</c:v>
                </c:pt>
                <c:pt idx="12">
                  <c:v>4.9296739098340314</c:v>
                </c:pt>
                <c:pt idx="13">
                  <c:v>-0.81201904461093433</c:v>
                </c:pt>
                <c:pt idx="14">
                  <c:v>4.2392838766346808</c:v>
                </c:pt>
                <c:pt idx="15">
                  <c:v>5.3862161353916305</c:v>
                </c:pt>
                <c:pt idx="16">
                  <c:v>5.3967634821743493</c:v>
                </c:pt>
                <c:pt idx="17">
                  <c:v>11.290311362440164</c:v>
                </c:pt>
                <c:pt idx="18">
                  <c:v>7.2638762775595556</c:v>
                </c:pt>
                <c:pt idx="19">
                  <c:v>7.3612943335634062</c:v>
                </c:pt>
              </c:numCache>
            </c:numRef>
          </c:val>
          <c:extLst>
            <c:ext xmlns:c16="http://schemas.microsoft.com/office/drawing/2014/chart" uri="{C3380CC4-5D6E-409C-BE32-E72D297353CC}">
              <c16:uniqueId val="{00000000-6B2C-4EEE-B115-8C29FBC405FE}"/>
            </c:ext>
          </c:extLst>
        </c:ser>
        <c:dLbls>
          <c:showLegendKey val="0"/>
          <c:showVal val="0"/>
          <c:showCatName val="0"/>
          <c:showSerName val="0"/>
          <c:showPercent val="0"/>
          <c:showBubbleSize val="0"/>
        </c:dLbls>
        <c:gapWidth val="75"/>
        <c:overlap val="-25"/>
        <c:axId val="1487177488"/>
        <c:axId val="1328466992"/>
      </c:barChart>
      <c:lineChart>
        <c:grouping val="standard"/>
        <c:varyColors val="0"/>
        <c:ser>
          <c:idx val="1"/>
          <c:order val="1"/>
          <c:tx>
            <c:strRef>
              <c:f>'2018 Q1'!$F$29</c:f>
              <c:strCache>
                <c:ptCount val="1"/>
                <c:pt idx="0">
                  <c:v>Quarter Change</c:v>
                </c:pt>
              </c:strCache>
            </c:strRef>
          </c:tx>
          <c:spPr>
            <a:ln w="25400" cap="rnd">
              <a:solidFill>
                <a:schemeClr val="tx1"/>
              </a:solidFill>
              <a:round/>
            </a:ln>
            <a:effectLst/>
          </c:spPr>
          <c:marker>
            <c:symbol val="none"/>
          </c:marker>
          <c:cat>
            <c:strRef>
              <c:f>'2018 Q1'!$A$35:$A$54</c:f>
              <c:strCache>
                <c:ptCount val="20"/>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strCache>
            </c:strRef>
          </c:cat>
          <c:val>
            <c:numRef>
              <c:f>'2018 Q1'!$F$35:$F$54</c:f>
              <c:numCache>
                <c:formatCode>#,#00</c:formatCode>
                <c:ptCount val="20"/>
                <c:pt idx="0">
                  <c:v>2.6178718123111455</c:v>
                </c:pt>
                <c:pt idx="1">
                  <c:v>1.3467776239150187</c:v>
                </c:pt>
                <c:pt idx="2">
                  <c:v>0.7323027398944415</c:v>
                </c:pt>
                <c:pt idx="3">
                  <c:v>2.6644199701995719</c:v>
                </c:pt>
                <c:pt idx="4">
                  <c:v>-1.5498061972216148</c:v>
                </c:pt>
                <c:pt idx="5">
                  <c:v>2.3568373716194246</c:v>
                </c:pt>
                <c:pt idx="6">
                  <c:v>1.4948925124467438</c:v>
                </c:pt>
                <c:pt idx="7">
                  <c:v>1.9272242598637801</c:v>
                </c:pt>
                <c:pt idx="8">
                  <c:v>1.4621082665434937</c:v>
                </c:pt>
                <c:pt idx="9">
                  <c:v>1.2766352037816509</c:v>
                </c:pt>
                <c:pt idx="10">
                  <c:v>0.93982795795479745</c:v>
                </c:pt>
                <c:pt idx="11">
                  <c:v>0.69644681869063252</c:v>
                </c:pt>
                <c:pt idx="12">
                  <c:v>1.2141926254599644</c:v>
                </c:pt>
                <c:pt idx="13">
                  <c:v>-2.5116215760206062</c:v>
                </c:pt>
                <c:pt idx="14">
                  <c:v>4.6572458734944977</c:v>
                </c:pt>
                <c:pt idx="15">
                  <c:v>2.0168649524366478</c:v>
                </c:pt>
                <c:pt idx="16">
                  <c:v>2.1942344919680057</c:v>
                </c:pt>
                <c:pt idx="17">
                  <c:v>1.2214316326858876</c:v>
                </c:pt>
                <c:pt idx="18">
                  <c:v>1.7016922475602048</c:v>
                </c:pt>
                <c:pt idx="19">
                  <c:v>1.9538644939867789</c:v>
                </c:pt>
              </c:numCache>
            </c:numRef>
          </c:val>
          <c:smooth val="0"/>
          <c:extLst>
            <c:ext xmlns:c16="http://schemas.microsoft.com/office/drawing/2014/chart" uri="{C3380CC4-5D6E-409C-BE32-E72D297353CC}">
              <c16:uniqueId val="{00000001-6B2C-4EEE-B115-8C29FBC405FE}"/>
            </c:ext>
          </c:extLst>
        </c:ser>
        <c:dLbls>
          <c:showLegendKey val="0"/>
          <c:showVal val="0"/>
          <c:showCatName val="0"/>
          <c:showSerName val="0"/>
          <c:showPercent val="0"/>
          <c:showBubbleSize val="0"/>
        </c:dLbls>
        <c:marker val="1"/>
        <c:smooth val="0"/>
        <c:axId val="1487177488"/>
        <c:axId val="1328466992"/>
      </c:lineChart>
      <c:catAx>
        <c:axId val="1487177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328466992"/>
        <c:crosses val="autoZero"/>
        <c:auto val="1"/>
        <c:lblAlgn val="ctr"/>
        <c:lblOffset val="100"/>
        <c:noMultiLvlLbl val="0"/>
      </c:catAx>
      <c:valAx>
        <c:axId val="132846699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87177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1504-6B56-4CB6-AEEC-E7D8C53AA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5</Pages>
  <Words>1076</Words>
  <Characters>6138</Characters>
  <Application>Microsoft Office Word</Application>
  <DocSecurity>0</DocSecurity>
  <Lines>51</Lines>
  <Paragraphs>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ozan bakis</cp:lastModifiedBy>
  <cp:revision>45</cp:revision>
  <cp:lastPrinted>2017-12-14T09:18:00Z</cp:lastPrinted>
  <dcterms:created xsi:type="dcterms:W3CDTF">2018-04-03T12:06:00Z</dcterms:created>
  <dcterms:modified xsi:type="dcterms:W3CDTF">2018-06-25T12:44:00Z</dcterms:modified>
</cp:coreProperties>
</file>